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2E2327" w:rsidRDefault="00382C47" w:rsidP="00C7556C">
      <w:pPr>
        <w:jc w:val="center"/>
      </w:pPr>
      <w:r w:rsidRPr="002E2327">
        <w:rPr>
          <w:noProof/>
          <w:lang w:val="en-US"/>
        </w:rPr>
        <w:drawing>
          <wp:inline distT="0" distB="0" distL="0" distR="0">
            <wp:extent cx="1200150" cy="1666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970"/>
                    <a:stretch/>
                  </pic:blipFill>
                  <pic:spPr bwMode="auto">
                    <a:xfrm>
                      <a:off x="0" y="0"/>
                      <a:ext cx="1200150" cy="1666875"/>
                    </a:xfrm>
                    <a:prstGeom prst="rect">
                      <a:avLst/>
                    </a:prstGeom>
                    <a:noFill/>
                    <a:ln>
                      <a:noFill/>
                    </a:ln>
                    <a:extLst>
                      <a:ext uri="{53640926-AAD7-44D8-BBD7-CCE9431645EC}">
                        <a14:shadowObscured xmlns:a14="http://schemas.microsoft.com/office/drawing/2010/main"/>
                      </a:ext>
                    </a:extLst>
                  </pic:spPr>
                </pic:pic>
              </a:graphicData>
            </a:graphic>
          </wp:inline>
        </w:drawing>
      </w:r>
    </w:p>
    <w:p w:rsidR="00384384" w:rsidRPr="002E2327" w:rsidRDefault="00384384" w:rsidP="00BF25F3">
      <w:pPr>
        <w:tabs>
          <w:tab w:val="left" w:pos="6075"/>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CC0B55"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CC0B55"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CC0B55" w:rsidTr="002E5576">
        <w:tc>
          <w:tcPr>
            <w:tcW w:w="4518" w:type="dxa"/>
          </w:tcPr>
          <w:p w:rsidR="00BF25F3" w:rsidRPr="002E2327" w:rsidRDefault="00BF25F3" w:rsidP="009F3024">
            <w:pPr>
              <w:tabs>
                <w:tab w:val="left" w:pos="6075"/>
              </w:tabs>
              <w:jc w:val="both"/>
              <w:rPr>
                <w:rFonts w:ascii="Arial" w:hAnsi="Arial" w:cs="Arial"/>
                <w:i/>
                <w:sz w:val="20"/>
                <w:szCs w:val="20"/>
              </w:rPr>
            </w:pPr>
            <w:r w:rsidRPr="002E2327">
              <w:rPr>
                <w:rFonts w:ascii="Arial" w:hAnsi="Arial" w:cs="Arial"/>
                <w:i/>
                <w:sz w:val="20"/>
                <w:szCs w:val="20"/>
              </w:rPr>
              <w:t>During Court sessions</w:t>
            </w:r>
            <w:r w:rsidR="00845C2A">
              <w:rPr>
                <w:rFonts w:ascii="Arial" w:hAnsi="Arial" w:cs="Arial"/>
                <w:i/>
                <w:sz w:val="20"/>
                <w:szCs w:val="20"/>
              </w:rPr>
              <w:t>,</w:t>
            </w:r>
            <w:r w:rsidRPr="002E2327">
              <w:rPr>
                <w:rFonts w:ascii="Arial" w:hAnsi="Arial" w:cs="Arial"/>
                <w:i/>
                <w:sz w:val="20"/>
                <w:szCs w:val="20"/>
              </w:rPr>
              <w:t xml:space="preserve"> </w:t>
            </w:r>
            <w:r w:rsidR="009F3024">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CC0B55"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CC0B55" w:rsidTr="002E5576">
        <w:tc>
          <w:tcPr>
            <w:tcW w:w="4518" w:type="dxa"/>
          </w:tcPr>
          <w:p w:rsidR="00BF25F3" w:rsidRPr="002E2327" w:rsidRDefault="000E27A5"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0E27A5"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CC0B55" w:rsidTr="002E5576">
        <w:tc>
          <w:tcPr>
            <w:tcW w:w="4518" w:type="dxa"/>
          </w:tcPr>
          <w:p w:rsidR="009F3024" w:rsidRPr="00091FA6" w:rsidRDefault="009F3024" w:rsidP="009F3024">
            <w:pPr>
              <w:tabs>
                <w:tab w:val="left" w:pos="6075"/>
              </w:tabs>
              <w:rPr>
                <w:rFonts w:cs="Times New Roman"/>
                <w:szCs w:val="24"/>
                <w:lang w:val="fr-CA"/>
              </w:rPr>
            </w:pPr>
          </w:p>
          <w:p w:rsidR="009F3024" w:rsidRPr="00091FA6" w:rsidRDefault="009F3024" w:rsidP="009F3024">
            <w:pPr>
              <w:tabs>
                <w:tab w:val="left" w:pos="6075"/>
              </w:tabs>
              <w:rPr>
                <w:rFonts w:cs="Times New Roman"/>
                <w:szCs w:val="24"/>
                <w:lang w:val="fr-CA"/>
              </w:rPr>
            </w:pPr>
          </w:p>
        </w:tc>
        <w:tc>
          <w:tcPr>
            <w:tcW w:w="630" w:type="dxa"/>
          </w:tcPr>
          <w:p w:rsidR="009F3024" w:rsidRPr="00091FA6" w:rsidRDefault="009F3024" w:rsidP="009F3024">
            <w:pPr>
              <w:tabs>
                <w:tab w:val="left" w:pos="6075"/>
              </w:tabs>
              <w:rPr>
                <w:rFonts w:cs="Times New Roman"/>
                <w:szCs w:val="24"/>
                <w:lang w:val="fr-CA"/>
              </w:rPr>
            </w:pPr>
          </w:p>
        </w:tc>
        <w:tc>
          <w:tcPr>
            <w:tcW w:w="4428" w:type="dxa"/>
          </w:tcPr>
          <w:p w:rsidR="009F3024" w:rsidRPr="009F3024" w:rsidRDefault="009F3024" w:rsidP="009F3024">
            <w:pPr>
              <w:tabs>
                <w:tab w:val="left" w:pos="6075"/>
              </w:tabs>
              <w:rPr>
                <w:rFonts w:cs="Times New Roman"/>
                <w:szCs w:val="24"/>
                <w:lang w:val="fr-CA"/>
              </w:rPr>
            </w:pPr>
          </w:p>
        </w:tc>
      </w:tr>
      <w:tr w:rsidR="009F3024" w:rsidRPr="00CC0B55" w:rsidTr="002E5576">
        <w:tc>
          <w:tcPr>
            <w:tcW w:w="4518" w:type="dxa"/>
          </w:tcPr>
          <w:p w:rsidR="009F3024" w:rsidRPr="002E2327" w:rsidRDefault="00845C2A" w:rsidP="00845C2A">
            <w:pPr>
              <w:tabs>
                <w:tab w:val="left" w:pos="6075"/>
              </w:tabs>
              <w:jc w:val="both"/>
              <w:rPr>
                <w:rFonts w:ascii="Arial" w:hAnsi="Arial" w:cs="Arial"/>
                <w:i/>
                <w:sz w:val="20"/>
                <w:szCs w:val="20"/>
              </w:rPr>
            </w:pPr>
            <w:r w:rsidRPr="00845C2A">
              <w:rPr>
                <w:rFonts w:ascii="Arial" w:hAnsi="Arial" w:cs="Arial"/>
                <w:i/>
                <w:sz w:val="20"/>
                <w:szCs w:val="20"/>
                <w:lang w:val="en-US"/>
              </w:rPr>
              <w:t>P</w:t>
            </w:r>
            <w:r>
              <w:rPr>
                <w:rFonts w:ascii="Arial" w:hAnsi="Arial" w:cs="Arial"/>
                <w:i/>
                <w:sz w:val="20"/>
                <w:szCs w:val="20"/>
                <w:lang w:val="en-US"/>
              </w:rPr>
              <w:t>lease c</w:t>
            </w:r>
            <w:r w:rsidR="009F3024">
              <w:rPr>
                <w:rFonts w:ascii="Arial" w:hAnsi="Arial" w:cs="Arial"/>
                <w:i/>
                <w:sz w:val="20"/>
                <w:szCs w:val="20"/>
              </w:rPr>
              <w:t xml:space="preserve">onsult the Supreme Court of Canada website at </w:t>
            </w:r>
            <w:hyperlink r:id="rId9" w:history="1">
              <w:r w:rsidR="00E414CA" w:rsidRPr="00DB53DA">
                <w:rPr>
                  <w:rStyle w:val="Hyperlink"/>
                  <w:rFonts w:ascii="Arial" w:hAnsi="Arial" w:cs="Arial"/>
                  <w:i/>
                  <w:sz w:val="20"/>
                  <w:szCs w:val="20"/>
                </w:rPr>
                <w:t>www.scc-csc.ca</w:t>
              </w:r>
            </w:hyperlink>
            <w:r w:rsidR="009F3024">
              <w:rPr>
                <w:rFonts w:ascii="Arial" w:hAnsi="Arial" w:cs="Arial"/>
                <w:i/>
                <w:sz w:val="20"/>
                <w:szCs w:val="20"/>
              </w:rPr>
              <w:t xml:space="preserve"> for more information.</w:t>
            </w:r>
          </w:p>
        </w:tc>
        <w:tc>
          <w:tcPr>
            <w:tcW w:w="630" w:type="dxa"/>
          </w:tcPr>
          <w:p w:rsidR="009F3024" w:rsidRPr="002E2327" w:rsidRDefault="009F3024" w:rsidP="00BF25F3">
            <w:pPr>
              <w:tabs>
                <w:tab w:val="left" w:pos="6075"/>
              </w:tabs>
              <w:jc w:val="both"/>
              <w:rPr>
                <w:rFonts w:ascii="Arial" w:hAnsi="Arial" w:cs="Arial"/>
                <w:i/>
                <w:sz w:val="20"/>
                <w:szCs w:val="20"/>
              </w:rPr>
            </w:pPr>
          </w:p>
        </w:tc>
        <w:tc>
          <w:tcPr>
            <w:tcW w:w="4428" w:type="dxa"/>
          </w:tcPr>
          <w:p w:rsidR="009F3024" w:rsidRPr="009F3024" w:rsidRDefault="009F3024" w:rsidP="00E414CA">
            <w:pPr>
              <w:tabs>
                <w:tab w:val="left" w:pos="6075"/>
              </w:tabs>
              <w:jc w:val="both"/>
              <w:rPr>
                <w:rFonts w:ascii="Arial" w:hAnsi="Arial" w:cs="Arial"/>
                <w:i/>
                <w:sz w:val="20"/>
                <w:szCs w:val="20"/>
                <w:lang w:val="fr-CA"/>
              </w:rPr>
            </w:pPr>
            <w:r w:rsidRPr="009F3024">
              <w:rPr>
                <w:rFonts w:ascii="Arial" w:hAnsi="Arial" w:cs="Arial"/>
                <w:i/>
                <w:sz w:val="20"/>
                <w:szCs w:val="20"/>
                <w:lang w:val="fr-CA"/>
              </w:rPr>
              <w:t xml:space="preserve">Pour de plus amples informations, </w:t>
            </w:r>
            <w:r w:rsidR="00845C2A">
              <w:rPr>
                <w:rFonts w:ascii="Arial" w:hAnsi="Arial" w:cs="Arial"/>
                <w:i/>
                <w:sz w:val="20"/>
                <w:szCs w:val="20"/>
                <w:lang w:val="fr-CA"/>
              </w:rPr>
              <w:t xml:space="preserve">veuillez </w:t>
            </w:r>
            <w:r w:rsidRPr="009F3024">
              <w:rPr>
                <w:rFonts w:ascii="Arial" w:hAnsi="Arial" w:cs="Arial"/>
                <w:i/>
                <w:sz w:val="20"/>
                <w:szCs w:val="20"/>
                <w:lang w:val="fr-CA"/>
              </w:rPr>
              <w:t>con</w:t>
            </w:r>
            <w:r>
              <w:rPr>
                <w:rFonts w:ascii="Arial" w:hAnsi="Arial" w:cs="Arial"/>
                <w:i/>
                <w:sz w:val="20"/>
                <w:szCs w:val="20"/>
                <w:lang w:val="fr-CA"/>
              </w:rPr>
              <w:t xml:space="preserve">sulter le site Web de la Cour suprême du Canada à l’adresse suivante : </w:t>
            </w:r>
            <w:hyperlink r:id="rId10" w:history="1">
              <w:r w:rsidR="0081473A" w:rsidRPr="00DB53DA">
                <w:rPr>
                  <w:rStyle w:val="Hyperlink"/>
                  <w:rFonts w:ascii="Arial" w:hAnsi="Arial" w:cs="Arial"/>
                  <w:i/>
                  <w:sz w:val="20"/>
                  <w:szCs w:val="20"/>
                  <w:lang w:val="fr-CA"/>
                </w:rPr>
                <w:t>www.scc-csc.ca</w:t>
              </w:r>
            </w:hyperlink>
            <w:r>
              <w:rPr>
                <w:rFonts w:ascii="Arial" w:hAnsi="Arial" w:cs="Arial"/>
                <w:i/>
                <w:sz w:val="20"/>
                <w:szCs w:val="20"/>
                <w:lang w:val="fr-CA"/>
              </w:rPr>
              <w:t xml:space="preserve"> </w:t>
            </w:r>
          </w:p>
        </w:tc>
      </w:tr>
    </w:tbl>
    <w:p w:rsidR="00BF25F3" w:rsidRPr="009F3024" w:rsidRDefault="00BF25F3" w:rsidP="00BF25F3">
      <w:pPr>
        <w:tabs>
          <w:tab w:val="left" w:pos="6075"/>
        </w:tabs>
        <w:rPr>
          <w:lang w:val="fr-CA"/>
        </w:rPr>
      </w:pPr>
    </w:p>
    <w:p w:rsidR="00440E24" w:rsidRPr="009F3024" w:rsidRDefault="00440E24" w:rsidP="00440E24">
      <w:pPr>
        <w:pBdr>
          <w:bottom w:val="single" w:sz="6" w:space="1" w:color="auto"/>
        </w:pBdr>
        <w:tabs>
          <w:tab w:val="left" w:pos="6075"/>
        </w:tabs>
        <w:rPr>
          <w:lang w:val="fr-CA"/>
        </w:rPr>
      </w:pPr>
    </w:p>
    <w:p w:rsidR="00440E24" w:rsidRPr="009F3024" w:rsidRDefault="00440E24" w:rsidP="00440E24">
      <w:pPr>
        <w:rPr>
          <w:lang w:val="fr-CA"/>
        </w:rPr>
      </w:pPr>
    </w:p>
    <w:p w:rsidR="00BE7155" w:rsidRPr="00675479" w:rsidRDefault="00BE7155" w:rsidP="00BE7155">
      <w:pPr>
        <w:pBdr>
          <w:bottom w:val="single" w:sz="6" w:space="1" w:color="auto"/>
        </w:pBdr>
        <w:tabs>
          <w:tab w:val="center" w:pos="4680"/>
          <w:tab w:val="right" w:pos="9360"/>
        </w:tabs>
        <w:rPr>
          <w:lang w:val="fr-CA"/>
        </w:rPr>
      </w:pPr>
      <w:r>
        <w:rPr>
          <w:lang w:val="fr-CA"/>
        </w:rPr>
        <w:t>February 1</w:t>
      </w:r>
      <w:r w:rsidRPr="00675479">
        <w:rPr>
          <w:lang w:val="fr-CA"/>
        </w:rPr>
        <w:t>, 201</w:t>
      </w:r>
      <w:r>
        <w:rPr>
          <w:lang w:val="fr-CA"/>
        </w:rPr>
        <w:t>9</w:t>
      </w:r>
      <w:r w:rsidRPr="00675479">
        <w:rPr>
          <w:lang w:val="fr-CA"/>
        </w:rPr>
        <w:tab/>
      </w:r>
      <w:r w:rsidRPr="00675479">
        <w:rPr>
          <w:lang w:val="fr-CA"/>
        </w:rPr>
        <w:tab/>
      </w:r>
      <w:r w:rsidRPr="002E2327">
        <w:rPr>
          <w:lang w:val="fr-CA"/>
        </w:rPr>
        <w:t>Le</w:t>
      </w:r>
      <w:r>
        <w:rPr>
          <w:lang w:val="fr-CA"/>
        </w:rPr>
        <w:t xml:space="preserve"> 1 février</w:t>
      </w:r>
      <w:r w:rsidRPr="002E2327">
        <w:rPr>
          <w:lang w:val="fr-CA"/>
        </w:rPr>
        <w:t xml:space="preserve"> 201</w:t>
      </w:r>
      <w:r>
        <w:rPr>
          <w:lang w:val="fr-CA"/>
        </w:rPr>
        <w:t>9</w:t>
      </w:r>
    </w:p>
    <w:p w:rsidR="00440E24" w:rsidRPr="00675479" w:rsidRDefault="00440E24" w:rsidP="00440E24">
      <w:pPr>
        <w:pBdr>
          <w:bottom w:val="single" w:sz="6" w:space="1" w:color="auto"/>
        </w:pBdr>
        <w:tabs>
          <w:tab w:val="right" w:pos="9360"/>
        </w:tabs>
        <w:rPr>
          <w:lang w:val="fr-CA"/>
        </w:rPr>
      </w:pPr>
    </w:p>
    <w:p w:rsidR="00440E24" w:rsidRPr="009E2C1C" w:rsidRDefault="00440E24" w:rsidP="00440E24">
      <w:pPr>
        <w:pBdr>
          <w:bottom w:val="single" w:sz="6" w:space="1" w:color="auto"/>
        </w:pBdr>
        <w:tabs>
          <w:tab w:val="right" w:pos="9360"/>
        </w:tabs>
        <w:rPr>
          <w:sz w:val="18"/>
          <w:szCs w:val="18"/>
          <w:lang w:val="fr-CA"/>
        </w:rPr>
      </w:pPr>
      <w:r w:rsidRPr="009E2C1C">
        <w:rPr>
          <w:sz w:val="18"/>
          <w:szCs w:val="18"/>
          <w:lang w:val="fr-CA"/>
        </w:rPr>
        <w:t>© Supreme Court of Canada (</w:t>
      </w:r>
      <w:r w:rsidR="0030050B" w:rsidRPr="009E2C1C">
        <w:rPr>
          <w:sz w:val="18"/>
          <w:szCs w:val="18"/>
          <w:lang w:val="fr-CA"/>
        </w:rPr>
        <w:t>201</w:t>
      </w:r>
      <w:r w:rsidR="004317DE" w:rsidRPr="009E2C1C">
        <w:rPr>
          <w:sz w:val="18"/>
          <w:szCs w:val="18"/>
          <w:lang w:val="fr-CA"/>
        </w:rPr>
        <w:t>9</w:t>
      </w:r>
      <w:r w:rsidRPr="009E2C1C">
        <w:rPr>
          <w:sz w:val="18"/>
          <w:szCs w:val="18"/>
          <w:lang w:val="fr-CA"/>
        </w:rPr>
        <w:t>)</w:t>
      </w:r>
      <w:r w:rsidRPr="009E2C1C">
        <w:rPr>
          <w:sz w:val="18"/>
          <w:szCs w:val="18"/>
          <w:lang w:val="fr-CA"/>
        </w:rPr>
        <w:tab/>
        <w:t>© Cour suprême du Canada (</w:t>
      </w:r>
      <w:r w:rsidR="0030050B" w:rsidRPr="009E2C1C">
        <w:rPr>
          <w:sz w:val="18"/>
          <w:szCs w:val="18"/>
          <w:lang w:val="fr-CA"/>
        </w:rPr>
        <w:t>201</w:t>
      </w:r>
      <w:r w:rsidR="004317DE" w:rsidRPr="009E2C1C">
        <w:rPr>
          <w:sz w:val="18"/>
          <w:szCs w:val="18"/>
          <w:lang w:val="fr-CA"/>
        </w:rPr>
        <w:t>9</w:t>
      </w:r>
      <w:r w:rsidRPr="009E2C1C">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Default="00600252" w:rsidP="00BF25F3">
      <w:pPr>
        <w:pBdr>
          <w:bottom w:val="single" w:sz="6" w:space="1" w:color="auto"/>
        </w:pBdr>
        <w:tabs>
          <w:tab w:val="left" w:pos="6075"/>
        </w:tabs>
        <w:rPr>
          <w:lang w:val="fr-CA"/>
        </w:rPr>
      </w:pPr>
    </w:p>
    <w:p w:rsidR="0030050B" w:rsidRPr="00675479" w:rsidRDefault="0030050B" w:rsidP="00BF25F3">
      <w:pPr>
        <w:pBdr>
          <w:bottom w:val="single" w:sz="6" w:space="1" w:color="auto"/>
        </w:pBdr>
        <w:tabs>
          <w:tab w:val="left" w:pos="6075"/>
        </w:tabs>
        <w:rPr>
          <w:lang w:val="fr-CA"/>
        </w:rPr>
      </w:pPr>
    </w:p>
    <w:p w:rsidR="00560DF1" w:rsidRPr="006615F4" w:rsidRDefault="00560DF1" w:rsidP="0095096B">
      <w:pPr>
        <w:tabs>
          <w:tab w:val="right" w:pos="9360"/>
        </w:tabs>
        <w:rPr>
          <w:lang w:val="fr-CA"/>
        </w:rPr>
      </w:pPr>
    </w:p>
    <w:sdt>
      <w:sdtPr>
        <w:rPr>
          <w:rFonts w:ascii="Times New Roman" w:eastAsiaTheme="minorHAnsi" w:hAnsi="Times New Roman" w:cs="Times New Roman"/>
          <w:spacing w:val="0"/>
          <w:kern w:val="0"/>
          <w:sz w:val="24"/>
          <w:szCs w:val="22"/>
        </w:rPr>
        <w:id w:val="-563333492"/>
        <w:docPartObj>
          <w:docPartGallery w:val="Table of Contents"/>
          <w:docPartUnique/>
        </w:docPartObj>
      </w:sdtPr>
      <w:sdtEndPr>
        <w:rPr>
          <w:rFonts w:cstheme="minorBidi"/>
          <w:b/>
          <w:bCs/>
          <w:noProof/>
        </w:rPr>
      </w:sdtEndPr>
      <w:sdtContent>
        <w:p w:rsidR="00560DF1" w:rsidRPr="006615F4" w:rsidRDefault="00DC6B2E" w:rsidP="00693C38">
          <w:pPr>
            <w:pStyle w:val="Title"/>
            <w:jc w:val="center"/>
            <w:rPr>
              <w:rFonts w:ascii="Times New Roman" w:hAnsi="Times New Roman" w:cs="Times New Roman"/>
              <w:b/>
              <w:sz w:val="24"/>
              <w:szCs w:val="28"/>
              <w:lang w:val="fr-CA"/>
            </w:rPr>
          </w:pPr>
          <w:r w:rsidRPr="006615F4">
            <w:rPr>
              <w:rFonts w:ascii="Times New Roman" w:hAnsi="Times New Roman" w:cs="Times New Roman"/>
              <w:b/>
              <w:sz w:val="24"/>
              <w:szCs w:val="28"/>
              <w:lang w:val="fr-CA"/>
            </w:rPr>
            <w:t>Contents</w:t>
          </w:r>
        </w:p>
        <w:p w:rsidR="00693C38" w:rsidRPr="006615F4" w:rsidRDefault="00DC6B2E" w:rsidP="00693C38">
          <w:pPr>
            <w:jc w:val="center"/>
            <w:rPr>
              <w:b/>
              <w:szCs w:val="28"/>
              <w:lang w:val="fr-CA"/>
            </w:rPr>
          </w:pPr>
          <w:r w:rsidRPr="006615F4">
            <w:rPr>
              <w:b/>
              <w:szCs w:val="28"/>
              <w:lang w:val="fr-CA"/>
            </w:rPr>
            <w:t>Table des matières</w:t>
          </w:r>
        </w:p>
        <w:p w:rsidR="00693C38" w:rsidRPr="00693C38" w:rsidRDefault="00693C38" w:rsidP="00693C38">
          <w:pPr>
            <w:rPr>
              <w:lang w:val="fr-CA"/>
            </w:rPr>
          </w:pPr>
        </w:p>
        <w:p w:rsidR="00955827" w:rsidRDefault="00DC6B2E">
          <w:pPr>
            <w:pStyle w:val="TOC1"/>
            <w:tabs>
              <w:tab w:val="right" w:leader="dot" w:pos="9638"/>
            </w:tabs>
            <w:rPr>
              <w:rFonts w:asciiTheme="minorHAnsi" w:eastAsiaTheme="minorEastAsia" w:hAnsiTheme="minorHAnsi"/>
              <w:noProof/>
              <w:sz w:val="22"/>
              <w:lang w:val="en-US"/>
            </w:rPr>
          </w:pPr>
          <w:r>
            <w:rPr>
              <w:b/>
              <w:bCs/>
              <w:noProof/>
            </w:rPr>
            <w:fldChar w:fldCharType="begin"/>
          </w:r>
          <w:r>
            <w:rPr>
              <w:b/>
              <w:bCs/>
              <w:noProof/>
            </w:rPr>
            <w:instrText xml:space="preserve"> TOC \o "1-3" \h \z \u </w:instrText>
          </w:r>
          <w:r>
            <w:rPr>
              <w:b/>
              <w:bCs/>
              <w:noProof/>
            </w:rPr>
            <w:fldChar w:fldCharType="separate"/>
          </w:r>
          <w:bookmarkStart w:id="0" w:name="_GoBack"/>
          <w:r w:rsidR="00A24D5C">
            <w:rPr>
              <w:rStyle w:val="Hyperlink"/>
              <w:noProof/>
              <w:lang w:val="fr-CA"/>
            </w:rPr>
            <w:fldChar w:fldCharType="begin"/>
          </w:r>
          <w:r w:rsidR="00A24D5C">
            <w:rPr>
              <w:rStyle w:val="Hyperlink"/>
              <w:noProof/>
              <w:lang w:val="fr-CA"/>
            </w:rPr>
            <w:instrText xml:space="preserve"> HYPERLINK \l "_Toc532985685" </w:instrText>
          </w:r>
          <w:r w:rsidR="00A24D5C">
            <w:rPr>
              <w:rStyle w:val="Hyperlink"/>
              <w:noProof/>
              <w:lang w:val="fr-CA"/>
            </w:rPr>
          </w:r>
          <w:r w:rsidR="00A24D5C">
            <w:rPr>
              <w:rStyle w:val="Hyperlink"/>
              <w:noProof/>
              <w:lang w:val="fr-CA"/>
            </w:rPr>
            <w:fldChar w:fldCharType="separate"/>
          </w:r>
          <w:r w:rsidR="00955827" w:rsidRPr="00265CC6">
            <w:rPr>
              <w:rStyle w:val="Hyperlink"/>
              <w:noProof/>
              <w:lang w:val="fr-CA"/>
            </w:rPr>
            <w:t>Applications for leave to appeal filed /  Demandes d’autorisation d’appel déposées</w:t>
          </w:r>
          <w:r w:rsidR="00955827">
            <w:rPr>
              <w:noProof/>
              <w:webHidden/>
            </w:rPr>
            <w:tab/>
          </w:r>
          <w:r w:rsidR="00955827">
            <w:rPr>
              <w:noProof/>
              <w:webHidden/>
            </w:rPr>
            <w:fldChar w:fldCharType="begin"/>
          </w:r>
          <w:r w:rsidR="00955827">
            <w:rPr>
              <w:noProof/>
              <w:webHidden/>
            </w:rPr>
            <w:instrText xml:space="preserve"> PAGEREF _Toc532985685 \h </w:instrText>
          </w:r>
          <w:r w:rsidR="00955827">
            <w:rPr>
              <w:noProof/>
              <w:webHidden/>
            </w:rPr>
          </w:r>
          <w:r w:rsidR="00955827">
            <w:rPr>
              <w:noProof/>
              <w:webHidden/>
            </w:rPr>
            <w:fldChar w:fldCharType="separate"/>
          </w:r>
          <w:r w:rsidR="00A24D5C">
            <w:rPr>
              <w:noProof/>
              <w:webHidden/>
            </w:rPr>
            <w:t>1</w:t>
          </w:r>
          <w:r w:rsidR="00955827">
            <w:rPr>
              <w:noProof/>
              <w:webHidden/>
            </w:rPr>
            <w:fldChar w:fldCharType="end"/>
          </w:r>
          <w:r w:rsidR="00A24D5C">
            <w:rPr>
              <w:noProof/>
            </w:rPr>
            <w:fldChar w:fldCharType="end"/>
          </w:r>
        </w:p>
        <w:bookmarkEnd w:id="0"/>
        <w:p w:rsidR="00955827" w:rsidRDefault="00A24D5C">
          <w:pPr>
            <w:pStyle w:val="TOC1"/>
            <w:tabs>
              <w:tab w:val="right" w:leader="dot" w:pos="9638"/>
            </w:tabs>
            <w:rPr>
              <w:rFonts w:asciiTheme="minorHAnsi" w:eastAsiaTheme="minorEastAsia" w:hAnsiTheme="minorHAnsi"/>
              <w:noProof/>
              <w:sz w:val="22"/>
              <w:lang w:val="en-US"/>
            </w:rPr>
          </w:pPr>
          <w:r>
            <w:rPr>
              <w:rStyle w:val="Hyperlink"/>
              <w:noProof/>
            </w:rPr>
            <w:fldChar w:fldCharType="begin"/>
          </w:r>
          <w:r>
            <w:rPr>
              <w:rStyle w:val="Hyperlink"/>
              <w:noProof/>
            </w:rPr>
            <w:instrText xml:space="preserve"> HYPERLINK \l "_Toc532985686" </w:instrText>
          </w:r>
          <w:r>
            <w:rPr>
              <w:rStyle w:val="Hyperlink"/>
              <w:noProof/>
            </w:rPr>
          </w:r>
          <w:r>
            <w:rPr>
              <w:rStyle w:val="Hyperlink"/>
              <w:noProof/>
            </w:rPr>
            <w:fldChar w:fldCharType="separate"/>
          </w:r>
          <w:r w:rsidR="00955827" w:rsidRPr="00265CC6">
            <w:rPr>
              <w:rStyle w:val="Hyperlink"/>
              <w:noProof/>
            </w:rPr>
            <w:t xml:space="preserve">Applications for leave submitted to the Court since the last issue /  </w:t>
          </w:r>
          <w:r w:rsidR="00955827">
            <w:rPr>
              <w:rStyle w:val="Hyperlink"/>
              <w:noProof/>
            </w:rPr>
            <w:br/>
          </w:r>
          <w:r w:rsidR="00955827" w:rsidRPr="00265CC6">
            <w:rPr>
              <w:rStyle w:val="Hyperlink"/>
              <w:noProof/>
            </w:rPr>
            <w:t>Demandes soumises à la Cour depuis la dernière parution</w:t>
          </w:r>
          <w:r w:rsidR="00955827">
            <w:rPr>
              <w:noProof/>
              <w:webHidden/>
            </w:rPr>
            <w:tab/>
          </w:r>
          <w:r w:rsidR="00955827">
            <w:rPr>
              <w:noProof/>
              <w:webHidden/>
            </w:rPr>
            <w:fldChar w:fldCharType="begin"/>
          </w:r>
          <w:r w:rsidR="00955827">
            <w:rPr>
              <w:noProof/>
              <w:webHidden/>
            </w:rPr>
            <w:instrText xml:space="preserve"> PAGEREF _Toc532985686 \h </w:instrText>
          </w:r>
          <w:r w:rsidR="00955827">
            <w:rPr>
              <w:noProof/>
              <w:webHidden/>
            </w:rPr>
          </w:r>
          <w:r w:rsidR="00955827">
            <w:rPr>
              <w:noProof/>
              <w:webHidden/>
            </w:rPr>
            <w:fldChar w:fldCharType="separate"/>
          </w:r>
          <w:r>
            <w:rPr>
              <w:noProof/>
              <w:webHidden/>
            </w:rPr>
            <w:t>2</w:t>
          </w:r>
          <w:r w:rsidR="00955827">
            <w:rPr>
              <w:noProof/>
              <w:webHidden/>
            </w:rPr>
            <w:fldChar w:fldCharType="end"/>
          </w:r>
          <w:r>
            <w:rPr>
              <w:noProof/>
            </w:rPr>
            <w:fldChar w:fldCharType="end"/>
          </w:r>
        </w:p>
        <w:p w:rsidR="00955827" w:rsidRDefault="00A24D5C">
          <w:pPr>
            <w:pStyle w:val="TOC1"/>
            <w:tabs>
              <w:tab w:val="right" w:leader="dot" w:pos="9638"/>
            </w:tabs>
            <w:rPr>
              <w:rFonts w:asciiTheme="minorHAnsi" w:eastAsiaTheme="minorEastAsia" w:hAnsiTheme="minorHAnsi"/>
              <w:noProof/>
              <w:sz w:val="22"/>
              <w:lang w:val="en-US"/>
            </w:rPr>
          </w:pPr>
          <w:hyperlink w:anchor="_Toc532985689" w:history="1">
            <w:r w:rsidR="00955827" w:rsidRPr="00265CC6">
              <w:rPr>
                <w:rStyle w:val="Hyperlink"/>
                <w:noProof/>
                <w:lang w:val="fr-CA"/>
              </w:rPr>
              <w:t>Judgments on applications for leave /  Jugements rendus sur les demandes d’autorisation</w:t>
            </w:r>
            <w:r w:rsidR="00955827">
              <w:rPr>
                <w:noProof/>
                <w:webHidden/>
              </w:rPr>
              <w:tab/>
            </w:r>
            <w:r w:rsidR="00955827">
              <w:rPr>
                <w:noProof/>
                <w:webHidden/>
              </w:rPr>
              <w:fldChar w:fldCharType="begin"/>
            </w:r>
            <w:r w:rsidR="00955827">
              <w:rPr>
                <w:noProof/>
                <w:webHidden/>
              </w:rPr>
              <w:instrText xml:space="preserve"> PAGEREF _Toc532985689 \h </w:instrText>
            </w:r>
            <w:r w:rsidR="00955827">
              <w:rPr>
                <w:noProof/>
                <w:webHidden/>
              </w:rPr>
            </w:r>
            <w:r w:rsidR="00955827">
              <w:rPr>
                <w:noProof/>
                <w:webHidden/>
              </w:rPr>
              <w:fldChar w:fldCharType="separate"/>
            </w:r>
            <w:r>
              <w:rPr>
                <w:noProof/>
                <w:webHidden/>
              </w:rPr>
              <w:t>4</w:t>
            </w:r>
            <w:r w:rsidR="00955827">
              <w:rPr>
                <w:noProof/>
                <w:webHidden/>
              </w:rPr>
              <w:fldChar w:fldCharType="end"/>
            </w:r>
          </w:hyperlink>
        </w:p>
        <w:p w:rsidR="00955827" w:rsidRDefault="00A24D5C">
          <w:pPr>
            <w:pStyle w:val="TOC1"/>
            <w:tabs>
              <w:tab w:val="right" w:leader="dot" w:pos="9638"/>
            </w:tabs>
            <w:rPr>
              <w:rFonts w:asciiTheme="minorHAnsi" w:eastAsiaTheme="minorEastAsia" w:hAnsiTheme="minorHAnsi"/>
              <w:noProof/>
              <w:sz w:val="22"/>
              <w:lang w:val="en-US"/>
            </w:rPr>
          </w:pPr>
          <w:hyperlink w:anchor="_Toc532985691" w:history="1">
            <w:r w:rsidR="00955827" w:rsidRPr="00265CC6">
              <w:rPr>
                <w:rStyle w:val="Hyperlink"/>
                <w:noProof/>
              </w:rPr>
              <w:t>Motions /  R</w:t>
            </w:r>
            <w:r w:rsidR="00955827" w:rsidRPr="00265CC6">
              <w:rPr>
                <w:rStyle w:val="Hyperlink"/>
                <w:noProof/>
                <w:lang w:val="en-US"/>
              </w:rPr>
              <w:t>equêtes</w:t>
            </w:r>
            <w:r w:rsidR="00955827">
              <w:rPr>
                <w:noProof/>
                <w:webHidden/>
              </w:rPr>
              <w:tab/>
            </w:r>
            <w:r w:rsidR="00955827">
              <w:rPr>
                <w:noProof/>
                <w:webHidden/>
              </w:rPr>
              <w:fldChar w:fldCharType="begin"/>
            </w:r>
            <w:r w:rsidR="00955827">
              <w:rPr>
                <w:noProof/>
                <w:webHidden/>
              </w:rPr>
              <w:instrText xml:space="preserve"> PAGEREF _Toc532985691 \h </w:instrText>
            </w:r>
            <w:r w:rsidR="00955827">
              <w:rPr>
                <w:noProof/>
                <w:webHidden/>
              </w:rPr>
            </w:r>
            <w:r w:rsidR="00955827">
              <w:rPr>
                <w:noProof/>
                <w:webHidden/>
              </w:rPr>
              <w:fldChar w:fldCharType="separate"/>
            </w:r>
            <w:r>
              <w:rPr>
                <w:noProof/>
                <w:webHidden/>
              </w:rPr>
              <w:t>57</w:t>
            </w:r>
            <w:r w:rsidR="00955827">
              <w:rPr>
                <w:noProof/>
                <w:webHidden/>
              </w:rPr>
              <w:fldChar w:fldCharType="end"/>
            </w:r>
          </w:hyperlink>
        </w:p>
        <w:p w:rsidR="00955827" w:rsidRDefault="00A24D5C">
          <w:pPr>
            <w:pStyle w:val="TOC1"/>
            <w:tabs>
              <w:tab w:val="right" w:leader="dot" w:pos="9638"/>
            </w:tabs>
            <w:rPr>
              <w:rFonts w:asciiTheme="minorHAnsi" w:eastAsiaTheme="minorEastAsia" w:hAnsiTheme="minorHAnsi"/>
              <w:noProof/>
              <w:sz w:val="22"/>
              <w:lang w:val="en-US"/>
            </w:rPr>
          </w:pPr>
          <w:hyperlink w:anchor="_Toc532985692" w:history="1">
            <w:r w:rsidR="00955827" w:rsidRPr="00265CC6">
              <w:rPr>
                <w:rStyle w:val="Hyperlink"/>
                <w:noProof/>
              </w:rPr>
              <w:t xml:space="preserve">Taxation of costs /  </w:t>
            </w:r>
            <w:r w:rsidR="00955827" w:rsidRPr="00265CC6">
              <w:rPr>
                <w:rStyle w:val="Hyperlink"/>
                <w:noProof/>
                <w:lang w:val="en-US"/>
              </w:rPr>
              <w:t>Taxation des dépens</w:t>
            </w:r>
            <w:r w:rsidR="00955827">
              <w:rPr>
                <w:noProof/>
                <w:webHidden/>
              </w:rPr>
              <w:tab/>
            </w:r>
            <w:r w:rsidR="00955827">
              <w:rPr>
                <w:noProof/>
                <w:webHidden/>
              </w:rPr>
              <w:fldChar w:fldCharType="begin"/>
            </w:r>
            <w:r w:rsidR="00955827">
              <w:rPr>
                <w:noProof/>
                <w:webHidden/>
              </w:rPr>
              <w:instrText xml:space="preserve"> PAGEREF _Toc532985692 \h </w:instrText>
            </w:r>
            <w:r w:rsidR="00955827">
              <w:rPr>
                <w:noProof/>
                <w:webHidden/>
              </w:rPr>
            </w:r>
            <w:r w:rsidR="00955827">
              <w:rPr>
                <w:noProof/>
                <w:webHidden/>
              </w:rPr>
              <w:fldChar w:fldCharType="separate"/>
            </w:r>
            <w:r>
              <w:rPr>
                <w:noProof/>
                <w:webHidden/>
              </w:rPr>
              <w:t>59</w:t>
            </w:r>
            <w:r w:rsidR="00955827">
              <w:rPr>
                <w:noProof/>
                <w:webHidden/>
              </w:rPr>
              <w:fldChar w:fldCharType="end"/>
            </w:r>
          </w:hyperlink>
        </w:p>
        <w:p w:rsidR="00955827" w:rsidRDefault="00A24D5C">
          <w:pPr>
            <w:pStyle w:val="TOC1"/>
            <w:tabs>
              <w:tab w:val="right" w:leader="dot" w:pos="9638"/>
            </w:tabs>
            <w:rPr>
              <w:rFonts w:asciiTheme="minorHAnsi" w:eastAsiaTheme="minorEastAsia" w:hAnsiTheme="minorHAnsi"/>
              <w:noProof/>
              <w:sz w:val="22"/>
              <w:lang w:val="en-US"/>
            </w:rPr>
          </w:pPr>
          <w:hyperlink w:anchor="_Toc532985694" w:history="1">
            <w:r w:rsidR="00955827" w:rsidRPr="00265CC6">
              <w:rPr>
                <w:rStyle w:val="Hyperlink"/>
                <w:noProof/>
              </w:rPr>
              <w:t xml:space="preserve">Notices of appeal filed since the last issue /  </w:t>
            </w:r>
            <w:r w:rsidR="00955827" w:rsidRPr="00265CC6">
              <w:rPr>
                <w:rStyle w:val="Hyperlink"/>
                <w:noProof/>
                <w:lang w:val="fr-CA"/>
              </w:rPr>
              <w:t>Avis d’appel déposés depuis la dernière parution</w:t>
            </w:r>
            <w:r w:rsidR="00955827">
              <w:rPr>
                <w:noProof/>
                <w:webHidden/>
              </w:rPr>
              <w:tab/>
            </w:r>
            <w:r w:rsidR="00955827">
              <w:rPr>
                <w:noProof/>
                <w:webHidden/>
              </w:rPr>
              <w:fldChar w:fldCharType="begin"/>
            </w:r>
            <w:r w:rsidR="00955827">
              <w:rPr>
                <w:noProof/>
                <w:webHidden/>
              </w:rPr>
              <w:instrText xml:space="preserve"> PAGEREF _Toc532985694 \h </w:instrText>
            </w:r>
            <w:r w:rsidR="00955827">
              <w:rPr>
                <w:noProof/>
                <w:webHidden/>
              </w:rPr>
            </w:r>
            <w:r w:rsidR="00955827">
              <w:rPr>
                <w:noProof/>
                <w:webHidden/>
              </w:rPr>
              <w:fldChar w:fldCharType="separate"/>
            </w:r>
            <w:r>
              <w:rPr>
                <w:noProof/>
                <w:webHidden/>
              </w:rPr>
              <w:t>64</w:t>
            </w:r>
            <w:r w:rsidR="00955827">
              <w:rPr>
                <w:noProof/>
                <w:webHidden/>
              </w:rPr>
              <w:fldChar w:fldCharType="end"/>
            </w:r>
          </w:hyperlink>
        </w:p>
        <w:p w:rsidR="00955827" w:rsidRDefault="00A24D5C">
          <w:pPr>
            <w:pStyle w:val="TOC1"/>
            <w:tabs>
              <w:tab w:val="right" w:leader="dot" w:pos="9638"/>
            </w:tabs>
            <w:rPr>
              <w:rFonts w:asciiTheme="minorHAnsi" w:eastAsiaTheme="minorEastAsia" w:hAnsiTheme="minorHAnsi"/>
              <w:noProof/>
              <w:sz w:val="22"/>
              <w:lang w:val="en-US"/>
            </w:rPr>
          </w:pPr>
          <w:hyperlink w:anchor="_Toc532985699" w:history="1">
            <w:r w:rsidR="00955827" w:rsidRPr="00265CC6">
              <w:rPr>
                <w:rStyle w:val="Hyperlink"/>
                <w:noProof/>
                <w:lang w:val="fr-CA"/>
              </w:rPr>
              <w:t>Pronouncements of reserved appeals /  Jugements rendus sur les appels en délibéré</w:t>
            </w:r>
            <w:r w:rsidR="00955827">
              <w:rPr>
                <w:noProof/>
                <w:webHidden/>
              </w:rPr>
              <w:tab/>
            </w:r>
            <w:r w:rsidR="00955827">
              <w:rPr>
                <w:noProof/>
                <w:webHidden/>
              </w:rPr>
              <w:fldChar w:fldCharType="begin"/>
            </w:r>
            <w:r w:rsidR="00955827">
              <w:rPr>
                <w:noProof/>
                <w:webHidden/>
              </w:rPr>
              <w:instrText xml:space="preserve"> PAGEREF _Toc532985699 \h </w:instrText>
            </w:r>
            <w:r w:rsidR="00955827">
              <w:rPr>
                <w:noProof/>
                <w:webHidden/>
              </w:rPr>
            </w:r>
            <w:r w:rsidR="00955827">
              <w:rPr>
                <w:noProof/>
                <w:webHidden/>
              </w:rPr>
              <w:fldChar w:fldCharType="separate"/>
            </w:r>
            <w:r>
              <w:rPr>
                <w:noProof/>
                <w:webHidden/>
              </w:rPr>
              <w:t>65</w:t>
            </w:r>
            <w:r w:rsidR="00955827">
              <w:rPr>
                <w:noProof/>
                <w:webHidden/>
              </w:rPr>
              <w:fldChar w:fldCharType="end"/>
            </w:r>
          </w:hyperlink>
        </w:p>
        <w:p w:rsidR="00955827" w:rsidRDefault="00A24D5C">
          <w:pPr>
            <w:pStyle w:val="TOC1"/>
            <w:tabs>
              <w:tab w:val="right" w:leader="dot" w:pos="9638"/>
            </w:tabs>
            <w:rPr>
              <w:rFonts w:asciiTheme="minorHAnsi" w:eastAsiaTheme="minorEastAsia" w:hAnsiTheme="minorHAnsi"/>
              <w:noProof/>
              <w:sz w:val="22"/>
              <w:lang w:val="en-US"/>
            </w:rPr>
          </w:pPr>
          <w:hyperlink w:anchor="_Toc532985701" w:history="1">
            <w:r w:rsidR="00955827" w:rsidRPr="00265CC6">
              <w:rPr>
                <w:rStyle w:val="Hyperlink"/>
                <w:noProof/>
                <w:lang w:val="fr-CA"/>
              </w:rPr>
              <w:t>Agenda and case summaries for October 2018 /  Calendrier et sommaires des causes d’octobre 2018</w:t>
            </w:r>
            <w:r w:rsidR="00955827">
              <w:rPr>
                <w:noProof/>
                <w:webHidden/>
              </w:rPr>
              <w:tab/>
            </w:r>
            <w:r w:rsidR="00955827">
              <w:rPr>
                <w:noProof/>
                <w:webHidden/>
              </w:rPr>
              <w:fldChar w:fldCharType="begin"/>
            </w:r>
            <w:r w:rsidR="00955827">
              <w:rPr>
                <w:noProof/>
                <w:webHidden/>
              </w:rPr>
              <w:instrText xml:space="preserve"> PAGEREF _Toc532985701 \h </w:instrText>
            </w:r>
            <w:r w:rsidR="00955827">
              <w:rPr>
                <w:noProof/>
                <w:webHidden/>
              </w:rPr>
            </w:r>
            <w:r w:rsidR="00955827">
              <w:rPr>
                <w:noProof/>
                <w:webHidden/>
              </w:rPr>
              <w:fldChar w:fldCharType="separate"/>
            </w:r>
            <w:r>
              <w:rPr>
                <w:noProof/>
                <w:webHidden/>
              </w:rPr>
              <w:t>66</w:t>
            </w:r>
            <w:r w:rsidR="00955827">
              <w:rPr>
                <w:noProof/>
                <w:webHidden/>
              </w:rPr>
              <w:fldChar w:fldCharType="end"/>
            </w:r>
          </w:hyperlink>
        </w:p>
        <w:p w:rsidR="009E2C1C" w:rsidRDefault="00DC6B2E" w:rsidP="009E2C1C">
          <w:r>
            <w:rPr>
              <w:b/>
              <w:bCs/>
              <w:noProof/>
              <w:sz w:val="20"/>
            </w:rPr>
            <w:fldChar w:fldCharType="end"/>
          </w:r>
        </w:p>
        <w:p w:rsidR="00560DF1" w:rsidRDefault="00A24D5C" w:rsidP="009E2C1C"/>
      </w:sdtContent>
    </w:sdt>
    <w:tbl>
      <w:tblPr>
        <w:tblStyle w:val="TableGrid"/>
        <w:tblW w:w="0" w:type="auto"/>
        <w:tblLook w:val="04A0" w:firstRow="1" w:lastRow="0" w:firstColumn="1" w:lastColumn="0" w:noHBand="0" w:noVBand="1"/>
      </w:tblPr>
      <w:tblGrid>
        <w:gridCol w:w="9576"/>
      </w:tblGrid>
      <w:tr w:rsidR="0079724F" w:rsidRPr="00CC0B55"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4E44A7">
            <w:pPr>
              <w:keepNext/>
              <w:tabs>
                <w:tab w:val="right" w:pos="9360"/>
              </w:tabs>
              <w:jc w:val="both"/>
              <w:rPr>
                <w:sz w:val="20"/>
                <w:szCs w:val="20"/>
                <w:lang w:val="fr-CA"/>
              </w:rPr>
            </w:pPr>
            <w:r w:rsidRPr="00245129">
              <w:rPr>
                <w:szCs w:val="24"/>
                <w:lang w:val="fr-CA"/>
              </w:rPr>
              <w:t>Les résumés de</w:t>
            </w:r>
            <w:r w:rsidR="004E44A7">
              <w:rPr>
                <w:szCs w:val="24"/>
                <w:lang w:val="fr-CA"/>
              </w:rPr>
              <w:t>s</w:t>
            </w:r>
            <w:r w:rsidRPr="00245129">
              <w:rPr>
                <w:szCs w:val="24"/>
                <w:lang w:val="fr-CA"/>
              </w:rPr>
              <w:t xml:space="preserve"> </w:t>
            </w:r>
            <w:r w:rsidR="004E44A7">
              <w:rPr>
                <w:szCs w:val="24"/>
                <w:lang w:val="fr-CA"/>
              </w:rPr>
              <w:t>causes</w:t>
            </w:r>
            <w:r w:rsidRPr="00245129">
              <w:rPr>
                <w:szCs w:val="24"/>
                <w:lang w:val="fr-CA"/>
              </w:rPr>
              <w:t xml:space="preserve"> publiés dans le bulletin sont préparés par le Bureau du registraire (Direction générale du droit) uniquement à titre d’information.</w:t>
            </w:r>
          </w:p>
        </w:tc>
      </w:tr>
    </w:tbl>
    <w:p w:rsidR="0095096B" w:rsidRDefault="0095096B" w:rsidP="0095096B">
      <w:pPr>
        <w:tabs>
          <w:tab w:val="right" w:pos="9360"/>
        </w:tabs>
        <w:rPr>
          <w:lang w:val="fr-CA"/>
        </w:rPr>
      </w:pPr>
    </w:p>
    <w:p w:rsidR="00C01FCB" w:rsidRPr="00675479" w:rsidRDefault="00C01FC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pgSz w:w="12240" w:h="15840"/>
          <w:pgMar w:top="720" w:right="1152" w:bottom="1080" w:left="1440" w:header="706" w:footer="706" w:gutter="0"/>
          <w:cols w:space="708"/>
          <w:titlePg/>
          <w:docGrid w:linePitch="360"/>
        </w:sectPr>
      </w:pPr>
    </w:p>
    <w:p w:rsidR="00560DF1" w:rsidRPr="00DD0BDC" w:rsidRDefault="00DD0BDC" w:rsidP="00567602">
      <w:pPr>
        <w:pStyle w:val="Header1StyleE"/>
        <w:pBdr>
          <w:bottom w:val="single" w:sz="12" w:space="1" w:color="auto"/>
        </w:pBdr>
        <w:rPr>
          <w:lang w:val="fr-CA"/>
        </w:rPr>
      </w:pPr>
      <w:bookmarkStart w:id="1" w:name="_Toc532985685"/>
      <w:r w:rsidRPr="00DD0BDC">
        <w:rPr>
          <w:lang w:val="fr-CA"/>
        </w:rPr>
        <w:lastRenderedPageBreak/>
        <w:t>Applications for leave to appeal filed</w:t>
      </w:r>
      <w:r w:rsidR="00271E1E">
        <w:rPr>
          <w:lang w:val="fr-CA"/>
        </w:rPr>
        <w:t xml:space="preserve"> / </w:t>
      </w:r>
      <w:r w:rsidR="00727571" w:rsidRPr="00DD0BDC">
        <w:rPr>
          <w:lang w:val="fr-CA"/>
        </w:rPr>
        <w:br/>
      </w:r>
      <w:r>
        <w:rPr>
          <w:lang w:val="fr-CA"/>
        </w:rPr>
        <w:t>D</w:t>
      </w:r>
      <w:r w:rsidRPr="00DD0BDC">
        <w:rPr>
          <w:lang w:val="fr-CA"/>
        </w:rPr>
        <w:t>emandes d’autorisation d’appel déposées</w:t>
      </w:r>
      <w:bookmarkEnd w:id="1"/>
    </w:p>
    <w:p w:rsidR="00B124FF" w:rsidRPr="00DD0BDC" w:rsidRDefault="00B124FF" w:rsidP="00B124FF">
      <w:pPr>
        <w:tabs>
          <w:tab w:val="right" w:pos="9360"/>
        </w:tabs>
        <w:rPr>
          <w:sz w:val="20"/>
          <w:szCs w:val="20"/>
          <w:lang w:val="fr-CA"/>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B124FF" w:rsidRPr="00C21644" w:rsidTr="005F32B8">
        <w:tc>
          <w:tcPr>
            <w:tcW w:w="4320" w:type="dxa"/>
            <w:shd w:val="clear" w:color="auto" w:fill="auto"/>
          </w:tcPr>
          <w:p w:rsidR="00B124FF" w:rsidRDefault="00B124FF" w:rsidP="005F32B8">
            <w:pPr>
              <w:tabs>
                <w:tab w:val="left" w:pos="-1440"/>
                <w:tab w:val="left" w:pos="-720"/>
              </w:tabs>
              <w:rPr>
                <w:b/>
                <w:sz w:val="20"/>
                <w:szCs w:val="20"/>
                <w:lang w:val="en-US"/>
              </w:rPr>
            </w:pPr>
            <w:r>
              <w:rPr>
                <w:b/>
                <w:sz w:val="20"/>
                <w:szCs w:val="20"/>
                <w:lang w:val="en-US"/>
              </w:rPr>
              <w:t>City of Hamilton</w:t>
            </w:r>
            <w:r w:rsidRPr="00103411">
              <w:rPr>
                <w:b/>
                <w:sz w:val="20"/>
                <w:szCs w:val="20"/>
                <w:lang w:val="en-US"/>
              </w:rPr>
              <w:t xml:space="preserve"> et al.</w:t>
            </w:r>
          </w:p>
          <w:p w:rsidR="00B124FF" w:rsidRPr="006615F4" w:rsidRDefault="00B124FF" w:rsidP="005F32B8">
            <w:pPr>
              <w:tabs>
                <w:tab w:val="left" w:pos="-1440"/>
                <w:tab w:val="left" w:pos="-720"/>
              </w:tabs>
              <w:rPr>
                <w:sz w:val="20"/>
                <w:szCs w:val="20"/>
                <w:lang w:val="en-US"/>
              </w:rPr>
            </w:pPr>
            <w:r w:rsidRPr="006615F4">
              <w:rPr>
                <w:sz w:val="20"/>
                <w:szCs w:val="20"/>
                <w:lang w:val="en-US"/>
              </w:rPr>
              <w:tab/>
            </w:r>
            <w:r w:rsidRPr="00103411">
              <w:rPr>
                <w:sz w:val="20"/>
                <w:szCs w:val="20"/>
                <w:lang w:val="en-US"/>
              </w:rPr>
              <w:t>Shillington, Tyler</w:t>
            </w:r>
          </w:p>
          <w:p w:rsidR="00B124FF" w:rsidRPr="00835FC8" w:rsidRDefault="00B124FF" w:rsidP="005F32B8">
            <w:pPr>
              <w:tabs>
                <w:tab w:val="left" w:pos="-1440"/>
                <w:tab w:val="left" w:pos="-720"/>
              </w:tabs>
              <w:rPr>
                <w:sz w:val="20"/>
                <w:szCs w:val="20"/>
                <w:lang w:val="en-US"/>
              </w:rPr>
            </w:pPr>
            <w:r w:rsidRPr="006615F4">
              <w:rPr>
                <w:sz w:val="20"/>
                <w:szCs w:val="20"/>
                <w:lang w:val="en-US"/>
              </w:rPr>
              <w:tab/>
            </w:r>
            <w:r w:rsidRPr="00835FC8">
              <w:rPr>
                <w:sz w:val="20"/>
                <w:szCs w:val="20"/>
                <w:lang w:val="en-US"/>
              </w:rPr>
              <w:t>Shillingtons LLP</w:t>
            </w:r>
          </w:p>
          <w:p w:rsidR="00B124FF" w:rsidRPr="00835FC8" w:rsidRDefault="00B124FF" w:rsidP="005F32B8">
            <w:pPr>
              <w:tabs>
                <w:tab w:val="left" w:pos="-1440"/>
                <w:tab w:val="left" w:pos="-720"/>
              </w:tabs>
              <w:rPr>
                <w:sz w:val="20"/>
                <w:szCs w:val="20"/>
                <w:lang w:val="en-US"/>
              </w:rPr>
            </w:pPr>
          </w:p>
          <w:p w:rsidR="00B124FF" w:rsidRPr="00835FC8" w:rsidRDefault="00B124FF" w:rsidP="005F32B8">
            <w:pPr>
              <w:tabs>
                <w:tab w:val="left" w:pos="-1440"/>
                <w:tab w:val="left" w:pos="-720"/>
              </w:tabs>
              <w:rPr>
                <w:sz w:val="20"/>
                <w:szCs w:val="20"/>
                <w:lang w:val="en-US"/>
              </w:rPr>
            </w:pPr>
            <w:r w:rsidRPr="00835FC8">
              <w:rPr>
                <w:sz w:val="20"/>
                <w:szCs w:val="20"/>
                <w:lang w:val="en-US"/>
              </w:rPr>
              <w:tab/>
              <w:t>v. (38412)</w:t>
            </w:r>
          </w:p>
          <w:p w:rsidR="00B124FF" w:rsidRPr="00835FC8" w:rsidRDefault="00B124FF" w:rsidP="005F32B8">
            <w:pPr>
              <w:tabs>
                <w:tab w:val="left" w:pos="-1440"/>
                <w:tab w:val="left" w:pos="-720"/>
              </w:tabs>
              <w:rPr>
                <w:sz w:val="20"/>
                <w:szCs w:val="20"/>
                <w:lang w:val="en-US"/>
              </w:rPr>
            </w:pPr>
          </w:p>
          <w:p w:rsidR="00B124FF" w:rsidRPr="006615F4" w:rsidRDefault="00B124FF" w:rsidP="005F32B8">
            <w:pPr>
              <w:tabs>
                <w:tab w:val="left" w:pos="-1440"/>
                <w:tab w:val="left" w:pos="-720"/>
              </w:tabs>
              <w:rPr>
                <w:b/>
                <w:sz w:val="20"/>
                <w:szCs w:val="20"/>
                <w:lang w:val="en-US"/>
              </w:rPr>
            </w:pPr>
            <w:r w:rsidRPr="00835FC8">
              <w:rPr>
                <w:b/>
                <w:sz w:val="20"/>
                <w:szCs w:val="20"/>
                <w:lang w:val="en-US"/>
              </w:rPr>
              <w:t xml:space="preserve">Madeline Smith et al. </w:t>
            </w:r>
            <w:r w:rsidRPr="006615F4">
              <w:rPr>
                <w:b/>
                <w:sz w:val="20"/>
                <w:szCs w:val="20"/>
                <w:lang w:val="en-US"/>
              </w:rPr>
              <w:t>(Ont.)</w:t>
            </w:r>
          </w:p>
          <w:p w:rsidR="00B124FF" w:rsidRPr="00A935AA" w:rsidRDefault="00B124FF" w:rsidP="005F32B8">
            <w:pPr>
              <w:tabs>
                <w:tab w:val="left" w:pos="-1440"/>
                <w:tab w:val="left" w:pos="-720"/>
              </w:tabs>
              <w:rPr>
                <w:sz w:val="20"/>
                <w:szCs w:val="20"/>
              </w:rPr>
            </w:pPr>
            <w:r w:rsidRPr="006615F4">
              <w:rPr>
                <w:sz w:val="20"/>
                <w:szCs w:val="20"/>
                <w:lang w:val="en-US"/>
              </w:rPr>
              <w:tab/>
            </w:r>
            <w:r w:rsidRPr="00835FC8">
              <w:rPr>
                <w:sz w:val="20"/>
                <w:szCs w:val="20"/>
                <w:lang w:val="en-US"/>
              </w:rPr>
              <w:t>Hooper, Robert J.</w:t>
            </w:r>
          </w:p>
          <w:p w:rsidR="00B124FF" w:rsidRPr="00A935AA" w:rsidRDefault="00B124FF" w:rsidP="005F32B8">
            <w:pPr>
              <w:tabs>
                <w:tab w:val="left" w:pos="-1440"/>
                <w:tab w:val="left" w:pos="-720"/>
              </w:tabs>
              <w:rPr>
                <w:sz w:val="20"/>
                <w:szCs w:val="20"/>
              </w:rPr>
            </w:pPr>
            <w:r w:rsidRPr="00A935AA">
              <w:rPr>
                <w:sz w:val="20"/>
                <w:szCs w:val="20"/>
              </w:rPr>
              <w:tab/>
            </w:r>
            <w:r w:rsidRPr="00835FC8">
              <w:rPr>
                <w:sz w:val="20"/>
                <w:szCs w:val="20"/>
              </w:rPr>
              <w:t>Grosso Hooper Law</w:t>
            </w:r>
          </w:p>
          <w:p w:rsidR="00B124FF" w:rsidRPr="00A935AA" w:rsidRDefault="00B124FF" w:rsidP="005F32B8">
            <w:pPr>
              <w:tabs>
                <w:tab w:val="left" w:pos="-1440"/>
                <w:tab w:val="left" w:pos="-720"/>
              </w:tabs>
              <w:rPr>
                <w:sz w:val="20"/>
                <w:szCs w:val="20"/>
              </w:rPr>
            </w:pPr>
          </w:p>
          <w:p w:rsidR="00B124FF" w:rsidRPr="00A935AA" w:rsidRDefault="00B124FF" w:rsidP="005F32B8">
            <w:pPr>
              <w:rPr>
                <w:sz w:val="20"/>
                <w:szCs w:val="20"/>
              </w:rPr>
            </w:pPr>
            <w:r w:rsidRPr="00A935AA">
              <w:rPr>
                <w:sz w:val="20"/>
                <w:szCs w:val="20"/>
              </w:rPr>
              <w:t xml:space="preserve">FILING DATE: </w:t>
            </w:r>
            <w:r>
              <w:rPr>
                <w:sz w:val="20"/>
                <w:szCs w:val="20"/>
              </w:rPr>
              <w:t>November 16, 2018</w:t>
            </w:r>
          </w:p>
          <w:p w:rsidR="00B124FF" w:rsidRPr="00A935AA" w:rsidRDefault="00A24D5C" w:rsidP="005F32B8">
            <w:pPr>
              <w:rPr>
                <w:sz w:val="20"/>
                <w:szCs w:val="20"/>
              </w:rPr>
            </w:pPr>
            <w:r>
              <w:rPr>
                <w:sz w:val="20"/>
                <w:szCs w:val="20"/>
                <w:lang w:val="fr-CA"/>
              </w:rPr>
              <w:pict>
                <v:rect id="_x0000_i1025" style="width:108pt;height:1pt" o:hrpct="0" o:hralign="center" o:hrstd="t" o:hrnoshade="t" o:hr="t" fillcolor="black [3213]" stroked="f"/>
              </w:pict>
            </w:r>
          </w:p>
        </w:tc>
        <w:tc>
          <w:tcPr>
            <w:tcW w:w="1181" w:type="dxa"/>
            <w:shd w:val="clear" w:color="auto" w:fill="auto"/>
          </w:tcPr>
          <w:p w:rsidR="00B124FF" w:rsidRPr="00A935AA" w:rsidRDefault="00B124FF" w:rsidP="005F32B8">
            <w:pPr>
              <w:jc w:val="center"/>
              <w:rPr>
                <w:sz w:val="20"/>
                <w:szCs w:val="20"/>
              </w:rPr>
            </w:pPr>
          </w:p>
          <w:p w:rsidR="00B124FF" w:rsidRPr="00A935AA" w:rsidRDefault="00B124FF" w:rsidP="005F32B8">
            <w:pPr>
              <w:jc w:val="center"/>
              <w:rPr>
                <w:sz w:val="20"/>
                <w:szCs w:val="20"/>
              </w:rPr>
            </w:pPr>
          </w:p>
          <w:p w:rsidR="00B124FF" w:rsidRPr="00A935AA" w:rsidRDefault="00B124FF" w:rsidP="005F32B8">
            <w:pPr>
              <w:jc w:val="center"/>
              <w:rPr>
                <w:sz w:val="20"/>
                <w:szCs w:val="20"/>
              </w:rPr>
            </w:pPr>
          </w:p>
          <w:p w:rsidR="00B124FF" w:rsidRPr="00A935AA" w:rsidRDefault="00B124FF" w:rsidP="005F32B8">
            <w:pPr>
              <w:jc w:val="center"/>
              <w:rPr>
                <w:sz w:val="20"/>
                <w:szCs w:val="20"/>
              </w:rPr>
            </w:pPr>
          </w:p>
          <w:p w:rsidR="00B124FF" w:rsidRPr="00A935AA" w:rsidRDefault="00B124FF" w:rsidP="005F32B8">
            <w:pPr>
              <w:jc w:val="center"/>
              <w:rPr>
                <w:sz w:val="20"/>
                <w:szCs w:val="20"/>
              </w:rPr>
            </w:pPr>
          </w:p>
          <w:p w:rsidR="00B124FF" w:rsidRPr="00A935AA" w:rsidRDefault="00B124FF" w:rsidP="005F32B8">
            <w:pPr>
              <w:jc w:val="center"/>
              <w:rPr>
                <w:sz w:val="20"/>
                <w:szCs w:val="20"/>
              </w:rPr>
            </w:pPr>
          </w:p>
          <w:p w:rsidR="00B124FF" w:rsidRPr="00A935AA" w:rsidRDefault="00B124FF" w:rsidP="005F32B8">
            <w:pPr>
              <w:jc w:val="center"/>
              <w:rPr>
                <w:sz w:val="20"/>
                <w:szCs w:val="20"/>
              </w:rPr>
            </w:pPr>
          </w:p>
          <w:p w:rsidR="00B124FF" w:rsidRPr="00A935AA" w:rsidRDefault="00B124FF" w:rsidP="005F32B8">
            <w:pPr>
              <w:jc w:val="center"/>
              <w:rPr>
                <w:sz w:val="20"/>
                <w:szCs w:val="20"/>
              </w:rPr>
            </w:pPr>
          </w:p>
          <w:p w:rsidR="00B124FF" w:rsidRPr="00A935AA" w:rsidRDefault="00B124FF" w:rsidP="005F32B8">
            <w:pPr>
              <w:jc w:val="center"/>
              <w:rPr>
                <w:sz w:val="20"/>
                <w:szCs w:val="20"/>
              </w:rPr>
            </w:pPr>
          </w:p>
          <w:p w:rsidR="00B124FF" w:rsidRPr="00A935AA" w:rsidRDefault="00B124FF" w:rsidP="005F32B8">
            <w:pPr>
              <w:jc w:val="center"/>
              <w:rPr>
                <w:sz w:val="20"/>
                <w:szCs w:val="20"/>
              </w:rPr>
            </w:pPr>
          </w:p>
          <w:p w:rsidR="00B124FF" w:rsidRPr="00A935AA" w:rsidRDefault="00B124FF" w:rsidP="005F32B8">
            <w:pPr>
              <w:jc w:val="center"/>
              <w:rPr>
                <w:sz w:val="20"/>
                <w:szCs w:val="20"/>
              </w:rPr>
            </w:pPr>
          </w:p>
          <w:p w:rsidR="00B124FF" w:rsidRPr="00A935AA" w:rsidRDefault="00B124FF" w:rsidP="005F32B8">
            <w:pPr>
              <w:jc w:val="center"/>
              <w:rPr>
                <w:sz w:val="20"/>
                <w:szCs w:val="20"/>
              </w:rPr>
            </w:pPr>
          </w:p>
          <w:p w:rsidR="00B124FF" w:rsidRPr="00A935AA" w:rsidRDefault="00B124FF" w:rsidP="005F32B8">
            <w:pPr>
              <w:jc w:val="center"/>
              <w:rPr>
                <w:sz w:val="20"/>
                <w:szCs w:val="20"/>
              </w:rPr>
            </w:pPr>
          </w:p>
        </w:tc>
        <w:tc>
          <w:tcPr>
            <w:tcW w:w="4320" w:type="dxa"/>
            <w:shd w:val="clear" w:color="auto" w:fill="auto"/>
          </w:tcPr>
          <w:p w:rsidR="00B124FF" w:rsidRPr="006615F4" w:rsidRDefault="00B124FF" w:rsidP="005F32B8">
            <w:pPr>
              <w:tabs>
                <w:tab w:val="left" w:pos="-1440"/>
                <w:tab w:val="left" w:pos="-720"/>
              </w:tabs>
              <w:rPr>
                <w:sz w:val="20"/>
                <w:szCs w:val="20"/>
                <w:lang w:val="en-US"/>
              </w:rPr>
            </w:pPr>
            <w:r w:rsidRPr="00835FC8">
              <w:rPr>
                <w:b/>
                <w:sz w:val="20"/>
                <w:szCs w:val="20"/>
                <w:lang w:val="en-US"/>
              </w:rPr>
              <w:t>Attorney General of British Columbia</w:t>
            </w:r>
            <w:r w:rsidRPr="006615F4">
              <w:rPr>
                <w:sz w:val="20"/>
                <w:szCs w:val="20"/>
                <w:lang w:val="en-US"/>
              </w:rPr>
              <w:tab/>
            </w:r>
            <w:r w:rsidRPr="00835FC8">
              <w:rPr>
                <w:sz w:val="20"/>
                <w:szCs w:val="20"/>
                <w:lang w:val="en-US"/>
              </w:rPr>
              <w:t>Gudmundseth, Q.C., Stein K.</w:t>
            </w:r>
          </w:p>
          <w:p w:rsidR="00B124FF" w:rsidRPr="00835FC8" w:rsidRDefault="00B124FF" w:rsidP="005F32B8">
            <w:pPr>
              <w:tabs>
                <w:tab w:val="left" w:pos="-1440"/>
                <w:tab w:val="left" w:pos="-720"/>
              </w:tabs>
              <w:rPr>
                <w:sz w:val="20"/>
                <w:szCs w:val="20"/>
                <w:lang w:val="en-US"/>
              </w:rPr>
            </w:pPr>
            <w:r w:rsidRPr="006615F4">
              <w:rPr>
                <w:sz w:val="20"/>
                <w:szCs w:val="20"/>
                <w:lang w:val="en-US"/>
              </w:rPr>
              <w:tab/>
            </w:r>
            <w:r w:rsidRPr="00835FC8">
              <w:rPr>
                <w:sz w:val="20"/>
                <w:szCs w:val="20"/>
                <w:lang w:val="en-US"/>
              </w:rPr>
              <w:t>Gudmundseth Mickelson LLP</w:t>
            </w:r>
          </w:p>
          <w:p w:rsidR="00B124FF" w:rsidRPr="00835FC8" w:rsidRDefault="00B124FF" w:rsidP="005F32B8">
            <w:pPr>
              <w:tabs>
                <w:tab w:val="left" w:pos="-1440"/>
                <w:tab w:val="left" w:pos="-720"/>
              </w:tabs>
              <w:rPr>
                <w:sz w:val="20"/>
                <w:szCs w:val="20"/>
                <w:lang w:val="en-US"/>
              </w:rPr>
            </w:pPr>
          </w:p>
          <w:p w:rsidR="00B124FF" w:rsidRPr="00835FC8" w:rsidRDefault="00B124FF" w:rsidP="005F32B8">
            <w:pPr>
              <w:tabs>
                <w:tab w:val="left" w:pos="-1440"/>
                <w:tab w:val="left" w:pos="-720"/>
              </w:tabs>
              <w:rPr>
                <w:sz w:val="20"/>
                <w:szCs w:val="20"/>
                <w:lang w:val="en-US"/>
              </w:rPr>
            </w:pPr>
            <w:r w:rsidRPr="00835FC8">
              <w:rPr>
                <w:sz w:val="20"/>
                <w:szCs w:val="20"/>
                <w:lang w:val="en-US"/>
              </w:rPr>
              <w:tab/>
              <w:t>v. (38</w:t>
            </w:r>
            <w:r>
              <w:rPr>
                <w:sz w:val="20"/>
                <w:szCs w:val="20"/>
                <w:lang w:val="en-US"/>
              </w:rPr>
              <w:t>381</w:t>
            </w:r>
            <w:r w:rsidRPr="00835FC8">
              <w:rPr>
                <w:sz w:val="20"/>
                <w:szCs w:val="20"/>
                <w:lang w:val="en-US"/>
              </w:rPr>
              <w:t>)</w:t>
            </w:r>
          </w:p>
          <w:p w:rsidR="00B124FF" w:rsidRPr="00835FC8" w:rsidRDefault="00B124FF" w:rsidP="005F32B8">
            <w:pPr>
              <w:tabs>
                <w:tab w:val="left" w:pos="-1440"/>
                <w:tab w:val="left" w:pos="-720"/>
              </w:tabs>
              <w:rPr>
                <w:sz w:val="20"/>
                <w:szCs w:val="20"/>
                <w:lang w:val="en-US"/>
              </w:rPr>
            </w:pPr>
          </w:p>
          <w:p w:rsidR="00B124FF" w:rsidRPr="006615F4" w:rsidRDefault="00B124FF" w:rsidP="005F32B8">
            <w:pPr>
              <w:tabs>
                <w:tab w:val="left" w:pos="-1440"/>
                <w:tab w:val="left" w:pos="-720"/>
              </w:tabs>
              <w:rPr>
                <w:b/>
                <w:sz w:val="20"/>
                <w:szCs w:val="20"/>
                <w:lang w:val="en-US"/>
              </w:rPr>
            </w:pPr>
            <w:r w:rsidRPr="00835FC8">
              <w:rPr>
                <w:b/>
                <w:sz w:val="20"/>
                <w:szCs w:val="20"/>
                <w:lang w:val="en-US"/>
              </w:rPr>
              <w:t xml:space="preserve">Provincial Court Judges' Association of British Columbia </w:t>
            </w:r>
            <w:r w:rsidRPr="006615F4">
              <w:rPr>
                <w:b/>
                <w:sz w:val="20"/>
                <w:szCs w:val="20"/>
                <w:lang w:val="en-US"/>
              </w:rPr>
              <w:t>(</w:t>
            </w:r>
            <w:r>
              <w:rPr>
                <w:b/>
                <w:sz w:val="20"/>
                <w:szCs w:val="20"/>
                <w:lang w:val="en-US"/>
              </w:rPr>
              <w:t>B</w:t>
            </w:r>
            <w:r w:rsidRPr="006615F4">
              <w:rPr>
                <w:b/>
                <w:sz w:val="20"/>
                <w:szCs w:val="20"/>
                <w:lang w:val="en-US"/>
              </w:rPr>
              <w:t>.</w:t>
            </w:r>
            <w:r>
              <w:rPr>
                <w:b/>
                <w:sz w:val="20"/>
                <w:szCs w:val="20"/>
                <w:lang w:val="en-US"/>
              </w:rPr>
              <w:t>C.</w:t>
            </w:r>
            <w:r w:rsidRPr="006615F4">
              <w:rPr>
                <w:b/>
                <w:sz w:val="20"/>
                <w:szCs w:val="20"/>
                <w:lang w:val="en-US"/>
              </w:rPr>
              <w:t>)</w:t>
            </w:r>
          </w:p>
          <w:p w:rsidR="00B124FF" w:rsidRPr="00A935AA" w:rsidRDefault="00B124FF" w:rsidP="005F32B8">
            <w:pPr>
              <w:tabs>
                <w:tab w:val="left" w:pos="-1440"/>
                <w:tab w:val="left" w:pos="-720"/>
              </w:tabs>
              <w:rPr>
                <w:sz w:val="20"/>
                <w:szCs w:val="20"/>
              </w:rPr>
            </w:pPr>
            <w:r w:rsidRPr="006615F4">
              <w:rPr>
                <w:sz w:val="20"/>
                <w:szCs w:val="20"/>
                <w:lang w:val="en-US"/>
              </w:rPr>
              <w:tab/>
            </w:r>
            <w:r w:rsidRPr="00835FC8">
              <w:rPr>
                <w:sz w:val="20"/>
                <w:szCs w:val="20"/>
                <w:lang w:val="en-US"/>
              </w:rPr>
              <w:t>Arvay Q.C., Joseph J.</w:t>
            </w:r>
          </w:p>
          <w:p w:rsidR="00B124FF" w:rsidRPr="00A935AA" w:rsidRDefault="00B124FF" w:rsidP="005F32B8">
            <w:pPr>
              <w:tabs>
                <w:tab w:val="left" w:pos="-1440"/>
                <w:tab w:val="left" w:pos="-720"/>
              </w:tabs>
              <w:rPr>
                <w:sz w:val="20"/>
                <w:szCs w:val="20"/>
              </w:rPr>
            </w:pPr>
            <w:r w:rsidRPr="00A935AA">
              <w:rPr>
                <w:sz w:val="20"/>
                <w:szCs w:val="20"/>
              </w:rPr>
              <w:tab/>
            </w:r>
            <w:r w:rsidRPr="00835FC8">
              <w:rPr>
                <w:sz w:val="20"/>
                <w:szCs w:val="20"/>
              </w:rPr>
              <w:t>Arvay Finlay LLP</w:t>
            </w:r>
          </w:p>
          <w:p w:rsidR="00B124FF" w:rsidRPr="00A935AA" w:rsidRDefault="00B124FF" w:rsidP="005F32B8">
            <w:pPr>
              <w:tabs>
                <w:tab w:val="left" w:pos="-1440"/>
                <w:tab w:val="left" w:pos="-720"/>
              </w:tabs>
              <w:rPr>
                <w:sz w:val="20"/>
                <w:szCs w:val="20"/>
              </w:rPr>
            </w:pPr>
          </w:p>
          <w:p w:rsidR="00B124FF" w:rsidRPr="00A935AA" w:rsidRDefault="00B124FF" w:rsidP="005F32B8">
            <w:pPr>
              <w:rPr>
                <w:sz w:val="20"/>
                <w:szCs w:val="20"/>
              </w:rPr>
            </w:pPr>
            <w:r w:rsidRPr="00A935AA">
              <w:rPr>
                <w:sz w:val="20"/>
                <w:szCs w:val="20"/>
              </w:rPr>
              <w:t xml:space="preserve">FILING DATE: </w:t>
            </w:r>
            <w:r>
              <w:rPr>
                <w:sz w:val="20"/>
                <w:szCs w:val="20"/>
              </w:rPr>
              <w:t>December 21, 2018</w:t>
            </w:r>
          </w:p>
          <w:p w:rsidR="00B124FF" w:rsidRPr="00806A5B" w:rsidRDefault="00A24D5C" w:rsidP="005F32B8">
            <w:pPr>
              <w:rPr>
                <w:sz w:val="20"/>
                <w:szCs w:val="20"/>
                <w:lang w:val="fr-CA"/>
              </w:rPr>
            </w:pPr>
            <w:r>
              <w:rPr>
                <w:sz w:val="20"/>
                <w:szCs w:val="20"/>
                <w:lang w:val="fr-CA"/>
              </w:rPr>
              <w:pict>
                <v:rect id="_x0000_i1026" style="width:108pt;height:1pt" o:hrpct="0" o:hralign="center" o:hrstd="t" o:hrnoshade="t" o:hr="t" fillcolor="black [3213]" stroked="f"/>
              </w:pict>
            </w:r>
          </w:p>
        </w:tc>
      </w:tr>
    </w:tbl>
    <w:p w:rsidR="00B124FF" w:rsidRPr="008859F1" w:rsidRDefault="00B124FF" w:rsidP="00B124FF">
      <w:pPr>
        <w:tabs>
          <w:tab w:val="right" w:pos="9360"/>
        </w:tabs>
        <w:rPr>
          <w:sz w:val="20"/>
          <w:szCs w:val="20"/>
          <w:lang w:val="fr-CA"/>
        </w:rPr>
      </w:pPr>
    </w:p>
    <w:p w:rsidR="00C01FCB" w:rsidRPr="008859F1" w:rsidRDefault="00C01FCB" w:rsidP="0095096B">
      <w:pPr>
        <w:tabs>
          <w:tab w:val="right" w:pos="9360"/>
        </w:tabs>
        <w:rPr>
          <w:sz w:val="20"/>
          <w:szCs w:val="20"/>
          <w:lang w:val="fr-CA"/>
        </w:rPr>
      </w:pPr>
    </w:p>
    <w:p w:rsidR="00242AEE" w:rsidRPr="008859F1" w:rsidRDefault="00242AEE" w:rsidP="0095096B">
      <w:pPr>
        <w:tabs>
          <w:tab w:val="right" w:pos="9360"/>
        </w:tabs>
        <w:rPr>
          <w:sz w:val="20"/>
          <w:szCs w:val="20"/>
          <w:lang w:val="fr-CA"/>
        </w:rPr>
        <w:sectPr w:rsidR="00242AEE" w:rsidRPr="008859F1" w:rsidSect="00955827">
          <w:headerReference w:type="default" r:id="rId11"/>
          <w:footerReference w:type="default" r:id="rId12"/>
          <w:headerReference w:type="first" r:id="rId13"/>
          <w:footerReference w:type="first" r:id="rId14"/>
          <w:pgSz w:w="12240" w:h="15840"/>
          <w:pgMar w:top="720" w:right="965" w:bottom="1080" w:left="1656" w:header="706" w:footer="706" w:gutter="0"/>
          <w:pgNumType w:start="1"/>
          <w:cols w:space="708"/>
          <w:titlePg/>
          <w:docGrid w:linePitch="360"/>
        </w:sectPr>
      </w:pPr>
    </w:p>
    <w:p w:rsidR="00693C38" w:rsidRPr="00BE7155" w:rsidRDefault="00DD0BDC" w:rsidP="00567602">
      <w:pPr>
        <w:pStyle w:val="Header1StyleE"/>
        <w:pBdr>
          <w:bottom w:val="single" w:sz="12" w:space="1" w:color="auto"/>
        </w:pBdr>
        <w:rPr>
          <w:lang w:val="fr-CA"/>
        </w:rPr>
      </w:pPr>
      <w:bookmarkStart w:id="2" w:name="_Toc532985686"/>
      <w:r w:rsidRPr="00BE7155">
        <w:rPr>
          <w:lang w:val="fr-CA"/>
        </w:rPr>
        <w:lastRenderedPageBreak/>
        <w:t>Applications for leave submitted to the Court</w:t>
      </w:r>
      <w:r w:rsidR="000F2CA3" w:rsidRPr="00BE7155">
        <w:rPr>
          <w:lang w:val="fr-CA"/>
        </w:rPr>
        <w:t xml:space="preserve"> </w:t>
      </w:r>
      <w:r w:rsidRPr="00BE7155">
        <w:rPr>
          <w:lang w:val="fr-CA"/>
        </w:rPr>
        <w:t>since the last issue</w:t>
      </w:r>
      <w:r w:rsidR="000F2CA3" w:rsidRPr="00BE7155">
        <w:rPr>
          <w:lang w:val="fr-CA"/>
        </w:rPr>
        <w:t xml:space="preserve"> </w:t>
      </w:r>
      <w:r w:rsidR="00271E1E" w:rsidRPr="00BE7155">
        <w:rPr>
          <w:lang w:val="fr-CA"/>
        </w:rPr>
        <w:t xml:space="preserve">/ </w:t>
      </w:r>
      <w:r w:rsidRPr="00BE7155">
        <w:rPr>
          <w:lang w:val="fr-CA"/>
        </w:rPr>
        <w:br/>
        <w:t xml:space="preserve">Demandes soumises à la </w:t>
      </w:r>
      <w:r w:rsidR="000C1D9D" w:rsidRPr="00BE7155">
        <w:rPr>
          <w:lang w:val="fr-CA"/>
        </w:rPr>
        <w:t>C</w:t>
      </w:r>
      <w:r w:rsidRPr="00BE7155">
        <w:rPr>
          <w:lang w:val="fr-CA"/>
        </w:rPr>
        <w:t>our depuis la dernière parution</w:t>
      </w:r>
      <w:bookmarkEnd w:id="2"/>
    </w:p>
    <w:p w:rsidR="00FB1DB6" w:rsidRPr="00BE7155" w:rsidRDefault="00FB1DB6" w:rsidP="00FB1DB6">
      <w:pPr>
        <w:rPr>
          <w:lang w:val="fr-CA" w:eastAsia="en-CA"/>
        </w:rPr>
      </w:pPr>
    </w:p>
    <w:p w:rsidR="00B124FF" w:rsidRDefault="00B124FF" w:rsidP="00B124FF">
      <w:pPr>
        <w:widowControl w:val="0"/>
        <w:rPr>
          <w:b/>
          <w:sz w:val="20"/>
          <w:szCs w:val="20"/>
          <w:lang w:val="fr-CA"/>
        </w:rPr>
      </w:pPr>
      <w:r>
        <w:rPr>
          <w:b/>
          <w:sz w:val="20"/>
          <w:szCs w:val="20"/>
          <w:lang w:val="fr-CA"/>
        </w:rPr>
        <w:t>JANUARY 28,</w:t>
      </w:r>
      <w:r w:rsidRPr="00FE63F2">
        <w:rPr>
          <w:b/>
          <w:sz w:val="20"/>
          <w:szCs w:val="20"/>
          <w:lang w:val="fr-CA"/>
        </w:rPr>
        <w:t xml:space="preserve"> </w:t>
      </w:r>
      <w:r>
        <w:rPr>
          <w:b/>
          <w:sz w:val="20"/>
          <w:szCs w:val="20"/>
          <w:lang w:val="fr-CA"/>
        </w:rPr>
        <w:t>2019</w:t>
      </w:r>
      <w:r w:rsidRPr="00FE63F2">
        <w:rPr>
          <w:b/>
          <w:sz w:val="20"/>
          <w:szCs w:val="20"/>
          <w:lang w:val="fr-CA"/>
        </w:rPr>
        <w:t xml:space="preserve"> / LE </w:t>
      </w:r>
      <w:r>
        <w:rPr>
          <w:b/>
          <w:sz w:val="20"/>
          <w:szCs w:val="20"/>
          <w:lang w:val="fr-CA"/>
        </w:rPr>
        <w:t>28 JANVIER</w:t>
      </w:r>
      <w:r w:rsidRPr="00FE63F2">
        <w:rPr>
          <w:b/>
          <w:sz w:val="20"/>
          <w:szCs w:val="20"/>
          <w:lang w:val="fr-CA"/>
        </w:rPr>
        <w:t xml:space="preserve"> </w:t>
      </w:r>
      <w:r>
        <w:rPr>
          <w:b/>
          <w:sz w:val="20"/>
          <w:szCs w:val="20"/>
          <w:lang w:val="fr-CA"/>
        </w:rPr>
        <w:t>2019</w:t>
      </w:r>
    </w:p>
    <w:p w:rsidR="00B124FF" w:rsidRDefault="00B124FF" w:rsidP="00B124FF">
      <w:pPr>
        <w:widowControl w:val="0"/>
        <w:rPr>
          <w:b/>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08"/>
        <w:gridCol w:w="810"/>
        <w:gridCol w:w="4050"/>
        <w:gridCol w:w="360"/>
        <w:gridCol w:w="3848"/>
      </w:tblGrid>
      <w:tr w:rsidR="00B124FF" w:rsidRPr="00CC0B55" w:rsidTr="005F32B8">
        <w:trPr>
          <w:cantSplit/>
        </w:trPr>
        <w:tc>
          <w:tcPr>
            <w:tcW w:w="508" w:type="dxa"/>
          </w:tcPr>
          <w:p w:rsidR="00B124FF" w:rsidRPr="00FE63F2" w:rsidRDefault="00B124FF" w:rsidP="005F32B8">
            <w:pPr>
              <w:widowControl w:val="0"/>
              <w:rPr>
                <w:sz w:val="20"/>
                <w:szCs w:val="20"/>
                <w:lang w:val="fr-CA"/>
              </w:rPr>
            </w:pPr>
          </w:p>
        </w:tc>
        <w:tc>
          <w:tcPr>
            <w:tcW w:w="810" w:type="dxa"/>
          </w:tcPr>
          <w:p w:rsidR="00B124FF" w:rsidRPr="00FE63F2" w:rsidRDefault="00B124FF" w:rsidP="005F32B8">
            <w:pPr>
              <w:widowControl w:val="0"/>
              <w:rPr>
                <w:sz w:val="20"/>
                <w:szCs w:val="20"/>
                <w:lang w:val="fr-CA"/>
              </w:rPr>
            </w:pPr>
          </w:p>
        </w:tc>
        <w:tc>
          <w:tcPr>
            <w:tcW w:w="8258" w:type="dxa"/>
            <w:gridSpan w:val="3"/>
          </w:tcPr>
          <w:p w:rsidR="00B124FF" w:rsidRPr="00C50A5C" w:rsidRDefault="00B124FF" w:rsidP="005F32B8">
            <w:pPr>
              <w:widowControl w:val="0"/>
              <w:jc w:val="center"/>
              <w:rPr>
                <w:b/>
                <w:sz w:val="20"/>
                <w:szCs w:val="20"/>
              </w:rPr>
            </w:pPr>
            <w:r w:rsidRPr="00C50A5C">
              <w:rPr>
                <w:b/>
                <w:sz w:val="20"/>
                <w:szCs w:val="20"/>
              </w:rPr>
              <w:t xml:space="preserve">CORAM:  Chief Justice </w:t>
            </w:r>
            <w:r>
              <w:rPr>
                <w:b/>
                <w:sz w:val="20"/>
                <w:szCs w:val="20"/>
              </w:rPr>
              <w:t xml:space="preserve">Wagner and Rowe and Martin </w:t>
            </w:r>
            <w:r w:rsidRPr="00C50A5C">
              <w:rPr>
                <w:b/>
                <w:sz w:val="20"/>
                <w:szCs w:val="20"/>
              </w:rPr>
              <w:t>JJ.</w:t>
            </w:r>
          </w:p>
          <w:p w:rsidR="00B124FF" w:rsidRPr="004342A0" w:rsidRDefault="00B124FF" w:rsidP="005F32B8">
            <w:pPr>
              <w:widowControl w:val="0"/>
              <w:jc w:val="center"/>
              <w:rPr>
                <w:sz w:val="20"/>
                <w:szCs w:val="20"/>
                <w:lang w:val="fr-CA"/>
              </w:rPr>
            </w:pPr>
            <w:r w:rsidRPr="004E1858">
              <w:rPr>
                <w:b/>
                <w:sz w:val="20"/>
                <w:szCs w:val="20"/>
                <w:lang w:val="fr-CA"/>
              </w:rPr>
              <w:t>Le juge en chef Wagner et les juges Rowe et Martin</w:t>
            </w:r>
          </w:p>
        </w:tc>
      </w:tr>
      <w:tr w:rsidR="00B124FF" w:rsidRPr="00FE63F2" w:rsidTr="005F32B8">
        <w:trPr>
          <w:cantSplit/>
        </w:trPr>
        <w:tc>
          <w:tcPr>
            <w:tcW w:w="508" w:type="dxa"/>
          </w:tcPr>
          <w:p w:rsidR="00B124FF" w:rsidRPr="004342A0" w:rsidRDefault="00B124FF" w:rsidP="005F32B8">
            <w:pPr>
              <w:widowControl w:val="0"/>
              <w:rPr>
                <w:sz w:val="20"/>
                <w:szCs w:val="20"/>
                <w:lang w:val="fr-CA"/>
              </w:rPr>
            </w:pPr>
          </w:p>
        </w:tc>
        <w:tc>
          <w:tcPr>
            <w:tcW w:w="810" w:type="dxa"/>
          </w:tcPr>
          <w:p w:rsidR="00B124FF" w:rsidRPr="004342A0" w:rsidRDefault="00B124FF" w:rsidP="005F32B8">
            <w:pPr>
              <w:widowControl w:val="0"/>
              <w:rPr>
                <w:sz w:val="20"/>
                <w:szCs w:val="20"/>
                <w:lang w:val="fr-CA"/>
              </w:rPr>
            </w:pPr>
          </w:p>
        </w:tc>
        <w:tc>
          <w:tcPr>
            <w:tcW w:w="4050" w:type="dxa"/>
          </w:tcPr>
          <w:p w:rsidR="00B124FF" w:rsidRPr="00FE63F2" w:rsidRDefault="00B124FF" w:rsidP="005F32B8">
            <w:pPr>
              <w:widowControl w:val="0"/>
              <w:rPr>
                <w:b/>
                <w:sz w:val="20"/>
                <w:szCs w:val="20"/>
              </w:rPr>
            </w:pPr>
            <w:r w:rsidRPr="00FE63F2">
              <w:rPr>
                <w:b/>
                <w:sz w:val="20"/>
                <w:szCs w:val="20"/>
              </w:rPr>
              <w:t>Criminal / Criminelle</w:t>
            </w:r>
          </w:p>
        </w:tc>
        <w:tc>
          <w:tcPr>
            <w:tcW w:w="360" w:type="dxa"/>
          </w:tcPr>
          <w:p w:rsidR="00B124FF" w:rsidRPr="00FE63F2" w:rsidRDefault="00B124FF" w:rsidP="005F32B8">
            <w:pPr>
              <w:widowControl w:val="0"/>
              <w:rPr>
                <w:sz w:val="20"/>
                <w:szCs w:val="20"/>
              </w:rPr>
            </w:pPr>
          </w:p>
        </w:tc>
        <w:tc>
          <w:tcPr>
            <w:tcW w:w="3848" w:type="dxa"/>
          </w:tcPr>
          <w:p w:rsidR="00B124FF" w:rsidRPr="00FE63F2" w:rsidRDefault="00B124FF" w:rsidP="005F32B8">
            <w:pPr>
              <w:widowControl w:val="0"/>
              <w:rPr>
                <w:sz w:val="20"/>
                <w:szCs w:val="20"/>
              </w:rPr>
            </w:pPr>
          </w:p>
        </w:tc>
      </w:tr>
      <w:tr w:rsidR="00B124FF" w:rsidRPr="00FE63F2" w:rsidTr="005F32B8">
        <w:trPr>
          <w:cantSplit/>
        </w:trPr>
        <w:tc>
          <w:tcPr>
            <w:tcW w:w="508" w:type="dxa"/>
          </w:tcPr>
          <w:p w:rsidR="00B124FF" w:rsidRPr="00E0142A" w:rsidRDefault="00B124FF" w:rsidP="005F32B8">
            <w:pPr>
              <w:rPr>
                <w:sz w:val="20"/>
                <w:szCs w:val="20"/>
              </w:rPr>
            </w:pPr>
            <w:r w:rsidRPr="00E0142A">
              <w:rPr>
                <w:sz w:val="20"/>
                <w:szCs w:val="20"/>
              </w:rPr>
              <w:t>1.</w:t>
            </w:r>
          </w:p>
        </w:tc>
        <w:tc>
          <w:tcPr>
            <w:tcW w:w="810" w:type="dxa"/>
          </w:tcPr>
          <w:p w:rsidR="00B124FF" w:rsidRPr="00E0142A" w:rsidRDefault="00B124FF" w:rsidP="005F32B8">
            <w:pPr>
              <w:rPr>
                <w:sz w:val="20"/>
                <w:szCs w:val="20"/>
              </w:rPr>
            </w:pPr>
            <w:r w:rsidRPr="00E0142A">
              <w:rPr>
                <w:sz w:val="20"/>
                <w:szCs w:val="20"/>
              </w:rPr>
              <w:t>38402</w:t>
            </w:r>
          </w:p>
        </w:tc>
        <w:tc>
          <w:tcPr>
            <w:tcW w:w="4050" w:type="dxa"/>
          </w:tcPr>
          <w:p w:rsidR="00B124FF" w:rsidRPr="00E0142A" w:rsidRDefault="00B124FF" w:rsidP="005F32B8">
            <w:pPr>
              <w:pStyle w:val="SCCAppellantInfoAppellantInfo"/>
              <w:rPr>
                <w:sz w:val="20"/>
                <w:szCs w:val="20"/>
              </w:rPr>
            </w:pPr>
            <w:r w:rsidRPr="00E0142A">
              <w:rPr>
                <w:sz w:val="20"/>
                <w:szCs w:val="20"/>
              </w:rPr>
              <w:t>Romeo Serban</w:t>
            </w:r>
          </w:p>
          <w:p w:rsidR="00B124FF" w:rsidRPr="00E0142A" w:rsidRDefault="00B124FF" w:rsidP="005F32B8">
            <w:pPr>
              <w:pStyle w:val="SCCAppellantInfoAppellantInfo"/>
              <w:rPr>
                <w:sz w:val="20"/>
                <w:szCs w:val="20"/>
              </w:rPr>
            </w:pPr>
            <w:r w:rsidRPr="00E0142A">
              <w:rPr>
                <w:sz w:val="20"/>
                <w:szCs w:val="20"/>
              </w:rPr>
              <w:t>(B.C.) (Criminal) (By Leave)</w:t>
            </w:r>
          </w:p>
        </w:tc>
        <w:tc>
          <w:tcPr>
            <w:tcW w:w="360" w:type="dxa"/>
          </w:tcPr>
          <w:p w:rsidR="00B124FF" w:rsidRPr="00E0142A" w:rsidRDefault="00B124FF" w:rsidP="005F32B8">
            <w:pPr>
              <w:rPr>
                <w:sz w:val="20"/>
                <w:szCs w:val="20"/>
              </w:rPr>
            </w:pPr>
            <w:r w:rsidRPr="00E0142A">
              <w:rPr>
                <w:sz w:val="20"/>
                <w:szCs w:val="20"/>
              </w:rPr>
              <w:t>v.</w:t>
            </w:r>
          </w:p>
        </w:tc>
        <w:tc>
          <w:tcPr>
            <w:tcW w:w="3848" w:type="dxa"/>
          </w:tcPr>
          <w:p w:rsidR="00B124FF" w:rsidRPr="00E0142A" w:rsidRDefault="00B124FF" w:rsidP="005F32B8">
            <w:pPr>
              <w:pStyle w:val="SCCAppellantInfoAppellantInfo"/>
              <w:rPr>
                <w:sz w:val="20"/>
                <w:szCs w:val="20"/>
              </w:rPr>
            </w:pPr>
            <w:r w:rsidRPr="00E0142A">
              <w:rPr>
                <w:sz w:val="20"/>
                <w:szCs w:val="20"/>
              </w:rPr>
              <w:t>Her Majesty the Queen</w:t>
            </w:r>
          </w:p>
        </w:tc>
      </w:tr>
      <w:tr w:rsidR="00B124FF" w:rsidRPr="005B448B" w:rsidTr="005F32B8">
        <w:trPr>
          <w:cantSplit/>
        </w:trPr>
        <w:tc>
          <w:tcPr>
            <w:tcW w:w="508" w:type="dxa"/>
          </w:tcPr>
          <w:p w:rsidR="00B124FF" w:rsidRPr="00E0142A" w:rsidRDefault="00B124FF" w:rsidP="005F32B8">
            <w:pPr>
              <w:rPr>
                <w:sz w:val="20"/>
                <w:szCs w:val="20"/>
              </w:rPr>
            </w:pPr>
            <w:r w:rsidRPr="00E0142A">
              <w:rPr>
                <w:sz w:val="20"/>
                <w:szCs w:val="20"/>
              </w:rPr>
              <w:t>2.</w:t>
            </w:r>
          </w:p>
        </w:tc>
        <w:tc>
          <w:tcPr>
            <w:tcW w:w="810" w:type="dxa"/>
          </w:tcPr>
          <w:p w:rsidR="00B124FF" w:rsidRPr="00E0142A" w:rsidRDefault="00B124FF" w:rsidP="005F32B8">
            <w:pPr>
              <w:rPr>
                <w:sz w:val="20"/>
                <w:szCs w:val="20"/>
              </w:rPr>
            </w:pPr>
            <w:r w:rsidRPr="00E0142A">
              <w:rPr>
                <w:sz w:val="20"/>
                <w:szCs w:val="20"/>
              </w:rPr>
              <w:t>38388</w:t>
            </w:r>
          </w:p>
        </w:tc>
        <w:tc>
          <w:tcPr>
            <w:tcW w:w="4050" w:type="dxa"/>
          </w:tcPr>
          <w:p w:rsidR="00B124FF" w:rsidRPr="00E0142A" w:rsidRDefault="00B124FF" w:rsidP="005F32B8">
            <w:pPr>
              <w:pStyle w:val="SCCAppellantInfoAppellantInfo"/>
              <w:rPr>
                <w:sz w:val="20"/>
                <w:szCs w:val="20"/>
                <w:lang w:val="fr-CA"/>
              </w:rPr>
            </w:pPr>
            <w:r w:rsidRPr="00E0142A">
              <w:rPr>
                <w:sz w:val="20"/>
                <w:szCs w:val="20"/>
                <w:lang w:val="fr-CA"/>
              </w:rPr>
              <w:t>Les é</w:t>
            </w:r>
            <w:r w:rsidR="005B448B">
              <w:rPr>
                <w:sz w:val="20"/>
                <w:szCs w:val="20"/>
                <w:lang w:val="fr-CA"/>
              </w:rPr>
              <w:t>léments chauffants Tempora Inc.</w:t>
            </w:r>
            <w:r w:rsidRPr="00E0142A">
              <w:rPr>
                <w:sz w:val="20"/>
                <w:szCs w:val="20"/>
                <w:lang w:val="fr-CA"/>
              </w:rPr>
              <w:t xml:space="preserve"> et al.</w:t>
            </w:r>
          </w:p>
          <w:p w:rsidR="00B124FF" w:rsidRPr="005B448B" w:rsidRDefault="00B124FF" w:rsidP="005F32B8">
            <w:pPr>
              <w:pStyle w:val="SCCAppellantInfoAppellantInfo"/>
              <w:rPr>
                <w:sz w:val="20"/>
                <w:szCs w:val="20"/>
                <w:lang w:val="fr-CA"/>
              </w:rPr>
            </w:pPr>
            <w:r w:rsidRPr="005B448B">
              <w:rPr>
                <w:sz w:val="20"/>
                <w:szCs w:val="20"/>
                <w:lang w:val="fr-CA"/>
              </w:rPr>
              <w:t>(Que.) (Criminal) (By Leave)</w:t>
            </w:r>
          </w:p>
        </w:tc>
        <w:tc>
          <w:tcPr>
            <w:tcW w:w="360" w:type="dxa"/>
          </w:tcPr>
          <w:p w:rsidR="00B124FF" w:rsidRPr="005B448B" w:rsidRDefault="00B124FF" w:rsidP="005F32B8">
            <w:pPr>
              <w:rPr>
                <w:sz w:val="20"/>
                <w:szCs w:val="20"/>
                <w:lang w:val="fr-CA"/>
              </w:rPr>
            </w:pPr>
            <w:r w:rsidRPr="005B448B">
              <w:rPr>
                <w:sz w:val="20"/>
                <w:szCs w:val="20"/>
                <w:lang w:val="fr-CA"/>
              </w:rPr>
              <w:t>v.</w:t>
            </w:r>
          </w:p>
        </w:tc>
        <w:tc>
          <w:tcPr>
            <w:tcW w:w="3848" w:type="dxa"/>
          </w:tcPr>
          <w:p w:rsidR="00B124FF" w:rsidRPr="005B448B" w:rsidRDefault="00B124FF" w:rsidP="005F32B8">
            <w:pPr>
              <w:pStyle w:val="SCCAppellantInfoAppellantInfo"/>
              <w:rPr>
                <w:sz w:val="20"/>
                <w:szCs w:val="20"/>
                <w:lang w:val="fr-CA"/>
              </w:rPr>
            </w:pPr>
            <w:r w:rsidRPr="005B448B">
              <w:rPr>
                <w:sz w:val="20"/>
                <w:szCs w:val="20"/>
                <w:lang w:val="fr-CA"/>
              </w:rPr>
              <w:t>Her Majesty the Queen</w:t>
            </w:r>
          </w:p>
        </w:tc>
      </w:tr>
      <w:tr w:rsidR="00B124FF" w:rsidRPr="005B448B" w:rsidTr="005F32B8">
        <w:trPr>
          <w:cantSplit/>
        </w:trPr>
        <w:tc>
          <w:tcPr>
            <w:tcW w:w="508" w:type="dxa"/>
          </w:tcPr>
          <w:p w:rsidR="00B124FF" w:rsidRPr="005B448B" w:rsidRDefault="00B124FF" w:rsidP="005F32B8">
            <w:pPr>
              <w:widowControl w:val="0"/>
              <w:rPr>
                <w:sz w:val="20"/>
                <w:szCs w:val="20"/>
                <w:lang w:val="fr-CA"/>
              </w:rPr>
            </w:pPr>
          </w:p>
        </w:tc>
        <w:tc>
          <w:tcPr>
            <w:tcW w:w="810" w:type="dxa"/>
          </w:tcPr>
          <w:p w:rsidR="00B124FF" w:rsidRPr="005B448B" w:rsidRDefault="00B124FF" w:rsidP="005F32B8">
            <w:pPr>
              <w:widowControl w:val="0"/>
              <w:rPr>
                <w:sz w:val="20"/>
                <w:szCs w:val="20"/>
                <w:lang w:val="fr-CA"/>
              </w:rPr>
            </w:pPr>
          </w:p>
        </w:tc>
        <w:tc>
          <w:tcPr>
            <w:tcW w:w="4050" w:type="dxa"/>
          </w:tcPr>
          <w:p w:rsidR="00B124FF" w:rsidRPr="005B448B" w:rsidRDefault="00B124FF" w:rsidP="005F32B8">
            <w:pPr>
              <w:widowControl w:val="0"/>
              <w:rPr>
                <w:b/>
                <w:sz w:val="20"/>
                <w:szCs w:val="20"/>
                <w:lang w:val="fr-CA"/>
              </w:rPr>
            </w:pPr>
            <w:r w:rsidRPr="005B448B">
              <w:rPr>
                <w:b/>
                <w:sz w:val="20"/>
                <w:szCs w:val="20"/>
                <w:lang w:val="fr-CA"/>
              </w:rPr>
              <w:t>Civil / Civile</w:t>
            </w:r>
          </w:p>
        </w:tc>
        <w:tc>
          <w:tcPr>
            <w:tcW w:w="360" w:type="dxa"/>
          </w:tcPr>
          <w:p w:rsidR="00B124FF" w:rsidRPr="005B448B" w:rsidRDefault="00B124FF" w:rsidP="005F32B8">
            <w:pPr>
              <w:widowControl w:val="0"/>
              <w:rPr>
                <w:sz w:val="20"/>
                <w:szCs w:val="20"/>
                <w:lang w:val="fr-CA"/>
              </w:rPr>
            </w:pPr>
          </w:p>
        </w:tc>
        <w:tc>
          <w:tcPr>
            <w:tcW w:w="3848" w:type="dxa"/>
          </w:tcPr>
          <w:p w:rsidR="00B124FF" w:rsidRPr="005B448B" w:rsidRDefault="00B124FF" w:rsidP="005F32B8">
            <w:pPr>
              <w:widowControl w:val="0"/>
              <w:rPr>
                <w:sz w:val="20"/>
                <w:szCs w:val="20"/>
                <w:lang w:val="fr-CA"/>
              </w:rPr>
            </w:pPr>
          </w:p>
        </w:tc>
      </w:tr>
      <w:tr w:rsidR="00B124FF" w:rsidRPr="00CC0B55" w:rsidTr="005F32B8">
        <w:trPr>
          <w:cantSplit/>
        </w:trPr>
        <w:tc>
          <w:tcPr>
            <w:tcW w:w="508" w:type="dxa"/>
          </w:tcPr>
          <w:p w:rsidR="00B124FF" w:rsidRPr="005B448B" w:rsidRDefault="00B124FF" w:rsidP="005F32B8">
            <w:pPr>
              <w:rPr>
                <w:sz w:val="20"/>
                <w:szCs w:val="20"/>
                <w:lang w:val="fr-CA"/>
              </w:rPr>
            </w:pPr>
            <w:r w:rsidRPr="005B448B">
              <w:rPr>
                <w:sz w:val="20"/>
                <w:szCs w:val="20"/>
                <w:lang w:val="fr-CA"/>
              </w:rPr>
              <w:t>3.</w:t>
            </w:r>
          </w:p>
        </w:tc>
        <w:tc>
          <w:tcPr>
            <w:tcW w:w="810" w:type="dxa"/>
          </w:tcPr>
          <w:p w:rsidR="00B124FF" w:rsidRPr="005B448B" w:rsidRDefault="00B124FF" w:rsidP="005F32B8">
            <w:pPr>
              <w:rPr>
                <w:sz w:val="20"/>
                <w:szCs w:val="20"/>
                <w:lang w:val="fr-CA"/>
              </w:rPr>
            </w:pPr>
            <w:r w:rsidRPr="005B448B">
              <w:rPr>
                <w:sz w:val="20"/>
                <w:szCs w:val="20"/>
                <w:lang w:val="fr-CA"/>
              </w:rPr>
              <w:t>38293</w:t>
            </w:r>
          </w:p>
        </w:tc>
        <w:tc>
          <w:tcPr>
            <w:tcW w:w="4050" w:type="dxa"/>
          </w:tcPr>
          <w:p w:rsidR="00B124FF" w:rsidRPr="00E0142A" w:rsidRDefault="00B124FF" w:rsidP="005F32B8">
            <w:pPr>
              <w:pStyle w:val="SCCAppellantInfoAppellantInfo"/>
              <w:rPr>
                <w:sz w:val="20"/>
                <w:szCs w:val="20"/>
                <w:lang w:val="fr-CA"/>
              </w:rPr>
            </w:pPr>
            <w:r w:rsidRPr="00E0142A">
              <w:rPr>
                <w:sz w:val="20"/>
                <w:szCs w:val="20"/>
                <w:lang w:val="fr-CA"/>
              </w:rPr>
              <w:t>Yvan Drouin</w:t>
            </w:r>
          </w:p>
          <w:p w:rsidR="00B124FF" w:rsidRPr="00E0142A" w:rsidRDefault="00B124FF" w:rsidP="005F32B8">
            <w:pPr>
              <w:pStyle w:val="SCCAppellantInfoAppellantInfo"/>
              <w:rPr>
                <w:sz w:val="20"/>
                <w:szCs w:val="20"/>
                <w:lang w:val="fr-CA"/>
              </w:rPr>
            </w:pPr>
            <w:r w:rsidRPr="00E0142A">
              <w:rPr>
                <w:sz w:val="20"/>
                <w:szCs w:val="20"/>
                <w:lang w:val="fr-CA"/>
              </w:rPr>
              <w:t>(Qc) (Civile) (Autorisation)</w:t>
            </w:r>
          </w:p>
        </w:tc>
        <w:tc>
          <w:tcPr>
            <w:tcW w:w="360" w:type="dxa"/>
          </w:tcPr>
          <w:p w:rsidR="00B124FF" w:rsidRPr="00E0142A" w:rsidRDefault="00B124FF" w:rsidP="005F32B8">
            <w:pPr>
              <w:rPr>
                <w:sz w:val="20"/>
                <w:szCs w:val="20"/>
              </w:rPr>
            </w:pPr>
            <w:r w:rsidRPr="005B448B">
              <w:rPr>
                <w:sz w:val="20"/>
                <w:szCs w:val="20"/>
                <w:lang w:val="fr-CA"/>
              </w:rPr>
              <w:t>c</w:t>
            </w:r>
            <w:r w:rsidRPr="00E0142A">
              <w:rPr>
                <w:sz w:val="20"/>
                <w:szCs w:val="20"/>
              </w:rPr>
              <w:t>.</w:t>
            </w:r>
          </w:p>
        </w:tc>
        <w:tc>
          <w:tcPr>
            <w:tcW w:w="3848" w:type="dxa"/>
          </w:tcPr>
          <w:p w:rsidR="00B124FF" w:rsidRPr="00E0142A" w:rsidRDefault="005B448B" w:rsidP="005F32B8">
            <w:pPr>
              <w:pStyle w:val="SCCAppellantInfoAppellantInfo"/>
              <w:rPr>
                <w:sz w:val="20"/>
                <w:szCs w:val="20"/>
                <w:lang w:val="fr-CA"/>
              </w:rPr>
            </w:pPr>
            <w:r>
              <w:rPr>
                <w:sz w:val="20"/>
                <w:szCs w:val="20"/>
                <w:lang w:val="fr-CA"/>
              </w:rPr>
              <w:t>Procureure générale du Québec</w:t>
            </w:r>
            <w:r w:rsidR="00B124FF" w:rsidRPr="00E0142A">
              <w:rPr>
                <w:sz w:val="20"/>
                <w:szCs w:val="20"/>
                <w:lang w:val="fr-CA"/>
              </w:rPr>
              <w:t xml:space="preserve"> et al.</w:t>
            </w:r>
          </w:p>
        </w:tc>
      </w:tr>
      <w:tr w:rsidR="00B124FF" w:rsidRPr="00CC0B55" w:rsidTr="005F32B8">
        <w:trPr>
          <w:cantSplit/>
        </w:trPr>
        <w:tc>
          <w:tcPr>
            <w:tcW w:w="508" w:type="dxa"/>
          </w:tcPr>
          <w:p w:rsidR="00B124FF" w:rsidRPr="00E0142A" w:rsidRDefault="00B124FF" w:rsidP="005F32B8">
            <w:pPr>
              <w:rPr>
                <w:sz w:val="20"/>
                <w:szCs w:val="20"/>
              </w:rPr>
            </w:pPr>
            <w:r w:rsidRPr="00E0142A">
              <w:rPr>
                <w:sz w:val="20"/>
                <w:szCs w:val="20"/>
              </w:rPr>
              <w:t>4.</w:t>
            </w:r>
          </w:p>
        </w:tc>
        <w:tc>
          <w:tcPr>
            <w:tcW w:w="810" w:type="dxa"/>
          </w:tcPr>
          <w:p w:rsidR="00B124FF" w:rsidRPr="00E0142A" w:rsidRDefault="00B124FF" w:rsidP="005F32B8">
            <w:pPr>
              <w:rPr>
                <w:sz w:val="20"/>
                <w:szCs w:val="20"/>
              </w:rPr>
            </w:pPr>
            <w:r w:rsidRPr="00E0142A">
              <w:rPr>
                <w:sz w:val="20"/>
                <w:szCs w:val="20"/>
              </w:rPr>
              <w:t>38276</w:t>
            </w:r>
          </w:p>
        </w:tc>
        <w:tc>
          <w:tcPr>
            <w:tcW w:w="4050" w:type="dxa"/>
          </w:tcPr>
          <w:p w:rsidR="00B124FF" w:rsidRPr="00E0142A" w:rsidRDefault="00B124FF" w:rsidP="005F32B8">
            <w:pPr>
              <w:pStyle w:val="SCCAppellantInfoAppellantInfo"/>
              <w:rPr>
                <w:sz w:val="20"/>
                <w:szCs w:val="20"/>
              </w:rPr>
            </w:pPr>
            <w:r w:rsidRPr="00E0142A">
              <w:rPr>
                <w:sz w:val="20"/>
                <w:szCs w:val="20"/>
              </w:rPr>
              <w:t>Nippon Ste</w:t>
            </w:r>
            <w:r w:rsidR="005B448B">
              <w:rPr>
                <w:sz w:val="20"/>
                <w:szCs w:val="20"/>
              </w:rPr>
              <w:t>el &amp; Sumitomo Metal Corporation</w:t>
            </w:r>
            <w:r w:rsidRPr="00E0142A">
              <w:rPr>
                <w:sz w:val="20"/>
                <w:szCs w:val="20"/>
              </w:rPr>
              <w:t xml:space="preserve"> et al.</w:t>
            </w:r>
          </w:p>
          <w:p w:rsidR="00B124FF" w:rsidRPr="00E0142A" w:rsidRDefault="00B124FF" w:rsidP="005F32B8">
            <w:pPr>
              <w:pStyle w:val="SCCAppellantInfoAppellantInfo"/>
              <w:rPr>
                <w:sz w:val="20"/>
                <w:szCs w:val="20"/>
              </w:rPr>
            </w:pPr>
            <w:r w:rsidRPr="00E0142A">
              <w:rPr>
                <w:sz w:val="20"/>
                <w:szCs w:val="20"/>
              </w:rPr>
              <w:t>(F</w:t>
            </w:r>
            <w:r w:rsidR="005B448B">
              <w:rPr>
                <w:sz w:val="20"/>
                <w:szCs w:val="20"/>
              </w:rPr>
              <w:t>.</w:t>
            </w:r>
            <w:r w:rsidRPr="00E0142A">
              <w:rPr>
                <w:sz w:val="20"/>
                <w:szCs w:val="20"/>
              </w:rPr>
              <w:t>C</w:t>
            </w:r>
            <w:r w:rsidR="005B448B">
              <w:rPr>
                <w:sz w:val="20"/>
                <w:szCs w:val="20"/>
              </w:rPr>
              <w:t>.</w:t>
            </w:r>
            <w:r w:rsidRPr="00E0142A">
              <w:rPr>
                <w:sz w:val="20"/>
                <w:szCs w:val="20"/>
              </w:rPr>
              <w:t>) (Civil) (By Leave)</w:t>
            </w:r>
          </w:p>
        </w:tc>
        <w:tc>
          <w:tcPr>
            <w:tcW w:w="360" w:type="dxa"/>
          </w:tcPr>
          <w:p w:rsidR="00B124FF" w:rsidRPr="00E0142A" w:rsidRDefault="00B124FF" w:rsidP="005F32B8">
            <w:pPr>
              <w:rPr>
                <w:sz w:val="20"/>
                <w:szCs w:val="20"/>
              </w:rPr>
            </w:pPr>
            <w:r w:rsidRPr="00E0142A">
              <w:rPr>
                <w:sz w:val="20"/>
                <w:szCs w:val="20"/>
              </w:rPr>
              <w:t>v.</w:t>
            </w:r>
          </w:p>
        </w:tc>
        <w:tc>
          <w:tcPr>
            <w:tcW w:w="3848" w:type="dxa"/>
          </w:tcPr>
          <w:p w:rsidR="00B124FF" w:rsidRPr="00A237B2" w:rsidRDefault="005B448B" w:rsidP="005F32B8">
            <w:pPr>
              <w:pStyle w:val="SCCAppellantInfoAppellantInfo"/>
              <w:rPr>
                <w:sz w:val="20"/>
                <w:szCs w:val="20"/>
                <w:lang w:val="fr-CA"/>
              </w:rPr>
            </w:pPr>
            <w:r w:rsidRPr="00A237B2">
              <w:rPr>
                <w:sz w:val="20"/>
                <w:szCs w:val="20"/>
                <w:lang w:val="fr-CA"/>
              </w:rPr>
              <w:t>Evraz Inc. NA Canada</w:t>
            </w:r>
            <w:r w:rsidR="00B124FF" w:rsidRPr="00A237B2">
              <w:rPr>
                <w:sz w:val="20"/>
                <w:szCs w:val="20"/>
                <w:lang w:val="fr-CA"/>
              </w:rPr>
              <w:t xml:space="preserve"> et al.</w:t>
            </w:r>
          </w:p>
        </w:tc>
      </w:tr>
      <w:tr w:rsidR="00B124FF" w:rsidRPr="00FE63F2" w:rsidTr="005F32B8">
        <w:trPr>
          <w:cantSplit/>
        </w:trPr>
        <w:tc>
          <w:tcPr>
            <w:tcW w:w="508" w:type="dxa"/>
          </w:tcPr>
          <w:p w:rsidR="00B124FF" w:rsidRPr="00E0142A" w:rsidRDefault="00B124FF" w:rsidP="005F32B8">
            <w:pPr>
              <w:rPr>
                <w:sz w:val="20"/>
                <w:szCs w:val="20"/>
              </w:rPr>
            </w:pPr>
            <w:r w:rsidRPr="00E0142A">
              <w:rPr>
                <w:sz w:val="20"/>
                <w:szCs w:val="20"/>
              </w:rPr>
              <w:t>5.</w:t>
            </w:r>
          </w:p>
        </w:tc>
        <w:tc>
          <w:tcPr>
            <w:tcW w:w="810" w:type="dxa"/>
          </w:tcPr>
          <w:p w:rsidR="00B124FF" w:rsidRPr="00E0142A" w:rsidRDefault="00B124FF" w:rsidP="005F32B8">
            <w:pPr>
              <w:rPr>
                <w:sz w:val="20"/>
                <w:szCs w:val="20"/>
              </w:rPr>
            </w:pPr>
            <w:r w:rsidRPr="00E0142A">
              <w:rPr>
                <w:sz w:val="20"/>
                <w:szCs w:val="20"/>
              </w:rPr>
              <w:t>38315</w:t>
            </w:r>
          </w:p>
        </w:tc>
        <w:tc>
          <w:tcPr>
            <w:tcW w:w="4050" w:type="dxa"/>
          </w:tcPr>
          <w:p w:rsidR="00B124FF" w:rsidRPr="00E0142A" w:rsidRDefault="00B124FF" w:rsidP="005F32B8">
            <w:pPr>
              <w:pStyle w:val="SCCAppellantInfoAppellantInfo"/>
              <w:rPr>
                <w:sz w:val="20"/>
                <w:szCs w:val="20"/>
              </w:rPr>
            </w:pPr>
            <w:r w:rsidRPr="00E0142A">
              <w:rPr>
                <w:sz w:val="20"/>
                <w:szCs w:val="20"/>
              </w:rPr>
              <w:t>Sajjad Asghar</w:t>
            </w:r>
          </w:p>
          <w:p w:rsidR="00B124FF" w:rsidRPr="00E0142A" w:rsidRDefault="00B124FF" w:rsidP="005F32B8">
            <w:pPr>
              <w:pStyle w:val="SCCAppellantInfoAppellantInfo"/>
              <w:rPr>
                <w:sz w:val="20"/>
                <w:szCs w:val="20"/>
              </w:rPr>
            </w:pPr>
            <w:r w:rsidRPr="00E0142A">
              <w:rPr>
                <w:sz w:val="20"/>
                <w:szCs w:val="20"/>
              </w:rPr>
              <w:t>(F</w:t>
            </w:r>
            <w:r w:rsidR="005B448B">
              <w:rPr>
                <w:sz w:val="20"/>
                <w:szCs w:val="20"/>
              </w:rPr>
              <w:t>.</w:t>
            </w:r>
            <w:r w:rsidRPr="00E0142A">
              <w:rPr>
                <w:sz w:val="20"/>
                <w:szCs w:val="20"/>
              </w:rPr>
              <w:t>C</w:t>
            </w:r>
            <w:r w:rsidR="005B448B">
              <w:rPr>
                <w:sz w:val="20"/>
                <w:szCs w:val="20"/>
              </w:rPr>
              <w:t>.</w:t>
            </w:r>
            <w:r w:rsidRPr="00E0142A">
              <w:rPr>
                <w:sz w:val="20"/>
                <w:szCs w:val="20"/>
              </w:rPr>
              <w:t>) (Civil) (By Leave)</w:t>
            </w:r>
          </w:p>
        </w:tc>
        <w:tc>
          <w:tcPr>
            <w:tcW w:w="360" w:type="dxa"/>
          </w:tcPr>
          <w:p w:rsidR="00B124FF" w:rsidRPr="00E0142A" w:rsidRDefault="00B124FF" w:rsidP="005F32B8">
            <w:pPr>
              <w:rPr>
                <w:sz w:val="20"/>
                <w:szCs w:val="20"/>
              </w:rPr>
            </w:pPr>
            <w:r w:rsidRPr="00E0142A">
              <w:rPr>
                <w:sz w:val="20"/>
                <w:szCs w:val="20"/>
              </w:rPr>
              <w:t>v.</w:t>
            </w:r>
          </w:p>
        </w:tc>
        <w:tc>
          <w:tcPr>
            <w:tcW w:w="3848" w:type="dxa"/>
          </w:tcPr>
          <w:p w:rsidR="00B124FF" w:rsidRPr="00E0142A" w:rsidRDefault="00B124FF" w:rsidP="005F32B8">
            <w:pPr>
              <w:pStyle w:val="SCCAppellantInfoAppellantInfo"/>
              <w:rPr>
                <w:sz w:val="20"/>
                <w:szCs w:val="20"/>
              </w:rPr>
            </w:pPr>
            <w:r w:rsidRPr="00E0142A">
              <w:rPr>
                <w:sz w:val="20"/>
                <w:szCs w:val="20"/>
              </w:rPr>
              <w:t>Her Majesty the Queen in Right of Canada</w:t>
            </w:r>
          </w:p>
        </w:tc>
      </w:tr>
      <w:tr w:rsidR="00B124FF" w:rsidRPr="005B448B" w:rsidTr="005F32B8">
        <w:trPr>
          <w:cantSplit/>
        </w:trPr>
        <w:tc>
          <w:tcPr>
            <w:tcW w:w="508" w:type="dxa"/>
          </w:tcPr>
          <w:p w:rsidR="00B124FF" w:rsidRPr="00E0142A" w:rsidRDefault="00B124FF" w:rsidP="005F32B8">
            <w:pPr>
              <w:rPr>
                <w:sz w:val="20"/>
                <w:szCs w:val="20"/>
              </w:rPr>
            </w:pPr>
            <w:r w:rsidRPr="00E0142A">
              <w:rPr>
                <w:sz w:val="20"/>
                <w:szCs w:val="20"/>
              </w:rPr>
              <w:t>6.</w:t>
            </w:r>
          </w:p>
        </w:tc>
        <w:tc>
          <w:tcPr>
            <w:tcW w:w="810" w:type="dxa"/>
          </w:tcPr>
          <w:p w:rsidR="00B124FF" w:rsidRPr="00E0142A" w:rsidRDefault="00B124FF" w:rsidP="005F32B8">
            <w:pPr>
              <w:rPr>
                <w:sz w:val="20"/>
                <w:szCs w:val="20"/>
              </w:rPr>
            </w:pPr>
            <w:r w:rsidRPr="00E0142A">
              <w:rPr>
                <w:sz w:val="20"/>
                <w:szCs w:val="20"/>
              </w:rPr>
              <w:t>38411</w:t>
            </w:r>
          </w:p>
        </w:tc>
        <w:tc>
          <w:tcPr>
            <w:tcW w:w="4050" w:type="dxa"/>
          </w:tcPr>
          <w:p w:rsidR="00B124FF" w:rsidRPr="005B448B" w:rsidRDefault="005B448B" w:rsidP="005F32B8">
            <w:pPr>
              <w:pStyle w:val="SCCAppellantInfoAppellantInfo"/>
              <w:rPr>
                <w:sz w:val="20"/>
                <w:szCs w:val="20"/>
                <w:lang w:val="fr-CA"/>
              </w:rPr>
            </w:pPr>
            <w:r w:rsidRPr="005B448B">
              <w:rPr>
                <w:sz w:val="20"/>
                <w:szCs w:val="20"/>
                <w:lang w:val="fr-CA"/>
              </w:rPr>
              <w:t>Equifax Inc.</w:t>
            </w:r>
            <w:r w:rsidR="00B124FF" w:rsidRPr="005B448B">
              <w:rPr>
                <w:sz w:val="20"/>
                <w:szCs w:val="20"/>
                <w:lang w:val="fr-CA"/>
              </w:rPr>
              <w:t xml:space="preserve"> et al.</w:t>
            </w:r>
          </w:p>
          <w:p w:rsidR="00B124FF" w:rsidRPr="005B448B" w:rsidRDefault="00B124FF" w:rsidP="005F32B8">
            <w:pPr>
              <w:pStyle w:val="SCCAppellantInfoAppellantInfo"/>
              <w:rPr>
                <w:sz w:val="20"/>
                <w:szCs w:val="20"/>
                <w:lang w:val="fr-CA"/>
              </w:rPr>
            </w:pPr>
            <w:r w:rsidRPr="005B448B">
              <w:rPr>
                <w:sz w:val="20"/>
                <w:szCs w:val="20"/>
                <w:lang w:val="fr-CA"/>
              </w:rPr>
              <w:t>(Que.) (Civil) (By Leave)</w:t>
            </w:r>
          </w:p>
          <w:p w:rsidR="00B124FF" w:rsidRPr="005B448B" w:rsidRDefault="00B124FF" w:rsidP="005F32B8">
            <w:pPr>
              <w:rPr>
                <w:sz w:val="20"/>
                <w:szCs w:val="20"/>
                <w:lang w:val="fr-CA"/>
              </w:rPr>
            </w:pPr>
          </w:p>
        </w:tc>
        <w:tc>
          <w:tcPr>
            <w:tcW w:w="360" w:type="dxa"/>
          </w:tcPr>
          <w:p w:rsidR="00B124FF" w:rsidRPr="005B448B" w:rsidRDefault="00B124FF" w:rsidP="005F32B8">
            <w:pPr>
              <w:rPr>
                <w:sz w:val="20"/>
                <w:szCs w:val="20"/>
                <w:lang w:val="fr-CA"/>
              </w:rPr>
            </w:pPr>
            <w:r w:rsidRPr="005B448B">
              <w:rPr>
                <w:sz w:val="20"/>
                <w:szCs w:val="20"/>
                <w:lang w:val="fr-CA"/>
              </w:rPr>
              <w:t>v.</w:t>
            </w:r>
          </w:p>
        </w:tc>
        <w:tc>
          <w:tcPr>
            <w:tcW w:w="3848" w:type="dxa"/>
          </w:tcPr>
          <w:p w:rsidR="00B124FF" w:rsidRPr="005B448B" w:rsidRDefault="00B124FF" w:rsidP="005F32B8">
            <w:pPr>
              <w:pStyle w:val="SCCAppellantInfoAppellantInfo"/>
              <w:rPr>
                <w:sz w:val="20"/>
                <w:szCs w:val="20"/>
                <w:lang w:val="fr-CA"/>
              </w:rPr>
            </w:pPr>
            <w:r w:rsidRPr="005B448B">
              <w:rPr>
                <w:sz w:val="20"/>
                <w:szCs w:val="20"/>
                <w:lang w:val="fr-CA"/>
              </w:rPr>
              <w:t>Daniel Li</w:t>
            </w:r>
          </w:p>
        </w:tc>
      </w:tr>
      <w:tr w:rsidR="00B124FF" w:rsidRPr="00CC0B55" w:rsidTr="005F32B8">
        <w:trPr>
          <w:cantSplit/>
        </w:trPr>
        <w:tc>
          <w:tcPr>
            <w:tcW w:w="508" w:type="dxa"/>
          </w:tcPr>
          <w:p w:rsidR="00B124FF" w:rsidRPr="005B448B" w:rsidRDefault="00B124FF" w:rsidP="005F32B8">
            <w:pPr>
              <w:widowControl w:val="0"/>
              <w:rPr>
                <w:sz w:val="20"/>
                <w:szCs w:val="20"/>
                <w:lang w:val="fr-CA"/>
              </w:rPr>
            </w:pPr>
          </w:p>
        </w:tc>
        <w:tc>
          <w:tcPr>
            <w:tcW w:w="810" w:type="dxa"/>
          </w:tcPr>
          <w:p w:rsidR="00B124FF" w:rsidRPr="005B448B" w:rsidRDefault="00B124FF" w:rsidP="005F32B8">
            <w:pPr>
              <w:widowControl w:val="0"/>
              <w:rPr>
                <w:sz w:val="20"/>
                <w:szCs w:val="20"/>
                <w:lang w:val="fr-CA"/>
              </w:rPr>
            </w:pPr>
          </w:p>
        </w:tc>
        <w:tc>
          <w:tcPr>
            <w:tcW w:w="8258" w:type="dxa"/>
            <w:gridSpan w:val="3"/>
          </w:tcPr>
          <w:p w:rsidR="00B124FF" w:rsidRPr="00A237B2" w:rsidRDefault="00B124FF" w:rsidP="005F32B8">
            <w:pPr>
              <w:widowControl w:val="0"/>
              <w:jc w:val="center"/>
              <w:rPr>
                <w:b/>
                <w:sz w:val="20"/>
                <w:szCs w:val="20"/>
                <w:lang w:val="en-US"/>
              </w:rPr>
            </w:pPr>
            <w:r w:rsidRPr="00A237B2">
              <w:rPr>
                <w:b/>
                <w:sz w:val="20"/>
                <w:szCs w:val="20"/>
                <w:lang w:val="en-US"/>
              </w:rPr>
              <w:t>CORAM: Abella, Gascon and Brown JJ.</w:t>
            </w:r>
          </w:p>
          <w:p w:rsidR="00B124FF" w:rsidRPr="004342A0" w:rsidRDefault="00B124FF" w:rsidP="005F32B8">
            <w:pPr>
              <w:widowControl w:val="0"/>
              <w:jc w:val="center"/>
              <w:rPr>
                <w:sz w:val="20"/>
                <w:szCs w:val="20"/>
                <w:lang w:val="fr-CA"/>
              </w:rPr>
            </w:pPr>
            <w:r w:rsidRPr="007230A7">
              <w:rPr>
                <w:b/>
                <w:sz w:val="20"/>
                <w:szCs w:val="20"/>
                <w:lang w:val="fr-CA"/>
              </w:rPr>
              <w:t>Les juges Abella, Gascon et Brown</w:t>
            </w:r>
          </w:p>
        </w:tc>
      </w:tr>
      <w:tr w:rsidR="00B124FF" w:rsidRPr="005B448B" w:rsidTr="005F32B8">
        <w:trPr>
          <w:cantSplit/>
        </w:trPr>
        <w:tc>
          <w:tcPr>
            <w:tcW w:w="508" w:type="dxa"/>
          </w:tcPr>
          <w:p w:rsidR="00B124FF" w:rsidRPr="004342A0" w:rsidRDefault="00B124FF" w:rsidP="005F32B8">
            <w:pPr>
              <w:widowControl w:val="0"/>
              <w:rPr>
                <w:sz w:val="20"/>
                <w:szCs w:val="20"/>
                <w:lang w:val="fr-CA"/>
              </w:rPr>
            </w:pPr>
          </w:p>
        </w:tc>
        <w:tc>
          <w:tcPr>
            <w:tcW w:w="810" w:type="dxa"/>
          </w:tcPr>
          <w:p w:rsidR="00B124FF" w:rsidRPr="004342A0" w:rsidRDefault="00B124FF" w:rsidP="005F32B8">
            <w:pPr>
              <w:widowControl w:val="0"/>
              <w:rPr>
                <w:sz w:val="20"/>
                <w:szCs w:val="20"/>
                <w:lang w:val="fr-CA"/>
              </w:rPr>
            </w:pPr>
          </w:p>
        </w:tc>
        <w:tc>
          <w:tcPr>
            <w:tcW w:w="4050" w:type="dxa"/>
          </w:tcPr>
          <w:p w:rsidR="00B124FF" w:rsidRPr="005B448B" w:rsidRDefault="00B124FF" w:rsidP="005F32B8">
            <w:pPr>
              <w:widowControl w:val="0"/>
              <w:rPr>
                <w:b/>
                <w:sz w:val="20"/>
                <w:szCs w:val="20"/>
                <w:lang w:val="fr-CA"/>
              </w:rPr>
            </w:pPr>
            <w:r w:rsidRPr="005B448B">
              <w:rPr>
                <w:b/>
                <w:sz w:val="20"/>
                <w:szCs w:val="20"/>
                <w:lang w:val="fr-CA"/>
              </w:rPr>
              <w:t>Criminal / Criminelle</w:t>
            </w:r>
          </w:p>
        </w:tc>
        <w:tc>
          <w:tcPr>
            <w:tcW w:w="360" w:type="dxa"/>
          </w:tcPr>
          <w:p w:rsidR="00B124FF" w:rsidRPr="005B448B" w:rsidRDefault="00B124FF" w:rsidP="005F32B8">
            <w:pPr>
              <w:widowControl w:val="0"/>
              <w:rPr>
                <w:sz w:val="20"/>
                <w:szCs w:val="20"/>
                <w:lang w:val="fr-CA"/>
              </w:rPr>
            </w:pPr>
          </w:p>
        </w:tc>
        <w:tc>
          <w:tcPr>
            <w:tcW w:w="3848" w:type="dxa"/>
          </w:tcPr>
          <w:p w:rsidR="00B124FF" w:rsidRPr="005B448B" w:rsidRDefault="00B124FF" w:rsidP="005F32B8">
            <w:pPr>
              <w:widowControl w:val="0"/>
              <w:rPr>
                <w:sz w:val="20"/>
                <w:szCs w:val="20"/>
                <w:lang w:val="fr-CA"/>
              </w:rPr>
            </w:pPr>
          </w:p>
        </w:tc>
      </w:tr>
      <w:tr w:rsidR="00B124FF" w:rsidRPr="00FE63F2" w:rsidTr="005F32B8">
        <w:trPr>
          <w:cantSplit/>
        </w:trPr>
        <w:tc>
          <w:tcPr>
            <w:tcW w:w="508" w:type="dxa"/>
          </w:tcPr>
          <w:p w:rsidR="00B124FF" w:rsidRPr="005B448B" w:rsidRDefault="00B124FF" w:rsidP="005F32B8">
            <w:pPr>
              <w:rPr>
                <w:sz w:val="20"/>
                <w:szCs w:val="20"/>
                <w:lang w:val="fr-CA"/>
              </w:rPr>
            </w:pPr>
            <w:r w:rsidRPr="005B448B">
              <w:rPr>
                <w:sz w:val="20"/>
                <w:szCs w:val="20"/>
                <w:lang w:val="fr-CA"/>
              </w:rPr>
              <w:t>7.</w:t>
            </w:r>
          </w:p>
        </w:tc>
        <w:tc>
          <w:tcPr>
            <w:tcW w:w="810" w:type="dxa"/>
          </w:tcPr>
          <w:p w:rsidR="00B124FF" w:rsidRPr="00E0142A" w:rsidRDefault="00B124FF" w:rsidP="005F32B8">
            <w:pPr>
              <w:rPr>
                <w:sz w:val="20"/>
                <w:szCs w:val="20"/>
              </w:rPr>
            </w:pPr>
            <w:r w:rsidRPr="00E0142A">
              <w:rPr>
                <w:sz w:val="20"/>
                <w:szCs w:val="20"/>
              </w:rPr>
              <w:t>38283</w:t>
            </w:r>
          </w:p>
        </w:tc>
        <w:tc>
          <w:tcPr>
            <w:tcW w:w="4050" w:type="dxa"/>
          </w:tcPr>
          <w:p w:rsidR="00B124FF" w:rsidRPr="00E0142A" w:rsidRDefault="00B124FF" w:rsidP="005F32B8">
            <w:pPr>
              <w:pStyle w:val="SCCAppellantInfoAppellantInfo"/>
              <w:rPr>
                <w:sz w:val="20"/>
                <w:szCs w:val="20"/>
                <w:lang w:val="fr-CA"/>
              </w:rPr>
            </w:pPr>
            <w:r w:rsidRPr="00E0142A">
              <w:rPr>
                <w:sz w:val="20"/>
                <w:szCs w:val="20"/>
                <w:lang w:val="fr-CA"/>
              </w:rPr>
              <w:t>Nicola Piazza</w:t>
            </w:r>
          </w:p>
          <w:p w:rsidR="00B124FF" w:rsidRPr="00E0142A" w:rsidRDefault="00B124FF" w:rsidP="005F32B8">
            <w:pPr>
              <w:pStyle w:val="SCCAppellantInfoAppellantInfo"/>
              <w:rPr>
                <w:sz w:val="20"/>
                <w:szCs w:val="20"/>
                <w:lang w:val="fr-CA"/>
              </w:rPr>
            </w:pPr>
            <w:r w:rsidRPr="00E0142A">
              <w:rPr>
                <w:sz w:val="20"/>
                <w:szCs w:val="20"/>
                <w:lang w:val="fr-CA"/>
              </w:rPr>
              <w:t>(Qc) (Criminelle) (Autorisation)</w:t>
            </w:r>
          </w:p>
        </w:tc>
        <w:tc>
          <w:tcPr>
            <w:tcW w:w="360" w:type="dxa"/>
          </w:tcPr>
          <w:p w:rsidR="00B124FF" w:rsidRPr="00E0142A" w:rsidRDefault="00B124FF" w:rsidP="005F32B8">
            <w:pPr>
              <w:rPr>
                <w:sz w:val="20"/>
                <w:szCs w:val="20"/>
              </w:rPr>
            </w:pPr>
            <w:r w:rsidRPr="00E0142A">
              <w:rPr>
                <w:sz w:val="20"/>
                <w:szCs w:val="20"/>
              </w:rPr>
              <w:t>c.</w:t>
            </w:r>
          </w:p>
        </w:tc>
        <w:tc>
          <w:tcPr>
            <w:tcW w:w="3848" w:type="dxa"/>
          </w:tcPr>
          <w:p w:rsidR="00B124FF" w:rsidRPr="00E0142A" w:rsidRDefault="00B124FF" w:rsidP="005F32B8">
            <w:pPr>
              <w:pStyle w:val="SCCAppellantInfoAppellantInfo"/>
              <w:rPr>
                <w:sz w:val="20"/>
                <w:szCs w:val="20"/>
              </w:rPr>
            </w:pPr>
            <w:r w:rsidRPr="00E0142A">
              <w:rPr>
                <w:sz w:val="20"/>
                <w:szCs w:val="20"/>
              </w:rPr>
              <w:t>Sa Majesté la Reine</w:t>
            </w:r>
          </w:p>
        </w:tc>
      </w:tr>
      <w:tr w:rsidR="00B124FF" w:rsidRPr="00FE63F2" w:rsidTr="005F32B8">
        <w:trPr>
          <w:cantSplit/>
        </w:trPr>
        <w:tc>
          <w:tcPr>
            <w:tcW w:w="508" w:type="dxa"/>
          </w:tcPr>
          <w:p w:rsidR="00B124FF" w:rsidRPr="00FE63F2" w:rsidRDefault="00B124FF" w:rsidP="005F32B8">
            <w:pPr>
              <w:widowControl w:val="0"/>
              <w:rPr>
                <w:sz w:val="20"/>
                <w:szCs w:val="20"/>
              </w:rPr>
            </w:pPr>
          </w:p>
        </w:tc>
        <w:tc>
          <w:tcPr>
            <w:tcW w:w="810" w:type="dxa"/>
          </w:tcPr>
          <w:p w:rsidR="00B124FF" w:rsidRPr="00FE63F2" w:rsidRDefault="00B124FF" w:rsidP="005F32B8">
            <w:pPr>
              <w:widowControl w:val="0"/>
              <w:rPr>
                <w:sz w:val="20"/>
                <w:szCs w:val="20"/>
              </w:rPr>
            </w:pPr>
          </w:p>
        </w:tc>
        <w:tc>
          <w:tcPr>
            <w:tcW w:w="4050" w:type="dxa"/>
          </w:tcPr>
          <w:p w:rsidR="00B124FF" w:rsidRPr="00FE63F2" w:rsidRDefault="00B124FF" w:rsidP="005F32B8">
            <w:pPr>
              <w:widowControl w:val="0"/>
              <w:rPr>
                <w:b/>
                <w:sz w:val="20"/>
                <w:szCs w:val="20"/>
              </w:rPr>
            </w:pPr>
            <w:r w:rsidRPr="00FE63F2">
              <w:rPr>
                <w:b/>
                <w:sz w:val="20"/>
                <w:szCs w:val="20"/>
              </w:rPr>
              <w:t>Civil / Civile</w:t>
            </w:r>
          </w:p>
        </w:tc>
        <w:tc>
          <w:tcPr>
            <w:tcW w:w="360" w:type="dxa"/>
          </w:tcPr>
          <w:p w:rsidR="00B124FF" w:rsidRPr="00FE63F2" w:rsidRDefault="00B124FF" w:rsidP="005F32B8">
            <w:pPr>
              <w:widowControl w:val="0"/>
              <w:rPr>
                <w:sz w:val="20"/>
                <w:szCs w:val="20"/>
              </w:rPr>
            </w:pPr>
          </w:p>
        </w:tc>
        <w:tc>
          <w:tcPr>
            <w:tcW w:w="3848" w:type="dxa"/>
          </w:tcPr>
          <w:p w:rsidR="00B124FF" w:rsidRPr="00FE63F2" w:rsidRDefault="00B124FF" w:rsidP="005F32B8">
            <w:pPr>
              <w:widowControl w:val="0"/>
              <w:rPr>
                <w:sz w:val="20"/>
                <w:szCs w:val="20"/>
              </w:rPr>
            </w:pPr>
          </w:p>
        </w:tc>
      </w:tr>
      <w:tr w:rsidR="00B124FF" w:rsidRPr="00FE63F2" w:rsidTr="005F32B8">
        <w:trPr>
          <w:cantSplit/>
        </w:trPr>
        <w:tc>
          <w:tcPr>
            <w:tcW w:w="508" w:type="dxa"/>
          </w:tcPr>
          <w:p w:rsidR="00B124FF" w:rsidRPr="00E0142A" w:rsidRDefault="00B124FF" w:rsidP="005F32B8">
            <w:pPr>
              <w:rPr>
                <w:sz w:val="20"/>
                <w:szCs w:val="20"/>
              </w:rPr>
            </w:pPr>
            <w:r w:rsidRPr="00E0142A">
              <w:rPr>
                <w:sz w:val="20"/>
                <w:szCs w:val="20"/>
              </w:rPr>
              <w:t>8.</w:t>
            </w:r>
          </w:p>
        </w:tc>
        <w:tc>
          <w:tcPr>
            <w:tcW w:w="810" w:type="dxa"/>
          </w:tcPr>
          <w:p w:rsidR="00B124FF" w:rsidRPr="00E0142A" w:rsidRDefault="00B124FF" w:rsidP="005F32B8">
            <w:pPr>
              <w:rPr>
                <w:sz w:val="20"/>
                <w:szCs w:val="20"/>
              </w:rPr>
            </w:pPr>
            <w:r w:rsidRPr="00E0142A">
              <w:rPr>
                <w:sz w:val="20"/>
                <w:szCs w:val="20"/>
              </w:rPr>
              <w:t>38298</w:t>
            </w:r>
          </w:p>
        </w:tc>
        <w:tc>
          <w:tcPr>
            <w:tcW w:w="4050" w:type="dxa"/>
          </w:tcPr>
          <w:p w:rsidR="00B124FF" w:rsidRPr="00E0142A" w:rsidRDefault="005B448B" w:rsidP="005F32B8">
            <w:pPr>
              <w:pStyle w:val="SCCAppellantInfoAppellantInfo"/>
              <w:rPr>
                <w:sz w:val="20"/>
                <w:szCs w:val="20"/>
              </w:rPr>
            </w:pPr>
            <w:r>
              <w:rPr>
                <w:sz w:val="20"/>
                <w:szCs w:val="20"/>
              </w:rPr>
              <w:t>Alana Boodhoo</w:t>
            </w:r>
            <w:r w:rsidR="00B124FF" w:rsidRPr="00E0142A">
              <w:rPr>
                <w:sz w:val="20"/>
                <w:szCs w:val="20"/>
              </w:rPr>
              <w:t xml:space="preserve"> et al.</w:t>
            </w:r>
          </w:p>
          <w:p w:rsidR="00B124FF" w:rsidRPr="00E0142A" w:rsidRDefault="00B124FF" w:rsidP="005F32B8">
            <w:pPr>
              <w:pStyle w:val="SCCAppellantInfoAppellantInfo"/>
              <w:rPr>
                <w:sz w:val="20"/>
                <w:szCs w:val="20"/>
              </w:rPr>
            </w:pPr>
            <w:r w:rsidRPr="00E0142A">
              <w:rPr>
                <w:sz w:val="20"/>
                <w:szCs w:val="20"/>
              </w:rPr>
              <w:t>(Ont.) (Civil) (By Leave)</w:t>
            </w:r>
          </w:p>
        </w:tc>
        <w:tc>
          <w:tcPr>
            <w:tcW w:w="360" w:type="dxa"/>
          </w:tcPr>
          <w:p w:rsidR="00B124FF" w:rsidRPr="00E0142A" w:rsidRDefault="00B124FF" w:rsidP="005F32B8">
            <w:pPr>
              <w:rPr>
                <w:sz w:val="20"/>
                <w:szCs w:val="20"/>
              </w:rPr>
            </w:pPr>
            <w:r w:rsidRPr="00E0142A">
              <w:rPr>
                <w:sz w:val="20"/>
                <w:szCs w:val="20"/>
              </w:rPr>
              <w:t>v.</w:t>
            </w:r>
          </w:p>
        </w:tc>
        <w:tc>
          <w:tcPr>
            <w:tcW w:w="3848" w:type="dxa"/>
          </w:tcPr>
          <w:p w:rsidR="00B124FF" w:rsidRPr="00E0142A" w:rsidRDefault="00B124FF" w:rsidP="005B448B">
            <w:pPr>
              <w:pStyle w:val="SCCAppellantInfoAppellantInfo"/>
              <w:rPr>
                <w:sz w:val="20"/>
                <w:szCs w:val="20"/>
              </w:rPr>
            </w:pPr>
            <w:r w:rsidRPr="00E0142A">
              <w:rPr>
                <w:sz w:val="20"/>
                <w:szCs w:val="20"/>
              </w:rPr>
              <w:t>Marivic Manuel et al.</w:t>
            </w:r>
          </w:p>
        </w:tc>
      </w:tr>
      <w:tr w:rsidR="00B124FF" w:rsidRPr="007C451B" w:rsidTr="005F32B8">
        <w:trPr>
          <w:cantSplit/>
        </w:trPr>
        <w:tc>
          <w:tcPr>
            <w:tcW w:w="508" w:type="dxa"/>
          </w:tcPr>
          <w:p w:rsidR="00B124FF" w:rsidRPr="00E0142A" w:rsidRDefault="00B124FF" w:rsidP="005F32B8">
            <w:pPr>
              <w:rPr>
                <w:sz w:val="20"/>
                <w:szCs w:val="20"/>
              </w:rPr>
            </w:pPr>
            <w:r w:rsidRPr="00E0142A">
              <w:rPr>
                <w:sz w:val="20"/>
                <w:szCs w:val="20"/>
              </w:rPr>
              <w:t>9.</w:t>
            </w:r>
          </w:p>
        </w:tc>
        <w:tc>
          <w:tcPr>
            <w:tcW w:w="810" w:type="dxa"/>
          </w:tcPr>
          <w:p w:rsidR="00B124FF" w:rsidRPr="00E0142A" w:rsidRDefault="00B124FF" w:rsidP="005F32B8">
            <w:pPr>
              <w:rPr>
                <w:sz w:val="20"/>
                <w:szCs w:val="20"/>
              </w:rPr>
            </w:pPr>
            <w:r w:rsidRPr="00E0142A">
              <w:rPr>
                <w:sz w:val="20"/>
                <w:szCs w:val="20"/>
              </w:rPr>
              <w:t>38223</w:t>
            </w:r>
          </w:p>
        </w:tc>
        <w:tc>
          <w:tcPr>
            <w:tcW w:w="4050" w:type="dxa"/>
          </w:tcPr>
          <w:p w:rsidR="00B124FF" w:rsidRPr="00E0142A" w:rsidRDefault="00B124FF" w:rsidP="005F32B8">
            <w:pPr>
              <w:pStyle w:val="SCCAppellantInfoAppellantInfo"/>
              <w:rPr>
                <w:sz w:val="20"/>
                <w:szCs w:val="20"/>
              </w:rPr>
            </w:pPr>
            <w:r w:rsidRPr="00E0142A">
              <w:rPr>
                <w:sz w:val="20"/>
                <w:szCs w:val="20"/>
              </w:rPr>
              <w:t>Jordan Arndt</w:t>
            </w:r>
          </w:p>
          <w:p w:rsidR="00B124FF" w:rsidRPr="00E0142A" w:rsidRDefault="00B124FF" w:rsidP="005F32B8">
            <w:pPr>
              <w:pStyle w:val="SCCAppellantInfoAppellantInfo"/>
              <w:rPr>
                <w:sz w:val="20"/>
                <w:szCs w:val="20"/>
              </w:rPr>
            </w:pPr>
            <w:r w:rsidRPr="00E0142A">
              <w:rPr>
                <w:sz w:val="20"/>
                <w:szCs w:val="20"/>
              </w:rPr>
              <w:t>(Alta.) (Civil) (By Leave)</w:t>
            </w:r>
          </w:p>
        </w:tc>
        <w:tc>
          <w:tcPr>
            <w:tcW w:w="360" w:type="dxa"/>
          </w:tcPr>
          <w:p w:rsidR="00B124FF" w:rsidRPr="00E0142A" w:rsidRDefault="00B124FF" w:rsidP="005F32B8">
            <w:pPr>
              <w:rPr>
                <w:sz w:val="20"/>
                <w:szCs w:val="20"/>
              </w:rPr>
            </w:pPr>
            <w:r w:rsidRPr="00E0142A">
              <w:rPr>
                <w:sz w:val="20"/>
                <w:szCs w:val="20"/>
              </w:rPr>
              <w:t>v.</w:t>
            </w:r>
          </w:p>
        </w:tc>
        <w:tc>
          <w:tcPr>
            <w:tcW w:w="3848" w:type="dxa"/>
          </w:tcPr>
          <w:p w:rsidR="00B124FF" w:rsidRPr="00E0142A" w:rsidRDefault="00B124FF" w:rsidP="005F32B8">
            <w:pPr>
              <w:pStyle w:val="SCCAppellantInfoAppellantInfo"/>
              <w:rPr>
                <w:sz w:val="20"/>
                <w:szCs w:val="20"/>
              </w:rPr>
            </w:pPr>
            <w:r w:rsidRPr="00E0142A">
              <w:rPr>
                <w:sz w:val="20"/>
                <w:szCs w:val="20"/>
              </w:rPr>
              <w:t>Kunal Banerji</w:t>
            </w:r>
          </w:p>
        </w:tc>
      </w:tr>
      <w:tr w:rsidR="00B124FF" w:rsidRPr="007C451B" w:rsidTr="005F32B8">
        <w:trPr>
          <w:cantSplit/>
        </w:trPr>
        <w:tc>
          <w:tcPr>
            <w:tcW w:w="508" w:type="dxa"/>
          </w:tcPr>
          <w:p w:rsidR="00B124FF" w:rsidRPr="00E0142A" w:rsidRDefault="00B124FF" w:rsidP="005F32B8">
            <w:pPr>
              <w:rPr>
                <w:sz w:val="20"/>
                <w:szCs w:val="20"/>
              </w:rPr>
            </w:pPr>
            <w:r w:rsidRPr="00E0142A">
              <w:rPr>
                <w:sz w:val="20"/>
                <w:szCs w:val="20"/>
              </w:rPr>
              <w:t>10.</w:t>
            </w:r>
          </w:p>
        </w:tc>
        <w:tc>
          <w:tcPr>
            <w:tcW w:w="810" w:type="dxa"/>
          </w:tcPr>
          <w:p w:rsidR="00B124FF" w:rsidRPr="00E0142A" w:rsidRDefault="00B124FF" w:rsidP="005F32B8">
            <w:pPr>
              <w:rPr>
                <w:sz w:val="20"/>
                <w:szCs w:val="20"/>
              </w:rPr>
            </w:pPr>
            <w:r w:rsidRPr="00E0142A">
              <w:rPr>
                <w:sz w:val="20"/>
                <w:szCs w:val="20"/>
              </w:rPr>
              <w:t>38377</w:t>
            </w:r>
          </w:p>
        </w:tc>
        <w:tc>
          <w:tcPr>
            <w:tcW w:w="4050" w:type="dxa"/>
          </w:tcPr>
          <w:p w:rsidR="00B124FF" w:rsidRPr="00E0142A" w:rsidRDefault="00B124FF" w:rsidP="005F32B8">
            <w:pPr>
              <w:pStyle w:val="SCCAppellantInfoAppellantInfo"/>
              <w:rPr>
                <w:sz w:val="20"/>
                <w:szCs w:val="20"/>
                <w:lang w:val="fr-CA"/>
              </w:rPr>
            </w:pPr>
            <w:r w:rsidRPr="00E0142A">
              <w:rPr>
                <w:sz w:val="20"/>
                <w:szCs w:val="20"/>
                <w:lang w:val="fr-CA"/>
              </w:rPr>
              <w:t>M.P.</w:t>
            </w:r>
          </w:p>
          <w:p w:rsidR="00B124FF" w:rsidRPr="00E0142A" w:rsidRDefault="00B124FF" w:rsidP="005F32B8">
            <w:pPr>
              <w:pStyle w:val="SCCAppellantInfoAppellantInfo"/>
              <w:rPr>
                <w:sz w:val="20"/>
                <w:szCs w:val="20"/>
                <w:lang w:val="fr-CA"/>
              </w:rPr>
            </w:pPr>
            <w:r w:rsidRPr="00E0142A">
              <w:rPr>
                <w:sz w:val="20"/>
                <w:szCs w:val="20"/>
                <w:lang w:val="fr-CA"/>
              </w:rPr>
              <w:t>(Qc) (Civile) (Autorisation)</w:t>
            </w:r>
          </w:p>
        </w:tc>
        <w:tc>
          <w:tcPr>
            <w:tcW w:w="360" w:type="dxa"/>
          </w:tcPr>
          <w:p w:rsidR="00B124FF" w:rsidRPr="00E0142A" w:rsidRDefault="00B124FF" w:rsidP="005F32B8">
            <w:pPr>
              <w:rPr>
                <w:sz w:val="20"/>
                <w:szCs w:val="20"/>
              </w:rPr>
            </w:pPr>
            <w:r w:rsidRPr="00E0142A">
              <w:rPr>
                <w:sz w:val="20"/>
                <w:szCs w:val="20"/>
              </w:rPr>
              <w:t>c.</w:t>
            </w:r>
          </w:p>
        </w:tc>
        <w:tc>
          <w:tcPr>
            <w:tcW w:w="3848" w:type="dxa"/>
          </w:tcPr>
          <w:p w:rsidR="00B124FF" w:rsidRPr="00E0142A" w:rsidRDefault="00B124FF" w:rsidP="005F32B8">
            <w:pPr>
              <w:pStyle w:val="SCCAppellantInfoAppellantInfo"/>
              <w:rPr>
                <w:sz w:val="20"/>
                <w:szCs w:val="20"/>
              </w:rPr>
            </w:pPr>
            <w:r w:rsidRPr="00E0142A">
              <w:rPr>
                <w:sz w:val="20"/>
                <w:szCs w:val="20"/>
              </w:rPr>
              <w:t>E.L.</w:t>
            </w:r>
          </w:p>
        </w:tc>
      </w:tr>
      <w:tr w:rsidR="00B124FF" w:rsidRPr="00FE63F2" w:rsidTr="005F32B8">
        <w:trPr>
          <w:cantSplit/>
        </w:trPr>
        <w:tc>
          <w:tcPr>
            <w:tcW w:w="508" w:type="dxa"/>
          </w:tcPr>
          <w:p w:rsidR="00B124FF" w:rsidRPr="00E0142A" w:rsidRDefault="00B124FF" w:rsidP="005F32B8">
            <w:pPr>
              <w:rPr>
                <w:sz w:val="20"/>
                <w:szCs w:val="20"/>
              </w:rPr>
            </w:pPr>
            <w:r w:rsidRPr="00E0142A">
              <w:rPr>
                <w:sz w:val="20"/>
                <w:szCs w:val="20"/>
              </w:rPr>
              <w:t>11.</w:t>
            </w:r>
          </w:p>
        </w:tc>
        <w:tc>
          <w:tcPr>
            <w:tcW w:w="810" w:type="dxa"/>
          </w:tcPr>
          <w:p w:rsidR="00B124FF" w:rsidRPr="00E0142A" w:rsidRDefault="00B124FF" w:rsidP="005F32B8">
            <w:pPr>
              <w:rPr>
                <w:sz w:val="20"/>
                <w:szCs w:val="20"/>
              </w:rPr>
            </w:pPr>
            <w:r w:rsidRPr="00E0142A">
              <w:rPr>
                <w:sz w:val="20"/>
                <w:szCs w:val="20"/>
              </w:rPr>
              <w:t>38278</w:t>
            </w:r>
          </w:p>
        </w:tc>
        <w:tc>
          <w:tcPr>
            <w:tcW w:w="4050" w:type="dxa"/>
          </w:tcPr>
          <w:p w:rsidR="00B124FF" w:rsidRPr="00E0142A" w:rsidRDefault="00B124FF" w:rsidP="005F32B8">
            <w:pPr>
              <w:pStyle w:val="SCCAppellantInfoAppellantInfo"/>
              <w:rPr>
                <w:sz w:val="20"/>
                <w:szCs w:val="20"/>
              </w:rPr>
            </w:pPr>
            <w:r w:rsidRPr="00E0142A">
              <w:rPr>
                <w:sz w:val="20"/>
                <w:szCs w:val="20"/>
              </w:rPr>
              <w:t>The Association for the pr</w:t>
            </w:r>
            <w:r w:rsidR="005B448B">
              <w:rPr>
                <w:sz w:val="20"/>
                <w:szCs w:val="20"/>
              </w:rPr>
              <w:t>otection of Fur-Bearing animals</w:t>
            </w:r>
            <w:r w:rsidRPr="00E0142A">
              <w:rPr>
                <w:sz w:val="20"/>
                <w:szCs w:val="20"/>
              </w:rPr>
              <w:t xml:space="preserve"> et al.</w:t>
            </w:r>
          </w:p>
          <w:p w:rsidR="00B124FF" w:rsidRPr="00E0142A" w:rsidRDefault="00B124FF" w:rsidP="005F32B8">
            <w:pPr>
              <w:pStyle w:val="SCCAppellantInfoAppellantInfo"/>
              <w:rPr>
                <w:sz w:val="20"/>
                <w:szCs w:val="20"/>
              </w:rPr>
            </w:pPr>
            <w:r w:rsidRPr="00E0142A">
              <w:rPr>
                <w:sz w:val="20"/>
                <w:szCs w:val="20"/>
              </w:rPr>
              <w:t>(B.C.) (Civil) (By Leave)</w:t>
            </w:r>
          </w:p>
        </w:tc>
        <w:tc>
          <w:tcPr>
            <w:tcW w:w="360" w:type="dxa"/>
          </w:tcPr>
          <w:p w:rsidR="00B124FF" w:rsidRPr="00E0142A" w:rsidRDefault="00B124FF" w:rsidP="005F32B8">
            <w:pPr>
              <w:rPr>
                <w:sz w:val="20"/>
                <w:szCs w:val="20"/>
              </w:rPr>
            </w:pPr>
            <w:r w:rsidRPr="00E0142A">
              <w:rPr>
                <w:sz w:val="20"/>
                <w:szCs w:val="20"/>
              </w:rPr>
              <w:t>v.</w:t>
            </w:r>
          </w:p>
        </w:tc>
        <w:tc>
          <w:tcPr>
            <w:tcW w:w="3848" w:type="dxa"/>
          </w:tcPr>
          <w:p w:rsidR="00B124FF" w:rsidRPr="00E0142A" w:rsidRDefault="00B124FF" w:rsidP="005F32B8">
            <w:pPr>
              <w:pStyle w:val="SCCAppellantInfoAppellantInfo"/>
              <w:rPr>
                <w:sz w:val="20"/>
                <w:szCs w:val="20"/>
              </w:rPr>
            </w:pPr>
            <w:r w:rsidRPr="00E0142A">
              <w:rPr>
                <w:sz w:val="20"/>
                <w:szCs w:val="20"/>
              </w:rPr>
              <w:t>The Minister of environment and climate change strategy for the province of British Columbia</w:t>
            </w:r>
            <w:r w:rsidR="005B448B">
              <w:rPr>
                <w:sz w:val="20"/>
                <w:szCs w:val="20"/>
              </w:rPr>
              <w:t xml:space="preserve"> (Conservation Officer Service)</w:t>
            </w:r>
            <w:r w:rsidRPr="00E0142A">
              <w:rPr>
                <w:sz w:val="20"/>
                <w:szCs w:val="20"/>
              </w:rPr>
              <w:t xml:space="preserve"> et al.</w:t>
            </w:r>
          </w:p>
        </w:tc>
      </w:tr>
      <w:tr w:rsidR="00B124FF" w:rsidRPr="00FE63F2" w:rsidTr="005F32B8">
        <w:trPr>
          <w:cantSplit/>
        </w:trPr>
        <w:tc>
          <w:tcPr>
            <w:tcW w:w="508" w:type="dxa"/>
          </w:tcPr>
          <w:p w:rsidR="00B124FF" w:rsidRPr="00E0142A" w:rsidRDefault="00B124FF" w:rsidP="005F32B8">
            <w:pPr>
              <w:rPr>
                <w:sz w:val="20"/>
                <w:szCs w:val="20"/>
              </w:rPr>
            </w:pPr>
            <w:r w:rsidRPr="00E0142A">
              <w:rPr>
                <w:sz w:val="20"/>
                <w:szCs w:val="20"/>
              </w:rPr>
              <w:t>12.</w:t>
            </w:r>
          </w:p>
        </w:tc>
        <w:tc>
          <w:tcPr>
            <w:tcW w:w="810" w:type="dxa"/>
          </w:tcPr>
          <w:p w:rsidR="00B124FF" w:rsidRPr="00E0142A" w:rsidRDefault="00B124FF" w:rsidP="005F32B8">
            <w:pPr>
              <w:rPr>
                <w:sz w:val="20"/>
                <w:szCs w:val="20"/>
              </w:rPr>
            </w:pPr>
            <w:r w:rsidRPr="00E0142A">
              <w:rPr>
                <w:sz w:val="20"/>
                <w:szCs w:val="20"/>
              </w:rPr>
              <w:t>38166</w:t>
            </w:r>
          </w:p>
        </w:tc>
        <w:tc>
          <w:tcPr>
            <w:tcW w:w="4050" w:type="dxa"/>
          </w:tcPr>
          <w:p w:rsidR="00B124FF" w:rsidRPr="00E0142A" w:rsidRDefault="005B448B" w:rsidP="005F32B8">
            <w:pPr>
              <w:pStyle w:val="SCCAppellantInfoAppellantInfo"/>
              <w:rPr>
                <w:sz w:val="20"/>
                <w:szCs w:val="20"/>
              </w:rPr>
            </w:pPr>
            <w:r>
              <w:rPr>
                <w:sz w:val="20"/>
                <w:szCs w:val="20"/>
              </w:rPr>
              <w:t>John Connelly</w:t>
            </w:r>
            <w:r w:rsidR="00B124FF" w:rsidRPr="00E0142A">
              <w:rPr>
                <w:sz w:val="20"/>
                <w:szCs w:val="20"/>
              </w:rPr>
              <w:t xml:space="preserve"> et al.</w:t>
            </w:r>
          </w:p>
          <w:p w:rsidR="00B124FF" w:rsidRPr="00E0142A" w:rsidRDefault="00B124FF" w:rsidP="005F32B8">
            <w:pPr>
              <w:pStyle w:val="SCCAppellantInfoAppellantInfo"/>
              <w:rPr>
                <w:sz w:val="20"/>
                <w:szCs w:val="20"/>
              </w:rPr>
            </w:pPr>
            <w:r w:rsidRPr="00E0142A">
              <w:rPr>
                <w:sz w:val="20"/>
                <w:szCs w:val="20"/>
              </w:rPr>
              <w:t>(Ont.) (Civil) (By Leave)</w:t>
            </w:r>
          </w:p>
          <w:p w:rsidR="00B124FF" w:rsidRPr="00E0142A" w:rsidRDefault="00B124FF" w:rsidP="005F32B8">
            <w:pPr>
              <w:rPr>
                <w:sz w:val="20"/>
                <w:szCs w:val="20"/>
              </w:rPr>
            </w:pPr>
          </w:p>
        </w:tc>
        <w:tc>
          <w:tcPr>
            <w:tcW w:w="360" w:type="dxa"/>
          </w:tcPr>
          <w:p w:rsidR="00B124FF" w:rsidRPr="00E0142A" w:rsidRDefault="00B124FF" w:rsidP="005F32B8">
            <w:pPr>
              <w:rPr>
                <w:sz w:val="20"/>
                <w:szCs w:val="20"/>
              </w:rPr>
            </w:pPr>
            <w:r w:rsidRPr="00E0142A">
              <w:rPr>
                <w:sz w:val="20"/>
                <w:szCs w:val="20"/>
              </w:rPr>
              <w:t>v.</w:t>
            </w:r>
          </w:p>
        </w:tc>
        <w:tc>
          <w:tcPr>
            <w:tcW w:w="3848" w:type="dxa"/>
          </w:tcPr>
          <w:p w:rsidR="00B124FF" w:rsidRPr="00E0142A" w:rsidRDefault="00B124FF" w:rsidP="005F32B8">
            <w:pPr>
              <w:pStyle w:val="SCCAppellantInfoAppellantInfo"/>
              <w:rPr>
                <w:sz w:val="20"/>
                <w:szCs w:val="20"/>
              </w:rPr>
            </w:pPr>
            <w:r w:rsidRPr="00E0142A">
              <w:rPr>
                <w:sz w:val="20"/>
                <w:szCs w:val="20"/>
              </w:rPr>
              <w:t>Toronto Police Services Board</w:t>
            </w:r>
          </w:p>
        </w:tc>
      </w:tr>
    </w:tbl>
    <w:p w:rsidR="009E2C1C" w:rsidRDefault="009E2C1C">
      <w:r>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08"/>
        <w:gridCol w:w="810"/>
        <w:gridCol w:w="4050"/>
        <w:gridCol w:w="360"/>
        <w:gridCol w:w="3848"/>
      </w:tblGrid>
      <w:tr w:rsidR="00B124FF" w:rsidRPr="00CC0B55" w:rsidTr="005F32B8">
        <w:trPr>
          <w:cantSplit/>
        </w:trPr>
        <w:tc>
          <w:tcPr>
            <w:tcW w:w="508" w:type="dxa"/>
          </w:tcPr>
          <w:p w:rsidR="00B124FF" w:rsidRPr="00FE63F2" w:rsidRDefault="00B124FF" w:rsidP="005F32B8">
            <w:pPr>
              <w:widowControl w:val="0"/>
              <w:rPr>
                <w:sz w:val="20"/>
                <w:szCs w:val="20"/>
              </w:rPr>
            </w:pPr>
          </w:p>
        </w:tc>
        <w:tc>
          <w:tcPr>
            <w:tcW w:w="810" w:type="dxa"/>
          </w:tcPr>
          <w:p w:rsidR="00B124FF" w:rsidRPr="00FE63F2" w:rsidRDefault="00B124FF" w:rsidP="005F32B8">
            <w:pPr>
              <w:widowControl w:val="0"/>
              <w:rPr>
                <w:sz w:val="20"/>
                <w:szCs w:val="20"/>
              </w:rPr>
            </w:pPr>
          </w:p>
        </w:tc>
        <w:tc>
          <w:tcPr>
            <w:tcW w:w="8258" w:type="dxa"/>
            <w:gridSpan w:val="3"/>
          </w:tcPr>
          <w:p w:rsidR="00B124FF" w:rsidRPr="00C50A5C" w:rsidRDefault="00B124FF" w:rsidP="005F32B8">
            <w:pPr>
              <w:widowControl w:val="0"/>
              <w:jc w:val="center"/>
              <w:rPr>
                <w:b/>
                <w:sz w:val="20"/>
                <w:szCs w:val="20"/>
              </w:rPr>
            </w:pPr>
            <w:r w:rsidRPr="00C50A5C">
              <w:rPr>
                <w:b/>
                <w:sz w:val="20"/>
                <w:szCs w:val="20"/>
              </w:rPr>
              <w:t xml:space="preserve">CORAM: </w:t>
            </w:r>
            <w:r w:rsidRPr="00253236">
              <w:rPr>
                <w:b/>
                <w:sz w:val="20"/>
                <w:szCs w:val="20"/>
              </w:rPr>
              <w:t>Moldaver</w:t>
            </w:r>
            <w:r>
              <w:rPr>
                <w:b/>
                <w:sz w:val="20"/>
                <w:szCs w:val="20"/>
              </w:rPr>
              <w:t xml:space="preserve">, Karakatsanis and </w:t>
            </w:r>
            <w:r w:rsidRPr="00253236">
              <w:rPr>
                <w:b/>
                <w:sz w:val="20"/>
                <w:szCs w:val="20"/>
              </w:rPr>
              <w:t>Côté</w:t>
            </w:r>
            <w:r>
              <w:rPr>
                <w:b/>
                <w:sz w:val="20"/>
                <w:szCs w:val="20"/>
              </w:rPr>
              <w:t xml:space="preserve"> </w:t>
            </w:r>
            <w:r w:rsidRPr="00C50A5C">
              <w:rPr>
                <w:b/>
                <w:sz w:val="20"/>
                <w:szCs w:val="20"/>
              </w:rPr>
              <w:t>JJ.</w:t>
            </w:r>
          </w:p>
          <w:p w:rsidR="00B124FF" w:rsidRPr="004342A0" w:rsidRDefault="00B124FF" w:rsidP="005F32B8">
            <w:pPr>
              <w:widowControl w:val="0"/>
              <w:jc w:val="center"/>
              <w:rPr>
                <w:sz w:val="20"/>
                <w:szCs w:val="20"/>
                <w:lang w:val="fr-CA"/>
              </w:rPr>
            </w:pPr>
            <w:r w:rsidRPr="00C50A5C">
              <w:rPr>
                <w:b/>
                <w:sz w:val="20"/>
                <w:szCs w:val="20"/>
                <w:lang w:val="fr-CA"/>
              </w:rPr>
              <w:t xml:space="preserve">Les juges </w:t>
            </w:r>
            <w:r w:rsidRPr="00253236">
              <w:rPr>
                <w:b/>
                <w:sz w:val="20"/>
                <w:szCs w:val="20"/>
                <w:lang w:val="fr-CA"/>
              </w:rPr>
              <w:t>Moldaver</w:t>
            </w:r>
            <w:r>
              <w:rPr>
                <w:b/>
                <w:sz w:val="20"/>
                <w:szCs w:val="20"/>
                <w:lang w:val="fr-CA"/>
              </w:rPr>
              <w:t xml:space="preserve">, Karakatsanis et </w:t>
            </w:r>
            <w:r w:rsidRPr="00253236">
              <w:rPr>
                <w:b/>
                <w:sz w:val="20"/>
                <w:szCs w:val="20"/>
                <w:lang w:val="fr-CA"/>
              </w:rPr>
              <w:t>Côté</w:t>
            </w:r>
          </w:p>
        </w:tc>
      </w:tr>
      <w:tr w:rsidR="00B124FF" w:rsidRPr="00FE63F2" w:rsidTr="005F32B8">
        <w:trPr>
          <w:cantSplit/>
        </w:trPr>
        <w:tc>
          <w:tcPr>
            <w:tcW w:w="508" w:type="dxa"/>
          </w:tcPr>
          <w:p w:rsidR="00B124FF" w:rsidRPr="004342A0" w:rsidRDefault="00B124FF" w:rsidP="005F32B8">
            <w:pPr>
              <w:widowControl w:val="0"/>
              <w:rPr>
                <w:sz w:val="20"/>
                <w:szCs w:val="20"/>
                <w:lang w:val="fr-CA"/>
              </w:rPr>
            </w:pPr>
          </w:p>
        </w:tc>
        <w:tc>
          <w:tcPr>
            <w:tcW w:w="810" w:type="dxa"/>
          </w:tcPr>
          <w:p w:rsidR="00B124FF" w:rsidRPr="004342A0" w:rsidRDefault="00B124FF" w:rsidP="005F32B8">
            <w:pPr>
              <w:widowControl w:val="0"/>
              <w:rPr>
                <w:sz w:val="20"/>
                <w:szCs w:val="20"/>
                <w:lang w:val="fr-CA"/>
              </w:rPr>
            </w:pPr>
          </w:p>
        </w:tc>
        <w:tc>
          <w:tcPr>
            <w:tcW w:w="4050" w:type="dxa"/>
          </w:tcPr>
          <w:p w:rsidR="00B124FF" w:rsidRPr="00FE63F2" w:rsidRDefault="00B124FF" w:rsidP="005F32B8">
            <w:pPr>
              <w:widowControl w:val="0"/>
              <w:rPr>
                <w:b/>
                <w:sz w:val="20"/>
                <w:szCs w:val="20"/>
              </w:rPr>
            </w:pPr>
            <w:r w:rsidRPr="00FE63F2">
              <w:rPr>
                <w:b/>
                <w:sz w:val="20"/>
                <w:szCs w:val="20"/>
              </w:rPr>
              <w:t>Criminal / Criminelle</w:t>
            </w:r>
          </w:p>
        </w:tc>
        <w:tc>
          <w:tcPr>
            <w:tcW w:w="360" w:type="dxa"/>
          </w:tcPr>
          <w:p w:rsidR="00B124FF" w:rsidRPr="00FE63F2" w:rsidRDefault="00B124FF" w:rsidP="005F32B8">
            <w:pPr>
              <w:widowControl w:val="0"/>
              <w:rPr>
                <w:sz w:val="20"/>
                <w:szCs w:val="20"/>
              </w:rPr>
            </w:pPr>
          </w:p>
        </w:tc>
        <w:tc>
          <w:tcPr>
            <w:tcW w:w="3848" w:type="dxa"/>
          </w:tcPr>
          <w:p w:rsidR="00B124FF" w:rsidRPr="00FE63F2" w:rsidRDefault="00B124FF" w:rsidP="005F32B8">
            <w:pPr>
              <w:widowControl w:val="0"/>
              <w:rPr>
                <w:sz w:val="20"/>
                <w:szCs w:val="20"/>
              </w:rPr>
            </w:pPr>
          </w:p>
        </w:tc>
      </w:tr>
      <w:tr w:rsidR="00B124FF" w:rsidRPr="00FE63F2" w:rsidTr="005F32B8">
        <w:trPr>
          <w:cantSplit/>
        </w:trPr>
        <w:tc>
          <w:tcPr>
            <w:tcW w:w="508" w:type="dxa"/>
          </w:tcPr>
          <w:p w:rsidR="00B124FF" w:rsidRPr="00E0142A" w:rsidRDefault="00B124FF" w:rsidP="005F32B8">
            <w:pPr>
              <w:rPr>
                <w:sz w:val="20"/>
                <w:szCs w:val="20"/>
              </w:rPr>
            </w:pPr>
            <w:r w:rsidRPr="00E0142A">
              <w:rPr>
                <w:sz w:val="20"/>
                <w:szCs w:val="20"/>
              </w:rPr>
              <w:t>13.</w:t>
            </w:r>
          </w:p>
        </w:tc>
        <w:tc>
          <w:tcPr>
            <w:tcW w:w="810" w:type="dxa"/>
          </w:tcPr>
          <w:p w:rsidR="00B124FF" w:rsidRPr="00E0142A" w:rsidRDefault="00B124FF" w:rsidP="005F32B8">
            <w:pPr>
              <w:rPr>
                <w:sz w:val="20"/>
                <w:szCs w:val="20"/>
              </w:rPr>
            </w:pPr>
            <w:r w:rsidRPr="00E0142A">
              <w:rPr>
                <w:sz w:val="20"/>
                <w:szCs w:val="20"/>
              </w:rPr>
              <w:t>38403</w:t>
            </w:r>
          </w:p>
        </w:tc>
        <w:tc>
          <w:tcPr>
            <w:tcW w:w="4050" w:type="dxa"/>
          </w:tcPr>
          <w:p w:rsidR="00B124FF" w:rsidRPr="00E0142A" w:rsidRDefault="00B124FF" w:rsidP="005F32B8">
            <w:pPr>
              <w:pStyle w:val="SCCAppellantInfoAppellantInfo"/>
              <w:rPr>
                <w:sz w:val="20"/>
                <w:szCs w:val="20"/>
              </w:rPr>
            </w:pPr>
            <w:r w:rsidRPr="00E0142A">
              <w:rPr>
                <w:sz w:val="20"/>
                <w:szCs w:val="20"/>
              </w:rPr>
              <w:t>S.C.W.</w:t>
            </w:r>
          </w:p>
          <w:p w:rsidR="00B124FF" w:rsidRPr="00E0142A" w:rsidRDefault="00B124FF" w:rsidP="005F32B8">
            <w:pPr>
              <w:pStyle w:val="SCCAppellantInfoAppellantInfo"/>
              <w:rPr>
                <w:sz w:val="20"/>
                <w:szCs w:val="20"/>
              </w:rPr>
            </w:pPr>
            <w:r w:rsidRPr="00E0142A">
              <w:rPr>
                <w:sz w:val="20"/>
                <w:szCs w:val="20"/>
              </w:rPr>
              <w:t>(B.C.) (Criminal) (By Leave)</w:t>
            </w:r>
          </w:p>
        </w:tc>
        <w:tc>
          <w:tcPr>
            <w:tcW w:w="360" w:type="dxa"/>
          </w:tcPr>
          <w:p w:rsidR="00B124FF" w:rsidRPr="00E0142A" w:rsidRDefault="00B124FF" w:rsidP="005F32B8">
            <w:pPr>
              <w:rPr>
                <w:sz w:val="20"/>
                <w:szCs w:val="20"/>
              </w:rPr>
            </w:pPr>
            <w:r w:rsidRPr="00E0142A">
              <w:rPr>
                <w:sz w:val="20"/>
                <w:szCs w:val="20"/>
              </w:rPr>
              <w:t>v.</w:t>
            </w:r>
          </w:p>
        </w:tc>
        <w:tc>
          <w:tcPr>
            <w:tcW w:w="3848" w:type="dxa"/>
          </w:tcPr>
          <w:p w:rsidR="00B124FF" w:rsidRPr="00E0142A" w:rsidRDefault="00B124FF" w:rsidP="005F32B8">
            <w:pPr>
              <w:pStyle w:val="SCCAppellantInfoAppellantInfo"/>
              <w:rPr>
                <w:sz w:val="20"/>
                <w:szCs w:val="20"/>
              </w:rPr>
            </w:pPr>
            <w:r w:rsidRPr="00E0142A">
              <w:rPr>
                <w:sz w:val="20"/>
                <w:szCs w:val="20"/>
              </w:rPr>
              <w:t>Her Majesty the Queen</w:t>
            </w:r>
          </w:p>
        </w:tc>
      </w:tr>
      <w:tr w:rsidR="00B124FF" w:rsidRPr="00FE63F2" w:rsidTr="005F32B8">
        <w:trPr>
          <w:cantSplit/>
        </w:trPr>
        <w:tc>
          <w:tcPr>
            <w:tcW w:w="508" w:type="dxa"/>
          </w:tcPr>
          <w:p w:rsidR="00B124FF" w:rsidRPr="00FE63F2" w:rsidRDefault="00B124FF" w:rsidP="005F32B8">
            <w:pPr>
              <w:widowControl w:val="0"/>
              <w:rPr>
                <w:sz w:val="20"/>
                <w:szCs w:val="20"/>
              </w:rPr>
            </w:pPr>
          </w:p>
        </w:tc>
        <w:tc>
          <w:tcPr>
            <w:tcW w:w="810" w:type="dxa"/>
          </w:tcPr>
          <w:p w:rsidR="00B124FF" w:rsidRPr="00FE63F2" w:rsidRDefault="00B124FF" w:rsidP="005F32B8">
            <w:pPr>
              <w:widowControl w:val="0"/>
              <w:rPr>
                <w:sz w:val="20"/>
                <w:szCs w:val="20"/>
              </w:rPr>
            </w:pPr>
          </w:p>
        </w:tc>
        <w:tc>
          <w:tcPr>
            <w:tcW w:w="4050" w:type="dxa"/>
          </w:tcPr>
          <w:p w:rsidR="00B124FF" w:rsidRPr="00FE63F2" w:rsidRDefault="00B124FF" w:rsidP="005F32B8">
            <w:pPr>
              <w:widowControl w:val="0"/>
              <w:rPr>
                <w:b/>
                <w:sz w:val="20"/>
                <w:szCs w:val="20"/>
              </w:rPr>
            </w:pPr>
            <w:r w:rsidRPr="00FE63F2">
              <w:rPr>
                <w:b/>
                <w:sz w:val="20"/>
                <w:szCs w:val="20"/>
              </w:rPr>
              <w:t>Civil / Civile</w:t>
            </w:r>
          </w:p>
        </w:tc>
        <w:tc>
          <w:tcPr>
            <w:tcW w:w="360" w:type="dxa"/>
          </w:tcPr>
          <w:p w:rsidR="00B124FF" w:rsidRPr="00FE63F2" w:rsidRDefault="00B124FF" w:rsidP="005F32B8">
            <w:pPr>
              <w:widowControl w:val="0"/>
              <w:rPr>
                <w:sz w:val="20"/>
                <w:szCs w:val="20"/>
              </w:rPr>
            </w:pPr>
          </w:p>
        </w:tc>
        <w:tc>
          <w:tcPr>
            <w:tcW w:w="3848" w:type="dxa"/>
          </w:tcPr>
          <w:p w:rsidR="00B124FF" w:rsidRPr="00FE63F2" w:rsidRDefault="00B124FF" w:rsidP="005F32B8">
            <w:pPr>
              <w:widowControl w:val="0"/>
              <w:rPr>
                <w:sz w:val="20"/>
                <w:szCs w:val="20"/>
              </w:rPr>
            </w:pPr>
          </w:p>
        </w:tc>
      </w:tr>
      <w:tr w:rsidR="00B124FF" w:rsidRPr="00FE63F2" w:rsidTr="005F32B8">
        <w:trPr>
          <w:cantSplit/>
        </w:trPr>
        <w:tc>
          <w:tcPr>
            <w:tcW w:w="508" w:type="dxa"/>
          </w:tcPr>
          <w:p w:rsidR="00B124FF" w:rsidRPr="00E0142A" w:rsidRDefault="00B124FF" w:rsidP="005F32B8">
            <w:pPr>
              <w:rPr>
                <w:sz w:val="20"/>
                <w:szCs w:val="20"/>
              </w:rPr>
            </w:pPr>
            <w:r w:rsidRPr="00E0142A">
              <w:rPr>
                <w:sz w:val="20"/>
                <w:szCs w:val="20"/>
              </w:rPr>
              <w:t>14.</w:t>
            </w:r>
          </w:p>
        </w:tc>
        <w:tc>
          <w:tcPr>
            <w:tcW w:w="810" w:type="dxa"/>
          </w:tcPr>
          <w:p w:rsidR="00B124FF" w:rsidRPr="00E0142A" w:rsidRDefault="00B124FF" w:rsidP="005F32B8">
            <w:pPr>
              <w:rPr>
                <w:sz w:val="20"/>
                <w:szCs w:val="20"/>
              </w:rPr>
            </w:pPr>
            <w:r w:rsidRPr="00E0142A">
              <w:rPr>
                <w:sz w:val="20"/>
                <w:szCs w:val="20"/>
              </w:rPr>
              <w:t>38384</w:t>
            </w:r>
          </w:p>
        </w:tc>
        <w:tc>
          <w:tcPr>
            <w:tcW w:w="4050" w:type="dxa"/>
          </w:tcPr>
          <w:p w:rsidR="00B124FF" w:rsidRPr="00E0142A" w:rsidRDefault="00B124FF" w:rsidP="005F32B8">
            <w:pPr>
              <w:pStyle w:val="SCCAppellantInfoAppellantInfo"/>
              <w:rPr>
                <w:sz w:val="20"/>
                <w:szCs w:val="20"/>
              </w:rPr>
            </w:pPr>
            <w:r w:rsidRPr="00E0142A">
              <w:rPr>
                <w:sz w:val="20"/>
                <w:szCs w:val="20"/>
              </w:rPr>
              <w:t>Rosa Donna Este</w:t>
            </w:r>
          </w:p>
          <w:p w:rsidR="00B124FF" w:rsidRPr="00E0142A" w:rsidRDefault="00B124FF" w:rsidP="005F32B8">
            <w:pPr>
              <w:pStyle w:val="SCCAppellantInfoAppellantInfo"/>
              <w:rPr>
                <w:sz w:val="20"/>
                <w:szCs w:val="20"/>
              </w:rPr>
            </w:pPr>
            <w:r w:rsidRPr="00E0142A">
              <w:rPr>
                <w:sz w:val="20"/>
                <w:szCs w:val="20"/>
              </w:rPr>
              <w:t>(B.C.) (Civil) (By Leave)</w:t>
            </w:r>
          </w:p>
        </w:tc>
        <w:tc>
          <w:tcPr>
            <w:tcW w:w="360" w:type="dxa"/>
          </w:tcPr>
          <w:p w:rsidR="00B124FF" w:rsidRPr="00E0142A" w:rsidRDefault="00B124FF" w:rsidP="005F32B8">
            <w:pPr>
              <w:rPr>
                <w:sz w:val="20"/>
                <w:szCs w:val="20"/>
              </w:rPr>
            </w:pPr>
            <w:r w:rsidRPr="00E0142A">
              <w:rPr>
                <w:sz w:val="20"/>
                <w:szCs w:val="20"/>
              </w:rPr>
              <w:t>v.</w:t>
            </w:r>
          </w:p>
        </w:tc>
        <w:tc>
          <w:tcPr>
            <w:tcW w:w="3848" w:type="dxa"/>
          </w:tcPr>
          <w:p w:rsidR="00B124FF" w:rsidRPr="00E0142A" w:rsidRDefault="00B124FF" w:rsidP="005F32B8">
            <w:pPr>
              <w:pStyle w:val="SCCAppellantInfoAppellantInfo"/>
              <w:rPr>
                <w:sz w:val="20"/>
                <w:szCs w:val="20"/>
              </w:rPr>
            </w:pPr>
            <w:r w:rsidRPr="00E0142A">
              <w:rPr>
                <w:sz w:val="20"/>
                <w:szCs w:val="20"/>
              </w:rPr>
              <w:t xml:space="preserve">Mina Esteghamat-Ardakani also known as Mina </w:t>
            </w:r>
            <w:r w:rsidR="005B448B">
              <w:rPr>
                <w:sz w:val="20"/>
                <w:szCs w:val="20"/>
              </w:rPr>
              <w:t>Estegahamat-Ardakani</w:t>
            </w:r>
            <w:r w:rsidRPr="00E0142A">
              <w:rPr>
                <w:sz w:val="20"/>
                <w:szCs w:val="20"/>
              </w:rPr>
              <w:t xml:space="preserve"> et al.</w:t>
            </w:r>
          </w:p>
        </w:tc>
      </w:tr>
      <w:tr w:rsidR="00B124FF" w:rsidRPr="00CC0B55" w:rsidTr="005F32B8">
        <w:trPr>
          <w:cantSplit/>
        </w:trPr>
        <w:tc>
          <w:tcPr>
            <w:tcW w:w="508" w:type="dxa"/>
          </w:tcPr>
          <w:p w:rsidR="00B124FF" w:rsidRPr="00E0142A" w:rsidRDefault="00B124FF" w:rsidP="005F32B8">
            <w:pPr>
              <w:rPr>
                <w:sz w:val="20"/>
                <w:szCs w:val="20"/>
              </w:rPr>
            </w:pPr>
            <w:r w:rsidRPr="00E0142A">
              <w:rPr>
                <w:sz w:val="20"/>
                <w:szCs w:val="20"/>
              </w:rPr>
              <w:t>15.</w:t>
            </w:r>
          </w:p>
        </w:tc>
        <w:tc>
          <w:tcPr>
            <w:tcW w:w="810" w:type="dxa"/>
          </w:tcPr>
          <w:p w:rsidR="00B124FF" w:rsidRPr="00E0142A" w:rsidRDefault="00B124FF" w:rsidP="005F32B8">
            <w:pPr>
              <w:rPr>
                <w:sz w:val="20"/>
                <w:szCs w:val="20"/>
              </w:rPr>
            </w:pPr>
            <w:r w:rsidRPr="00E0142A">
              <w:rPr>
                <w:sz w:val="20"/>
                <w:szCs w:val="20"/>
              </w:rPr>
              <w:t>38275</w:t>
            </w:r>
          </w:p>
        </w:tc>
        <w:tc>
          <w:tcPr>
            <w:tcW w:w="4050" w:type="dxa"/>
          </w:tcPr>
          <w:p w:rsidR="00B124FF" w:rsidRPr="00E0142A" w:rsidRDefault="00B124FF" w:rsidP="005F32B8">
            <w:pPr>
              <w:pStyle w:val="SCCAppellantInfoAppellantInfo"/>
              <w:rPr>
                <w:sz w:val="20"/>
                <w:szCs w:val="20"/>
                <w:lang w:val="fr-CA"/>
              </w:rPr>
            </w:pPr>
            <w:r w:rsidRPr="00E0142A">
              <w:rPr>
                <w:sz w:val="20"/>
                <w:szCs w:val="20"/>
                <w:lang w:val="fr-CA"/>
              </w:rPr>
              <w:t>Ville de Montréal</w:t>
            </w:r>
          </w:p>
          <w:p w:rsidR="00B124FF" w:rsidRPr="00E0142A" w:rsidRDefault="00B124FF" w:rsidP="005F32B8">
            <w:pPr>
              <w:pStyle w:val="SCCAppellantInfoAppellantInfo"/>
              <w:rPr>
                <w:sz w:val="20"/>
                <w:szCs w:val="20"/>
                <w:lang w:val="fr-CA"/>
              </w:rPr>
            </w:pPr>
            <w:r w:rsidRPr="00E0142A">
              <w:rPr>
                <w:sz w:val="20"/>
                <w:szCs w:val="20"/>
                <w:lang w:val="fr-CA"/>
              </w:rPr>
              <w:t>(Qc) (Civile) (Autorisation)</w:t>
            </w:r>
          </w:p>
        </w:tc>
        <w:tc>
          <w:tcPr>
            <w:tcW w:w="360" w:type="dxa"/>
          </w:tcPr>
          <w:p w:rsidR="00B124FF" w:rsidRPr="00E0142A" w:rsidRDefault="00B124FF" w:rsidP="005F32B8">
            <w:pPr>
              <w:rPr>
                <w:sz w:val="20"/>
                <w:szCs w:val="20"/>
              </w:rPr>
            </w:pPr>
            <w:r w:rsidRPr="00E0142A">
              <w:rPr>
                <w:sz w:val="20"/>
                <w:szCs w:val="20"/>
              </w:rPr>
              <w:t>c.</w:t>
            </w:r>
          </w:p>
        </w:tc>
        <w:tc>
          <w:tcPr>
            <w:tcW w:w="3848" w:type="dxa"/>
          </w:tcPr>
          <w:p w:rsidR="00B124FF" w:rsidRPr="00E0142A" w:rsidRDefault="00B124FF" w:rsidP="005F32B8">
            <w:pPr>
              <w:pStyle w:val="SCCAppellantInfoAppellantInfo"/>
              <w:rPr>
                <w:sz w:val="20"/>
                <w:szCs w:val="20"/>
                <w:lang w:val="fr-CA"/>
              </w:rPr>
            </w:pPr>
            <w:r w:rsidRPr="00E0142A">
              <w:rPr>
                <w:sz w:val="20"/>
                <w:szCs w:val="20"/>
                <w:lang w:val="fr-CA"/>
              </w:rPr>
              <w:t>Fraternité des polic</w:t>
            </w:r>
            <w:r w:rsidR="005B448B">
              <w:rPr>
                <w:sz w:val="20"/>
                <w:szCs w:val="20"/>
                <w:lang w:val="fr-CA"/>
              </w:rPr>
              <w:t xml:space="preserve">iers et policières de Montréal </w:t>
            </w:r>
            <w:r w:rsidRPr="00E0142A">
              <w:rPr>
                <w:sz w:val="20"/>
                <w:szCs w:val="20"/>
                <w:lang w:val="fr-CA"/>
              </w:rPr>
              <w:t>et al.</w:t>
            </w:r>
          </w:p>
        </w:tc>
      </w:tr>
      <w:tr w:rsidR="00B124FF" w:rsidRPr="00FE63F2" w:rsidTr="005F32B8">
        <w:trPr>
          <w:cantSplit/>
        </w:trPr>
        <w:tc>
          <w:tcPr>
            <w:tcW w:w="508" w:type="dxa"/>
          </w:tcPr>
          <w:p w:rsidR="00B124FF" w:rsidRPr="00E0142A" w:rsidRDefault="00B124FF" w:rsidP="005F32B8">
            <w:pPr>
              <w:rPr>
                <w:sz w:val="20"/>
                <w:szCs w:val="20"/>
              </w:rPr>
            </w:pPr>
            <w:r w:rsidRPr="00E0142A">
              <w:rPr>
                <w:sz w:val="20"/>
                <w:szCs w:val="20"/>
              </w:rPr>
              <w:t>16.</w:t>
            </w:r>
          </w:p>
        </w:tc>
        <w:tc>
          <w:tcPr>
            <w:tcW w:w="810" w:type="dxa"/>
          </w:tcPr>
          <w:p w:rsidR="00B124FF" w:rsidRPr="00E0142A" w:rsidRDefault="00B124FF" w:rsidP="005F32B8">
            <w:pPr>
              <w:rPr>
                <w:sz w:val="20"/>
                <w:szCs w:val="20"/>
              </w:rPr>
            </w:pPr>
            <w:r w:rsidRPr="00E0142A">
              <w:rPr>
                <w:sz w:val="20"/>
                <w:szCs w:val="20"/>
              </w:rPr>
              <w:t>38259</w:t>
            </w:r>
          </w:p>
        </w:tc>
        <w:tc>
          <w:tcPr>
            <w:tcW w:w="4050" w:type="dxa"/>
          </w:tcPr>
          <w:p w:rsidR="00B124FF" w:rsidRPr="00E0142A" w:rsidRDefault="005B448B" w:rsidP="005F32B8">
            <w:pPr>
              <w:pStyle w:val="SCCAppellantInfoAppellantInfo"/>
              <w:rPr>
                <w:sz w:val="20"/>
                <w:szCs w:val="20"/>
              </w:rPr>
            </w:pPr>
            <w:r>
              <w:rPr>
                <w:sz w:val="20"/>
                <w:szCs w:val="20"/>
              </w:rPr>
              <w:t>Whissell Contracting</w:t>
            </w:r>
            <w:r w:rsidR="00B124FF" w:rsidRPr="00E0142A">
              <w:rPr>
                <w:sz w:val="20"/>
                <w:szCs w:val="20"/>
              </w:rPr>
              <w:t xml:space="preserve"> Ltd.</w:t>
            </w:r>
          </w:p>
          <w:p w:rsidR="00B124FF" w:rsidRPr="00E0142A" w:rsidRDefault="00B124FF" w:rsidP="005F32B8">
            <w:pPr>
              <w:pStyle w:val="SCCAppellantInfoAppellantInfo"/>
              <w:rPr>
                <w:sz w:val="20"/>
                <w:szCs w:val="20"/>
              </w:rPr>
            </w:pPr>
            <w:r w:rsidRPr="00E0142A">
              <w:rPr>
                <w:sz w:val="20"/>
                <w:szCs w:val="20"/>
              </w:rPr>
              <w:t>(Alta.) (Civil) (By Leave)</w:t>
            </w:r>
          </w:p>
        </w:tc>
        <w:tc>
          <w:tcPr>
            <w:tcW w:w="360" w:type="dxa"/>
          </w:tcPr>
          <w:p w:rsidR="00B124FF" w:rsidRPr="00E0142A" w:rsidRDefault="00B124FF" w:rsidP="005F32B8">
            <w:pPr>
              <w:rPr>
                <w:sz w:val="20"/>
                <w:szCs w:val="20"/>
              </w:rPr>
            </w:pPr>
            <w:r w:rsidRPr="00E0142A">
              <w:rPr>
                <w:sz w:val="20"/>
                <w:szCs w:val="20"/>
              </w:rPr>
              <w:t>v.</w:t>
            </w:r>
          </w:p>
        </w:tc>
        <w:tc>
          <w:tcPr>
            <w:tcW w:w="3848" w:type="dxa"/>
          </w:tcPr>
          <w:p w:rsidR="00B124FF" w:rsidRPr="00E0142A" w:rsidRDefault="005B448B" w:rsidP="005F32B8">
            <w:pPr>
              <w:pStyle w:val="SCCAppellantInfoAppellantInfo"/>
              <w:rPr>
                <w:sz w:val="20"/>
                <w:szCs w:val="20"/>
              </w:rPr>
            </w:pPr>
            <w:r>
              <w:rPr>
                <w:sz w:val="20"/>
                <w:szCs w:val="20"/>
              </w:rPr>
              <w:t>The City of Calgary</w:t>
            </w:r>
            <w:r w:rsidR="00B124FF" w:rsidRPr="00E0142A">
              <w:rPr>
                <w:sz w:val="20"/>
                <w:szCs w:val="20"/>
              </w:rPr>
              <w:t xml:space="preserve"> et al.</w:t>
            </w:r>
          </w:p>
        </w:tc>
      </w:tr>
      <w:tr w:rsidR="00B124FF" w:rsidRPr="00FE63F2" w:rsidTr="005F32B8">
        <w:trPr>
          <w:cantSplit/>
        </w:trPr>
        <w:tc>
          <w:tcPr>
            <w:tcW w:w="508" w:type="dxa"/>
          </w:tcPr>
          <w:p w:rsidR="00B124FF" w:rsidRPr="00E0142A" w:rsidRDefault="00B124FF" w:rsidP="005F32B8">
            <w:pPr>
              <w:rPr>
                <w:sz w:val="20"/>
                <w:szCs w:val="20"/>
              </w:rPr>
            </w:pPr>
            <w:r w:rsidRPr="00E0142A">
              <w:rPr>
                <w:sz w:val="20"/>
                <w:szCs w:val="20"/>
              </w:rPr>
              <w:t>17.</w:t>
            </w:r>
          </w:p>
        </w:tc>
        <w:tc>
          <w:tcPr>
            <w:tcW w:w="810" w:type="dxa"/>
          </w:tcPr>
          <w:p w:rsidR="00B124FF" w:rsidRPr="00E0142A" w:rsidRDefault="00B124FF" w:rsidP="005F32B8">
            <w:pPr>
              <w:rPr>
                <w:sz w:val="20"/>
                <w:szCs w:val="20"/>
              </w:rPr>
            </w:pPr>
            <w:r w:rsidRPr="00E0142A">
              <w:rPr>
                <w:sz w:val="20"/>
                <w:szCs w:val="20"/>
              </w:rPr>
              <w:t>38405</w:t>
            </w:r>
          </w:p>
        </w:tc>
        <w:tc>
          <w:tcPr>
            <w:tcW w:w="4050" w:type="dxa"/>
          </w:tcPr>
          <w:p w:rsidR="00B124FF" w:rsidRPr="00E0142A" w:rsidRDefault="00B124FF" w:rsidP="005F32B8">
            <w:pPr>
              <w:pStyle w:val="SCCAppellantInfoAppellantInfo"/>
              <w:rPr>
                <w:sz w:val="20"/>
                <w:szCs w:val="20"/>
              </w:rPr>
            </w:pPr>
            <w:r w:rsidRPr="00E0142A">
              <w:rPr>
                <w:sz w:val="20"/>
                <w:szCs w:val="20"/>
              </w:rPr>
              <w:t>Habeeb Ali</w:t>
            </w:r>
          </w:p>
          <w:p w:rsidR="00B124FF" w:rsidRPr="00E0142A" w:rsidRDefault="00B124FF" w:rsidP="005F32B8">
            <w:pPr>
              <w:pStyle w:val="SCCAppellantInfoAppellantInfo"/>
              <w:rPr>
                <w:sz w:val="20"/>
                <w:szCs w:val="20"/>
              </w:rPr>
            </w:pPr>
            <w:r w:rsidRPr="00E0142A">
              <w:rPr>
                <w:sz w:val="20"/>
                <w:szCs w:val="20"/>
              </w:rPr>
              <w:t>(Alta.) (Civil) (By Leave)</w:t>
            </w:r>
          </w:p>
        </w:tc>
        <w:tc>
          <w:tcPr>
            <w:tcW w:w="360" w:type="dxa"/>
          </w:tcPr>
          <w:p w:rsidR="00B124FF" w:rsidRPr="00E0142A" w:rsidRDefault="00B124FF" w:rsidP="005F32B8">
            <w:pPr>
              <w:rPr>
                <w:sz w:val="20"/>
                <w:szCs w:val="20"/>
              </w:rPr>
            </w:pPr>
            <w:r w:rsidRPr="00E0142A">
              <w:rPr>
                <w:sz w:val="20"/>
                <w:szCs w:val="20"/>
              </w:rPr>
              <w:t>v.</w:t>
            </w:r>
          </w:p>
        </w:tc>
        <w:tc>
          <w:tcPr>
            <w:tcW w:w="3848" w:type="dxa"/>
          </w:tcPr>
          <w:p w:rsidR="00B124FF" w:rsidRPr="00E0142A" w:rsidRDefault="00B124FF" w:rsidP="005F32B8">
            <w:pPr>
              <w:pStyle w:val="SCCAppellantInfoAppellantInfo"/>
              <w:rPr>
                <w:sz w:val="20"/>
                <w:szCs w:val="20"/>
              </w:rPr>
            </w:pPr>
            <w:r w:rsidRPr="00E0142A">
              <w:rPr>
                <w:sz w:val="20"/>
                <w:szCs w:val="20"/>
              </w:rPr>
              <w:t>College of Physicians and Surgeons of Alberta</w:t>
            </w:r>
          </w:p>
        </w:tc>
      </w:tr>
      <w:tr w:rsidR="00B124FF" w:rsidRPr="00FE63F2" w:rsidTr="005F32B8">
        <w:trPr>
          <w:cantSplit/>
        </w:trPr>
        <w:tc>
          <w:tcPr>
            <w:tcW w:w="508" w:type="dxa"/>
          </w:tcPr>
          <w:p w:rsidR="00B124FF" w:rsidRPr="00E0142A" w:rsidRDefault="00B124FF" w:rsidP="005F32B8">
            <w:pPr>
              <w:rPr>
                <w:sz w:val="20"/>
                <w:szCs w:val="20"/>
              </w:rPr>
            </w:pPr>
            <w:r w:rsidRPr="00E0142A">
              <w:rPr>
                <w:sz w:val="20"/>
                <w:szCs w:val="20"/>
              </w:rPr>
              <w:t>18.</w:t>
            </w:r>
          </w:p>
        </w:tc>
        <w:tc>
          <w:tcPr>
            <w:tcW w:w="810" w:type="dxa"/>
          </w:tcPr>
          <w:p w:rsidR="00B124FF" w:rsidRPr="00E0142A" w:rsidRDefault="00B124FF" w:rsidP="005F32B8">
            <w:pPr>
              <w:rPr>
                <w:sz w:val="20"/>
                <w:szCs w:val="20"/>
              </w:rPr>
            </w:pPr>
            <w:r w:rsidRPr="00E0142A">
              <w:rPr>
                <w:sz w:val="20"/>
                <w:szCs w:val="20"/>
              </w:rPr>
              <w:t>38291</w:t>
            </w:r>
          </w:p>
        </w:tc>
        <w:tc>
          <w:tcPr>
            <w:tcW w:w="4050" w:type="dxa"/>
          </w:tcPr>
          <w:p w:rsidR="00B124FF" w:rsidRPr="00E0142A" w:rsidRDefault="00B124FF" w:rsidP="005F32B8">
            <w:pPr>
              <w:pStyle w:val="SCCAppellantInfoAppellantInfo"/>
              <w:rPr>
                <w:sz w:val="20"/>
                <w:szCs w:val="20"/>
              </w:rPr>
            </w:pPr>
            <w:r w:rsidRPr="00E0142A">
              <w:rPr>
                <w:sz w:val="20"/>
                <w:szCs w:val="20"/>
              </w:rPr>
              <w:t>Cheryl Stein</w:t>
            </w:r>
          </w:p>
          <w:p w:rsidR="00B124FF" w:rsidRPr="00E0142A" w:rsidRDefault="00B124FF" w:rsidP="005F32B8">
            <w:pPr>
              <w:pStyle w:val="SCCAppellantInfoAppellantInfo"/>
              <w:rPr>
                <w:sz w:val="20"/>
                <w:szCs w:val="20"/>
              </w:rPr>
            </w:pPr>
            <w:r w:rsidRPr="00E0142A">
              <w:rPr>
                <w:sz w:val="20"/>
                <w:szCs w:val="20"/>
              </w:rPr>
              <w:t>(B.C.) (Civil) (By Leave)</w:t>
            </w:r>
          </w:p>
        </w:tc>
        <w:tc>
          <w:tcPr>
            <w:tcW w:w="360" w:type="dxa"/>
          </w:tcPr>
          <w:p w:rsidR="00B124FF" w:rsidRPr="00E0142A" w:rsidRDefault="00B124FF" w:rsidP="005F32B8">
            <w:pPr>
              <w:rPr>
                <w:sz w:val="20"/>
                <w:szCs w:val="20"/>
              </w:rPr>
            </w:pPr>
            <w:r w:rsidRPr="00E0142A">
              <w:rPr>
                <w:sz w:val="20"/>
                <w:szCs w:val="20"/>
              </w:rPr>
              <w:t>v.</w:t>
            </w:r>
          </w:p>
        </w:tc>
        <w:tc>
          <w:tcPr>
            <w:tcW w:w="3848" w:type="dxa"/>
          </w:tcPr>
          <w:p w:rsidR="00B124FF" w:rsidRPr="00E0142A" w:rsidRDefault="00B124FF" w:rsidP="005F32B8">
            <w:pPr>
              <w:pStyle w:val="SCCAppellantInfoAppellantInfo"/>
              <w:rPr>
                <w:sz w:val="20"/>
                <w:szCs w:val="20"/>
              </w:rPr>
            </w:pPr>
            <w:r w:rsidRPr="00E0142A">
              <w:rPr>
                <w:sz w:val="20"/>
                <w:szCs w:val="20"/>
              </w:rPr>
              <w:t>British</w:t>
            </w:r>
            <w:r w:rsidR="005B448B">
              <w:rPr>
                <w:sz w:val="20"/>
                <w:szCs w:val="20"/>
              </w:rPr>
              <w:t xml:space="preserve"> Columbia Human Rights Tribunal</w:t>
            </w:r>
            <w:r w:rsidRPr="00E0142A">
              <w:rPr>
                <w:sz w:val="20"/>
                <w:szCs w:val="20"/>
              </w:rPr>
              <w:t xml:space="preserve"> et al.</w:t>
            </w:r>
          </w:p>
        </w:tc>
      </w:tr>
    </w:tbl>
    <w:p w:rsidR="00B124FF" w:rsidRPr="00CB3520" w:rsidRDefault="00B124FF" w:rsidP="00B124FF">
      <w:pPr>
        <w:widowControl w:val="0"/>
        <w:rPr>
          <w:sz w:val="20"/>
          <w:szCs w:val="20"/>
        </w:rPr>
      </w:pPr>
    </w:p>
    <w:p w:rsidR="00102792" w:rsidRPr="00CB3520" w:rsidRDefault="00102792" w:rsidP="00102792">
      <w:pPr>
        <w:widowControl w:val="0"/>
        <w:rPr>
          <w:sz w:val="20"/>
          <w:szCs w:val="20"/>
        </w:rPr>
      </w:pPr>
    </w:p>
    <w:p w:rsidR="00D94028" w:rsidRPr="00C50A5C" w:rsidRDefault="00A24D5C" w:rsidP="002E2327">
      <w:pPr>
        <w:widowControl w:val="0"/>
        <w:rPr>
          <w:sz w:val="20"/>
          <w:szCs w:val="20"/>
        </w:rPr>
      </w:pPr>
      <w:r>
        <w:rPr>
          <w:sz w:val="20"/>
          <w:szCs w:val="20"/>
        </w:rPr>
        <w:pict>
          <v:rect id="_x0000_i1029" style="width:2in;height:1pt" o:hrpct="0" o:hralign="center" o:hrstd="t" o:hrnoshade="t" o:hr="t" fillcolor="black [3213]" stroked="f"/>
        </w:pict>
      </w:r>
    </w:p>
    <w:p w:rsidR="0044776A" w:rsidRPr="00C50A5C" w:rsidRDefault="0044776A" w:rsidP="002E2327">
      <w:pPr>
        <w:widowControl w:val="0"/>
        <w:spacing w:line="0" w:lineRule="atLeast"/>
        <w:rPr>
          <w:sz w:val="20"/>
          <w:szCs w:val="20"/>
        </w:rPr>
        <w:sectPr w:rsidR="0044776A" w:rsidRPr="00C50A5C" w:rsidSect="0044776A">
          <w:headerReference w:type="default" r:id="rId15"/>
          <w:footerReference w:type="default" r:id="rId16"/>
          <w:headerReference w:type="first" r:id="rId17"/>
          <w:footerReference w:type="first" r:id="rId18"/>
          <w:pgSz w:w="12240" w:h="15840"/>
          <w:pgMar w:top="720" w:right="965" w:bottom="1080" w:left="1656" w:header="706" w:footer="706" w:gutter="0"/>
          <w:cols w:space="708"/>
          <w:titlePg/>
          <w:docGrid w:linePitch="360"/>
        </w:sectPr>
      </w:pPr>
    </w:p>
    <w:p w:rsidR="00693C38" w:rsidRPr="001D0D5F" w:rsidRDefault="00DD0BDC" w:rsidP="00567602">
      <w:pPr>
        <w:pStyle w:val="Header1StyleE"/>
        <w:pBdr>
          <w:bottom w:val="single" w:sz="12" w:space="1" w:color="auto"/>
        </w:pBdr>
        <w:rPr>
          <w:lang w:val="fr-CA"/>
        </w:rPr>
      </w:pPr>
      <w:bookmarkStart w:id="3" w:name="QuickMark_1"/>
      <w:bookmarkStart w:id="4" w:name="_Toc532985689"/>
      <w:bookmarkEnd w:id="3"/>
      <w:r w:rsidRPr="00693C38">
        <w:rPr>
          <w:lang w:val="fr-CA"/>
        </w:rPr>
        <w:lastRenderedPageBreak/>
        <w:t>Judgments on applications</w:t>
      </w:r>
      <w:r w:rsidR="000C1D9D">
        <w:rPr>
          <w:lang w:val="fr-CA"/>
        </w:rPr>
        <w:t xml:space="preserve"> </w:t>
      </w:r>
      <w:r w:rsidRPr="00693C38">
        <w:rPr>
          <w:lang w:val="fr-CA"/>
        </w:rPr>
        <w:t>for leave</w:t>
      </w:r>
      <w:r w:rsidR="00693C38" w:rsidRPr="00693C38">
        <w:rPr>
          <w:noProof/>
          <w:sz w:val="20"/>
          <w:lang w:val="fr-CA"/>
        </w:rPr>
        <w:t xml:space="preserve"> </w:t>
      </w:r>
      <w:r w:rsidR="00271E1E">
        <w:rPr>
          <w:noProof/>
          <w:sz w:val="20"/>
          <w:lang w:val="fr-CA"/>
        </w:rPr>
        <w:t xml:space="preserve">/ </w:t>
      </w:r>
      <w:r w:rsidR="00693C38" w:rsidRPr="00693C38">
        <w:rPr>
          <w:noProof/>
          <w:sz w:val="20"/>
          <w:lang w:val="fr-CA"/>
        </w:rPr>
        <w:br/>
      </w:r>
      <w:r>
        <w:rPr>
          <w:lang w:val="fr-CA"/>
        </w:rPr>
        <w:t>J</w:t>
      </w:r>
      <w:r w:rsidRPr="001D0D5F">
        <w:rPr>
          <w:lang w:val="fr-CA"/>
        </w:rPr>
        <w:t>ugements rendus sur les demandes d’autorisation</w:t>
      </w:r>
      <w:bookmarkEnd w:id="4"/>
    </w:p>
    <w:p w:rsidR="00FB1DB6" w:rsidRPr="00C50A5C" w:rsidRDefault="00FB1DB6" w:rsidP="00693C38">
      <w:pPr>
        <w:rPr>
          <w:sz w:val="20"/>
          <w:szCs w:val="20"/>
          <w:lang w:val="fr-CA"/>
        </w:rPr>
      </w:pPr>
    </w:p>
    <w:p w:rsidR="00B124FF" w:rsidRPr="00C50A5C" w:rsidRDefault="00B124FF" w:rsidP="00B124FF">
      <w:pPr>
        <w:rPr>
          <w:b/>
          <w:sz w:val="20"/>
          <w:szCs w:val="20"/>
        </w:rPr>
      </w:pPr>
      <w:r>
        <w:rPr>
          <w:b/>
          <w:sz w:val="20"/>
          <w:szCs w:val="20"/>
        </w:rPr>
        <w:t>J</w:t>
      </w:r>
      <w:r w:rsidRPr="00C50A5C">
        <w:rPr>
          <w:b/>
          <w:sz w:val="20"/>
          <w:szCs w:val="20"/>
        </w:rPr>
        <w:t>A</w:t>
      </w:r>
      <w:r>
        <w:rPr>
          <w:b/>
          <w:sz w:val="20"/>
          <w:szCs w:val="20"/>
        </w:rPr>
        <w:t>NUARY</w:t>
      </w:r>
      <w:r w:rsidRPr="00C50A5C">
        <w:rPr>
          <w:b/>
          <w:sz w:val="20"/>
          <w:szCs w:val="20"/>
        </w:rPr>
        <w:t xml:space="preserve"> </w:t>
      </w:r>
      <w:r>
        <w:rPr>
          <w:b/>
          <w:sz w:val="20"/>
          <w:szCs w:val="20"/>
        </w:rPr>
        <w:t>31</w:t>
      </w:r>
      <w:r w:rsidRPr="00C50A5C">
        <w:rPr>
          <w:b/>
          <w:sz w:val="20"/>
          <w:szCs w:val="20"/>
        </w:rPr>
        <w:t xml:space="preserve">, </w:t>
      </w:r>
      <w:r>
        <w:rPr>
          <w:b/>
          <w:sz w:val="20"/>
          <w:szCs w:val="20"/>
        </w:rPr>
        <w:t>2019</w:t>
      </w:r>
      <w:r w:rsidRPr="00C50A5C">
        <w:rPr>
          <w:b/>
          <w:sz w:val="20"/>
          <w:szCs w:val="20"/>
        </w:rPr>
        <w:t xml:space="preserve"> / LE </w:t>
      </w:r>
      <w:r>
        <w:rPr>
          <w:b/>
          <w:sz w:val="20"/>
          <w:szCs w:val="20"/>
        </w:rPr>
        <w:t>31</w:t>
      </w:r>
      <w:r w:rsidRPr="00C50A5C">
        <w:rPr>
          <w:b/>
          <w:sz w:val="20"/>
          <w:szCs w:val="20"/>
        </w:rPr>
        <w:t xml:space="preserve"> </w:t>
      </w:r>
      <w:r>
        <w:rPr>
          <w:b/>
          <w:sz w:val="20"/>
          <w:szCs w:val="20"/>
        </w:rPr>
        <w:t>J</w:t>
      </w:r>
      <w:r w:rsidRPr="00C50A5C">
        <w:rPr>
          <w:b/>
          <w:sz w:val="20"/>
          <w:szCs w:val="20"/>
        </w:rPr>
        <w:t>A</w:t>
      </w:r>
      <w:r>
        <w:rPr>
          <w:b/>
          <w:sz w:val="20"/>
          <w:szCs w:val="20"/>
        </w:rPr>
        <w:t>NV</w:t>
      </w:r>
      <w:r w:rsidRPr="00C50A5C">
        <w:rPr>
          <w:b/>
          <w:sz w:val="20"/>
          <w:szCs w:val="20"/>
        </w:rPr>
        <w:t>I</w:t>
      </w:r>
      <w:r>
        <w:rPr>
          <w:b/>
          <w:sz w:val="20"/>
          <w:szCs w:val="20"/>
        </w:rPr>
        <w:t>ER</w:t>
      </w:r>
      <w:r w:rsidRPr="00C50A5C">
        <w:rPr>
          <w:b/>
          <w:sz w:val="20"/>
          <w:szCs w:val="20"/>
        </w:rPr>
        <w:t xml:space="preserve"> </w:t>
      </w:r>
      <w:r>
        <w:rPr>
          <w:b/>
          <w:sz w:val="20"/>
          <w:szCs w:val="20"/>
        </w:rPr>
        <w:t>2019</w:t>
      </w:r>
    </w:p>
    <w:p w:rsidR="00B124FF" w:rsidRPr="00AF75CE" w:rsidRDefault="00B124FF" w:rsidP="00B124FF">
      <w:pPr>
        <w:ind w:left="142" w:hanging="142"/>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124FF" w:rsidRPr="00AF75CE" w:rsidTr="005F32B8">
        <w:tc>
          <w:tcPr>
            <w:tcW w:w="543" w:type="pct"/>
          </w:tcPr>
          <w:p w:rsidR="00B124FF" w:rsidRPr="00AF75CE" w:rsidRDefault="00B124FF" w:rsidP="005F32B8">
            <w:pPr>
              <w:jc w:val="both"/>
              <w:rPr>
                <w:sz w:val="20"/>
              </w:rPr>
            </w:pPr>
            <w:r w:rsidRPr="00AF75CE">
              <w:rPr>
                <w:rStyle w:val="SCCFileNumberChar"/>
                <w:sz w:val="20"/>
                <w:szCs w:val="20"/>
              </w:rPr>
              <w:t>38262</w:t>
            </w:r>
          </w:p>
        </w:tc>
        <w:tc>
          <w:tcPr>
            <w:tcW w:w="4457" w:type="pct"/>
            <w:gridSpan w:val="3"/>
          </w:tcPr>
          <w:p w:rsidR="00B124FF" w:rsidRPr="00AF75CE" w:rsidRDefault="00B124FF" w:rsidP="005F32B8">
            <w:pPr>
              <w:pStyle w:val="SCCLsocParty"/>
              <w:jc w:val="both"/>
              <w:rPr>
                <w:b/>
                <w:sz w:val="20"/>
                <w:szCs w:val="20"/>
                <w:lang w:val="en-US"/>
              </w:rPr>
            </w:pPr>
            <w:r w:rsidRPr="00AF75CE">
              <w:rPr>
                <w:b/>
                <w:sz w:val="20"/>
                <w:szCs w:val="20"/>
                <w:lang w:val="en-US"/>
              </w:rPr>
              <w:t>Leslie Podolski v. Her Majesty the Queen</w:t>
            </w:r>
          </w:p>
          <w:p w:rsidR="00B124FF" w:rsidRPr="00AF75CE" w:rsidRDefault="00B124FF" w:rsidP="005F32B8">
            <w:pPr>
              <w:pStyle w:val="SCCLsocSubfileSeparator0"/>
              <w:rPr>
                <w:sz w:val="20"/>
                <w:szCs w:val="20"/>
              </w:rPr>
            </w:pPr>
            <w:r w:rsidRPr="00AF75CE">
              <w:rPr>
                <w:sz w:val="20"/>
                <w:szCs w:val="20"/>
              </w:rPr>
              <w:t>- and between -</w:t>
            </w:r>
          </w:p>
          <w:p w:rsidR="00B124FF" w:rsidRPr="00AF75CE" w:rsidRDefault="00B124FF" w:rsidP="005F32B8">
            <w:pPr>
              <w:pStyle w:val="SCCLsocParty"/>
              <w:jc w:val="both"/>
              <w:rPr>
                <w:b/>
                <w:sz w:val="20"/>
                <w:szCs w:val="20"/>
                <w:lang w:val="en-US"/>
              </w:rPr>
            </w:pPr>
            <w:r w:rsidRPr="00AF75CE">
              <w:rPr>
                <w:b/>
                <w:sz w:val="20"/>
                <w:szCs w:val="20"/>
                <w:lang w:val="en-US"/>
              </w:rPr>
              <w:t>Sheldon Richard O’Donnell v. Her Majesty the Queen</w:t>
            </w:r>
          </w:p>
          <w:p w:rsidR="00B124FF" w:rsidRPr="00AF75CE" w:rsidRDefault="00B124FF" w:rsidP="005F32B8">
            <w:pPr>
              <w:pStyle w:val="SCCLsocSubfileSeparator0"/>
              <w:rPr>
                <w:sz w:val="20"/>
                <w:szCs w:val="20"/>
              </w:rPr>
            </w:pPr>
            <w:r w:rsidRPr="00AF75CE">
              <w:rPr>
                <w:sz w:val="20"/>
                <w:szCs w:val="20"/>
              </w:rPr>
              <w:t>- and between -</w:t>
            </w:r>
          </w:p>
          <w:p w:rsidR="00B124FF" w:rsidRPr="00AF75CE" w:rsidRDefault="00B124FF" w:rsidP="005F32B8">
            <w:pPr>
              <w:pStyle w:val="SCCLsocParty"/>
              <w:jc w:val="both"/>
              <w:rPr>
                <w:b/>
                <w:sz w:val="20"/>
                <w:szCs w:val="20"/>
                <w:lang w:val="en-US"/>
              </w:rPr>
            </w:pPr>
            <w:r w:rsidRPr="00AF75CE">
              <w:rPr>
                <w:b/>
                <w:sz w:val="20"/>
                <w:szCs w:val="20"/>
                <w:lang w:val="en-US"/>
              </w:rPr>
              <w:t>Peter Manolakos v. Her Majesty the Queen</w:t>
            </w:r>
          </w:p>
          <w:p w:rsidR="00B124FF" w:rsidRPr="00AF75CE" w:rsidRDefault="00B124FF" w:rsidP="005F32B8">
            <w:pPr>
              <w:jc w:val="both"/>
              <w:rPr>
                <w:sz w:val="20"/>
              </w:rPr>
            </w:pPr>
            <w:r w:rsidRPr="00AF75CE">
              <w:rPr>
                <w:sz w:val="20"/>
              </w:rPr>
              <w:t>(B.C.) (Criminal) (By Leave)</w:t>
            </w:r>
          </w:p>
        </w:tc>
      </w:tr>
      <w:tr w:rsidR="00B124FF" w:rsidRPr="00AF75CE" w:rsidTr="005F32B8">
        <w:tc>
          <w:tcPr>
            <w:tcW w:w="5000" w:type="pct"/>
            <w:gridSpan w:val="4"/>
          </w:tcPr>
          <w:p w:rsidR="00B124FF" w:rsidRDefault="00B124FF" w:rsidP="005F32B8">
            <w:pPr>
              <w:jc w:val="both"/>
              <w:rPr>
                <w:sz w:val="20"/>
              </w:rPr>
            </w:pPr>
            <w:r w:rsidRPr="00C97F67">
              <w:rPr>
                <w:sz w:val="20"/>
              </w:rPr>
              <w:t>The motions for extension of time to serve and file the applications for leave to appeal are granted. The applications for leave to appeal from the judgment of the Court of Appeal for British Columbia (Vancouver), Numbers CA40515, CA40551 and CA40652, 2018 BCCA 96, dated March 14, 2018, are dismissed.</w:t>
            </w:r>
          </w:p>
          <w:p w:rsidR="00B124FF" w:rsidRPr="00AF75CE" w:rsidRDefault="00B124FF" w:rsidP="005F32B8">
            <w:pPr>
              <w:jc w:val="both"/>
              <w:rPr>
                <w:sz w:val="20"/>
              </w:rPr>
            </w:pPr>
          </w:p>
        </w:tc>
      </w:tr>
      <w:tr w:rsidR="00B124FF" w:rsidRPr="00AF75CE" w:rsidTr="005F32B8">
        <w:tc>
          <w:tcPr>
            <w:tcW w:w="5000" w:type="pct"/>
            <w:gridSpan w:val="4"/>
          </w:tcPr>
          <w:p w:rsidR="00B124FF" w:rsidRPr="00AF75CE" w:rsidRDefault="00B124FF" w:rsidP="005F32B8">
            <w:pPr>
              <w:jc w:val="both"/>
              <w:rPr>
                <w:sz w:val="20"/>
              </w:rPr>
            </w:pPr>
            <w:r w:rsidRPr="00AF75CE">
              <w:rPr>
                <w:sz w:val="20"/>
              </w:rPr>
              <w:t xml:space="preserve">Criminal law – Charge to jury – Rule in </w:t>
            </w:r>
            <w:r w:rsidRPr="00AF75CE">
              <w:rPr>
                <w:i/>
                <w:sz w:val="20"/>
              </w:rPr>
              <w:t>Browne v. Dunn</w:t>
            </w:r>
            <w:r w:rsidRPr="00AF75CE">
              <w:rPr>
                <w:sz w:val="20"/>
              </w:rPr>
              <w:t xml:space="preserve"> – Whether the rule in </w:t>
            </w:r>
            <w:r w:rsidRPr="00AF75CE">
              <w:rPr>
                <w:i/>
                <w:sz w:val="20"/>
              </w:rPr>
              <w:t>Browne v. Dunn</w:t>
            </w:r>
            <w:r w:rsidRPr="00AF75CE">
              <w:rPr>
                <w:sz w:val="20"/>
              </w:rPr>
              <w:t xml:space="preserve"> now imposes a duty of fairness which requires counsel to cross-examine an opposing party’s witnesses on all “important” or “significant” points in their evidence regardless of whether they have not otherwise breached the rule – Whether the Court of Appeal expanded the scope of the application of the rule in </w:t>
            </w:r>
            <w:r w:rsidRPr="00AF75CE">
              <w:rPr>
                <w:i/>
                <w:sz w:val="20"/>
              </w:rPr>
              <w:t>Browne v. Dunn</w:t>
            </w:r>
            <w:r w:rsidRPr="00AF75CE">
              <w:rPr>
                <w:sz w:val="20"/>
              </w:rPr>
              <w:t xml:space="preserve"> to require a specific challenge to every point of a witnesses’ contested testimony –Whether the Court of Appeal erred in applying the </w:t>
            </w:r>
            <w:r w:rsidRPr="00AF75CE">
              <w:rPr>
                <w:i/>
                <w:sz w:val="20"/>
              </w:rPr>
              <w:t>curative proviso</w:t>
            </w:r>
            <w:r w:rsidRPr="00AF75CE">
              <w:rPr>
                <w:sz w:val="20"/>
              </w:rPr>
              <w:t>.</w:t>
            </w:r>
          </w:p>
          <w:p w:rsidR="00B124FF" w:rsidRPr="00AF75CE" w:rsidRDefault="00B124FF" w:rsidP="005F32B8">
            <w:pPr>
              <w:jc w:val="both"/>
              <w:rPr>
                <w:sz w:val="20"/>
              </w:rPr>
            </w:pPr>
          </w:p>
        </w:tc>
      </w:tr>
      <w:tr w:rsidR="00B124FF" w:rsidRPr="00AF75CE" w:rsidTr="005F32B8">
        <w:tc>
          <w:tcPr>
            <w:tcW w:w="5000" w:type="pct"/>
            <w:gridSpan w:val="4"/>
          </w:tcPr>
          <w:p w:rsidR="00B124FF" w:rsidRPr="00AF75CE" w:rsidRDefault="00B124FF" w:rsidP="005F32B8">
            <w:pPr>
              <w:jc w:val="both"/>
              <w:rPr>
                <w:sz w:val="20"/>
              </w:rPr>
            </w:pPr>
            <w:r w:rsidRPr="00AF75CE">
              <w:rPr>
                <w:iCs/>
                <w:sz w:val="20"/>
                <w:lang w:val="en"/>
              </w:rPr>
              <w:t xml:space="preserve">The applicants were involved in the drug trade in Vernon, B.C. At trial, the applicants argued that the rule in </w:t>
            </w:r>
            <w:r w:rsidRPr="00AF75CE">
              <w:rPr>
                <w:i/>
                <w:iCs/>
                <w:sz w:val="20"/>
                <w:lang w:val="en"/>
              </w:rPr>
              <w:t>Browne v. Dunn</w:t>
            </w:r>
            <w:r w:rsidRPr="00AF75CE">
              <w:rPr>
                <w:iCs/>
                <w:sz w:val="20"/>
                <w:lang w:val="en"/>
              </w:rPr>
              <w:t xml:space="preserve"> did not apply, whereas the Crown argued that it did apply. The trial judge held that the rule in </w:t>
            </w:r>
            <w:r w:rsidRPr="00AF75CE">
              <w:rPr>
                <w:i/>
                <w:iCs/>
                <w:sz w:val="20"/>
                <w:lang w:val="en"/>
              </w:rPr>
              <w:t>Browne v. Dunn</w:t>
            </w:r>
            <w:r w:rsidRPr="00AF75CE">
              <w:rPr>
                <w:iCs/>
                <w:sz w:val="20"/>
                <w:lang w:val="en"/>
              </w:rPr>
              <w:t xml:space="preserve"> did apply and instructed the jury accordingly.</w:t>
            </w:r>
            <w:r w:rsidRPr="00AF75CE">
              <w:rPr>
                <w:sz w:val="20"/>
              </w:rPr>
              <w:t xml:space="preserve"> After a trial by judge and jury, the applicants were convicted of the following: one count of murder (Podolski); three counts of murder (O’Donnell); and one count of manslaughter and one count of murder (Manolakos). The Court of Appeal held that the trial judge did not err regarding the </w:t>
            </w:r>
            <w:r w:rsidRPr="00AF75CE">
              <w:rPr>
                <w:i/>
                <w:sz w:val="20"/>
              </w:rPr>
              <w:t>Browne v. Dunn</w:t>
            </w:r>
            <w:r w:rsidRPr="00AF75CE">
              <w:rPr>
                <w:sz w:val="20"/>
              </w:rPr>
              <w:t xml:space="preserve"> rule and dismissed the other grounds of appeal. The conviction appeals were dismissed.</w:t>
            </w:r>
          </w:p>
        </w:tc>
      </w:tr>
      <w:tr w:rsidR="00B124FF" w:rsidRPr="00AF75CE" w:rsidTr="005F32B8">
        <w:tc>
          <w:tcPr>
            <w:tcW w:w="5000" w:type="pct"/>
            <w:gridSpan w:val="4"/>
          </w:tcPr>
          <w:p w:rsidR="00B124FF" w:rsidRPr="00AF75CE" w:rsidRDefault="00B124FF" w:rsidP="005F32B8">
            <w:pPr>
              <w:jc w:val="both"/>
              <w:rPr>
                <w:sz w:val="20"/>
              </w:rPr>
            </w:pPr>
          </w:p>
        </w:tc>
      </w:tr>
      <w:tr w:rsidR="00B124FF" w:rsidRPr="00AF75CE" w:rsidTr="005F32B8">
        <w:tc>
          <w:tcPr>
            <w:tcW w:w="2427" w:type="pct"/>
            <w:gridSpan w:val="2"/>
          </w:tcPr>
          <w:p w:rsidR="00B124FF" w:rsidRPr="00AF75CE" w:rsidRDefault="00B124FF" w:rsidP="005F32B8">
            <w:pPr>
              <w:jc w:val="both"/>
              <w:rPr>
                <w:sz w:val="20"/>
              </w:rPr>
            </w:pPr>
            <w:r w:rsidRPr="00AF75CE">
              <w:rPr>
                <w:sz w:val="20"/>
              </w:rPr>
              <w:t>November 25, 2012</w:t>
            </w:r>
          </w:p>
          <w:p w:rsidR="00B124FF" w:rsidRPr="00AF75CE" w:rsidRDefault="00B124FF" w:rsidP="005F32B8">
            <w:pPr>
              <w:jc w:val="both"/>
              <w:rPr>
                <w:sz w:val="20"/>
              </w:rPr>
            </w:pPr>
            <w:r w:rsidRPr="00AF75CE">
              <w:rPr>
                <w:sz w:val="20"/>
              </w:rPr>
              <w:t>Supreme Court of British Columbia</w:t>
            </w:r>
          </w:p>
          <w:p w:rsidR="00B124FF" w:rsidRPr="00AF75CE" w:rsidRDefault="00B124FF" w:rsidP="005F32B8">
            <w:pPr>
              <w:jc w:val="both"/>
              <w:rPr>
                <w:sz w:val="20"/>
              </w:rPr>
            </w:pPr>
            <w:r w:rsidRPr="00AF75CE">
              <w:rPr>
                <w:sz w:val="20"/>
              </w:rPr>
              <w:t>(Smart J.)</w:t>
            </w:r>
          </w:p>
          <w:p w:rsidR="00B124FF" w:rsidRPr="00AF75CE" w:rsidRDefault="00B124FF" w:rsidP="005F32B8">
            <w:pPr>
              <w:jc w:val="both"/>
              <w:rPr>
                <w:sz w:val="20"/>
              </w:rPr>
            </w:pPr>
          </w:p>
        </w:tc>
        <w:tc>
          <w:tcPr>
            <w:tcW w:w="243" w:type="pct"/>
          </w:tcPr>
          <w:p w:rsidR="00B124FF" w:rsidRPr="00AF75CE" w:rsidRDefault="00B124FF" w:rsidP="005F32B8">
            <w:pPr>
              <w:jc w:val="both"/>
              <w:rPr>
                <w:sz w:val="20"/>
              </w:rPr>
            </w:pPr>
          </w:p>
        </w:tc>
        <w:tc>
          <w:tcPr>
            <w:tcW w:w="2330" w:type="pct"/>
          </w:tcPr>
          <w:p w:rsidR="00B124FF" w:rsidRPr="00AF75CE" w:rsidRDefault="00B124FF" w:rsidP="005F32B8">
            <w:pPr>
              <w:jc w:val="both"/>
              <w:rPr>
                <w:sz w:val="20"/>
              </w:rPr>
            </w:pPr>
            <w:r w:rsidRPr="00AF75CE">
              <w:rPr>
                <w:sz w:val="20"/>
              </w:rPr>
              <w:t>Convictions entered:  one count of murder (Podolski); three counts of murder (O’Donnell); one count of manslaughter and one count of murder (Manolakos)</w:t>
            </w:r>
          </w:p>
          <w:p w:rsidR="00B124FF" w:rsidRPr="00AF75CE" w:rsidRDefault="00B124FF" w:rsidP="005F32B8">
            <w:pPr>
              <w:jc w:val="both"/>
              <w:rPr>
                <w:sz w:val="20"/>
              </w:rPr>
            </w:pPr>
          </w:p>
        </w:tc>
      </w:tr>
      <w:tr w:rsidR="00B124FF" w:rsidRPr="00AF75CE" w:rsidTr="005F32B8">
        <w:tc>
          <w:tcPr>
            <w:tcW w:w="2427" w:type="pct"/>
            <w:gridSpan w:val="2"/>
          </w:tcPr>
          <w:p w:rsidR="00B124FF" w:rsidRPr="00AF75CE" w:rsidRDefault="00B124FF" w:rsidP="005F32B8">
            <w:pPr>
              <w:jc w:val="both"/>
              <w:rPr>
                <w:sz w:val="20"/>
              </w:rPr>
            </w:pPr>
            <w:r w:rsidRPr="00AF75CE">
              <w:rPr>
                <w:sz w:val="20"/>
              </w:rPr>
              <w:t>March 14, 2018</w:t>
            </w:r>
          </w:p>
          <w:p w:rsidR="00B124FF" w:rsidRPr="00AF75CE" w:rsidRDefault="00B124FF" w:rsidP="005F32B8">
            <w:pPr>
              <w:jc w:val="both"/>
              <w:rPr>
                <w:sz w:val="20"/>
              </w:rPr>
            </w:pPr>
            <w:r w:rsidRPr="00AF75CE">
              <w:rPr>
                <w:sz w:val="20"/>
              </w:rPr>
              <w:t xml:space="preserve">Court of Appeal for British Columbia </w:t>
            </w:r>
          </w:p>
          <w:p w:rsidR="00B124FF" w:rsidRPr="00AF75CE" w:rsidRDefault="00B124FF" w:rsidP="005F32B8">
            <w:pPr>
              <w:jc w:val="both"/>
              <w:rPr>
                <w:sz w:val="20"/>
              </w:rPr>
            </w:pPr>
            <w:r w:rsidRPr="00AF75CE">
              <w:rPr>
                <w:sz w:val="20"/>
              </w:rPr>
              <w:t>(Vancouver)</w:t>
            </w:r>
          </w:p>
          <w:p w:rsidR="00B124FF" w:rsidRPr="00AF75CE" w:rsidRDefault="00B124FF" w:rsidP="005F32B8">
            <w:pPr>
              <w:jc w:val="both"/>
              <w:rPr>
                <w:sz w:val="20"/>
              </w:rPr>
            </w:pPr>
            <w:r w:rsidRPr="00AF75CE">
              <w:rPr>
                <w:sz w:val="20"/>
              </w:rPr>
              <w:t xml:space="preserve">(Saunders, D. Smith, Fenlon JJ.A.) </w:t>
            </w:r>
            <w:hyperlink r:id="rId19" w:history="1">
              <w:r w:rsidRPr="00AF75CE">
                <w:rPr>
                  <w:rStyle w:val="Hyperlink"/>
                  <w:sz w:val="20"/>
                </w:rPr>
                <w:t>2018 BCCA 96</w:t>
              </w:r>
            </w:hyperlink>
            <w:r w:rsidRPr="00AF75CE">
              <w:rPr>
                <w:sz w:val="20"/>
              </w:rPr>
              <w:t>; CA040515;CA040551;CA040652</w:t>
            </w:r>
          </w:p>
          <w:p w:rsidR="00B124FF" w:rsidRPr="00AF75CE" w:rsidRDefault="00B124FF" w:rsidP="005F32B8">
            <w:pPr>
              <w:jc w:val="both"/>
              <w:rPr>
                <w:sz w:val="20"/>
              </w:rPr>
            </w:pPr>
          </w:p>
        </w:tc>
        <w:tc>
          <w:tcPr>
            <w:tcW w:w="243" w:type="pct"/>
          </w:tcPr>
          <w:p w:rsidR="00B124FF" w:rsidRPr="00AF75CE" w:rsidRDefault="00B124FF" w:rsidP="005F32B8">
            <w:pPr>
              <w:jc w:val="both"/>
              <w:rPr>
                <w:sz w:val="20"/>
              </w:rPr>
            </w:pPr>
          </w:p>
        </w:tc>
        <w:tc>
          <w:tcPr>
            <w:tcW w:w="2330" w:type="pct"/>
          </w:tcPr>
          <w:p w:rsidR="00B124FF" w:rsidRPr="00AF75CE" w:rsidRDefault="00B124FF" w:rsidP="005F32B8">
            <w:pPr>
              <w:jc w:val="both"/>
              <w:rPr>
                <w:sz w:val="20"/>
              </w:rPr>
            </w:pPr>
            <w:r w:rsidRPr="00AF75CE">
              <w:rPr>
                <w:sz w:val="20"/>
              </w:rPr>
              <w:t>Appeals from conviction dismissed</w:t>
            </w:r>
          </w:p>
          <w:p w:rsidR="00B124FF" w:rsidRPr="00AF75CE" w:rsidRDefault="00B124FF" w:rsidP="005F32B8">
            <w:pPr>
              <w:jc w:val="both"/>
              <w:rPr>
                <w:sz w:val="20"/>
              </w:rPr>
            </w:pPr>
          </w:p>
        </w:tc>
      </w:tr>
      <w:tr w:rsidR="00B124FF" w:rsidRPr="00AF75CE" w:rsidTr="005F32B8">
        <w:tc>
          <w:tcPr>
            <w:tcW w:w="2427" w:type="pct"/>
            <w:gridSpan w:val="2"/>
          </w:tcPr>
          <w:p w:rsidR="00B124FF" w:rsidRPr="00AF75CE" w:rsidRDefault="00B124FF" w:rsidP="005F32B8">
            <w:pPr>
              <w:jc w:val="both"/>
              <w:rPr>
                <w:sz w:val="20"/>
              </w:rPr>
            </w:pPr>
            <w:r w:rsidRPr="00AF75CE">
              <w:rPr>
                <w:sz w:val="20"/>
              </w:rPr>
              <w:t>August 20, 2018</w:t>
            </w:r>
          </w:p>
          <w:p w:rsidR="00B124FF" w:rsidRPr="00AF75CE" w:rsidRDefault="00B124FF" w:rsidP="005F32B8">
            <w:pPr>
              <w:jc w:val="both"/>
              <w:rPr>
                <w:sz w:val="20"/>
              </w:rPr>
            </w:pPr>
            <w:r w:rsidRPr="00AF75CE">
              <w:rPr>
                <w:sz w:val="20"/>
              </w:rPr>
              <w:t>Supreme Court of Canada</w:t>
            </w:r>
          </w:p>
          <w:p w:rsidR="00B124FF" w:rsidRPr="00AF75CE" w:rsidRDefault="00B124FF" w:rsidP="005F32B8">
            <w:pPr>
              <w:jc w:val="both"/>
              <w:rPr>
                <w:sz w:val="20"/>
              </w:rPr>
            </w:pPr>
          </w:p>
        </w:tc>
        <w:tc>
          <w:tcPr>
            <w:tcW w:w="243" w:type="pct"/>
          </w:tcPr>
          <w:p w:rsidR="00B124FF" w:rsidRPr="00AF75CE" w:rsidRDefault="00B124FF" w:rsidP="005F32B8">
            <w:pPr>
              <w:jc w:val="both"/>
              <w:rPr>
                <w:sz w:val="20"/>
              </w:rPr>
            </w:pPr>
          </w:p>
        </w:tc>
        <w:tc>
          <w:tcPr>
            <w:tcW w:w="2330" w:type="pct"/>
          </w:tcPr>
          <w:p w:rsidR="00B124FF" w:rsidRPr="00AF75CE" w:rsidRDefault="00B124FF" w:rsidP="005F32B8">
            <w:pPr>
              <w:jc w:val="both"/>
              <w:rPr>
                <w:sz w:val="20"/>
              </w:rPr>
            </w:pPr>
            <w:r w:rsidRPr="00AF75CE">
              <w:rPr>
                <w:sz w:val="20"/>
              </w:rPr>
              <w:t>Motion for an extension of time to serve and file the application for leave to appeal and application for leave to appeal filed by Podolski</w:t>
            </w:r>
          </w:p>
          <w:p w:rsidR="00B124FF" w:rsidRPr="00AF75CE" w:rsidRDefault="00B124FF" w:rsidP="005F32B8">
            <w:pPr>
              <w:jc w:val="both"/>
              <w:rPr>
                <w:sz w:val="20"/>
              </w:rPr>
            </w:pPr>
          </w:p>
        </w:tc>
      </w:tr>
      <w:tr w:rsidR="00B124FF" w:rsidRPr="00AF75CE" w:rsidTr="005F32B8">
        <w:tc>
          <w:tcPr>
            <w:tcW w:w="2427" w:type="pct"/>
            <w:gridSpan w:val="2"/>
          </w:tcPr>
          <w:p w:rsidR="00B124FF" w:rsidRPr="00AF75CE" w:rsidRDefault="00B124FF" w:rsidP="005F32B8">
            <w:pPr>
              <w:jc w:val="both"/>
              <w:rPr>
                <w:sz w:val="20"/>
              </w:rPr>
            </w:pPr>
            <w:r w:rsidRPr="00AF75CE">
              <w:rPr>
                <w:sz w:val="20"/>
              </w:rPr>
              <w:t>August 20, 2018</w:t>
            </w:r>
          </w:p>
          <w:p w:rsidR="00B124FF" w:rsidRPr="00AF75CE" w:rsidRDefault="00B124FF" w:rsidP="005F32B8">
            <w:pPr>
              <w:jc w:val="both"/>
              <w:rPr>
                <w:sz w:val="20"/>
              </w:rPr>
            </w:pPr>
            <w:r w:rsidRPr="00AF75CE">
              <w:rPr>
                <w:sz w:val="20"/>
              </w:rPr>
              <w:t>Supreme Court of Canada</w:t>
            </w:r>
          </w:p>
          <w:p w:rsidR="00B124FF" w:rsidRPr="00AF75CE" w:rsidRDefault="00B124FF" w:rsidP="005F32B8">
            <w:pPr>
              <w:jc w:val="both"/>
              <w:rPr>
                <w:sz w:val="20"/>
              </w:rPr>
            </w:pPr>
          </w:p>
        </w:tc>
        <w:tc>
          <w:tcPr>
            <w:tcW w:w="243" w:type="pct"/>
          </w:tcPr>
          <w:p w:rsidR="00B124FF" w:rsidRPr="00AF75CE" w:rsidRDefault="00B124FF" w:rsidP="005F32B8">
            <w:pPr>
              <w:jc w:val="both"/>
              <w:rPr>
                <w:sz w:val="20"/>
              </w:rPr>
            </w:pPr>
          </w:p>
        </w:tc>
        <w:tc>
          <w:tcPr>
            <w:tcW w:w="2330" w:type="pct"/>
          </w:tcPr>
          <w:p w:rsidR="00B124FF" w:rsidRPr="00AF75CE" w:rsidRDefault="00B124FF" w:rsidP="005F32B8">
            <w:pPr>
              <w:jc w:val="both"/>
              <w:rPr>
                <w:sz w:val="20"/>
              </w:rPr>
            </w:pPr>
            <w:r w:rsidRPr="00AF75CE">
              <w:rPr>
                <w:sz w:val="20"/>
              </w:rPr>
              <w:t>Motion for an extension of time to serve and file the application for leave to appeal and application for leave to appeal filed by O’Donnell</w:t>
            </w:r>
          </w:p>
          <w:p w:rsidR="00B124FF" w:rsidRPr="00AF75CE" w:rsidRDefault="00B124FF" w:rsidP="005F32B8">
            <w:pPr>
              <w:jc w:val="both"/>
              <w:rPr>
                <w:sz w:val="20"/>
              </w:rPr>
            </w:pPr>
          </w:p>
        </w:tc>
      </w:tr>
      <w:tr w:rsidR="00B124FF" w:rsidRPr="00AF75CE" w:rsidTr="005F32B8">
        <w:tc>
          <w:tcPr>
            <w:tcW w:w="2427" w:type="pct"/>
            <w:gridSpan w:val="2"/>
          </w:tcPr>
          <w:p w:rsidR="00B124FF" w:rsidRPr="00AF75CE" w:rsidRDefault="00B124FF" w:rsidP="005F32B8">
            <w:pPr>
              <w:jc w:val="both"/>
              <w:rPr>
                <w:sz w:val="20"/>
              </w:rPr>
            </w:pPr>
            <w:r w:rsidRPr="00AF75CE">
              <w:rPr>
                <w:sz w:val="20"/>
              </w:rPr>
              <w:t>August 20, 2018</w:t>
            </w:r>
          </w:p>
          <w:p w:rsidR="00B124FF" w:rsidRPr="00AF75CE" w:rsidRDefault="00B124FF" w:rsidP="005F32B8">
            <w:pPr>
              <w:jc w:val="both"/>
              <w:rPr>
                <w:sz w:val="20"/>
              </w:rPr>
            </w:pPr>
            <w:r w:rsidRPr="00AF75CE">
              <w:rPr>
                <w:sz w:val="20"/>
              </w:rPr>
              <w:t>Supreme Court of Canada</w:t>
            </w:r>
          </w:p>
          <w:p w:rsidR="00B124FF" w:rsidRPr="00AF75CE" w:rsidRDefault="00B124FF" w:rsidP="005F32B8">
            <w:pPr>
              <w:jc w:val="both"/>
              <w:rPr>
                <w:sz w:val="20"/>
              </w:rPr>
            </w:pPr>
          </w:p>
        </w:tc>
        <w:tc>
          <w:tcPr>
            <w:tcW w:w="243" w:type="pct"/>
          </w:tcPr>
          <w:p w:rsidR="00B124FF" w:rsidRPr="00AF75CE" w:rsidRDefault="00B124FF" w:rsidP="005F32B8">
            <w:pPr>
              <w:jc w:val="both"/>
              <w:rPr>
                <w:sz w:val="20"/>
              </w:rPr>
            </w:pPr>
          </w:p>
        </w:tc>
        <w:tc>
          <w:tcPr>
            <w:tcW w:w="2330" w:type="pct"/>
          </w:tcPr>
          <w:p w:rsidR="00B124FF" w:rsidRPr="00AF75CE" w:rsidRDefault="00B124FF" w:rsidP="005F32B8">
            <w:pPr>
              <w:jc w:val="both"/>
              <w:rPr>
                <w:sz w:val="20"/>
              </w:rPr>
            </w:pPr>
            <w:r w:rsidRPr="00AF75CE">
              <w:rPr>
                <w:sz w:val="20"/>
              </w:rPr>
              <w:t>Motion for an extension of time to serve and file the application for leave to appeal and application for leave to appeal filed by Manolakos</w:t>
            </w:r>
          </w:p>
        </w:tc>
      </w:tr>
    </w:tbl>
    <w:p w:rsidR="00B124FF" w:rsidRDefault="00B124FF" w:rsidP="00B124FF">
      <w:pPr>
        <w:ind w:left="142" w:hanging="142"/>
        <w:jc w:val="both"/>
        <w:rPr>
          <w:sz w:val="20"/>
        </w:rPr>
      </w:pPr>
    </w:p>
    <w:p w:rsidR="00B124FF" w:rsidRDefault="00B124FF" w:rsidP="00B124FF">
      <w:pPr>
        <w:rPr>
          <w:sz w:val="20"/>
        </w:rPr>
      </w:pPr>
      <w:r>
        <w:rPr>
          <w:sz w:val="20"/>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124FF" w:rsidRPr="00375452" w:rsidTr="005F32B8">
        <w:tc>
          <w:tcPr>
            <w:tcW w:w="543" w:type="pct"/>
          </w:tcPr>
          <w:p w:rsidR="00B124FF" w:rsidRPr="00AF75CE" w:rsidRDefault="00B124FF" w:rsidP="005F32B8">
            <w:pPr>
              <w:rPr>
                <w:sz w:val="20"/>
                <w:lang w:val="fr-CA"/>
              </w:rPr>
            </w:pPr>
            <w:r w:rsidRPr="00AF75CE">
              <w:rPr>
                <w:rStyle w:val="SCCFileNumberChar"/>
                <w:sz w:val="20"/>
                <w:szCs w:val="20"/>
                <w:lang w:val="fr-CA"/>
              </w:rPr>
              <w:lastRenderedPageBreak/>
              <w:t>38262</w:t>
            </w:r>
          </w:p>
        </w:tc>
        <w:tc>
          <w:tcPr>
            <w:tcW w:w="4457" w:type="pct"/>
            <w:gridSpan w:val="3"/>
          </w:tcPr>
          <w:p w:rsidR="00B124FF" w:rsidRPr="00202CE2" w:rsidRDefault="00B124FF" w:rsidP="005F32B8">
            <w:pPr>
              <w:pStyle w:val="SCCLsocParty"/>
              <w:jc w:val="left"/>
              <w:rPr>
                <w:b/>
                <w:sz w:val="20"/>
                <w:szCs w:val="20"/>
              </w:rPr>
            </w:pPr>
            <w:r w:rsidRPr="00202CE2">
              <w:rPr>
                <w:b/>
                <w:sz w:val="20"/>
                <w:szCs w:val="20"/>
              </w:rPr>
              <w:t>Leslie Podolski c. Sa Majesté la Reine</w:t>
            </w:r>
          </w:p>
          <w:p w:rsidR="00B124FF" w:rsidRPr="00AF75CE" w:rsidRDefault="00B124FF" w:rsidP="005F32B8">
            <w:pPr>
              <w:pStyle w:val="SCCLsocSubfileSeparator0"/>
              <w:rPr>
                <w:sz w:val="20"/>
                <w:szCs w:val="20"/>
                <w:lang w:val="fr-CA"/>
              </w:rPr>
            </w:pPr>
            <w:r w:rsidRPr="00AF75CE">
              <w:rPr>
                <w:sz w:val="20"/>
                <w:szCs w:val="20"/>
                <w:lang w:val="fr-CA"/>
              </w:rPr>
              <w:t>- et entre -</w:t>
            </w:r>
          </w:p>
          <w:p w:rsidR="00B124FF" w:rsidRPr="00202CE2" w:rsidRDefault="00B124FF" w:rsidP="005F32B8">
            <w:pPr>
              <w:pStyle w:val="SCCLsocParty"/>
              <w:jc w:val="left"/>
              <w:rPr>
                <w:b/>
                <w:sz w:val="20"/>
                <w:szCs w:val="20"/>
              </w:rPr>
            </w:pPr>
            <w:r w:rsidRPr="00202CE2">
              <w:rPr>
                <w:b/>
                <w:sz w:val="20"/>
                <w:szCs w:val="20"/>
              </w:rPr>
              <w:t>Sheldon Richard O’Donnell c. Sa Majesté la Reine</w:t>
            </w:r>
          </w:p>
          <w:p w:rsidR="00B124FF" w:rsidRPr="00AF75CE" w:rsidRDefault="00B124FF" w:rsidP="005F32B8">
            <w:pPr>
              <w:pStyle w:val="SCCLsocSubfileSeparator0"/>
              <w:rPr>
                <w:sz w:val="20"/>
                <w:szCs w:val="20"/>
                <w:lang w:val="fr-CA"/>
              </w:rPr>
            </w:pPr>
            <w:r w:rsidRPr="00AF75CE">
              <w:rPr>
                <w:sz w:val="20"/>
                <w:szCs w:val="20"/>
                <w:lang w:val="fr-CA"/>
              </w:rPr>
              <w:t>- et entre -</w:t>
            </w:r>
          </w:p>
          <w:p w:rsidR="00B124FF" w:rsidRPr="00202CE2" w:rsidRDefault="00B124FF" w:rsidP="005F32B8">
            <w:pPr>
              <w:pStyle w:val="SCCLsocParty"/>
              <w:jc w:val="left"/>
              <w:rPr>
                <w:b/>
                <w:sz w:val="20"/>
                <w:szCs w:val="20"/>
              </w:rPr>
            </w:pPr>
            <w:r w:rsidRPr="00202CE2">
              <w:rPr>
                <w:b/>
                <w:sz w:val="20"/>
                <w:szCs w:val="20"/>
              </w:rPr>
              <w:t>Peter Manolakos c. Sa Majesté la Reine</w:t>
            </w:r>
          </w:p>
          <w:p w:rsidR="00B124FF" w:rsidRPr="00AF75CE" w:rsidRDefault="00B124FF" w:rsidP="005F32B8">
            <w:pPr>
              <w:rPr>
                <w:sz w:val="20"/>
                <w:lang w:val="fr-CA"/>
              </w:rPr>
            </w:pPr>
            <w:r w:rsidRPr="00AF75CE">
              <w:rPr>
                <w:sz w:val="20"/>
                <w:lang w:val="fr-CA"/>
              </w:rPr>
              <w:t>(C.-B.) (Criminelle) (Autorisation)</w:t>
            </w:r>
          </w:p>
        </w:tc>
      </w:tr>
      <w:tr w:rsidR="00B124FF" w:rsidRPr="00CC0B55" w:rsidTr="005F32B8">
        <w:tc>
          <w:tcPr>
            <w:tcW w:w="5000" w:type="pct"/>
            <w:gridSpan w:val="4"/>
          </w:tcPr>
          <w:p w:rsidR="00B124FF" w:rsidRDefault="00B124FF" w:rsidP="005F32B8">
            <w:pPr>
              <w:jc w:val="both"/>
              <w:rPr>
                <w:sz w:val="20"/>
                <w:lang w:val="fr-CA"/>
              </w:rPr>
            </w:pPr>
            <w:r w:rsidRPr="00C97F67">
              <w:rPr>
                <w:sz w:val="20"/>
                <w:lang w:val="fr-CA"/>
              </w:rPr>
              <w:t>Les requêtes en prorogation du délai de signification et de dépôt des demandes d’autorisation d’appel sont accueillies. Les demandes d’autorisation d’appel de l’arrêt de la Cour d’appel de la Colombie-Britannique (Vancouver), numéros CA40515, CA40551 et CA40652, 2018 BCCA 96, daté du 14 mars 2018, sont rejetées.</w:t>
            </w:r>
          </w:p>
          <w:p w:rsidR="00B124FF" w:rsidRPr="00AF75CE" w:rsidRDefault="00B124FF" w:rsidP="005F32B8">
            <w:pPr>
              <w:jc w:val="both"/>
              <w:rPr>
                <w:sz w:val="20"/>
                <w:lang w:val="fr-CA"/>
              </w:rPr>
            </w:pPr>
          </w:p>
        </w:tc>
      </w:tr>
      <w:tr w:rsidR="00B124FF" w:rsidRPr="00CC0B55" w:rsidTr="005F32B8">
        <w:tc>
          <w:tcPr>
            <w:tcW w:w="5000" w:type="pct"/>
            <w:gridSpan w:val="4"/>
          </w:tcPr>
          <w:p w:rsidR="00B124FF" w:rsidRPr="00AF75CE" w:rsidRDefault="00B124FF" w:rsidP="005F32B8">
            <w:pPr>
              <w:jc w:val="both"/>
              <w:rPr>
                <w:sz w:val="20"/>
                <w:lang w:val="fr-CA"/>
              </w:rPr>
            </w:pPr>
            <w:r w:rsidRPr="00AF75CE">
              <w:rPr>
                <w:sz w:val="20"/>
                <w:lang w:val="fr-CA"/>
              </w:rPr>
              <w:t xml:space="preserve">Droit criminel – Exposé au jury – Règle établie dans l’arrêt </w:t>
            </w:r>
            <w:r w:rsidRPr="00AF75CE">
              <w:rPr>
                <w:i/>
                <w:sz w:val="20"/>
                <w:lang w:val="fr-CA"/>
              </w:rPr>
              <w:t>Browne c. Dunn</w:t>
            </w:r>
            <w:r w:rsidRPr="00AF75CE">
              <w:rPr>
                <w:sz w:val="20"/>
                <w:lang w:val="fr-CA"/>
              </w:rPr>
              <w:t xml:space="preserve"> – La règle établie dans </w:t>
            </w:r>
            <w:r w:rsidRPr="00AF75CE">
              <w:rPr>
                <w:i/>
                <w:sz w:val="20"/>
                <w:lang w:val="fr-CA"/>
              </w:rPr>
              <w:t>Browne c. Dunn</w:t>
            </w:r>
            <w:r w:rsidRPr="00AF75CE">
              <w:rPr>
                <w:sz w:val="20"/>
                <w:lang w:val="fr-CA"/>
              </w:rPr>
              <w:t xml:space="preserve"> impose-t-elle maintenant une obligation d’équité qui oblige l’avocat à contre-interroger les témoins de la partie adverse sur tous les points « importants » de leurs témoignages, sans égard à la question de savoir s’ils ont violé la règle par ailleurs? – La Cour d’appel a-t-elle élargi le champ d’application de la règle établie dans </w:t>
            </w:r>
            <w:r w:rsidRPr="00AF75CE">
              <w:rPr>
                <w:i/>
                <w:sz w:val="20"/>
                <w:lang w:val="fr-CA"/>
              </w:rPr>
              <w:t>Browne c. Dunn</w:t>
            </w:r>
            <w:r w:rsidRPr="00AF75CE">
              <w:rPr>
                <w:sz w:val="20"/>
                <w:lang w:val="fr-CA"/>
              </w:rPr>
              <w:t xml:space="preserve"> pour exiger une contestation précise de chaque point des témoignages contestés des témoins? – La Cour d’appel a-t-elle commis une erreur dans l’application de la disposition réparatrice?</w:t>
            </w:r>
          </w:p>
          <w:p w:rsidR="00B124FF" w:rsidRPr="00AF75CE" w:rsidRDefault="00B124FF" w:rsidP="005F32B8">
            <w:pPr>
              <w:jc w:val="both"/>
              <w:rPr>
                <w:sz w:val="20"/>
                <w:lang w:val="fr-CA"/>
              </w:rPr>
            </w:pPr>
          </w:p>
        </w:tc>
      </w:tr>
      <w:tr w:rsidR="00B124FF" w:rsidRPr="00375452" w:rsidTr="005F32B8">
        <w:tc>
          <w:tcPr>
            <w:tcW w:w="5000" w:type="pct"/>
            <w:gridSpan w:val="4"/>
          </w:tcPr>
          <w:p w:rsidR="00B124FF" w:rsidRPr="00AF75CE" w:rsidRDefault="00B124FF" w:rsidP="005F32B8">
            <w:pPr>
              <w:jc w:val="both"/>
              <w:rPr>
                <w:sz w:val="20"/>
                <w:lang w:val="fr-CA"/>
              </w:rPr>
            </w:pPr>
            <w:r w:rsidRPr="00AF75CE">
              <w:rPr>
                <w:iCs/>
                <w:sz w:val="20"/>
                <w:lang w:val="fr-CA"/>
              </w:rPr>
              <w:t xml:space="preserve">Les demandeurs étaient impliqués dans le trafic de drogue à Vernon (Colombie-Britannique). Au procès, les demandeurs ont plaidé que la règle établie dans l’arrêt </w:t>
            </w:r>
            <w:r w:rsidRPr="00AF75CE">
              <w:rPr>
                <w:i/>
                <w:iCs/>
                <w:sz w:val="20"/>
                <w:lang w:val="fr-CA"/>
              </w:rPr>
              <w:t>Browne c. Dunn</w:t>
            </w:r>
            <w:r w:rsidRPr="00AF75CE">
              <w:rPr>
                <w:iCs/>
                <w:sz w:val="20"/>
                <w:lang w:val="fr-CA"/>
              </w:rPr>
              <w:t xml:space="preserve"> ne s’appliquait pas, alors que le ministère public a plaidé que cette règle s’appliquait. Le juge du procès a statué que la règle établie dans </w:t>
            </w:r>
            <w:r w:rsidRPr="00AF75CE">
              <w:rPr>
                <w:i/>
                <w:iCs/>
                <w:sz w:val="20"/>
                <w:lang w:val="fr-CA"/>
              </w:rPr>
              <w:t>Browne c. Dunn</w:t>
            </w:r>
            <w:r w:rsidRPr="00AF75CE">
              <w:rPr>
                <w:iCs/>
                <w:sz w:val="20"/>
                <w:lang w:val="fr-CA"/>
              </w:rPr>
              <w:t xml:space="preserve"> s’appliquait et a donné des directives en ce sens au jury.</w:t>
            </w:r>
            <w:r w:rsidRPr="00AF75CE">
              <w:rPr>
                <w:sz w:val="20"/>
                <w:lang w:val="fr-CA"/>
              </w:rPr>
              <w:t xml:space="preserve"> Au terme d’un procès devant juge et jury, les demandeurs ont été déclarés coupables de ce qui suit : un chef d’accusation de meurtre (M. Podolski); trois chefs d’accusation de meurtre (M. O’Donnell); et un chef d’accusation d’homicide involontaire coupable et un chef d’accusation de meurtre (M. Manolakos). La Cour d’appel a statué que le juge du procès n’avait commis aucune erreur relativement à la règle établie dans </w:t>
            </w:r>
            <w:r w:rsidRPr="00AF75CE">
              <w:rPr>
                <w:i/>
                <w:sz w:val="20"/>
                <w:lang w:val="fr-CA"/>
              </w:rPr>
              <w:t>Browne c. Dunn</w:t>
            </w:r>
            <w:r w:rsidRPr="00AF75CE">
              <w:rPr>
                <w:sz w:val="20"/>
                <w:lang w:val="fr-CA"/>
              </w:rPr>
              <w:t xml:space="preserve"> et a rejeté les autres moyens d’appel. Les appels des déclarations de culpabilité ont été rejetés.</w:t>
            </w:r>
          </w:p>
        </w:tc>
      </w:tr>
      <w:tr w:rsidR="00B124FF" w:rsidRPr="00375452" w:rsidTr="005F32B8">
        <w:tc>
          <w:tcPr>
            <w:tcW w:w="5000" w:type="pct"/>
            <w:gridSpan w:val="4"/>
          </w:tcPr>
          <w:p w:rsidR="00B124FF" w:rsidRPr="00AF75CE" w:rsidRDefault="00B124FF" w:rsidP="005F32B8">
            <w:pPr>
              <w:jc w:val="both"/>
              <w:rPr>
                <w:sz w:val="20"/>
                <w:lang w:val="fr-CA"/>
              </w:rPr>
            </w:pPr>
          </w:p>
        </w:tc>
      </w:tr>
      <w:tr w:rsidR="00B124FF" w:rsidRPr="00CC0B55" w:rsidTr="005F32B8">
        <w:tc>
          <w:tcPr>
            <w:tcW w:w="2427" w:type="pct"/>
            <w:gridSpan w:val="2"/>
          </w:tcPr>
          <w:p w:rsidR="00B124FF" w:rsidRPr="00AF75CE" w:rsidRDefault="00B124FF" w:rsidP="005F32B8">
            <w:pPr>
              <w:jc w:val="both"/>
              <w:rPr>
                <w:sz w:val="20"/>
                <w:lang w:val="fr-CA"/>
              </w:rPr>
            </w:pPr>
            <w:r w:rsidRPr="00AF75CE">
              <w:rPr>
                <w:sz w:val="20"/>
                <w:lang w:val="fr-CA"/>
              </w:rPr>
              <w:t>25 novembre 2012</w:t>
            </w:r>
          </w:p>
          <w:p w:rsidR="00B124FF" w:rsidRPr="00AF75CE" w:rsidRDefault="00B124FF" w:rsidP="005F32B8">
            <w:pPr>
              <w:jc w:val="both"/>
              <w:rPr>
                <w:sz w:val="20"/>
                <w:lang w:val="fr-CA"/>
              </w:rPr>
            </w:pPr>
            <w:r w:rsidRPr="00AF75CE">
              <w:rPr>
                <w:sz w:val="20"/>
                <w:lang w:val="fr-CA"/>
              </w:rPr>
              <w:t>Cour suprême de la Colombie-Britannique</w:t>
            </w:r>
          </w:p>
          <w:p w:rsidR="00B124FF" w:rsidRPr="00AF75CE" w:rsidRDefault="00B124FF" w:rsidP="005F32B8">
            <w:pPr>
              <w:jc w:val="both"/>
              <w:rPr>
                <w:sz w:val="20"/>
                <w:lang w:val="fr-CA"/>
              </w:rPr>
            </w:pPr>
            <w:r w:rsidRPr="00AF75CE">
              <w:rPr>
                <w:sz w:val="20"/>
                <w:lang w:val="fr-CA"/>
              </w:rPr>
              <w:t>(Juge Smart)</w:t>
            </w:r>
          </w:p>
          <w:p w:rsidR="00B124FF" w:rsidRPr="00AF75CE" w:rsidRDefault="00B124FF" w:rsidP="005F32B8">
            <w:pPr>
              <w:jc w:val="both"/>
              <w:rPr>
                <w:sz w:val="20"/>
                <w:lang w:val="fr-CA"/>
              </w:rPr>
            </w:pPr>
          </w:p>
        </w:tc>
        <w:tc>
          <w:tcPr>
            <w:tcW w:w="243" w:type="pct"/>
          </w:tcPr>
          <w:p w:rsidR="00B124FF" w:rsidRPr="00AF75CE" w:rsidRDefault="00B124FF" w:rsidP="005F32B8">
            <w:pPr>
              <w:jc w:val="both"/>
              <w:rPr>
                <w:sz w:val="20"/>
                <w:lang w:val="fr-CA"/>
              </w:rPr>
            </w:pPr>
          </w:p>
        </w:tc>
        <w:tc>
          <w:tcPr>
            <w:tcW w:w="2330" w:type="pct"/>
          </w:tcPr>
          <w:p w:rsidR="00B124FF" w:rsidRPr="00AF75CE" w:rsidRDefault="00B124FF" w:rsidP="005F32B8">
            <w:pPr>
              <w:jc w:val="both"/>
              <w:rPr>
                <w:sz w:val="20"/>
                <w:lang w:val="fr-CA"/>
              </w:rPr>
            </w:pPr>
            <w:r w:rsidRPr="00AF75CE">
              <w:rPr>
                <w:sz w:val="20"/>
                <w:lang w:val="fr-CA"/>
              </w:rPr>
              <w:t>Déclarations de culpabilité : un chef d’accusation de meurtre (M. Podolski); trois chefs d’accusation de meurtre (M. O’Donnell); et un chef d’accusation d’homicide involontaire coupable et un chef d’accusation de meurtre (M. Manolakos)</w:t>
            </w:r>
          </w:p>
          <w:p w:rsidR="00B124FF" w:rsidRPr="00AF75CE" w:rsidRDefault="00B124FF" w:rsidP="005F32B8">
            <w:pPr>
              <w:jc w:val="both"/>
              <w:rPr>
                <w:sz w:val="20"/>
                <w:lang w:val="fr-CA"/>
              </w:rPr>
            </w:pPr>
          </w:p>
        </w:tc>
      </w:tr>
      <w:tr w:rsidR="00B124FF" w:rsidRPr="00CC0B55" w:rsidTr="005F32B8">
        <w:tc>
          <w:tcPr>
            <w:tcW w:w="2427" w:type="pct"/>
            <w:gridSpan w:val="2"/>
          </w:tcPr>
          <w:p w:rsidR="00B124FF" w:rsidRPr="00AF75CE" w:rsidRDefault="00B124FF" w:rsidP="005F32B8">
            <w:pPr>
              <w:jc w:val="both"/>
              <w:rPr>
                <w:sz w:val="20"/>
                <w:lang w:val="fr-CA"/>
              </w:rPr>
            </w:pPr>
            <w:r w:rsidRPr="00AF75CE">
              <w:rPr>
                <w:sz w:val="20"/>
                <w:lang w:val="fr-CA"/>
              </w:rPr>
              <w:t>14 mars 2018</w:t>
            </w:r>
          </w:p>
          <w:p w:rsidR="00B124FF" w:rsidRPr="00AF75CE" w:rsidRDefault="00B124FF" w:rsidP="005F32B8">
            <w:pPr>
              <w:jc w:val="both"/>
              <w:rPr>
                <w:sz w:val="20"/>
                <w:lang w:val="fr-CA"/>
              </w:rPr>
            </w:pPr>
            <w:r w:rsidRPr="00AF75CE">
              <w:rPr>
                <w:sz w:val="20"/>
                <w:lang w:val="fr-CA"/>
              </w:rPr>
              <w:t>Cour d’appel de la Colombie-Britannique</w:t>
            </w:r>
          </w:p>
          <w:p w:rsidR="00B124FF" w:rsidRPr="00AF75CE" w:rsidRDefault="00B124FF" w:rsidP="005F32B8">
            <w:pPr>
              <w:jc w:val="both"/>
              <w:rPr>
                <w:sz w:val="20"/>
                <w:lang w:val="fr-CA"/>
              </w:rPr>
            </w:pPr>
            <w:r w:rsidRPr="00AF75CE">
              <w:rPr>
                <w:sz w:val="20"/>
                <w:lang w:val="fr-CA"/>
              </w:rPr>
              <w:t>(Vancouver)</w:t>
            </w:r>
          </w:p>
          <w:p w:rsidR="00B124FF" w:rsidRPr="00AF75CE" w:rsidRDefault="00B124FF" w:rsidP="005F32B8">
            <w:pPr>
              <w:jc w:val="both"/>
              <w:rPr>
                <w:sz w:val="20"/>
                <w:lang w:val="fr-CA"/>
              </w:rPr>
            </w:pPr>
            <w:r w:rsidRPr="00AF75CE">
              <w:rPr>
                <w:sz w:val="20"/>
                <w:lang w:val="fr-CA"/>
              </w:rPr>
              <w:t xml:space="preserve">(Juges Saunders, D. Smith et Fenlon) </w:t>
            </w:r>
            <w:hyperlink r:id="rId20" w:history="1">
              <w:r w:rsidRPr="00AF75CE">
                <w:rPr>
                  <w:rStyle w:val="Hyperlink"/>
                  <w:sz w:val="20"/>
                  <w:lang w:val="fr-CA"/>
                </w:rPr>
                <w:t>2018 BCCA 96</w:t>
              </w:r>
            </w:hyperlink>
            <w:r w:rsidRPr="00AF75CE">
              <w:rPr>
                <w:sz w:val="20"/>
                <w:lang w:val="fr-CA"/>
              </w:rPr>
              <w:t>; CA040515;CA040551;CA040652</w:t>
            </w:r>
          </w:p>
          <w:p w:rsidR="00B124FF" w:rsidRPr="00AF75CE" w:rsidRDefault="00B124FF" w:rsidP="005F32B8">
            <w:pPr>
              <w:jc w:val="both"/>
              <w:rPr>
                <w:sz w:val="20"/>
                <w:lang w:val="fr-CA"/>
              </w:rPr>
            </w:pPr>
          </w:p>
        </w:tc>
        <w:tc>
          <w:tcPr>
            <w:tcW w:w="243" w:type="pct"/>
          </w:tcPr>
          <w:p w:rsidR="00B124FF" w:rsidRPr="00AF75CE" w:rsidRDefault="00B124FF" w:rsidP="005F32B8">
            <w:pPr>
              <w:jc w:val="both"/>
              <w:rPr>
                <w:sz w:val="20"/>
                <w:lang w:val="fr-CA"/>
              </w:rPr>
            </w:pPr>
          </w:p>
        </w:tc>
        <w:tc>
          <w:tcPr>
            <w:tcW w:w="2330" w:type="pct"/>
          </w:tcPr>
          <w:p w:rsidR="00B124FF" w:rsidRPr="00AF75CE" w:rsidRDefault="00B124FF" w:rsidP="005F32B8">
            <w:pPr>
              <w:jc w:val="both"/>
              <w:rPr>
                <w:sz w:val="20"/>
                <w:lang w:val="fr-CA"/>
              </w:rPr>
            </w:pPr>
            <w:r w:rsidRPr="00AF75CE">
              <w:rPr>
                <w:sz w:val="20"/>
                <w:lang w:val="fr-CA"/>
              </w:rPr>
              <w:t>Rejet des appels des déclarations de culpabilité</w:t>
            </w:r>
          </w:p>
          <w:p w:rsidR="00B124FF" w:rsidRPr="00AF75CE" w:rsidRDefault="00B124FF" w:rsidP="005F32B8">
            <w:pPr>
              <w:jc w:val="both"/>
              <w:rPr>
                <w:sz w:val="20"/>
                <w:lang w:val="fr-CA"/>
              </w:rPr>
            </w:pPr>
          </w:p>
        </w:tc>
      </w:tr>
      <w:tr w:rsidR="00B124FF" w:rsidRPr="00CC0B55" w:rsidTr="005F32B8">
        <w:tc>
          <w:tcPr>
            <w:tcW w:w="2427" w:type="pct"/>
            <w:gridSpan w:val="2"/>
          </w:tcPr>
          <w:p w:rsidR="00B124FF" w:rsidRPr="00AF75CE" w:rsidRDefault="00B124FF" w:rsidP="005F32B8">
            <w:pPr>
              <w:jc w:val="both"/>
              <w:rPr>
                <w:sz w:val="20"/>
                <w:lang w:val="fr-CA"/>
              </w:rPr>
            </w:pPr>
            <w:r w:rsidRPr="00AF75CE">
              <w:rPr>
                <w:sz w:val="20"/>
                <w:lang w:val="fr-CA"/>
              </w:rPr>
              <w:t>20 août 2018</w:t>
            </w:r>
          </w:p>
          <w:p w:rsidR="00B124FF" w:rsidRPr="00AF75CE" w:rsidRDefault="00B124FF" w:rsidP="005F32B8">
            <w:pPr>
              <w:jc w:val="both"/>
              <w:rPr>
                <w:sz w:val="20"/>
                <w:lang w:val="fr-CA"/>
              </w:rPr>
            </w:pPr>
            <w:r w:rsidRPr="00AF75CE">
              <w:rPr>
                <w:sz w:val="20"/>
                <w:lang w:val="fr-CA"/>
              </w:rPr>
              <w:t>Cour suprême du Canada</w:t>
            </w:r>
          </w:p>
          <w:p w:rsidR="00B124FF" w:rsidRPr="00AF75CE" w:rsidRDefault="00B124FF" w:rsidP="005F32B8">
            <w:pPr>
              <w:jc w:val="both"/>
              <w:rPr>
                <w:sz w:val="20"/>
                <w:lang w:val="fr-CA"/>
              </w:rPr>
            </w:pPr>
          </w:p>
        </w:tc>
        <w:tc>
          <w:tcPr>
            <w:tcW w:w="243" w:type="pct"/>
          </w:tcPr>
          <w:p w:rsidR="00B124FF" w:rsidRPr="00AF75CE" w:rsidRDefault="00B124FF" w:rsidP="005F32B8">
            <w:pPr>
              <w:jc w:val="both"/>
              <w:rPr>
                <w:sz w:val="20"/>
                <w:lang w:val="fr-CA"/>
              </w:rPr>
            </w:pPr>
          </w:p>
        </w:tc>
        <w:tc>
          <w:tcPr>
            <w:tcW w:w="2330" w:type="pct"/>
          </w:tcPr>
          <w:p w:rsidR="00B124FF" w:rsidRPr="00AF75CE" w:rsidRDefault="00B124FF" w:rsidP="005F32B8">
            <w:pPr>
              <w:jc w:val="both"/>
              <w:rPr>
                <w:sz w:val="20"/>
                <w:lang w:val="fr-CA"/>
              </w:rPr>
            </w:pPr>
            <w:r w:rsidRPr="00AF75CE">
              <w:rPr>
                <w:sz w:val="20"/>
                <w:lang w:val="fr-CA"/>
              </w:rPr>
              <w:t>Dépôt, par M. Podolski, de la requête en prorogation du délai de signification et de dépôt de la demande d’autorisation d’appel et de la demande d’autorisation d’appel</w:t>
            </w:r>
          </w:p>
          <w:p w:rsidR="00B124FF" w:rsidRPr="00AF75CE" w:rsidRDefault="00B124FF" w:rsidP="005F32B8">
            <w:pPr>
              <w:jc w:val="both"/>
              <w:rPr>
                <w:sz w:val="20"/>
                <w:lang w:val="fr-CA"/>
              </w:rPr>
            </w:pPr>
          </w:p>
        </w:tc>
      </w:tr>
    </w:tbl>
    <w:p w:rsidR="00B124FF" w:rsidRPr="00E825BB" w:rsidRDefault="00B124FF" w:rsidP="00B124FF">
      <w:pPr>
        <w:rPr>
          <w:lang w:val="fr-CA"/>
        </w:rPr>
      </w:pPr>
      <w:r w:rsidRPr="00E825BB">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B124FF" w:rsidRPr="00CC0B55" w:rsidTr="005F32B8">
        <w:tc>
          <w:tcPr>
            <w:tcW w:w="2427" w:type="pct"/>
          </w:tcPr>
          <w:p w:rsidR="00B124FF" w:rsidRPr="00AF75CE" w:rsidRDefault="00B124FF" w:rsidP="005F32B8">
            <w:pPr>
              <w:jc w:val="both"/>
              <w:rPr>
                <w:sz w:val="20"/>
                <w:lang w:val="fr-CA"/>
              </w:rPr>
            </w:pPr>
            <w:r w:rsidRPr="00AF75CE">
              <w:rPr>
                <w:sz w:val="20"/>
                <w:lang w:val="fr-CA"/>
              </w:rPr>
              <w:lastRenderedPageBreak/>
              <w:t>20 août 2018</w:t>
            </w:r>
          </w:p>
          <w:p w:rsidR="00B124FF" w:rsidRPr="00AF75CE" w:rsidRDefault="00B124FF" w:rsidP="005F32B8">
            <w:pPr>
              <w:jc w:val="both"/>
              <w:rPr>
                <w:sz w:val="20"/>
                <w:lang w:val="fr-CA"/>
              </w:rPr>
            </w:pPr>
            <w:r w:rsidRPr="00AF75CE">
              <w:rPr>
                <w:sz w:val="20"/>
                <w:lang w:val="fr-CA"/>
              </w:rPr>
              <w:t>Cour suprême du Canada</w:t>
            </w:r>
          </w:p>
          <w:p w:rsidR="00B124FF" w:rsidRPr="00AF75CE" w:rsidRDefault="00B124FF" w:rsidP="005F32B8">
            <w:pPr>
              <w:jc w:val="both"/>
              <w:rPr>
                <w:sz w:val="20"/>
                <w:lang w:val="fr-CA"/>
              </w:rPr>
            </w:pPr>
          </w:p>
        </w:tc>
        <w:tc>
          <w:tcPr>
            <w:tcW w:w="243" w:type="pct"/>
          </w:tcPr>
          <w:p w:rsidR="00B124FF" w:rsidRPr="00AF75CE" w:rsidRDefault="00B124FF" w:rsidP="005F32B8">
            <w:pPr>
              <w:jc w:val="both"/>
              <w:rPr>
                <w:sz w:val="20"/>
                <w:lang w:val="fr-CA"/>
              </w:rPr>
            </w:pPr>
          </w:p>
        </w:tc>
        <w:tc>
          <w:tcPr>
            <w:tcW w:w="2330" w:type="pct"/>
          </w:tcPr>
          <w:p w:rsidR="00B124FF" w:rsidRPr="00AF75CE" w:rsidRDefault="00B124FF" w:rsidP="005F32B8">
            <w:pPr>
              <w:jc w:val="both"/>
              <w:rPr>
                <w:sz w:val="20"/>
                <w:lang w:val="fr-CA"/>
              </w:rPr>
            </w:pPr>
            <w:r w:rsidRPr="00AF75CE">
              <w:rPr>
                <w:sz w:val="20"/>
                <w:lang w:val="fr-CA"/>
              </w:rPr>
              <w:t>Dépôt, par M. O’Donnel, de la requête en prorogation du délai de signification et de dépôt de la demande d’autorisation d’appel et de la demande d’autorisation d’appel</w:t>
            </w:r>
          </w:p>
          <w:p w:rsidR="00B124FF" w:rsidRPr="00AF75CE" w:rsidRDefault="00B124FF" w:rsidP="005F32B8">
            <w:pPr>
              <w:jc w:val="both"/>
              <w:rPr>
                <w:sz w:val="20"/>
                <w:lang w:val="fr-CA"/>
              </w:rPr>
            </w:pPr>
          </w:p>
        </w:tc>
      </w:tr>
      <w:tr w:rsidR="00B124FF" w:rsidRPr="00CC0B55" w:rsidTr="005F32B8">
        <w:tc>
          <w:tcPr>
            <w:tcW w:w="2427" w:type="pct"/>
          </w:tcPr>
          <w:p w:rsidR="00B124FF" w:rsidRPr="00AF75CE" w:rsidRDefault="00B124FF" w:rsidP="005F32B8">
            <w:pPr>
              <w:jc w:val="both"/>
              <w:rPr>
                <w:sz w:val="20"/>
                <w:lang w:val="fr-CA"/>
              </w:rPr>
            </w:pPr>
            <w:r w:rsidRPr="00AF75CE">
              <w:rPr>
                <w:sz w:val="20"/>
                <w:lang w:val="fr-CA"/>
              </w:rPr>
              <w:t>20 août 2018</w:t>
            </w:r>
          </w:p>
          <w:p w:rsidR="00B124FF" w:rsidRPr="00AF75CE" w:rsidRDefault="00B124FF" w:rsidP="005F32B8">
            <w:pPr>
              <w:jc w:val="both"/>
              <w:rPr>
                <w:sz w:val="20"/>
                <w:lang w:val="fr-CA"/>
              </w:rPr>
            </w:pPr>
            <w:r w:rsidRPr="00AF75CE">
              <w:rPr>
                <w:sz w:val="20"/>
                <w:lang w:val="fr-CA"/>
              </w:rPr>
              <w:t>Cour suprême du Canada</w:t>
            </w:r>
          </w:p>
          <w:p w:rsidR="00B124FF" w:rsidRPr="00AF75CE" w:rsidRDefault="00B124FF" w:rsidP="005F32B8">
            <w:pPr>
              <w:jc w:val="both"/>
              <w:rPr>
                <w:sz w:val="20"/>
                <w:lang w:val="fr-CA"/>
              </w:rPr>
            </w:pPr>
          </w:p>
          <w:p w:rsidR="00B124FF" w:rsidRPr="00AF75CE" w:rsidRDefault="00B124FF" w:rsidP="005F32B8">
            <w:pPr>
              <w:jc w:val="both"/>
              <w:rPr>
                <w:sz w:val="20"/>
                <w:lang w:val="fr-CA"/>
              </w:rPr>
            </w:pPr>
          </w:p>
        </w:tc>
        <w:tc>
          <w:tcPr>
            <w:tcW w:w="243" w:type="pct"/>
          </w:tcPr>
          <w:p w:rsidR="00B124FF" w:rsidRPr="00AF75CE" w:rsidRDefault="00B124FF" w:rsidP="005F32B8">
            <w:pPr>
              <w:jc w:val="both"/>
              <w:rPr>
                <w:sz w:val="20"/>
                <w:lang w:val="fr-CA"/>
              </w:rPr>
            </w:pPr>
          </w:p>
        </w:tc>
        <w:tc>
          <w:tcPr>
            <w:tcW w:w="2330" w:type="pct"/>
          </w:tcPr>
          <w:p w:rsidR="00B124FF" w:rsidRPr="00AF75CE" w:rsidRDefault="00B124FF" w:rsidP="005F32B8">
            <w:pPr>
              <w:jc w:val="both"/>
              <w:rPr>
                <w:sz w:val="20"/>
                <w:lang w:val="fr-CA"/>
              </w:rPr>
            </w:pPr>
            <w:r w:rsidRPr="00AF75CE">
              <w:rPr>
                <w:sz w:val="20"/>
                <w:lang w:val="fr-CA"/>
              </w:rPr>
              <w:t>Dépôt, par M. Manolakos, de la requête en prorogation du délai de signification et de dépôt de la demande d’autorisation d’appel et de la demande d’autorisation d’appel</w:t>
            </w:r>
          </w:p>
        </w:tc>
      </w:tr>
    </w:tbl>
    <w:p w:rsidR="00B124FF" w:rsidRPr="00E825BB" w:rsidRDefault="00B124FF" w:rsidP="00B124FF">
      <w:pPr>
        <w:ind w:left="142" w:hanging="142"/>
        <w:jc w:val="both"/>
        <w:rPr>
          <w:sz w:val="20"/>
          <w:szCs w:val="20"/>
          <w:lang w:val="fr-CA"/>
        </w:rPr>
      </w:pPr>
    </w:p>
    <w:p w:rsidR="00B124FF" w:rsidRPr="00AF75CE" w:rsidRDefault="00A24D5C" w:rsidP="00B124FF">
      <w:pPr>
        <w:ind w:left="142" w:hanging="142"/>
        <w:jc w:val="both"/>
        <w:rPr>
          <w:sz w:val="20"/>
          <w:lang w:val="fr-CA"/>
        </w:rPr>
      </w:pPr>
      <w:r>
        <w:rPr>
          <w:sz w:val="20"/>
          <w:szCs w:val="20"/>
        </w:rPr>
        <w:pict>
          <v:rect id="_x0000_i1032" style="width:2in;height:1pt" o:hrpct="0" o:hralign="center" o:hrstd="t" o:hrnoshade="t" o:hr="t" fillcolor="black [3213]" stroked="f"/>
        </w:pict>
      </w:r>
    </w:p>
    <w:p w:rsidR="009E2C1C" w:rsidRPr="00AF75CE" w:rsidRDefault="009E2C1C" w:rsidP="009E2C1C">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124FF" w:rsidRPr="00AF75CE" w:rsidTr="005F32B8">
        <w:tc>
          <w:tcPr>
            <w:tcW w:w="543" w:type="pct"/>
          </w:tcPr>
          <w:p w:rsidR="00B124FF" w:rsidRPr="00AF75CE" w:rsidRDefault="00B124FF" w:rsidP="005F32B8">
            <w:pPr>
              <w:jc w:val="both"/>
              <w:rPr>
                <w:sz w:val="20"/>
              </w:rPr>
            </w:pPr>
            <w:r w:rsidRPr="00AF75CE">
              <w:rPr>
                <w:rStyle w:val="SCCFileNumberChar"/>
                <w:sz w:val="20"/>
                <w:szCs w:val="20"/>
              </w:rPr>
              <w:t>38207</w:t>
            </w:r>
          </w:p>
        </w:tc>
        <w:tc>
          <w:tcPr>
            <w:tcW w:w="4457" w:type="pct"/>
            <w:gridSpan w:val="3"/>
          </w:tcPr>
          <w:p w:rsidR="00B124FF" w:rsidRPr="00202CE2" w:rsidRDefault="00B124FF" w:rsidP="005F32B8">
            <w:pPr>
              <w:pStyle w:val="SCCLsocParty"/>
              <w:jc w:val="both"/>
              <w:rPr>
                <w:b/>
                <w:sz w:val="20"/>
                <w:szCs w:val="20"/>
                <w:lang w:val="en-CA"/>
              </w:rPr>
            </w:pPr>
            <w:r w:rsidRPr="00202CE2">
              <w:rPr>
                <w:b/>
                <w:sz w:val="20"/>
                <w:szCs w:val="20"/>
                <w:lang w:val="en-CA"/>
              </w:rPr>
              <w:t>Serge Robillard v. Her Majesty the Queen</w:t>
            </w:r>
          </w:p>
          <w:p w:rsidR="00B124FF" w:rsidRPr="00AF75CE" w:rsidRDefault="00B124FF" w:rsidP="005F32B8">
            <w:pPr>
              <w:jc w:val="both"/>
              <w:rPr>
                <w:sz w:val="20"/>
              </w:rPr>
            </w:pPr>
            <w:r w:rsidRPr="00AF75CE">
              <w:rPr>
                <w:sz w:val="20"/>
              </w:rPr>
              <w:t>(Que.) (Criminal) (By Leave)</w:t>
            </w:r>
          </w:p>
        </w:tc>
      </w:tr>
      <w:tr w:rsidR="00B124FF" w:rsidRPr="00AF75CE" w:rsidTr="005F32B8">
        <w:tc>
          <w:tcPr>
            <w:tcW w:w="5000" w:type="pct"/>
            <w:gridSpan w:val="4"/>
          </w:tcPr>
          <w:p w:rsidR="00B124FF" w:rsidRPr="00C97F67" w:rsidRDefault="00B124FF" w:rsidP="005F32B8">
            <w:pPr>
              <w:jc w:val="both"/>
              <w:rPr>
                <w:sz w:val="20"/>
              </w:rPr>
            </w:pPr>
            <w:r w:rsidRPr="00C97F67">
              <w:rPr>
                <w:sz w:val="20"/>
              </w:rPr>
              <w:t xml:space="preserve">The application for leave to appeal from the judgment of the Court of Appeal of Quebec (Montréal), Number 500-10-006070-161, 2018 QCCA 903, dated May 11, 2018, is dismissed. </w:t>
            </w:r>
          </w:p>
          <w:p w:rsidR="00B124FF" w:rsidRPr="00C97F67" w:rsidRDefault="00B124FF" w:rsidP="005F32B8">
            <w:pPr>
              <w:jc w:val="both"/>
              <w:rPr>
                <w:sz w:val="20"/>
              </w:rPr>
            </w:pPr>
          </w:p>
          <w:p w:rsidR="00B124FF" w:rsidRDefault="00B124FF" w:rsidP="005F32B8">
            <w:pPr>
              <w:jc w:val="both"/>
              <w:rPr>
                <w:sz w:val="20"/>
              </w:rPr>
            </w:pPr>
            <w:r w:rsidRPr="00C97F67">
              <w:rPr>
                <w:sz w:val="20"/>
              </w:rPr>
              <w:t>Wagner C.J. took no part in the judgment.</w:t>
            </w:r>
          </w:p>
          <w:p w:rsidR="00B124FF" w:rsidRPr="00AF75CE" w:rsidRDefault="00B124FF" w:rsidP="005F32B8">
            <w:pPr>
              <w:jc w:val="both"/>
              <w:rPr>
                <w:sz w:val="20"/>
              </w:rPr>
            </w:pPr>
          </w:p>
        </w:tc>
      </w:tr>
      <w:tr w:rsidR="00B124FF" w:rsidRPr="00AF75CE" w:rsidTr="005F32B8">
        <w:tc>
          <w:tcPr>
            <w:tcW w:w="5000" w:type="pct"/>
            <w:gridSpan w:val="4"/>
          </w:tcPr>
          <w:p w:rsidR="00B124FF" w:rsidRPr="00AF75CE" w:rsidRDefault="00B124FF" w:rsidP="005F32B8">
            <w:pPr>
              <w:jc w:val="both"/>
              <w:rPr>
                <w:sz w:val="20"/>
              </w:rPr>
            </w:pPr>
            <w:r w:rsidRPr="00AF75CE">
              <w:rPr>
                <w:sz w:val="20"/>
              </w:rPr>
              <w:t xml:space="preserve">Criminal law — Evidence — Admissibility — Hearsay — Necessity and reliability— Instructions to jury — Curative proviso — Whether trial judge erred in admitting hearsay evidence — Whether trial judge correctly instructed jury regarding impact of certain testimony — Whether curative proviso is applicable — </w:t>
            </w:r>
            <w:r w:rsidRPr="00AF75CE">
              <w:rPr>
                <w:i/>
                <w:sz w:val="20"/>
              </w:rPr>
              <w:t>Criminal Code</w:t>
            </w:r>
            <w:r w:rsidRPr="00AF75CE">
              <w:rPr>
                <w:sz w:val="20"/>
              </w:rPr>
              <w:t>, R.S.C. 1985, c. C-46, s. 686(1)(b)(iii).</w:t>
            </w:r>
          </w:p>
          <w:p w:rsidR="00B124FF" w:rsidRPr="00AF75CE" w:rsidRDefault="00B124FF" w:rsidP="005F32B8">
            <w:pPr>
              <w:jc w:val="both"/>
              <w:rPr>
                <w:sz w:val="20"/>
              </w:rPr>
            </w:pPr>
          </w:p>
        </w:tc>
      </w:tr>
      <w:tr w:rsidR="00B124FF" w:rsidRPr="00AF75CE" w:rsidTr="005F32B8">
        <w:tc>
          <w:tcPr>
            <w:tcW w:w="5000" w:type="pct"/>
            <w:gridSpan w:val="4"/>
          </w:tcPr>
          <w:p w:rsidR="00B124FF" w:rsidRPr="00AF75CE" w:rsidRDefault="00B124FF" w:rsidP="005F32B8">
            <w:pPr>
              <w:jc w:val="both"/>
              <w:rPr>
                <w:sz w:val="20"/>
              </w:rPr>
            </w:pPr>
            <w:r w:rsidRPr="00AF75CE">
              <w:rPr>
                <w:sz w:val="20"/>
              </w:rPr>
              <w:t xml:space="preserve">At the end of a jury trial, the applicant, Serge Robillard, was found guilty of first degree murder. The respondent’s theory was that Mr. Robillard had hired Éric Beauchamp to kill Réal Perron. In the course of their investigation, the police had obtained from three former spouses of Mr. Beauchamp statements to the effect that he had admitted to them that it was he who had murdered Mr. Perron. At Mr. Robillard’s trial, because the prosecution wished to adduce the admissions in evidence for the purposes of proving the killer’s identity and establishing that the murder had been premeditated, a </w:t>
            </w:r>
            <w:r w:rsidRPr="00AF75CE">
              <w:rPr>
                <w:i/>
                <w:sz w:val="20"/>
              </w:rPr>
              <w:t>voir dire</w:t>
            </w:r>
            <w:r w:rsidRPr="00AF75CE">
              <w:rPr>
                <w:sz w:val="20"/>
              </w:rPr>
              <w:t xml:space="preserve"> was held. The Superior Court judge who was presiding the trial admitted the statements and permitted the testimony of the three former spouses of Mr. Beauchamp. Mr. Robillard appealed, and the Court of Appeal dismissed the appeal. It held that even though the judge had erred in admitting the evidence, the curative proviso (s. 686(1)(b)(iii) of the </w:t>
            </w:r>
            <w:r w:rsidRPr="00AF75CE">
              <w:rPr>
                <w:i/>
                <w:sz w:val="20"/>
              </w:rPr>
              <w:t>Criminal Code</w:t>
            </w:r>
            <w:r w:rsidRPr="00AF75CE">
              <w:rPr>
                <w:sz w:val="20"/>
              </w:rPr>
              <w:t>, R.S.C. 1985, c. C-46) should be applied.</w:t>
            </w:r>
          </w:p>
        </w:tc>
      </w:tr>
      <w:tr w:rsidR="00B124FF" w:rsidRPr="00AF75CE" w:rsidTr="005F32B8">
        <w:tc>
          <w:tcPr>
            <w:tcW w:w="5000" w:type="pct"/>
            <w:gridSpan w:val="4"/>
          </w:tcPr>
          <w:p w:rsidR="00B124FF" w:rsidRPr="00AF75CE" w:rsidRDefault="00B124FF" w:rsidP="005F32B8">
            <w:pPr>
              <w:jc w:val="both"/>
              <w:rPr>
                <w:sz w:val="20"/>
              </w:rPr>
            </w:pPr>
          </w:p>
        </w:tc>
      </w:tr>
      <w:tr w:rsidR="00B124FF" w:rsidRPr="00AF75CE" w:rsidTr="005F32B8">
        <w:tc>
          <w:tcPr>
            <w:tcW w:w="2427" w:type="pct"/>
            <w:gridSpan w:val="2"/>
          </w:tcPr>
          <w:p w:rsidR="00B124FF" w:rsidRPr="00AF75CE" w:rsidRDefault="00B124FF" w:rsidP="005F32B8">
            <w:pPr>
              <w:jc w:val="both"/>
              <w:rPr>
                <w:sz w:val="20"/>
              </w:rPr>
            </w:pPr>
            <w:r w:rsidRPr="00AF75CE">
              <w:rPr>
                <w:sz w:val="20"/>
              </w:rPr>
              <w:t>December 22, 2015</w:t>
            </w:r>
          </w:p>
          <w:p w:rsidR="00B124FF" w:rsidRPr="00AF75CE" w:rsidRDefault="00B124FF" w:rsidP="005F32B8">
            <w:pPr>
              <w:jc w:val="both"/>
              <w:rPr>
                <w:sz w:val="20"/>
              </w:rPr>
            </w:pPr>
            <w:r w:rsidRPr="00AF75CE">
              <w:rPr>
                <w:sz w:val="20"/>
              </w:rPr>
              <w:t>Quebec Superior Court</w:t>
            </w:r>
          </w:p>
          <w:p w:rsidR="00B124FF" w:rsidRPr="00AF75CE" w:rsidRDefault="00B124FF" w:rsidP="005F32B8">
            <w:pPr>
              <w:jc w:val="both"/>
              <w:rPr>
                <w:sz w:val="20"/>
              </w:rPr>
            </w:pPr>
            <w:r w:rsidRPr="00AF75CE">
              <w:rPr>
                <w:sz w:val="20"/>
              </w:rPr>
              <w:t>(Mandeville J.)</w:t>
            </w:r>
          </w:p>
          <w:p w:rsidR="00B124FF" w:rsidRPr="00AF75CE" w:rsidRDefault="00B124FF" w:rsidP="005F32B8">
            <w:pPr>
              <w:jc w:val="both"/>
              <w:rPr>
                <w:sz w:val="20"/>
              </w:rPr>
            </w:pPr>
            <w:r w:rsidRPr="00AF75CE">
              <w:rPr>
                <w:sz w:val="20"/>
              </w:rPr>
              <w:t>500-01-078101-125</w:t>
            </w:r>
          </w:p>
          <w:p w:rsidR="00B124FF" w:rsidRPr="00AF75CE" w:rsidRDefault="00B124FF" w:rsidP="005F32B8">
            <w:pPr>
              <w:jc w:val="both"/>
              <w:rPr>
                <w:sz w:val="20"/>
              </w:rPr>
            </w:pPr>
          </w:p>
        </w:tc>
        <w:tc>
          <w:tcPr>
            <w:tcW w:w="243" w:type="pct"/>
          </w:tcPr>
          <w:p w:rsidR="00B124FF" w:rsidRPr="00AF75CE" w:rsidRDefault="00B124FF" w:rsidP="005F32B8">
            <w:pPr>
              <w:jc w:val="both"/>
              <w:rPr>
                <w:sz w:val="20"/>
              </w:rPr>
            </w:pPr>
          </w:p>
        </w:tc>
        <w:tc>
          <w:tcPr>
            <w:tcW w:w="2330" w:type="pct"/>
          </w:tcPr>
          <w:p w:rsidR="00B124FF" w:rsidRPr="00AF75CE" w:rsidRDefault="00B124FF" w:rsidP="005F32B8">
            <w:pPr>
              <w:jc w:val="both"/>
              <w:rPr>
                <w:sz w:val="20"/>
              </w:rPr>
            </w:pPr>
            <w:r w:rsidRPr="00AF75CE">
              <w:rPr>
                <w:sz w:val="20"/>
              </w:rPr>
              <w:t xml:space="preserve">Judgment on </w:t>
            </w:r>
            <w:r w:rsidRPr="00AF75CE">
              <w:rPr>
                <w:i/>
                <w:sz w:val="20"/>
              </w:rPr>
              <w:t>voir dire</w:t>
            </w:r>
            <w:r w:rsidRPr="00AF75CE">
              <w:rPr>
                <w:sz w:val="20"/>
              </w:rPr>
              <w:t>: statements are admissible and testimony permitted</w:t>
            </w:r>
          </w:p>
        </w:tc>
      </w:tr>
      <w:tr w:rsidR="00B124FF" w:rsidRPr="00AF75CE" w:rsidTr="005F32B8">
        <w:tc>
          <w:tcPr>
            <w:tcW w:w="2427" w:type="pct"/>
            <w:gridSpan w:val="2"/>
          </w:tcPr>
          <w:p w:rsidR="00B124FF" w:rsidRPr="00AF75CE" w:rsidRDefault="00B124FF" w:rsidP="005F32B8">
            <w:pPr>
              <w:jc w:val="both"/>
              <w:rPr>
                <w:sz w:val="20"/>
              </w:rPr>
            </w:pPr>
            <w:r w:rsidRPr="00AF75CE">
              <w:rPr>
                <w:sz w:val="20"/>
              </w:rPr>
              <w:t>May 11, 2018</w:t>
            </w:r>
          </w:p>
          <w:p w:rsidR="00B124FF" w:rsidRPr="00AF75CE" w:rsidRDefault="00B124FF" w:rsidP="005F32B8">
            <w:pPr>
              <w:jc w:val="both"/>
              <w:rPr>
                <w:sz w:val="20"/>
              </w:rPr>
            </w:pPr>
            <w:r w:rsidRPr="00AF75CE">
              <w:rPr>
                <w:sz w:val="20"/>
              </w:rPr>
              <w:t>Quebec Court of Appeal (Montréal)</w:t>
            </w:r>
          </w:p>
          <w:p w:rsidR="00B124FF" w:rsidRPr="00AF75CE" w:rsidRDefault="00B124FF" w:rsidP="005F32B8">
            <w:pPr>
              <w:jc w:val="both"/>
              <w:rPr>
                <w:sz w:val="20"/>
              </w:rPr>
            </w:pPr>
            <w:r w:rsidRPr="00AF75CE">
              <w:rPr>
                <w:sz w:val="20"/>
              </w:rPr>
              <w:t>(Doyon, Vauclair and Marcotte JJ.A.)</w:t>
            </w:r>
          </w:p>
          <w:p w:rsidR="00B124FF" w:rsidRPr="00AF75CE" w:rsidRDefault="00A24D5C" w:rsidP="005F32B8">
            <w:pPr>
              <w:jc w:val="both"/>
              <w:rPr>
                <w:sz w:val="20"/>
              </w:rPr>
            </w:pPr>
            <w:hyperlink r:id="rId21" w:history="1">
              <w:r w:rsidR="00B124FF" w:rsidRPr="00AF75CE">
                <w:rPr>
                  <w:rStyle w:val="Hyperlink"/>
                  <w:sz w:val="20"/>
                </w:rPr>
                <w:t>2018 QCCA 903</w:t>
              </w:r>
            </w:hyperlink>
            <w:r w:rsidR="00B124FF" w:rsidRPr="00AF75CE">
              <w:rPr>
                <w:sz w:val="20"/>
              </w:rPr>
              <w:t xml:space="preserve"> (500-10-006070-161)</w:t>
            </w:r>
          </w:p>
          <w:p w:rsidR="00B124FF" w:rsidRPr="00AF75CE" w:rsidRDefault="00B124FF" w:rsidP="005F32B8">
            <w:pPr>
              <w:jc w:val="both"/>
              <w:rPr>
                <w:sz w:val="20"/>
              </w:rPr>
            </w:pPr>
          </w:p>
        </w:tc>
        <w:tc>
          <w:tcPr>
            <w:tcW w:w="243" w:type="pct"/>
          </w:tcPr>
          <w:p w:rsidR="00B124FF" w:rsidRPr="00AF75CE" w:rsidRDefault="00B124FF" w:rsidP="005F32B8">
            <w:pPr>
              <w:jc w:val="both"/>
              <w:rPr>
                <w:sz w:val="20"/>
              </w:rPr>
            </w:pPr>
          </w:p>
        </w:tc>
        <w:tc>
          <w:tcPr>
            <w:tcW w:w="2330" w:type="pct"/>
          </w:tcPr>
          <w:p w:rsidR="00B124FF" w:rsidRPr="00AF75CE" w:rsidRDefault="00B124FF" w:rsidP="005F32B8">
            <w:pPr>
              <w:jc w:val="both"/>
              <w:rPr>
                <w:sz w:val="20"/>
              </w:rPr>
            </w:pPr>
            <w:r w:rsidRPr="00AF75CE">
              <w:rPr>
                <w:sz w:val="20"/>
              </w:rPr>
              <w:t>Appeal dismissed</w:t>
            </w:r>
          </w:p>
          <w:p w:rsidR="00B124FF" w:rsidRPr="00AF75CE" w:rsidRDefault="00B124FF" w:rsidP="005F32B8">
            <w:pPr>
              <w:jc w:val="both"/>
              <w:rPr>
                <w:sz w:val="20"/>
              </w:rPr>
            </w:pPr>
          </w:p>
        </w:tc>
      </w:tr>
      <w:tr w:rsidR="00B124FF" w:rsidRPr="00AF75CE" w:rsidTr="005F32B8">
        <w:tc>
          <w:tcPr>
            <w:tcW w:w="2427" w:type="pct"/>
            <w:gridSpan w:val="2"/>
          </w:tcPr>
          <w:p w:rsidR="00B124FF" w:rsidRPr="00AF75CE" w:rsidRDefault="00B124FF" w:rsidP="005F32B8">
            <w:pPr>
              <w:jc w:val="both"/>
              <w:rPr>
                <w:sz w:val="20"/>
              </w:rPr>
            </w:pPr>
            <w:r w:rsidRPr="00AF75CE">
              <w:rPr>
                <w:sz w:val="20"/>
              </w:rPr>
              <w:t>July 17, 2018</w:t>
            </w:r>
          </w:p>
          <w:p w:rsidR="00B124FF" w:rsidRPr="00AF75CE" w:rsidRDefault="00B124FF" w:rsidP="005F32B8">
            <w:pPr>
              <w:jc w:val="both"/>
              <w:rPr>
                <w:sz w:val="20"/>
              </w:rPr>
            </w:pPr>
            <w:r w:rsidRPr="00AF75CE">
              <w:rPr>
                <w:sz w:val="20"/>
              </w:rPr>
              <w:t>Supreme Court of Canada</w:t>
            </w:r>
          </w:p>
        </w:tc>
        <w:tc>
          <w:tcPr>
            <w:tcW w:w="243" w:type="pct"/>
          </w:tcPr>
          <w:p w:rsidR="00B124FF" w:rsidRPr="00AF75CE" w:rsidRDefault="00B124FF" w:rsidP="005F32B8">
            <w:pPr>
              <w:jc w:val="both"/>
              <w:rPr>
                <w:sz w:val="20"/>
              </w:rPr>
            </w:pPr>
          </w:p>
        </w:tc>
        <w:tc>
          <w:tcPr>
            <w:tcW w:w="2330" w:type="pct"/>
          </w:tcPr>
          <w:p w:rsidR="00B124FF" w:rsidRPr="00AF75CE" w:rsidRDefault="00B124FF" w:rsidP="005F32B8">
            <w:pPr>
              <w:jc w:val="both"/>
              <w:rPr>
                <w:sz w:val="20"/>
              </w:rPr>
            </w:pPr>
            <w:r w:rsidRPr="00AF75CE">
              <w:rPr>
                <w:sz w:val="20"/>
              </w:rPr>
              <w:t>Application for leave to appeal filed</w:t>
            </w:r>
          </w:p>
          <w:p w:rsidR="00B124FF" w:rsidRPr="00AF75CE" w:rsidRDefault="00B124FF" w:rsidP="005F32B8">
            <w:pPr>
              <w:jc w:val="both"/>
              <w:rPr>
                <w:sz w:val="20"/>
              </w:rPr>
            </w:pPr>
          </w:p>
        </w:tc>
      </w:tr>
    </w:tbl>
    <w:p w:rsidR="00B124FF" w:rsidRDefault="00B124FF" w:rsidP="00B124FF">
      <w:pPr>
        <w:jc w:val="both"/>
        <w:rPr>
          <w:sz w:val="20"/>
        </w:rPr>
      </w:pPr>
    </w:p>
    <w:p w:rsidR="00B124FF" w:rsidRDefault="00B124FF" w:rsidP="00B124FF">
      <w:pPr>
        <w:rPr>
          <w:sz w:val="20"/>
        </w:rPr>
      </w:pPr>
      <w:r>
        <w:rPr>
          <w:sz w:val="20"/>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124FF" w:rsidRPr="00AF75CE" w:rsidTr="005F32B8">
        <w:tc>
          <w:tcPr>
            <w:tcW w:w="543" w:type="pct"/>
          </w:tcPr>
          <w:p w:rsidR="00B124FF" w:rsidRPr="00AF75CE" w:rsidRDefault="00B124FF" w:rsidP="005F32B8">
            <w:pPr>
              <w:jc w:val="both"/>
              <w:rPr>
                <w:sz w:val="20"/>
              </w:rPr>
            </w:pPr>
            <w:r w:rsidRPr="00AF75CE">
              <w:rPr>
                <w:rStyle w:val="SCCFileNumberChar"/>
                <w:sz w:val="20"/>
                <w:szCs w:val="20"/>
              </w:rPr>
              <w:lastRenderedPageBreak/>
              <w:t>38207</w:t>
            </w:r>
          </w:p>
        </w:tc>
        <w:tc>
          <w:tcPr>
            <w:tcW w:w="4457" w:type="pct"/>
            <w:gridSpan w:val="3"/>
          </w:tcPr>
          <w:p w:rsidR="00B124FF" w:rsidRPr="00202CE2" w:rsidRDefault="00B124FF" w:rsidP="005F32B8">
            <w:pPr>
              <w:pStyle w:val="SCCLsocParty"/>
              <w:jc w:val="both"/>
              <w:rPr>
                <w:b/>
                <w:sz w:val="20"/>
                <w:szCs w:val="20"/>
              </w:rPr>
            </w:pPr>
            <w:r w:rsidRPr="00202CE2">
              <w:rPr>
                <w:b/>
                <w:sz w:val="20"/>
                <w:szCs w:val="20"/>
              </w:rPr>
              <w:t>Serge Robillard c. Sa Majesté la Reine</w:t>
            </w:r>
          </w:p>
          <w:p w:rsidR="00B124FF" w:rsidRPr="00AF75CE" w:rsidRDefault="00B124FF" w:rsidP="005F32B8">
            <w:pPr>
              <w:jc w:val="both"/>
              <w:rPr>
                <w:sz w:val="20"/>
              </w:rPr>
            </w:pPr>
            <w:r w:rsidRPr="00AF75CE">
              <w:rPr>
                <w:sz w:val="20"/>
              </w:rPr>
              <w:t>(Qc) (Criminelle) (Autorisation)</w:t>
            </w:r>
          </w:p>
        </w:tc>
      </w:tr>
      <w:tr w:rsidR="00B124FF" w:rsidRPr="00CC0B55" w:rsidTr="005F32B8">
        <w:tc>
          <w:tcPr>
            <w:tcW w:w="5000" w:type="pct"/>
            <w:gridSpan w:val="4"/>
          </w:tcPr>
          <w:p w:rsidR="00B124FF" w:rsidRPr="00C97F67" w:rsidRDefault="00B124FF" w:rsidP="005F32B8">
            <w:pPr>
              <w:jc w:val="both"/>
              <w:rPr>
                <w:sz w:val="20"/>
                <w:lang w:val="fr-CA"/>
              </w:rPr>
            </w:pPr>
            <w:r w:rsidRPr="00C97F67">
              <w:rPr>
                <w:sz w:val="20"/>
                <w:lang w:val="fr-CA"/>
              </w:rPr>
              <w:t>La demande d’autorisation d’appel de l’arrêt de la Cour d’appel du Québec (Montréal), numéro 500-10-006070-161, 2018 QCCA 903, daté du 11 mai 2018, est rejetée.</w:t>
            </w:r>
          </w:p>
          <w:p w:rsidR="00B124FF" w:rsidRPr="00C97F67" w:rsidRDefault="00B124FF" w:rsidP="005F32B8">
            <w:pPr>
              <w:jc w:val="both"/>
              <w:rPr>
                <w:sz w:val="20"/>
                <w:lang w:val="fr-CA"/>
              </w:rPr>
            </w:pPr>
          </w:p>
          <w:p w:rsidR="00B124FF" w:rsidRDefault="00B124FF" w:rsidP="005F32B8">
            <w:pPr>
              <w:jc w:val="both"/>
              <w:rPr>
                <w:sz w:val="20"/>
                <w:lang w:val="fr-CA"/>
              </w:rPr>
            </w:pPr>
            <w:r w:rsidRPr="00C97F67">
              <w:rPr>
                <w:sz w:val="20"/>
                <w:lang w:val="fr-CA"/>
              </w:rPr>
              <w:t>Le juge en chef Wagner n’a pas participé au jugement.</w:t>
            </w:r>
          </w:p>
          <w:p w:rsidR="00B124FF" w:rsidRPr="00AF75CE" w:rsidRDefault="00B124FF" w:rsidP="005F32B8">
            <w:pPr>
              <w:jc w:val="both"/>
              <w:rPr>
                <w:sz w:val="20"/>
                <w:lang w:val="fr-CA"/>
              </w:rPr>
            </w:pPr>
          </w:p>
        </w:tc>
      </w:tr>
      <w:tr w:rsidR="00B124FF" w:rsidRPr="00CC0B55" w:rsidTr="005F32B8">
        <w:tc>
          <w:tcPr>
            <w:tcW w:w="5000" w:type="pct"/>
            <w:gridSpan w:val="4"/>
          </w:tcPr>
          <w:p w:rsidR="00B124FF" w:rsidRPr="00AF75CE" w:rsidRDefault="00B124FF" w:rsidP="005F32B8">
            <w:pPr>
              <w:jc w:val="both"/>
              <w:rPr>
                <w:sz w:val="20"/>
                <w:lang w:val="fr-CA"/>
              </w:rPr>
            </w:pPr>
            <w:r w:rsidRPr="00AF75CE">
              <w:rPr>
                <w:sz w:val="20"/>
                <w:lang w:val="fr-CA"/>
              </w:rPr>
              <w:t xml:space="preserve">Droit criminel — Preuve — Admissibilité — Ouï-dire — Nécessité et fiabilité — Instructions au jury — Disposition réparatrice — La juge de première instance a-t-elle erré en admettant la preuve par ouï-dire? — La juge présidant le procès a-t-elle correctement instruit le jury quant à la portée de certains témoignages? — La disposition réparatrice peut-elle trouver application? — </w:t>
            </w:r>
            <w:r w:rsidRPr="00AF75CE">
              <w:rPr>
                <w:i/>
                <w:sz w:val="20"/>
                <w:lang w:val="fr-CA"/>
              </w:rPr>
              <w:t>Code criminel</w:t>
            </w:r>
            <w:r w:rsidRPr="00AF75CE">
              <w:rPr>
                <w:sz w:val="20"/>
                <w:lang w:val="fr-CA"/>
              </w:rPr>
              <w:t>, L.R.C. 1985, c. C-46, art. 686(1)b)(iii).</w:t>
            </w:r>
          </w:p>
          <w:p w:rsidR="00B124FF" w:rsidRPr="00AF75CE" w:rsidRDefault="00B124FF" w:rsidP="005F32B8">
            <w:pPr>
              <w:jc w:val="both"/>
              <w:rPr>
                <w:sz w:val="20"/>
                <w:lang w:val="fr-CA"/>
              </w:rPr>
            </w:pPr>
          </w:p>
        </w:tc>
      </w:tr>
      <w:tr w:rsidR="00B124FF" w:rsidRPr="00CC0B55" w:rsidTr="005F32B8">
        <w:tc>
          <w:tcPr>
            <w:tcW w:w="5000" w:type="pct"/>
            <w:gridSpan w:val="4"/>
          </w:tcPr>
          <w:p w:rsidR="00B124FF" w:rsidRPr="00AF75CE" w:rsidRDefault="00B124FF" w:rsidP="005F32B8">
            <w:pPr>
              <w:jc w:val="both"/>
              <w:rPr>
                <w:sz w:val="20"/>
                <w:lang w:val="fr-CA"/>
              </w:rPr>
            </w:pPr>
            <w:r w:rsidRPr="00AF75CE">
              <w:rPr>
                <w:sz w:val="20"/>
                <w:lang w:val="fr-CA"/>
              </w:rPr>
              <w:t xml:space="preserve">Au terme d’un procès devant jury, le demandeur, M. Serge Robillard, est déclaré coupable de meurtre au premier degré. Selon la thèse de l’intimée, M. Robillard a embauché M. Éric Beauchamp pour tuer M. Réal Perron. Au cours de leur enquête, les policiers obtiennent des déclarations de trois ex-conjointes de M. Beauchamp à l’effet qu’il leur aurait avoué être l’auteur du meurtre de M. Perron. Au procès de M. Robillard, puisque la poursuite souhaite introduire en preuve les aveux pour prouver l’identité du tueur et établir le caractère prémédité du meurtre, un voir-dire est tenu. La juge de la Cour supérieure présidant le procès déclare admissibles les déclarations et autorise les témoignages des trois ex-conjointes de M. Beauchamp. M. Robillard se pourvoit en appel et la Cour d’appel rejette l’appel. Elle conclut que même si la juge avait erré en admettant la preuve, il y aurait lieu d’appliquer la disposition réparatrice (art. 686(1)b)(iii) du </w:t>
            </w:r>
            <w:r w:rsidRPr="00AF75CE">
              <w:rPr>
                <w:i/>
                <w:sz w:val="20"/>
                <w:lang w:val="fr-CA"/>
              </w:rPr>
              <w:t>Code criminel</w:t>
            </w:r>
            <w:r w:rsidRPr="00AF75CE">
              <w:rPr>
                <w:sz w:val="20"/>
                <w:lang w:val="fr-CA"/>
              </w:rPr>
              <w:t>, L.R.C. 1985, c. C-46).</w:t>
            </w:r>
          </w:p>
        </w:tc>
      </w:tr>
      <w:tr w:rsidR="00B124FF" w:rsidRPr="00CC0B55" w:rsidTr="005F32B8">
        <w:tc>
          <w:tcPr>
            <w:tcW w:w="5000" w:type="pct"/>
            <w:gridSpan w:val="4"/>
          </w:tcPr>
          <w:p w:rsidR="00B124FF" w:rsidRPr="00AF75CE" w:rsidRDefault="00B124FF" w:rsidP="005F32B8">
            <w:pPr>
              <w:jc w:val="both"/>
              <w:rPr>
                <w:sz w:val="20"/>
                <w:lang w:val="fr-CA"/>
              </w:rPr>
            </w:pPr>
          </w:p>
        </w:tc>
      </w:tr>
      <w:tr w:rsidR="00B124FF" w:rsidRPr="00CC0B55" w:rsidTr="005F32B8">
        <w:tc>
          <w:tcPr>
            <w:tcW w:w="2427" w:type="pct"/>
            <w:gridSpan w:val="2"/>
          </w:tcPr>
          <w:p w:rsidR="00B124FF" w:rsidRPr="00AF75CE" w:rsidRDefault="00B124FF" w:rsidP="005F32B8">
            <w:pPr>
              <w:jc w:val="both"/>
              <w:rPr>
                <w:sz w:val="20"/>
                <w:lang w:val="fr-CA"/>
              </w:rPr>
            </w:pPr>
            <w:r w:rsidRPr="00AF75CE">
              <w:rPr>
                <w:sz w:val="20"/>
                <w:lang w:val="fr-CA"/>
              </w:rPr>
              <w:t>Le 22 décembre 2015</w:t>
            </w:r>
          </w:p>
          <w:p w:rsidR="00B124FF" w:rsidRPr="00AF75CE" w:rsidRDefault="00B124FF" w:rsidP="005F32B8">
            <w:pPr>
              <w:jc w:val="both"/>
              <w:rPr>
                <w:sz w:val="20"/>
                <w:lang w:val="fr-CA"/>
              </w:rPr>
            </w:pPr>
            <w:r w:rsidRPr="00AF75CE">
              <w:rPr>
                <w:sz w:val="20"/>
                <w:lang w:val="fr-CA"/>
              </w:rPr>
              <w:t>Cour supérieure du Québec</w:t>
            </w:r>
          </w:p>
          <w:p w:rsidR="00B124FF" w:rsidRPr="00AF75CE" w:rsidRDefault="00B124FF" w:rsidP="005F32B8">
            <w:pPr>
              <w:jc w:val="both"/>
              <w:rPr>
                <w:sz w:val="20"/>
              </w:rPr>
            </w:pPr>
            <w:r w:rsidRPr="00AF75CE">
              <w:rPr>
                <w:sz w:val="20"/>
              </w:rPr>
              <w:t>(La juge Mandeville)</w:t>
            </w:r>
          </w:p>
          <w:p w:rsidR="00B124FF" w:rsidRPr="00AF75CE" w:rsidRDefault="00B124FF" w:rsidP="005F32B8">
            <w:pPr>
              <w:jc w:val="both"/>
              <w:rPr>
                <w:sz w:val="20"/>
              </w:rPr>
            </w:pPr>
            <w:r w:rsidRPr="00AF75CE">
              <w:rPr>
                <w:sz w:val="20"/>
              </w:rPr>
              <w:t>500-01-078101-125</w:t>
            </w:r>
          </w:p>
          <w:p w:rsidR="00B124FF" w:rsidRPr="00AF75CE" w:rsidRDefault="00B124FF" w:rsidP="005F32B8">
            <w:pPr>
              <w:jc w:val="both"/>
              <w:rPr>
                <w:sz w:val="20"/>
              </w:rPr>
            </w:pPr>
          </w:p>
        </w:tc>
        <w:tc>
          <w:tcPr>
            <w:tcW w:w="243" w:type="pct"/>
          </w:tcPr>
          <w:p w:rsidR="00B124FF" w:rsidRPr="00AF75CE" w:rsidRDefault="00B124FF" w:rsidP="005F32B8">
            <w:pPr>
              <w:jc w:val="both"/>
              <w:rPr>
                <w:sz w:val="20"/>
              </w:rPr>
            </w:pPr>
          </w:p>
        </w:tc>
        <w:tc>
          <w:tcPr>
            <w:tcW w:w="2330" w:type="pct"/>
          </w:tcPr>
          <w:p w:rsidR="00B124FF" w:rsidRPr="00AF75CE" w:rsidRDefault="00B124FF" w:rsidP="005F32B8">
            <w:pPr>
              <w:jc w:val="both"/>
              <w:rPr>
                <w:sz w:val="20"/>
                <w:lang w:val="fr-CA"/>
              </w:rPr>
            </w:pPr>
            <w:r w:rsidRPr="00AF75CE">
              <w:rPr>
                <w:sz w:val="20"/>
                <w:lang w:val="fr-CA"/>
              </w:rPr>
              <w:t>Jugement sur le voir-dire : les déclarations sont admissibles et les témoignages autorisés</w:t>
            </w:r>
          </w:p>
        </w:tc>
      </w:tr>
      <w:tr w:rsidR="00B124FF" w:rsidRPr="00AF75CE" w:rsidTr="005F32B8">
        <w:tc>
          <w:tcPr>
            <w:tcW w:w="2427" w:type="pct"/>
            <w:gridSpan w:val="2"/>
          </w:tcPr>
          <w:p w:rsidR="00B124FF" w:rsidRPr="00AF75CE" w:rsidRDefault="00B124FF" w:rsidP="005F32B8">
            <w:pPr>
              <w:jc w:val="both"/>
              <w:rPr>
                <w:sz w:val="20"/>
                <w:lang w:val="fr-CA"/>
              </w:rPr>
            </w:pPr>
            <w:r w:rsidRPr="00AF75CE">
              <w:rPr>
                <w:sz w:val="20"/>
                <w:lang w:val="fr-CA"/>
              </w:rPr>
              <w:t>Le 11 mai 2018</w:t>
            </w:r>
          </w:p>
          <w:p w:rsidR="00B124FF" w:rsidRPr="00AF75CE" w:rsidRDefault="00B124FF" w:rsidP="005F32B8">
            <w:pPr>
              <w:jc w:val="both"/>
              <w:rPr>
                <w:sz w:val="20"/>
                <w:lang w:val="fr-CA"/>
              </w:rPr>
            </w:pPr>
            <w:r w:rsidRPr="00AF75CE">
              <w:rPr>
                <w:sz w:val="20"/>
                <w:lang w:val="fr-CA"/>
              </w:rPr>
              <w:t>Cour d’appel du Québec (Montréal)</w:t>
            </w:r>
          </w:p>
          <w:p w:rsidR="00B124FF" w:rsidRPr="00AF75CE" w:rsidRDefault="00B124FF" w:rsidP="005F32B8">
            <w:pPr>
              <w:jc w:val="both"/>
              <w:rPr>
                <w:sz w:val="20"/>
                <w:lang w:val="fr-CA"/>
              </w:rPr>
            </w:pPr>
            <w:r w:rsidRPr="00AF75CE">
              <w:rPr>
                <w:sz w:val="20"/>
                <w:lang w:val="fr-CA"/>
              </w:rPr>
              <w:t>(Les juges Doyon, Vauclair et Marcotte)</w:t>
            </w:r>
          </w:p>
          <w:p w:rsidR="00B124FF" w:rsidRPr="00AF75CE" w:rsidRDefault="00A24D5C" w:rsidP="005F32B8">
            <w:pPr>
              <w:jc w:val="both"/>
              <w:rPr>
                <w:sz w:val="20"/>
              </w:rPr>
            </w:pPr>
            <w:hyperlink r:id="rId22" w:history="1">
              <w:r w:rsidR="00B124FF" w:rsidRPr="00AF75CE">
                <w:rPr>
                  <w:rStyle w:val="Hyperlink"/>
                  <w:sz w:val="20"/>
                </w:rPr>
                <w:t>2018 QCCA 903</w:t>
              </w:r>
            </w:hyperlink>
            <w:r w:rsidR="00B124FF" w:rsidRPr="00AF75CE">
              <w:rPr>
                <w:sz w:val="20"/>
              </w:rPr>
              <w:t xml:space="preserve"> (500-10-006070-161)</w:t>
            </w:r>
          </w:p>
          <w:p w:rsidR="00B124FF" w:rsidRPr="00AF75CE" w:rsidRDefault="00B124FF" w:rsidP="005F32B8">
            <w:pPr>
              <w:jc w:val="both"/>
              <w:rPr>
                <w:sz w:val="20"/>
              </w:rPr>
            </w:pPr>
          </w:p>
        </w:tc>
        <w:tc>
          <w:tcPr>
            <w:tcW w:w="243" w:type="pct"/>
          </w:tcPr>
          <w:p w:rsidR="00B124FF" w:rsidRPr="00AF75CE" w:rsidRDefault="00B124FF" w:rsidP="005F32B8">
            <w:pPr>
              <w:jc w:val="both"/>
              <w:rPr>
                <w:sz w:val="20"/>
              </w:rPr>
            </w:pPr>
          </w:p>
        </w:tc>
        <w:tc>
          <w:tcPr>
            <w:tcW w:w="2330" w:type="pct"/>
          </w:tcPr>
          <w:p w:rsidR="00B124FF" w:rsidRPr="00AF75CE" w:rsidRDefault="00B124FF" w:rsidP="005F32B8">
            <w:pPr>
              <w:jc w:val="both"/>
              <w:rPr>
                <w:sz w:val="20"/>
              </w:rPr>
            </w:pPr>
            <w:r w:rsidRPr="00AF75CE">
              <w:rPr>
                <w:sz w:val="20"/>
              </w:rPr>
              <w:t>Appel rejeté</w:t>
            </w:r>
          </w:p>
          <w:p w:rsidR="00B124FF" w:rsidRPr="00AF75CE" w:rsidRDefault="00B124FF" w:rsidP="005F32B8">
            <w:pPr>
              <w:jc w:val="both"/>
              <w:rPr>
                <w:sz w:val="20"/>
              </w:rPr>
            </w:pPr>
          </w:p>
        </w:tc>
      </w:tr>
      <w:tr w:rsidR="00B124FF" w:rsidRPr="00AF75CE" w:rsidTr="005F32B8">
        <w:tc>
          <w:tcPr>
            <w:tcW w:w="2427" w:type="pct"/>
            <w:gridSpan w:val="2"/>
          </w:tcPr>
          <w:p w:rsidR="00B124FF" w:rsidRPr="00AF75CE" w:rsidRDefault="00B124FF" w:rsidP="005F32B8">
            <w:pPr>
              <w:jc w:val="both"/>
              <w:rPr>
                <w:sz w:val="20"/>
                <w:lang w:val="fr-CA"/>
              </w:rPr>
            </w:pPr>
            <w:r w:rsidRPr="00AF75CE">
              <w:rPr>
                <w:sz w:val="20"/>
                <w:lang w:val="fr-CA"/>
              </w:rPr>
              <w:t>Le 17 juillet 2018</w:t>
            </w:r>
          </w:p>
          <w:p w:rsidR="00B124FF" w:rsidRPr="00AF75CE" w:rsidRDefault="00B124FF" w:rsidP="005F32B8">
            <w:pPr>
              <w:jc w:val="both"/>
              <w:rPr>
                <w:sz w:val="20"/>
                <w:lang w:val="fr-CA"/>
              </w:rPr>
            </w:pPr>
            <w:r w:rsidRPr="00AF75CE">
              <w:rPr>
                <w:sz w:val="20"/>
                <w:lang w:val="fr-CA"/>
              </w:rPr>
              <w:t>Cour suprême du Canada</w:t>
            </w:r>
          </w:p>
        </w:tc>
        <w:tc>
          <w:tcPr>
            <w:tcW w:w="243" w:type="pct"/>
          </w:tcPr>
          <w:p w:rsidR="00B124FF" w:rsidRPr="00AF75CE" w:rsidRDefault="00B124FF" w:rsidP="005F32B8">
            <w:pPr>
              <w:jc w:val="both"/>
              <w:rPr>
                <w:sz w:val="20"/>
                <w:lang w:val="fr-CA"/>
              </w:rPr>
            </w:pPr>
          </w:p>
        </w:tc>
        <w:tc>
          <w:tcPr>
            <w:tcW w:w="2330" w:type="pct"/>
          </w:tcPr>
          <w:p w:rsidR="00B124FF" w:rsidRPr="00AF75CE" w:rsidRDefault="00B124FF" w:rsidP="005F32B8">
            <w:pPr>
              <w:jc w:val="both"/>
              <w:rPr>
                <w:sz w:val="20"/>
              </w:rPr>
            </w:pPr>
            <w:r w:rsidRPr="00AF75CE">
              <w:rPr>
                <w:sz w:val="20"/>
              </w:rPr>
              <w:t>Demande d’autorisation d’appel déposée</w:t>
            </w:r>
          </w:p>
          <w:p w:rsidR="00B124FF" w:rsidRPr="00AF75CE" w:rsidRDefault="00B124FF" w:rsidP="005F32B8">
            <w:pPr>
              <w:jc w:val="both"/>
              <w:rPr>
                <w:sz w:val="20"/>
              </w:rPr>
            </w:pPr>
          </w:p>
        </w:tc>
      </w:tr>
    </w:tbl>
    <w:p w:rsidR="00B124FF" w:rsidRPr="00AF75CE" w:rsidRDefault="00B124FF" w:rsidP="00B124FF">
      <w:pPr>
        <w:ind w:left="142" w:hanging="142"/>
        <w:jc w:val="both"/>
        <w:rPr>
          <w:sz w:val="20"/>
        </w:rPr>
      </w:pPr>
    </w:p>
    <w:p w:rsidR="00B124FF" w:rsidRDefault="00A24D5C" w:rsidP="00B124FF">
      <w:pPr>
        <w:jc w:val="both"/>
        <w:rPr>
          <w:sz w:val="20"/>
        </w:rPr>
      </w:pPr>
      <w:r>
        <w:rPr>
          <w:sz w:val="20"/>
          <w:szCs w:val="20"/>
        </w:rPr>
        <w:pict>
          <v:rect id="_x0000_i1033" style="width:2in;height:1pt" o:hrpct="0" o:hralign="center" o:hrstd="t" o:hrnoshade="t" o:hr="t" fillcolor="black [3213]" stroked="f"/>
        </w:pict>
      </w:r>
    </w:p>
    <w:p w:rsidR="00B124FF" w:rsidRPr="00AF75CE" w:rsidRDefault="00B124FF" w:rsidP="00B124F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124FF" w:rsidRPr="00AF75CE" w:rsidTr="005F32B8">
        <w:tc>
          <w:tcPr>
            <w:tcW w:w="543" w:type="pct"/>
          </w:tcPr>
          <w:p w:rsidR="00B124FF" w:rsidRPr="00AF75CE" w:rsidRDefault="00B124FF" w:rsidP="005F32B8">
            <w:pPr>
              <w:jc w:val="both"/>
              <w:rPr>
                <w:sz w:val="20"/>
              </w:rPr>
            </w:pPr>
            <w:r w:rsidRPr="00AF75CE">
              <w:rPr>
                <w:rStyle w:val="SCCFileNumberChar"/>
                <w:sz w:val="20"/>
                <w:szCs w:val="20"/>
              </w:rPr>
              <w:t>38210</w:t>
            </w:r>
          </w:p>
        </w:tc>
        <w:tc>
          <w:tcPr>
            <w:tcW w:w="4457" w:type="pct"/>
            <w:gridSpan w:val="3"/>
          </w:tcPr>
          <w:p w:rsidR="00B124FF" w:rsidRPr="00AF75CE" w:rsidRDefault="00B124FF" w:rsidP="005F32B8">
            <w:pPr>
              <w:jc w:val="both"/>
              <w:rPr>
                <w:b/>
                <w:sz w:val="20"/>
              </w:rPr>
            </w:pPr>
            <w:r w:rsidRPr="00AF75CE">
              <w:rPr>
                <w:b/>
                <w:sz w:val="20"/>
              </w:rPr>
              <w:t xml:space="preserve">Jennifer Altemeyer v. City of Winnipeg, West Broadway Development Corporation and </w:t>
            </w:r>
            <w:r>
              <w:rPr>
                <w:b/>
                <w:sz w:val="20"/>
              </w:rPr>
              <w:t>Government of</w:t>
            </w:r>
            <w:r w:rsidRPr="00AF75CE">
              <w:rPr>
                <w:b/>
                <w:sz w:val="20"/>
              </w:rPr>
              <w:t xml:space="preserve"> Manitoba </w:t>
            </w:r>
          </w:p>
          <w:p w:rsidR="00B124FF" w:rsidRPr="00AF75CE" w:rsidRDefault="00B124FF" w:rsidP="005F32B8">
            <w:pPr>
              <w:jc w:val="both"/>
              <w:rPr>
                <w:sz w:val="20"/>
              </w:rPr>
            </w:pPr>
            <w:r w:rsidRPr="00AF75CE">
              <w:rPr>
                <w:sz w:val="20"/>
              </w:rPr>
              <w:t>(Man.) (Civil) (By Leave)</w:t>
            </w:r>
          </w:p>
        </w:tc>
      </w:tr>
      <w:tr w:rsidR="00B124FF" w:rsidRPr="00AF75CE" w:rsidTr="005F32B8">
        <w:tc>
          <w:tcPr>
            <w:tcW w:w="5000" w:type="pct"/>
            <w:gridSpan w:val="4"/>
          </w:tcPr>
          <w:p w:rsidR="00B124FF" w:rsidRDefault="00B124FF" w:rsidP="005F32B8">
            <w:pPr>
              <w:jc w:val="both"/>
              <w:rPr>
                <w:sz w:val="20"/>
              </w:rPr>
            </w:pPr>
            <w:r w:rsidRPr="00C97F67">
              <w:rPr>
                <w:sz w:val="20"/>
              </w:rPr>
              <w:t>The motion for an extension of time to serve and file the application for leave to appeal is granted. The motions for an extension of time to serve and file the replies and to file lengthy replies are granted. The application for leave to appeal from the judgment of the Court of Appeal of Manitoba, Number AI17-30-08918, 2018 MBCA 47, dated April 27, 2018, is dismissed.</w:t>
            </w:r>
          </w:p>
          <w:p w:rsidR="00B124FF" w:rsidRPr="00AF75CE" w:rsidRDefault="00B124FF" w:rsidP="005F32B8">
            <w:pPr>
              <w:jc w:val="both"/>
              <w:rPr>
                <w:sz w:val="20"/>
              </w:rPr>
            </w:pPr>
          </w:p>
        </w:tc>
      </w:tr>
      <w:tr w:rsidR="00B124FF" w:rsidRPr="00AF75CE" w:rsidTr="005F32B8">
        <w:tc>
          <w:tcPr>
            <w:tcW w:w="5000" w:type="pct"/>
            <w:gridSpan w:val="4"/>
          </w:tcPr>
          <w:p w:rsidR="00B124FF" w:rsidRPr="00AF75CE" w:rsidRDefault="00B124FF" w:rsidP="005F32B8">
            <w:pPr>
              <w:jc w:val="both"/>
              <w:rPr>
                <w:sz w:val="20"/>
              </w:rPr>
            </w:pPr>
            <w:r w:rsidRPr="00AF75CE">
              <w:rPr>
                <w:sz w:val="20"/>
              </w:rPr>
              <w:t xml:space="preserve">Civil Procedure – Motion – </w:t>
            </w:r>
            <w:r w:rsidRPr="00AF75CE">
              <w:rPr>
                <w:sz w:val="20"/>
                <w:lang w:val="en"/>
              </w:rPr>
              <w:t xml:space="preserve">Joining party to application for judicial review – Clarification of issues – Inspection of documents – Access to records – Demand for information – </w:t>
            </w:r>
            <w:r w:rsidRPr="00AF75CE">
              <w:rPr>
                <w:sz w:val="20"/>
              </w:rPr>
              <w:t>Whether applicant raises a legal issue – Whether issue is of public importance?</w:t>
            </w:r>
          </w:p>
        </w:tc>
      </w:tr>
      <w:tr w:rsidR="00B124FF" w:rsidRPr="00AF75CE" w:rsidTr="005F32B8">
        <w:tc>
          <w:tcPr>
            <w:tcW w:w="5000" w:type="pct"/>
            <w:gridSpan w:val="4"/>
          </w:tcPr>
          <w:p w:rsidR="00B124FF" w:rsidRPr="00AF75CE" w:rsidRDefault="00B124FF" w:rsidP="005F32B8">
            <w:pPr>
              <w:jc w:val="both"/>
              <w:rPr>
                <w:sz w:val="20"/>
              </w:rPr>
            </w:pPr>
          </w:p>
          <w:p w:rsidR="00B124FF" w:rsidRPr="00AF75CE" w:rsidRDefault="00B124FF" w:rsidP="005F32B8">
            <w:pPr>
              <w:pStyle w:val="mauer1"/>
              <w:spacing w:before="0"/>
              <w:rPr>
                <w:sz w:val="20"/>
                <w:szCs w:val="20"/>
                <w:lang w:val="en"/>
              </w:rPr>
            </w:pPr>
            <w:r w:rsidRPr="00AF75CE">
              <w:rPr>
                <w:rFonts w:ascii="Times New Roman" w:hAnsi="Times New Roman"/>
                <w:sz w:val="20"/>
                <w:szCs w:val="20"/>
              </w:rPr>
              <w:lastRenderedPageBreak/>
              <w:t xml:space="preserve">Ms. Altemeyer used a community garden located on vacant land in Winnipeg. </w:t>
            </w:r>
            <w:r w:rsidRPr="00AF75CE">
              <w:rPr>
                <w:rFonts w:ascii="Times New Roman" w:hAnsi="Times New Roman"/>
                <w:sz w:val="20"/>
                <w:szCs w:val="20"/>
                <w:lang w:val="en"/>
              </w:rPr>
              <w:t>In 2001, West Broadway Development Corporation received grant money from an urban renewal funding program named Neighbourhoods Alive! to purchase the property for development suitable under the program. In 2008, it began a process to construct a building on the property. Ms. Altemeyer applied for judicial review of a bylaw and a variance order passed by the City of Winnipeg to permit development. She brought a motion for orders joining the Province of Manitoba (Neighbourhoods Alive!) as a respondent, to clarify the issues, for inspection of documents in the possession of a non-party architectural firm, for access to the records of a city councillor, and for production of information on the development proposal. The motions judge dismissed the motion. The Court of Appeal dismissed an appeal.</w:t>
            </w:r>
          </w:p>
        </w:tc>
      </w:tr>
      <w:tr w:rsidR="00B124FF" w:rsidRPr="00AF75CE" w:rsidTr="005F32B8">
        <w:tc>
          <w:tcPr>
            <w:tcW w:w="5000" w:type="pct"/>
            <w:gridSpan w:val="4"/>
          </w:tcPr>
          <w:p w:rsidR="00B124FF" w:rsidRPr="00AF75CE" w:rsidRDefault="00B124FF" w:rsidP="005F32B8">
            <w:pPr>
              <w:pStyle w:val="mauer1"/>
              <w:spacing w:before="0"/>
              <w:rPr>
                <w:sz w:val="20"/>
                <w:szCs w:val="20"/>
              </w:rPr>
            </w:pPr>
          </w:p>
        </w:tc>
      </w:tr>
      <w:tr w:rsidR="00B124FF" w:rsidRPr="00AF75CE" w:rsidTr="005F32B8">
        <w:tc>
          <w:tcPr>
            <w:tcW w:w="2427" w:type="pct"/>
            <w:gridSpan w:val="2"/>
          </w:tcPr>
          <w:p w:rsidR="00B124FF" w:rsidRPr="00AF75CE" w:rsidRDefault="00B124FF" w:rsidP="005F32B8">
            <w:pPr>
              <w:jc w:val="both"/>
              <w:rPr>
                <w:sz w:val="20"/>
              </w:rPr>
            </w:pPr>
            <w:r w:rsidRPr="00AF75CE">
              <w:rPr>
                <w:sz w:val="20"/>
              </w:rPr>
              <w:t>July 27, 2017</w:t>
            </w:r>
          </w:p>
          <w:p w:rsidR="00B124FF" w:rsidRPr="00AF75CE" w:rsidRDefault="00B124FF" w:rsidP="005F32B8">
            <w:pPr>
              <w:jc w:val="both"/>
              <w:rPr>
                <w:sz w:val="20"/>
              </w:rPr>
            </w:pPr>
            <w:r w:rsidRPr="00AF75CE">
              <w:rPr>
                <w:sz w:val="20"/>
              </w:rPr>
              <w:t>Court of Queen’s Bench of Manitoba</w:t>
            </w:r>
          </w:p>
          <w:p w:rsidR="00B124FF" w:rsidRPr="00AF75CE" w:rsidRDefault="00B124FF" w:rsidP="005F32B8">
            <w:pPr>
              <w:jc w:val="both"/>
              <w:rPr>
                <w:sz w:val="20"/>
              </w:rPr>
            </w:pPr>
            <w:r w:rsidRPr="00AF75CE">
              <w:rPr>
                <w:sz w:val="20"/>
              </w:rPr>
              <w:t>(Keyser J.)</w:t>
            </w:r>
          </w:p>
          <w:p w:rsidR="00B124FF" w:rsidRPr="00AF75CE" w:rsidRDefault="00B124FF" w:rsidP="005F32B8">
            <w:pPr>
              <w:jc w:val="both"/>
              <w:rPr>
                <w:sz w:val="20"/>
              </w:rPr>
            </w:pPr>
            <w:r w:rsidRPr="00AF75CE">
              <w:rPr>
                <w:sz w:val="20"/>
              </w:rPr>
              <w:t>CI 15-01-94222 (Unreported)</w:t>
            </w:r>
          </w:p>
          <w:p w:rsidR="00B124FF" w:rsidRPr="00AF75CE" w:rsidRDefault="00B124FF" w:rsidP="005F32B8">
            <w:pPr>
              <w:jc w:val="both"/>
              <w:rPr>
                <w:sz w:val="20"/>
              </w:rPr>
            </w:pPr>
          </w:p>
        </w:tc>
        <w:tc>
          <w:tcPr>
            <w:tcW w:w="243" w:type="pct"/>
          </w:tcPr>
          <w:p w:rsidR="00B124FF" w:rsidRPr="00AF75CE" w:rsidRDefault="00B124FF" w:rsidP="005F32B8">
            <w:pPr>
              <w:jc w:val="both"/>
              <w:rPr>
                <w:sz w:val="20"/>
              </w:rPr>
            </w:pPr>
          </w:p>
        </w:tc>
        <w:tc>
          <w:tcPr>
            <w:tcW w:w="2330" w:type="pct"/>
          </w:tcPr>
          <w:p w:rsidR="00B124FF" w:rsidRPr="00AF75CE" w:rsidRDefault="00B124FF" w:rsidP="005F32B8">
            <w:pPr>
              <w:jc w:val="both"/>
              <w:rPr>
                <w:sz w:val="20"/>
              </w:rPr>
            </w:pPr>
            <w:r w:rsidRPr="00AF75CE">
              <w:rPr>
                <w:sz w:val="20"/>
              </w:rPr>
              <w:t>Motion dismissed</w:t>
            </w:r>
          </w:p>
          <w:p w:rsidR="00B124FF" w:rsidRPr="00AF75CE" w:rsidRDefault="00B124FF" w:rsidP="005F32B8">
            <w:pPr>
              <w:jc w:val="both"/>
              <w:rPr>
                <w:sz w:val="20"/>
              </w:rPr>
            </w:pPr>
          </w:p>
        </w:tc>
      </w:tr>
      <w:tr w:rsidR="00B124FF" w:rsidRPr="00AF75CE" w:rsidTr="005F32B8">
        <w:tc>
          <w:tcPr>
            <w:tcW w:w="2427" w:type="pct"/>
            <w:gridSpan w:val="2"/>
          </w:tcPr>
          <w:p w:rsidR="00B124FF" w:rsidRPr="00AF75CE" w:rsidRDefault="00B124FF" w:rsidP="005F32B8">
            <w:pPr>
              <w:jc w:val="both"/>
              <w:rPr>
                <w:sz w:val="20"/>
              </w:rPr>
            </w:pPr>
            <w:r w:rsidRPr="00AF75CE">
              <w:rPr>
                <w:sz w:val="20"/>
              </w:rPr>
              <w:t>April 27, 2018</w:t>
            </w:r>
          </w:p>
          <w:p w:rsidR="00B124FF" w:rsidRPr="00AF75CE" w:rsidRDefault="00B124FF" w:rsidP="005F32B8">
            <w:pPr>
              <w:jc w:val="both"/>
              <w:rPr>
                <w:sz w:val="20"/>
              </w:rPr>
            </w:pPr>
            <w:r w:rsidRPr="00AF75CE">
              <w:rPr>
                <w:sz w:val="20"/>
              </w:rPr>
              <w:t>Court of Appeal of Manitoba</w:t>
            </w:r>
          </w:p>
          <w:p w:rsidR="00B124FF" w:rsidRPr="00AF75CE" w:rsidRDefault="00B124FF" w:rsidP="005F32B8">
            <w:pPr>
              <w:jc w:val="both"/>
              <w:rPr>
                <w:sz w:val="20"/>
                <w:lang w:val="fr-CA"/>
              </w:rPr>
            </w:pPr>
            <w:r w:rsidRPr="00AF75CE">
              <w:rPr>
                <w:sz w:val="20"/>
                <w:lang w:val="fr-CA"/>
              </w:rPr>
              <w:t>(Cameron, Burnett, Mainella JJ.A.)</w:t>
            </w:r>
          </w:p>
          <w:p w:rsidR="00B124FF" w:rsidRPr="00AF75CE" w:rsidRDefault="00B124FF" w:rsidP="005F32B8">
            <w:pPr>
              <w:jc w:val="both"/>
              <w:rPr>
                <w:sz w:val="20"/>
                <w:lang w:val="en"/>
              </w:rPr>
            </w:pPr>
            <w:r w:rsidRPr="00AF75CE">
              <w:rPr>
                <w:sz w:val="20"/>
                <w:lang w:val="en"/>
              </w:rPr>
              <w:t xml:space="preserve">AI17-30-08918; </w:t>
            </w:r>
            <w:hyperlink r:id="rId23" w:history="1">
              <w:r w:rsidRPr="00AF75CE">
                <w:rPr>
                  <w:rStyle w:val="Hyperlink"/>
                  <w:sz w:val="20"/>
                  <w:lang w:val="en"/>
                </w:rPr>
                <w:t>2018 MBCA 47</w:t>
              </w:r>
            </w:hyperlink>
          </w:p>
          <w:p w:rsidR="00B124FF" w:rsidRPr="00AF75CE" w:rsidRDefault="00B124FF" w:rsidP="005F32B8">
            <w:pPr>
              <w:jc w:val="both"/>
              <w:rPr>
                <w:sz w:val="20"/>
              </w:rPr>
            </w:pPr>
          </w:p>
        </w:tc>
        <w:tc>
          <w:tcPr>
            <w:tcW w:w="243" w:type="pct"/>
          </w:tcPr>
          <w:p w:rsidR="00B124FF" w:rsidRPr="00AF75CE" w:rsidRDefault="00B124FF" w:rsidP="005F32B8">
            <w:pPr>
              <w:jc w:val="both"/>
              <w:rPr>
                <w:sz w:val="20"/>
              </w:rPr>
            </w:pPr>
          </w:p>
        </w:tc>
        <w:tc>
          <w:tcPr>
            <w:tcW w:w="2330" w:type="pct"/>
          </w:tcPr>
          <w:p w:rsidR="00B124FF" w:rsidRPr="00AF75CE" w:rsidRDefault="00B124FF" w:rsidP="005F32B8">
            <w:pPr>
              <w:jc w:val="both"/>
              <w:rPr>
                <w:sz w:val="20"/>
              </w:rPr>
            </w:pPr>
            <w:r w:rsidRPr="00AF75CE">
              <w:rPr>
                <w:sz w:val="20"/>
              </w:rPr>
              <w:t>Appeal dismissed</w:t>
            </w:r>
          </w:p>
          <w:p w:rsidR="00B124FF" w:rsidRPr="00AF75CE" w:rsidRDefault="00B124FF" w:rsidP="005F32B8">
            <w:pPr>
              <w:jc w:val="both"/>
              <w:rPr>
                <w:sz w:val="20"/>
              </w:rPr>
            </w:pPr>
          </w:p>
        </w:tc>
      </w:tr>
      <w:tr w:rsidR="00B124FF" w:rsidRPr="00AF75CE" w:rsidTr="005F32B8">
        <w:tc>
          <w:tcPr>
            <w:tcW w:w="2427" w:type="pct"/>
            <w:gridSpan w:val="2"/>
          </w:tcPr>
          <w:p w:rsidR="00B124FF" w:rsidRPr="00AF75CE" w:rsidRDefault="00B124FF" w:rsidP="005F32B8">
            <w:pPr>
              <w:jc w:val="both"/>
              <w:rPr>
                <w:sz w:val="20"/>
              </w:rPr>
            </w:pPr>
            <w:r w:rsidRPr="00AF75CE">
              <w:rPr>
                <w:sz w:val="20"/>
              </w:rPr>
              <w:t>June 28, 2018</w:t>
            </w:r>
          </w:p>
          <w:p w:rsidR="00B124FF" w:rsidRPr="00AF75CE" w:rsidRDefault="00B124FF" w:rsidP="005F32B8">
            <w:pPr>
              <w:jc w:val="both"/>
              <w:rPr>
                <w:sz w:val="20"/>
              </w:rPr>
            </w:pPr>
            <w:r w:rsidRPr="00AF75CE">
              <w:rPr>
                <w:sz w:val="20"/>
              </w:rPr>
              <w:t>Supreme Court of Canada</w:t>
            </w:r>
          </w:p>
        </w:tc>
        <w:tc>
          <w:tcPr>
            <w:tcW w:w="243" w:type="pct"/>
          </w:tcPr>
          <w:p w:rsidR="00B124FF" w:rsidRPr="00AF75CE" w:rsidRDefault="00B124FF" w:rsidP="005F32B8">
            <w:pPr>
              <w:jc w:val="both"/>
              <w:rPr>
                <w:sz w:val="20"/>
              </w:rPr>
            </w:pPr>
          </w:p>
        </w:tc>
        <w:tc>
          <w:tcPr>
            <w:tcW w:w="2330" w:type="pct"/>
          </w:tcPr>
          <w:p w:rsidR="00B124FF" w:rsidRPr="00AF75CE" w:rsidRDefault="00B124FF" w:rsidP="005F32B8">
            <w:pPr>
              <w:jc w:val="both"/>
              <w:rPr>
                <w:sz w:val="20"/>
              </w:rPr>
            </w:pPr>
            <w:r w:rsidRPr="00AF75CE">
              <w:rPr>
                <w:sz w:val="20"/>
              </w:rPr>
              <w:t>Motion for extension of time to serve and file application for leave to appeal and Application for leave to appeal filed</w:t>
            </w:r>
          </w:p>
        </w:tc>
      </w:tr>
    </w:tbl>
    <w:p w:rsidR="00B124FF" w:rsidRDefault="00B124FF" w:rsidP="00B124FF">
      <w:pPr>
        <w:jc w:val="both"/>
        <w:rPr>
          <w:sz w:val="20"/>
        </w:rPr>
      </w:pPr>
    </w:p>
    <w:p w:rsidR="00B124FF" w:rsidRPr="00AF75CE" w:rsidRDefault="00B124FF" w:rsidP="00B124F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124FF" w:rsidRPr="00AF75CE" w:rsidTr="005F32B8">
        <w:tc>
          <w:tcPr>
            <w:tcW w:w="543" w:type="pct"/>
          </w:tcPr>
          <w:p w:rsidR="00B124FF" w:rsidRPr="00AF75CE" w:rsidRDefault="00B124FF" w:rsidP="005F32B8">
            <w:pPr>
              <w:jc w:val="both"/>
              <w:rPr>
                <w:sz w:val="20"/>
                <w:lang w:val="fr-CA"/>
              </w:rPr>
            </w:pPr>
            <w:r w:rsidRPr="00AF75CE">
              <w:rPr>
                <w:rStyle w:val="SCCFileNumberChar"/>
                <w:sz w:val="20"/>
                <w:szCs w:val="20"/>
                <w:lang w:val="fr-CA"/>
              </w:rPr>
              <w:t>38210</w:t>
            </w:r>
          </w:p>
        </w:tc>
        <w:tc>
          <w:tcPr>
            <w:tcW w:w="4457" w:type="pct"/>
            <w:gridSpan w:val="3"/>
          </w:tcPr>
          <w:p w:rsidR="00B124FF" w:rsidRPr="00AF75CE" w:rsidRDefault="00B124FF" w:rsidP="005F32B8">
            <w:pPr>
              <w:jc w:val="both"/>
              <w:rPr>
                <w:b/>
                <w:sz w:val="20"/>
                <w:lang w:val="fr-CA"/>
              </w:rPr>
            </w:pPr>
            <w:r w:rsidRPr="00AF75CE">
              <w:rPr>
                <w:b/>
                <w:sz w:val="20"/>
                <w:lang w:val="fr-CA"/>
              </w:rPr>
              <w:t xml:space="preserve">Jennifer Altemeyer c. Ville de Winnipeg, West Broadway Development Corporation et </w:t>
            </w:r>
            <w:r>
              <w:rPr>
                <w:b/>
                <w:sz w:val="20"/>
                <w:lang w:val="fr-CA"/>
              </w:rPr>
              <w:t xml:space="preserve">Gouvernement </w:t>
            </w:r>
            <w:r w:rsidRPr="00AF75CE">
              <w:rPr>
                <w:b/>
                <w:sz w:val="20"/>
                <w:lang w:val="fr-CA"/>
              </w:rPr>
              <w:t>du Manitoba</w:t>
            </w:r>
          </w:p>
          <w:p w:rsidR="00B124FF" w:rsidRPr="00AF75CE" w:rsidRDefault="00B124FF" w:rsidP="005F32B8">
            <w:pPr>
              <w:jc w:val="both"/>
              <w:rPr>
                <w:sz w:val="20"/>
                <w:lang w:val="fr-CA"/>
              </w:rPr>
            </w:pPr>
            <w:r w:rsidRPr="00AF75CE">
              <w:rPr>
                <w:sz w:val="20"/>
                <w:lang w:val="fr-CA"/>
              </w:rPr>
              <w:t>(Man.) (Civile) (Autorisation)</w:t>
            </w:r>
          </w:p>
        </w:tc>
      </w:tr>
      <w:tr w:rsidR="00B124FF" w:rsidRPr="00CC0B55" w:rsidTr="005F32B8">
        <w:tc>
          <w:tcPr>
            <w:tcW w:w="5000" w:type="pct"/>
            <w:gridSpan w:val="4"/>
          </w:tcPr>
          <w:p w:rsidR="00B124FF" w:rsidRDefault="00B124FF" w:rsidP="005F32B8">
            <w:pPr>
              <w:jc w:val="both"/>
              <w:rPr>
                <w:sz w:val="20"/>
                <w:lang w:val="fr-CA"/>
              </w:rPr>
            </w:pPr>
            <w:r w:rsidRPr="00C97F67">
              <w:rPr>
                <w:sz w:val="20"/>
                <w:lang w:val="fr-CA"/>
              </w:rPr>
              <w:t>La requête en prorogation du délai de signification et de dépôt de la demande d’autorisation d’appel est accueillie. Les requêtes en prorogation du délai de signification et de dépôt des répliques et pour déposer des répliques volumineuses sont accueillies. La demande d’autorisation d’appel de l’arrêt de la Cour d’appel du Manitoba, numéro AI17-30-08918, 2018 MBCA 47, daté du 27 avril 2018, est rejetée.</w:t>
            </w:r>
          </w:p>
          <w:p w:rsidR="00B124FF" w:rsidRPr="00AF75CE" w:rsidRDefault="00B124FF" w:rsidP="005F32B8">
            <w:pPr>
              <w:jc w:val="both"/>
              <w:rPr>
                <w:sz w:val="20"/>
                <w:lang w:val="fr-CA"/>
              </w:rPr>
            </w:pPr>
          </w:p>
        </w:tc>
      </w:tr>
      <w:tr w:rsidR="00B124FF" w:rsidRPr="00CC0B55" w:rsidTr="005F32B8">
        <w:tc>
          <w:tcPr>
            <w:tcW w:w="5000" w:type="pct"/>
            <w:gridSpan w:val="4"/>
          </w:tcPr>
          <w:p w:rsidR="00B124FF" w:rsidRPr="00AF75CE" w:rsidRDefault="00B124FF" w:rsidP="005F32B8">
            <w:pPr>
              <w:jc w:val="both"/>
              <w:rPr>
                <w:sz w:val="20"/>
                <w:lang w:val="fr-CA"/>
              </w:rPr>
            </w:pPr>
            <w:r w:rsidRPr="00AF75CE">
              <w:rPr>
                <w:sz w:val="20"/>
                <w:lang w:val="fr-CA"/>
              </w:rPr>
              <w:t>Procédure civile – Motion – Jonction d’une partie à une demande de contrôle judiciaire – Clarification des questions en litige – Examen de documents – Accès aux dossiers – Demande péremptoire de renseignements – La demanderesse soulève-t-elle une question de droit? – La question revêt-elle de l’importance pour le public?</w:t>
            </w:r>
          </w:p>
        </w:tc>
      </w:tr>
      <w:tr w:rsidR="00B124FF" w:rsidRPr="00CC0B55" w:rsidTr="005F32B8">
        <w:tc>
          <w:tcPr>
            <w:tcW w:w="5000" w:type="pct"/>
            <w:gridSpan w:val="4"/>
          </w:tcPr>
          <w:p w:rsidR="00B124FF" w:rsidRPr="00AF75CE" w:rsidRDefault="00B124FF" w:rsidP="005F32B8">
            <w:pPr>
              <w:jc w:val="both"/>
              <w:rPr>
                <w:sz w:val="20"/>
                <w:lang w:val="fr-CA"/>
              </w:rPr>
            </w:pPr>
          </w:p>
          <w:p w:rsidR="00B124FF" w:rsidRPr="00AF75CE" w:rsidRDefault="00B124FF" w:rsidP="005F32B8">
            <w:pPr>
              <w:pStyle w:val="mauer1"/>
              <w:spacing w:before="0"/>
              <w:rPr>
                <w:sz w:val="20"/>
                <w:szCs w:val="20"/>
                <w:lang w:val="fr-CA"/>
              </w:rPr>
            </w:pPr>
            <w:r w:rsidRPr="00AF75CE">
              <w:rPr>
                <w:rFonts w:ascii="Times New Roman" w:hAnsi="Times New Roman"/>
                <w:sz w:val="20"/>
                <w:szCs w:val="20"/>
                <w:lang w:val="fr-CA"/>
              </w:rPr>
              <w:t>Madame Altemeyer utilisait un jardin communautaire situé sur un terrain vague à Winnipeg. En 2001, West Broadway Development Corporation a reçu une subvention pour un programme de financement de revitalisation urbaine appelé Quartiers vivants! afin d’acheter le terrain pour un aménagement en lien avec le programme. En 2008, l’organisme a entrepris un processus pour la construction d’un édifice sur le terrain. Madame Altemeyer a demandé le contrôle judiciaire d’un règlement et d’une ordonnance de dérogation adoptés par la Ville de Winnipeg pour permettre l’aménagement. Elle a présenté une motion en vue d’obtenir des ordonnances joignant la Province du Manitoba (Quartiers vivants!) comme intimée, pour clarifier les questions en litige, pour examiner les documents en possession d’un cabinet d’architectes tiers, pour avoir accès aux dossiers d’un conseiller municipal et pour la production de renseignements sur le projet d’aménagement. La juge de première instance a rejeté la motion. La Cour d’appel a rejeté l’appel.</w:t>
            </w:r>
          </w:p>
        </w:tc>
      </w:tr>
      <w:tr w:rsidR="00B124FF" w:rsidRPr="00CC0B55" w:rsidTr="005F32B8">
        <w:tc>
          <w:tcPr>
            <w:tcW w:w="5000" w:type="pct"/>
            <w:gridSpan w:val="4"/>
          </w:tcPr>
          <w:p w:rsidR="00B124FF" w:rsidRPr="00AF75CE" w:rsidRDefault="00B124FF" w:rsidP="005F32B8">
            <w:pPr>
              <w:pStyle w:val="mauer1"/>
              <w:spacing w:before="0"/>
              <w:rPr>
                <w:sz w:val="20"/>
                <w:szCs w:val="20"/>
                <w:lang w:val="fr-CA"/>
              </w:rPr>
            </w:pPr>
          </w:p>
        </w:tc>
      </w:tr>
      <w:tr w:rsidR="00B124FF" w:rsidRPr="00AF75CE" w:rsidTr="005F32B8">
        <w:tc>
          <w:tcPr>
            <w:tcW w:w="2427" w:type="pct"/>
            <w:gridSpan w:val="2"/>
          </w:tcPr>
          <w:p w:rsidR="00B124FF" w:rsidRPr="00AF75CE" w:rsidRDefault="00B124FF" w:rsidP="005F32B8">
            <w:pPr>
              <w:jc w:val="both"/>
              <w:rPr>
                <w:sz w:val="20"/>
                <w:lang w:val="fr-CA"/>
              </w:rPr>
            </w:pPr>
            <w:r w:rsidRPr="00AF75CE">
              <w:rPr>
                <w:sz w:val="20"/>
                <w:lang w:val="fr-CA"/>
              </w:rPr>
              <w:t>27 juillet 2017</w:t>
            </w:r>
          </w:p>
          <w:p w:rsidR="00B124FF" w:rsidRPr="00AF75CE" w:rsidRDefault="00B124FF" w:rsidP="005F32B8">
            <w:pPr>
              <w:jc w:val="both"/>
              <w:rPr>
                <w:sz w:val="20"/>
                <w:lang w:val="fr-CA"/>
              </w:rPr>
            </w:pPr>
            <w:r w:rsidRPr="00AF75CE">
              <w:rPr>
                <w:sz w:val="20"/>
                <w:lang w:val="fr-CA"/>
              </w:rPr>
              <w:t>Cour du Banc de la Reine du Manitoba</w:t>
            </w:r>
          </w:p>
          <w:p w:rsidR="00B124FF" w:rsidRPr="00AF75CE" w:rsidRDefault="00B124FF" w:rsidP="005F32B8">
            <w:pPr>
              <w:jc w:val="both"/>
              <w:rPr>
                <w:sz w:val="20"/>
                <w:lang w:val="fr-CA"/>
              </w:rPr>
            </w:pPr>
            <w:r w:rsidRPr="00AF75CE">
              <w:rPr>
                <w:sz w:val="20"/>
                <w:lang w:val="fr-CA"/>
              </w:rPr>
              <w:t>(Juge Keyser)</w:t>
            </w:r>
          </w:p>
          <w:p w:rsidR="00B124FF" w:rsidRPr="00AF75CE" w:rsidRDefault="00B124FF" w:rsidP="005F32B8">
            <w:pPr>
              <w:jc w:val="both"/>
              <w:rPr>
                <w:sz w:val="20"/>
                <w:lang w:val="fr-CA"/>
              </w:rPr>
            </w:pPr>
            <w:r w:rsidRPr="00AF75CE">
              <w:rPr>
                <w:sz w:val="20"/>
                <w:lang w:val="fr-CA"/>
              </w:rPr>
              <w:lastRenderedPageBreak/>
              <w:t>CI 15-01-94222 (non publié)</w:t>
            </w:r>
          </w:p>
          <w:p w:rsidR="00B124FF" w:rsidRPr="00AF75CE" w:rsidRDefault="00B124FF" w:rsidP="005F32B8">
            <w:pPr>
              <w:jc w:val="both"/>
              <w:rPr>
                <w:sz w:val="20"/>
                <w:lang w:val="fr-CA"/>
              </w:rPr>
            </w:pPr>
          </w:p>
        </w:tc>
        <w:tc>
          <w:tcPr>
            <w:tcW w:w="243" w:type="pct"/>
          </w:tcPr>
          <w:p w:rsidR="00B124FF" w:rsidRPr="00AF75CE" w:rsidRDefault="00B124FF" w:rsidP="005F32B8">
            <w:pPr>
              <w:jc w:val="both"/>
              <w:rPr>
                <w:sz w:val="20"/>
                <w:lang w:val="fr-CA"/>
              </w:rPr>
            </w:pPr>
          </w:p>
        </w:tc>
        <w:tc>
          <w:tcPr>
            <w:tcW w:w="2330" w:type="pct"/>
          </w:tcPr>
          <w:p w:rsidR="00B124FF" w:rsidRPr="00AF75CE" w:rsidRDefault="00B124FF" w:rsidP="005F32B8">
            <w:pPr>
              <w:jc w:val="both"/>
              <w:rPr>
                <w:sz w:val="20"/>
                <w:lang w:val="fr-CA"/>
              </w:rPr>
            </w:pPr>
            <w:r w:rsidRPr="00AF75CE">
              <w:rPr>
                <w:sz w:val="20"/>
                <w:lang w:val="fr-CA"/>
              </w:rPr>
              <w:t>Rejet de la motion</w:t>
            </w:r>
          </w:p>
          <w:p w:rsidR="00B124FF" w:rsidRPr="00AF75CE" w:rsidRDefault="00B124FF" w:rsidP="005F32B8">
            <w:pPr>
              <w:jc w:val="both"/>
              <w:rPr>
                <w:sz w:val="20"/>
                <w:lang w:val="fr-CA"/>
              </w:rPr>
            </w:pPr>
          </w:p>
        </w:tc>
      </w:tr>
      <w:tr w:rsidR="00B124FF" w:rsidRPr="00AF75CE" w:rsidTr="005F32B8">
        <w:tc>
          <w:tcPr>
            <w:tcW w:w="2427" w:type="pct"/>
            <w:gridSpan w:val="2"/>
          </w:tcPr>
          <w:p w:rsidR="00B124FF" w:rsidRPr="00AF75CE" w:rsidRDefault="00B124FF" w:rsidP="005F32B8">
            <w:pPr>
              <w:jc w:val="both"/>
              <w:rPr>
                <w:sz w:val="20"/>
                <w:lang w:val="fr-CA"/>
              </w:rPr>
            </w:pPr>
            <w:r w:rsidRPr="00AF75CE">
              <w:rPr>
                <w:sz w:val="20"/>
                <w:lang w:val="fr-CA"/>
              </w:rPr>
              <w:t>27 avril 2018</w:t>
            </w:r>
          </w:p>
          <w:p w:rsidR="00B124FF" w:rsidRPr="00AF75CE" w:rsidRDefault="00B124FF" w:rsidP="005F32B8">
            <w:pPr>
              <w:jc w:val="both"/>
              <w:rPr>
                <w:sz w:val="20"/>
                <w:lang w:val="fr-CA"/>
              </w:rPr>
            </w:pPr>
            <w:r w:rsidRPr="00AF75CE">
              <w:rPr>
                <w:sz w:val="20"/>
                <w:lang w:val="fr-CA"/>
              </w:rPr>
              <w:t>Cour d’appel du Manitoba</w:t>
            </w:r>
          </w:p>
          <w:p w:rsidR="00B124FF" w:rsidRPr="00AF75CE" w:rsidRDefault="00B124FF" w:rsidP="005F32B8">
            <w:pPr>
              <w:jc w:val="both"/>
              <w:rPr>
                <w:sz w:val="20"/>
                <w:lang w:val="fr-CA"/>
              </w:rPr>
            </w:pPr>
            <w:r w:rsidRPr="00AF75CE">
              <w:rPr>
                <w:sz w:val="20"/>
                <w:lang w:val="fr-CA"/>
              </w:rPr>
              <w:t>(Juges Cameron, Burnett et Mainella)</w:t>
            </w:r>
          </w:p>
          <w:p w:rsidR="00B124FF" w:rsidRPr="00AF75CE" w:rsidRDefault="00B124FF" w:rsidP="005F32B8">
            <w:pPr>
              <w:jc w:val="both"/>
              <w:rPr>
                <w:sz w:val="20"/>
                <w:lang w:val="fr-CA"/>
              </w:rPr>
            </w:pPr>
            <w:r w:rsidRPr="00AF75CE">
              <w:rPr>
                <w:sz w:val="20"/>
                <w:lang w:val="fr-CA"/>
              </w:rPr>
              <w:t xml:space="preserve">AI17-30-08918; </w:t>
            </w:r>
            <w:hyperlink r:id="rId24" w:history="1">
              <w:r w:rsidRPr="00AF75CE">
                <w:rPr>
                  <w:rStyle w:val="Hyperlink"/>
                  <w:sz w:val="20"/>
                  <w:lang w:val="fr-CA"/>
                </w:rPr>
                <w:t>2018 MBCA 47</w:t>
              </w:r>
            </w:hyperlink>
          </w:p>
          <w:p w:rsidR="00B124FF" w:rsidRPr="00AF75CE" w:rsidRDefault="00B124FF" w:rsidP="005F32B8">
            <w:pPr>
              <w:jc w:val="both"/>
              <w:rPr>
                <w:sz w:val="20"/>
                <w:lang w:val="fr-CA"/>
              </w:rPr>
            </w:pPr>
          </w:p>
        </w:tc>
        <w:tc>
          <w:tcPr>
            <w:tcW w:w="243" w:type="pct"/>
          </w:tcPr>
          <w:p w:rsidR="00B124FF" w:rsidRPr="00AF75CE" w:rsidRDefault="00B124FF" w:rsidP="005F32B8">
            <w:pPr>
              <w:jc w:val="both"/>
              <w:rPr>
                <w:sz w:val="20"/>
                <w:lang w:val="fr-CA"/>
              </w:rPr>
            </w:pPr>
          </w:p>
        </w:tc>
        <w:tc>
          <w:tcPr>
            <w:tcW w:w="2330" w:type="pct"/>
          </w:tcPr>
          <w:p w:rsidR="00B124FF" w:rsidRPr="00AF75CE" w:rsidRDefault="00B124FF" w:rsidP="005F32B8">
            <w:pPr>
              <w:jc w:val="both"/>
              <w:rPr>
                <w:sz w:val="20"/>
                <w:lang w:val="fr-CA"/>
              </w:rPr>
            </w:pPr>
            <w:r w:rsidRPr="00AF75CE">
              <w:rPr>
                <w:sz w:val="20"/>
                <w:lang w:val="fr-CA"/>
              </w:rPr>
              <w:t>Rejet de l’appel</w:t>
            </w:r>
          </w:p>
          <w:p w:rsidR="00B124FF" w:rsidRPr="00AF75CE" w:rsidRDefault="00B124FF" w:rsidP="005F32B8">
            <w:pPr>
              <w:jc w:val="both"/>
              <w:rPr>
                <w:sz w:val="20"/>
                <w:lang w:val="fr-CA"/>
              </w:rPr>
            </w:pPr>
          </w:p>
        </w:tc>
      </w:tr>
      <w:tr w:rsidR="00B124FF" w:rsidRPr="00CC0B55" w:rsidTr="005F32B8">
        <w:tc>
          <w:tcPr>
            <w:tcW w:w="2427" w:type="pct"/>
            <w:gridSpan w:val="2"/>
          </w:tcPr>
          <w:p w:rsidR="00B124FF" w:rsidRPr="00AF75CE" w:rsidRDefault="00B124FF" w:rsidP="005F32B8">
            <w:pPr>
              <w:jc w:val="both"/>
              <w:rPr>
                <w:sz w:val="20"/>
                <w:lang w:val="fr-CA"/>
              </w:rPr>
            </w:pPr>
            <w:r w:rsidRPr="00AF75CE">
              <w:rPr>
                <w:sz w:val="20"/>
                <w:lang w:val="fr-CA"/>
              </w:rPr>
              <w:t>28 juin 2018</w:t>
            </w:r>
          </w:p>
          <w:p w:rsidR="00B124FF" w:rsidRPr="00AF75CE" w:rsidRDefault="00B124FF" w:rsidP="005F32B8">
            <w:pPr>
              <w:jc w:val="both"/>
              <w:rPr>
                <w:sz w:val="20"/>
                <w:lang w:val="fr-CA"/>
              </w:rPr>
            </w:pPr>
            <w:r w:rsidRPr="00AF75CE">
              <w:rPr>
                <w:sz w:val="20"/>
                <w:lang w:val="fr-CA"/>
              </w:rPr>
              <w:t>Cour suprême du Canada</w:t>
            </w:r>
          </w:p>
        </w:tc>
        <w:tc>
          <w:tcPr>
            <w:tcW w:w="243" w:type="pct"/>
          </w:tcPr>
          <w:p w:rsidR="00B124FF" w:rsidRPr="00AF75CE" w:rsidRDefault="00B124FF" w:rsidP="005F32B8">
            <w:pPr>
              <w:jc w:val="both"/>
              <w:rPr>
                <w:sz w:val="20"/>
                <w:lang w:val="fr-CA"/>
              </w:rPr>
            </w:pPr>
          </w:p>
        </w:tc>
        <w:tc>
          <w:tcPr>
            <w:tcW w:w="2330" w:type="pct"/>
          </w:tcPr>
          <w:p w:rsidR="00B124FF" w:rsidRPr="00AF75CE" w:rsidRDefault="00B124FF" w:rsidP="005F32B8">
            <w:pPr>
              <w:jc w:val="both"/>
              <w:rPr>
                <w:sz w:val="20"/>
                <w:lang w:val="fr-CA"/>
              </w:rPr>
            </w:pPr>
            <w:r w:rsidRPr="00AF75CE">
              <w:rPr>
                <w:sz w:val="20"/>
                <w:lang w:val="fr-CA"/>
              </w:rPr>
              <w:t>Dépôt de la requête en prorogation du délai de signification et de dépôt de la demande d’autorisation d’appel et de la demande d’autorisation d’appel</w:t>
            </w:r>
          </w:p>
        </w:tc>
      </w:tr>
    </w:tbl>
    <w:p w:rsidR="00B124FF" w:rsidRPr="00E825BB" w:rsidRDefault="00B124FF" w:rsidP="00B124FF">
      <w:pPr>
        <w:jc w:val="both"/>
        <w:rPr>
          <w:sz w:val="20"/>
          <w:szCs w:val="20"/>
          <w:lang w:val="fr-CA"/>
        </w:rPr>
      </w:pPr>
    </w:p>
    <w:p w:rsidR="00B124FF" w:rsidRPr="00AF75CE" w:rsidRDefault="00A24D5C" w:rsidP="00B124FF">
      <w:pPr>
        <w:jc w:val="both"/>
        <w:rPr>
          <w:sz w:val="20"/>
          <w:lang w:val="fr-CA"/>
        </w:rPr>
      </w:pPr>
      <w:r>
        <w:rPr>
          <w:sz w:val="20"/>
          <w:szCs w:val="20"/>
        </w:rPr>
        <w:pict>
          <v:rect id="_x0000_i1034" style="width:2in;height:1pt" o:hrpct="0" o:hralign="center" o:hrstd="t" o:hrnoshade="t" o:hr="t" fillcolor="black [3213]" stroked="f"/>
        </w:pict>
      </w:r>
    </w:p>
    <w:p w:rsidR="00B124FF" w:rsidRPr="00AF75CE" w:rsidRDefault="00B124FF" w:rsidP="00B124FF">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124FF" w:rsidRPr="00AF75CE" w:rsidTr="005F32B8">
        <w:tc>
          <w:tcPr>
            <w:tcW w:w="543" w:type="pct"/>
          </w:tcPr>
          <w:p w:rsidR="00B124FF" w:rsidRPr="00AF75CE" w:rsidRDefault="00B124FF" w:rsidP="005F32B8">
            <w:pPr>
              <w:jc w:val="both"/>
              <w:rPr>
                <w:sz w:val="20"/>
              </w:rPr>
            </w:pPr>
            <w:r w:rsidRPr="00AF75CE">
              <w:rPr>
                <w:rStyle w:val="SCCFileNumberChar"/>
                <w:sz w:val="20"/>
                <w:szCs w:val="20"/>
              </w:rPr>
              <w:t>38194</w:t>
            </w:r>
          </w:p>
        </w:tc>
        <w:tc>
          <w:tcPr>
            <w:tcW w:w="4457" w:type="pct"/>
            <w:gridSpan w:val="3"/>
          </w:tcPr>
          <w:p w:rsidR="00B124FF" w:rsidRPr="00202CE2" w:rsidRDefault="00B124FF" w:rsidP="005F32B8">
            <w:pPr>
              <w:pStyle w:val="SCCLsocParty"/>
              <w:jc w:val="both"/>
              <w:rPr>
                <w:b/>
                <w:sz w:val="20"/>
                <w:szCs w:val="20"/>
                <w:lang w:val="en-US"/>
              </w:rPr>
            </w:pPr>
            <w:r w:rsidRPr="00202CE2">
              <w:rPr>
                <w:b/>
                <w:sz w:val="20"/>
                <w:szCs w:val="20"/>
                <w:lang w:val="en-US"/>
              </w:rPr>
              <w:t xml:space="preserve">Timothy M. Berscheid v. </w:t>
            </w:r>
            <w:r>
              <w:rPr>
                <w:b/>
                <w:sz w:val="20"/>
                <w:szCs w:val="20"/>
                <w:lang w:val="en-US"/>
              </w:rPr>
              <w:t>Federated Co-operatives Limited and</w:t>
            </w:r>
            <w:r w:rsidRPr="00202CE2">
              <w:rPr>
                <w:b/>
                <w:sz w:val="20"/>
                <w:szCs w:val="20"/>
                <w:lang w:val="en-US"/>
              </w:rPr>
              <w:t xml:space="preserve"> Swan Valley Consumers Cooperative Limited</w:t>
            </w:r>
          </w:p>
          <w:p w:rsidR="00B124FF" w:rsidRPr="00AF75CE" w:rsidRDefault="00B124FF" w:rsidP="005F32B8">
            <w:pPr>
              <w:jc w:val="both"/>
              <w:rPr>
                <w:sz w:val="20"/>
              </w:rPr>
            </w:pPr>
            <w:r w:rsidRPr="00AF75CE">
              <w:rPr>
                <w:sz w:val="20"/>
              </w:rPr>
              <w:t>(Man.) (Civil) (By Leave)</w:t>
            </w:r>
          </w:p>
        </w:tc>
      </w:tr>
      <w:tr w:rsidR="00B124FF" w:rsidRPr="00AF75CE" w:rsidTr="005F32B8">
        <w:tc>
          <w:tcPr>
            <w:tcW w:w="5000" w:type="pct"/>
            <w:gridSpan w:val="4"/>
          </w:tcPr>
          <w:p w:rsidR="00B124FF" w:rsidRDefault="00B124FF" w:rsidP="005F32B8">
            <w:pPr>
              <w:jc w:val="both"/>
              <w:rPr>
                <w:sz w:val="20"/>
              </w:rPr>
            </w:pPr>
            <w:r w:rsidRPr="00C97F67">
              <w:rPr>
                <w:sz w:val="20"/>
              </w:rPr>
              <w:t>The motion for an extension of time to serve and file the application for leave to appeal is granted. The application for leave to appeal from the judgment of the Court of Appeal of Manitoba, Number AI17-30-08759, 2018 MBCA 27, dated March 19, 2018, is dismissed with no order as to costs.</w:t>
            </w:r>
          </w:p>
          <w:p w:rsidR="00B124FF" w:rsidRPr="00AF75CE" w:rsidRDefault="00B124FF" w:rsidP="005F32B8">
            <w:pPr>
              <w:jc w:val="both"/>
              <w:rPr>
                <w:sz w:val="20"/>
              </w:rPr>
            </w:pPr>
          </w:p>
        </w:tc>
      </w:tr>
      <w:tr w:rsidR="00B124FF" w:rsidRPr="00AF75CE" w:rsidTr="005F32B8">
        <w:tc>
          <w:tcPr>
            <w:tcW w:w="5000" w:type="pct"/>
            <w:gridSpan w:val="4"/>
          </w:tcPr>
          <w:p w:rsidR="00B124FF" w:rsidRPr="00AF75CE" w:rsidRDefault="00B124FF" w:rsidP="005F32B8">
            <w:pPr>
              <w:jc w:val="both"/>
              <w:rPr>
                <w:sz w:val="20"/>
              </w:rPr>
            </w:pPr>
            <w:r w:rsidRPr="00AF75CE">
              <w:rPr>
                <w:sz w:val="20"/>
              </w:rPr>
              <w:t>Judgments and orders – Summary judgment – Whether Court of Appeal erred in application of test for causation – Whether Court of Appeal erred in application of test for summary judgment.</w:t>
            </w:r>
          </w:p>
          <w:p w:rsidR="00B124FF" w:rsidRPr="00AF75CE" w:rsidRDefault="00B124FF" w:rsidP="005F32B8">
            <w:pPr>
              <w:jc w:val="both"/>
              <w:rPr>
                <w:sz w:val="20"/>
              </w:rPr>
            </w:pPr>
          </w:p>
        </w:tc>
      </w:tr>
      <w:tr w:rsidR="00B124FF" w:rsidRPr="00AF75CE" w:rsidTr="005F32B8">
        <w:tc>
          <w:tcPr>
            <w:tcW w:w="5000" w:type="pct"/>
            <w:gridSpan w:val="4"/>
          </w:tcPr>
          <w:p w:rsidR="00B124FF" w:rsidRPr="00AF75CE" w:rsidRDefault="00B124FF" w:rsidP="005F32B8">
            <w:pPr>
              <w:jc w:val="both"/>
              <w:rPr>
                <w:sz w:val="20"/>
              </w:rPr>
            </w:pPr>
            <w:r w:rsidRPr="00AF75CE">
              <w:rPr>
                <w:sz w:val="20"/>
                <w:lang w:val="en"/>
              </w:rPr>
              <w:t>Mr. Berscheid is a farmer who has a cattle operation in northern Manitoba. He bought a mineral supplement for his cattle that was manufactured by Federated Co-operatives Limited and sold to him through Swan Valley Consumers Co-operative Limited, a local retail cooperative, between approximately March 2009 and February 2011. In early 2012, Mr. Berscheid stopped feeding his cattle the supplements as they were defective and not manufactured according to his specifications. He maintained that the defective supplements had a significant negative impact on his cattle herd and brought an action against the respondents claiming damages. He brought a motion for summary judgment. The respondents’ position was that, while they admitted liability, there was a genuine issue for trial as to the extent and quantum of damages sought. They also submitted that they required further disclosure and production of information in order to properly evaluate and assess the claim for damages. The motion judge dismissed the motion for summary judgment and ordered Mr. Berscheid to produce the records requested. His subsequent appeal from this order was dismissed.</w:t>
            </w:r>
          </w:p>
        </w:tc>
      </w:tr>
      <w:tr w:rsidR="00B124FF" w:rsidRPr="00AF75CE" w:rsidTr="005F32B8">
        <w:tc>
          <w:tcPr>
            <w:tcW w:w="5000" w:type="pct"/>
            <w:gridSpan w:val="4"/>
          </w:tcPr>
          <w:p w:rsidR="00B124FF" w:rsidRPr="00AF75CE" w:rsidRDefault="00B124FF" w:rsidP="005F32B8">
            <w:pPr>
              <w:jc w:val="both"/>
              <w:rPr>
                <w:sz w:val="20"/>
              </w:rPr>
            </w:pPr>
          </w:p>
        </w:tc>
      </w:tr>
      <w:tr w:rsidR="00B124FF" w:rsidRPr="00AF75CE" w:rsidTr="005F32B8">
        <w:tc>
          <w:tcPr>
            <w:tcW w:w="2427" w:type="pct"/>
            <w:gridSpan w:val="2"/>
          </w:tcPr>
          <w:p w:rsidR="00B124FF" w:rsidRPr="00AF75CE" w:rsidRDefault="00B124FF" w:rsidP="005F32B8">
            <w:pPr>
              <w:jc w:val="both"/>
              <w:rPr>
                <w:sz w:val="20"/>
              </w:rPr>
            </w:pPr>
            <w:r w:rsidRPr="00AF75CE">
              <w:rPr>
                <w:sz w:val="20"/>
              </w:rPr>
              <w:t>February 1, 2017</w:t>
            </w:r>
          </w:p>
          <w:p w:rsidR="00B124FF" w:rsidRPr="00AF75CE" w:rsidRDefault="00B124FF" w:rsidP="005F32B8">
            <w:pPr>
              <w:jc w:val="both"/>
              <w:rPr>
                <w:sz w:val="20"/>
              </w:rPr>
            </w:pPr>
            <w:r w:rsidRPr="00AF75CE">
              <w:rPr>
                <w:sz w:val="20"/>
              </w:rPr>
              <w:t>Court of Queen’s Bench of Manitoba</w:t>
            </w:r>
          </w:p>
          <w:p w:rsidR="00B124FF" w:rsidRPr="00AF75CE" w:rsidRDefault="00B124FF" w:rsidP="005F32B8">
            <w:pPr>
              <w:jc w:val="both"/>
              <w:rPr>
                <w:sz w:val="20"/>
              </w:rPr>
            </w:pPr>
            <w:r w:rsidRPr="00AF75CE">
              <w:rPr>
                <w:sz w:val="20"/>
              </w:rPr>
              <w:t>(Rempel J.)</w:t>
            </w:r>
          </w:p>
          <w:p w:rsidR="00B124FF" w:rsidRPr="00AF75CE" w:rsidRDefault="00A24D5C" w:rsidP="005F32B8">
            <w:pPr>
              <w:jc w:val="both"/>
              <w:rPr>
                <w:sz w:val="20"/>
              </w:rPr>
            </w:pPr>
            <w:hyperlink r:id="rId25" w:history="1">
              <w:r w:rsidR="00B124FF" w:rsidRPr="00AF75CE">
                <w:rPr>
                  <w:rStyle w:val="Hyperlink"/>
                  <w:sz w:val="20"/>
                </w:rPr>
                <w:t>2017 MBQB 25</w:t>
              </w:r>
            </w:hyperlink>
          </w:p>
          <w:p w:rsidR="00B124FF" w:rsidRPr="00AF75CE" w:rsidRDefault="00B124FF" w:rsidP="005F32B8">
            <w:pPr>
              <w:jc w:val="both"/>
              <w:rPr>
                <w:sz w:val="20"/>
              </w:rPr>
            </w:pPr>
          </w:p>
        </w:tc>
        <w:tc>
          <w:tcPr>
            <w:tcW w:w="243" w:type="pct"/>
          </w:tcPr>
          <w:p w:rsidR="00B124FF" w:rsidRPr="00AF75CE" w:rsidRDefault="00B124FF" w:rsidP="005F32B8">
            <w:pPr>
              <w:jc w:val="both"/>
              <w:rPr>
                <w:sz w:val="20"/>
              </w:rPr>
            </w:pPr>
          </w:p>
        </w:tc>
        <w:tc>
          <w:tcPr>
            <w:tcW w:w="2330" w:type="pct"/>
          </w:tcPr>
          <w:p w:rsidR="00B124FF" w:rsidRPr="00AF75CE" w:rsidRDefault="00B124FF" w:rsidP="005F32B8">
            <w:pPr>
              <w:jc w:val="both"/>
              <w:rPr>
                <w:sz w:val="20"/>
              </w:rPr>
            </w:pPr>
            <w:r w:rsidRPr="00AF75CE">
              <w:rPr>
                <w:sz w:val="20"/>
              </w:rPr>
              <w:t>Applicant’s motion for summary judgment dismissed</w:t>
            </w:r>
          </w:p>
          <w:p w:rsidR="00B124FF" w:rsidRPr="00AF75CE" w:rsidRDefault="00B124FF" w:rsidP="005F32B8">
            <w:pPr>
              <w:jc w:val="both"/>
              <w:rPr>
                <w:sz w:val="20"/>
              </w:rPr>
            </w:pPr>
          </w:p>
          <w:p w:rsidR="00B124FF" w:rsidRPr="00AF75CE" w:rsidRDefault="00B124FF" w:rsidP="005F32B8">
            <w:pPr>
              <w:jc w:val="both"/>
              <w:rPr>
                <w:sz w:val="20"/>
              </w:rPr>
            </w:pPr>
          </w:p>
        </w:tc>
      </w:tr>
      <w:tr w:rsidR="00B124FF" w:rsidRPr="00AF75CE" w:rsidTr="005F32B8">
        <w:tc>
          <w:tcPr>
            <w:tcW w:w="2427" w:type="pct"/>
            <w:gridSpan w:val="2"/>
          </w:tcPr>
          <w:p w:rsidR="00B124FF" w:rsidRPr="00AF75CE" w:rsidRDefault="00B124FF" w:rsidP="005F32B8">
            <w:pPr>
              <w:jc w:val="both"/>
              <w:rPr>
                <w:sz w:val="20"/>
              </w:rPr>
            </w:pPr>
            <w:r w:rsidRPr="00AF75CE">
              <w:rPr>
                <w:sz w:val="20"/>
              </w:rPr>
              <w:t>March 19, 2018</w:t>
            </w:r>
          </w:p>
          <w:p w:rsidR="00B124FF" w:rsidRPr="00AF75CE" w:rsidRDefault="00B124FF" w:rsidP="005F32B8">
            <w:pPr>
              <w:jc w:val="both"/>
              <w:rPr>
                <w:sz w:val="20"/>
              </w:rPr>
            </w:pPr>
            <w:r w:rsidRPr="00AF75CE">
              <w:rPr>
                <w:sz w:val="20"/>
              </w:rPr>
              <w:t>Court of Appeal of Manitoba</w:t>
            </w:r>
          </w:p>
          <w:p w:rsidR="00B124FF" w:rsidRPr="00AF75CE" w:rsidRDefault="00B124FF" w:rsidP="005F32B8">
            <w:pPr>
              <w:jc w:val="both"/>
              <w:rPr>
                <w:sz w:val="20"/>
              </w:rPr>
            </w:pPr>
            <w:r w:rsidRPr="00AF75CE">
              <w:rPr>
                <w:sz w:val="20"/>
              </w:rPr>
              <w:t>(Monnin, Steel and Cameron JJ.A.)</w:t>
            </w:r>
          </w:p>
          <w:p w:rsidR="00B124FF" w:rsidRPr="00AF75CE" w:rsidRDefault="00A24D5C" w:rsidP="005F32B8">
            <w:pPr>
              <w:jc w:val="both"/>
              <w:rPr>
                <w:sz w:val="20"/>
              </w:rPr>
            </w:pPr>
            <w:hyperlink r:id="rId26" w:history="1">
              <w:r w:rsidR="00B124FF" w:rsidRPr="00AF75CE">
                <w:rPr>
                  <w:rStyle w:val="Hyperlink"/>
                  <w:sz w:val="20"/>
                </w:rPr>
                <w:t>2018 MBCA 27</w:t>
              </w:r>
            </w:hyperlink>
          </w:p>
          <w:p w:rsidR="00B124FF" w:rsidRPr="00AF75CE" w:rsidRDefault="00B124FF" w:rsidP="005F32B8">
            <w:pPr>
              <w:jc w:val="both"/>
              <w:rPr>
                <w:sz w:val="20"/>
              </w:rPr>
            </w:pPr>
          </w:p>
        </w:tc>
        <w:tc>
          <w:tcPr>
            <w:tcW w:w="243" w:type="pct"/>
          </w:tcPr>
          <w:p w:rsidR="00B124FF" w:rsidRPr="00AF75CE" w:rsidRDefault="00B124FF" w:rsidP="005F32B8">
            <w:pPr>
              <w:jc w:val="both"/>
              <w:rPr>
                <w:sz w:val="20"/>
              </w:rPr>
            </w:pPr>
          </w:p>
        </w:tc>
        <w:tc>
          <w:tcPr>
            <w:tcW w:w="2330" w:type="pct"/>
          </w:tcPr>
          <w:p w:rsidR="00B124FF" w:rsidRPr="00AF75CE" w:rsidRDefault="00B124FF" w:rsidP="005F32B8">
            <w:pPr>
              <w:jc w:val="both"/>
              <w:rPr>
                <w:sz w:val="20"/>
              </w:rPr>
            </w:pPr>
            <w:r w:rsidRPr="00AF75CE">
              <w:rPr>
                <w:sz w:val="20"/>
              </w:rPr>
              <w:t>Applicant’s appeal dismissed</w:t>
            </w:r>
          </w:p>
          <w:p w:rsidR="00B124FF" w:rsidRPr="00AF75CE" w:rsidRDefault="00B124FF" w:rsidP="005F32B8">
            <w:pPr>
              <w:jc w:val="both"/>
              <w:rPr>
                <w:sz w:val="20"/>
              </w:rPr>
            </w:pPr>
          </w:p>
        </w:tc>
      </w:tr>
      <w:tr w:rsidR="00B124FF" w:rsidRPr="00AF75CE" w:rsidTr="005F32B8">
        <w:tc>
          <w:tcPr>
            <w:tcW w:w="2427" w:type="pct"/>
            <w:gridSpan w:val="2"/>
          </w:tcPr>
          <w:p w:rsidR="00B124FF" w:rsidRPr="00AF75CE" w:rsidRDefault="00B124FF" w:rsidP="005F32B8">
            <w:pPr>
              <w:jc w:val="both"/>
              <w:rPr>
                <w:sz w:val="20"/>
              </w:rPr>
            </w:pPr>
            <w:r w:rsidRPr="00AF75CE">
              <w:rPr>
                <w:sz w:val="20"/>
              </w:rPr>
              <w:t>June 22, 2018</w:t>
            </w:r>
          </w:p>
          <w:p w:rsidR="00B124FF" w:rsidRPr="00AF75CE" w:rsidRDefault="00B124FF" w:rsidP="005F32B8">
            <w:pPr>
              <w:jc w:val="both"/>
              <w:rPr>
                <w:sz w:val="20"/>
              </w:rPr>
            </w:pPr>
            <w:r w:rsidRPr="00AF75CE">
              <w:rPr>
                <w:sz w:val="20"/>
              </w:rPr>
              <w:t>Supreme Court of Canada</w:t>
            </w:r>
          </w:p>
        </w:tc>
        <w:tc>
          <w:tcPr>
            <w:tcW w:w="243" w:type="pct"/>
          </w:tcPr>
          <w:p w:rsidR="00B124FF" w:rsidRPr="00AF75CE" w:rsidRDefault="00B124FF" w:rsidP="005F32B8">
            <w:pPr>
              <w:jc w:val="both"/>
              <w:rPr>
                <w:sz w:val="20"/>
              </w:rPr>
            </w:pPr>
          </w:p>
        </w:tc>
        <w:tc>
          <w:tcPr>
            <w:tcW w:w="2330" w:type="pct"/>
          </w:tcPr>
          <w:p w:rsidR="00B124FF" w:rsidRPr="00AF75CE" w:rsidRDefault="00B124FF" w:rsidP="005F32B8">
            <w:pPr>
              <w:jc w:val="both"/>
              <w:rPr>
                <w:sz w:val="20"/>
              </w:rPr>
            </w:pPr>
            <w:r w:rsidRPr="00AF75CE">
              <w:rPr>
                <w:sz w:val="20"/>
              </w:rPr>
              <w:t>Application for leave to appeal filed</w:t>
            </w:r>
          </w:p>
          <w:p w:rsidR="00B124FF" w:rsidRPr="00AF75CE" w:rsidRDefault="00B124FF" w:rsidP="005F32B8">
            <w:pPr>
              <w:jc w:val="both"/>
              <w:rPr>
                <w:sz w:val="20"/>
              </w:rPr>
            </w:pPr>
          </w:p>
        </w:tc>
      </w:tr>
    </w:tbl>
    <w:p w:rsidR="00B124FF" w:rsidRDefault="00B124FF" w:rsidP="00B124FF">
      <w:pPr>
        <w:jc w:val="both"/>
        <w:rPr>
          <w:sz w:val="20"/>
        </w:rPr>
      </w:pPr>
    </w:p>
    <w:p w:rsidR="00B124FF" w:rsidRPr="00AF75CE" w:rsidRDefault="00B124FF" w:rsidP="00B124F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124FF" w:rsidRPr="00AF75CE" w:rsidTr="005F32B8">
        <w:tc>
          <w:tcPr>
            <w:tcW w:w="543" w:type="pct"/>
          </w:tcPr>
          <w:p w:rsidR="00B124FF" w:rsidRPr="00AF75CE" w:rsidRDefault="00B124FF" w:rsidP="005F32B8">
            <w:pPr>
              <w:jc w:val="both"/>
              <w:rPr>
                <w:sz w:val="20"/>
                <w:lang w:val="fr-CA"/>
              </w:rPr>
            </w:pPr>
            <w:r w:rsidRPr="00AF75CE">
              <w:rPr>
                <w:rStyle w:val="SCCFileNumberChar"/>
                <w:sz w:val="20"/>
                <w:szCs w:val="20"/>
                <w:lang w:val="fr-CA"/>
              </w:rPr>
              <w:lastRenderedPageBreak/>
              <w:t>38194</w:t>
            </w:r>
          </w:p>
        </w:tc>
        <w:tc>
          <w:tcPr>
            <w:tcW w:w="4457" w:type="pct"/>
            <w:gridSpan w:val="3"/>
          </w:tcPr>
          <w:p w:rsidR="00B124FF" w:rsidRPr="00202CE2" w:rsidRDefault="00B124FF" w:rsidP="005F32B8">
            <w:pPr>
              <w:pStyle w:val="SCCLsocParty"/>
              <w:jc w:val="both"/>
              <w:rPr>
                <w:b/>
                <w:sz w:val="20"/>
                <w:szCs w:val="20"/>
                <w:lang w:val="en-US"/>
              </w:rPr>
            </w:pPr>
            <w:r w:rsidRPr="00202CE2">
              <w:rPr>
                <w:b/>
                <w:sz w:val="20"/>
                <w:szCs w:val="20"/>
                <w:lang w:val="en-US"/>
              </w:rPr>
              <w:t xml:space="preserve">Timothy M. Berscheid c. </w:t>
            </w:r>
            <w:r>
              <w:rPr>
                <w:b/>
                <w:sz w:val="20"/>
                <w:szCs w:val="20"/>
                <w:lang w:val="en-US"/>
              </w:rPr>
              <w:t>Federated Co-operatives Limited et</w:t>
            </w:r>
            <w:r w:rsidRPr="00202CE2">
              <w:rPr>
                <w:b/>
                <w:sz w:val="20"/>
                <w:szCs w:val="20"/>
                <w:lang w:val="en-US"/>
              </w:rPr>
              <w:t xml:space="preserve"> Swan Valley Consumers Cooperative Limited</w:t>
            </w:r>
          </w:p>
          <w:p w:rsidR="00B124FF" w:rsidRPr="00C43922" w:rsidRDefault="00B124FF" w:rsidP="005F32B8">
            <w:pPr>
              <w:jc w:val="both"/>
              <w:rPr>
                <w:sz w:val="20"/>
              </w:rPr>
            </w:pPr>
            <w:r w:rsidRPr="00C43922">
              <w:rPr>
                <w:sz w:val="20"/>
              </w:rPr>
              <w:t>(Man.) (Civile) (Autorisation)</w:t>
            </w:r>
          </w:p>
        </w:tc>
      </w:tr>
      <w:tr w:rsidR="00B124FF" w:rsidRPr="00CC0B55" w:rsidTr="005F32B8">
        <w:tc>
          <w:tcPr>
            <w:tcW w:w="5000" w:type="pct"/>
            <w:gridSpan w:val="4"/>
          </w:tcPr>
          <w:p w:rsidR="00B124FF" w:rsidRDefault="00B124FF" w:rsidP="005F32B8">
            <w:pPr>
              <w:jc w:val="both"/>
              <w:rPr>
                <w:sz w:val="20"/>
                <w:lang w:val="fr-CA"/>
              </w:rPr>
            </w:pPr>
            <w:r w:rsidRPr="00C97F67">
              <w:rPr>
                <w:sz w:val="20"/>
                <w:lang w:val="fr-CA"/>
              </w:rPr>
              <w:t>La requête en prorogation du délai de signification et de dépôt de la demande d’autorisation d’appel est accueillie. La demande d’autorisation d’appel de l’arrêt de la Cour d’appel du Manitoba, numéro AI17-30-08759, 2018 MBCA 27, daté du 19 mars 2018, est rejetée sans ordonnance quant aux dépens.</w:t>
            </w:r>
          </w:p>
          <w:p w:rsidR="00B124FF" w:rsidRPr="00AF75CE" w:rsidRDefault="00B124FF" w:rsidP="005F32B8">
            <w:pPr>
              <w:jc w:val="both"/>
              <w:rPr>
                <w:sz w:val="20"/>
                <w:lang w:val="fr-CA"/>
              </w:rPr>
            </w:pPr>
          </w:p>
        </w:tc>
      </w:tr>
      <w:tr w:rsidR="00B124FF" w:rsidRPr="00CC0B55" w:rsidTr="005F32B8">
        <w:tc>
          <w:tcPr>
            <w:tcW w:w="5000" w:type="pct"/>
            <w:gridSpan w:val="4"/>
          </w:tcPr>
          <w:p w:rsidR="00B124FF" w:rsidRPr="00AF75CE" w:rsidRDefault="00B124FF" w:rsidP="005F32B8">
            <w:pPr>
              <w:jc w:val="both"/>
              <w:rPr>
                <w:sz w:val="20"/>
                <w:lang w:val="fr-CA"/>
              </w:rPr>
            </w:pPr>
            <w:r w:rsidRPr="00AF75CE">
              <w:rPr>
                <w:sz w:val="20"/>
                <w:lang w:val="fr-CA"/>
              </w:rPr>
              <w:t>Jugements et ordonnances – Jugement sommaire – La Cour d’appel a-t-elle commis une erreur dans l’application du critère en matière de lien de causalité? – La Cour d’appel a-t-elle commis une erreur dans l’application du critère en matière de jugement sommaire?</w:t>
            </w:r>
          </w:p>
          <w:p w:rsidR="00B124FF" w:rsidRPr="00AF75CE" w:rsidRDefault="00B124FF" w:rsidP="005F32B8">
            <w:pPr>
              <w:jc w:val="both"/>
              <w:rPr>
                <w:sz w:val="20"/>
                <w:lang w:val="fr-CA"/>
              </w:rPr>
            </w:pPr>
          </w:p>
        </w:tc>
      </w:tr>
      <w:tr w:rsidR="00B124FF" w:rsidRPr="00AF75CE" w:rsidTr="005F32B8">
        <w:tc>
          <w:tcPr>
            <w:tcW w:w="5000" w:type="pct"/>
            <w:gridSpan w:val="4"/>
          </w:tcPr>
          <w:p w:rsidR="00B124FF" w:rsidRPr="00AF75CE" w:rsidRDefault="00B124FF" w:rsidP="005F32B8">
            <w:pPr>
              <w:jc w:val="both"/>
              <w:rPr>
                <w:sz w:val="20"/>
                <w:lang w:val="fr-CA"/>
              </w:rPr>
            </w:pPr>
            <w:r w:rsidRPr="00AF75CE">
              <w:rPr>
                <w:sz w:val="20"/>
                <w:lang w:val="fr-CA"/>
              </w:rPr>
              <w:t>Monsieur Berscheid est un agriculteur qui fait l’élevage de bovins dans le nord du Manitoba. Il a acheté un supplément minéral pour ses bovins qui a été fabriqué par Federated Co-operatives Limited et qui lui a été vendu par l’entremise de Swan Valley Consumers Co-operative Limited, une coopérative de détail locale, entre mars 2009 et février 2011 environ. Au début de 2012, M. Berscheid a cessé de nourrir ses bovins avec les suppléments, puisqu’ils étaient défectueux et n’avaient pas été fabriqués selon ses spécifications. Il a soutenu que les suppléments défectueux avaient eu une incidence négative importante sur son troupeau de bovins et il a intenté une action en dommages-intérêts contre les intimées. Il a présenté une motion de jugement sommaire. Les intimées ont fait valoir que, même si elles admettaient leur responsabilité, la demande soulevait une question qui justifiait la tenue d’un procès quant à l’étendue et au montant des dommages-intérêts demandés. Elles ont en outre prétendu qu’elles avaient besoin qu’on leur communique des renseignements supplémentaires afin qu’elles puissent évaluer et apprécier correctement la demande de dommages-intérêts. Le juge de première instance a rejeté la motion de jugement sommaire et a ordonné à M. Berscheid de produire les documents demandés. Son appel de cette ordonnance a été rejeté.</w:t>
            </w:r>
          </w:p>
        </w:tc>
      </w:tr>
      <w:tr w:rsidR="00B124FF" w:rsidRPr="00AF75CE" w:rsidTr="005F32B8">
        <w:tc>
          <w:tcPr>
            <w:tcW w:w="5000" w:type="pct"/>
            <w:gridSpan w:val="4"/>
          </w:tcPr>
          <w:p w:rsidR="00B124FF" w:rsidRPr="00AF75CE" w:rsidRDefault="00B124FF" w:rsidP="005F32B8">
            <w:pPr>
              <w:jc w:val="both"/>
              <w:rPr>
                <w:sz w:val="20"/>
                <w:lang w:val="fr-CA"/>
              </w:rPr>
            </w:pPr>
          </w:p>
        </w:tc>
      </w:tr>
      <w:tr w:rsidR="00B124FF" w:rsidRPr="00CC0B55" w:rsidTr="005F32B8">
        <w:tc>
          <w:tcPr>
            <w:tcW w:w="2427" w:type="pct"/>
            <w:gridSpan w:val="2"/>
          </w:tcPr>
          <w:p w:rsidR="00B124FF" w:rsidRPr="00AF75CE" w:rsidRDefault="00B124FF" w:rsidP="005F32B8">
            <w:pPr>
              <w:jc w:val="both"/>
              <w:rPr>
                <w:sz w:val="20"/>
                <w:lang w:val="fr-CA"/>
              </w:rPr>
            </w:pPr>
            <w:r w:rsidRPr="00AF75CE">
              <w:rPr>
                <w:sz w:val="20"/>
                <w:lang w:val="fr-CA"/>
              </w:rPr>
              <w:t>1</w:t>
            </w:r>
            <w:r w:rsidRPr="00AF75CE">
              <w:rPr>
                <w:sz w:val="20"/>
                <w:vertAlign w:val="superscript"/>
                <w:lang w:val="fr-CA"/>
              </w:rPr>
              <w:t>er</w:t>
            </w:r>
            <w:r w:rsidRPr="00AF75CE">
              <w:rPr>
                <w:sz w:val="20"/>
                <w:lang w:val="fr-CA"/>
              </w:rPr>
              <w:t xml:space="preserve"> février 2017</w:t>
            </w:r>
          </w:p>
          <w:p w:rsidR="00B124FF" w:rsidRPr="00AF75CE" w:rsidRDefault="00B124FF" w:rsidP="005F32B8">
            <w:pPr>
              <w:jc w:val="both"/>
              <w:rPr>
                <w:sz w:val="20"/>
                <w:lang w:val="fr-CA"/>
              </w:rPr>
            </w:pPr>
            <w:r w:rsidRPr="00AF75CE">
              <w:rPr>
                <w:sz w:val="20"/>
                <w:lang w:val="fr-CA"/>
              </w:rPr>
              <w:t>Cour du Banc de la Reine du Manitoba</w:t>
            </w:r>
          </w:p>
          <w:p w:rsidR="00B124FF" w:rsidRPr="00AF75CE" w:rsidRDefault="00B124FF" w:rsidP="005F32B8">
            <w:pPr>
              <w:jc w:val="both"/>
              <w:rPr>
                <w:sz w:val="20"/>
                <w:lang w:val="fr-CA"/>
              </w:rPr>
            </w:pPr>
            <w:r w:rsidRPr="00AF75CE">
              <w:rPr>
                <w:sz w:val="20"/>
                <w:lang w:val="fr-CA"/>
              </w:rPr>
              <w:t>(Juge Rempel)</w:t>
            </w:r>
          </w:p>
          <w:p w:rsidR="00B124FF" w:rsidRPr="00AF75CE" w:rsidRDefault="00A24D5C" w:rsidP="005F32B8">
            <w:pPr>
              <w:jc w:val="both"/>
              <w:rPr>
                <w:sz w:val="20"/>
                <w:lang w:val="fr-CA"/>
              </w:rPr>
            </w:pPr>
            <w:hyperlink r:id="rId27" w:history="1">
              <w:r w:rsidR="00B124FF" w:rsidRPr="00AF75CE">
                <w:rPr>
                  <w:rStyle w:val="Hyperlink"/>
                  <w:sz w:val="20"/>
                  <w:lang w:val="fr-CA"/>
                </w:rPr>
                <w:t>2017 MBQB 25</w:t>
              </w:r>
            </w:hyperlink>
          </w:p>
          <w:p w:rsidR="00B124FF" w:rsidRPr="00AF75CE" w:rsidRDefault="00B124FF" w:rsidP="005F32B8">
            <w:pPr>
              <w:jc w:val="both"/>
              <w:rPr>
                <w:sz w:val="20"/>
                <w:lang w:val="fr-CA"/>
              </w:rPr>
            </w:pPr>
          </w:p>
        </w:tc>
        <w:tc>
          <w:tcPr>
            <w:tcW w:w="243" w:type="pct"/>
          </w:tcPr>
          <w:p w:rsidR="00B124FF" w:rsidRPr="00AF75CE" w:rsidRDefault="00B124FF" w:rsidP="005F32B8">
            <w:pPr>
              <w:jc w:val="both"/>
              <w:rPr>
                <w:sz w:val="20"/>
                <w:lang w:val="fr-CA"/>
              </w:rPr>
            </w:pPr>
          </w:p>
        </w:tc>
        <w:tc>
          <w:tcPr>
            <w:tcW w:w="2330" w:type="pct"/>
          </w:tcPr>
          <w:p w:rsidR="00B124FF" w:rsidRPr="00AF75CE" w:rsidRDefault="00B124FF" w:rsidP="005F32B8">
            <w:pPr>
              <w:jc w:val="both"/>
              <w:rPr>
                <w:sz w:val="20"/>
                <w:lang w:val="fr-CA"/>
              </w:rPr>
            </w:pPr>
            <w:r w:rsidRPr="00AF75CE">
              <w:rPr>
                <w:sz w:val="20"/>
                <w:lang w:val="fr-CA"/>
              </w:rPr>
              <w:t>Rejet de la requête de jugement sommaire du demandeur</w:t>
            </w:r>
          </w:p>
          <w:p w:rsidR="00B124FF" w:rsidRPr="00AF75CE" w:rsidRDefault="00B124FF" w:rsidP="005F32B8">
            <w:pPr>
              <w:jc w:val="both"/>
              <w:rPr>
                <w:sz w:val="20"/>
                <w:lang w:val="fr-CA"/>
              </w:rPr>
            </w:pPr>
          </w:p>
          <w:p w:rsidR="00B124FF" w:rsidRPr="00AF75CE" w:rsidRDefault="00B124FF" w:rsidP="005F32B8">
            <w:pPr>
              <w:jc w:val="both"/>
              <w:rPr>
                <w:sz w:val="20"/>
                <w:lang w:val="fr-CA"/>
              </w:rPr>
            </w:pPr>
          </w:p>
        </w:tc>
      </w:tr>
      <w:tr w:rsidR="00B124FF" w:rsidRPr="00AF75CE" w:rsidTr="005F32B8">
        <w:tc>
          <w:tcPr>
            <w:tcW w:w="2427" w:type="pct"/>
            <w:gridSpan w:val="2"/>
          </w:tcPr>
          <w:p w:rsidR="00B124FF" w:rsidRPr="00AF75CE" w:rsidRDefault="00B124FF" w:rsidP="005F32B8">
            <w:pPr>
              <w:jc w:val="both"/>
              <w:rPr>
                <w:sz w:val="20"/>
                <w:lang w:val="fr-CA"/>
              </w:rPr>
            </w:pPr>
            <w:r w:rsidRPr="00AF75CE">
              <w:rPr>
                <w:sz w:val="20"/>
                <w:lang w:val="fr-CA"/>
              </w:rPr>
              <w:t>19 mars 2018</w:t>
            </w:r>
          </w:p>
          <w:p w:rsidR="00B124FF" w:rsidRPr="00AF75CE" w:rsidRDefault="00B124FF" w:rsidP="005F32B8">
            <w:pPr>
              <w:jc w:val="both"/>
              <w:rPr>
                <w:sz w:val="20"/>
                <w:lang w:val="fr-CA"/>
              </w:rPr>
            </w:pPr>
            <w:r w:rsidRPr="00AF75CE">
              <w:rPr>
                <w:sz w:val="20"/>
                <w:lang w:val="fr-CA"/>
              </w:rPr>
              <w:t>Cour d’appel du Manitoba</w:t>
            </w:r>
          </w:p>
          <w:p w:rsidR="00B124FF" w:rsidRPr="00AF75CE" w:rsidRDefault="00B124FF" w:rsidP="005F32B8">
            <w:pPr>
              <w:jc w:val="both"/>
              <w:rPr>
                <w:sz w:val="20"/>
                <w:lang w:val="fr-CA"/>
              </w:rPr>
            </w:pPr>
            <w:r w:rsidRPr="00AF75CE">
              <w:rPr>
                <w:sz w:val="20"/>
                <w:lang w:val="fr-CA"/>
              </w:rPr>
              <w:t>(Juges Monnin, Steel et Cameron)</w:t>
            </w:r>
          </w:p>
          <w:p w:rsidR="00B124FF" w:rsidRPr="00AF75CE" w:rsidRDefault="00A24D5C" w:rsidP="005F32B8">
            <w:pPr>
              <w:jc w:val="both"/>
              <w:rPr>
                <w:sz w:val="20"/>
                <w:lang w:val="fr-CA"/>
              </w:rPr>
            </w:pPr>
            <w:hyperlink r:id="rId28" w:history="1">
              <w:r w:rsidR="00B124FF" w:rsidRPr="00AF75CE">
                <w:rPr>
                  <w:rStyle w:val="Hyperlink"/>
                  <w:sz w:val="20"/>
                  <w:lang w:val="fr-CA"/>
                </w:rPr>
                <w:t>2018 MBCA 27</w:t>
              </w:r>
            </w:hyperlink>
          </w:p>
          <w:p w:rsidR="00B124FF" w:rsidRPr="00AF75CE" w:rsidRDefault="00B124FF" w:rsidP="005F32B8">
            <w:pPr>
              <w:jc w:val="both"/>
              <w:rPr>
                <w:sz w:val="20"/>
                <w:lang w:val="fr-CA"/>
              </w:rPr>
            </w:pPr>
          </w:p>
        </w:tc>
        <w:tc>
          <w:tcPr>
            <w:tcW w:w="243" w:type="pct"/>
          </w:tcPr>
          <w:p w:rsidR="00B124FF" w:rsidRPr="00AF75CE" w:rsidRDefault="00B124FF" w:rsidP="005F32B8">
            <w:pPr>
              <w:jc w:val="both"/>
              <w:rPr>
                <w:sz w:val="20"/>
                <w:lang w:val="fr-CA"/>
              </w:rPr>
            </w:pPr>
          </w:p>
        </w:tc>
        <w:tc>
          <w:tcPr>
            <w:tcW w:w="2330" w:type="pct"/>
          </w:tcPr>
          <w:p w:rsidR="00B124FF" w:rsidRPr="00AF75CE" w:rsidRDefault="00B124FF" w:rsidP="005F32B8">
            <w:pPr>
              <w:jc w:val="both"/>
              <w:rPr>
                <w:sz w:val="20"/>
                <w:lang w:val="fr-CA"/>
              </w:rPr>
            </w:pPr>
            <w:r w:rsidRPr="00AF75CE">
              <w:rPr>
                <w:sz w:val="20"/>
                <w:lang w:val="fr-CA"/>
              </w:rPr>
              <w:t>Rejet de l’appel du demandeur</w:t>
            </w:r>
          </w:p>
          <w:p w:rsidR="00B124FF" w:rsidRPr="00AF75CE" w:rsidRDefault="00B124FF" w:rsidP="005F32B8">
            <w:pPr>
              <w:jc w:val="both"/>
              <w:rPr>
                <w:sz w:val="20"/>
                <w:lang w:val="fr-CA"/>
              </w:rPr>
            </w:pPr>
          </w:p>
        </w:tc>
      </w:tr>
      <w:tr w:rsidR="00B124FF" w:rsidRPr="00CC0B55" w:rsidTr="005F32B8">
        <w:tc>
          <w:tcPr>
            <w:tcW w:w="2427" w:type="pct"/>
            <w:gridSpan w:val="2"/>
          </w:tcPr>
          <w:p w:rsidR="00B124FF" w:rsidRPr="00AF75CE" w:rsidRDefault="00B124FF" w:rsidP="005F32B8">
            <w:pPr>
              <w:jc w:val="both"/>
              <w:rPr>
                <w:sz w:val="20"/>
                <w:lang w:val="fr-CA"/>
              </w:rPr>
            </w:pPr>
            <w:r w:rsidRPr="00AF75CE">
              <w:rPr>
                <w:sz w:val="20"/>
                <w:lang w:val="fr-CA"/>
              </w:rPr>
              <w:t>22 juin 2018</w:t>
            </w:r>
          </w:p>
          <w:p w:rsidR="00B124FF" w:rsidRPr="00AF75CE" w:rsidRDefault="00B124FF" w:rsidP="005F32B8">
            <w:pPr>
              <w:jc w:val="both"/>
              <w:rPr>
                <w:sz w:val="20"/>
                <w:lang w:val="fr-CA"/>
              </w:rPr>
            </w:pPr>
            <w:r w:rsidRPr="00AF75CE">
              <w:rPr>
                <w:sz w:val="20"/>
                <w:lang w:val="fr-CA"/>
              </w:rPr>
              <w:t>Cour suprême du Canada</w:t>
            </w:r>
          </w:p>
        </w:tc>
        <w:tc>
          <w:tcPr>
            <w:tcW w:w="243" w:type="pct"/>
          </w:tcPr>
          <w:p w:rsidR="00B124FF" w:rsidRPr="00AF75CE" w:rsidRDefault="00B124FF" w:rsidP="005F32B8">
            <w:pPr>
              <w:jc w:val="both"/>
              <w:rPr>
                <w:sz w:val="20"/>
                <w:lang w:val="fr-CA"/>
              </w:rPr>
            </w:pPr>
          </w:p>
        </w:tc>
        <w:tc>
          <w:tcPr>
            <w:tcW w:w="2330" w:type="pct"/>
          </w:tcPr>
          <w:p w:rsidR="00B124FF" w:rsidRPr="00AF75CE" w:rsidRDefault="00B124FF" w:rsidP="005F32B8">
            <w:pPr>
              <w:jc w:val="both"/>
              <w:rPr>
                <w:sz w:val="20"/>
                <w:lang w:val="fr-CA"/>
              </w:rPr>
            </w:pPr>
            <w:r w:rsidRPr="00AF75CE">
              <w:rPr>
                <w:sz w:val="20"/>
                <w:lang w:val="fr-CA"/>
              </w:rPr>
              <w:t>Dépôt de la demande d’autorisation d’appel</w:t>
            </w:r>
          </w:p>
          <w:p w:rsidR="00B124FF" w:rsidRPr="00AF75CE" w:rsidRDefault="00B124FF" w:rsidP="005F32B8">
            <w:pPr>
              <w:jc w:val="both"/>
              <w:rPr>
                <w:sz w:val="20"/>
                <w:lang w:val="fr-CA"/>
              </w:rPr>
            </w:pPr>
          </w:p>
        </w:tc>
      </w:tr>
    </w:tbl>
    <w:p w:rsidR="00B124FF" w:rsidRDefault="00B124FF" w:rsidP="00B124FF">
      <w:pPr>
        <w:jc w:val="both"/>
        <w:rPr>
          <w:sz w:val="20"/>
          <w:lang w:val="fr-CA"/>
        </w:rPr>
      </w:pPr>
    </w:p>
    <w:p w:rsidR="00B124FF" w:rsidRPr="00AF75CE" w:rsidRDefault="00A24D5C" w:rsidP="00B124FF">
      <w:pPr>
        <w:jc w:val="both"/>
        <w:rPr>
          <w:sz w:val="20"/>
          <w:lang w:val="fr-CA"/>
        </w:rPr>
      </w:pPr>
      <w:r>
        <w:rPr>
          <w:sz w:val="20"/>
          <w:szCs w:val="20"/>
        </w:rPr>
        <w:pict>
          <v:rect id="_x0000_i1035" style="width:2in;height:1pt" o:hrpct="0" o:hralign="center" o:hrstd="t" o:hrnoshade="t" o:hr="t" fillcolor="black [3213]" stroked="f"/>
        </w:pict>
      </w:r>
    </w:p>
    <w:p w:rsidR="00B124FF" w:rsidRPr="00AF75CE" w:rsidRDefault="00B124FF" w:rsidP="00B124FF">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124FF" w:rsidRPr="00AF75CE" w:rsidTr="005F32B8">
        <w:tc>
          <w:tcPr>
            <w:tcW w:w="543" w:type="pct"/>
          </w:tcPr>
          <w:p w:rsidR="00B124FF" w:rsidRPr="00AF75CE" w:rsidRDefault="00B124FF" w:rsidP="005F32B8">
            <w:pPr>
              <w:jc w:val="both"/>
              <w:rPr>
                <w:sz w:val="20"/>
              </w:rPr>
            </w:pPr>
            <w:r w:rsidRPr="00AF75CE">
              <w:rPr>
                <w:rStyle w:val="SCCFileNumberChar"/>
                <w:sz w:val="20"/>
                <w:szCs w:val="20"/>
              </w:rPr>
              <w:t>38241</w:t>
            </w:r>
          </w:p>
        </w:tc>
        <w:tc>
          <w:tcPr>
            <w:tcW w:w="4457" w:type="pct"/>
            <w:gridSpan w:val="3"/>
          </w:tcPr>
          <w:p w:rsidR="00B124FF" w:rsidRPr="00202CE2" w:rsidRDefault="00B124FF" w:rsidP="005F32B8">
            <w:pPr>
              <w:pStyle w:val="SCCLsocParty"/>
              <w:jc w:val="both"/>
              <w:rPr>
                <w:b/>
                <w:sz w:val="20"/>
                <w:szCs w:val="20"/>
                <w:lang w:val="en-US"/>
              </w:rPr>
            </w:pPr>
            <w:r w:rsidRPr="00202CE2">
              <w:rPr>
                <w:b/>
                <w:sz w:val="20"/>
                <w:szCs w:val="20"/>
                <w:lang w:val="en-US"/>
              </w:rPr>
              <w:t>Mei (Vicky) Wong v. Public Works and Government Services Canada</w:t>
            </w:r>
          </w:p>
          <w:p w:rsidR="00B124FF" w:rsidRPr="00AF75CE" w:rsidRDefault="00B124FF" w:rsidP="005F32B8">
            <w:pPr>
              <w:jc w:val="both"/>
              <w:rPr>
                <w:sz w:val="20"/>
              </w:rPr>
            </w:pPr>
            <w:r w:rsidRPr="00AF75CE">
              <w:rPr>
                <w:sz w:val="20"/>
              </w:rPr>
              <w:t>(F</w:t>
            </w:r>
            <w:r>
              <w:rPr>
                <w:sz w:val="20"/>
              </w:rPr>
              <w:t>.</w:t>
            </w:r>
            <w:r w:rsidRPr="00AF75CE">
              <w:rPr>
                <w:sz w:val="20"/>
              </w:rPr>
              <w:t>C</w:t>
            </w:r>
            <w:r>
              <w:rPr>
                <w:sz w:val="20"/>
              </w:rPr>
              <w:t>.</w:t>
            </w:r>
            <w:r w:rsidRPr="00AF75CE">
              <w:rPr>
                <w:sz w:val="20"/>
              </w:rPr>
              <w:t>) (Civil) (By Leave)</w:t>
            </w:r>
          </w:p>
        </w:tc>
      </w:tr>
      <w:tr w:rsidR="00B124FF" w:rsidRPr="00AF75CE" w:rsidTr="005F32B8">
        <w:tc>
          <w:tcPr>
            <w:tcW w:w="5000" w:type="pct"/>
            <w:gridSpan w:val="4"/>
          </w:tcPr>
          <w:p w:rsidR="00B124FF" w:rsidRDefault="00B124FF" w:rsidP="005F32B8">
            <w:pPr>
              <w:jc w:val="both"/>
              <w:rPr>
                <w:sz w:val="20"/>
              </w:rPr>
            </w:pPr>
            <w:r w:rsidRPr="00C97F67">
              <w:rPr>
                <w:sz w:val="20"/>
              </w:rPr>
              <w:t>The application for leave to appeal from the judgment of the Federal Court of Appeal, Number A-256-17, 2018 FCA 101, dated May 29, 2018, is dismissed with costs.</w:t>
            </w:r>
          </w:p>
          <w:p w:rsidR="00B124FF" w:rsidRPr="00AF75CE" w:rsidRDefault="00B124FF" w:rsidP="005F32B8">
            <w:pPr>
              <w:jc w:val="both"/>
              <w:rPr>
                <w:sz w:val="20"/>
              </w:rPr>
            </w:pPr>
          </w:p>
        </w:tc>
      </w:tr>
      <w:tr w:rsidR="00B124FF" w:rsidRPr="00AF75CE" w:rsidTr="005F32B8">
        <w:tc>
          <w:tcPr>
            <w:tcW w:w="5000" w:type="pct"/>
            <w:gridSpan w:val="4"/>
          </w:tcPr>
          <w:p w:rsidR="00B124FF" w:rsidRPr="00AF75CE" w:rsidRDefault="00B124FF" w:rsidP="005F32B8">
            <w:pPr>
              <w:jc w:val="both"/>
              <w:rPr>
                <w:sz w:val="20"/>
              </w:rPr>
            </w:pPr>
            <w:r w:rsidRPr="00AF75CE">
              <w:rPr>
                <w:sz w:val="20"/>
              </w:rPr>
              <w:t>Human rights – Discriminatory practices – Equal wages – Applicant bringing complaint before Canadian Human Rights Commission alleging discriminatory practices in her workplace – After investigation, Commission declining to conduct inquiry into complaint – Whether Federal Government departments may pay women and men differently when they are doing work of same value – Whether Federal Government departments can retaliate against women who have filed complaints with Canadian Human Rights Commission.</w:t>
            </w:r>
          </w:p>
        </w:tc>
      </w:tr>
      <w:tr w:rsidR="00B124FF" w:rsidRPr="00AF75CE" w:rsidTr="005F32B8">
        <w:tc>
          <w:tcPr>
            <w:tcW w:w="5000" w:type="pct"/>
            <w:gridSpan w:val="4"/>
          </w:tcPr>
          <w:p w:rsidR="00B124FF" w:rsidRPr="00AF75CE" w:rsidRDefault="00B124FF" w:rsidP="005F32B8">
            <w:pPr>
              <w:jc w:val="both"/>
              <w:rPr>
                <w:sz w:val="20"/>
                <w:lang w:val="en"/>
              </w:rPr>
            </w:pPr>
          </w:p>
          <w:p w:rsidR="00B124FF" w:rsidRPr="00AF75CE" w:rsidRDefault="00B124FF" w:rsidP="005F32B8">
            <w:pPr>
              <w:jc w:val="both"/>
              <w:rPr>
                <w:sz w:val="20"/>
              </w:rPr>
            </w:pPr>
            <w:r w:rsidRPr="00AF75CE">
              <w:rPr>
                <w:sz w:val="20"/>
                <w:lang w:val="en"/>
              </w:rPr>
              <w:t xml:space="preserve">Ms. Wong was employed by the respondent, Public Works and Government Services Canada as a mechanical engineer. She alleged in a human rights complaint that she had been subject to discrimination in respect of employment by reason of sex, in violation of </w:t>
            </w:r>
            <w:hyperlink r:id="rId29" w:anchor="sec7_smooth" w:history="1">
              <w:r w:rsidRPr="00AF75CE">
                <w:rPr>
                  <w:rStyle w:val="Hyperlink"/>
                  <w:rFonts w:eastAsiaTheme="majorEastAsia"/>
                  <w:sz w:val="20"/>
                  <w:lang w:val="en"/>
                </w:rPr>
                <w:t>s. 7</w:t>
              </w:r>
            </w:hyperlink>
            <w:r w:rsidRPr="00AF75CE">
              <w:rPr>
                <w:sz w:val="20"/>
                <w:lang w:val="en"/>
              </w:rPr>
              <w:t xml:space="preserve"> of the </w:t>
            </w:r>
            <w:r w:rsidRPr="00AF75CE">
              <w:rPr>
                <w:i/>
                <w:sz w:val="20"/>
                <w:lang w:val="en"/>
              </w:rPr>
              <w:t>Canadian Human Rights Act</w:t>
            </w:r>
            <w:r w:rsidRPr="00AF75CE">
              <w:rPr>
                <w:sz w:val="20"/>
                <w:lang w:val="en"/>
              </w:rPr>
              <w:t>, R.S.C. 1985, c. H-6 (“</w:t>
            </w:r>
            <w:r w:rsidRPr="00AF75CE">
              <w:rPr>
                <w:i/>
                <w:sz w:val="20"/>
                <w:lang w:val="en"/>
              </w:rPr>
              <w:t>CHRA</w:t>
            </w:r>
            <w:r w:rsidRPr="00AF75CE">
              <w:rPr>
                <w:sz w:val="20"/>
                <w:lang w:val="en"/>
              </w:rPr>
              <w:t xml:space="preserve">”). She alleged that she had suffered adverse differential treatment following her return to work after a maternity leave as her supervisor had not returned her to her former duties and had subjected her to close supervision which she had not before experienced. She also claimed that she had been unfairly denied promotion to the ENG-4 level. She further asserted that she had been disciplined as a reprisal for seeking the reclassification of her position from the ENG-3 to ENG-4 level. </w:t>
            </w:r>
            <w:bookmarkStart w:id="5" w:name="par4"/>
            <w:bookmarkEnd w:id="5"/>
            <w:r w:rsidRPr="00AF75CE">
              <w:rPr>
                <w:sz w:val="20"/>
                <w:lang w:val="en"/>
              </w:rPr>
              <w:t>After an investigation, the Canadian Human Rights Commission determined that the respondent had adequate, non-discriminatory explanations for Ms. Wong’s allegations of discrimination and concluded that an inquiry into the complaint was not warranted in the circumstances. Ms. Wong applied for judicial review of that decision. Her application was dismissed. The Federal Court of Appeal dismissed her appeal.</w:t>
            </w:r>
          </w:p>
        </w:tc>
      </w:tr>
      <w:tr w:rsidR="00B124FF" w:rsidRPr="00AF75CE" w:rsidTr="005F32B8">
        <w:trPr>
          <w:trHeight w:val="277"/>
        </w:trPr>
        <w:tc>
          <w:tcPr>
            <w:tcW w:w="5000" w:type="pct"/>
            <w:gridSpan w:val="4"/>
          </w:tcPr>
          <w:p w:rsidR="00B124FF" w:rsidRPr="00AF75CE" w:rsidRDefault="00B124FF" w:rsidP="005F32B8">
            <w:pPr>
              <w:pStyle w:val="paragnum1"/>
              <w:tabs>
                <w:tab w:val="clear" w:pos="0"/>
              </w:tabs>
              <w:spacing w:before="0"/>
              <w:jc w:val="both"/>
              <w:rPr>
                <w:sz w:val="20"/>
                <w:szCs w:val="20"/>
              </w:rPr>
            </w:pPr>
          </w:p>
        </w:tc>
      </w:tr>
      <w:tr w:rsidR="00B124FF" w:rsidRPr="00AF75CE" w:rsidTr="005F32B8">
        <w:tc>
          <w:tcPr>
            <w:tcW w:w="2427" w:type="pct"/>
            <w:gridSpan w:val="2"/>
          </w:tcPr>
          <w:p w:rsidR="00B124FF" w:rsidRPr="00AF75CE" w:rsidRDefault="00B124FF" w:rsidP="005F32B8">
            <w:pPr>
              <w:jc w:val="both"/>
              <w:rPr>
                <w:sz w:val="20"/>
              </w:rPr>
            </w:pPr>
            <w:r w:rsidRPr="00AF75CE">
              <w:rPr>
                <w:sz w:val="20"/>
              </w:rPr>
              <w:t>June 29, 2017</w:t>
            </w:r>
          </w:p>
          <w:p w:rsidR="00B124FF" w:rsidRPr="00AF75CE" w:rsidRDefault="00B124FF" w:rsidP="005F32B8">
            <w:pPr>
              <w:jc w:val="both"/>
              <w:rPr>
                <w:sz w:val="20"/>
              </w:rPr>
            </w:pPr>
            <w:r w:rsidRPr="00AF75CE">
              <w:rPr>
                <w:sz w:val="20"/>
              </w:rPr>
              <w:t>Federal Court</w:t>
            </w:r>
          </w:p>
          <w:p w:rsidR="00B124FF" w:rsidRPr="00AF75CE" w:rsidRDefault="00B124FF" w:rsidP="005F32B8">
            <w:pPr>
              <w:jc w:val="both"/>
              <w:rPr>
                <w:sz w:val="20"/>
              </w:rPr>
            </w:pPr>
            <w:r w:rsidRPr="00AF75CE">
              <w:rPr>
                <w:sz w:val="20"/>
              </w:rPr>
              <w:t>(LeBlanc J.)</w:t>
            </w:r>
          </w:p>
          <w:p w:rsidR="00B124FF" w:rsidRPr="00AF75CE" w:rsidRDefault="00A24D5C" w:rsidP="005F32B8">
            <w:pPr>
              <w:jc w:val="both"/>
              <w:rPr>
                <w:sz w:val="20"/>
              </w:rPr>
            </w:pPr>
            <w:hyperlink r:id="rId30" w:history="1">
              <w:r w:rsidR="00B124FF" w:rsidRPr="00AF75CE">
                <w:rPr>
                  <w:rStyle w:val="Hyperlink"/>
                  <w:sz w:val="20"/>
                </w:rPr>
                <w:t>2017 FC 633</w:t>
              </w:r>
            </w:hyperlink>
          </w:p>
          <w:p w:rsidR="00B124FF" w:rsidRPr="00AF75CE" w:rsidRDefault="00B124FF" w:rsidP="005F32B8">
            <w:pPr>
              <w:jc w:val="both"/>
              <w:rPr>
                <w:sz w:val="20"/>
              </w:rPr>
            </w:pPr>
          </w:p>
        </w:tc>
        <w:tc>
          <w:tcPr>
            <w:tcW w:w="243" w:type="pct"/>
          </w:tcPr>
          <w:p w:rsidR="00B124FF" w:rsidRPr="00AF75CE" w:rsidRDefault="00B124FF" w:rsidP="005F32B8">
            <w:pPr>
              <w:jc w:val="both"/>
              <w:rPr>
                <w:sz w:val="20"/>
              </w:rPr>
            </w:pPr>
          </w:p>
        </w:tc>
        <w:tc>
          <w:tcPr>
            <w:tcW w:w="2330" w:type="pct"/>
          </w:tcPr>
          <w:p w:rsidR="00B124FF" w:rsidRPr="00AF75CE" w:rsidRDefault="00B124FF" w:rsidP="005F32B8">
            <w:pPr>
              <w:jc w:val="both"/>
              <w:rPr>
                <w:sz w:val="20"/>
              </w:rPr>
            </w:pPr>
            <w:r w:rsidRPr="00AF75CE">
              <w:rPr>
                <w:sz w:val="20"/>
              </w:rPr>
              <w:t>Applicant’s application for judicial review of Canadian Human Rights Commission dismissed</w:t>
            </w:r>
          </w:p>
          <w:p w:rsidR="00B124FF" w:rsidRPr="00AF75CE" w:rsidRDefault="00B124FF" w:rsidP="005F32B8">
            <w:pPr>
              <w:jc w:val="both"/>
              <w:rPr>
                <w:sz w:val="20"/>
              </w:rPr>
            </w:pPr>
          </w:p>
          <w:p w:rsidR="00B124FF" w:rsidRPr="00AF75CE" w:rsidRDefault="00B124FF" w:rsidP="005F32B8">
            <w:pPr>
              <w:jc w:val="both"/>
              <w:rPr>
                <w:sz w:val="20"/>
              </w:rPr>
            </w:pPr>
          </w:p>
        </w:tc>
      </w:tr>
      <w:tr w:rsidR="00B124FF" w:rsidRPr="00AF75CE" w:rsidTr="005F32B8">
        <w:tc>
          <w:tcPr>
            <w:tcW w:w="2427" w:type="pct"/>
            <w:gridSpan w:val="2"/>
          </w:tcPr>
          <w:p w:rsidR="00B124FF" w:rsidRPr="00AF75CE" w:rsidRDefault="00B124FF" w:rsidP="005F32B8">
            <w:pPr>
              <w:jc w:val="both"/>
              <w:rPr>
                <w:sz w:val="20"/>
              </w:rPr>
            </w:pPr>
            <w:r w:rsidRPr="00AF75CE">
              <w:rPr>
                <w:sz w:val="20"/>
              </w:rPr>
              <w:t>May 29, 2018</w:t>
            </w:r>
          </w:p>
          <w:p w:rsidR="00B124FF" w:rsidRPr="00AF75CE" w:rsidRDefault="00B124FF" w:rsidP="005F32B8">
            <w:pPr>
              <w:jc w:val="both"/>
              <w:rPr>
                <w:sz w:val="20"/>
              </w:rPr>
            </w:pPr>
            <w:r w:rsidRPr="00AF75CE">
              <w:rPr>
                <w:sz w:val="20"/>
              </w:rPr>
              <w:t>Federal Court of Appeal</w:t>
            </w:r>
          </w:p>
          <w:p w:rsidR="00B124FF" w:rsidRPr="00AF75CE" w:rsidRDefault="00B124FF" w:rsidP="005F32B8">
            <w:pPr>
              <w:jc w:val="both"/>
              <w:rPr>
                <w:sz w:val="20"/>
              </w:rPr>
            </w:pPr>
            <w:r w:rsidRPr="00AF75CE">
              <w:rPr>
                <w:sz w:val="20"/>
              </w:rPr>
              <w:t>(Dawson, Gleason and Woods JJ.A.)</w:t>
            </w:r>
          </w:p>
          <w:p w:rsidR="00B124FF" w:rsidRPr="00AF75CE" w:rsidRDefault="00A24D5C" w:rsidP="005F32B8">
            <w:pPr>
              <w:jc w:val="both"/>
              <w:rPr>
                <w:sz w:val="20"/>
              </w:rPr>
            </w:pPr>
            <w:hyperlink r:id="rId31" w:history="1">
              <w:r w:rsidR="00B124FF" w:rsidRPr="00AF75CE">
                <w:rPr>
                  <w:rStyle w:val="Hyperlink"/>
                  <w:sz w:val="20"/>
                </w:rPr>
                <w:t>2018 FCA 101</w:t>
              </w:r>
            </w:hyperlink>
          </w:p>
          <w:p w:rsidR="00B124FF" w:rsidRPr="00AF75CE" w:rsidRDefault="00B124FF" w:rsidP="005F32B8">
            <w:pPr>
              <w:jc w:val="both"/>
              <w:rPr>
                <w:sz w:val="20"/>
              </w:rPr>
            </w:pPr>
          </w:p>
        </w:tc>
        <w:tc>
          <w:tcPr>
            <w:tcW w:w="243" w:type="pct"/>
          </w:tcPr>
          <w:p w:rsidR="00B124FF" w:rsidRPr="00AF75CE" w:rsidRDefault="00B124FF" w:rsidP="005F32B8">
            <w:pPr>
              <w:jc w:val="both"/>
              <w:rPr>
                <w:sz w:val="20"/>
              </w:rPr>
            </w:pPr>
          </w:p>
        </w:tc>
        <w:tc>
          <w:tcPr>
            <w:tcW w:w="2330" w:type="pct"/>
          </w:tcPr>
          <w:p w:rsidR="00B124FF" w:rsidRPr="00AF75CE" w:rsidRDefault="00B124FF" w:rsidP="005F32B8">
            <w:pPr>
              <w:jc w:val="both"/>
              <w:rPr>
                <w:sz w:val="20"/>
              </w:rPr>
            </w:pPr>
            <w:r w:rsidRPr="00AF75CE">
              <w:rPr>
                <w:sz w:val="20"/>
              </w:rPr>
              <w:t>Applicant’s appeal dismissed</w:t>
            </w:r>
          </w:p>
          <w:p w:rsidR="00B124FF" w:rsidRPr="00AF75CE" w:rsidRDefault="00B124FF" w:rsidP="005F32B8">
            <w:pPr>
              <w:jc w:val="both"/>
              <w:rPr>
                <w:sz w:val="20"/>
              </w:rPr>
            </w:pPr>
          </w:p>
        </w:tc>
      </w:tr>
      <w:tr w:rsidR="00B124FF" w:rsidRPr="00AF75CE" w:rsidTr="005F32B8">
        <w:tc>
          <w:tcPr>
            <w:tcW w:w="2427" w:type="pct"/>
            <w:gridSpan w:val="2"/>
          </w:tcPr>
          <w:p w:rsidR="00B124FF" w:rsidRPr="00AF75CE" w:rsidRDefault="00B124FF" w:rsidP="005F32B8">
            <w:pPr>
              <w:jc w:val="both"/>
              <w:rPr>
                <w:sz w:val="20"/>
              </w:rPr>
            </w:pPr>
            <w:r w:rsidRPr="00AF75CE">
              <w:rPr>
                <w:sz w:val="20"/>
              </w:rPr>
              <w:t>August 16, 2018</w:t>
            </w:r>
          </w:p>
          <w:p w:rsidR="00B124FF" w:rsidRPr="00AF75CE" w:rsidRDefault="00B124FF" w:rsidP="005F32B8">
            <w:pPr>
              <w:jc w:val="both"/>
              <w:rPr>
                <w:sz w:val="20"/>
              </w:rPr>
            </w:pPr>
            <w:r w:rsidRPr="00AF75CE">
              <w:rPr>
                <w:sz w:val="20"/>
              </w:rPr>
              <w:t>Supreme Court of Canada</w:t>
            </w:r>
          </w:p>
        </w:tc>
        <w:tc>
          <w:tcPr>
            <w:tcW w:w="243" w:type="pct"/>
          </w:tcPr>
          <w:p w:rsidR="00B124FF" w:rsidRPr="00AF75CE" w:rsidRDefault="00B124FF" w:rsidP="005F32B8">
            <w:pPr>
              <w:jc w:val="both"/>
              <w:rPr>
                <w:sz w:val="20"/>
              </w:rPr>
            </w:pPr>
          </w:p>
        </w:tc>
        <w:tc>
          <w:tcPr>
            <w:tcW w:w="2330" w:type="pct"/>
          </w:tcPr>
          <w:p w:rsidR="00B124FF" w:rsidRPr="00AF75CE" w:rsidRDefault="00B124FF" w:rsidP="005F32B8">
            <w:pPr>
              <w:jc w:val="both"/>
              <w:rPr>
                <w:sz w:val="20"/>
              </w:rPr>
            </w:pPr>
            <w:r w:rsidRPr="00AF75CE">
              <w:rPr>
                <w:sz w:val="20"/>
              </w:rPr>
              <w:t>Application for leave to appeal filed</w:t>
            </w:r>
          </w:p>
          <w:p w:rsidR="00B124FF" w:rsidRPr="00AF75CE" w:rsidRDefault="00B124FF" w:rsidP="005F32B8">
            <w:pPr>
              <w:jc w:val="both"/>
              <w:rPr>
                <w:sz w:val="20"/>
              </w:rPr>
            </w:pPr>
          </w:p>
        </w:tc>
      </w:tr>
    </w:tbl>
    <w:p w:rsidR="00B124FF" w:rsidRDefault="00B124FF" w:rsidP="00B124FF">
      <w:pPr>
        <w:jc w:val="both"/>
        <w:rPr>
          <w:sz w:val="20"/>
        </w:rPr>
      </w:pPr>
    </w:p>
    <w:p w:rsidR="00B124FF" w:rsidRPr="00AF75CE" w:rsidRDefault="00B124FF" w:rsidP="00B124F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124FF" w:rsidRPr="002F3B7A" w:rsidTr="005F32B8">
        <w:tc>
          <w:tcPr>
            <w:tcW w:w="543" w:type="pct"/>
          </w:tcPr>
          <w:p w:rsidR="00B124FF" w:rsidRPr="00AF75CE" w:rsidRDefault="00B124FF" w:rsidP="005F32B8">
            <w:pPr>
              <w:jc w:val="both"/>
              <w:rPr>
                <w:sz w:val="20"/>
                <w:lang w:val="fr-CA"/>
              </w:rPr>
            </w:pPr>
            <w:r w:rsidRPr="00AF75CE">
              <w:rPr>
                <w:rStyle w:val="SCCFileNumberChar"/>
                <w:sz w:val="20"/>
                <w:szCs w:val="20"/>
                <w:lang w:val="fr-CA"/>
              </w:rPr>
              <w:t>38241</w:t>
            </w:r>
          </w:p>
        </w:tc>
        <w:tc>
          <w:tcPr>
            <w:tcW w:w="4457" w:type="pct"/>
            <w:gridSpan w:val="3"/>
          </w:tcPr>
          <w:p w:rsidR="00B124FF" w:rsidRPr="00202CE2" w:rsidRDefault="00B124FF" w:rsidP="005F32B8">
            <w:pPr>
              <w:pStyle w:val="SCCLsocParty"/>
              <w:jc w:val="both"/>
              <w:rPr>
                <w:b/>
                <w:sz w:val="20"/>
                <w:szCs w:val="20"/>
              </w:rPr>
            </w:pPr>
            <w:r w:rsidRPr="00202CE2">
              <w:rPr>
                <w:b/>
                <w:sz w:val="20"/>
                <w:szCs w:val="20"/>
              </w:rPr>
              <w:t>Mei (Vicky) Wong c. Travaux publics et Services gouvernementaux Canada</w:t>
            </w:r>
          </w:p>
          <w:p w:rsidR="00B124FF" w:rsidRPr="00AF75CE" w:rsidRDefault="00B124FF" w:rsidP="005F32B8">
            <w:pPr>
              <w:jc w:val="both"/>
              <w:rPr>
                <w:sz w:val="20"/>
                <w:lang w:val="fr-CA"/>
              </w:rPr>
            </w:pPr>
            <w:r w:rsidRPr="00AF75CE">
              <w:rPr>
                <w:sz w:val="20"/>
                <w:lang w:val="fr-CA"/>
              </w:rPr>
              <w:t>(C</w:t>
            </w:r>
            <w:r>
              <w:rPr>
                <w:sz w:val="20"/>
                <w:lang w:val="fr-CA"/>
              </w:rPr>
              <w:t>.</w:t>
            </w:r>
            <w:r w:rsidRPr="00AF75CE">
              <w:rPr>
                <w:sz w:val="20"/>
                <w:lang w:val="fr-CA"/>
              </w:rPr>
              <w:t>F</w:t>
            </w:r>
            <w:r>
              <w:rPr>
                <w:sz w:val="20"/>
                <w:lang w:val="fr-CA"/>
              </w:rPr>
              <w:t>.</w:t>
            </w:r>
            <w:r w:rsidRPr="00AF75CE">
              <w:rPr>
                <w:sz w:val="20"/>
                <w:lang w:val="fr-CA"/>
              </w:rPr>
              <w:t>) (Civile) (Autorisation)</w:t>
            </w:r>
          </w:p>
        </w:tc>
      </w:tr>
      <w:tr w:rsidR="00B124FF" w:rsidRPr="00CC0B55" w:rsidTr="005F32B8">
        <w:tc>
          <w:tcPr>
            <w:tcW w:w="5000" w:type="pct"/>
            <w:gridSpan w:val="4"/>
          </w:tcPr>
          <w:p w:rsidR="00B124FF" w:rsidRDefault="00B124FF" w:rsidP="005F32B8">
            <w:pPr>
              <w:jc w:val="both"/>
              <w:rPr>
                <w:sz w:val="20"/>
                <w:lang w:val="fr-CA"/>
              </w:rPr>
            </w:pPr>
            <w:r w:rsidRPr="00C97F67">
              <w:rPr>
                <w:sz w:val="20"/>
                <w:lang w:val="fr-CA"/>
              </w:rPr>
              <w:t>La demande d’autorisation d’appel de l’arrêt de la Cour d’appel fédérale, numéro A-256-17, 2018 FCA 101, daté du 29 mai 2018, est rejetée avec dépens.</w:t>
            </w:r>
          </w:p>
          <w:p w:rsidR="00B124FF" w:rsidRPr="00AF75CE" w:rsidRDefault="00B124FF" w:rsidP="005F32B8">
            <w:pPr>
              <w:jc w:val="both"/>
              <w:rPr>
                <w:sz w:val="20"/>
                <w:lang w:val="fr-CA"/>
              </w:rPr>
            </w:pPr>
          </w:p>
        </w:tc>
      </w:tr>
      <w:tr w:rsidR="00B124FF" w:rsidRPr="00CC0B55" w:rsidTr="005F32B8">
        <w:tc>
          <w:tcPr>
            <w:tcW w:w="5000" w:type="pct"/>
            <w:gridSpan w:val="4"/>
          </w:tcPr>
          <w:p w:rsidR="00B124FF" w:rsidRPr="00AF75CE" w:rsidRDefault="00B124FF" w:rsidP="005F32B8">
            <w:pPr>
              <w:jc w:val="both"/>
              <w:rPr>
                <w:sz w:val="20"/>
                <w:lang w:val="fr-CA"/>
              </w:rPr>
            </w:pPr>
            <w:r w:rsidRPr="00AF75CE">
              <w:rPr>
                <w:sz w:val="20"/>
                <w:lang w:val="fr-CA"/>
              </w:rPr>
              <w:t>Droits de la personne – Pratiques discriminatoires – Parité salariale – La demanderesse a déposé une plainte à la Commission canadienne des droits de la personne, alléguant des pratiques discriminatoires dans son lieu de travail – Après enquête, la Commission a refusé d’examiner la plainte – Les ministères du gouvernement fédéral peuvent-ils rémunérer les femmes et les hommes différemment lorsqu’ils effectuent du travail de valeur égale? – Les ministères du gouvernement fédéral peuvent-ils exercer des représailles contre les femmes qui ont déposé des plaintes à la Commission canadienne des droits de la personne?</w:t>
            </w:r>
          </w:p>
        </w:tc>
      </w:tr>
      <w:tr w:rsidR="00B124FF" w:rsidRPr="00CC0B55" w:rsidTr="005F32B8">
        <w:tc>
          <w:tcPr>
            <w:tcW w:w="5000" w:type="pct"/>
            <w:gridSpan w:val="4"/>
          </w:tcPr>
          <w:p w:rsidR="00B124FF" w:rsidRPr="00AF75CE" w:rsidRDefault="00B124FF" w:rsidP="005F32B8">
            <w:pPr>
              <w:jc w:val="both"/>
              <w:rPr>
                <w:sz w:val="20"/>
                <w:lang w:val="fr-CA"/>
              </w:rPr>
            </w:pPr>
          </w:p>
          <w:p w:rsidR="00B124FF" w:rsidRPr="00AF75CE" w:rsidRDefault="00B124FF" w:rsidP="005F32B8">
            <w:pPr>
              <w:jc w:val="both"/>
              <w:rPr>
                <w:sz w:val="20"/>
                <w:lang w:val="fr-CA"/>
              </w:rPr>
            </w:pPr>
            <w:r w:rsidRPr="00AF75CE">
              <w:rPr>
                <w:sz w:val="20"/>
                <w:lang w:val="fr-CA"/>
              </w:rPr>
              <w:t xml:space="preserve">Madame Wong était à l’emploi de l’intimé, Travaux publics et Services gouvernementaux Canada, comme ingénieure en mécanique. Dans une plainte concernant les droits de la personne, elle a allégué, avoir été l’objet de discrimination à l’égard de l’emploi en raison de son sexe, en violation de l’art. </w:t>
            </w:r>
            <w:hyperlink r:id="rId32" w:anchor="sec7_smooth" w:history="1">
              <w:r w:rsidRPr="00AF75CE">
                <w:rPr>
                  <w:rStyle w:val="Hyperlink"/>
                  <w:rFonts w:eastAsiaTheme="majorEastAsia"/>
                  <w:sz w:val="20"/>
                  <w:lang w:val="fr-CA"/>
                </w:rPr>
                <w:t>7</w:t>
              </w:r>
            </w:hyperlink>
            <w:r w:rsidRPr="00AF75CE">
              <w:rPr>
                <w:sz w:val="20"/>
                <w:lang w:val="fr-CA"/>
              </w:rPr>
              <w:t xml:space="preserve"> de la </w:t>
            </w:r>
            <w:r w:rsidRPr="00AF75CE">
              <w:rPr>
                <w:i/>
                <w:sz w:val="20"/>
                <w:lang w:val="fr-CA"/>
              </w:rPr>
              <w:t>Loi canadienne sur les droits de la personne</w:t>
            </w:r>
            <w:r w:rsidRPr="00AF75CE">
              <w:rPr>
                <w:sz w:val="20"/>
                <w:lang w:val="fr-CA"/>
              </w:rPr>
              <w:t>, L.R.C. 1985, ch. H-6 (la « </w:t>
            </w:r>
            <w:r w:rsidRPr="00AF75CE">
              <w:rPr>
                <w:i/>
                <w:sz w:val="20"/>
                <w:lang w:val="fr-CA"/>
              </w:rPr>
              <w:t>LCDP</w:t>
            </w:r>
            <w:r w:rsidRPr="00AF75CE">
              <w:rPr>
                <w:sz w:val="20"/>
                <w:lang w:val="fr-CA"/>
              </w:rPr>
              <w:t xml:space="preserve"> »). Elle allègue avoir été victime de  distinction défavorable après son retour au travail à la suite d’un congé de maternité, puisque son superviseur ne l’avait rétabli dans ses anciennes fonctions et l’avait soumise à une supervision étroite dont elle n’avait jamais fait l’objet. Elle a en outre prétendu avoir été injustement privée d’avancement au niveau ENG-4. Elle a également affirmé avoir été l’objet d’une mesure disciplinaire comme représailles pour avoir cherché à obtenir une reclassification de son poste du niveau ENG-3 à ENG-4. Au terme d’une enquête, la Commission canadienne des droits de la personne a conclu que l’intimé avait fourni des explications adéquates, non attribuables à de la discrimination, pour les allégations de discrimination portées par Mme Wong et qu’un </w:t>
            </w:r>
            <w:r w:rsidRPr="00AF75CE">
              <w:rPr>
                <w:sz w:val="20"/>
                <w:lang w:val="fr-CA"/>
              </w:rPr>
              <w:lastRenderedPageBreak/>
              <w:t>examen de la plainte n’était pas justifié dans ce cas. Madame Wong a demandé le contrôle judiciaire de cette décision. Sa demande a été rejetée. La Cour d’appel fédérale a rejeté son appel.</w:t>
            </w:r>
          </w:p>
        </w:tc>
      </w:tr>
      <w:tr w:rsidR="00B124FF" w:rsidRPr="00CC0B55" w:rsidTr="005F32B8">
        <w:tc>
          <w:tcPr>
            <w:tcW w:w="5000" w:type="pct"/>
            <w:gridSpan w:val="4"/>
          </w:tcPr>
          <w:p w:rsidR="00B124FF" w:rsidRPr="00AF75CE" w:rsidRDefault="00B124FF" w:rsidP="005F32B8">
            <w:pPr>
              <w:pStyle w:val="paragnum1"/>
              <w:tabs>
                <w:tab w:val="clear" w:pos="0"/>
              </w:tabs>
              <w:spacing w:before="0"/>
              <w:jc w:val="both"/>
              <w:rPr>
                <w:sz w:val="20"/>
                <w:szCs w:val="20"/>
                <w:lang w:val="fr-CA"/>
              </w:rPr>
            </w:pPr>
          </w:p>
        </w:tc>
      </w:tr>
      <w:tr w:rsidR="00B124FF" w:rsidRPr="00CC0B55" w:rsidTr="005F32B8">
        <w:tc>
          <w:tcPr>
            <w:tcW w:w="2427" w:type="pct"/>
            <w:gridSpan w:val="2"/>
          </w:tcPr>
          <w:p w:rsidR="00B124FF" w:rsidRPr="00AF75CE" w:rsidRDefault="00B124FF" w:rsidP="005F32B8">
            <w:pPr>
              <w:jc w:val="both"/>
              <w:rPr>
                <w:sz w:val="20"/>
                <w:lang w:val="fr-CA"/>
              </w:rPr>
            </w:pPr>
            <w:r w:rsidRPr="00AF75CE">
              <w:rPr>
                <w:sz w:val="20"/>
                <w:lang w:val="fr-CA"/>
              </w:rPr>
              <w:t>29 juin 2017</w:t>
            </w:r>
          </w:p>
          <w:p w:rsidR="00B124FF" w:rsidRPr="00AF75CE" w:rsidRDefault="00B124FF" w:rsidP="005F32B8">
            <w:pPr>
              <w:jc w:val="both"/>
              <w:rPr>
                <w:sz w:val="20"/>
                <w:lang w:val="fr-CA"/>
              </w:rPr>
            </w:pPr>
            <w:r w:rsidRPr="00AF75CE">
              <w:rPr>
                <w:sz w:val="20"/>
                <w:lang w:val="fr-CA"/>
              </w:rPr>
              <w:t>Cour fédérale</w:t>
            </w:r>
          </w:p>
          <w:p w:rsidR="00B124FF" w:rsidRPr="00AF75CE" w:rsidRDefault="00B124FF" w:rsidP="005F32B8">
            <w:pPr>
              <w:jc w:val="both"/>
              <w:rPr>
                <w:sz w:val="20"/>
                <w:lang w:val="fr-CA"/>
              </w:rPr>
            </w:pPr>
            <w:r w:rsidRPr="00AF75CE">
              <w:rPr>
                <w:sz w:val="20"/>
                <w:lang w:val="fr-CA"/>
              </w:rPr>
              <w:t>(Juge LeBlanc)</w:t>
            </w:r>
          </w:p>
          <w:p w:rsidR="00B124FF" w:rsidRPr="00AF75CE" w:rsidRDefault="00A24D5C" w:rsidP="005F32B8">
            <w:pPr>
              <w:jc w:val="both"/>
              <w:rPr>
                <w:sz w:val="20"/>
                <w:lang w:val="fr-CA"/>
              </w:rPr>
            </w:pPr>
            <w:hyperlink r:id="rId33" w:history="1">
              <w:r w:rsidR="00B124FF" w:rsidRPr="00AF75CE">
                <w:rPr>
                  <w:rStyle w:val="Hyperlink"/>
                  <w:sz w:val="20"/>
                  <w:lang w:val="fr-CA"/>
                </w:rPr>
                <w:t>2017 CF 633</w:t>
              </w:r>
            </w:hyperlink>
          </w:p>
          <w:p w:rsidR="00B124FF" w:rsidRPr="00AF75CE" w:rsidRDefault="00B124FF" w:rsidP="005F32B8">
            <w:pPr>
              <w:jc w:val="both"/>
              <w:rPr>
                <w:sz w:val="20"/>
                <w:lang w:val="fr-CA"/>
              </w:rPr>
            </w:pPr>
          </w:p>
        </w:tc>
        <w:tc>
          <w:tcPr>
            <w:tcW w:w="243" w:type="pct"/>
          </w:tcPr>
          <w:p w:rsidR="00B124FF" w:rsidRPr="00AF75CE" w:rsidRDefault="00B124FF" w:rsidP="005F32B8">
            <w:pPr>
              <w:jc w:val="both"/>
              <w:rPr>
                <w:sz w:val="20"/>
                <w:lang w:val="fr-CA"/>
              </w:rPr>
            </w:pPr>
          </w:p>
        </w:tc>
        <w:tc>
          <w:tcPr>
            <w:tcW w:w="2330" w:type="pct"/>
          </w:tcPr>
          <w:p w:rsidR="00B124FF" w:rsidRPr="00AF75CE" w:rsidRDefault="00B124FF" w:rsidP="005F32B8">
            <w:pPr>
              <w:jc w:val="both"/>
              <w:rPr>
                <w:sz w:val="20"/>
                <w:lang w:val="fr-CA"/>
              </w:rPr>
            </w:pPr>
            <w:r w:rsidRPr="00AF75CE">
              <w:rPr>
                <w:sz w:val="20"/>
                <w:lang w:val="fr-CA"/>
              </w:rPr>
              <w:t>Rejet de la demande de la demanderesse en contrôle judiciaire de la décision de la Commission canadienne des droits de la personne</w:t>
            </w:r>
          </w:p>
          <w:p w:rsidR="00B124FF" w:rsidRPr="00AF75CE" w:rsidRDefault="00B124FF" w:rsidP="005F32B8">
            <w:pPr>
              <w:jc w:val="both"/>
              <w:rPr>
                <w:sz w:val="20"/>
                <w:lang w:val="fr-CA"/>
              </w:rPr>
            </w:pPr>
          </w:p>
        </w:tc>
      </w:tr>
      <w:tr w:rsidR="00B124FF" w:rsidRPr="00CC0B55" w:rsidTr="005F32B8">
        <w:tc>
          <w:tcPr>
            <w:tcW w:w="2427" w:type="pct"/>
            <w:gridSpan w:val="2"/>
          </w:tcPr>
          <w:p w:rsidR="00B124FF" w:rsidRPr="00AF75CE" w:rsidRDefault="00B124FF" w:rsidP="005F32B8">
            <w:pPr>
              <w:jc w:val="both"/>
              <w:rPr>
                <w:sz w:val="20"/>
                <w:lang w:val="fr-CA"/>
              </w:rPr>
            </w:pPr>
            <w:r w:rsidRPr="00AF75CE">
              <w:rPr>
                <w:sz w:val="20"/>
                <w:lang w:val="fr-CA"/>
              </w:rPr>
              <w:t>29 mai 2018</w:t>
            </w:r>
          </w:p>
          <w:p w:rsidR="00B124FF" w:rsidRPr="00AF75CE" w:rsidRDefault="00B124FF" w:rsidP="005F32B8">
            <w:pPr>
              <w:jc w:val="both"/>
              <w:rPr>
                <w:sz w:val="20"/>
                <w:lang w:val="fr-CA"/>
              </w:rPr>
            </w:pPr>
            <w:r w:rsidRPr="00AF75CE">
              <w:rPr>
                <w:sz w:val="20"/>
                <w:lang w:val="fr-CA"/>
              </w:rPr>
              <w:t>Cour d’appel fédérale</w:t>
            </w:r>
          </w:p>
          <w:p w:rsidR="00B124FF" w:rsidRPr="00AF75CE" w:rsidRDefault="00B124FF" w:rsidP="005F32B8">
            <w:pPr>
              <w:jc w:val="both"/>
              <w:rPr>
                <w:sz w:val="20"/>
                <w:lang w:val="fr-CA"/>
              </w:rPr>
            </w:pPr>
            <w:r w:rsidRPr="00AF75CE">
              <w:rPr>
                <w:sz w:val="20"/>
                <w:lang w:val="fr-CA"/>
              </w:rPr>
              <w:t>(Juges Dawson, Gleason et Woods)</w:t>
            </w:r>
          </w:p>
          <w:p w:rsidR="00B124FF" w:rsidRPr="00AF75CE" w:rsidRDefault="00A24D5C" w:rsidP="005F32B8">
            <w:pPr>
              <w:jc w:val="both"/>
              <w:rPr>
                <w:sz w:val="20"/>
                <w:lang w:val="fr-CA"/>
              </w:rPr>
            </w:pPr>
            <w:hyperlink r:id="rId34" w:history="1">
              <w:r w:rsidR="00B124FF" w:rsidRPr="00AF75CE">
                <w:rPr>
                  <w:rStyle w:val="Hyperlink"/>
                  <w:sz w:val="20"/>
                  <w:lang w:val="fr-CA"/>
                </w:rPr>
                <w:t>2018 FCA 101</w:t>
              </w:r>
            </w:hyperlink>
          </w:p>
          <w:p w:rsidR="00B124FF" w:rsidRPr="00AF75CE" w:rsidRDefault="00B124FF" w:rsidP="005F32B8">
            <w:pPr>
              <w:jc w:val="both"/>
              <w:rPr>
                <w:sz w:val="20"/>
                <w:lang w:val="fr-CA"/>
              </w:rPr>
            </w:pPr>
          </w:p>
        </w:tc>
        <w:tc>
          <w:tcPr>
            <w:tcW w:w="243" w:type="pct"/>
          </w:tcPr>
          <w:p w:rsidR="00B124FF" w:rsidRPr="00AF75CE" w:rsidRDefault="00B124FF" w:rsidP="005F32B8">
            <w:pPr>
              <w:jc w:val="both"/>
              <w:rPr>
                <w:sz w:val="20"/>
                <w:lang w:val="fr-CA"/>
              </w:rPr>
            </w:pPr>
          </w:p>
        </w:tc>
        <w:tc>
          <w:tcPr>
            <w:tcW w:w="2330" w:type="pct"/>
          </w:tcPr>
          <w:p w:rsidR="00B124FF" w:rsidRPr="00AF75CE" w:rsidRDefault="00B124FF" w:rsidP="005F32B8">
            <w:pPr>
              <w:jc w:val="both"/>
              <w:rPr>
                <w:sz w:val="20"/>
                <w:lang w:val="fr-CA"/>
              </w:rPr>
            </w:pPr>
            <w:r w:rsidRPr="00AF75CE">
              <w:rPr>
                <w:sz w:val="20"/>
                <w:lang w:val="fr-CA"/>
              </w:rPr>
              <w:t>Rejet de l’appel de la demanderesse</w:t>
            </w:r>
          </w:p>
          <w:p w:rsidR="00B124FF" w:rsidRPr="00AF75CE" w:rsidRDefault="00B124FF" w:rsidP="005F32B8">
            <w:pPr>
              <w:jc w:val="both"/>
              <w:rPr>
                <w:sz w:val="20"/>
                <w:lang w:val="fr-CA"/>
              </w:rPr>
            </w:pPr>
          </w:p>
        </w:tc>
      </w:tr>
      <w:tr w:rsidR="00B124FF" w:rsidRPr="00CC0B55" w:rsidTr="005F32B8">
        <w:tc>
          <w:tcPr>
            <w:tcW w:w="2427" w:type="pct"/>
            <w:gridSpan w:val="2"/>
          </w:tcPr>
          <w:p w:rsidR="00B124FF" w:rsidRPr="00AF75CE" w:rsidRDefault="00B124FF" w:rsidP="005F32B8">
            <w:pPr>
              <w:jc w:val="both"/>
              <w:rPr>
                <w:sz w:val="20"/>
                <w:lang w:val="fr-CA"/>
              </w:rPr>
            </w:pPr>
            <w:r w:rsidRPr="00AF75CE">
              <w:rPr>
                <w:sz w:val="20"/>
                <w:lang w:val="fr-CA"/>
              </w:rPr>
              <w:t>16 août 2018</w:t>
            </w:r>
          </w:p>
          <w:p w:rsidR="00B124FF" w:rsidRPr="00AF75CE" w:rsidRDefault="00B124FF" w:rsidP="005F32B8">
            <w:pPr>
              <w:jc w:val="both"/>
              <w:rPr>
                <w:sz w:val="20"/>
                <w:lang w:val="fr-CA"/>
              </w:rPr>
            </w:pPr>
            <w:r w:rsidRPr="00AF75CE">
              <w:rPr>
                <w:sz w:val="20"/>
                <w:lang w:val="fr-CA"/>
              </w:rPr>
              <w:t>Cour suprême du Canada</w:t>
            </w:r>
          </w:p>
        </w:tc>
        <w:tc>
          <w:tcPr>
            <w:tcW w:w="243" w:type="pct"/>
          </w:tcPr>
          <w:p w:rsidR="00B124FF" w:rsidRPr="00AF75CE" w:rsidRDefault="00B124FF" w:rsidP="005F32B8">
            <w:pPr>
              <w:jc w:val="both"/>
              <w:rPr>
                <w:sz w:val="20"/>
                <w:lang w:val="fr-CA"/>
              </w:rPr>
            </w:pPr>
          </w:p>
        </w:tc>
        <w:tc>
          <w:tcPr>
            <w:tcW w:w="2330" w:type="pct"/>
          </w:tcPr>
          <w:p w:rsidR="00B124FF" w:rsidRPr="00AF75CE" w:rsidRDefault="00B124FF" w:rsidP="005F32B8">
            <w:pPr>
              <w:jc w:val="both"/>
              <w:rPr>
                <w:sz w:val="20"/>
                <w:lang w:val="fr-CA"/>
              </w:rPr>
            </w:pPr>
            <w:r w:rsidRPr="00AF75CE">
              <w:rPr>
                <w:sz w:val="20"/>
                <w:lang w:val="fr-CA"/>
              </w:rPr>
              <w:t>Dépôt de la demande d’autorisation d’appel</w:t>
            </w:r>
          </w:p>
          <w:p w:rsidR="00B124FF" w:rsidRPr="00AF75CE" w:rsidRDefault="00B124FF" w:rsidP="005F32B8">
            <w:pPr>
              <w:jc w:val="both"/>
              <w:rPr>
                <w:sz w:val="20"/>
                <w:lang w:val="fr-CA"/>
              </w:rPr>
            </w:pPr>
          </w:p>
        </w:tc>
      </w:tr>
    </w:tbl>
    <w:p w:rsidR="00B124FF" w:rsidRDefault="00B124FF" w:rsidP="00B124FF">
      <w:pPr>
        <w:jc w:val="both"/>
        <w:rPr>
          <w:sz w:val="20"/>
          <w:lang w:val="fr-CA"/>
        </w:rPr>
      </w:pPr>
    </w:p>
    <w:p w:rsidR="00B124FF" w:rsidRPr="00AF75CE" w:rsidRDefault="00A24D5C" w:rsidP="00B124FF">
      <w:pPr>
        <w:jc w:val="both"/>
        <w:rPr>
          <w:sz w:val="20"/>
          <w:lang w:val="fr-CA"/>
        </w:rPr>
      </w:pPr>
      <w:r>
        <w:rPr>
          <w:sz w:val="20"/>
          <w:szCs w:val="20"/>
        </w:rPr>
        <w:pict>
          <v:rect id="_x0000_i1036" style="width:2in;height:1pt" o:hrpct="0" o:hralign="center" o:hrstd="t" o:hrnoshade="t" o:hr="t" fillcolor="black [3213]" stroked="f"/>
        </w:pict>
      </w:r>
    </w:p>
    <w:p w:rsidR="00B124FF" w:rsidRPr="00AF75CE" w:rsidRDefault="00B124FF" w:rsidP="00B124FF">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124FF" w:rsidRPr="00AF75CE" w:rsidTr="005F32B8">
        <w:tc>
          <w:tcPr>
            <w:tcW w:w="543" w:type="pct"/>
          </w:tcPr>
          <w:p w:rsidR="00B124FF" w:rsidRPr="00AF75CE" w:rsidRDefault="00B124FF" w:rsidP="005F32B8">
            <w:pPr>
              <w:jc w:val="both"/>
              <w:rPr>
                <w:sz w:val="20"/>
              </w:rPr>
            </w:pPr>
            <w:r w:rsidRPr="00AF75CE">
              <w:rPr>
                <w:rStyle w:val="SCCFileNumberChar"/>
                <w:sz w:val="20"/>
                <w:szCs w:val="20"/>
              </w:rPr>
              <w:t>38378</w:t>
            </w:r>
          </w:p>
        </w:tc>
        <w:tc>
          <w:tcPr>
            <w:tcW w:w="4457" w:type="pct"/>
            <w:gridSpan w:val="3"/>
          </w:tcPr>
          <w:p w:rsidR="00B124FF" w:rsidRPr="00202CE2" w:rsidRDefault="00B124FF" w:rsidP="005F32B8">
            <w:pPr>
              <w:pStyle w:val="SCCLsocParty"/>
              <w:jc w:val="both"/>
              <w:rPr>
                <w:b/>
                <w:sz w:val="20"/>
                <w:szCs w:val="20"/>
                <w:lang w:val="en-US"/>
              </w:rPr>
            </w:pPr>
            <w:r w:rsidRPr="00202CE2">
              <w:rPr>
                <w:b/>
                <w:sz w:val="20"/>
                <w:szCs w:val="20"/>
                <w:lang w:val="en-US"/>
              </w:rPr>
              <w:t>Steven Nowack v. Her Majesty the Queen</w:t>
            </w:r>
          </w:p>
          <w:p w:rsidR="00B124FF" w:rsidRPr="00AF75CE" w:rsidRDefault="00B124FF" w:rsidP="005F32B8">
            <w:pPr>
              <w:jc w:val="both"/>
              <w:rPr>
                <w:sz w:val="20"/>
              </w:rPr>
            </w:pPr>
            <w:r w:rsidRPr="00AF75CE">
              <w:rPr>
                <w:sz w:val="20"/>
              </w:rPr>
              <w:t>(Ont.) (Criminal) (By Leave)</w:t>
            </w:r>
          </w:p>
        </w:tc>
      </w:tr>
      <w:tr w:rsidR="00B124FF" w:rsidRPr="00AF75CE" w:rsidTr="005F32B8">
        <w:tc>
          <w:tcPr>
            <w:tcW w:w="5000" w:type="pct"/>
            <w:gridSpan w:val="4"/>
          </w:tcPr>
          <w:p w:rsidR="00B124FF" w:rsidRDefault="00B124FF" w:rsidP="005F32B8">
            <w:pPr>
              <w:jc w:val="both"/>
              <w:rPr>
                <w:sz w:val="20"/>
              </w:rPr>
            </w:pPr>
            <w:r w:rsidRPr="00C97F67">
              <w:rPr>
                <w:sz w:val="20"/>
              </w:rPr>
              <w:t>The application for leave to appeal from the judgment of the Court of Appeal for Ontario, Number C64809, 2018 ONCA 784, dated September 20, 2018, is dismissed.</w:t>
            </w:r>
          </w:p>
          <w:p w:rsidR="00B124FF" w:rsidRPr="00AF75CE" w:rsidRDefault="00B124FF" w:rsidP="005F32B8">
            <w:pPr>
              <w:jc w:val="both"/>
              <w:rPr>
                <w:sz w:val="20"/>
              </w:rPr>
            </w:pPr>
          </w:p>
        </w:tc>
      </w:tr>
      <w:tr w:rsidR="00B124FF" w:rsidRPr="00AF75CE" w:rsidTr="005F32B8">
        <w:tc>
          <w:tcPr>
            <w:tcW w:w="5000" w:type="pct"/>
            <w:gridSpan w:val="4"/>
          </w:tcPr>
          <w:p w:rsidR="00B124FF" w:rsidRPr="00AF75CE" w:rsidRDefault="00B124FF" w:rsidP="005F32B8">
            <w:pPr>
              <w:jc w:val="both"/>
              <w:rPr>
                <w:sz w:val="20"/>
              </w:rPr>
            </w:pPr>
            <w:r w:rsidRPr="00AF75CE">
              <w:rPr>
                <w:sz w:val="20"/>
              </w:rPr>
              <w:t xml:space="preserve">Criminal law – Natural justice – Preliminary Inquiry – Cross-examination of witnesses by accused – Discretion of preliminary inquiry judge to refuse to allow cross-examination of witnesses under s. 540(9) of the </w:t>
            </w:r>
            <w:r w:rsidRPr="00AF75CE">
              <w:rPr>
                <w:i/>
                <w:sz w:val="20"/>
              </w:rPr>
              <w:t>Criminal</w:t>
            </w:r>
            <w:r w:rsidRPr="00AF75CE">
              <w:rPr>
                <w:sz w:val="20"/>
              </w:rPr>
              <w:t xml:space="preserve"> </w:t>
            </w:r>
            <w:r w:rsidRPr="00AF75CE">
              <w:rPr>
                <w:i/>
                <w:sz w:val="20"/>
              </w:rPr>
              <w:t>Code</w:t>
            </w:r>
            <w:r w:rsidRPr="00AF75CE">
              <w:rPr>
                <w:sz w:val="20"/>
              </w:rPr>
              <w:t xml:space="preserve"> – Principles applicable in assessing whether denial of cross-examination is a breach of natural justice – Whether failure to allow accused to call witnesses resulted in loss of jurisdiction – Whether on a </w:t>
            </w:r>
            <w:r w:rsidRPr="00AF75CE">
              <w:rPr>
                <w:i/>
                <w:sz w:val="20"/>
              </w:rPr>
              <w:t>certiorari</w:t>
            </w:r>
            <w:r w:rsidRPr="00AF75CE">
              <w:rPr>
                <w:sz w:val="20"/>
              </w:rPr>
              <w:t xml:space="preserve"> application or appeal refusal to allow examination of witnesses may be reformulated as a refusal to adjourn – Whether refusing to allow examination of witnesses based on judicial perceptions of utility to defence is a misapprehension of preliminary hearing judge’s role and a jurisdictional error?</w:t>
            </w:r>
          </w:p>
          <w:p w:rsidR="00B124FF" w:rsidRPr="00AF75CE" w:rsidRDefault="00B124FF" w:rsidP="005F32B8">
            <w:pPr>
              <w:jc w:val="both"/>
              <w:rPr>
                <w:sz w:val="20"/>
              </w:rPr>
            </w:pPr>
          </w:p>
        </w:tc>
      </w:tr>
      <w:tr w:rsidR="00B124FF" w:rsidRPr="00AF75CE" w:rsidTr="005F32B8">
        <w:tc>
          <w:tcPr>
            <w:tcW w:w="5000" w:type="pct"/>
            <w:gridSpan w:val="4"/>
          </w:tcPr>
          <w:p w:rsidR="00B124FF" w:rsidRPr="00AF75CE" w:rsidRDefault="00B124FF" w:rsidP="005F32B8">
            <w:pPr>
              <w:jc w:val="both"/>
              <w:rPr>
                <w:sz w:val="20"/>
              </w:rPr>
            </w:pPr>
            <w:r w:rsidRPr="00AF75CE">
              <w:rPr>
                <w:color w:val="010000"/>
                <w:sz w:val="20"/>
              </w:rPr>
              <w:t>Mr. Nowack is charged with several counts of fraud</w:t>
            </w:r>
            <w:r w:rsidRPr="00AF75CE">
              <w:rPr>
                <w:color w:val="1F1E1C"/>
                <w:sz w:val="20"/>
              </w:rPr>
              <w:t xml:space="preserve">. </w:t>
            </w:r>
            <w:r w:rsidRPr="00AF75CE">
              <w:rPr>
                <w:color w:val="010000"/>
                <w:sz w:val="20"/>
              </w:rPr>
              <w:t>At a preliminary inquiry, f</w:t>
            </w:r>
            <w:r w:rsidRPr="00AF75CE">
              <w:rPr>
                <w:sz w:val="20"/>
              </w:rPr>
              <w:t xml:space="preserve">our witnesses gave </w:t>
            </w:r>
            <w:r w:rsidRPr="00AF75CE">
              <w:rPr>
                <w:i/>
                <w:sz w:val="20"/>
              </w:rPr>
              <w:t>viva voce</w:t>
            </w:r>
            <w:r w:rsidRPr="00AF75CE">
              <w:rPr>
                <w:sz w:val="20"/>
              </w:rPr>
              <w:t xml:space="preserve"> evidence and were cross-examined. The remainder of the Crown’s case is in paper form under s. 540(7) of the </w:t>
            </w:r>
            <w:r w:rsidRPr="00AF75CE">
              <w:rPr>
                <w:i/>
                <w:sz w:val="20"/>
              </w:rPr>
              <w:t>Criminal Code</w:t>
            </w:r>
            <w:r w:rsidRPr="00AF75CE">
              <w:rPr>
                <w:sz w:val="20"/>
              </w:rPr>
              <w:t>, including affidavits, a forensic accounting report, and police notes.</w:t>
            </w:r>
            <w:r w:rsidRPr="00AF75CE">
              <w:rPr>
                <w:color w:val="010000"/>
                <w:sz w:val="20"/>
              </w:rPr>
              <w:t xml:space="preserve"> </w:t>
            </w:r>
            <w:r w:rsidRPr="00AF75CE">
              <w:rPr>
                <w:iCs/>
                <w:color w:val="000000"/>
                <w:sz w:val="20"/>
              </w:rPr>
              <w:t xml:space="preserve">At the preliminary inquiry, Mr. Nowack applied for leave to cross-examine the affiant and sub-affiants of a search warrant, the investigating officer, other officers and for an adjournment. The request was denied. </w:t>
            </w:r>
            <w:r w:rsidRPr="00AF75CE">
              <w:rPr>
                <w:color w:val="010000"/>
                <w:sz w:val="20"/>
              </w:rPr>
              <w:t xml:space="preserve">Mr. Nowack applied for </w:t>
            </w:r>
            <w:r w:rsidRPr="00AF75CE">
              <w:rPr>
                <w:i/>
                <w:iCs/>
                <w:color w:val="000000"/>
                <w:sz w:val="20"/>
              </w:rPr>
              <w:t>certiorari</w:t>
            </w:r>
            <w:r w:rsidRPr="00AF75CE">
              <w:rPr>
                <w:iCs/>
                <w:color w:val="000000"/>
                <w:sz w:val="20"/>
              </w:rPr>
              <w:t xml:space="preserve">. The motions judge </w:t>
            </w:r>
            <w:r w:rsidRPr="00AF75CE">
              <w:rPr>
                <w:sz w:val="20"/>
              </w:rPr>
              <w:t xml:space="preserve">held that the preliminary inquiry judge had discretion to refuse to adjourn and doing so did not compromise his jurisdiction. She denied </w:t>
            </w:r>
            <w:r w:rsidRPr="00AF75CE">
              <w:rPr>
                <w:i/>
                <w:sz w:val="20"/>
              </w:rPr>
              <w:t>certiorari.</w:t>
            </w:r>
            <w:r w:rsidRPr="00AF75CE">
              <w:rPr>
                <w:sz w:val="20"/>
              </w:rPr>
              <w:t xml:space="preserve"> The Court of Appeal dismissed an appeal.</w:t>
            </w:r>
          </w:p>
        </w:tc>
      </w:tr>
      <w:tr w:rsidR="00B124FF" w:rsidRPr="00AF75CE" w:rsidTr="005F32B8">
        <w:tc>
          <w:tcPr>
            <w:tcW w:w="5000" w:type="pct"/>
            <w:gridSpan w:val="4"/>
          </w:tcPr>
          <w:p w:rsidR="00B124FF" w:rsidRPr="00AF75CE" w:rsidRDefault="00B124FF" w:rsidP="005F32B8">
            <w:pPr>
              <w:jc w:val="both"/>
              <w:rPr>
                <w:sz w:val="20"/>
              </w:rPr>
            </w:pPr>
          </w:p>
        </w:tc>
      </w:tr>
      <w:tr w:rsidR="00B124FF" w:rsidRPr="00AF75CE" w:rsidTr="005F32B8">
        <w:tc>
          <w:tcPr>
            <w:tcW w:w="2427" w:type="pct"/>
            <w:gridSpan w:val="2"/>
          </w:tcPr>
          <w:p w:rsidR="00B124FF" w:rsidRPr="00AF75CE" w:rsidRDefault="00B124FF" w:rsidP="005F32B8">
            <w:pPr>
              <w:jc w:val="both"/>
              <w:rPr>
                <w:sz w:val="20"/>
              </w:rPr>
            </w:pPr>
            <w:r w:rsidRPr="00AF75CE">
              <w:rPr>
                <w:sz w:val="20"/>
              </w:rPr>
              <w:t>November 3, 2016</w:t>
            </w:r>
          </w:p>
          <w:p w:rsidR="00B124FF" w:rsidRPr="00AF75CE" w:rsidRDefault="00B124FF" w:rsidP="005F32B8">
            <w:pPr>
              <w:jc w:val="both"/>
              <w:rPr>
                <w:sz w:val="20"/>
              </w:rPr>
            </w:pPr>
            <w:r w:rsidRPr="00AF75CE">
              <w:rPr>
                <w:sz w:val="20"/>
              </w:rPr>
              <w:t>Ontario Court of Justice</w:t>
            </w:r>
          </w:p>
          <w:p w:rsidR="00B124FF" w:rsidRPr="00AF75CE" w:rsidRDefault="00B124FF" w:rsidP="005F32B8">
            <w:pPr>
              <w:jc w:val="both"/>
              <w:rPr>
                <w:sz w:val="20"/>
              </w:rPr>
            </w:pPr>
            <w:r w:rsidRPr="00AF75CE">
              <w:rPr>
                <w:sz w:val="20"/>
              </w:rPr>
              <w:t>(McLeod J.)</w:t>
            </w:r>
            <w:r w:rsidRPr="00AF75CE">
              <w:rPr>
                <w:color w:val="010000"/>
                <w:sz w:val="20"/>
              </w:rPr>
              <w:t xml:space="preserve"> (Unreported)</w:t>
            </w:r>
            <w:r w:rsidRPr="00AF75CE">
              <w:rPr>
                <w:sz w:val="20"/>
              </w:rPr>
              <w:t xml:space="preserve"> </w:t>
            </w:r>
          </w:p>
          <w:p w:rsidR="00B124FF" w:rsidRPr="00AF75CE" w:rsidRDefault="00B124FF" w:rsidP="005F32B8">
            <w:pPr>
              <w:jc w:val="both"/>
              <w:rPr>
                <w:sz w:val="20"/>
              </w:rPr>
            </w:pPr>
          </w:p>
        </w:tc>
        <w:tc>
          <w:tcPr>
            <w:tcW w:w="243" w:type="pct"/>
          </w:tcPr>
          <w:p w:rsidR="00B124FF" w:rsidRPr="00AF75CE" w:rsidRDefault="00B124FF" w:rsidP="005F32B8">
            <w:pPr>
              <w:jc w:val="both"/>
              <w:rPr>
                <w:sz w:val="20"/>
              </w:rPr>
            </w:pPr>
          </w:p>
        </w:tc>
        <w:tc>
          <w:tcPr>
            <w:tcW w:w="2330" w:type="pct"/>
          </w:tcPr>
          <w:p w:rsidR="00B124FF" w:rsidRPr="00AF75CE" w:rsidRDefault="00B124FF" w:rsidP="005F32B8">
            <w:pPr>
              <w:jc w:val="both"/>
              <w:rPr>
                <w:sz w:val="20"/>
              </w:rPr>
            </w:pPr>
            <w:r w:rsidRPr="00AF75CE">
              <w:rPr>
                <w:sz w:val="20"/>
              </w:rPr>
              <w:t>Committal to stand trial on all counts</w:t>
            </w:r>
          </w:p>
        </w:tc>
      </w:tr>
      <w:tr w:rsidR="00B124FF" w:rsidRPr="00AF75CE" w:rsidTr="005F32B8">
        <w:tc>
          <w:tcPr>
            <w:tcW w:w="2427" w:type="pct"/>
            <w:gridSpan w:val="2"/>
          </w:tcPr>
          <w:p w:rsidR="00B124FF" w:rsidRPr="00AF75CE" w:rsidRDefault="00B124FF" w:rsidP="005F32B8">
            <w:pPr>
              <w:jc w:val="both"/>
              <w:rPr>
                <w:sz w:val="20"/>
              </w:rPr>
            </w:pPr>
            <w:r w:rsidRPr="00AF75CE">
              <w:rPr>
                <w:sz w:val="20"/>
              </w:rPr>
              <w:t>December 11, 2017</w:t>
            </w:r>
          </w:p>
          <w:p w:rsidR="00B124FF" w:rsidRPr="00AF75CE" w:rsidRDefault="00B124FF" w:rsidP="005F32B8">
            <w:pPr>
              <w:jc w:val="both"/>
              <w:rPr>
                <w:sz w:val="20"/>
              </w:rPr>
            </w:pPr>
            <w:r w:rsidRPr="00AF75CE">
              <w:rPr>
                <w:sz w:val="20"/>
              </w:rPr>
              <w:t>Ontario Superior Court of Justice</w:t>
            </w:r>
          </w:p>
          <w:p w:rsidR="00B124FF" w:rsidRPr="00AF75CE" w:rsidRDefault="00B124FF" w:rsidP="005F32B8">
            <w:pPr>
              <w:jc w:val="both"/>
              <w:rPr>
                <w:sz w:val="20"/>
              </w:rPr>
            </w:pPr>
            <w:r w:rsidRPr="00AF75CE">
              <w:rPr>
                <w:sz w:val="20"/>
              </w:rPr>
              <w:t>(Himel J.)</w:t>
            </w:r>
          </w:p>
          <w:p w:rsidR="00B124FF" w:rsidRPr="00AF75CE" w:rsidRDefault="00B124FF" w:rsidP="005F32B8">
            <w:pPr>
              <w:jc w:val="both"/>
              <w:rPr>
                <w:sz w:val="20"/>
              </w:rPr>
            </w:pPr>
            <w:r w:rsidRPr="00AF75CE">
              <w:rPr>
                <w:color w:val="010000"/>
                <w:sz w:val="20"/>
              </w:rPr>
              <w:t>2017 ONSC 7372 (Unreported)</w:t>
            </w:r>
            <w:r w:rsidRPr="00AF75CE">
              <w:rPr>
                <w:sz w:val="20"/>
              </w:rPr>
              <w:t xml:space="preserve"> </w:t>
            </w:r>
          </w:p>
          <w:p w:rsidR="00B124FF" w:rsidRPr="00AF75CE" w:rsidRDefault="00B124FF" w:rsidP="005F32B8">
            <w:pPr>
              <w:jc w:val="both"/>
              <w:rPr>
                <w:sz w:val="20"/>
              </w:rPr>
            </w:pPr>
          </w:p>
        </w:tc>
        <w:tc>
          <w:tcPr>
            <w:tcW w:w="243" w:type="pct"/>
          </w:tcPr>
          <w:p w:rsidR="00B124FF" w:rsidRPr="00AF75CE" w:rsidRDefault="00B124FF" w:rsidP="005F32B8">
            <w:pPr>
              <w:jc w:val="both"/>
              <w:rPr>
                <w:sz w:val="20"/>
              </w:rPr>
            </w:pPr>
          </w:p>
        </w:tc>
        <w:tc>
          <w:tcPr>
            <w:tcW w:w="2330" w:type="pct"/>
          </w:tcPr>
          <w:p w:rsidR="00B124FF" w:rsidRPr="00AF75CE" w:rsidRDefault="00B124FF" w:rsidP="005F32B8">
            <w:pPr>
              <w:jc w:val="both"/>
              <w:rPr>
                <w:sz w:val="20"/>
              </w:rPr>
            </w:pPr>
            <w:r w:rsidRPr="00AF75CE">
              <w:rPr>
                <w:sz w:val="20"/>
              </w:rPr>
              <w:t xml:space="preserve">Motion for </w:t>
            </w:r>
            <w:r w:rsidRPr="00AF75CE">
              <w:rPr>
                <w:i/>
                <w:sz w:val="20"/>
              </w:rPr>
              <w:t>certiorari</w:t>
            </w:r>
            <w:r w:rsidRPr="00AF75CE">
              <w:rPr>
                <w:sz w:val="20"/>
              </w:rPr>
              <w:t xml:space="preserve"> dismissed</w:t>
            </w:r>
          </w:p>
          <w:p w:rsidR="00B124FF" w:rsidRPr="00AF75CE" w:rsidRDefault="00B124FF" w:rsidP="005F32B8">
            <w:pPr>
              <w:jc w:val="both"/>
              <w:rPr>
                <w:sz w:val="20"/>
              </w:rPr>
            </w:pPr>
          </w:p>
        </w:tc>
      </w:tr>
      <w:tr w:rsidR="00B124FF" w:rsidRPr="00AF75CE" w:rsidTr="005F32B8">
        <w:tc>
          <w:tcPr>
            <w:tcW w:w="2427" w:type="pct"/>
            <w:gridSpan w:val="2"/>
          </w:tcPr>
          <w:p w:rsidR="00B124FF" w:rsidRPr="00AF75CE" w:rsidRDefault="00B124FF" w:rsidP="005F32B8">
            <w:pPr>
              <w:jc w:val="both"/>
              <w:rPr>
                <w:sz w:val="20"/>
              </w:rPr>
            </w:pPr>
            <w:r w:rsidRPr="00AF75CE">
              <w:rPr>
                <w:sz w:val="20"/>
              </w:rPr>
              <w:t>September 26, 2018</w:t>
            </w:r>
          </w:p>
          <w:p w:rsidR="00B124FF" w:rsidRPr="00AF75CE" w:rsidRDefault="00B124FF" w:rsidP="005F32B8">
            <w:pPr>
              <w:jc w:val="both"/>
              <w:rPr>
                <w:sz w:val="20"/>
              </w:rPr>
            </w:pPr>
            <w:r w:rsidRPr="00AF75CE">
              <w:rPr>
                <w:sz w:val="20"/>
              </w:rPr>
              <w:lastRenderedPageBreak/>
              <w:t>Court of Appeal for Ontario</w:t>
            </w:r>
          </w:p>
          <w:p w:rsidR="00B124FF" w:rsidRPr="00AF75CE" w:rsidRDefault="00B124FF" w:rsidP="005F32B8">
            <w:pPr>
              <w:jc w:val="both"/>
              <w:rPr>
                <w:sz w:val="20"/>
              </w:rPr>
            </w:pPr>
            <w:r w:rsidRPr="00AF75CE">
              <w:rPr>
                <w:sz w:val="20"/>
              </w:rPr>
              <w:t>(Doherty, Young, Roberts JJ.A.)</w:t>
            </w:r>
          </w:p>
          <w:p w:rsidR="00B124FF" w:rsidRPr="00AF75CE" w:rsidRDefault="00B124FF" w:rsidP="005F32B8">
            <w:pPr>
              <w:jc w:val="both"/>
              <w:rPr>
                <w:sz w:val="20"/>
              </w:rPr>
            </w:pPr>
            <w:r w:rsidRPr="00AF75CE">
              <w:rPr>
                <w:sz w:val="20"/>
              </w:rPr>
              <w:t xml:space="preserve">C64809; </w:t>
            </w:r>
            <w:hyperlink r:id="rId35" w:history="1">
              <w:r w:rsidRPr="00AF75CE">
                <w:rPr>
                  <w:rStyle w:val="Hyperlink"/>
                  <w:sz w:val="20"/>
                </w:rPr>
                <w:t>2018 ONCA 784</w:t>
              </w:r>
            </w:hyperlink>
          </w:p>
          <w:p w:rsidR="00B124FF" w:rsidRPr="00AF75CE" w:rsidRDefault="00B124FF" w:rsidP="005F32B8">
            <w:pPr>
              <w:jc w:val="both"/>
              <w:rPr>
                <w:sz w:val="20"/>
              </w:rPr>
            </w:pPr>
          </w:p>
        </w:tc>
        <w:tc>
          <w:tcPr>
            <w:tcW w:w="243" w:type="pct"/>
          </w:tcPr>
          <w:p w:rsidR="00B124FF" w:rsidRPr="00AF75CE" w:rsidRDefault="00B124FF" w:rsidP="005F32B8">
            <w:pPr>
              <w:jc w:val="both"/>
              <w:rPr>
                <w:sz w:val="20"/>
              </w:rPr>
            </w:pPr>
          </w:p>
        </w:tc>
        <w:tc>
          <w:tcPr>
            <w:tcW w:w="2330" w:type="pct"/>
          </w:tcPr>
          <w:p w:rsidR="00B124FF" w:rsidRPr="00AF75CE" w:rsidRDefault="00B124FF" w:rsidP="005F32B8">
            <w:pPr>
              <w:jc w:val="both"/>
              <w:rPr>
                <w:sz w:val="20"/>
              </w:rPr>
            </w:pPr>
            <w:r w:rsidRPr="00AF75CE">
              <w:rPr>
                <w:sz w:val="20"/>
              </w:rPr>
              <w:t>Appeal dismissed</w:t>
            </w:r>
          </w:p>
          <w:p w:rsidR="00B124FF" w:rsidRPr="00AF75CE" w:rsidRDefault="00B124FF" w:rsidP="005F32B8">
            <w:pPr>
              <w:jc w:val="both"/>
              <w:rPr>
                <w:sz w:val="20"/>
              </w:rPr>
            </w:pPr>
          </w:p>
        </w:tc>
      </w:tr>
      <w:tr w:rsidR="00B124FF" w:rsidRPr="00AF75CE" w:rsidTr="005F32B8">
        <w:tc>
          <w:tcPr>
            <w:tcW w:w="2427" w:type="pct"/>
            <w:gridSpan w:val="2"/>
          </w:tcPr>
          <w:p w:rsidR="00B124FF" w:rsidRPr="00AF75CE" w:rsidRDefault="00B124FF" w:rsidP="005F32B8">
            <w:pPr>
              <w:jc w:val="both"/>
              <w:rPr>
                <w:sz w:val="20"/>
              </w:rPr>
            </w:pPr>
            <w:r w:rsidRPr="00AF75CE">
              <w:rPr>
                <w:sz w:val="20"/>
              </w:rPr>
              <w:lastRenderedPageBreak/>
              <w:t>November 1, 2018</w:t>
            </w:r>
          </w:p>
          <w:p w:rsidR="00B124FF" w:rsidRPr="00AF75CE" w:rsidRDefault="00B124FF" w:rsidP="005F32B8">
            <w:pPr>
              <w:jc w:val="both"/>
              <w:rPr>
                <w:sz w:val="20"/>
              </w:rPr>
            </w:pPr>
            <w:r w:rsidRPr="00AF75CE">
              <w:rPr>
                <w:sz w:val="20"/>
              </w:rPr>
              <w:t>Supreme Court of Canada</w:t>
            </w:r>
          </w:p>
        </w:tc>
        <w:tc>
          <w:tcPr>
            <w:tcW w:w="243" w:type="pct"/>
          </w:tcPr>
          <w:p w:rsidR="00B124FF" w:rsidRPr="00AF75CE" w:rsidRDefault="00B124FF" w:rsidP="005F32B8">
            <w:pPr>
              <w:jc w:val="both"/>
              <w:rPr>
                <w:sz w:val="20"/>
              </w:rPr>
            </w:pPr>
          </w:p>
        </w:tc>
        <w:tc>
          <w:tcPr>
            <w:tcW w:w="2330" w:type="pct"/>
          </w:tcPr>
          <w:p w:rsidR="00B124FF" w:rsidRPr="00AF75CE" w:rsidRDefault="00B124FF" w:rsidP="005F32B8">
            <w:pPr>
              <w:jc w:val="both"/>
              <w:rPr>
                <w:sz w:val="20"/>
              </w:rPr>
            </w:pPr>
            <w:r w:rsidRPr="00AF75CE">
              <w:rPr>
                <w:sz w:val="20"/>
              </w:rPr>
              <w:t>Application for leave to appeal filed</w:t>
            </w:r>
          </w:p>
          <w:p w:rsidR="00B124FF" w:rsidRPr="00AF75CE" w:rsidRDefault="00B124FF" w:rsidP="005F32B8">
            <w:pPr>
              <w:jc w:val="both"/>
              <w:rPr>
                <w:sz w:val="20"/>
              </w:rPr>
            </w:pPr>
          </w:p>
        </w:tc>
      </w:tr>
    </w:tbl>
    <w:p w:rsidR="00B124FF" w:rsidRDefault="00B124FF" w:rsidP="00B124FF">
      <w:pPr>
        <w:jc w:val="both"/>
        <w:rPr>
          <w:sz w:val="20"/>
        </w:rPr>
      </w:pPr>
    </w:p>
    <w:p w:rsidR="00B124FF" w:rsidRPr="00AF75CE" w:rsidRDefault="00B124FF" w:rsidP="00B124F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124FF" w:rsidRPr="00AF75CE" w:rsidTr="005F32B8">
        <w:tc>
          <w:tcPr>
            <w:tcW w:w="543" w:type="pct"/>
          </w:tcPr>
          <w:p w:rsidR="00B124FF" w:rsidRPr="00AF75CE" w:rsidRDefault="00B124FF" w:rsidP="005F32B8">
            <w:pPr>
              <w:jc w:val="both"/>
              <w:rPr>
                <w:sz w:val="20"/>
                <w:lang w:val="fr-CA"/>
              </w:rPr>
            </w:pPr>
            <w:r w:rsidRPr="00AF75CE">
              <w:rPr>
                <w:rStyle w:val="SCCFileNumberChar"/>
                <w:sz w:val="20"/>
                <w:szCs w:val="20"/>
                <w:lang w:val="fr-CA"/>
              </w:rPr>
              <w:t>38378</w:t>
            </w:r>
          </w:p>
        </w:tc>
        <w:tc>
          <w:tcPr>
            <w:tcW w:w="4457" w:type="pct"/>
            <w:gridSpan w:val="3"/>
          </w:tcPr>
          <w:p w:rsidR="00B124FF" w:rsidRPr="00202CE2" w:rsidRDefault="00B124FF" w:rsidP="005F32B8">
            <w:pPr>
              <w:pStyle w:val="SCCLsocParty"/>
              <w:jc w:val="both"/>
              <w:rPr>
                <w:b/>
                <w:sz w:val="20"/>
                <w:szCs w:val="20"/>
              </w:rPr>
            </w:pPr>
            <w:r w:rsidRPr="00202CE2">
              <w:rPr>
                <w:b/>
                <w:sz w:val="20"/>
                <w:szCs w:val="20"/>
              </w:rPr>
              <w:t>Steven Nowack c. Sa Majesté la Reine</w:t>
            </w:r>
          </w:p>
          <w:p w:rsidR="00B124FF" w:rsidRPr="00AF75CE" w:rsidRDefault="00B124FF" w:rsidP="005F32B8">
            <w:pPr>
              <w:jc w:val="both"/>
              <w:rPr>
                <w:sz w:val="20"/>
                <w:lang w:val="fr-CA"/>
              </w:rPr>
            </w:pPr>
            <w:r w:rsidRPr="00AF75CE">
              <w:rPr>
                <w:sz w:val="20"/>
                <w:lang w:val="fr-CA"/>
              </w:rPr>
              <w:t>(Ont.) (Criminelle) (Autorisation)</w:t>
            </w:r>
          </w:p>
        </w:tc>
      </w:tr>
      <w:tr w:rsidR="00B124FF" w:rsidRPr="00CC0B55" w:rsidTr="005F32B8">
        <w:tc>
          <w:tcPr>
            <w:tcW w:w="5000" w:type="pct"/>
            <w:gridSpan w:val="4"/>
          </w:tcPr>
          <w:p w:rsidR="00B124FF" w:rsidRDefault="00B124FF" w:rsidP="005F32B8">
            <w:pPr>
              <w:jc w:val="both"/>
              <w:rPr>
                <w:sz w:val="20"/>
                <w:lang w:val="fr-CA"/>
              </w:rPr>
            </w:pPr>
            <w:r w:rsidRPr="00C97F67">
              <w:rPr>
                <w:sz w:val="20"/>
                <w:lang w:val="fr-CA"/>
              </w:rPr>
              <w:t>La demande d’autorisation d’appel de l’arrêt de la Cour d’appel de l’Ontario, numéro C64809, 2018 ONCA 784, daté du 20 septembre 2018, est rejetée.</w:t>
            </w:r>
          </w:p>
          <w:p w:rsidR="00B124FF" w:rsidRPr="00AF75CE" w:rsidRDefault="00B124FF" w:rsidP="005F32B8">
            <w:pPr>
              <w:jc w:val="both"/>
              <w:rPr>
                <w:sz w:val="20"/>
                <w:lang w:val="fr-CA"/>
              </w:rPr>
            </w:pPr>
          </w:p>
        </w:tc>
      </w:tr>
      <w:tr w:rsidR="00B124FF" w:rsidRPr="00CC0B55" w:rsidTr="005F32B8">
        <w:tc>
          <w:tcPr>
            <w:tcW w:w="5000" w:type="pct"/>
            <w:gridSpan w:val="4"/>
          </w:tcPr>
          <w:p w:rsidR="00B124FF" w:rsidRPr="00AF75CE" w:rsidRDefault="00B124FF" w:rsidP="005F32B8">
            <w:pPr>
              <w:jc w:val="both"/>
              <w:rPr>
                <w:sz w:val="20"/>
                <w:lang w:val="fr-CA"/>
              </w:rPr>
            </w:pPr>
            <w:r w:rsidRPr="00AF75CE">
              <w:rPr>
                <w:sz w:val="20"/>
                <w:lang w:val="fr-CA"/>
              </w:rPr>
              <w:t xml:space="preserve">Droit criminel – Justice naturelle – Enquête préliminaire – Contre-interrogatoire des témoins par l’accusé – Pouvoir discrétionnaire du juge qui préside l’enquête préliminaire de refuser de permettre le contre-interrogatoire de témoins en application du par. 540(9) du </w:t>
            </w:r>
            <w:r w:rsidRPr="00AF75CE">
              <w:rPr>
                <w:i/>
                <w:sz w:val="20"/>
                <w:lang w:val="fr-CA"/>
              </w:rPr>
              <w:t>Code criminel</w:t>
            </w:r>
            <w:r w:rsidRPr="00AF75CE">
              <w:rPr>
                <w:sz w:val="20"/>
                <w:lang w:val="fr-CA"/>
              </w:rPr>
              <w:t xml:space="preserve"> – Principes applicables à l’appréciation de la question de savoir si le refus du contre-interrogatoire est un manquement à la justice naturelle – Le défaut de permettre à l’accusé d’appeler des témoins a-t-il entraîné une perte de compétence? – Dans le cadre d’une demande de </w:t>
            </w:r>
            <w:r w:rsidRPr="00AF75CE">
              <w:rPr>
                <w:i/>
                <w:sz w:val="20"/>
                <w:lang w:val="fr-CA"/>
              </w:rPr>
              <w:t>certiorari</w:t>
            </w:r>
            <w:r w:rsidRPr="00AF75CE">
              <w:rPr>
                <w:sz w:val="20"/>
                <w:lang w:val="fr-CA"/>
              </w:rPr>
              <w:t xml:space="preserve"> ou d’un appel, le refus de permettre le contre-interrogatoire de témoins peut-il être reformulé comme un refus d’ajourner? – Le refus de permettre l’interrogatoire de témoins sur le fondement de perceptions judiciaires d’utilité pour la défense constitue-t-il une mauvaise compréhension du rôle du juge qui préside l’enquête préliminaire et une erreur juridictionnelle?</w:t>
            </w:r>
          </w:p>
          <w:p w:rsidR="00B124FF" w:rsidRPr="00AF75CE" w:rsidRDefault="00B124FF" w:rsidP="005F32B8">
            <w:pPr>
              <w:jc w:val="both"/>
              <w:rPr>
                <w:sz w:val="20"/>
                <w:lang w:val="fr-CA"/>
              </w:rPr>
            </w:pPr>
          </w:p>
        </w:tc>
      </w:tr>
      <w:tr w:rsidR="00B124FF" w:rsidRPr="00CC0B55" w:rsidTr="005F32B8">
        <w:tc>
          <w:tcPr>
            <w:tcW w:w="5000" w:type="pct"/>
            <w:gridSpan w:val="4"/>
          </w:tcPr>
          <w:p w:rsidR="00B124FF" w:rsidRPr="00AF75CE" w:rsidRDefault="00B124FF" w:rsidP="005F32B8">
            <w:pPr>
              <w:jc w:val="both"/>
              <w:rPr>
                <w:sz w:val="20"/>
                <w:lang w:val="fr-CA"/>
              </w:rPr>
            </w:pPr>
            <w:r w:rsidRPr="00AF75CE">
              <w:rPr>
                <w:color w:val="010000"/>
                <w:sz w:val="20"/>
                <w:lang w:val="fr-CA"/>
              </w:rPr>
              <w:t>Monsieur Nowack est inculpé de plusieurs chefs de fraude</w:t>
            </w:r>
            <w:r w:rsidRPr="00AF75CE">
              <w:rPr>
                <w:color w:val="1F1E1C"/>
                <w:sz w:val="20"/>
                <w:lang w:val="fr-CA"/>
              </w:rPr>
              <w:t xml:space="preserve">. </w:t>
            </w:r>
            <w:r w:rsidRPr="00AF75CE">
              <w:rPr>
                <w:color w:val="010000"/>
                <w:sz w:val="20"/>
                <w:lang w:val="fr-CA"/>
              </w:rPr>
              <w:t>À une enquête préliminaire, quatre témoins ont témoigné de vive voix et ont été contre-interrogés</w:t>
            </w:r>
            <w:r w:rsidRPr="00AF75CE">
              <w:rPr>
                <w:sz w:val="20"/>
                <w:lang w:val="fr-CA"/>
              </w:rPr>
              <w:t xml:space="preserve">. Le reste de la preuve du ministère public est sous forme papier en application du par. 540(7) du </w:t>
            </w:r>
            <w:r w:rsidRPr="00AF75CE">
              <w:rPr>
                <w:i/>
                <w:sz w:val="20"/>
                <w:lang w:val="fr-CA"/>
              </w:rPr>
              <w:t>Code criminel</w:t>
            </w:r>
            <w:r w:rsidRPr="00AF75CE">
              <w:rPr>
                <w:sz w:val="20"/>
                <w:lang w:val="fr-CA"/>
              </w:rPr>
              <w:t>, y compris des affidavits, un rapport d’expertise comptable judiciaire et des notes de policiers.</w:t>
            </w:r>
            <w:r w:rsidRPr="00AF75CE">
              <w:rPr>
                <w:color w:val="010000"/>
                <w:sz w:val="20"/>
                <w:lang w:val="fr-CA"/>
              </w:rPr>
              <w:t xml:space="preserve"> </w:t>
            </w:r>
            <w:r w:rsidRPr="00AF75CE">
              <w:rPr>
                <w:iCs/>
                <w:color w:val="000000"/>
                <w:sz w:val="20"/>
                <w:lang w:val="fr-CA"/>
              </w:rPr>
              <w:t xml:space="preserve">À l’enquête préliminaire, M. Nowack a demandé l’autorisation de contre-interroger le déposant et les sous-déposants d’un mandat de perquisition, l’agent enquêteur, d’autres agents ainsi qu’un ajournement. La demande a été rejetée. </w:t>
            </w:r>
            <w:r w:rsidRPr="00AF75CE">
              <w:rPr>
                <w:color w:val="010000"/>
                <w:sz w:val="20"/>
                <w:lang w:val="fr-CA"/>
              </w:rPr>
              <w:t xml:space="preserve">Monsieur Nowack a demandé un </w:t>
            </w:r>
            <w:r w:rsidRPr="00AF75CE">
              <w:rPr>
                <w:i/>
                <w:iCs/>
                <w:color w:val="000000"/>
                <w:sz w:val="20"/>
                <w:lang w:val="fr-CA"/>
              </w:rPr>
              <w:t>certiorari</w:t>
            </w:r>
            <w:r w:rsidRPr="00AF75CE">
              <w:rPr>
                <w:iCs/>
                <w:color w:val="000000"/>
                <w:sz w:val="20"/>
                <w:lang w:val="fr-CA"/>
              </w:rPr>
              <w:t>. La juge de première instance a statué que le juge qui présidait l’enquête préliminaire avait compétence pour refuser d’ajourner et ce faisant, il ne compromettait pas sa compétence</w:t>
            </w:r>
            <w:r w:rsidRPr="00AF75CE">
              <w:rPr>
                <w:sz w:val="20"/>
                <w:lang w:val="fr-CA"/>
              </w:rPr>
              <w:t xml:space="preserve">. Elle a refusé le </w:t>
            </w:r>
            <w:r w:rsidRPr="00AF75CE">
              <w:rPr>
                <w:i/>
                <w:sz w:val="20"/>
                <w:lang w:val="fr-CA"/>
              </w:rPr>
              <w:t>certiorari.</w:t>
            </w:r>
            <w:r w:rsidRPr="00AF75CE">
              <w:rPr>
                <w:sz w:val="20"/>
                <w:lang w:val="fr-CA"/>
              </w:rPr>
              <w:t xml:space="preserve"> La Cour d’appel a rejeté l’appel.</w:t>
            </w:r>
          </w:p>
        </w:tc>
      </w:tr>
      <w:tr w:rsidR="00B124FF" w:rsidRPr="00CC0B55" w:rsidTr="005F32B8">
        <w:tc>
          <w:tcPr>
            <w:tcW w:w="5000" w:type="pct"/>
            <w:gridSpan w:val="4"/>
          </w:tcPr>
          <w:p w:rsidR="00B124FF" w:rsidRPr="00AF75CE" w:rsidRDefault="00B124FF" w:rsidP="005F32B8">
            <w:pPr>
              <w:jc w:val="both"/>
              <w:rPr>
                <w:sz w:val="20"/>
                <w:lang w:val="fr-CA"/>
              </w:rPr>
            </w:pPr>
          </w:p>
        </w:tc>
      </w:tr>
      <w:tr w:rsidR="00B124FF" w:rsidRPr="00CC0B55" w:rsidTr="005F32B8">
        <w:tc>
          <w:tcPr>
            <w:tcW w:w="2427" w:type="pct"/>
            <w:gridSpan w:val="2"/>
          </w:tcPr>
          <w:p w:rsidR="00B124FF" w:rsidRPr="00AF75CE" w:rsidRDefault="00B124FF" w:rsidP="005F32B8">
            <w:pPr>
              <w:jc w:val="both"/>
              <w:rPr>
                <w:sz w:val="20"/>
                <w:lang w:val="fr-CA"/>
              </w:rPr>
            </w:pPr>
            <w:r w:rsidRPr="00AF75CE">
              <w:rPr>
                <w:sz w:val="20"/>
                <w:lang w:val="fr-CA"/>
              </w:rPr>
              <w:t>3 novembre 2016</w:t>
            </w:r>
          </w:p>
          <w:p w:rsidR="00B124FF" w:rsidRPr="00AF75CE" w:rsidRDefault="00B124FF" w:rsidP="005F32B8">
            <w:pPr>
              <w:jc w:val="both"/>
              <w:rPr>
                <w:sz w:val="20"/>
                <w:lang w:val="fr-CA"/>
              </w:rPr>
            </w:pPr>
            <w:r w:rsidRPr="00AF75CE">
              <w:rPr>
                <w:sz w:val="20"/>
                <w:lang w:val="fr-CA"/>
              </w:rPr>
              <w:t>Cour de justice de l’Ontario</w:t>
            </w:r>
          </w:p>
          <w:p w:rsidR="00B124FF" w:rsidRPr="00AF75CE" w:rsidRDefault="00B124FF" w:rsidP="005F32B8">
            <w:pPr>
              <w:jc w:val="both"/>
              <w:rPr>
                <w:sz w:val="20"/>
                <w:lang w:val="fr-CA"/>
              </w:rPr>
            </w:pPr>
            <w:r w:rsidRPr="00AF75CE">
              <w:rPr>
                <w:sz w:val="20"/>
                <w:lang w:val="fr-CA"/>
              </w:rPr>
              <w:t>(Juge McLeod)</w:t>
            </w:r>
            <w:r w:rsidRPr="00AF75CE">
              <w:rPr>
                <w:color w:val="010000"/>
                <w:sz w:val="20"/>
                <w:lang w:val="fr-CA"/>
              </w:rPr>
              <w:t xml:space="preserve"> (Non publié)</w:t>
            </w:r>
            <w:r w:rsidRPr="00AF75CE">
              <w:rPr>
                <w:sz w:val="20"/>
                <w:lang w:val="fr-CA"/>
              </w:rPr>
              <w:t xml:space="preserve"> </w:t>
            </w:r>
          </w:p>
          <w:p w:rsidR="00B124FF" w:rsidRPr="00AF75CE" w:rsidRDefault="00B124FF" w:rsidP="005F32B8">
            <w:pPr>
              <w:jc w:val="both"/>
              <w:rPr>
                <w:sz w:val="20"/>
                <w:lang w:val="fr-CA"/>
              </w:rPr>
            </w:pPr>
          </w:p>
        </w:tc>
        <w:tc>
          <w:tcPr>
            <w:tcW w:w="243" w:type="pct"/>
          </w:tcPr>
          <w:p w:rsidR="00B124FF" w:rsidRPr="00AF75CE" w:rsidRDefault="00B124FF" w:rsidP="005F32B8">
            <w:pPr>
              <w:jc w:val="both"/>
              <w:rPr>
                <w:sz w:val="20"/>
                <w:lang w:val="fr-CA"/>
              </w:rPr>
            </w:pPr>
          </w:p>
        </w:tc>
        <w:tc>
          <w:tcPr>
            <w:tcW w:w="2330" w:type="pct"/>
          </w:tcPr>
          <w:p w:rsidR="00B124FF" w:rsidRPr="00AF75CE" w:rsidRDefault="00B124FF" w:rsidP="005F32B8">
            <w:pPr>
              <w:jc w:val="both"/>
              <w:rPr>
                <w:sz w:val="20"/>
                <w:lang w:val="fr-CA"/>
              </w:rPr>
            </w:pPr>
            <w:r w:rsidRPr="00AF75CE">
              <w:rPr>
                <w:sz w:val="20"/>
                <w:lang w:val="fr-CA"/>
              </w:rPr>
              <w:t>Renvoi à procès relativement à tous les chefs d’accusation</w:t>
            </w:r>
          </w:p>
        </w:tc>
      </w:tr>
      <w:tr w:rsidR="00B124FF" w:rsidRPr="00CC0B55" w:rsidTr="005F32B8">
        <w:tc>
          <w:tcPr>
            <w:tcW w:w="2427" w:type="pct"/>
            <w:gridSpan w:val="2"/>
          </w:tcPr>
          <w:p w:rsidR="00B124FF" w:rsidRPr="00AF75CE" w:rsidRDefault="00B124FF" w:rsidP="005F32B8">
            <w:pPr>
              <w:jc w:val="both"/>
              <w:rPr>
                <w:sz w:val="20"/>
                <w:lang w:val="fr-CA"/>
              </w:rPr>
            </w:pPr>
            <w:r w:rsidRPr="00AF75CE">
              <w:rPr>
                <w:sz w:val="20"/>
                <w:lang w:val="fr-CA"/>
              </w:rPr>
              <w:t>11 décembre 2017</w:t>
            </w:r>
          </w:p>
          <w:p w:rsidR="00B124FF" w:rsidRPr="00AF75CE" w:rsidRDefault="00B124FF" w:rsidP="005F32B8">
            <w:pPr>
              <w:jc w:val="both"/>
              <w:rPr>
                <w:sz w:val="20"/>
                <w:lang w:val="fr-CA"/>
              </w:rPr>
            </w:pPr>
            <w:r w:rsidRPr="00AF75CE">
              <w:rPr>
                <w:sz w:val="20"/>
                <w:lang w:val="fr-CA"/>
              </w:rPr>
              <w:t>Cour supérieure de justice de l’Ontario</w:t>
            </w:r>
          </w:p>
          <w:p w:rsidR="00B124FF" w:rsidRPr="00AF75CE" w:rsidRDefault="00B124FF" w:rsidP="005F32B8">
            <w:pPr>
              <w:jc w:val="both"/>
              <w:rPr>
                <w:sz w:val="20"/>
                <w:lang w:val="fr-CA"/>
              </w:rPr>
            </w:pPr>
            <w:r w:rsidRPr="00AF75CE">
              <w:rPr>
                <w:sz w:val="20"/>
                <w:lang w:val="fr-CA"/>
              </w:rPr>
              <w:t>(Juge Himel)</w:t>
            </w:r>
          </w:p>
          <w:p w:rsidR="00B124FF" w:rsidRPr="00AF75CE" w:rsidRDefault="00B124FF" w:rsidP="005F32B8">
            <w:pPr>
              <w:jc w:val="both"/>
              <w:rPr>
                <w:sz w:val="20"/>
                <w:lang w:val="fr-CA"/>
              </w:rPr>
            </w:pPr>
            <w:r w:rsidRPr="00AF75CE">
              <w:rPr>
                <w:color w:val="010000"/>
                <w:sz w:val="20"/>
                <w:lang w:val="fr-CA"/>
              </w:rPr>
              <w:t>2017 ONSC 7372 (Non publié)</w:t>
            </w:r>
            <w:r w:rsidRPr="00AF75CE">
              <w:rPr>
                <w:sz w:val="20"/>
                <w:lang w:val="fr-CA"/>
              </w:rPr>
              <w:t xml:space="preserve"> </w:t>
            </w:r>
          </w:p>
          <w:p w:rsidR="00B124FF" w:rsidRPr="00AF75CE" w:rsidRDefault="00B124FF" w:rsidP="005F32B8">
            <w:pPr>
              <w:jc w:val="both"/>
              <w:rPr>
                <w:sz w:val="20"/>
                <w:lang w:val="fr-CA"/>
              </w:rPr>
            </w:pPr>
          </w:p>
        </w:tc>
        <w:tc>
          <w:tcPr>
            <w:tcW w:w="243" w:type="pct"/>
          </w:tcPr>
          <w:p w:rsidR="00B124FF" w:rsidRPr="00AF75CE" w:rsidRDefault="00B124FF" w:rsidP="005F32B8">
            <w:pPr>
              <w:jc w:val="both"/>
              <w:rPr>
                <w:sz w:val="20"/>
                <w:lang w:val="fr-CA"/>
              </w:rPr>
            </w:pPr>
          </w:p>
        </w:tc>
        <w:tc>
          <w:tcPr>
            <w:tcW w:w="2330" w:type="pct"/>
          </w:tcPr>
          <w:p w:rsidR="00B124FF" w:rsidRPr="00AF75CE" w:rsidRDefault="00B124FF" w:rsidP="005F32B8">
            <w:pPr>
              <w:jc w:val="both"/>
              <w:rPr>
                <w:sz w:val="20"/>
                <w:lang w:val="fr-CA"/>
              </w:rPr>
            </w:pPr>
            <w:r w:rsidRPr="00AF75CE">
              <w:rPr>
                <w:sz w:val="20"/>
                <w:lang w:val="fr-CA"/>
              </w:rPr>
              <w:t xml:space="preserve">Rejet de la motion en </w:t>
            </w:r>
            <w:r w:rsidRPr="00AF75CE">
              <w:rPr>
                <w:i/>
                <w:sz w:val="20"/>
                <w:lang w:val="fr-CA"/>
              </w:rPr>
              <w:t>certiorari</w:t>
            </w:r>
          </w:p>
          <w:p w:rsidR="00B124FF" w:rsidRPr="00AF75CE" w:rsidRDefault="00B124FF" w:rsidP="005F32B8">
            <w:pPr>
              <w:jc w:val="both"/>
              <w:rPr>
                <w:sz w:val="20"/>
                <w:lang w:val="fr-CA"/>
              </w:rPr>
            </w:pPr>
          </w:p>
        </w:tc>
      </w:tr>
      <w:tr w:rsidR="00B124FF" w:rsidRPr="00AF75CE" w:rsidTr="005F32B8">
        <w:tc>
          <w:tcPr>
            <w:tcW w:w="2427" w:type="pct"/>
            <w:gridSpan w:val="2"/>
          </w:tcPr>
          <w:p w:rsidR="00B124FF" w:rsidRPr="00AF75CE" w:rsidRDefault="00B124FF" w:rsidP="005F32B8">
            <w:pPr>
              <w:jc w:val="both"/>
              <w:rPr>
                <w:sz w:val="20"/>
                <w:lang w:val="fr-CA"/>
              </w:rPr>
            </w:pPr>
            <w:r w:rsidRPr="00AF75CE">
              <w:rPr>
                <w:sz w:val="20"/>
                <w:lang w:val="fr-CA"/>
              </w:rPr>
              <w:t>26 septembre 2018</w:t>
            </w:r>
          </w:p>
          <w:p w:rsidR="00B124FF" w:rsidRPr="00AF75CE" w:rsidRDefault="00B124FF" w:rsidP="005F32B8">
            <w:pPr>
              <w:jc w:val="both"/>
              <w:rPr>
                <w:sz w:val="20"/>
                <w:lang w:val="fr-CA"/>
              </w:rPr>
            </w:pPr>
            <w:r w:rsidRPr="00AF75CE">
              <w:rPr>
                <w:sz w:val="20"/>
                <w:lang w:val="fr-CA"/>
              </w:rPr>
              <w:t>Cour d’appel de l’Ontario</w:t>
            </w:r>
          </w:p>
          <w:p w:rsidR="00B124FF" w:rsidRPr="00AF75CE" w:rsidRDefault="00B124FF" w:rsidP="005F32B8">
            <w:pPr>
              <w:jc w:val="both"/>
              <w:rPr>
                <w:sz w:val="20"/>
                <w:lang w:val="fr-CA"/>
              </w:rPr>
            </w:pPr>
            <w:r w:rsidRPr="00AF75CE">
              <w:rPr>
                <w:sz w:val="20"/>
                <w:lang w:val="fr-CA"/>
              </w:rPr>
              <w:t>(Juges Doherty, Young et Roberts)</w:t>
            </w:r>
          </w:p>
          <w:p w:rsidR="00B124FF" w:rsidRPr="00AF75CE" w:rsidRDefault="00B124FF" w:rsidP="005F32B8">
            <w:pPr>
              <w:jc w:val="both"/>
              <w:rPr>
                <w:sz w:val="20"/>
                <w:lang w:val="fr-CA"/>
              </w:rPr>
            </w:pPr>
            <w:r w:rsidRPr="00AF75CE">
              <w:rPr>
                <w:sz w:val="20"/>
                <w:lang w:val="fr-CA"/>
              </w:rPr>
              <w:t xml:space="preserve">C64809; </w:t>
            </w:r>
            <w:hyperlink r:id="rId36" w:history="1">
              <w:r w:rsidRPr="00AF75CE">
                <w:rPr>
                  <w:rStyle w:val="Hyperlink"/>
                  <w:sz w:val="20"/>
                  <w:lang w:val="fr-CA"/>
                </w:rPr>
                <w:t>2018 ONCA 784</w:t>
              </w:r>
            </w:hyperlink>
          </w:p>
          <w:p w:rsidR="00B124FF" w:rsidRPr="00AF75CE" w:rsidRDefault="00B124FF" w:rsidP="005F32B8">
            <w:pPr>
              <w:jc w:val="both"/>
              <w:rPr>
                <w:sz w:val="20"/>
                <w:lang w:val="fr-CA"/>
              </w:rPr>
            </w:pPr>
          </w:p>
        </w:tc>
        <w:tc>
          <w:tcPr>
            <w:tcW w:w="243" w:type="pct"/>
          </w:tcPr>
          <w:p w:rsidR="00B124FF" w:rsidRPr="00AF75CE" w:rsidRDefault="00B124FF" w:rsidP="005F32B8">
            <w:pPr>
              <w:jc w:val="both"/>
              <w:rPr>
                <w:sz w:val="20"/>
                <w:lang w:val="fr-CA"/>
              </w:rPr>
            </w:pPr>
          </w:p>
        </w:tc>
        <w:tc>
          <w:tcPr>
            <w:tcW w:w="2330" w:type="pct"/>
          </w:tcPr>
          <w:p w:rsidR="00B124FF" w:rsidRPr="00AF75CE" w:rsidRDefault="00B124FF" w:rsidP="005F32B8">
            <w:pPr>
              <w:jc w:val="both"/>
              <w:rPr>
                <w:sz w:val="20"/>
                <w:lang w:val="fr-CA"/>
              </w:rPr>
            </w:pPr>
            <w:r w:rsidRPr="00AF75CE">
              <w:rPr>
                <w:sz w:val="20"/>
                <w:lang w:val="fr-CA"/>
              </w:rPr>
              <w:t>Rejet de l’appel</w:t>
            </w:r>
          </w:p>
          <w:p w:rsidR="00B124FF" w:rsidRPr="00AF75CE" w:rsidRDefault="00B124FF" w:rsidP="005F32B8">
            <w:pPr>
              <w:jc w:val="both"/>
              <w:rPr>
                <w:sz w:val="20"/>
                <w:lang w:val="fr-CA"/>
              </w:rPr>
            </w:pPr>
          </w:p>
        </w:tc>
      </w:tr>
      <w:tr w:rsidR="00B124FF" w:rsidRPr="00CC0B55" w:rsidTr="005F32B8">
        <w:tc>
          <w:tcPr>
            <w:tcW w:w="2427" w:type="pct"/>
            <w:gridSpan w:val="2"/>
          </w:tcPr>
          <w:p w:rsidR="00B124FF" w:rsidRPr="00AF75CE" w:rsidRDefault="00B124FF" w:rsidP="005F32B8">
            <w:pPr>
              <w:jc w:val="both"/>
              <w:rPr>
                <w:sz w:val="20"/>
                <w:lang w:val="fr-CA"/>
              </w:rPr>
            </w:pPr>
            <w:r w:rsidRPr="00AF75CE">
              <w:rPr>
                <w:sz w:val="20"/>
                <w:lang w:val="fr-CA"/>
              </w:rPr>
              <w:t>1</w:t>
            </w:r>
            <w:r w:rsidRPr="00AF75CE">
              <w:rPr>
                <w:sz w:val="20"/>
                <w:vertAlign w:val="superscript"/>
                <w:lang w:val="fr-CA"/>
              </w:rPr>
              <w:t>er</w:t>
            </w:r>
            <w:r w:rsidRPr="00AF75CE">
              <w:rPr>
                <w:sz w:val="20"/>
                <w:lang w:val="fr-CA"/>
              </w:rPr>
              <w:t xml:space="preserve"> novembre 2018</w:t>
            </w:r>
          </w:p>
          <w:p w:rsidR="00B124FF" w:rsidRPr="00AF75CE" w:rsidRDefault="00B124FF" w:rsidP="005F32B8">
            <w:pPr>
              <w:jc w:val="both"/>
              <w:rPr>
                <w:sz w:val="20"/>
                <w:lang w:val="fr-CA"/>
              </w:rPr>
            </w:pPr>
            <w:r w:rsidRPr="00AF75CE">
              <w:rPr>
                <w:sz w:val="20"/>
                <w:lang w:val="fr-CA"/>
              </w:rPr>
              <w:t>Cour suprême du Canada</w:t>
            </w:r>
          </w:p>
        </w:tc>
        <w:tc>
          <w:tcPr>
            <w:tcW w:w="243" w:type="pct"/>
          </w:tcPr>
          <w:p w:rsidR="00B124FF" w:rsidRPr="00AF75CE" w:rsidRDefault="00B124FF" w:rsidP="005F32B8">
            <w:pPr>
              <w:jc w:val="both"/>
              <w:rPr>
                <w:sz w:val="20"/>
                <w:lang w:val="fr-CA"/>
              </w:rPr>
            </w:pPr>
          </w:p>
        </w:tc>
        <w:tc>
          <w:tcPr>
            <w:tcW w:w="2330" w:type="pct"/>
          </w:tcPr>
          <w:p w:rsidR="00B124FF" w:rsidRPr="00AF75CE" w:rsidRDefault="00B124FF" w:rsidP="005F32B8">
            <w:pPr>
              <w:jc w:val="both"/>
              <w:rPr>
                <w:sz w:val="20"/>
                <w:lang w:val="fr-CA"/>
              </w:rPr>
            </w:pPr>
            <w:r w:rsidRPr="00AF75CE">
              <w:rPr>
                <w:sz w:val="20"/>
                <w:lang w:val="fr-CA"/>
              </w:rPr>
              <w:t>Dépôt de la demande d’autorisation d’appel</w:t>
            </w:r>
          </w:p>
          <w:p w:rsidR="00B124FF" w:rsidRPr="00AF75CE" w:rsidRDefault="00B124FF" w:rsidP="005F32B8">
            <w:pPr>
              <w:jc w:val="both"/>
              <w:rPr>
                <w:sz w:val="20"/>
                <w:lang w:val="fr-CA"/>
              </w:rPr>
            </w:pPr>
          </w:p>
        </w:tc>
      </w:tr>
    </w:tbl>
    <w:p w:rsidR="00B124FF" w:rsidRPr="00AF75CE" w:rsidRDefault="00B124FF" w:rsidP="00B124FF">
      <w:pPr>
        <w:jc w:val="both"/>
        <w:rPr>
          <w:sz w:val="20"/>
          <w:lang w:val="fr-CA"/>
        </w:rPr>
      </w:pPr>
    </w:p>
    <w:p w:rsidR="00B124FF" w:rsidRPr="00AF75CE" w:rsidRDefault="00A24D5C" w:rsidP="00B124FF">
      <w:pPr>
        <w:ind w:left="142" w:hanging="142"/>
        <w:jc w:val="both"/>
        <w:rPr>
          <w:sz w:val="20"/>
          <w:lang w:val="fr-CA"/>
        </w:rPr>
      </w:pPr>
      <w:r>
        <w:rPr>
          <w:sz w:val="20"/>
          <w:szCs w:val="20"/>
        </w:rPr>
        <w:pict>
          <v:rect id="_x0000_i1037" style="width:2in;height:1pt" o:hrpct="0" o:hralign="center" o:hrstd="t" o:hrnoshade="t" o:hr="t" fillcolor="black [3213]" stroked="f"/>
        </w:pict>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124FF" w:rsidRPr="00AF75CE" w:rsidTr="005F32B8">
        <w:tc>
          <w:tcPr>
            <w:tcW w:w="543" w:type="pct"/>
          </w:tcPr>
          <w:p w:rsidR="00B124FF" w:rsidRPr="00AF75CE" w:rsidRDefault="00B124FF" w:rsidP="005F32B8">
            <w:pPr>
              <w:jc w:val="both"/>
              <w:rPr>
                <w:sz w:val="20"/>
              </w:rPr>
            </w:pPr>
            <w:r w:rsidRPr="00AF75CE">
              <w:rPr>
                <w:rStyle w:val="SCCFileNumberChar"/>
                <w:sz w:val="20"/>
                <w:szCs w:val="20"/>
              </w:rPr>
              <w:lastRenderedPageBreak/>
              <w:t>38328</w:t>
            </w:r>
          </w:p>
        </w:tc>
        <w:tc>
          <w:tcPr>
            <w:tcW w:w="4457" w:type="pct"/>
            <w:gridSpan w:val="3"/>
          </w:tcPr>
          <w:p w:rsidR="00B124FF" w:rsidRPr="00202CE2" w:rsidRDefault="00B124FF" w:rsidP="005F32B8">
            <w:pPr>
              <w:pStyle w:val="SCCLsocParty"/>
              <w:jc w:val="both"/>
              <w:rPr>
                <w:b/>
                <w:sz w:val="20"/>
                <w:szCs w:val="20"/>
                <w:lang w:val="en-US"/>
              </w:rPr>
            </w:pPr>
            <w:r w:rsidRPr="00202CE2">
              <w:rPr>
                <w:b/>
                <w:sz w:val="20"/>
                <w:szCs w:val="20"/>
                <w:lang w:val="en-US"/>
              </w:rPr>
              <w:t>Her Majesty the Queen v. Cherrylle Margaret Dell</w:t>
            </w:r>
          </w:p>
          <w:p w:rsidR="00B124FF" w:rsidRPr="00AF75CE" w:rsidRDefault="00B124FF" w:rsidP="005F32B8">
            <w:pPr>
              <w:jc w:val="both"/>
              <w:rPr>
                <w:sz w:val="20"/>
              </w:rPr>
            </w:pPr>
            <w:r w:rsidRPr="00AF75CE">
              <w:rPr>
                <w:sz w:val="20"/>
              </w:rPr>
              <w:t>(Ont.) (Criminal) (By Leave)</w:t>
            </w:r>
          </w:p>
        </w:tc>
      </w:tr>
      <w:tr w:rsidR="00B124FF" w:rsidRPr="00AF75CE" w:rsidTr="005F32B8">
        <w:tc>
          <w:tcPr>
            <w:tcW w:w="5000" w:type="pct"/>
            <w:gridSpan w:val="4"/>
          </w:tcPr>
          <w:p w:rsidR="00B124FF" w:rsidRDefault="00B124FF" w:rsidP="005F32B8">
            <w:pPr>
              <w:jc w:val="both"/>
              <w:rPr>
                <w:sz w:val="20"/>
              </w:rPr>
            </w:pPr>
            <w:r w:rsidRPr="00C97F67">
              <w:rPr>
                <w:sz w:val="20"/>
              </w:rPr>
              <w:t>The application for leave to appeal from the judgment of the Court of Appeal for Ontario, Number C62078, 2018 ONCA 674, dated August 2, 2018, is dismissed.</w:t>
            </w:r>
          </w:p>
          <w:p w:rsidR="00B124FF" w:rsidRPr="00C97F67" w:rsidRDefault="00B124FF" w:rsidP="005F32B8">
            <w:pPr>
              <w:jc w:val="both"/>
              <w:rPr>
                <w:sz w:val="20"/>
              </w:rPr>
            </w:pPr>
          </w:p>
        </w:tc>
      </w:tr>
      <w:tr w:rsidR="00B124FF" w:rsidRPr="00AF75CE" w:rsidTr="005F32B8">
        <w:tc>
          <w:tcPr>
            <w:tcW w:w="5000" w:type="pct"/>
            <w:gridSpan w:val="4"/>
          </w:tcPr>
          <w:p w:rsidR="00B124FF" w:rsidRPr="00AF75CE" w:rsidRDefault="00B124FF" w:rsidP="005F32B8">
            <w:pPr>
              <w:jc w:val="both"/>
              <w:rPr>
                <w:sz w:val="20"/>
              </w:rPr>
            </w:pPr>
            <w:r w:rsidRPr="00AF75CE">
              <w:rPr>
                <w:i/>
                <w:sz w:val="20"/>
              </w:rPr>
              <w:t>Charter of Rights</w:t>
            </w:r>
            <w:r w:rsidRPr="00AF75CE">
              <w:rPr>
                <w:sz w:val="20"/>
              </w:rPr>
              <w:t xml:space="preserve"> – Criminal law – Parole – Punishment – Parole ineligibility – Faint hope regime – Application for reduction in respondent’s 25 year parole ineligibility period allowed by Court of Appeal – </w:t>
            </w:r>
            <w:r w:rsidRPr="00AF75CE">
              <w:rPr>
                <w:sz w:val="20"/>
                <w:lang w:val="en"/>
              </w:rPr>
              <w:t xml:space="preserve">Whether respondent’s s. 11(i) </w:t>
            </w:r>
            <w:r w:rsidRPr="00AF75CE">
              <w:rPr>
                <w:i/>
                <w:sz w:val="20"/>
                <w:lang w:val="en"/>
              </w:rPr>
              <w:t>Charter</w:t>
            </w:r>
            <w:r w:rsidRPr="00AF75CE">
              <w:rPr>
                <w:sz w:val="20"/>
                <w:lang w:val="en"/>
              </w:rPr>
              <w:t xml:space="preserve"> right violated </w:t>
            </w:r>
            <w:r w:rsidRPr="00AF75CE">
              <w:rPr>
                <w:sz w:val="20"/>
              </w:rPr>
              <w:t xml:space="preserve">– Whether Court of Appeal erred in law in concluding that retroactive application of s. 745.61 of the </w:t>
            </w:r>
            <w:r w:rsidRPr="00AF75CE">
              <w:rPr>
                <w:i/>
                <w:sz w:val="20"/>
              </w:rPr>
              <w:t>Criminal  Code</w:t>
            </w:r>
            <w:r w:rsidRPr="00AF75CE">
              <w:rPr>
                <w:sz w:val="20"/>
              </w:rPr>
              <w:t xml:space="preserve"> violated respondent’s s. 11(i) </w:t>
            </w:r>
            <w:r w:rsidRPr="00AF75CE">
              <w:rPr>
                <w:i/>
                <w:sz w:val="20"/>
              </w:rPr>
              <w:t>Charter</w:t>
            </w:r>
            <w:r w:rsidRPr="00AF75CE">
              <w:rPr>
                <w:sz w:val="20"/>
              </w:rPr>
              <w:t xml:space="preserve"> right by impermissibly increasing punishment for offence of first degree murder – Whether Court of Appeal erred in law in concluding that violation of s. 11(i) of the </w:t>
            </w:r>
            <w:r w:rsidRPr="00AF75CE">
              <w:rPr>
                <w:i/>
                <w:sz w:val="20"/>
              </w:rPr>
              <w:t>Charter</w:t>
            </w:r>
            <w:r w:rsidRPr="00AF75CE">
              <w:rPr>
                <w:sz w:val="20"/>
              </w:rPr>
              <w:t xml:space="preserve"> could not be saved by s. 1 of the </w:t>
            </w:r>
            <w:r w:rsidRPr="00AF75CE">
              <w:rPr>
                <w:i/>
                <w:sz w:val="20"/>
              </w:rPr>
              <w:t>Charter</w:t>
            </w:r>
            <w:r w:rsidRPr="00AF75CE">
              <w:rPr>
                <w:sz w:val="20"/>
              </w:rPr>
              <w:t xml:space="preserve"> – Sections 11(i), 1 of the </w:t>
            </w:r>
            <w:r w:rsidRPr="00AF75CE">
              <w:rPr>
                <w:i/>
                <w:sz w:val="20"/>
              </w:rPr>
              <w:t>Charter of Rights and Freedoms</w:t>
            </w:r>
            <w:r w:rsidRPr="00AF75CE">
              <w:rPr>
                <w:sz w:val="20"/>
              </w:rPr>
              <w:t>.</w:t>
            </w:r>
          </w:p>
          <w:p w:rsidR="00B124FF" w:rsidRPr="00AF75CE" w:rsidRDefault="00B124FF" w:rsidP="005F32B8">
            <w:pPr>
              <w:jc w:val="both"/>
              <w:rPr>
                <w:sz w:val="20"/>
              </w:rPr>
            </w:pPr>
          </w:p>
        </w:tc>
      </w:tr>
      <w:tr w:rsidR="00B124FF" w:rsidRPr="00AF75CE" w:rsidTr="005F32B8">
        <w:tc>
          <w:tcPr>
            <w:tcW w:w="5000" w:type="pct"/>
            <w:gridSpan w:val="4"/>
          </w:tcPr>
          <w:p w:rsidR="00B124FF" w:rsidRPr="00AF75CE" w:rsidRDefault="00B124FF" w:rsidP="005F32B8">
            <w:pPr>
              <w:jc w:val="both"/>
              <w:rPr>
                <w:sz w:val="20"/>
              </w:rPr>
            </w:pPr>
            <w:r w:rsidRPr="00AF75CE">
              <w:rPr>
                <w:sz w:val="20"/>
              </w:rPr>
              <w:t xml:space="preserve">On February 2, 2001, Ms. Dell was convicted of first degree murder. Following the conviction, the mandatory sentence of life imprisonment without eligibility for parole for 25 years was imposed. On June 24, 2013, Ms. Dell submitted a request for a reduction in the number of years of her parole ineligibility pursuant to s. 745.61 of the </w:t>
            </w:r>
            <w:r w:rsidRPr="00AF75CE">
              <w:rPr>
                <w:i/>
                <w:sz w:val="20"/>
              </w:rPr>
              <w:t>Criminal Code</w:t>
            </w:r>
            <w:r w:rsidRPr="00AF75CE">
              <w:rPr>
                <w:sz w:val="20"/>
              </w:rPr>
              <w:t xml:space="preserve">, R.S.C., 1985, c. C-46. Ms. Dell’s </w:t>
            </w:r>
            <w:r w:rsidRPr="00AF75CE">
              <w:rPr>
                <w:i/>
                <w:sz w:val="20"/>
              </w:rPr>
              <w:t>Charter</w:t>
            </w:r>
            <w:r w:rsidRPr="00AF75CE">
              <w:rPr>
                <w:sz w:val="20"/>
              </w:rPr>
              <w:t xml:space="preserve"> application was dismissed and s. 745.61 of the </w:t>
            </w:r>
            <w:r w:rsidRPr="00AF75CE">
              <w:rPr>
                <w:i/>
                <w:sz w:val="20"/>
              </w:rPr>
              <w:t>Criminal Code</w:t>
            </w:r>
            <w:r w:rsidRPr="00AF75CE">
              <w:rPr>
                <w:sz w:val="20"/>
              </w:rPr>
              <w:t xml:space="preserve"> was held to be constitutionally valid. Ms. Dell’s application under s. 745.6 of the </w:t>
            </w:r>
            <w:r w:rsidRPr="00AF75CE">
              <w:rPr>
                <w:i/>
                <w:sz w:val="20"/>
              </w:rPr>
              <w:t>Criminal Code</w:t>
            </w:r>
            <w:r w:rsidRPr="00AF75CE">
              <w:rPr>
                <w:sz w:val="20"/>
              </w:rPr>
              <w:t xml:space="preserve"> for a reduction in her 25 year parole ineligibility period was dismissed. </w:t>
            </w:r>
            <w:r w:rsidRPr="00AF75CE">
              <w:rPr>
                <w:sz w:val="20"/>
                <w:lang w:val="en"/>
              </w:rPr>
              <w:t xml:space="preserve">The Court of Appeal allowed the appeal. The Court of Appeal held that the judicial screening mechanism contained in the 2011 amendments violates Ms. Dell’s s. 11(i) </w:t>
            </w:r>
            <w:r w:rsidRPr="00AF75CE">
              <w:rPr>
                <w:i/>
                <w:sz w:val="20"/>
                <w:lang w:val="en"/>
              </w:rPr>
              <w:t>Charter</w:t>
            </w:r>
            <w:r w:rsidRPr="00AF75CE">
              <w:rPr>
                <w:sz w:val="20"/>
                <w:lang w:val="en"/>
              </w:rPr>
              <w:t xml:space="preserve"> right and cannot be saved pursuant to s. 1 of the </w:t>
            </w:r>
            <w:r w:rsidRPr="00AF75CE">
              <w:rPr>
                <w:i/>
                <w:sz w:val="20"/>
                <w:lang w:val="en"/>
              </w:rPr>
              <w:t>Charter</w:t>
            </w:r>
            <w:r w:rsidRPr="00AF75CE">
              <w:rPr>
                <w:sz w:val="20"/>
                <w:lang w:val="en"/>
              </w:rPr>
              <w:t xml:space="preserve">. The Court of Appeal held as follows: to the extent that </w:t>
            </w:r>
            <w:r w:rsidRPr="00AF75CE">
              <w:rPr>
                <w:iCs/>
                <w:sz w:val="20"/>
                <w:lang w:val="en"/>
              </w:rPr>
              <w:t xml:space="preserve">s. 745.61(1) of the </w:t>
            </w:r>
            <w:r w:rsidRPr="00AF75CE">
              <w:rPr>
                <w:i/>
                <w:iCs/>
                <w:sz w:val="20"/>
                <w:lang w:val="en"/>
              </w:rPr>
              <w:t>Criminal Code</w:t>
            </w:r>
            <w:r w:rsidRPr="00AF75CE">
              <w:rPr>
                <w:iCs/>
                <w:sz w:val="20"/>
                <w:lang w:val="en"/>
              </w:rPr>
              <w:t xml:space="preserve"> </w:t>
            </w:r>
            <w:r w:rsidRPr="00AF75CE">
              <w:rPr>
                <w:sz w:val="20"/>
                <w:lang w:val="en"/>
              </w:rPr>
              <w:t>imposes a judicial screening requirement on applicants who committed murder prior to January 9, 1997, that provision is of no force and effect.</w:t>
            </w:r>
            <w:r w:rsidRPr="00AF75CE">
              <w:rPr>
                <w:i/>
                <w:iCs/>
                <w:sz w:val="20"/>
                <w:lang w:val="en"/>
              </w:rPr>
              <w:t xml:space="preserve"> </w:t>
            </w:r>
            <w:r w:rsidRPr="00AF75CE">
              <w:rPr>
                <w:iCs/>
                <w:sz w:val="20"/>
                <w:lang w:val="en"/>
              </w:rPr>
              <w:t xml:space="preserve">The Court of Appeal held that </w:t>
            </w:r>
            <w:r w:rsidRPr="00AF75CE">
              <w:rPr>
                <w:sz w:val="20"/>
                <w:lang w:val="en"/>
              </w:rPr>
              <w:t>Ms. Dell is entitled to make an application to the Superior Court of Justice impaneling a jury to hear her “faint hope” application.</w:t>
            </w:r>
          </w:p>
        </w:tc>
      </w:tr>
      <w:tr w:rsidR="00B124FF" w:rsidRPr="00AF75CE" w:rsidTr="005F32B8">
        <w:tc>
          <w:tcPr>
            <w:tcW w:w="5000" w:type="pct"/>
            <w:gridSpan w:val="4"/>
          </w:tcPr>
          <w:p w:rsidR="00B124FF" w:rsidRPr="00AF75CE" w:rsidRDefault="00B124FF" w:rsidP="005F32B8">
            <w:pPr>
              <w:jc w:val="both"/>
              <w:rPr>
                <w:sz w:val="20"/>
              </w:rPr>
            </w:pPr>
          </w:p>
        </w:tc>
      </w:tr>
      <w:tr w:rsidR="00B124FF" w:rsidRPr="00AF75CE" w:rsidTr="005F32B8">
        <w:tc>
          <w:tcPr>
            <w:tcW w:w="2427" w:type="pct"/>
            <w:gridSpan w:val="2"/>
          </w:tcPr>
          <w:p w:rsidR="00B124FF" w:rsidRPr="00AF75CE" w:rsidRDefault="00B124FF" w:rsidP="005F32B8">
            <w:pPr>
              <w:jc w:val="both"/>
              <w:rPr>
                <w:sz w:val="20"/>
              </w:rPr>
            </w:pPr>
            <w:r w:rsidRPr="00AF75CE">
              <w:rPr>
                <w:sz w:val="20"/>
              </w:rPr>
              <w:t>May 5, 2015</w:t>
            </w:r>
          </w:p>
          <w:p w:rsidR="00B124FF" w:rsidRPr="00AF75CE" w:rsidRDefault="00B124FF" w:rsidP="005F32B8">
            <w:pPr>
              <w:jc w:val="both"/>
              <w:rPr>
                <w:sz w:val="20"/>
              </w:rPr>
            </w:pPr>
            <w:r w:rsidRPr="00AF75CE">
              <w:rPr>
                <w:sz w:val="20"/>
              </w:rPr>
              <w:t>Ontario Superior Court of Justice</w:t>
            </w:r>
          </w:p>
          <w:p w:rsidR="00B124FF" w:rsidRPr="00AF75CE" w:rsidRDefault="00B124FF" w:rsidP="005F32B8">
            <w:pPr>
              <w:jc w:val="both"/>
              <w:rPr>
                <w:sz w:val="20"/>
              </w:rPr>
            </w:pPr>
            <w:r w:rsidRPr="00AF75CE">
              <w:rPr>
                <w:sz w:val="20"/>
              </w:rPr>
              <w:t>(Maranger J.)</w:t>
            </w:r>
          </w:p>
          <w:p w:rsidR="00B124FF" w:rsidRPr="00AF75CE" w:rsidRDefault="00A24D5C" w:rsidP="005F32B8">
            <w:pPr>
              <w:jc w:val="both"/>
              <w:rPr>
                <w:sz w:val="20"/>
              </w:rPr>
            </w:pPr>
            <w:hyperlink r:id="rId37" w:history="1">
              <w:r w:rsidR="00B124FF" w:rsidRPr="00AF75CE">
                <w:rPr>
                  <w:rStyle w:val="Hyperlink"/>
                  <w:sz w:val="20"/>
                </w:rPr>
                <w:t>2015 ONSC 1570</w:t>
              </w:r>
            </w:hyperlink>
          </w:p>
          <w:p w:rsidR="00B124FF" w:rsidRPr="00AF75CE" w:rsidRDefault="00B124FF" w:rsidP="005F32B8">
            <w:pPr>
              <w:jc w:val="both"/>
              <w:rPr>
                <w:sz w:val="20"/>
              </w:rPr>
            </w:pPr>
          </w:p>
        </w:tc>
        <w:tc>
          <w:tcPr>
            <w:tcW w:w="243" w:type="pct"/>
          </w:tcPr>
          <w:p w:rsidR="00B124FF" w:rsidRPr="00AF75CE" w:rsidRDefault="00B124FF" w:rsidP="005F32B8">
            <w:pPr>
              <w:jc w:val="both"/>
              <w:rPr>
                <w:sz w:val="20"/>
              </w:rPr>
            </w:pPr>
          </w:p>
        </w:tc>
        <w:tc>
          <w:tcPr>
            <w:tcW w:w="2330" w:type="pct"/>
          </w:tcPr>
          <w:p w:rsidR="00B124FF" w:rsidRPr="00AF75CE" w:rsidRDefault="00B124FF" w:rsidP="005F32B8">
            <w:pPr>
              <w:jc w:val="both"/>
              <w:rPr>
                <w:sz w:val="20"/>
              </w:rPr>
            </w:pPr>
            <w:r w:rsidRPr="00AF75CE">
              <w:rPr>
                <w:sz w:val="20"/>
              </w:rPr>
              <w:t xml:space="preserve">Respondent’s </w:t>
            </w:r>
            <w:r w:rsidRPr="00AF75CE">
              <w:rPr>
                <w:i/>
                <w:sz w:val="20"/>
              </w:rPr>
              <w:t>Charter</w:t>
            </w:r>
            <w:r w:rsidRPr="00AF75CE">
              <w:rPr>
                <w:sz w:val="20"/>
              </w:rPr>
              <w:t xml:space="preserve"> application dismissed</w:t>
            </w:r>
          </w:p>
          <w:p w:rsidR="00B124FF" w:rsidRPr="00AF75CE" w:rsidRDefault="00B124FF" w:rsidP="005F32B8">
            <w:pPr>
              <w:jc w:val="both"/>
              <w:rPr>
                <w:sz w:val="20"/>
              </w:rPr>
            </w:pPr>
          </w:p>
        </w:tc>
      </w:tr>
      <w:tr w:rsidR="00B124FF" w:rsidRPr="00AF75CE" w:rsidTr="005F32B8">
        <w:tc>
          <w:tcPr>
            <w:tcW w:w="2427" w:type="pct"/>
            <w:gridSpan w:val="2"/>
          </w:tcPr>
          <w:p w:rsidR="00B124FF" w:rsidRPr="00AF75CE" w:rsidRDefault="00B124FF" w:rsidP="005F32B8">
            <w:pPr>
              <w:jc w:val="both"/>
              <w:rPr>
                <w:sz w:val="20"/>
              </w:rPr>
            </w:pPr>
            <w:r w:rsidRPr="00AF75CE">
              <w:rPr>
                <w:sz w:val="20"/>
              </w:rPr>
              <w:t>January 19, 2016</w:t>
            </w:r>
          </w:p>
          <w:p w:rsidR="00B124FF" w:rsidRPr="00AF75CE" w:rsidRDefault="00B124FF" w:rsidP="005F32B8">
            <w:pPr>
              <w:jc w:val="both"/>
              <w:rPr>
                <w:sz w:val="20"/>
              </w:rPr>
            </w:pPr>
            <w:r w:rsidRPr="00AF75CE">
              <w:rPr>
                <w:sz w:val="20"/>
              </w:rPr>
              <w:t>Ontario Superior Court of Justice</w:t>
            </w:r>
          </w:p>
          <w:p w:rsidR="00B124FF" w:rsidRPr="00AF75CE" w:rsidRDefault="00B124FF" w:rsidP="005F32B8">
            <w:pPr>
              <w:jc w:val="both"/>
              <w:rPr>
                <w:sz w:val="20"/>
              </w:rPr>
            </w:pPr>
            <w:r w:rsidRPr="00AF75CE">
              <w:rPr>
                <w:sz w:val="20"/>
              </w:rPr>
              <w:t>(Maranger J.)</w:t>
            </w:r>
          </w:p>
          <w:p w:rsidR="00B124FF" w:rsidRPr="00AF75CE" w:rsidRDefault="00A24D5C" w:rsidP="005F32B8">
            <w:pPr>
              <w:jc w:val="both"/>
              <w:rPr>
                <w:sz w:val="20"/>
              </w:rPr>
            </w:pPr>
            <w:hyperlink r:id="rId38" w:history="1">
              <w:r w:rsidR="00B124FF" w:rsidRPr="00AF75CE">
                <w:rPr>
                  <w:rStyle w:val="Hyperlink"/>
                  <w:sz w:val="20"/>
                </w:rPr>
                <w:t>2016 ONSC 505</w:t>
              </w:r>
            </w:hyperlink>
          </w:p>
          <w:p w:rsidR="00B124FF" w:rsidRPr="00AF75CE" w:rsidRDefault="00B124FF" w:rsidP="005F32B8">
            <w:pPr>
              <w:jc w:val="both"/>
              <w:rPr>
                <w:sz w:val="20"/>
              </w:rPr>
            </w:pPr>
          </w:p>
        </w:tc>
        <w:tc>
          <w:tcPr>
            <w:tcW w:w="243" w:type="pct"/>
          </w:tcPr>
          <w:p w:rsidR="00B124FF" w:rsidRPr="00AF75CE" w:rsidRDefault="00B124FF" w:rsidP="005F32B8">
            <w:pPr>
              <w:jc w:val="both"/>
              <w:rPr>
                <w:sz w:val="20"/>
              </w:rPr>
            </w:pPr>
          </w:p>
        </w:tc>
        <w:tc>
          <w:tcPr>
            <w:tcW w:w="2330" w:type="pct"/>
          </w:tcPr>
          <w:p w:rsidR="00B124FF" w:rsidRPr="00AF75CE" w:rsidRDefault="00B124FF" w:rsidP="005F32B8">
            <w:pPr>
              <w:jc w:val="both"/>
              <w:rPr>
                <w:sz w:val="20"/>
              </w:rPr>
            </w:pPr>
            <w:r w:rsidRPr="00AF75CE">
              <w:rPr>
                <w:sz w:val="20"/>
              </w:rPr>
              <w:t>Respondent’s application for a reduction in respondent’s 25 year parole ineligibility period dismissed</w:t>
            </w:r>
          </w:p>
          <w:p w:rsidR="00B124FF" w:rsidRPr="00AF75CE" w:rsidRDefault="00B124FF" w:rsidP="005F32B8">
            <w:pPr>
              <w:jc w:val="both"/>
              <w:rPr>
                <w:sz w:val="20"/>
              </w:rPr>
            </w:pPr>
          </w:p>
        </w:tc>
      </w:tr>
      <w:tr w:rsidR="00B124FF" w:rsidRPr="00AF75CE" w:rsidTr="005F32B8">
        <w:tc>
          <w:tcPr>
            <w:tcW w:w="2427" w:type="pct"/>
            <w:gridSpan w:val="2"/>
          </w:tcPr>
          <w:p w:rsidR="00B124FF" w:rsidRPr="00AF75CE" w:rsidRDefault="00B124FF" w:rsidP="005F32B8">
            <w:pPr>
              <w:jc w:val="both"/>
              <w:rPr>
                <w:sz w:val="20"/>
              </w:rPr>
            </w:pPr>
            <w:r w:rsidRPr="00AF75CE">
              <w:rPr>
                <w:sz w:val="20"/>
              </w:rPr>
              <w:t>August 2, 2018</w:t>
            </w:r>
          </w:p>
          <w:p w:rsidR="00B124FF" w:rsidRPr="00AF75CE" w:rsidRDefault="00B124FF" w:rsidP="005F32B8">
            <w:pPr>
              <w:jc w:val="both"/>
              <w:rPr>
                <w:sz w:val="20"/>
              </w:rPr>
            </w:pPr>
            <w:r w:rsidRPr="00AF75CE">
              <w:rPr>
                <w:sz w:val="20"/>
              </w:rPr>
              <w:t>Court of Appeal for Ontario</w:t>
            </w:r>
          </w:p>
          <w:p w:rsidR="00B124FF" w:rsidRPr="00AF75CE" w:rsidRDefault="00B124FF" w:rsidP="005F32B8">
            <w:pPr>
              <w:jc w:val="both"/>
              <w:rPr>
                <w:sz w:val="20"/>
              </w:rPr>
            </w:pPr>
            <w:r w:rsidRPr="00AF75CE">
              <w:rPr>
                <w:sz w:val="20"/>
              </w:rPr>
              <w:t>(Doherty, LaForme, Paciocco JJ.A.)</w:t>
            </w:r>
          </w:p>
          <w:p w:rsidR="00B124FF" w:rsidRPr="00AF75CE" w:rsidRDefault="00A24D5C" w:rsidP="005F32B8">
            <w:pPr>
              <w:jc w:val="both"/>
              <w:rPr>
                <w:sz w:val="20"/>
              </w:rPr>
            </w:pPr>
            <w:hyperlink r:id="rId39" w:history="1">
              <w:r w:rsidR="00B124FF" w:rsidRPr="00AF75CE">
                <w:rPr>
                  <w:rStyle w:val="Hyperlink"/>
                  <w:sz w:val="20"/>
                </w:rPr>
                <w:t>2018 ONCA 674</w:t>
              </w:r>
            </w:hyperlink>
            <w:r w:rsidR="00B124FF" w:rsidRPr="00AF75CE">
              <w:rPr>
                <w:sz w:val="20"/>
              </w:rPr>
              <w:t>; C62078</w:t>
            </w:r>
          </w:p>
          <w:p w:rsidR="00B124FF" w:rsidRPr="00AF75CE" w:rsidRDefault="00B124FF" w:rsidP="005F32B8">
            <w:pPr>
              <w:jc w:val="both"/>
              <w:rPr>
                <w:sz w:val="20"/>
              </w:rPr>
            </w:pPr>
          </w:p>
        </w:tc>
        <w:tc>
          <w:tcPr>
            <w:tcW w:w="243" w:type="pct"/>
          </w:tcPr>
          <w:p w:rsidR="00B124FF" w:rsidRPr="00AF75CE" w:rsidRDefault="00B124FF" w:rsidP="005F32B8">
            <w:pPr>
              <w:jc w:val="both"/>
              <w:rPr>
                <w:sz w:val="20"/>
              </w:rPr>
            </w:pPr>
          </w:p>
        </w:tc>
        <w:tc>
          <w:tcPr>
            <w:tcW w:w="2330" w:type="pct"/>
          </w:tcPr>
          <w:p w:rsidR="00B124FF" w:rsidRPr="00AF75CE" w:rsidRDefault="00B124FF" w:rsidP="005F32B8">
            <w:pPr>
              <w:jc w:val="both"/>
              <w:rPr>
                <w:sz w:val="20"/>
              </w:rPr>
            </w:pPr>
            <w:r w:rsidRPr="00AF75CE">
              <w:rPr>
                <w:sz w:val="20"/>
              </w:rPr>
              <w:t xml:space="preserve">Appeal allowed: </w:t>
            </w:r>
            <w:r w:rsidRPr="00AF75CE">
              <w:rPr>
                <w:sz w:val="20"/>
                <w:lang w:val="en"/>
              </w:rPr>
              <w:t>Ms. Dell is entitled to make an application to the Superior Court of Justice impaneling a jury to hear her “faint hope” application</w:t>
            </w:r>
          </w:p>
        </w:tc>
      </w:tr>
      <w:tr w:rsidR="00B124FF" w:rsidRPr="00AF75CE" w:rsidTr="005F32B8">
        <w:tc>
          <w:tcPr>
            <w:tcW w:w="2427" w:type="pct"/>
            <w:gridSpan w:val="2"/>
          </w:tcPr>
          <w:p w:rsidR="00B124FF" w:rsidRPr="00AF75CE" w:rsidRDefault="00B124FF" w:rsidP="005F32B8">
            <w:pPr>
              <w:jc w:val="both"/>
              <w:rPr>
                <w:sz w:val="20"/>
              </w:rPr>
            </w:pPr>
            <w:r w:rsidRPr="00AF75CE">
              <w:rPr>
                <w:sz w:val="20"/>
              </w:rPr>
              <w:t>September 28, 2018</w:t>
            </w:r>
          </w:p>
          <w:p w:rsidR="00B124FF" w:rsidRPr="00AF75CE" w:rsidRDefault="00B124FF" w:rsidP="005F32B8">
            <w:pPr>
              <w:jc w:val="both"/>
              <w:rPr>
                <w:sz w:val="20"/>
              </w:rPr>
            </w:pPr>
            <w:r w:rsidRPr="00AF75CE">
              <w:rPr>
                <w:sz w:val="20"/>
              </w:rPr>
              <w:t>Supreme Court of Canada</w:t>
            </w:r>
          </w:p>
        </w:tc>
        <w:tc>
          <w:tcPr>
            <w:tcW w:w="243" w:type="pct"/>
          </w:tcPr>
          <w:p w:rsidR="00B124FF" w:rsidRPr="00AF75CE" w:rsidRDefault="00B124FF" w:rsidP="005F32B8">
            <w:pPr>
              <w:jc w:val="both"/>
              <w:rPr>
                <w:sz w:val="20"/>
              </w:rPr>
            </w:pPr>
          </w:p>
        </w:tc>
        <w:tc>
          <w:tcPr>
            <w:tcW w:w="2330" w:type="pct"/>
          </w:tcPr>
          <w:p w:rsidR="00B124FF" w:rsidRPr="00AF75CE" w:rsidRDefault="00B124FF" w:rsidP="005F32B8">
            <w:pPr>
              <w:jc w:val="both"/>
              <w:rPr>
                <w:sz w:val="20"/>
              </w:rPr>
            </w:pPr>
            <w:r w:rsidRPr="00AF75CE">
              <w:rPr>
                <w:sz w:val="20"/>
              </w:rPr>
              <w:t>Application for leave to appeal filed</w:t>
            </w:r>
          </w:p>
          <w:p w:rsidR="00B124FF" w:rsidRPr="00AF75CE" w:rsidRDefault="00B124FF" w:rsidP="005F32B8">
            <w:pPr>
              <w:jc w:val="both"/>
              <w:rPr>
                <w:sz w:val="20"/>
              </w:rPr>
            </w:pPr>
          </w:p>
        </w:tc>
      </w:tr>
    </w:tbl>
    <w:p w:rsidR="00B124FF" w:rsidRDefault="00B124FF" w:rsidP="00B124FF">
      <w:pPr>
        <w:jc w:val="both"/>
        <w:rPr>
          <w:sz w:val="20"/>
        </w:rPr>
      </w:pPr>
    </w:p>
    <w:p w:rsidR="00B124FF" w:rsidRPr="00AF75CE" w:rsidRDefault="00B124FF" w:rsidP="00B124F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124FF" w:rsidRPr="00AF75CE" w:rsidTr="005F32B8">
        <w:tc>
          <w:tcPr>
            <w:tcW w:w="543" w:type="pct"/>
          </w:tcPr>
          <w:p w:rsidR="00B124FF" w:rsidRPr="00AF75CE" w:rsidRDefault="00B124FF" w:rsidP="005F32B8">
            <w:pPr>
              <w:jc w:val="both"/>
              <w:rPr>
                <w:sz w:val="20"/>
                <w:lang w:val="fr-CA"/>
              </w:rPr>
            </w:pPr>
            <w:r w:rsidRPr="00AF75CE">
              <w:rPr>
                <w:rStyle w:val="SCCFileNumberChar"/>
                <w:sz w:val="20"/>
                <w:szCs w:val="20"/>
                <w:lang w:val="fr-CA"/>
              </w:rPr>
              <w:t>38328</w:t>
            </w:r>
          </w:p>
        </w:tc>
        <w:tc>
          <w:tcPr>
            <w:tcW w:w="4457" w:type="pct"/>
            <w:gridSpan w:val="3"/>
          </w:tcPr>
          <w:p w:rsidR="00B124FF" w:rsidRPr="00202CE2" w:rsidRDefault="00B124FF" w:rsidP="005F32B8">
            <w:pPr>
              <w:pStyle w:val="SCCLsocParty"/>
              <w:jc w:val="both"/>
              <w:rPr>
                <w:b/>
                <w:sz w:val="20"/>
                <w:szCs w:val="20"/>
              </w:rPr>
            </w:pPr>
            <w:r w:rsidRPr="00202CE2">
              <w:rPr>
                <w:b/>
                <w:sz w:val="20"/>
                <w:szCs w:val="20"/>
              </w:rPr>
              <w:t>Sa Majesté la Reine c. Cherrylle Margaret Dell</w:t>
            </w:r>
          </w:p>
          <w:p w:rsidR="00B124FF" w:rsidRPr="00202CE2" w:rsidRDefault="00B124FF" w:rsidP="005F32B8">
            <w:pPr>
              <w:jc w:val="both"/>
              <w:rPr>
                <w:sz w:val="20"/>
                <w:lang w:val="fr-CA"/>
              </w:rPr>
            </w:pPr>
            <w:r w:rsidRPr="00202CE2">
              <w:rPr>
                <w:sz w:val="20"/>
                <w:lang w:val="fr-CA"/>
              </w:rPr>
              <w:t>(Ont.) (Criminelle) (Autorisation)</w:t>
            </w:r>
          </w:p>
        </w:tc>
      </w:tr>
      <w:tr w:rsidR="00B124FF" w:rsidRPr="00CC0B55" w:rsidTr="005F32B8">
        <w:tc>
          <w:tcPr>
            <w:tcW w:w="5000" w:type="pct"/>
            <w:gridSpan w:val="4"/>
          </w:tcPr>
          <w:p w:rsidR="00B124FF" w:rsidRDefault="00B124FF" w:rsidP="005F32B8">
            <w:pPr>
              <w:jc w:val="both"/>
              <w:rPr>
                <w:sz w:val="20"/>
                <w:lang w:val="fr-CA"/>
              </w:rPr>
            </w:pPr>
            <w:r w:rsidRPr="00C97F67">
              <w:rPr>
                <w:sz w:val="20"/>
                <w:lang w:val="fr-CA"/>
              </w:rPr>
              <w:t>La demande d’autorisation d’appel de l’arrêt de la Cour d’appel de l’Ontario, numéro C62078, 2018 ONCA 674, daté du 2 août 2018, est rejetée.</w:t>
            </w:r>
          </w:p>
          <w:p w:rsidR="00B124FF" w:rsidRPr="00C97F67" w:rsidRDefault="00B124FF" w:rsidP="005F32B8">
            <w:pPr>
              <w:jc w:val="both"/>
              <w:rPr>
                <w:sz w:val="20"/>
                <w:lang w:val="fr-CA"/>
              </w:rPr>
            </w:pPr>
          </w:p>
        </w:tc>
      </w:tr>
      <w:tr w:rsidR="00B124FF" w:rsidRPr="00CC0B55" w:rsidTr="005F32B8">
        <w:tc>
          <w:tcPr>
            <w:tcW w:w="5000" w:type="pct"/>
            <w:gridSpan w:val="4"/>
          </w:tcPr>
          <w:p w:rsidR="00B124FF" w:rsidRPr="00AF75CE" w:rsidRDefault="00B124FF" w:rsidP="005F32B8">
            <w:pPr>
              <w:jc w:val="both"/>
              <w:rPr>
                <w:sz w:val="20"/>
                <w:lang w:val="fr-CA"/>
              </w:rPr>
            </w:pPr>
            <w:r w:rsidRPr="00AF75CE">
              <w:rPr>
                <w:i/>
                <w:sz w:val="20"/>
                <w:lang w:val="fr-CA"/>
              </w:rPr>
              <w:lastRenderedPageBreak/>
              <w:t>Charte des droits</w:t>
            </w:r>
            <w:r w:rsidRPr="00AF75CE">
              <w:rPr>
                <w:sz w:val="20"/>
                <w:lang w:val="fr-CA"/>
              </w:rPr>
              <w:t xml:space="preserve"> – Droit criminel – Libération conditionnelle – Peine – Période préalable à la libération conditionnelle – Régime dit du « faible espoir » – La Cour d’appel a accueilli la demande de réduction de la période préalable à la libération conditionnelle de l’intimée, qui était d’une durée de vingt-cinq ans – Les droits que l’al. 11(i) de la </w:t>
            </w:r>
            <w:r w:rsidRPr="00AF75CE">
              <w:rPr>
                <w:i/>
                <w:sz w:val="20"/>
                <w:lang w:val="fr-CA"/>
              </w:rPr>
              <w:t>Charte</w:t>
            </w:r>
            <w:r w:rsidRPr="00AF75CE">
              <w:rPr>
                <w:sz w:val="20"/>
                <w:lang w:val="fr-CA"/>
              </w:rPr>
              <w:t xml:space="preserve"> garantit à l’intimée ont-ils été violés? – La Cour d’appel a-t-elle commis une erreur de droit en concluant que l’application rétroactive de l’art. 745.61 du </w:t>
            </w:r>
            <w:r w:rsidRPr="00AF75CE">
              <w:rPr>
                <w:i/>
                <w:sz w:val="20"/>
                <w:lang w:val="fr-CA"/>
              </w:rPr>
              <w:t>Code criminel</w:t>
            </w:r>
            <w:r w:rsidRPr="00AF75CE">
              <w:rPr>
                <w:sz w:val="20"/>
                <w:lang w:val="fr-CA"/>
              </w:rPr>
              <w:t xml:space="preserve"> violait le droit que l’al. 11(i) de la </w:t>
            </w:r>
            <w:r w:rsidRPr="00AF75CE">
              <w:rPr>
                <w:i/>
                <w:sz w:val="20"/>
                <w:lang w:val="fr-CA"/>
              </w:rPr>
              <w:t>Charte</w:t>
            </w:r>
            <w:r w:rsidRPr="00AF75CE">
              <w:rPr>
                <w:sz w:val="20"/>
                <w:lang w:val="fr-CA"/>
              </w:rPr>
              <w:t xml:space="preserve"> garantit à l’intimée en augmentant illégitimement la peine pour l’infraction de meurtre au premier degré? – La Cour d’appel a-t-elle commis une erreur de droit en concluant que la violation de l’al. 11(i) de la </w:t>
            </w:r>
            <w:r w:rsidRPr="00AF75CE">
              <w:rPr>
                <w:i/>
                <w:sz w:val="20"/>
                <w:lang w:val="fr-CA"/>
              </w:rPr>
              <w:t>Charte</w:t>
            </w:r>
            <w:r w:rsidRPr="00AF75CE">
              <w:rPr>
                <w:sz w:val="20"/>
                <w:lang w:val="fr-CA"/>
              </w:rPr>
              <w:t xml:space="preserve"> ne pouvait être justifiée au regard de l’article premier de la </w:t>
            </w:r>
            <w:r w:rsidRPr="00AF75CE">
              <w:rPr>
                <w:i/>
                <w:sz w:val="20"/>
                <w:lang w:val="fr-CA"/>
              </w:rPr>
              <w:t>Charte</w:t>
            </w:r>
            <w:r w:rsidRPr="00AF75CE">
              <w:rPr>
                <w:sz w:val="20"/>
                <w:lang w:val="fr-CA"/>
              </w:rPr>
              <w:t xml:space="preserve">? – Alinéa 11(i), article premier de la </w:t>
            </w:r>
            <w:r w:rsidRPr="00AF75CE">
              <w:rPr>
                <w:i/>
                <w:sz w:val="20"/>
                <w:lang w:val="fr-CA"/>
              </w:rPr>
              <w:t>Charte des droits et libertés</w:t>
            </w:r>
            <w:r w:rsidRPr="00AF75CE">
              <w:rPr>
                <w:sz w:val="20"/>
                <w:lang w:val="fr-CA"/>
              </w:rPr>
              <w:t>.</w:t>
            </w:r>
          </w:p>
          <w:p w:rsidR="00B124FF" w:rsidRPr="00AF75CE" w:rsidRDefault="00B124FF" w:rsidP="005F32B8">
            <w:pPr>
              <w:jc w:val="both"/>
              <w:rPr>
                <w:sz w:val="20"/>
                <w:lang w:val="fr-CA"/>
              </w:rPr>
            </w:pPr>
          </w:p>
        </w:tc>
      </w:tr>
      <w:tr w:rsidR="00B124FF" w:rsidRPr="00CC0B55" w:rsidTr="005F32B8">
        <w:tc>
          <w:tcPr>
            <w:tcW w:w="5000" w:type="pct"/>
            <w:gridSpan w:val="4"/>
          </w:tcPr>
          <w:p w:rsidR="00B124FF" w:rsidRPr="00AF75CE" w:rsidRDefault="00B124FF" w:rsidP="005F32B8">
            <w:pPr>
              <w:jc w:val="both"/>
              <w:rPr>
                <w:sz w:val="20"/>
                <w:lang w:val="fr-CA"/>
              </w:rPr>
            </w:pPr>
            <w:r w:rsidRPr="00AF75CE">
              <w:rPr>
                <w:sz w:val="20"/>
                <w:lang w:val="fr-CA"/>
              </w:rPr>
              <w:t xml:space="preserve">Le 2 février 2001, Mme Dell a été déclarée coupable de meurtre au premier degré. Après la déclaration de culpabilité, la peine obligatoire d’emprisonnement à perpétuité sans possibilité de libération conditionnelle avant vingt-cinq ans a été imposée. Le 24 juin 2013, Mme Dell a présenté une demande de réduction du nombre d’années de la période préalable à la libération conditionnelle en application de l’art. 745.61 du </w:t>
            </w:r>
            <w:r w:rsidRPr="00AF75CE">
              <w:rPr>
                <w:i/>
                <w:sz w:val="20"/>
                <w:lang w:val="fr-CA"/>
              </w:rPr>
              <w:t>Code criminel</w:t>
            </w:r>
            <w:r w:rsidRPr="00AF75CE">
              <w:rPr>
                <w:sz w:val="20"/>
                <w:lang w:val="fr-CA"/>
              </w:rPr>
              <w:t xml:space="preserve">, L.R.C., 1985, ch. C-46. La demande de Mme Dell fondée sur la </w:t>
            </w:r>
            <w:r w:rsidRPr="00AF75CE">
              <w:rPr>
                <w:i/>
                <w:sz w:val="20"/>
                <w:lang w:val="fr-CA"/>
              </w:rPr>
              <w:t>Charte</w:t>
            </w:r>
            <w:r w:rsidRPr="00AF75CE">
              <w:rPr>
                <w:sz w:val="20"/>
                <w:lang w:val="fr-CA"/>
              </w:rPr>
              <w:t xml:space="preserve"> a été rejetée et l’art. 745.61 du </w:t>
            </w:r>
            <w:r w:rsidRPr="00AF75CE">
              <w:rPr>
                <w:i/>
                <w:sz w:val="20"/>
                <w:lang w:val="fr-CA"/>
              </w:rPr>
              <w:t>Code criminel</w:t>
            </w:r>
            <w:r w:rsidRPr="00AF75CE">
              <w:rPr>
                <w:sz w:val="20"/>
                <w:lang w:val="fr-CA"/>
              </w:rPr>
              <w:t xml:space="preserve"> a été reconnu constitutionnellement valide. La demande de Mme Dell en application de l’art. 745.6 du </w:t>
            </w:r>
            <w:r w:rsidRPr="00AF75CE">
              <w:rPr>
                <w:i/>
                <w:sz w:val="20"/>
                <w:lang w:val="fr-CA"/>
              </w:rPr>
              <w:t>Code criminel</w:t>
            </w:r>
            <w:r w:rsidRPr="00AF75CE">
              <w:rPr>
                <w:sz w:val="20"/>
                <w:lang w:val="fr-CA"/>
              </w:rPr>
              <w:t xml:space="preserve"> pour une réduction de la période préalable à la libération conditionnelle, qui était d’une durée de vingt-cinq ans, a été rejetée. La Cour d’appel a accueilli l’appel. La Cour d’appel a jugé que le mécanisme d’examen judiciaire prévu dans les modifications de 2011 viole le droit que l’al. 11(i) de la </w:t>
            </w:r>
            <w:r w:rsidRPr="00AF75CE">
              <w:rPr>
                <w:i/>
                <w:sz w:val="20"/>
                <w:lang w:val="fr-CA"/>
              </w:rPr>
              <w:t>Charte</w:t>
            </w:r>
            <w:r w:rsidRPr="00AF75CE">
              <w:rPr>
                <w:sz w:val="20"/>
                <w:lang w:val="fr-CA"/>
              </w:rPr>
              <w:t xml:space="preserve"> garantit à Mme Dell et ne peut être justifié au regard de l’article premier de la </w:t>
            </w:r>
            <w:r w:rsidRPr="00AF75CE">
              <w:rPr>
                <w:i/>
                <w:sz w:val="20"/>
                <w:lang w:val="fr-CA"/>
              </w:rPr>
              <w:t>Charte</w:t>
            </w:r>
            <w:r w:rsidRPr="00AF75CE">
              <w:rPr>
                <w:sz w:val="20"/>
                <w:lang w:val="fr-CA"/>
              </w:rPr>
              <w:t>. La Cour d’appel a statué comme suit : dans la mesure où le par</w:t>
            </w:r>
            <w:r w:rsidRPr="00AF75CE">
              <w:rPr>
                <w:iCs/>
                <w:sz w:val="20"/>
                <w:lang w:val="fr-CA"/>
              </w:rPr>
              <w:t xml:space="preserve">. 745.61(1) du </w:t>
            </w:r>
            <w:r w:rsidRPr="00AF75CE">
              <w:rPr>
                <w:i/>
                <w:iCs/>
                <w:sz w:val="20"/>
                <w:lang w:val="fr-CA"/>
              </w:rPr>
              <w:t>Code criminel</w:t>
            </w:r>
            <w:r w:rsidRPr="00AF75CE">
              <w:rPr>
                <w:iCs/>
                <w:sz w:val="20"/>
                <w:lang w:val="fr-CA"/>
              </w:rPr>
              <w:t xml:space="preserve"> </w:t>
            </w:r>
            <w:r w:rsidRPr="00AF75CE">
              <w:rPr>
                <w:sz w:val="20"/>
                <w:lang w:val="fr-CA"/>
              </w:rPr>
              <w:t>impose une obligation d’examen judiciaire à des demandeurs qui ont commis un meurtre avant le 9 janvier 1997, cette disposition est inopérante.</w:t>
            </w:r>
            <w:r w:rsidRPr="00AF75CE">
              <w:rPr>
                <w:i/>
                <w:iCs/>
                <w:sz w:val="20"/>
                <w:lang w:val="fr-CA"/>
              </w:rPr>
              <w:t xml:space="preserve"> </w:t>
            </w:r>
            <w:r w:rsidRPr="00AF75CE">
              <w:rPr>
                <w:iCs/>
                <w:sz w:val="20"/>
                <w:lang w:val="fr-CA"/>
              </w:rPr>
              <w:t>La Cour d’appel a statué que Mme Dell a droit de présenter une demande à la Cour supérieure de justice pour constituer un jury chargé d’entendre sa demande dite du « faible espoir »</w:t>
            </w:r>
            <w:r w:rsidRPr="00AF75CE">
              <w:rPr>
                <w:sz w:val="20"/>
                <w:lang w:val="fr-CA"/>
              </w:rPr>
              <w:t>.</w:t>
            </w:r>
          </w:p>
        </w:tc>
      </w:tr>
      <w:tr w:rsidR="00B124FF" w:rsidRPr="00CC0B55" w:rsidTr="005F32B8">
        <w:tc>
          <w:tcPr>
            <w:tcW w:w="5000" w:type="pct"/>
            <w:gridSpan w:val="4"/>
          </w:tcPr>
          <w:p w:rsidR="00B124FF" w:rsidRPr="00AF75CE" w:rsidRDefault="00B124FF" w:rsidP="005F32B8">
            <w:pPr>
              <w:jc w:val="both"/>
              <w:rPr>
                <w:sz w:val="20"/>
                <w:lang w:val="fr-CA"/>
              </w:rPr>
            </w:pPr>
          </w:p>
        </w:tc>
      </w:tr>
      <w:tr w:rsidR="00B124FF" w:rsidRPr="00CC0B55" w:rsidTr="005F32B8">
        <w:tc>
          <w:tcPr>
            <w:tcW w:w="2427" w:type="pct"/>
            <w:gridSpan w:val="2"/>
          </w:tcPr>
          <w:p w:rsidR="00B124FF" w:rsidRPr="00AF75CE" w:rsidRDefault="00B124FF" w:rsidP="005F32B8">
            <w:pPr>
              <w:jc w:val="both"/>
              <w:rPr>
                <w:sz w:val="20"/>
                <w:lang w:val="fr-CA"/>
              </w:rPr>
            </w:pPr>
            <w:r w:rsidRPr="00AF75CE">
              <w:rPr>
                <w:sz w:val="20"/>
                <w:lang w:val="fr-CA"/>
              </w:rPr>
              <w:t>5 mai 2015</w:t>
            </w:r>
          </w:p>
          <w:p w:rsidR="00B124FF" w:rsidRPr="00AF75CE" w:rsidRDefault="00B124FF" w:rsidP="005F32B8">
            <w:pPr>
              <w:jc w:val="both"/>
              <w:rPr>
                <w:sz w:val="20"/>
                <w:lang w:val="fr-CA"/>
              </w:rPr>
            </w:pPr>
            <w:r w:rsidRPr="00AF75CE">
              <w:rPr>
                <w:sz w:val="20"/>
                <w:lang w:val="fr-CA"/>
              </w:rPr>
              <w:t>Cour supérieure de justice de l’Ontario</w:t>
            </w:r>
          </w:p>
          <w:p w:rsidR="00B124FF" w:rsidRPr="00AF75CE" w:rsidRDefault="00B124FF" w:rsidP="005F32B8">
            <w:pPr>
              <w:jc w:val="both"/>
              <w:rPr>
                <w:sz w:val="20"/>
                <w:lang w:val="fr-CA"/>
              </w:rPr>
            </w:pPr>
            <w:r w:rsidRPr="00AF75CE">
              <w:rPr>
                <w:sz w:val="20"/>
                <w:lang w:val="fr-CA"/>
              </w:rPr>
              <w:t>(Juge Maranger)</w:t>
            </w:r>
          </w:p>
          <w:p w:rsidR="00B124FF" w:rsidRPr="00AF75CE" w:rsidRDefault="00A24D5C" w:rsidP="005F32B8">
            <w:pPr>
              <w:jc w:val="both"/>
              <w:rPr>
                <w:sz w:val="20"/>
                <w:lang w:val="fr-CA"/>
              </w:rPr>
            </w:pPr>
            <w:hyperlink r:id="rId40" w:history="1">
              <w:r w:rsidR="00B124FF" w:rsidRPr="00AF75CE">
                <w:rPr>
                  <w:rStyle w:val="Hyperlink"/>
                  <w:sz w:val="20"/>
                  <w:lang w:val="fr-CA"/>
                </w:rPr>
                <w:t>2015 ONSC 1570</w:t>
              </w:r>
            </w:hyperlink>
          </w:p>
          <w:p w:rsidR="00B124FF" w:rsidRPr="00AF75CE" w:rsidRDefault="00B124FF" w:rsidP="005F32B8">
            <w:pPr>
              <w:jc w:val="both"/>
              <w:rPr>
                <w:sz w:val="20"/>
                <w:lang w:val="fr-CA"/>
              </w:rPr>
            </w:pPr>
          </w:p>
        </w:tc>
        <w:tc>
          <w:tcPr>
            <w:tcW w:w="243" w:type="pct"/>
          </w:tcPr>
          <w:p w:rsidR="00B124FF" w:rsidRPr="00AF75CE" w:rsidRDefault="00B124FF" w:rsidP="005F32B8">
            <w:pPr>
              <w:jc w:val="both"/>
              <w:rPr>
                <w:sz w:val="20"/>
                <w:lang w:val="fr-CA"/>
              </w:rPr>
            </w:pPr>
          </w:p>
        </w:tc>
        <w:tc>
          <w:tcPr>
            <w:tcW w:w="2330" w:type="pct"/>
          </w:tcPr>
          <w:p w:rsidR="00B124FF" w:rsidRPr="00AF75CE" w:rsidRDefault="00B124FF" w:rsidP="005F32B8">
            <w:pPr>
              <w:jc w:val="both"/>
              <w:rPr>
                <w:sz w:val="20"/>
                <w:lang w:val="fr-CA"/>
              </w:rPr>
            </w:pPr>
            <w:r w:rsidRPr="00AF75CE">
              <w:rPr>
                <w:sz w:val="20"/>
                <w:lang w:val="fr-CA"/>
              </w:rPr>
              <w:t xml:space="preserve">Rejet de la demande de l’intimée fondée sur la </w:t>
            </w:r>
            <w:r w:rsidRPr="00AF75CE">
              <w:rPr>
                <w:i/>
                <w:sz w:val="20"/>
                <w:lang w:val="fr-CA"/>
              </w:rPr>
              <w:t>Charte</w:t>
            </w:r>
          </w:p>
          <w:p w:rsidR="00B124FF" w:rsidRPr="00AF75CE" w:rsidRDefault="00B124FF" w:rsidP="005F32B8">
            <w:pPr>
              <w:jc w:val="both"/>
              <w:rPr>
                <w:sz w:val="20"/>
                <w:lang w:val="fr-CA"/>
              </w:rPr>
            </w:pPr>
          </w:p>
        </w:tc>
      </w:tr>
      <w:tr w:rsidR="00B124FF" w:rsidRPr="00CC0B55" w:rsidTr="005F32B8">
        <w:tc>
          <w:tcPr>
            <w:tcW w:w="2427" w:type="pct"/>
            <w:gridSpan w:val="2"/>
          </w:tcPr>
          <w:p w:rsidR="00B124FF" w:rsidRPr="00AF75CE" w:rsidRDefault="00B124FF" w:rsidP="005F32B8">
            <w:pPr>
              <w:jc w:val="both"/>
              <w:rPr>
                <w:sz w:val="20"/>
                <w:lang w:val="fr-CA"/>
              </w:rPr>
            </w:pPr>
            <w:r w:rsidRPr="00AF75CE">
              <w:rPr>
                <w:sz w:val="20"/>
                <w:lang w:val="fr-CA"/>
              </w:rPr>
              <w:t>19 janvier 2016</w:t>
            </w:r>
          </w:p>
          <w:p w:rsidR="00B124FF" w:rsidRPr="00AF75CE" w:rsidRDefault="00B124FF" w:rsidP="005F32B8">
            <w:pPr>
              <w:jc w:val="both"/>
              <w:rPr>
                <w:sz w:val="20"/>
                <w:lang w:val="fr-CA"/>
              </w:rPr>
            </w:pPr>
            <w:r w:rsidRPr="00AF75CE">
              <w:rPr>
                <w:sz w:val="20"/>
                <w:lang w:val="fr-CA"/>
              </w:rPr>
              <w:t>Cour supérieure de justice de l’Ontario</w:t>
            </w:r>
          </w:p>
          <w:p w:rsidR="00B124FF" w:rsidRPr="00AF75CE" w:rsidRDefault="00B124FF" w:rsidP="005F32B8">
            <w:pPr>
              <w:jc w:val="both"/>
              <w:rPr>
                <w:sz w:val="20"/>
                <w:lang w:val="fr-CA"/>
              </w:rPr>
            </w:pPr>
            <w:r w:rsidRPr="00AF75CE">
              <w:rPr>
                <w:sz w:val="20"/>
                <w:lang w:val="fr-CA"/>
              </w:rPr>
              <w:t>(Juge Maranger)</w:t>
            </w:r>
          </w:p>
          <w:p w:rsidR="00B124FF" w:rsidRPr="00AF75CE" w:rsidRDefault="00A24D5C" w:rsidP="005F32B8">
            <w:pPr>
              <w:jc w:val="both"/>
              <w:rPr>
                <w:sz w:val="20"/>
                <w:lang w:val="fr-CA"/>
              </w:rPr>
            </w:pPr>
            <w:hyperlink r:id="rId41" w:history="1">
              <w:r w:rsidR="00B124FF" w:rsidRPr="00AF75CE">
                <w:rPr>
                  <w:rStyle w:val="Hyperlink"/>
                  <w:sz w:val="20"/>
                  <w:lang w:val="fr-CA"/>
                </w:rPr>
                <w:t>2016 ONSC 505</w:t>
              </w:r>
            </w:hyperlink>
          </w:p>
          <w:p w:rsidR="00B124FF" w:rsidRPr="00AF75CE" w:rsidRDefault="00B124FF" w:rsidP="005F32B8">
            <w:pPr>
              <w:jc w:val="both"/>
              <w:rPr>
                <w:sz w:val="20"/>
                <w:lang w:val="fr-CA"/>
              </w:rPr>
            </w:pPr>
          </w:p>
        </w:tc>
        <w:tc>
          <w:tcPr>
            <w:tcW w:w="243" w:type="pct"/>
          </w:tcPr>
          <w:p w:rsidR="00B124FF" w:rsidRPr="00AF75CE" w:rsidRDefault="00B124FF" w:rsidP="005F32B8">
            <w:pPr>
              <w:jc w:val="both"/>
              <w:rPr>
                <w:sz w:val="20"/>
                <w:lang w:val="fr-CA"/>
              </w:rPr>
            </w:pPr>
          </w:p>
        </w:tc>
        <w:tc>
          <w:tcPr>
            <w:tcW w:w="2330" w:type="pct"/>
          </w:tcPr>
          <w:p w:rsidR="00B124FF" w:rsidRPr="00AF75CE" w:rsidRDefault="00B124FF" w:rsidP="005F32B8">
            <w:pPr>
              <w:jc w:val="both"/>
              <w:rPr>
                <w:sz w:val="20"/>
                <w:lang w:val="fr-CA"/>
              </w:rPr>
            </w:pPr>
            <w:r w:rsidRPr="00AF75CE">
              <w:rPr>
                <w:sz w:val="20"/>
                <w:lang w:val="fr-CA"/>
              </w:rPr>
              <w:t>Rejet de la demande de réduction de la période préalable à la libération conditionnelle de l’intimée, qui était d’une durée de vingt-cinq ans</w:t>
            </w:r>
          </w:p>
          <w:p w:rsidR="00B124FF" w:rsidRPr="00AF75CE" w:rsidRDefault="00B124FF" w:rsidP="005F32B8">
            <w:pPr>
              <w:jc w:val="both"/>
              <w:rPr>
                <w:sz w:val="20"/>
                <w:lang w:val="fr-CA"/>
              </w:rPr>
            </w:pPr>
          </w:p>
        </w:tc>
      </w:tr>
      <w:tr w:rsidR="00B124FF" w:rsidRPr="00CC0B55" w:rsidTr="005F32B8">
        <w:tc>
          <w:tcPr>
            <w:tcW w:w="2427" w:type="pct"/>
            <w:gridSpan w:val="2"/>
          </w:tcPr>
          <w:p w:rsidR="00B124FF" w:rsidRPr="00AF75CE" w:rsidRDefault="00B124FF" w:rsidP="005F32B8">
            <w:pPr>
              <w:jc w:val="both"/>
              <w:rPr>
                <w:sz w:val="20"/>
                <w:lang w:val="fr-CA"/>
              </w:rPr>
            </w:pPr>
            <w:r w:rsidRPr="00AF75CE">
              <w:rPr>
                <w:sz w:val="20"/>
                <w:lang w:val="fr-CA"/>
              </w:rPr>
              <w:t>2 août 2018</w:t>
            </w:r>
          </w:p>
          <w:p w:rsidR="00B124FF" w:rsidRPr="00AF75CE" w:rsidRDefault="00B124FF" w:rsidP="005F32B8">
            <w:pPr>
              <w:jc w:val="both"/>
              <w:rPr>
                <w:sz w:val="20"/>
                <w:lang w:val="fr-CA"/>
              </w:rPr>
            </w:pPr>
            <w:r w:rsidRPr="00AF75CE">
              <w:rPr>
                <w:sz w:val="20"/>
                <w:lang w:val="fr-CA"/>
              </w:rPr>
              <w:t>Cour d’appel de l’Ontario</w:t>
            </w:r>
          </w:p>
          <w:p w:rsidR="00B124FF" w:rsidRPr="00AF75CE" w:rsidRDefault="00B124FF" w:rsidP="005F32B8">
            <w:pPr>
              <w:jc w:val="both"/>
              <w:rPr>
                <w:sz w:val="20"/>
                <w:lang w:val="fr-CA"/>
              </w:rPr>
            </w:pPr>
            <w:r w:rsidRPr="00AF75CE">
              <w:rPr>
                <w:sz w:val="20"/>
                <w:lang w:val="fr-CA"/>
              </w:rPr>
              <w:t>(Juges Doherty, LaForme et Paciocco)</w:t>
            </w:r>
          </w:p>
          <w:p w:rsidR="00B124FF" w:rsidRPr="00AF75CE" w:rsidRDefault="00A24D5C" w:rsidP="005F32B8">
            <w:pPr>
              <w:jc w:val="both"/>
              <w:rPr>
                <w:sz w:val="20"/>
                <w:lang w:val="fr-CA"/>
              </w:rPr>
            </w:pPr>
            <w:hyperlink r:id="rId42" w:history="1">
              <w:r w:rsidR="00B124FF" w:rsidRPr="00AF75CE">
                <w:rPr>
                  <w:rStyle w:val="Hyperlink"/>
                  <w:sz w:val="20"/>
                  <w:lang w:val="fr-CA"/>
                </w:rPr>
                <w:t>2018 ONCA 674</w:t>
              </w:r>
            </w:hyperlink>
            <w:r w:rsidR="00B124FF" w:rsidRPr="00AF75CE">
              <w:rPr>
                <w:sz w:val="20"/>
                <w:lang w:val="fr-CA"/>
              </w:rPr>
              <w:t>; C62078</w:t>
            </w:r>
          </w:p>
          <w:p w:rsidR="00B124FF" w:rsidRPr="00AF75CE" w:rsidRDefault="00B124FF" w:rsidP="005F32B8">
            <w:pPr>
              <w:jc w:val="both"/>
              <w:rPr>
                <w:sz w:val="20"/>
                <w:lang w:val="fr-CA"/>
              </w:rPr>
            </w:pPr>
          </w:p>
        </w:tc>
        <w:tc>
          <w:tcPr>
            <w:tcW w:w="243" w:type="pct"/>
          </w:tcPr>
          <w:p w:rsidR="00B124FF" w:rsidRPr="00AF75CE" w:rsidRDefault="00B124FF" w:rsidP="005F32B8">
            <w:pPr>
              <w:jc w:val="both"/>
              <w:rPr>
                <w:sz w:val="20"/>
                <w:lang w:val="fr-CA"/>
              </w:rPr>
            </w:pPr>
          </w:p>
        </w:tc>
        <w:tc>
          <w:tcPr>
            <w:tcW w:w="2330" w:type="pct"/>
          </w:tcPr>
          <w:p w:rsidR="00B124FF" w:rsidRPr="00AF75CE" w:rsidRDefault="00B124FF" w:rsidP="005F32B8">
            <w:pPr>
              <w:jc w:val="both"/>
              <w:rPr>
                <w:sz w:val="20"/>
                <w:lang w:val="fr-CA"/>
              </w:rPr>
            </w:pPr>
            <w:r w:rsidRPr="00AF75CE">
              <w:rPr>
                <w:sz w:val="20"/>
                <w:lang w:val="fr-CA"/>
              </w:rPr>
              <w:t>Arrêt accueillant l’appel et statuant que Mme Dell a le droit de présenter une demande à la Cour supérieure de justice pour constituer un jury chargé d’entendre sa demande dite du « faible espoir »</w:t>
            </w:r>
          </w:p>
          <w:p w:rsidR="00B124FF" w:rsidRPr="00AF75CE" w:rsidRDefault="00B124FF" w:rsidP="005F32B8">
            <w:pPr>
              <w:jc w:val="both"/>
              <w:rPr>
                <w:sz w:val="20"/>
                <w:lang w:val="fr-CA"/>
              </w:rPr>
            </w:pPr>
          </w:p>
        </w:tc>
      </w:tr>
      <w:tr w:rsidR="00B124FF" w:rsidRPr="00CC0B55" w:rsidTr="005F32B8">
        <w:tc>
          <w:tcPr>
            <w:tcW w:w="2427" w:type="pct"/>
            <w:gridSpan w:val="2"/>
          </w:tcPr>
          <w:p w:rsidR="00B124FF" w:rsidRPr="00AF75CE" w:rsidRDefault="00B124FF" w:rsidP="005F32B8">
            <w:pPr>
              <w:jc w:val="both"/>
              <w:rPr>
                <w:sz w:val="20"/>
                <w:lang w:val="fr-CA"/>
              </w:rPr>
            </w:pPr>
            <w:r w:rsidRPr="00AF75CE">
              <w:rPr>
                <w:sz w:val="20"/>
                <w:lang w:val="fr-CA"/>
              </w:rPr>
              <w:t>28 septembre 2018</w:t>
            </w:r>
          </w:p>
          <w:p w:rsidR="00B124FF" w:rsidRPr="00AF75CE" w:rsidRDefault="00B124FF" w:rsidP="005F32B8">
            <w:pPr>
              <w:jc w:val="both"/>
              <w:rPr>
                <w:sz w:val="20"/>
                <w:lang w:val="fr-CA"/>
              </w:rPr>
            </w:pPr>
            <w:r w:rsidRPr="00AF75CE">
              <w:rPr>
                <w:sz w:val="20"/>
                <w:lang w:val="fr-CA"/>
              </w:rPr>
              <w:t>Cour suprême du Canada</w:t>
            </w:r>
          </w:p>
        </w:tc>
        <w:tc>
          <w:tcPr>
            <w:tcW w:w="243" w:type="pct"/>
          </w:tcPr>
          <w:p w:rsidR="00B124FF" w:rsidRPr="00AF75CE" w:rsidRDefault="00B124FF" w:rsidP="005F32B8">
            <w:pPr>
              <w:jc w:val="both"/>
              <w:rPr>
                <w:sz w:val="20"/>
                <w:lang w:val="fr-CA"/>
              </w:rPr>
            </w:pPr>
          </w:p>
        </w:tc>
        <w:tc>
          <w:tcPr>
            <w:tcW w:w="2330" w:type="pct"/>
          </w:tcPr>
          <w:p w:rsidR="00B124FF" w:rsidRPr="00AF75CE" w:rsidRDefault="00B124FF" w:rsidP="005F32B8">
            <w:pPr>
              <w:jc w:val="both"/>
              <w:rPr>
                <w:sz w:val="20"/>
                <w:lang w:val="fr-CA"/>
              </w:rPr>
            </w:pPr>
            <w:r w:rsidRPr="00AF75CE">
              <w:rPr>
                <w:sz w:val="20"/>
                <w:lang w:val="fr-CA"/>
              </w:rPr>
              <w:t>Dépôt de la demande d’autorisation d’appel</w:t>
            </w:r>
          </w:p>
        </w:tc>
      </w:tr>
    </w:tbl>
    <w:p w:rsidR="00B124FF" w:rsidRDefault="00B124FF" w:rsidP="00B124FF">
      <w:pPr>
        <w:jc w:val="both"/>
        <w:rPr>
          <w:sz w:val="20"/>
          <w:lang w:val="fr-CA"/>
        </w:rPr>
      </w:pPr>
    </w:p>
    <w:p w:rsidR="00B124FF" w:rsidRPr="00AF75CE" w:rsidRDefault="00A24D5C" w:rsidP="00B124FF">
      <w:pPr>
        <w:jc w:val="both"/>
        <w:rPr>
          <w:sz w:val="20"/>
          <w:lang w:val="fr-CA"/>
        </w:rPr>
      </w:pPr>
      <w:r>
        <w:rPr>
          <w:sz w:val="20"/>
          <w:szCs w:val="20"/>
        </w:rPr>
        <w:pict>
          <v:rect id="_x0000_i1038" style="width:2in;height:1pt" o:hrpct="0" o:hralign="center" o:hrstd="t" o:hrnoshade="t" o:hr="t" fillcolor="black [3213]" stroked="f"/>
        </w:pict>
      </w:r>
    </w:p>
    <w:p w:rsidR="00B124FF" w:rsidRPr="00AF75CE" w:rsidRDefault="00B124FF" w:rsidP="00B124FF">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124FF" w:rsidRPr="00AF75CE" w:rsidTr="005F32B8">
        <w:tc>
          <w:tcPr>
            <w:tcW w:w="543" w:type="pct"/>
          </w:tcPr>
          <w:p w:rsidR="00B124FF" w:rsidRPr="00AF75CE" w:rsidRDefault="00B124FF" w:rsidP="005F32B8">
            <w:pPr>
              <w:jc w:val="both"/>
              <w:rPr>
                <w:sz w:val="20"/>
              </w:rPr>
            </w:pPr>
            <w:r w:rsidRPr="00AF75CE">
              <w:rPr>
                <w:rStyle w:val="SCCFileNumberChar"/>
                <w:sz w:val="20"/>
                <w:szCs w:val="20"/>
              </w:rPr>
              <w:t>38361</w:t>
            </w:r>
          </w:p>
        </w:tc>
        <w:tc>
          <w:tcPr>
            <w:tcW w:w="4457" w:type="pct"/>
            <w:gridSpan w:val="3"/>
          </w:tcPr>
          <w:p w:rsidR="00B124FF" w:rsidRPr="00202CE2" w:rsidRDefault="00B124FF" w:rsidP="005F32B8">
            <w:pPr>
              <w:pStyle w:val="SCCLsocParty"/>
              <w:jc w:val="both"/>
              <w:rPr>
                <w:b/>
                <w:sz w:val="20"/>
                <w:szCs w:val="20"/>
                <w:lang w:val="en-US"/>
              </w:rPr>
            </w:pPr>
            <w:r w:rsidRPr="00202CE2">
              <w:rPr>
                <w:b/>
                <w:sz w:val="20"/>
                <w:szCs w:val="20"/>
                <w:lang w:val="en-US"/>
              </w:rPr>
              <w:t>Her Majesty the Queen v. Larry Allan Hayter</w:t>
            </w:r>
          </w:p>
          <w:p w:rsidR="00B124FF" w:rsidRPr="00AF75CE" w:rsidRDefault="00B124FF" w:rsidP="005F32B8">
            <w:pPr>
              <w:jc w:val="both"/>
              <w:rPr>
                <w:sz w:val="20"/>
              </w:rPr>
            </w:pPr>
            <w:r w:rsidRPr="00AF75CE">
              <w:rPr>
                <w:sz w:val="20"/>
              </w:rPr>
              <w:t>(Sask.) (Criminal) (By Leave)</w:t>
            </w:r>
          </w:p>
        </w:tc>
      </w:tr>
      <w:tr w:rsidR="00B124FF" w:rsidRPr="00AF75CE" w:rsidTr="005F32B8">
        <w:tc>
          <w:tcPr>
            <w:tcW w:w="5000" w:type="pct"/>
            <w:gridSpan w:val="4"/>
          </w:tcPr>
          <w:p w:rsidR="00B124FF" w:rsidRDefault="00B124FF" w:rsidP="005F32B8">
            <w:pPr>
              <w:jc w:val="both"/>
              <w:rPr>
                <w:sz w:val="20"/>
              </w:rPr>
            </w:pPr>
            <w:r w:rsidRPr="00C97F67">
              <w:rPr>
                <w:sz w:val="20"/>
              </w:rPr>
              <w:t>The application for leave to appeal from the judgment of the Court of Appeal for Saskatchewan, Number CACR2965, 2018 SKCA 65, dated August 23, 2018, is dismissed.</w:t>
            </w:r>
          </w:p>
          <w:p w:rsidR="00B124FF" w:rsidRPr="00AF75CE" w:rsidRDefault="00B124FF" w:rsidP="005F32B8">
            <w:pPr>
              <w:jc w:val="both"/>
              <w:rPr>
                <w:sz w:val="20"/>
              </w:rPr>
            </w:pPr>
          </w:p>
        </w:tc>
      </w:tr>
      <w:tr w:rsidR="00B124FF" w:rsidRPr="00AF75CE" w:rsidTr="005F32B8">
        <w:tc>
          <w:tcPr>
            <w:tcW w:w="5000" w:type="pct"/>
            <w:gridSpan w:val="4"/>
          </w:tcPr>
          <w:p w:rsidR="00B124FF" w:rsidRPr="00AF75CE" w:rsidRDefault="00B124FF" w:rsidP="005F32B8">
            <w:pPr>
              <w:jc w:val="both"/>
              <w:rPr>
                <w:sz w:val="20"/>
              </w:rPr>
            </w:pPr>
            <w:r w:rsidRPr="00AF75CE">
              <w:rPr>
                <w:sz w:val="20"/>
              </w:rPr>
              <w:t>Criminal law – Appeals – Standard of review – Whether Court of Appeal applied the wrong standard of appellate review to trial judge’s refusals to grant adjournments requested by accused?</w:t>
            </w:r>
          </w:p>
        </w:tc>
      </w:tr>
      <w:tr w:rsidR="00B124FF" w:rsidRPr="00AF75CE" w:rsidTr="005F32B8">
        <w:tc>
          <w:tcPr>
            <w:tcW w:w="5000" w:type="pct"/>
            <w:gridSpan w:val="4"/>
          </w:tcPr>
          <w:p w:rsidR="00B124FF" w:rsidRPr="00AF75CE" w:rsidRDefault="00B124FF" w:rsidP="005F32B8">
            <w:pPr>
              <w:jc w:val="both"/>
              <w:rPr>
                <w:sz w:val="20"/>
              </w:rPr>
            </w:pPr>
          </w:p>
          <w:p w:rsidR="00B124FF" w:rsidRPr="00AF75CE" w:rsidRDefault="00B124FF" w:rsidP="005F32B8">
            <w:pPr>
              <w:jc w:val="both"/>
              <w:rPr>
                <w:sz w:val="20"/>
              </w:rPr>
            </w:pPr>
            <w:r w:rsidRPr="00AF75CE">
              <w:rPr>
                <w:sz w:val="20"/>
              </w:rPr>
              <w:t>Mr. Hayter was convicted of fraud over $5000. Mr. Hayter requested adjournments of proceedings at the commencement of the first day of trial, later during the trial when his counsel withdrew, and before sentencing. All three requests to adjourn were denied. The Court of Appeal allowed an appeal and ordered a new trial. It held that the trial judge correctly refused the first request for an adjournment but</w:t>
            </w:r>
            <w:r w:rsidRPr="00AF75CE">
              <w:rPr>
                <w:sz w:val="20"/>
                <w:lang w:val="en"/>
              </w:rPr>
              <w:t xml:space="preserve"> </w:t>
            </w:r>
            <w:r w:rsidRPr="00AF75CE">
              <w:rPr>
                <w:sz w:val="20"/>
              </w:rPr>
              <w:t xml:space="preserve">the second and third requests should have been granted. </w:t>
            </w:r>
          </w:p>
        </w:tc>
      </w:tr>
      <w:tr w:rsidR="00B124FF" w:rsidRPr="00AF75CE" w:rsidTr="005F32B8">
        <w:tc>
          <w:tcPr>
            <w:tcW w:w="5000" w:type="pct"/>
            <w:gridSpan w:val="4"/>
          </w:tcPr>
          <w:p w:rsidR="00B124FF" w:rsidRPr="00AF75CE" w:rsidRDefault="00B124FF" w:rsidP="005F32B8">
            <w:pPr>
              <w:jc w:val="both"/>
              <w:rPr>
                <w:sz w:val="20"/>
              </w:rPr>
            </w:pPr>
          </w:p>
        </w:tc>
      </w:tr>
      <w:tr w:rsidR="00B124FF" w:rsidRPr="00AF75CE" w:rsidTr="005F32B8">
        <w:tc>
          <w:tcPr>
            <w:tcW w:w="2427" w:type="pct"/>
            <w:gridSpan w:val="2"/>
          </w:tcPr>
          <w:p w:rsidR="00B124FF" w:rsidRPr="00AF75CE" w:rsidRDefault="00B124FF" w:rsidP="005F32B8">
            <w:pPr>
              <w:jc w:val="both"/>
              <w:rPr>
                <w:sz w:val="20"/>
              </w:rPr>
            </w:pPr>
            <w:r w:rsidRPr="00AF75CE">
              <w:rPr>
                <w:sz w:val="20"/>
              </w:rPr>
              <w:t>May 4, 2017</w:t>
            </w:r>
          </w:p>
          <w:p w:rsidR="00B124FF" w:rsidRPr="00AF75CE" w:rsidRDefault="00B124FF" w:rsidP="005F32B8">
            <w:pPr>
              <w:jc w:val="both"/>
              <w:rPr>
                <w:sz w:val="20"/>
              </w:rPr>
            </w:pPr>
            <w:r w:rsidRPr="00AF75CE">
              <w:rPr>
                <w:sz w:val="20"/>
              </w:rPr>
              <w:t>Court of Queen’s Bench of Saskatchewan</w:t>
            </w:r>
          </w:p>
          <w:p w:rsidR="00B124FF" w:rsidRPr="00AF75CE" w:rsidRDefault="00B124FF" w:rsidP="005F32B8">
            <w:pPr>
              <w:jc w:val="both"/>
              <w:rPr>
                <w:sz w:val="20"/>
              </w:rPr>
            </w:pPr>
          </w:p>
        </w:tc>
        <w:tc>
          <w:tcPr>
            <w:tcW w:w="243" w:type="pct"/>
          </w:tcPr>
          <w:p w:rsidR="00B124FF" w:rsidRPr="00AF75CE" w:rsidRDefault="00B124FF" w:rsidP="005F32B8">
            <w:pPr>
              <w:jc w:val="both"/>
              <w:rPr>
                <w:sz w:val="20"/>
              </w:rPr>
            </w:pPr>
          </w:p>
        </w:tc>
        <w:tc>
          <w:tcPr>
            <w:tcW w:w="2330" w:type="pct"/>
          </w:tcPr>
          <w:p w:rsidR="00B124FF" w:rsidRPr="00AF75CE" w:rsidRDefault="00B124FF" w:rsidP="005F32B8">
            <w:pPr>
              <w:jc w:val="both"/>
              <w:rPr>
                <w:sz w:val="20"/>
              </w:rPr>
            </w:pPr>
            <w:r w:rsidRPr="00AF75CE">
              <w:rPr>
                <w:sz w:val="20"/>
              </w:rPr>
              <w:t>Conviction for fraud over $5000</w:t>
            </w:r>
          </w:p>
          <w:p w:rsidR="00B124FF" w:rsidRPr="00AF75CE" w:rsidRDefault="00B124FF" w:rsidP="005F32B8">
            <w:pPr>
              <w:jc w:val="both"/>
              <w:rPr>
                <w:sz w:val="20"/>
              </w:rPr>
            </w:pPr>
          </w:p>
        </w:tc>
      </w:tr>
      <w:tr w:rsidR="00B124FF" w:rsidRPr="00AF75CE" w:rsidTr="005F32B8">
        <w:tc>
          <w:tcPr>
            <w:tcW w:w="2427" w:type="pct"/>
            <w:gridSpan w:val="2"/>
          </w:tcPr>
          <w:p w:rsidR="00B124FF" w:rsidRPr="00AF75CE" w:rsidRDefault="00B124FF" w:rsidP="005F32B8">
            <w:pPr>
              <w:jc w:val="both"/>
              <w:rPr>
                <w:sz w:val="20"/>
              </w:rPr>
            </w:pPr>
            <w:r w:rsidRPr="00AF75CE">
              <w:rPr>
                <w:sz w:val="20"/>
              </w:rPr>
              <w:t>August 23, 2018</w:t>
            </w:r>
          </w:p>
          <w:p w:rsidR="00B124FF" w:rsidRPr="00AF75CE" w:rsidRDefault="00B124FF" w:rsidP="005F32B8">
            <w:pPr>
              <w:jc w:val="both"/>
              <w:rPr>
                <w:sz w:val="20"/>
              </w:rPr>
            </w:pPr>
            <w:r w:rsidRPr="00AF75CE">
              <w:rPr>
                <w:sz w:val="20"/>
              </w:rPr>
              <w:t>Court of Appeal for Saskatchewan</w:t>
            </w:r>
          </w:p>
          <w:p w:rsidR="00B124FF" w:rsidRPr="00AF75CE" w:rsidRDefault="00B124FF" w:rsidP="005F32B8">
            <w:pPr>
              <w:jc w:val="both"/>
              <w:rPr>
                <w:sz w:val="20"/>
              </w:rPr>
            </w:pPr>
            <w:r w:rsidRPr="00AF75CE">
              <w:rPr>
                <w:sz w:val="20"/>
              </w:rPr>
              <w:t>(Caldwell, Whitmore, Schwann JJ.A.)</w:t>
            </w:r>
          </w:p>
          <w:p w:rsidR="00B124FF" w:rsidRPr="00AF75CE" w:rsidRDefault="00B124FF" w:rsidP="005F32B8">
            <w:pPr>
              <w:jc w:val="both"/>
              <w:rPr>
                <w:sz w:val="20"/>
              </w:rPr>
            </w:pPr>
            <w:r w:rsidRPr="00AF75CE">
              <w:rPr>
                <w:sz w:val="20"/>
              </w:rPr>
              <w:t xml:space="preserve">CACR2965; </w:t>
            </w:r>
            <w:hyperlink r:id="rId43" w:history="1">
              <w:r w:rsidRPr="00AF75CE">
                <w:rPr>
                  <w:rStyle w:val="Hyperlink"/>
                  <w:sz w:val="20"/>
                </w:rPr>
                <w:t>2018 SKCA 65</w:t>
              </w:r>
            </w:hyperlink>
          </w:p>
          <w:p w:rsidR="00B124FF" w:rsidRPr="00AF75CE" w:rsidRDefault="00B124FF" w:rsidP="005F32B8">
            <w:pPr>
              <w:jc w:val="both"/>
              <w:rPr>
                <w:sz w:val="20"/>
              </w:rPr>
            </w:pPr>
          </w:p>
        </w:tc>
        <w:tc>
          <w:tcPr>
            <w:tcW w:w="243" w:type="pct"/>
          </w:tcPr>
          <w:p w:rsidR="00B124FF" w:rsidRPr="00AF75CE" w:rsidRDefault="00B124FF" w:rsidP="005F32B8">
            <w:pPr>
              <w:jc w:val="both"/>
              <w:rPr>
                <w:sz w:val="20"/>
              </w:rPr>
            </w:pPr>
          </w:p>
        </w:tc>
        <w:tc>
          <w:tcPr>
            <w:tcW w:w="2330" w:type="pct"/>
          </w:tcPr>
          <w:p w:rsidR="00B124FF" w:rsidRPr="00AF75CE" w:rsidRDefault="00B124FF" w:rsidP="005F32B8">
            <w:pPr>
              <w:jc w:val="both"/>
              <w:rPr>
                <w:sz w:val="20"/>
              </w:rPr>
            </w:pPr>
            <w:r w:rsidRPr="00AF75CE">
              <w:rPr>
                <w:sz w:val="20"/>
              </w:rPr>
              <w:t>Appeal allowed and new trial ordered</w:t>
            </w:r>
          </w:p>
        </w:tc>
      </w:tr>
      <w:tr w:rsidR="00B124FF" w:rsidRPr="00AF75CE" w:rsidTr="005F32B8">
        <w:tc>
          <w:tcPr>
            <w:tcW w:w="2427" w:type="pct"/>
            <w:gridSpan w:val="2"/>
          </w:tcPr>
          <w:p w:rsidR="00B124FF" w:rsidRPr="00AF75CE" w:rsidRDefault="00B124FF" w:rsidP="005F32B8">
            <w:pPr>
              <w:jc w:val="both"/>
              <w:rPr>
                <w:sz w:val="20"/>
              </w:rPr>
            </w:pPr>
            <w:r w:rsidRPr="00AF75CE">
              <w:rPr>
                <w:sz w:val="20"/>
              </w:rPr>
              <w:t>October 22, 2018</w:t>
            </w:r>
          </w:p>
          <w:p w:rsidR="00B124FF" w:rsidRPr="00AF75CE" w:rsidRDefault="00B124FF" w:rsidP="005F32B8">
            <w:pPr>
              <w:jc w:val="both"/>
              <w:rPr>
                <w:sz w:val="20"/>
              </w:rPr>
            </w:pPr>
            <w:r w:rsidRPr="00AF75CE">
              <w:rPr>
                <w:sz w:val="20"/>
              </w:rPr>
              <w:t>Supreme Court of Canada</w:t>
            </w:r>
          </w:p>
        </w:tc>
        <w:tc>
          <w:tcPr>
            <w:tcW w:w="243" w:type="pct"/>
          </w:tcPr>
          <w:p w:rsidR="00B124FF" w:rsidRPr="00AF75CE" w:rsidRDefault="00B124FF" w:rsidP="005F32B8">
            <w:pPr>
              <w:jc w:val="both"/>
              <w:rPr>
                <w:sz w:val="20"/>
              </w:rPr>
            </w:pPr>
          </w:p>
        </w:tc>
        <w:tc>
          <w:tcPr>
            <w:tcW w:w="2330" w:type="pct"/>
          </w:tcPr>
          <w:p w:rsidR="00B124FF" w:rsidRPr="00AF75CE" w:rsidRDefault="00B124FF" w:rsidP="005F32B8">
            <w:pPr>
              <w:jc w:val="both"/>
              <w:rPr>
                <w:sz w:val="20"/>
              </w:rPr>
            </w:pPr>
            <w:r w:rsidRPr="00AF75CE">
              <w:rPr>
                <w:sz w:val="20"/>
              </w:rPr>
              <w:t>Application for leave to appeal filed</w:t>
            </w:r>
          </w:p>
          <w:p w:rsidR="00B124FF" w:rsidRPr="00AF75CE" w:rsidRDefault="00B124FF" w:rsidP="005F32B8">
            <w:pPr>
              <w:jc w:val="both"/>
              <w:rPr>
                <w:sz w:val="20"/>
              </w:rPr>
            </w:pPr>
          </w:p>
        </w:tc>
      </w:tr>
    </w:tbl>
    <w:p w:rsidR="00B124FF" w:rsidRDefault="00B124FF" w:rsidP="00B124FF">
      <w:pPr>
        <w:jc w:val="both"/>
        <w:rPr>
          <w:sz w:val="20"/>
        </w:rPr>
      </w:pPr>
    </w:p>
    <w:p w:rsidR="00B124FF" w:rsidRPr="00AF75CE" w:rsidRDefault="00B124FF" w:rsidP="00B124F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124FF" w:rsidRPr="00AF75CE" w:rsidTr="005F32B8">
        <w:tc>
          <w:tcPr>
            <w:tcW w:w="543" w:type="pct"/>
          </w:tcPr>
          <w:p w:rsidR="00B124FF" w:rsidRPr="00AF75CE" w:rsidRDefault="00B124FF" w:rsidP="005F32B8">
            <w:pPr>
              <w:jc w:val="both"/>
              <w:rPr>
                <w:sz w:val="20"/>
                <w:lang w:val="fr-CA"/>
              </w:rPr>
            </w:pPr>
            <w:r w:rsidRPr="00AF75CE">
              <w:rPr>
                <w:rStyle w:val="SCCFileNumberChar"/>
                <w:sz w:val="20"/>
                <w:szCs w:val="20"/>
                <w:lang w:val="fr-CA"/>
              </w:rPr>
              <w:t>38361</w:t>
            </w:r>
          </w:p>
        </w:tc>
        <w:tc>
          <w:tcPr>
            <w:tcW w:w="4457" w:type="pct"/>
            <w:gridSpan w:val="3"/>
          </w:tcPr>
          <w:p w:rsidR="00B124FF" w:rsidRPr="00202CE2" w:rsidRDefault="00B124FF" w:rsidP="005F32B8">
            <w:pPr>
              <w:pStyle w:val="SCCLsocParty"/>
              <w:jc w:val="both"/>
              <w:rPr>
                <w:b/>
                <w:sz w:val="20"/>
                <w:szCs w:val="20"/>
              </w:rPr>
            </w:pPr>
            <w:r w:rsidRPr="00202CE2">
              <w:rPr>
                <w:b/>
                <w:sz w:val="20"/>
                <w:szCs w:val="20"/>
              </w:rPr>
              <w:t>Sa Majesté la Reine c. Larry Allan Hayter</w:t>
            </w:r>
          </w:p>
          <w:p w:rsidR="00B124FF" w:rsidRPr="00AF75CE" w:rsidRDefault="00B124FF" w:rsidP="005F32B8">
            <w:pPr>
              <w:jc w:val="both"/>
              <w:rPr>
                <w:sz w:val="20"/>
                <w:lang w:val="fr-CA"/>
              </w:rPr>
            </w:pPr>
            <w:r w:rsidRPr="00AF75CE">
              <w:rPr>
                <w:sz w:val="20"/>
                <w:lang w:val="fr-CA"/>
              </w:rPr>
              <w:t>(Sask.) (Criminelle) (Autorisation)</w:t>
            </w:r>
          </w:p>
        </w:tc>
      </w:tr>
      <w:tr w:rsidR="00B124FF" w:rsidRPr="00CC0B55" w:rsidTr="005F32B8">
        <w:tc>
          <w:tcPr>
            <w:tcW w:w="5000" w:type="pct"/>
            <w:gridSpan w:val="4"/>
          </w:tcPr>
          <w:p w:rsidR="00B124FF" w:rsidRDefault="00B124FF" w:rsidP="005F32B8">
            <w:pPr>
              <w:jc w:val="both"/>
              <w:rPr>
                <w:sz w:val="20"/>
                <w:lang w:val="fr-CA"/>
              </w:rPr>
            </w:pPr>
            <w:r w:rsidRPr="00C97F67">
              <w:rPr>
                <w:sz w:val="20"/>
                <w:lang w:val="fr-CA"/>
              </w:rPr>
              <w:t>La demande d’autorisation d’appel de l’arrêt de la Cour d’appel de la Saskatchewan, numéro CACR2965, 2018 SKCA 65, daté du 23 août 2018, est rejetée.</w:t>
            </w:r>
          </w:p>
          <w:p w:rsidR="00B124FF" w:rsidRPr="00AF75CE" w:rsidRDefault="00B124FF" w:rsidP="005F32B8">
            <w:pPr>
              <w:jc w:val="both"/>
              <w:rPr>
                <w:sz w:val="20"/>
                <w:lang w:val="fr-CA"/>
              </w:rPr>
            </w:pPr>
          </w:p>
        </w:tc>
      </w:tr>
      <w:tr w:rsidR="00B124FF" w:rsidRPr="00CC0B55" w:rsidTr="005F32B8">
        <w:tc>
          <w:tcPr>
            <w:tcW w:w="5000" w:type="pct"/>
            <w:gridSpan w:val="4"/>
          </w:tcPr>
          <w:p w:rsidR="00B124FF" w:rsidRPr="00AF75CE" w:rsidRDefault="00B124FF" w:rsidP="005F32B8">
            <w:pPr>
              <w:jc w:val="both"/>
              <w:rPr>
                <w:sz w:val="20"/>
                <w:lang w:val="fr-CA"/>
              </w:rPr>
            </w:pPr>
            <w:r w:rsidRPr="00AF75CE">
              <w:rPr>
                <w:sz w:val="20"/>
                <w:lang w:val="fr-CA"/>
              </w:rPr>
              <w:t>Droit criminel – Appels – Norme de contrôle – La Cour d’appel a-t-elle appliqué la mauvaise norme de contrôle en appel aux refus du juge du procès d’accorder les ajournements demandés par l’accusé?</w:t>
            </w:r>
          </w:p>
        </w:tc>
      </w:tr>
      <w:tr w:rsidR="00B124FF" w:rsidRPr="00CC0B55" w:rsidTr="005F32B8">
        <w:tc>
          <w:tcPr>
            <w:tcW w:w="5000" w:type="pct"/>
            <w:gridSpan w:val="4"/>
          </w:tcPr>
          <w:p w:rsidR="00B124FF" w:rsidRPr="00AF75CE" w:rsidRDefault="00B124FF" w:rsidP="005F32B8">
            <w:pPr>
              <w:jc w:val="both"/>
              <w:rPr>
                <w:sz w:val="20"/>
                <w:lang w:val="fr-CA"/>
              </w:rPr>
            </w:pPr>
          </w:p>
          <w:p w:rsidR="00B124FF" w:rsidRPr="00AF75CE" w:rsidRDefault="00B124FF" w:rsidP="005F32B8">
            <w:pPr>
              <w:jc w:val="both"/>
              <w:rPr>
                <w:sz w:val="20"/>
                <w:lang w:val="fr-CA"/>
              </w:rPr>
            </w:pPr>
            <w:r w:rsidRPr="00AF75CE">
              <w:rPr>
                <w:sz w:val="20"/>
                <w:lang w:val="fr-CA"/>
              </w:rPr>
              <w:t xml:space="preserve">Monsieur Hayter a été déclaré coupable de fraude de plus de 5 000 $. Monsieur Hayter a demandé des ajournements de l’instance au début de la première journée du procès, plus tard pendant le procès lorsque son avocat s’est retiré et avant la détermination de la peine. Les trois demandes d’ajournement ont été rejetées. La Cour d’appel a accueilli un appel et a ordonné la tenue d’un nouveau procès. Elle a statué que le juge du procès avait rejeté à bon droit la première demande d’ajournement, mais que les deuxième et troisième demandes auraient dû être accueillies. </w:t>
            </w:r>
          </w:p>
        </w:tc>
      </w:tr>
      <w:tr w:rsidR="00B124FF" w:rsidRPr="00CC0B55" w:rsidTr="005F32B8">
        <w:tc>
          <w:tcPr>
            <w:tcW w:w="5000" w:type="pct"/>
            <w:gridSpan w:val="4"/>
          </w:tcPr>
          <w:p w:rsidR="00B124FF" w:rsidRPr="00AF75CE" w:rsidRDefault="00B124FF" w:rsidP="005F32B8">
            <w:pPr>
              <w:jc w:val="both"/>
              <w:rPr>
                <w:sz w:val="20"/>
                <w:lang w:val="fr-CA"/>
              </w:rPr>
            </w:pPr>
          </w:p>
        </w:tc>
      </w:tr>
      <w:tr w:rsidR="00B124FF" w:rsidRPr="00CC0B55" w:rsidTr="005F32B8">
        <w:tc>
          <w:tcPr>
            <w:tcW w:w="2427" w:type="pct"/>
            <w:gridSpan w:val="2"/>
          </w:tcPr>
          <w:p w:rsidR="00B124FF" w:rsidRPr="00AF75CE" w:rsidRDefault="00B124FF" w:rsidP="005F32B8">
            <w:pPr>
              <w:jc w:val="both"/>
              <w:rPr>
                <w:sz w:val="20"/>
                <w:lang w:val="fr-CA"/>
              </w:rPr>
            </w:pPr>
            <w:r w:rsidRPr="00AF75CE">
              <w:rPr>
                <w:sz w:val="20"/>
                <w:lang w:val="fr-CA"/>
              </w:rPr>
              <w:t>4 mai 2017</w:t>
            </w:r>
          </w:p>
          <w:p w:rsidR="00B124FF" w:rsidRPr="00AF75CE" w:rsidRDefault="00B124FF" w:rsidP="005F32B8">
            <w:pPr>
              <w:jc w:val="both"/>
              <w:rPr>
                <w:sz w:val="20"/>
                <w:lang w:val="fr-CA"/>
              </w:rPr>
            </w:pPr>
            <w:r w:rsidRPr="00AF75CE">
              <w:rPr>
                <w:sz w:val="20"/>
                <w:lang w:val="fr-CA"/>
              </w:rPr>
              <w:t>Cour du Banc de la Reine de la Saskatchewan</w:t>
            </w:r>
          </w:p>
          <w:p w:rsidR="00B124FF" w:rsidRPr="00AF75CE" w:rsidRDefault="00B124FF" w:rsidP="005F32B8">
            <w:pPr>
              <w:jc w:val="both"/>
              <w:rPr>
                <w:sz w:val="20"/>
                <w:lang w:val="fr-CA"/>
              </w:rPr>
            </w:pPr>
          </w:p>
        </w:tc>
        <w:tc>
          <w:tcPr>
            <w:tcW w:w="243" w:type="pct"/>
          </w:tcPr>
          <w:p w:rsidR="00B124FF" w:rsidRPr="00AF75CE" w:rsidRDefault="00B124FF" w:rsidP="005F32B8">
            <w:pPr>
              <w:jc w:val="both"/>
              <w:rPr>
                <w:sz w:val="20"/>
                <w:lang w:val="fr-CA"/>
              </w:rPr>
            </w:pPr>
          </w:p>
        </w:tc>
        <w:tc>
          <w:tcPr>
            <w:tcW w:w="2330" w:type="pct"/>
          </w:tcPr>
          <w:p w:rsidR="00B124FF" w:rsidRPr="00AF75CE" w:rsidRDefault="00B124FF" w:rsidP="005F32B8">
            <w:pPr>
              <w:jc w:val="both"/>
              <w:rPr>
                <w:sz w:val="20"/>
                <w:lang w:val="fr-CA"/>
              </w:rPr>
            </w:pPr>
            <w:r w:rsidRPr="00AF75CE">
              <w:rPr>
                <w:sz w:val="20"/>
                <w:lang w:val="fr-CA"/>
              </w:rPr>
              <w:t>Déclaration de culpabilité de fraude de plus de 5 000 $</w:t>
            </w:r>
          </w:p>
          <w:p w:rsidR="00B124FF" w:rsidRPr="00AF75CE" w:rsidRDefault="00B124FF" w:rsidP="005F32B8">
            <w:pPr>
              <w:jc w:val="both"/>
              <w:rPr>
                <w:sz w:val="20"/>
                <w:lang w:val="fr-CA"/>
              </w:rPr>
            </w:pPr>
          </w:p>
        </w:tc>
      </w:tr>
      <w:tr w:rsidR="00B124FF" w:rsidRPr="00CC0B55" w:rsidTr="005F32B8">
        <w:tc>
          <w:tcPr>
            <w:tcW w:w="2427" w:type="pct"/>
            <w:gridSpan w:val="2"/>
          </w:tcPr>
          <w:p w:rsidR="00B124FF" w:rsidRPr="00AF75CE" w:rsidRDefault="00B124FF" w:rsidP="005F32B8">
            <w:pPr>
              <w:jc w:val="both"/>
              <w:rPr>
                <w:sz w:val="20"/>
                <w:lang w:val="fr-CA"/>
              </w:rPr>
            </w:pPr>
            <w:r w:rsidRPr="00AF75CE">
              <w:rPr>
                <w:sz w:val="20"/>
                <w:lang w:val="fr-CA"/>
              </w:rPr>
              <w:t>23 août 2018</w:t>
            </w:r>
          </w:p>
          <w:p w:rsidR="00B124FF" w:rsidRPr="00AF75CE" w:rsidRDefault="00B124FF" w:rsidP="005F32B8">
            <w:pPr>
              <w:jc w:val="both"/>
              <w:rPr>
                <w:sz w:val="20"/>
                <w:lang w:val="fr-CA"/>
              </w:rPr>
            </w:pPr>
            <w:r w:rsidRPr="00AF75CE">
              <w:rPr>
                <w:sz w:val="20"/>
                <w:lang w:val="fr-CA"/>
              </w:rPr>
              <w:t>Cour d’appel de la Saskatchewan</w:t>
            </w:r>
          </w:p>
          <w:p w:rsidR="00B124FF" w:rsidRPr="00AF75CE" w:rsidRDefault="00B124FF" w:rsidP="005F32B8">
            <w:pPr>
              <w:jc w:val="both"/>
              <w:rPr>
                <w:sz w:val="20"/>
              </w:rPr>
            </w:pPr>
            <w:r w:rsidRPr="00AF75CE">
              <w:rPr>
                <w:sz w:val="20"/>
              </w:rPr>
              <w:t>(Juges Caldwell, Whitmore et Schwann)</w:t>
            </w:r>
          </w:p>
          <w:p w:rsidR="00B124FF" w:rsidRPr="00AF75CE" w:rsidRDefault="00B124FF" w:rsidP="005F32B8">
            <w:pPr>
              <w:jc w:val="both"/>
              <w:rPr>
                <w:sz w:val="20"/>
                <w:lang w:val="fr-CA"/>
              </w:rPr>
            </w:pPr>
            <w:r w:rsidRPr="00AF75CE">
              <w:rPr>
                <w:sz w:val="20"/>
                <w:lang w:val="fr-CA"/>
              </w:rPr>
              <w:t xml:space="preserve">CACR2965; </w:t>
            </w:r>
            <w:hyperlink r:id="rId44" w:history="1">
              <w:r w:rsidRPr="00AF75CE">
                <w:rPr>
                  <w:rStyle w:val="Hyperlink"/>
                  <w:sz w:val="20"/>
                  <w:lang w:val="fr-CA"/>
                </w:rPr>
                <w:t>2018 SKCA 65</w:t>
              </w:r>
            </w:hyperlink>
          </w:p>
          <w:p w:rsidR="00B124FF" w:rsidRPr="00AF75CE" w:rsidRDefault="00B124FF" w:rsidP="005F32B8">
            <w:pPr>
              <w:jc w:val="both"/>
              <w:rPr>
                <w:sz w:val="20"/>
                <w:lang w:val="fr-CA"/>
              </w:rPr>
            </w:pPr>
          </w:p>
        </w:tc>
        <w:tc>
          <w:tcPr>
            <w:tcW w:w="243" w:type="pct"/>
          </w:tcPr>
          <w:p w:rsidR="00B124FF" w:rsidRPr="00AF75CE" w:rsidRDefault="00B124FF" w:rsidP="005F32B8">
            <w:pPr>
              <w:jc w:val="both"/>
              <w:rPr>
                <w:sz w:val="20"/>
                <w:lang w:val="fr-CA"/>
              </w:rPr>
            </w:pPr>
          </w:p>
        </w:tc>
        <w:tc>
          <w:tcPr>
            <w:tcW w:w="2330" w:type="pct"/>
          </w:tcPr>
          <w:p w:rsidR="00B124FF" w:rsidRPr="00AF75CE" w:rsidRDefault="00B124FF" w:rsidP="005F32B8">
            <w:pPr>
              <w:jc w:val="both"/>
              <w:rPr>
                <w:sz w:val="20"/>
                <w:lang w:val="fr-CA"/>
              </w:rPr>
            </w:pPr>
            <w:r w:rsidRPr="00AF75CE">
              <w:rPr>
                <w:sz w:val="20"/>
                <w:lang w:val="fr-CA"/>
              </w:rPr>
              <w:t>Arrêt accueillant l’appel et ordonnant la tenue d’un nouveau procès</w:t>
            </w:r>
          </w:p>
        </w:tc>
      </w:tr>
      <w:tr w:rsidR="00B124FF" w:rsidRPr="00CC0B55" w:rsidTr="005F32B8">
        <w:tc>
          <w:tcPr>
            <w:tcW w:w="2427" w:type="pct"/>
            <w:gridSpan w:val="2"/>
          </w:tcPr>
          <w:p w:rsidR="00B124FF" w:rsidRPr="00AF75CE" w:rsidRDefault="00B124FF" w:rsidP="005F32B8">
            <w:pPr>
              <w:jc w:val="both"/>
              <w:rPr>
                <w:sz w:val="20"/>
                <w:lang w:val="fr-CA"/>
              </w:rPr>
            </w:pPr>
            <w:r w:rsidRPr="00AF75CE">
              <w:rPr>
                <w:sz w:val="20"/>
                <w:lang w:val="fr-CA"/>
              </w:rPr>
              <w:t>22 octobre 2018</w:t>
            </w:r>
          </w:p>
          <w:p w:rsidR="00B124FF" w:rsidRPr="00AF75CE" w:rsidRDefault="00B124FF" w:rsidP="005F32B8">
            <w:pPr>
              <w:jc w:val="both"/>
              <w:rPr>
                <w:sz w:val="20"/>
                <w:lang w:val="fr-CA"/>
              </w:rPr>
            </w:pPr>
            <w:r w:rsidRPr="00AF75CE">
              <w:rPr>
                <w:sz w:val="20"/>
                <w:lang w:val="fr-CA"/>
              </w:rPr>
              <w:t>Cour suprême du Canada</w:t>
            </w:r>
          </w:p>
        </w:tc>
        <w:tc>
          <w:tcPr>
            <w:tcW w:w="243" w:type="pct"/>
          </w:tcPr>
          <w:p w:rsidR="00B124FF" w:rsidRPr="00AF75CE" w:rsidRDefault="00B124FF" w:rsidP="005F32B8">
            <w:pPr>
              <w:jc w:val="both"/>
              <w:rPr>
                <w:sz w:val="20"/>
                <w:lang w:val="fr-CA"/>
              </w:rPr>
            </w:pPr>
          </w:p>
        </w:tc>
        <w:tc>
          <w:tcPr>
            <w:tcW w:w="2330" w:type="pct"/>
          </w:tcPr>
          <w:p w:rsidR="00B124FF" w:rsidRPr="00AF75CE" w:rsidRDefault="00B124FF" w:rsidP="005F32B8">
            <w:pPr>
              <w:jc w:val="both"/>
              <w:rPr>
                <w:sz w:val="20"/>
                <w:lang w:val="fr-CA"/>
              </w:rPr>
            </w:pPr>
            <w:r w:rsidRPr="00AF75CE">
              <w:rPr>
                <w:sz w:val="20"/>
                <w:lang w:val="fr-CA"/>
              </w:rPr>
              <w:t>Dépôt de la demande d’autorisation d’appel</w:t>
            </w:r>
          </w:p>
          <w:p w:rsidR="00B124FF" w:rsidRPr="00AF75CE" w:rsidRDefault="00B124FF" w:rsidP="005F32B8">
            <w:pPr>
              <w:jc w:val="both"/>
              <w:rPr>
                <w:sz w:val="20"/>
                <w:lang w:val="fr-CA"/>
              </w:rPr>
            </w:pPr>
          </w:p>
        </w:tc>
      </w:tr>
    </w:tbl>
    <w:p w:rsidR="00B124FF" w:rsidRDefault="00B124FF" w:rsidP="00B124FF">
      <w:pPr>
        <w:jc w:val="both"/>
        <w:rPr>
          <w:sz w:val="20"/>
          <w:lang w:val="fr-CA"/>
        </w:rPr>
      </w:pPr>
    </w:p>
    <w:p w:rsidR="00B124FF" w:rsidRPr="00AF75CE" w:rsidRDefault="00A24D5C" w:rsidP="00B124FF">
      <w:pPr>
        <w:jc w:val="both"/>
        <w:rPr>
          <w:sz w:val="20"/>
          <w:lang w:val="fr-CA"/>
        </w:rPr>
      </w:pPr>
      <w:r>
        <w:rPr>
          <w:sz w:val="20"/>
          <w:szCs w:val="20"/>
        </w:rPr>
        <w:pict>
          <v:rect id="_x0000_i1039" style="width:2in;height:1pt" o:hrpct="0" o:hralign="center" o:hrstd="t" o:hrnoshade="t" o:hr="t" fillcolor="black [3213]" stroked="f"/>
        </w:pict>
      </w:r>
    </w:p>
    <w:p w:rsidR="00B124FF" w:rsidRDefault="00B124FF" w:rsidP="00B124FF">
      <w:pPr>
        <w:rPr>
          <w:sz w:val="20"/>
          <w:lang w:val="fr-CA"/>
        </w:rPr>
      </w:pPr>
      <w:r>
        <w:rPr>
          <w:sz w:val="20"/>
          <w:lang w:val="fr-CA"/>
        </w:rPr>
        <w:br w:type="page"/>
      </w:r>
    </w:p>
    <w:p w:rsidR="00B124FF" w:rsidRPr="00AF75CE" w:rsidRDefault="00B124FF" w:rsidP="00B124FF">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124FF" w:rsidRPr="00AF75CE" w:rsidTr="005F32B8">
        <w:tc>
          <w:tcPr>
            <w:tcW w:w="543" w:type="pct"/>
          </w:tcPr>
          <w:p w:rsidR="00B124FF" w:rsidRPr="00AF75CE" w:rsidRDefault="00B124FF" w:rsidP="005F32B8">
            <w:pPr>
              <w:jc w:val="both"/>
              <w:rPr>
                <w:sz w:val="20"/>
              </w:rPr>
            </w:pPr>
            <w:r w:rsidRPr="00AF75CE">
              <w:rPr>
                <w:rStyle w:val="SCCFileNumberChar"/>
                <w:sz w:val="20"/>
                <w:szCs w:val="20"/>
              </w:rPr>
              <w:t>38231</w:t>
            </w:r>
          </w:p>
        </w:tc>
        <w:tc>
          <w:tcPr>
            <w:tcW w:w="4457" w:type="pct"/>
            <w:gridSpan w:val="3"/>
          </w:tcPr>
          <w:p w:rsidR="00B124FF" w:rsidRPr="00202CE2" w:rsidRDefault="00B124FF" w:rsidP="005F32B8">
            <w:pPr>
              <w:pStyle w:val="SCCLsocParty"/>
              <w:jc w:val="both"/>
              <w:rPr>
                <w:b/>
                <w:sz w:val="20"/>
                <w:szCs w:val="20"/>
                <w:lang w:val="en-US"/>
              </w:rPr>
            </w:pPr>
            <w:r w:rsidRPr="00202CE2">
              <w:rPr>
                <w:b/>
                <w:sz w:val="20"/>
                <w:szCs w:val="20"/>
                <w:lang w:val="en-US"/>
              </w:rPr>
              <w:t>Lombadisha Olenga v. Mainstreet Equity Corp.</w:t>
            </w:r>
          </w:p>
          <w:p w:rsidR="00B124FF" w:rsidRPr="00AF75CE" w:rsidRDefault="00B124FF" w:rsidP="005F32B8">
            <w:pPr>
              <w:jc w:val="both"/>
              <w:rPr>
                <w:sz w:val="20"/>
              </w:rPr>
            </w:pPr>
            <w:r w:rsidRPr="00AF75CE">
              <w:rPr>
                <w:sz w:val="20"/>
              </w:rPr>
              <w:t>(B.C.) (Civil) (By Leave)</w:t>
            </w:r>
          </w:p>
        </w:tc>
      </w:tr>
      <w:tr w:rsidR="00B124FF" w:rsidRPr="00AF75CE" w:rsidTr="005F32B8">
        <w:tc>
          <w:tcPr>
            <w:tcW w:w="5000" w:type="pct"/>
            <w:gridSpan w:val="4"/>
          </w:tcPr>
          <w:p w:rsidR="00B124FF" w:rsidRDefault="00B124FF" w:rsidP="005F32B8">
            <w:pPr>
              <w:jc w:val="both"/>
              <w:rPr>
                <w:sz w:val="20"/>
              </w:rPr>
            </w:pPr>
            <w:r w:rsidRPr="00C97F67">
              <w:rPr>
                <w:sz w:val="20"/>
              </w:rPr>
              <w:t>The motion for an extension of time to serve and file the response to the application for leave to appeal is granted. The applicant’s motion for permission to present oral argument is dismissed. It is not necessary to consider the motion for an extension of time to serve and file the application for leave to appeal. The application for leave to appeal from the judgment of the Court of Appeal for British Columbia (Vancouver), Number CA44886, 2018 BCCA 193, dated May 14, 2018, is dismissed with no order as to costs.</w:t>
            </w:r>
          </w:p>
          <w:p w:rsidR="00B124FF" w:rsidRPr="00C97F67" w:rsidRDefault="00B124FF" w:rsidP="005F32B8">
            <w:pPr>
              <w:jc w:val="both"/>
              <w:rPr>
                <w:sz w:val="20"/>
              </w:rPr>
            </w:pPr>
          </w:p>
        </w:tc>
      </w:tr>
      <w:tr w:rsidR="00B124FF" w:rsidRPr="00AF75CE" w:rsidTr="005F32B8">
        <w:tc>
          <w:tcPr>
            <w:tcW w:w="5000" w:type="pct"/>
            <w:gridSpan w:val="4"/>
          </w:tcPr>
          <w:p w:rsidR="00B124FF" w:rsidRPr="00AF75CE" w:rsidRDefault="00B124FF" w:rsidP="005F32B8">
            <w:pPr>
              <w:jc w:val="both"/>
              <w:rPr>
                <w:sz w:val="20"/>
              </w:rPr>
            </w:pPr>
            <w:r w:rsidRPr="00AF75CE">
              <w:rPr>
                <w:i/>
                <w:sz w:val="20"/>
              </w:rPr>
              <w:t>Charter of Rights</w:t>
            </w:r>
            <w:r w:rsidRPr="00AF75CE">
              <w:rPr>
                <w:sz w:val="20"/>
              </w:rPr>
              <w:t xml:space="preserve"> – Right to equality – Property – Leases – Residential tenancy – Landlord obtaining order for possession requiring applicant to vacate rental premises – Whether provincial governments have constitutional right to effectively bar indigent and disabled members of communities from accessing statutorily mandated exercises of discretion.</w:t>
            </w:r>
          </w:p>
          <w:p w:rsidR="00B124FF" w:rsidRPr="00AF75CE" w:rsidRDefault="00B124FF" w:rsidP="005F32B8">
            <w:pPr>
              <w:jc w:val="both"/>
              <w:rPr>
                <w:sz w:val="20"/>
              </w:rPr>
            </w:pPr>
          </w:p>
        </w:tc>
      </w:tr>
      <w:tr w:rsidR="00B124FF" w:rsidRPr="00AF75CE" w:rsidTr="005F32B8">
        <w:tc>
          <w:tcPr>
            <w:tcW w:w="5000" w:type="pct"/>
            <w:gridSpan w:val="4"/>
          </w:tcPr>
          <w:p w:rsidR="00B124FF" w:rsidRPr="00AF75CE" w:rsidRDefault="00B124FF" w:rsidP="005F32B8">
            <w:pPr>
              <w:jc w:val="both"/>
              <w:rPr>
                <w:sz w:val="20"/>
                <w:lang w:val="en"/>
              </w:rPr>
            </w:pPr>
            <w:r w:rsidRPr="00AF75CE">
              <w:rPr>
                <w:sz w:val="20"/>
                <w:lang w:val="en"/>
              </w:rPr>
              <w:t xml:space="preserve">Mr. Olenga had been a tenant in an apartment owned by the respondent, Mainstreet Equity Corp. (“Mainstreet”) since late 2013. In April 2017, Mainstreet served Mr. Olenga with a notice ending his tenancy for cause. He applied for review of the notice before an arbitrator of the Residential Tenancy Branch, who dismissed the application and granted an order of possession to Mainstreet. Mr. Olenga filed a petition for judicial review of that decision and sought a stay of execution of the possession order. Prior to the hearing, Mr. Olenga signed an agreement with Mainstreet requiring him to vacate the apartment by October 31, 2017. Mr. Olenga then pursued his petition for judicial review. He did not vacate the apartment on the date agreed. His petition for judicial review was dismissed and he was ordered to deliver vacant possession of the apartment by November 30, 2017. The Court of Appeal dismissed Mr. Olenga’s appeal except it changed the date for vacant possession to May 30, 2018. </w:t>
            </w:r>
          </w:p>
        </w:tc>
      </w:tr>
      <w:tr w:rsidR="00B124FF" w:rsidRPr="00AF75CE" w:rsidTr="005F32B8">
        <w:tc>
          <w:tcPr>
            <w:tcW w:w="5000" w:type="pct"/>
            <w:gridSpan w:val="4"/>
          </w:tcPr>
          <w:p w:rsidR="00B124FF" w:rsidRPr="00AF75CE" w:rsidRDefault="00B124FF" w:rsidP="005F32B8">
            <w:pPr>
              <w:jc w:val="both"/>
              <w:rPr>
                <w:sz w:val="20"/>
              </w:rPr>
            </w:pPr>
          </w:p>
        </w:tc>
      </w:tr>
      <w:tr w:rsidR="00B124FF" w:rsidRPr="00AF75CE" w:rsidTr="005F32B8">
        <w:tc>
          <w:tcPr>
            <w:tcW w:w="2427" w:type="pct"/>
            <w:gridSpan w:val="2"/>
          </w:tcPr>
          <w:p w:rsidR="00B124FF" w:rsidRPr="00AF75CE" w:rsidRDefault="00B124FF" w:rsidP="005F32B8">
            <w:pPr>
              <w:jc w:val="both"/>
              <w:rPr>
                <w:sz w:val="20"/>
              </w:rPr>
            </w:pPr>
            <w:r w:rsidRPr="00AF75CE">
              <w:rPr>
                <w:sz w:val="20"/>
              </w:rPr>
              <w:t>November 3, 2017</w:t>
            </w:r>
          </w:p>
          <w:p w:rsidR="00B124FF" w:rsidRPr="00AF75CE" w:rsidRDefault="00B124FF" w:rsidP="005F32B8">
            <w:pPr>
              <w:jc w:val="both"/>
              <w:rPr>
                <w:sz w:val="20"/>
              </w:rPr>
            </w:pPr>
            <w:r w:rsidRPr="00AF75CE">
              <w:rPr>
                <w:sz w:val="20"/>
              </w:rPr>
              <w:t>Supreme Court of British Columbia</w:t>
            </w:r>
          </w:p>
          <w:p w:rsidR="00B124FF" w:rsidRPr="00AF75CE" w:rsidRDefault="00B124FF" w:rsidP="005F32B8">
            <w:pPr>
              <w:jc w:val="both"/>
              <w:rPr>
                <w:sz w:val="20"/>
              </w:rPr>
            </w:pPr>
            <w:r w:rsidRPr="00AF75CE">
              <w:rPr>
                <w:sz w:val="20"/>
              </w:rPr>
              <w:t>(Macintosh)</w:t>
            </w:r>
          </w:p>
          <w:p w:rsidR="00B124FF" w:rsidRPr="00AF75CE" w:rsidRDefault="00B124FF" w:rsidP="005F32B8">
            <w:pPr>
              <w:jc w:val="both"/>
              <w:rPr>
                <w:sz w:val="20"/>
              </w:rPr>
            </w:pPr>
            <w:r w:rsidRPr="00AF75CE">
              <w:rPr>
                <w:sz w:val="20"/>
              </w:rPr>
              <w:t>Unreported</w:t>
            </w:r>
          </w:p>
          <w:p w:rsidR="00B124FF" w:rsidRPr="00AF75CE" w:rsidRDefault="00B124FF" w:rsidP="005F32B8">
            <w:pPr>
              <w:jc w:val="both"/>
              <w:rPr>
                <w:sz w:val="20"/>
              </w:rPr>
            </w:pPr>
          </w:p>
        </w:tc>
        <w:tc>
          <w:tcPr>
            <w:tcW w:w="243" w:type="pct"/>
          </w:tcPr>
          <w:p w:rsidR="00B124FF" w:rsidRPr="00AF75CE" w:rsidRDefault="00B124FF" w:rsidP="005F32B8">
            <w:pPr>
              <w:jc w:val="both"/>
              <w:rPr>
                <w:sz w:val="20"/>
              </w:rPr>
            </w:pPr>
          </w:p>
        </w:tc>
        <w:tc>
          <w:tcPr>
            <w:tcW w:w="2330" w:type="pct"/>
          </w:tcPr>
          <w:p w:rsidR="00B124FF" w:rsidRPr="00AF75CE" w:rsidRDefault="00B124FF" w:rsidP="005F32B8">
            <w:pPr>
              <w:jc w:val="both"/>
              <w:rPr>
                <w:sz w:val="20"/>
              </w:rPr>
            </w:pPr>
            <w:r w:rsidRPr="00AF75CE">
              <w:rPr>
                <w:sz w:val="20"/>
              </w:rPr>
              <w:t>Applicant’s petition for judicial review of decision of Residential Tenancy Branch and application for stay of execution of order of possession dismissed</w:t>
            </w:r>
          </w:p>
          <w:p w:rsidR="00B124FF" w:rsidRPr="00AF75CE" w:rsidRDefault="00B124FF" w:rsidP="005F32B8">
            <w:pPr>
              <w:jc w:val="both"/>
              <w:rPr>
                <w:sz w:val="20"/>
              </w:rPr>
            </w:pPr>
          </w:p>
        </w:tc>
      </w:tr>
      <w:tr w:rsidR="00B124FF" w:rsidRPr="00AF75CE" w:rsidTr="005F32B8">
        <w:tc>
          <w:tcPr>
            <w:tcW w:w="2427" w:type="pct"/>
            <w:gridSpan w:val="2"/>
          </w:tcPr>
          <w:p w:rsidR="00B124FF" w:rsidRPr="00AF75CE" w:rsidRDefault="00B124FF" w:rsidP="005F32B8">
            <w:pPr>
              <w:jc w:val="both"/>
              <w:rPr>
                <w:sz w:val="20"/>
              </w:rPr>
            </w:pPr>
            <w:r w:rsidRPr="00AF75CE">
              <w:rPr>
                <w:sz w:val="20"/>
              </w:rPr>
              <w:t>May 14, 2018</w:t>
            </w:r>
          </w:p>
          <w:p w:rsidR="00B124FF" w:rsidRPr="00AF75CE" w:rsidRDefault="00B124FF" w:rsidP="005F32B8">
            <w:pPr>
              <w:jc w:val="both"/>
              <w:rPr>
                <w:sz w:val="20"/>
              </w:rPr>
            </w:pPr>
            <w:r w:rsidRPr="00AF75CE">
              <w:rPr>
                <w:sz w:val="20"/>
              </w:rPr>
              <w:t xml:space="preserve">Court of Appeal for British Columbia </w:t>
            </w:r>
          </w:p>
          <w:p w:rsidR="00B124FF" w:rsidRPr="00AF75CE" w:rsidRDefault="00B124FF" w:rsidP="005F32B8">
            <w:pPr>
              <w:jc w:val="both"/>
              <w:rPr>
                <w:sz w:val="20"/>
              </w:rPr>
            </w:pPr>
            <w:r w:rsidRPr="00AF75CE">
              <w:rPr>
                <w:sz w:val="20"/>
              </w:rPr>
              <w:t>(Vancouver)</w:t>
            </w:r>
          </w:p>
          <w:p w:rsidR="00B124FF" w:rsidRPr="00AF75CE" w:rsidRDefault="00B124FF" w:rsidP="005F32B8">
            <w:pPr>
              <w:jc w:val="both"/>
              <w:rPr>
                <w:sz w:val="20"/>
              </w:rPr>
            </w:pPr>
            <w:r w:rsidRPr="00AF75CE">
              <w:rPr>
                <w:sz w:val="20"/>
              </w:rPr>
              <w:t>(Saunders, Frankel and Stromberg-Stein JJ.A.)</w:t>
            </w:r>
          </w:p>
          <w:p w:rsidR="00B124FF" w:rsidRPr="00AF75CE" w:rsidRDefault="00A24D5C" w:rsidP="005F32B8">
            <w:pPr>
              <w:jc w:val="both"/>
              <w:rPr>
                <w:sz w:val="20"/>
              </w:rPr>
            </w:pPr>
            <w:hyperlink r:id="rId45" w:history="1">
              <w:r w:rsidR="00B124FF" w:rsidRPr="00AF75CE">
                <w:rPr>
                  <w:rStyle w:val="Hyperlink"/>
                  <w:sz w:val="20"/>
                </w:rPr>
                <w:t>2018 BCCA 193</w:t>
              </w:r>
            </w:hyperlink>
          </w:p>
          <w:p w:rsidR="00B124FF" w:rsidRPr="00AF75CE" w:rsidRDefault="00B124FF" w:rsidP="005F32B8">
            <w:pPr>
              <w:jc w:val="both"/>
              <w:rPr>
                <w:sz w:val="20"/>
              </w:rPr>
            </w:pPr>
          </w:p>
        </w:tc>
        <w:tc>
          <w:tcPr>
            <w:tcW w:w="243" w:type="pct"/>
          </w:tcPr>
          <w:p w:rsidR="00B124FF" w:rsidRPr="00AF75CE" w:rsidRDefault="00B124FF" w:rsidP="005F32B8">
            <w:pPr>
              <w:jc w:val="both"/>
              <w:rPr>
                <w:sz w:val="20"/>
              </w:rPr>
            </w:pPr>
          </w:p>
        </w:tc>
        <w:tc>
          <w:tcPr>
            <w:tcW w:w="2330" w:type="pct"/>
          </w:tcPr>
          <w:p w:rsidR="00B124FF" w:rsidRPr="00AF75CE" w:rsidRDefault="00B124FF" w:rsidP="005F32B8">
            <w:pPr>
              <w:jc w:val="both"/>
              <w:rPr>
                <w:sz w:val="20"/>
              </w:rPr>
            </w:pPr>
            <w:r w:rsidRPr="00AF75CE">
              <w:rPr>
                <w:sz w:val="20"/>
              </w:rPr>
              <w:t>Applicant’s appeal dismissed except term requiring him to vacate changed</w:t>
            </w:r>
          </w:p>
          <w:p w:rsidR="00B124FF" w:rsidRPr="00AF75CE" w:rsidRDefault="00B124FF" w:rsidP="005F32B8">
            <w:pPr>
              <w:jc w:val="both"/>
              <w:rPr>
                <w:sz w:val="20"/>
              </w:rPr>
            </w:pPr>
          </w:p>
          <w:p w:rsidR="00B124FF" w:rsidRPr="00AF75CE" w:rsidRDefault="00B124FF" w:rsidP="005F32B8">
            <w:pPr>
              <w:jc w:val="both"/>
              <w:rPr>
                <w:sz w:val="20"/>
              </w:rPr>
            </w:pPr>
          </w:p>
        </w:tc>
      </w:tr>
      <w:tr w:rsidR="00B124FF" w:rsidRPr="00AF75CE" w:rsidTr="005F32B8">
        <w:tc>
          <w:tcPr>
            <w:tcW w:w="2427" w:type="pct"/>
            <w:gridSpan w:val="2"/>
          </w:tcPr>
          <w:p w:rsidR="00B124FF" w:rsidRPr="00AF75CE" w:rsidRDefault="00B124FF" w:rsidP="005F32B8">
            <w:pPr>
              <w:jc w:val="both"/>
              <w:rPr>
                <w:sz w:val="20"/>
              </w:rPr>
            </w:pPr>
            <w:r w:rsidRPr="00AF75CE">
              <w:rPr>
                <w:sz w:val="20"/>
              </w:rPr>
              <w:t>August 3, 2018</w:t>
            </w:r>
          </w:p>
          <w:p w:rsidR="00B124FF" w:rsidRPr="00AF75CE" w:rsidRDefault="00B124FF" w:rsidP="005F32B8">
            <w:pPr>
              <w:jc w:val="both"/>
              <w:rPr>
                <w:sz w:val="20"/>
              </w:rPr>
            </w:pPr>
            <w:r w:rsidRPr="00AF75CE">
              <w:rPr>
                <w:sz w:val="20"/>
              </w:rPr>
              <w:t>Supreme Court of Canada</w:t>
            </w:r>
          </w:p>
          <w:p w:rsidR="00B124FF" w:rsidRPr="00AF75CE" w:rsidRDefault="00B124FF" w:rsidP="005F32B8">
            <w:pPr>
              <w:jc w:val="both"/>
              <w:rPr>
                <w:sz w:val="20"/>
              </w:rPr>
            </w:pPr>
          </w:p>
        </w:tc>
        <w:tc>
          <w:tcPr>
            <w:tcW w:w="243" w:type="pct"/>
          </w:tcPr>
          <w:p w:rsidR="00B124FF" w:rsidRPr="00AF75CE" w:rsidRDefault="00B124FF" w:rsidP="005F32B8">
            <w:pPr>
              <w:jc w:val="both"/>
              <w:rPr>
                <w:sz w:val="20"/>
              </w:rPr>
            </w:pPr>
          </w:p>
        </w:tc>
        <w:tc>
          <w:tcPr>
            <w:tcW w:w="2330" w:type="pct"/>
          </w:tcPr>
          <w:p w:rsidR="00B124FF" w:rsidRPr="00AF75CE" w:rsidRDefault="00B124FF" w:rsidP="005F32B8">
            <w:pPr>
              <w:jc w:val="both"/>
              <w:rPr>
                <w:sz w:val="20"/>
              </w:rPr>
            </w:pPr>
            <w:r w:rsidRPr="00AF75CE">
              <w:rPr>
                <w:sz w:val="20"/>
              </w:rPr>
              <w:t>Motion for extension of time in which to serve and file application for leave to appeal and application for leave to appeal filed</w:t>
            </w:r>
          </w:p>
        </w:tc>
      </w:tr>
    </w:tbl>
    <w:p w:rsidR="00B124FF" w:rsidRDefault="00B124FF" w:rsidP="00B124FF">
      <w:pPr>
        <w:jc w:val="both"/>
        <w:rPr>
          <w:sz w:val="20"/>
        </w:rPr>
      </w:pPr>
    </w:p>
    <w:p w:rsidR="00B124FF" w:rsidRPr="00AF75CE" w:rsidRDefault="00B124FF" w:rsidP="00B124F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124FF" w:rsidRPr="00AF75CE" w:rsidTr="005F32B8">
        <w:tc>
          <w:tcPr>
            <w:tcW w:w="543" w:type="pct"/>
          </w:tcPr>
          <w:p w:rsidR="00B124FF" w:rsidRPr="00AF75CE" w:rsidRDefault="00B124FF" w:rsidP="005F32B8">
            <w:pPr>
              <w:jc w:val="both"/>
              <w:rPr>
                <w:sz w:val="20"/>
                <w:lang w:val="fr-CA"/>
              </w:rPr>
            </w:pPr>
            <w:r w:rsidRPr="00AF75CE">
              <w:rPr>
                <w:rStyle w:val="SCCFileNumberChar"/>
                <w:sz w:val="20"/>
                <w:szCs w:val="20"/>
                <w:lang w:val="fr-CA"/>
              </w:rPr>
              <w:t>38231</w:t>
            </w:r>
          </w:p>
        </w:tc>
        <w:tc>
          <w:tcPr>
            <w:tcW w:w="4457" w:type="pct"/>
            <w:gridSpan w:val="3"/>
          </w:tcPr>
          <w:p w:rsidR="00B124FF" w:rsidRPr="00202CE2" w:rsidRDefault="00B124FF" w:rsidP="005F32B8">
            <w:pPr>
              <w:pStyle w:val="SCCLsocParty"/>
              <w:jc w:val="both"/>
              <w:rPr>
                <w:b/>
                <w:sz w:val="20"/>
                <w:szCs w:val="20"/>
                <w:lang w:val="en-US"/>
              </w:rPr>
            </w:pPr>
            <w:r w:rsidRPr="00202CE2">
              <w:rPr>
                <w:b/>
                <w:sz w:val="20"/>
                <w:szCs w:val="20"/>
                <w:lang w:val="en-US"/>
              </w:rPr>
              <w:t>Lombadisha Olenga c. Mainstreet Equity Corp.</w:t>
            </w:r>
          </w:p>
          <w:p w:rsidR="00B124FF" w:rsidRPr="00AF75CE" w:rsidRDefault="00B124FF" w:rsidP="005F32B8">
            <w:pPr>
              <w:jc w:val="both"/>
              <w:rPr>
                <w:sz w:val="20"/>
                <w:lang w:val="fr-CA"/>
              </w:rPr>
            </w:pPr>
            <w:r w:rsidRPr="00AF75CE">
              <w:rPr>
                <w:sz w:val="20"/>
                <w:lang w:val="fr-CA"/>
              </w:rPr>
              <w:t>(C.-B.) (Civile) (Autorisation)</w:t>
            </w:r>
          </w:p>
        </w:tc>
      </w:tr>
      <w:tr w:rsidR="00B124FF" w:rsidRPr="00CC0B55" w:rsidTr="005F32B8">
        <w:tc>
          <w:tcPr>
            <w:tcW w:w="5000" w:type="pct"/>
            <w:gridSpan w:val="4"/>
          </w:tcPr>
          <w:p w:rsidR="00B124FF" w:rsidRDefault="00B124FF" w:rsidP="005F32B8">
            <w:pPr>
              <w:jc w:val="both"/>
              <w:rPr>
                <w:sz w:val="20"/>
                <w:lang w:val="fr-CA"/>
              </w:rPr>
            </w:pPr>
            <w:r w:rsidRPr="00C97F67">
              <w:rPr>
                <w:sz w:val="20"/>
                <w:lang w:val="fr-CA"/>
              </w:rPr>
              <w:t>La requête en prorogation du délai de signification et de dépôt de la réponse à la demande d’autorisation d’appel est accueillie. La requête du demandeur en vue de présenter une plaidoirie orale est rejetée. Il n’est pas nécessaire d’examiner la requête en prorogation du délai de signification et de dépôt de la demande d’autorisation d’appel. La demande d’autorisation d’appel de l’arrêt de la Cour d’appel de la Colombie-Britannique (Vancouver), numéro CA44886, 2018 BCCA 193, daté du 14 mai 2018, est rejetée sans ordonnance quant aux dépens.</w:t>
            </w:r>
          </w:p>
          <w:p w:rsidR="00B124FF" w:rsidRPr="00C97F67" w:rsidRDefault="00B124FF" w:rsidP="005F32B8">
            <w:pPr>
              <w:jc w:val="both"/>
              <w:rPr>
                <w:sz w:val="20"/>
                <w:lang w:val="fr-CA"/>
              </w:rPr>
            </w:pPr>
          </w:p>
        </w:tc>
      </w:tr>
      <w:tr w:rsidR="00B124FF" w:rsidRPr="00CC0B55" w:rsidTr="005F32B8">
        <w:tc>
          <w:tcPr>
            <w:tcW w:w="5000" w:type="pct"/>
            <w:gridSpan w:val="4"/>
          </w:tcPr>
          <w:p w:rsidR="00B124FF" w:rsidRPr="00AF75CE" w:rsidRDefault="00B124FF" w:rsidP="005F32B8">
            <w:pPr>
              <w:jc w:val="both"/>
              <w:rPr>
                <w:sz w:val="20"/>
                <w:lang w:val="fr-CA"/>
              </w:rPr>
            </w:pPr>
            <w:r w:rsidRPr="00AF75CE">
              <w:rPr>
                <w:i/>
                <w:sz w:val="20"/>
                <w:lang w:val="fr-CA"/>
              </w:rPr>
              <w:t>Charte des droits</w:t>
            </w:r>
            <w:r w:rsidRPr="00AF75CE">
              <w:rPr>
                <w:sz w:val="20"/>
                <w:lang w:val="fr-CA"/>
              </w:rPr>
              <w:t xml:space="preserve"> – Droit à l’égalité – Biens – Baux – Baux résidentiels – Le locateur a obtenu une ordonnance de mise en possession obligeant le demandeur à quitter les lieux loués – Les gouvernements provinciaux ont-ils le droit </w:t>
            </w:r>
            <w:r w:rsidRPr="00AF75CE">
              <w:rPr>
                <w:sz w:val="20"/>
                <w:lang w:val="fr-CA"/>
              </w:rPr>
              <w:lastRenderedPageBreak/>
              <w:t>constitutionnel d’empêcher effectivement des membres indigents et handicapés de communautés d’avoir accès à l’exercice de pouvoirs discrétionnaires prescrits par la loi?</w:t>
            </w:r>
          </w:p>
          <w:p w:rsidR="00B124FF" w:rsidRPr="00AF75CE" w:rsidRDefault="00B124FF" w:rsidP="005F32B8">
            <w:pPr>
              <w:jc w:val="both"/>
              <w:rPr>
                <w:sz w:val="20"/>
                <w:lang w:val="fr-CA"/>
              </w:rPr>
            </w:pPr>
          </w:p>
        </w:tc>
      </w:tr>
      <w:tr w:rsidR="00B124FF" w:rsidRPr="00CC0B55" w:rsidTr="005F32B8">
        <w:tc>
          <w:tcPr>
            <w:tcW w:w="5000" w:type="pct"/>
            <w:gridSpan w:val="4"/>
          </w:tcPr>
          <w:p w:rsidR="00B124FF" w:rsidRPr="00AF75CE" w:rsidRDefault="00B124FF" w:rsidP="005F32B8">
            <w:pPr>
              <w:jc w:val="both"/>
              <w:rPr>
                <w:sz w:val="20"/>
                <w:lang w:val="fr-CA"/>
              </w:rPr>
            </w:pPr>
            <w:r w:rsidRPr="00AF75CE">
              <w:rPr>
                <w:sz w:val="20"/>
                <w:lang w:val="fr-CA"/>
              </w:rPr>
              <w:lastRenderedPageBreak/>
              <w:t xml:space="preserve">Monsieur Olenga était locataire d’un logement appartenant à l’intimée, Mainstreet Equity Corp. (« Mainstreet ») depuis la fin de 2013. En avril 2017, Mainstreet a signifié à M. Olenga un avis de résiliation de bail motivée. Monsieur Olenga a demandé la révision de l’avis devant un arbitre de la Residential Tenancy Branch, qui a rejeté la demande et accordé une ordonnance de mise en possession à Mainstreet. Monsieur Olenga a déposé une requête en contrôle judiciaire de cette décision et a demandé un sursis d’exécution de l’ordonnance de mise en possession. Avant l’audience, M. Olenga a signé une entente avec Mainstreet l’obligeant à quitter le logement au plus tard le 31 octobre 2017. Monsieur Olenga a ensuite poursuivi sa requête en contrôle judiciaire. Il n’a pas quitté le logement à la date convenue. Sa requête en contrôle judiciaire a été rejetée et il a été sommé de remettre la libre possession du logement au plus tard le 30 novembre 2017. La Cour d’appel a rejeté l’appel de M. Olenga, sauf qu’elle a changé la date de remise en libre possession, désormais fixée au 30 mai 2018. </w:t>
            </w:r>
          </w:p>
        </w:tc>
      </w:tr>
      <w:tr w:rsidR="00B124FF" w:rsidRPr="00CC0B55" w:rsidTr="005F32B8">
        <w:tc>
          <w:tcPr>
            <w:tcW w:w="5000" w:type="pct"/>
            <w:gridSpan w:val="4"/>
          </w:tcPr>
          <w:p w:rsidR="00B124FF" w:rsidRPr="00AF75CE" w:rsidRDefault="00B124FF" w:rsidP="005F32B8">
            <w:pPr>
              <w:jc w:val="both"/>
              <w:rPr>
                <w:sz w:val="20"/>
                <w:lang w:val="fr-CA"/>
              </w:rPr>
            </w:pPr>
          </w:p>
        </w:tc>
      </w:tr>
      <w:tr w:rsidR="00B124FF" w:rsidRPr="00CC0B55" w:rsidTr="005F32B8">
        <w:tc>
          <w:tcPr>
            <w:tcW w:w="2427" w:type="pct"/>
            <w:gridSpan w:val="2"/>
          </w:tcPr>
          <w:p w:rsidR="00B124FF" w:rsidRPr="00AF75CE" w:rsidRDefault="00B124FF" w:rsidP="005F32B8">
            <w:pPr>
              <w:jc w:val="both"/>
              <w:rPr>
                <w:sz w:val="20"/>
                <w:lang w:val="fr-CA"/>
              </w:rPr>
            </w:pPr>
            <w:r w:rsidRPr="00AF75CE">
              <w:rPr>
                <w:sz w:val="20"/>
                <w:lang w:val="fr-CA"/>
              </w:rPr>
              <w:t>3 novembre 2017</w:t>
            </w:r>
          </w:p>
          <w:p w:rsidR="00B124FF" w:rsidRPr="00AF75CE" w:rsidRDefault="00B124FF" w:rsidP="005F32B8">
            <w:pPr>
              <w:jc w:val="both"/>
              <w:rPr>
                <w:sz w:val="20"/>
                <w:lang w:val="fr-CA"/>
              </w:rPr>
            </w:pPr>
            <w:r w:rsidRPr="00AF75CE">
              <w:rPr>
                <w:sz w:val="20"/>
                <w:lang w:val="fr-CA"/>
              </w:rPr>
              <w:t>Cour suprême de la Colombie-Britannique</w:t>
            </w:r>
          </w:p>
          <w:p w:rsidR="00B124FF" w:rsidRPr="00AF75CE" w:rsidRDefault="00B124FF" w:rsidP="005F32B8">
            <w:pPr>
              <w:jc w:val="both"/>
              <w:rPr>
                <w:sz w:val="20"/>
                <w:lang w:val="fr-CA"/>
              </w:rPr>
            </w:pPr>
            <w:r w:rsidRPr="00AF75CE">
              <w:rPr>
                <w:sz w:val="20"/>
                <w:lang w:val="fr-CA"/>
              </w:rPr>
              <w:t>(Juge Macintosh)</w:t>
            </w:r>
          </w:p>
          <w:p w:rsidR="00B124FF" w:rsidRPr="00AF75CE" w:rsidRDefault="00B124FF" w:rsidP="005F32B8">
            <w:pPr>
              <w:jc w:val="both"/>
              <w:rPr>
                <w:sz w:val="20"/>
                <w:lang w:val="fr-CA"/>
              </w:rPr>
            </w:pPr>
            <w:r w:rsidRPr="00AF75CE">
              <w:rPr>
                <w:sz w:val="20"/>
                <w:lang w:val="fr-CA"/>
              </w:rPr>
              <w:t>Non publié</w:t>
            </w:r>
          </w:p>
          <w:p w:rsidR="00B124FF" w:rsidRPr="00AF75CE" w:rsidRDefault="00B124FF" w:rsidP="005F32B8">
            <w:pPr>
              <w:jc w:val="both"/>
              <w:rPr>
                <w:sz w:val="20"/>
                <w:lang w:val="fr-CA"/>
              </w:rPr>
            </w:pPr>
          </w:p>
        </w:tc>
        <w:tc>
          <w:tcPr>
            <w:tcW w:w="243" w:type="pct"/>
          </w:tcPr>
          <w:p w:rsidR="00B124FF" w:rsidRPr="00AF75CE" w:rsidRDefault="00B124FF" w:rsidP="005F32B8">
            <w:pPr>
              <w:jc w:val="both"/>
              <w:rPr>
                <w:sz w:val="20"/>
                <w:lang w:val="fr-CA"/>
              </w:rPr>
            </w:pPr>
          </w:p>
        </w:tc>
        <w:tc>
          <w:tcPr>
            <w:tcW w:w="2330" w:type="pct"/>
          </w:tcPr>
          <w:p w:rsidR="00B124FF" w:rsidRPr="00AF75CE" w:rsidRDefault="00B124FF" w:rsidP="005F32B8">
            <w:pPr>
              <w:jc w:val="both"/>
              <w:rPr>
                <w:sz w:val="20"/>
                <w:lang w:val="fr-CA"/>
              </w:rPr>
            </w:pPr>
            <w:r w:rsidRPr="00AF75CE">
              <w:rPr>
                <w:sz w:val="20"/>
                <w:lang w:val="fr-CA"/>
              </w:rPr>
              <w:t>Rejet de la requête du demandeur en contrôle judiciaire de la décision de la Residential Tenancy Branch et de la demande de sursis d’exécution de l’ordonnance de mise en possession</w:t>
            </w:r>
          </w:p>
          <w:p w:rsidR="00B124FF" w:rsidRPr="00AF75CE" w:rsidRDefault="00B124FF" w:rsidP="005F32B8">
            <w:pPr>
              <w:jc w:val="both"/>
              <w:rPr>
                <w:sz w:val="20"/>
                <w:lang w:val="fr-CA"/>
              </w:rPr>
            </w:pPr>
          </w:p>
        </w:tc>
      </w:tr>
      <w:tr w:rsidR="00B124FF" w:rsidRPr="00CC0B55" w:rsidTr="005F32B8">
        <w:tc>
          <w:tcPr>
            <w:tcW w:w="2427" w:type="pct"/>
            <w:gridSpan w:val="2"/>
          </w:tcPr>
          <w:p w:rsidR="00B124FF" w:rsidRPr="00AF75CE" w:rsidRDefault="00B124FF" w:rsidP="005F32B8">
            <w:pPr>
              <w:jc w:val="both"/>
              <w:rPr>
                <w:sz w:val="20"/>
                <w:lang w:val="fr-CA"/>
              </w:rPr>
            </w:pPr>
            <w:r w:rsidRPr="00AF75CE">
              <w:rPr>
                <w:sz w:val="20"/>
                <w:lang w:val="fr-CA"/>
              </w:rPr>
              <w:t>14 mai 2018</w:t>
            </w:r>
          </w:p>
          <w:p w:rsidR="00B124FF" w:rsidRPr="00AF75CE" w:rsidRDefault="00B124FF" w:rsidP="005F32B8">
            <w:pPr>
              <w:jc w:val="both"/>
              <w:rPr>
                <w:sz w:val="20"/>
                <w:lang w:val="fr-CA"/>
              </w:rPr>
            </w:pPr>
            <w:r w:rsidRPr="00AF75CE">
              <w:rPr>
                <w:sz w:val="20"/>
                <w:lang w:val="fr-CA"/>
              </w:rPr>
              <w:t xml:space="preserve">Cour d’appel de la Colombie-Britannique </w:t>
            </w:r>
          </w:p>
          <w:p w:rsidR="00B124FF" w:rsidRPr="00AF75CE" w:rsidRDefault="00B124FF" w:rsidP="005F32B8">
            <w:pPr>
              <w:jc w:val="both"/>
              <w:rPr>
                <w:sz w:val="20"/>
                <w:lang w:val="fr-CA"/>
              </w:rPr>
            </w:pPr>
            <w:r w:rsidRPr="00AF75CE">
              <w:rPr>
                <w:sz w:val="20"/>
                <w:lang w:val="fr-CA"/>
              </w:rPr>
              <w:t>(Vancouver)</w:t>
            </w:r>
          </w:p>
          <w:p w:rsidR="00B124FF" w:rsidRPr="00AF75CE" w:rsidRDefault="00B124FF" w:rsidP="005F32B8">
            <w:pPr>
              <w:jc w:val="both"/>
              <w:rPr>
                <w:sz w:val="20"/>
                <w:lang w:val="fr-CA"/>
              </w:rPr>
            </w:pPr>
            <w:r w:rsidRPr="00AF75CE">
              <w:rPr>
                <w:sz w:val="20"/>
                <w:lang w:val="fr-CA"/>
              </w:rPr>
              <w:t>(Juges Saunders, Frankel et Stromberg-Stein)</w:t>
            </w:r>
          </w:p>
          <w:p w:rsidR="00B124FF" w:rsidRPr="00AF75CE" w:rsidRDefault="00A24D5C" w:rsidP="005F32B8">
            <w:pPr>
              <w:jc w:val="both"/>
              <w:rPr>
                <w:sz w:val="20"/>
                <w:lang w:val="fr-CA"/>
              </w:rPr>
            </w:pPr>
            <w:hyperlink r:id="rId46" w:history="1">
              <w:r w:rsidR="00B124FF" w:rsidRPr="00AF75CE">
                <w:rPr>
                  <w:rStyle w:val="Hyperlink"/>
                  <w:sz w:val="20"/>
                  <w:lang w:val="fr-CA"/>
                </w:rPr>
                <w:t>2018 BCCA 193</w:t>
              </w:r>
            </w:hyperlink>
          </w:p>
          <w:p w:rsidR="00B124FF" w:rsidRPr="00AF75CE" w:rsidRDefault="00B124FF" w:rsidP="005F32B8">
            <w:pPr>
              <w:jc w:val="both"/>
              <w:rPr>
                <w:sz w:val="20"/>
                <w:lang w:val="fr-CA"/>
              </w:rPr>
            </w:pPr>
          </w:p>
        </w:tc>
        <w:tc>
          <w:tcPr>
            <w:tcW w:w="243" w:type="pct"/>
          </w:tcPr>
          <w:p w:rsidR="00B124FF" w:rsidRPr="00AF75CE" w:rsidRDefault="00B124FF" w:rsidP="005F32B8">
            <w:pPr>
              <w:jc w:val="both"/>
              <w:rPr>
                <w:sz w:val="20"/>
                <w:lang w:val="fr-CA"/>
              </w:rPr>
            </w:pPr>
          </w:p>
        </w:tc>
        <w:tc>
          <w:tcPr>
            <w:tcW w:w="2330" w:type="pct"/>
          </w:tcPr>
          <w:p w:rsidR="00B124FF" w:rsidRPr="00AF75CE" w:rsidRDefault="00B124FF" w:rsidP="005F32B8">
            <w:pPr>
              <w:jc w:val="both"/>
              <w:rPr>
                <w:sz w:val="20"/>
                <w:lang w:val="fr-CA"/>
              </w:rPr>
            </w:pPr>
            <w:r w:rsidRPr="00AF75CE">
              <w:rPr>
                <w:sz w:val="20"/>
                <w:lang w:val="fr-CA"/>
              </w:rPr>
              <w:t>Rejet de l’appel du demandeur, sauf en ce qui concerne la date où il doit quitter les lieux</w:t>
            </w:r>
          </w:p>
          <w:p w:rsidR="00B124FF" w:rsidRPr="00AF75CE" w:rsidRDefault="00B124FF" w:rsidP="005F32B8">
            <w:pPr>
              <w:jc w:val="both"/>
              <w:rPr>
                <w:sz w:val="20"/>
                <w:lang w:val="fr-CA"/>
              </w:rPr>
            </w:pPr>
          </w:p>
          <w:p w:rsidR="00B124FF" w:rsidRPr="00AF75CE" w:rsidRDefault="00B124FF" w:rsidP="005F32B8">
            <w:pPr>
              <w:jc w:val="both"/>
              <w:rPr>
                <w:sz w:val="20"/>
                <w:lang w:val="fr-CA"/>
              </w:rPr>
            </w:pPr>
          </w:p>
        </w:tc>
      </w:tr>
      <w:tr w:rsidR="00B124FF" w:rsidRPr="00CC0B55" w:rsidTr="005F32B8">
        <w:tc>
          <w:tcPr>
            <w:tcW w:w="2427" w:type="pct"/>
            <w:gridSpan w:val="2"/>
          </w:tcPr>
          <w:p w:rsidR="00B124FF" w:rsidRPr="00AF75CE" w:rsidRDefault="00B124FF" w:rsidP="005F32B8">
            <w:pPr>
              <w:jc w:val="both"/>
              <w:rPr>
                <w:sz w:val="20"/>
                <w:lang w:val="fr-CA"/>
              </w:rPr>
            </w:pPr>
            <w:r w:rsidRPr="00AF75CE">
              <w:rPr>
                <w:sz w:val="20"/>
                <w:lang w:val="fr-CA"/>
              </w:rPr>
              <w:t>3 août 2018</w:t>
            </w:r>
          </w:p>
          <w:p w:rsidR="00B124FF" w:rsidRPr="00AF75CE" w:rsidRDefault="00B124FF" w:rsidP="005F32B8">
            <w:pPr>
              <w:jc w:val="both"/>
              <w:rPr>
                <w:sz w:val="20"/>
                <w:lang w:val="fr-CA"/>
              </w:rPr>
            </w:pPr>
            <w:r w:rsidRPr="00AF75CE">
              <w:rPr>
                <w:sz w:val="20"/>
                <w:lang w:val="fr-CA"/>
              </w:rPr>
              <w:t>Cour suprême du Canada</w:t>
            </w:r>
          </w:p>
          <w:p w:rsidR="00B124FF" w:rsidRPr="00AF75CE" w:rsidRDefault="00B124FF" w:rsidP="005F32B8">
            <w:pPr>
              <w:jc w:val="both"/>
              <w:rPr>
                <w:sz w:val="20"/>
                <w:lang w:val="fr-CA"/>
              </w:rPr>
            </w:pPr>
          </w:p>
        </w:tc>
        <w:tc>
          <w:tcPr>
            <w:tcW w:w="243" w:type="pct"/>
          </w:tcPr>
          <w:p w:rsidR="00B124FF" w:rsidRPr="00AF75CE" w:rsidRDefault="00B124FF" w:rsidP="005F32B8">
            <w:pPr>
              <w:jc w:val="both"/>
              <w:rPr>
                <w:sz w:val="20"/>
                <w:lang w:val="fr-CA"/>
              </w:rPr>
            </w:pPr>
          </w:p>
        </w:tc>
        <w:tc>
          <w:tcPr>
            <w:tcW w:w="2330" w:type="pct"/>
          </w:tcPr>
          <w:p w:rsidR="00B124FF" w:rsidRPr="00AF75CE" w:rsidRDefault="00B124FF" w:rsidP="005F32B8">
            <w:pPr>
              <w:jc w:val="both"/>
              <w:rPr>
                <w:sz w:val="20"/>
                <w:lang w:val="fr-CA"/>
              </w:rPr>
            </w:pPr>
            <w:r w:rsidRPr="00AF75CE">
              <w:rPr>
                <w:sz w:val="20"/>
                <w:lang w:val="fr-CA"/>
              </w:rPr>
              <w:t>Dépôt de la requête en prorogation du délai de signification et de dépôt de la demande d’autorisation d’appel et de la demande d’autorisation d’appel</w:t>
            </w:r>
          </w:p>
        </w:tc>
      </w:tr>
    </w:tbl>
    <w:p w:rsidR="00B124FF" w:rsidRDefault="00B124FF" w:rsidP="00B124FF">
      <w:pPr>
        <w:jc w:val="both"/>
        <w:rPr>
          <w:sz w:val="20"/>
          <w:lang w:val="fr-CA"/>
        </w:rPr>
      </w:pPr>
    </w:p>
    <w:p w:rsidR="00B124FF" w:rsidRPr="00AF75CE" w:rsidRDefault="00A24D5C" w:rsidP="00B124FF">
      <w:pPr>
        <w:jc w:val="both"/>
        <w:rPr>
          <w:sz w:val="20"/>
          <w:lang w:val="fr-CA"/>
        </w:rPr>
      </w:pPr>
      <w:r>
        <w:rPr>
          <w:sz w:val="20"/>
          <w:szCs w:val="20"/>
        </w:rPr>
        <w:pict>
          <v:rect id="_x0000_i1040" style="width:2in;height:1pt" o:hrpct="0" o:hralign="center" o:hrstd="t" o:hrnoshade="t" o:hr="t" fillcolor="black [3213]" stroked="f"/>
        </w:pict>
      </w:r>
    </w:p>
    <w:p w:rsidR="00B124FF" w:rsidRPr="00AF75CE" w:rsidRDefault="00B124FF" w:rsidP="00B124FF">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124FF" w:rsidRPr="00AF75CE" w:rsidTr="005F32B8">
        <w:tc>
          <w:tcPr>
            <w:tcW w:w="543" w:type="pct"/>
          </w:tcPr>
          <w:p w:rsidR="00B124FF" w:rsidRPr="00AF75CE" w:rsidRDefault="00B124FF" w:rsidP="005F32B8">
            <w:pPr>
              <w:jc w:val="both"/>
              <w:rPr>
                <w:sz w:val="20"/>
              </w:rPr>
            </w:pPr>
            <w:r w:rsidRPr="00AF75CE">
              <w:rPr>
                <w:rStyle w:val="SCCFileNumberChar"/>
                <w:sz w:val="20"/>
                <w:szCs w:val="20"/>
              </w:rPr>
              <w:t>38163</w:t>
            </w:r>
          </w:p>
        </w:tc>
        <w:tc>
          <w:tcPr>
            <w:tcW w:w="4457" w:type="pct"/>
            <w:gridSpan w:val="3"/>
          </w:tcPr>
          <w:p w:rsidR="00B124FF" w:rsidRPr="00202CE2" w:rsidRDefault="00B124FF" w:rsidP="005F32B8">
            <w:pPr>
              <w:pStyle w:val="SCCLsocParty"/>
              <w:jc w:val="both"/>
              <w:rPr>
                <w:b/>
                <w:sz w:val="20"/>
                <w:szCs w:val="20"/>
                <w:lang w:val="en-US"/>
              </w:rPr>
            </w:pPr>
            <w:r w:rsidRPr="00202CE2">
              <w:rPr>
                <w:b/>
                <w:sz w:val="20"/>
                <w:szCs w:val="20"/>
                <w:lang w:val="en-US"/>
              </w:rPr>
              <w:t>Union Building Corporation of Canada v. Markham Woodmills Development Inc.</w:t>
            </w:r>
          </w:p>
          <w:p w:rsidR="00B124FF" w:rsidRPr="00AF75CE" w:rsidRDefault="00B124FF" w:rsidP="005F32B8">
            <w:pPr>
              <w:jc w:val="both"/>
              <w:rPr>
                <w:sz w:val="20"/>
              </w:rPr>
            </w:pPr>
            <w:r w:rsidRPr="00AF75CE">
              <w:rPr>
                <w:sz w:val="20"/>
              </w:rPr>
              <w:t>(Ont.) (Civil) (By Leave)</w:t>
            </w:r>
          </w:p>
        </w:tc>
      </w:tr>
      <w:tr w:rsidR="00B124FF" w:rsidRPr="00AF75CE" w:rsidTr="005F32B8">
        <w:tc>
          <w:tcPr>
            <w:tcW w:w="5000" w:type="pct"/>
            <w:gridSpan w:val="4"/>
          </w:tcPr>
          <w:p w:rsidR="00B124FF" w:rsidRDefault="00B124FF" w:rsidP="005F32B8">
            <w:pPr>
              <w:jc w:val="both"/>
              <w:rPr>
                <w:sz w:val="20"/>
              </w:rPr>
            </w:pPr>
            <w:r w:rsidRPr="00C97F67">
              <w:rPr>
                <w:sz w:val="20"/>
              </w:rPr>
              <w:t>The application for leave to appeal from the judgment of the Court of Appeal for Ontario, Number C64257, 2018 ONCA 401, dated April 27, 2018, is dismissed with costs.</w:t>
            </w:r>
          </w:p>
          <w:p w:rsidR="00B124FF" w:rsidRPr="00AF75CE" w:rsidRDefault="00B124FF" w:rsidP="005F32B8">
            <w:pPr>
              <w:jc w:val="both"/>
              <w:rPr>
                <w:sz w:val="20"/>
              </w:rPr>
            </w:pPr>
          </w:p>
        </w:tc>
      </w:tr>
      <w:tr w:rsidR="00B124FF" w:rsidRPr="00AF75CE" w:rsidTr="005F32B8">
        <w:tc>
          <w:tcPr>
            <w:tcW w:w="5000" w:type="pct"/>
            <w:gridSpan w:val="4"/>
          </w:tcPr>
          <w:p w:rsidR="00B124FF" w:rsidRPr="00AF75CE" w:rsidRDefault="00B124FF" w:rsidP="005F32B8">
            <w:pPr>
              <w:jc w:val="both"/>
              <w:rPr>
                <w:sz w:val="20"/>
              </w:rPr>
            </w:pPr>
            <w:r w:rsidRPr="00AF75CE">
              <w:rPr>
                <w:sz w:val="20"/>
              </w:rPr>
              <w:t>Contracts — Commercial contracts — Standard of review — Procedural fairness — Purchaser bringing application for determination to order seller to repay money paid to satisfy severance conditions stemming from agreement of purchase and sale of land — Court of Appel setting aside lower court decision and dismissing application — Whether appellate court in a civil proceeding that has found a denial of procedural fairness in the lower court should substitute its decision for that of a lower court or should it remit matter back to original trier of fact — Whether appellate court deviated from standard of review established by Sattva Capital Corp. v. Creston Moly Corp., 2014 SCC 53, [2014] 2 S.C.R. 633 to substitute its own interpretation of a negotiated commercial contract — Whether appellate court applied well-established rules of contractual interpretation.</w:t>
            </w:r>
          </w:p>
          <w:p w:rsidR="00B124FF" w:rsidRPr="00AF75CE" w:rsidRDefault="00B124FF" w:rsidP="005F32B8">
            <w:pPr>
              <w:jc w:val="both"/>
              <w:rPr>
                <w:sz w:val="20"/>
              </w:rPr>
            </w:pPr>
          </w:p>
        </w:tc>
      </w:tr>
      <w:tr w:rsidR="00B124FF" w:rsidRPr="00AF75CE" w:rsidTr="005F32B8">
        <w:tc>
          <w:tcPr>
            <w:tcW w:w="5000" w:type="pct"/>
            <w:gridSpan w:val="4"/>
          </w:tcPr>
          <w:p w:rsidR="00B124FF" w:rsidRPr="00AF75CE" w:rsidRDefault="00B124FF" w:rsidP="005F32B8">
            <w:pPr>
              <w:jc w:val="both"/>
              <w:rPr>
                <w:sz w:val="20"/>
              </w:rPr>
            </w:pPr>
            <w:r w:rsidRPr="00AF75CE">
              <w:rPr>
                <w:sz w:val="20"/>
              </w:rPr>
              <w:t xml:space="preserve">The parties entered into an agreement of purchase and sale whereby the respondent, Markham Woodmills Development Inc. agreed to sell an undeveloped parcel of land to the applicant, Union Building Corporation of Canada. The sale was conditional upon the City of Markham consenting to a severance of the land. Clause 17 of the agreement provided that Markham Woodmills would seek the severance and satisfy any conditions the City imposed, except for conditions that </w:t>
            </w:r>
            <w:r w:rsidRPr="00AF75CE">
              <w:rPr>
                <w:sz w:val="20"/>
              </w:rPr>
              <w:lastRenderedPageBreak/>
              <w:t xml:space="preserve">were “onerous or unreasonable.” Clause 17 provided that Union Building could have the opportunity to satisfy any such condition; if not, the agreement was null and void. </w:t>
            </w:r>
          </w:p>
          <w:p w:rsidR="00B124FF" w:rsidRPr="00AF75CE" w:rsidRDefault="00B124FF" w:rsidP="005F32B8">
            <w:pPr>
              <w:jc w:val="both"/>
              <w:rPr>
                <w:sz w:val="20"/>
              </w:rPr>
            </w:pPr>
          </w:p>
          <w:p w:rsidR="00B124FF" w:rsidRPr="00AF75CE" w:rsidRDefault="00B124FF" w:rsidP="005F32B8">
            <w:pPr>
              <w:jc w:val="both"/>
              <w:rPr>
                <w:sz w:val="20"/>
              </w:rPr>
            </w:pPr>
            <w:r w:rsidRPr="00AF75CE">
              <w:rPr>
                <w:sz w:val="20"/>
              </w:rPr>
              <w:t>The City granted the severance order but required Markham Woodmills to sign onto a development plan at the cost of $407,562. It took the position this was an onerous or unreasonable condition and invoked Clause 17. Union Building paid the amount to obtain the severance. Union Building then brought an application to claim that amount back from Markham Woods.</w:t>
            </w:r>
          </w:p>
          <w:p w:rsidR="00B124FF" w:rsidRPr="00AF75CE" w:rsidRDefault="00B124FF" w:rsidP="005F32B8">
            <w:pPr>
              <w:jc w:val="both"/>
              <w:rPr>
                <w:sz w:val="20"/>
              </w:rPr>
            </w:pPr>
          </w:p>
          <w:p w:rsidR="00B124FF" w:rsidRPr="00AF75CE" w:rsidRDefault="00B124FF" w:rsidP="005F32B8">
            <w:pPr>
              <w:jc w:val="both"/>
              <w:rPr>
                <w:sz w:val="20"/>
              </w:rPr>
            </w:pPr>
            <w:r w:rsidRPr="00AF75CE">
              <w:rPr>
                <w:sz w:val="20"/>
              </w:rPr>
              <w:t>The Ontario Superior Court granted the application for determination and ordered Markham Woodmills was required to pay Union Building $407,582 it had paid to satisfy the severance condition.</w:t>
            </w:r>
          </w:p>
          <w:p w:rsidR="00B124FF" w:rsidRPr="00AF75CE" w:rsidRDefault="00B124FF" w:rsidP="005F32B8">
            <w:pPr>
              <w:jc w:val="both"/>
              <w:rPr>
                <w:sz w:val="20"/>
              </w:rPr>
            </w:pPr>
          </w:p>
          <w:p w:rsidR="00B124FF" w:rsidRPr="00AF75CE" w:rsidRDefault="00B124FF" w:rsidP="005F32B8">
            <w:pPr>
              <w:jc w:val="both"/>
              <w:rPr>
                <w:sz w:val="20"/>
              </w:rPr>
            </w:pPr>
            <w:r w:rsidRPr="00AF75CE">
              <w:rPr>
                <w:sz w:val="20"/>
              </w:rPr>
              <w:t>The Court of Appeal allowed the appeal, set aside the decision of the application judge and found that the application for determination should be dismissed.</w:t>
            </w:r>
          </w:p>
        </w:tc>
      </w:tr>
      <w:tr w:rsidR="00B124FF" w:rsidRPr="00AF75CE" w:rsidTr="005F32B8">
        <w:tc>
          <w:tcPr>
            <w:tcW w:w="5000" w:type="pct"/>
            <w:gridSpan w:val="4"/>
          </w:tcPr>
          <w:p w:rsidR="00B124FF" w:rsidRPr="00AF75CE" w:rsidRDefault="00B124FF" w:rsidP="005F32B8">
            <w:pPr>
              <w:jc w:val="both"/>
              <w:rPr>
                <w:sz w:val="20"/>
              </w:rPr>
            </w:pPr>
          </w:p>
        </w:tc>
      </w:tr>
      <w:tr w:rsidR="00B124FF" w:rsidRPr="00AF75CE" w:rsidTr="005F32B8">
        <w:tc>
          <w:tcPr>
            <w:tcW w:w="2427" w:type="pct"/>
            <w:gridSpan w:val="2"/>
          </w:tcPr>
          <w:p w:rsidR="00B124FF" w:rsidRPr="00AF75CE" w:rsidRDefault="00B124FF" w:rsidP="005F32B8">
            <w:pPr>
              <w:jc w:val="both"/>
              <w:rPr>
                <w:sz w:val="20"/>
              </w:rPr>
            </w:pPr>
            <w:r w:rsidRPr="00AF75CE">
              <w:rPr>
                <w:sz w:val="20"/>
              </w:rPr>
              <w:t>July 25, 2017</w:t>
            </w:r>
          </w:p>
          <w:p w:rsidR="00B124FF" w:rsidRPr="00AF75CE" w:rsidRDefault="00B124FF" w:rsidP="005F32B8">
            <w:pPr>
              <w:jc w:val="both"/>
              <w:rPr>
                <w:sz w:val="20"/>
              </w:rPr>
            </w:pPr>
            <w:r w:rsidRPr="00AF75CE">
              <w:rPr>
                <w:sz w:val="20"/>
              </w:rPr>
              <w:t>Ontario Superior Court of Justice</w:t>
            </w:r>
          </w:p>
          <w:p w:rsidR="00B124FF" w:rsidRPr="00AF75CE" w:rsidRDefault="00B124FF" w:rsidP="005F32B8">
            <w:pPr>
              <w:jc w:val="both"/>
              <w:rPr>
                <w:sz w:val="20"/>
              </w:rPr>
            </w:pPr>
            <w:r w:rsidRPr="00AF75CE">
              <w:rPr>
                <w:sz w:val="20"/>
              </w:rPr>
              <w:t>(Lederer J.)</w:t>
            </w:r>
          </w:p>
          <w:p w:rsidR="00B124FF" w:rsidRPr="00AF75CE" w:rsidRDefault="00A24D5C" w:rsidP="005F32B8">
            <w:pPr>
              <w:jc w:val="both"/>
              <w:rPr>
                <w:sz w:val="20"/>
              </w:rPr>
            </w:pPr>
            <w:hyperlink r:id="rId47" w:history="1">
              <w:r w:rsidR="00B124FF" w:rsidRPr="00AF75CE">
                <w:rPr>
                  <w:rStyle w:val="Hyperlink"/>
                  <w:sz w:val="20"/>
                </w:rPr>
                <w:t>2017 ONSC 4514</w:t>
              </w:r>
            </w:hyperlink>
          </w:p>
          <w:p w:rsidR="00B124FF" w:rsidRPr="00AF75CE" w:rsidRDefault="00B124FF" w:rsidP="005F32B8">
            <w:pPr>
              <w:jc w:val="both"/>
              <w:rPr>
                <w:sz w:val="20"/>
              </w:rPr>
            </w:pPr>
          </w:p>
        </w:tc>
        <w:tc>
          <w:tcPr>
            <w:tcW w:w="243" w:type="pct"/>
          </w:tcPr>
          <w:p w:rsidR="00B124FF" w:rsidRPr="00AF75CE" w:rsidRDefault="00B124FF" w:rsidP="005F32B8">
            <w:pPr>
              <w:jc w:val="both"/>
              <w:rPr>
                <w:sz w:val="20"/>
              </w:rPr>
            </w:pPr>
          </w:p>
        </w:tc>
        <w:tc>
          <w:tcPr>
            <w:tcW w:w="2330" w:type="pct"/>
          </w:tcPr>
          <w:p w:rsidR="00B124FF" w:rsidRPr="00AF75CE" w:rsidRDefault="00B124FF" w:rsidP="005F32B8">
            <w:pPr>
              <w:jc w:val="both"/>
              <w:rPr>
                <w:sz w:val="20"/>
              </w:rPr>
            </w:pPr>
            <w:r w:rsidRPr="00AF75CE">
              <w:rPr>
                <w:sz w:val="20"/>
              </w:rPr>
              <w:t xml:space="preserve">Application for determination granted; Markham Woodmills required to pay Union Building $407,582 to satisfy severance condition. </w:t>
            </w:r>
          </w:p>
          <w:p w:rsidR="00B124FF" w:rsidRPr="00AF75CE" w:rsidRDefault="00B124FF" w:rsidP="005F32B8">
            <w:pPr>
              <w:jc w:val="both"/>
              <w:rPr>
                <w:sz w:val="20"/>
              </w:rPr>
            </w:pPr>
          </w:p>
        </w:tc>
      </w:tr>
      <w:tr w:rsidR="00B124FF" w:rsidRPr="00AF75CE" w:rsidTr="005F32B8">
        <w:tc>
          <w:tcPr>
            <w:tcW w:w="2427" w:type="pct"/>
            <w:gridSpan w:val="2"/>
          </w:tcPr>
          <w:p w:rsidR="00B124FF" w:rsidRPr="00AF75CE" w:rsidRDefault="00B124FF" w:rsidP="005F32B8">
            <w:pPr>
              <w:jc w:val="both"/>
              <w:rPr>
                <w:sz w:val="20"/>
              </w:rPr>
            </w:pPr>
            <w:r w:rsidRPr="00AF75CE">
              <w:rPr>
                <w:sz w:val="20"/>
              </w:rPr>
              <w:t>April 27, 2018</w:t>
            </w:r>
          </w:p>
          <w:p w:rsidR="00B124FF" w:rsidRPr="00AF75CE" w:rsidRDefault="00B124FF" w:rsidP="005F32B8">
            <w:pPr>
              <w:jc w:val="both"/>
              <w:rPr>
                <w:sz w:val="20"/>
              </w:rPr>
            </w:pPr>
            <w:r w:rsidRPr="00AF75CE">
              <w:rPr>
                <w:sz w:val="20"/>
              </w:rPr>
              <w:t>Court of Appeal for Ontario</w:t>
            </w:r>
          </w:p>
          <w:p w:rsidR="00B124FF" w:rsidRPr="00AF75CE" w:rsidRDefault="00B124FF" w:rsidP="005F32B8">
            <w:pPr>
              <w:jc w:val="both"/>
              <w:rPr>
                <w:sz w:val="20"/>
              </w:rPr>
            </w:pPr>
            <w:r w:rsidRPr="00AF75CE">
              <w:rPr>
                <w:sz w:val="20"/>
              </w:rPr>
              <w:t>(Hourigan, Huscroft and Nordheimer JJ.A.)</w:t>
            </w:r>
          </w:p>
          <w:p w:rsidR="00B124FF" w:rsidRPr="00AF75CE" w:rsidRDefault="00A24D5C" w:rsidP="005F32B8">
            <w:pPr>
              <w:jc w:val="both"/>
              <w:rPr>
                <w:sz w:val="20"/>
              </w:rPr>
            </w:pPr>
            <w:hyperlink r:id="rId48" w:history="1">
              <w:r w:rsidR="00B124FF" w:rsidRPr="00AF75CE">
                <w:rPr>
                  <w:rStyle w:val="Hyperlink"/>
                  <w:sz w:val="20"/>
                </w:rPr>
                <w:t>2018 ONCA 401</w:t>
              </w:r>
            </w:hyperlink>
          </w:p>
          <w:p w:rsidR="00B124FF" w:rsidRPr="00AF75CE" w:rsidRDefault="00B124FF" w:rsidP="005F32B8">
            <w:pPr>
              <w:jc w:val="both"/>
              <w:rPr>
                <w:sz w:val="20"/>
              </w:rPr>
            </w:pPr>
            <w:r w:rsidRPr="00AF75CE">
              <w:rPr>
                <w:sz w:val="20"/>
              </w:rPr>
              <w:t>File No.: C64257</w:t>
            </w:r>
          </w:p>
          <w:p w:rsidR="00B124FF" w:rsidRPr="00AF75CE" w:rsidRDefault="00B124FF" w:rsidP="005F32B8">
            <w:pPr>
              <w:jc w:val="both"/>
              <w:rPr>
                <w:sz w:val="20"/>
              </w:rPr>
            </w:pPr>
          </w:p>
        </w:tc>
        <w:tc>
          <w:tcPr>
            <w:tcW w:w="243" w:type="pct"/>
          </w:tcPr>
          <w:p w:rsidR="00B124FF" w:rsidRPr="00AF75CE" w:rsidRDefault="00B124FF" w:rsidP="005F32B8">
            <w:pPr>
              <w:jc w:val="both"/>
              <w:rPr>
                <w:sz w:val="20"/>
              </w:rPr>
            </w:pPr>
          </w:p>
        </w:tc>
        <w:tc>
          <w:tcPr>
            <w:tcW w:w="2330" w:type="pct"/>
          </w:tcPr>
          <w:p w:rsidR="00B124FF" w:rsidRPr="00AF75CE" w:rsidRDefault="00B124FF" w:rsidP="005F32B8">
            <w:pPr>
              <w:jc w:val="both"/>
              <w:rPr>
                <w:sz w:val="20"/>
              </w:rPr>
            </w:pPr>
            <w:r w:rsidRPr="00AF75CE">
              <w:rPr>
                <w:sz w:val="20"/>
              </w:rPr>
              <w:t xml:space="preserve">Appeal allowed; judgment set aside and application for determination dismissed. </w:t>
            </w:r>
          </w:p>
          <w:p w:rsidR="00B124FF" w:rsidRPr="00AF75CE" w:rsidRDefault="00B124FF" w:rsidP="005F32B8">
            <w:pPr>
              <w:jc w:val="both"/>
              <w:rPr>
                <w:sz w:val="20"/>
              </w:rPr>
            </w:pPr>
          </w:p>
        </w:tc>
      </w:tr>
      <w:tr w:rsidR="00B124FF" w:rsidRPr="00AF75CE" w:rsidTr="005F32B8">
        <w:tc>
          <w:tcPr>
            <w:tcW w:w="2427" w:type="pct"/>
            <w:gridSpan w:val="2"/>
          </w:tcPr>
          <w:p w:rsidR="00B124FF" w:rsidRPr="00AF75CE" w:rsidRDefault="00B124FF" w:rsidP="005F32B8">
            <w:pPr>
              <w:jc w:val="both"/>
              <w:rPr>
                <w:sz w:val="20"/>
              </w:rPr>
            </w:pPr>
            <w:r w:rsidRPr="00AF75CE">
              <w:rPr>
                <w:sz w:val="20"/>
              </w:rPr>
              <w:t>June 8, 2018</w:t>
            </w:r>
          </w:p>
          <w:p w:rsidR="00B124FF" w:rsidRPr="00AF75CE" w:rsidRDefault="00B124FF" w:rsidP="005F32B8">
            <w:pPr>
              <w:jc w:val="both"/>
              <w:rPr>
                <w:sz w:val="20"/>
              </w:rPr>
            </w:pPr>
            <w:r w:rsidRPr="00AF75CE">
              <w:rPr>
                <w:sz w:val="20"/>
              </w:rPr>
              <w:t>Supreme Court of Canada</w:t>
            </w:r>
          </w:p>
        </w:tc>
        <w:tc>
          <w:tcPr>
            <w:tcW w:w="243" w:type="pct"/>
          </w:tcPr>
          <w:p w:rsidR="00B124FF" w:rsidRPr="00AF75CE" w:rsidRDefault="00B124FF" w:rsidP="005F32B8">
            <w:pPr>
              <w:jc w:val="both"/>
              <w:rPr>
                <w:sz w:val="20"/>
              </w:rPr>
            </w:pPr>
          </w:p>
        </w:tc>
        <w:tc>
          <w:tcPr>
            <w:tcW w:w="2330" w:type="pct"/>
          </w:tcPr>
          <w:p w:rsidR="00B124FF" w:rsidRPr="00AF75CE" w:rsidRDefault="00B124FF" w:rsidP="005F32B8">
            <w:pPr>
              <w:jc w:val="both"/>
              <w:rPr>
                <w:sz w:val="20"/>
              </w:rPr>
            </w:pPr>
            <w:r w:rsidRPr="00AF75CE">
              <w:rPr>
                <w:sz w:val="20"/>
              </w:rPr>
              <w:t>Application for leave to appeal filed.</w:t>
            </w:r>
          </w:p>
          <w:p w:rsidR="00B124FF" w:rsidRPr="00AF75CE" w:rsidRDefault="00B124FF" w:rsidP="005F32B8">
            <w:pPr>
              <w:jc w:val="both"/>
              <w:rPr>
                <w:sz w:val="20"/>
              </w:rPr>
            </w:pPr>
          </w:p>
        </w:tc>
      </w:tr>
    </w:tbl>
    <w:p w:rsidR="00B124FF" w:rsidRDefault="00B124FF" w:rsidP="00B124FF">
      <w:pPr>
        <w:jc w:val="both"/>
        <w:rPr>
          <w:sz w:val="20"/>
        </w:rPr>
      </w:pPr>
    </w:p>
    <w:p w:rsidR="00B124FF" w:rsidRPr="00AF75CE" w:rsidRDefault="00B124FF" w:rsidP="00B124F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124FF" w:rsidRPr="00AF75CE" w:rsidTr="005F32B8">
        <w:tc>
          <w:tcPr>
            <w:tcW w:w="543" w:type="pct"/>
          </w:tcPr>
          <w:p w:rsidR="00B124FF" w:rsidRPr="00AF75CE" w:rsidRDefault="00B124FF" w:rsidP="005F32B8">
            <w:pPr>
              <w:jc w:val="both"/>
              <w:rPr>
                <w:sz w:val="20"/>
                <w:lang w:val="fr-CA"/>
              </w:rPr>
            </w:pPr>
            <w:r w:rsidRPr="00AF75CE">
              <w:rPr>
                <w:rStyle w:val="SCCFileNumberChar"/>
                <w:sz w:val="20"/>
                <w:szCs w:val="20"/>
                <w:lang w:val="fr-CA"/>
              </w:rPr>
              <w:t>38163</w:t>
            </w:r>
          </w:p>
        </w:tc>
        <w:tc>
          <w:tcPr>
            <w:tcW w:w="4457" w:type="pct"/>
            <w:gridSpan w:val="3"/>
          </w:tcPr>
          <w:p w:rsidR="00B124FF" w:rsidRPr="00202CE2" w:rsidRDefault="00B124FF" w:rsidP="005F32B8">
            <w:pPr>
              <w:pStyle w:val="SCCLsocParty"/>
              <w:jc w:val="both"/>
              <w:rPr>
                <w:b/>
                <w:sz w:val="20"/>
                <w:szCs w:val="20"/>
                <w:lang w:val="en-US"/>
              </w:rPr>
            </w:pPr>
            <w:r w:rsidRPr="00202CE2">
              <w:rPr>
                <w:b/>
                <w:sz w:val="20"/>
                <w:szCs w:val="20"/>
                <w:lang w:val="en-US"/>
              </w:rPr>
              <w:t>Union Building Corporation of Canada c. Markham Woodmills Development Inc.</w:t>
            </w:r>
          </w:p>
          <w:p w:rsidR="00B124FF" w:rsidRPr="00AF75CE" w:rsidRDefault="00B124FF" w:rsidP="005F32B8">
            <w:pPr>
              <w:jc w:val="both"/>
              <w:rPr>
                <w:sz w:val="20"/>
                <w:lang w:val="fr-CA"/>
              </w:rPr>
            </w:pPr>
            <w:r w:rsidRPr="00AF75CE">
              <w:rPr>
                <w:sz w:val="20"/>
                <w:lang w:val="fr-CA"/>
              </w:rPr>
              <w:t>(Ont.) (Civile) (Autorisation)</w:t>
            </w:r>
          </w:p>
        </w:tc>
      </w:tr>
      <w:tr w:rsidR="00B124FF" w:rsidRPr="00CC0B55" w:rsidTr="005F32B8">
        <w:tc>
          <w:tcPr>
            <w:tcW w:w="5000" w:type="pct"/>
            <w:gridSpan w:val="4"/>
          </w:tcPr>
          <w:p w:rsidR="00B124FF" w:rsidRDefault="00B124FF" w:rsidP="005F32B8">
            <w:pPr>
              <w:jc w:val="both"/>
              <w:rPr>
                <w:sz w:val="20"/>
                <w:lang w:val="fr-CA"/>
              </w:rPr>
            </w:pPr>
            <w:r w:rsidRPr="00C97F67">
              <w:rPr>
                <w:sz w:val="20"/>
                <w:lang w:val="fr-CA"/>
              </w:rPr>
              <w:t>La demande d’autorisation d’appel de l’arrêt de la Cour d’appel de l’Ontario, numéro C64257, 2018 ONCA 401, daté du 27 avril 2018, est rejetée avec dépens.</w:t>
            </w:r>
          </w:p>
          <w:p w:rsidR="00B124FF" w:rsidRPr="00AF75CE" w:rsidRDefault="00B124FF" w:rsidP="005F32B8">
            <w:pPr>
              <w:jc w:val="both"/>
              <w:rPr>
                <w:sz w:val="20"/>
                <w:lang w:val="fr-CA"/>
              </w:rPr>
            </w:pPr>
          </w:p>
        </w:tc>
      </w:tr>
      <w:tr w:rsidR="00B124FF" w:rsidRPr="00CC0B55" w:rsidTr="005F32B8">
        <w:tc>
          <w:tcPr>
            <w:tcW w:w="5000" w:type="pct"/>
            <w:gridSpan w:val="4"/>
          </w:tcPr>
          <w:p w:rsidR="00B124FF" w:rsidRPr="00AF75CE" w:rsidRDefault="00B124FF" w:rsidP="005F32B8">
            <w:pPr>
              <w:jc w:val="both"/>
              <w:rPr>
                <w:sz w:val="20"/>
                <w:lang w:val="fr-CA"/>
              </w:rPr>
            </w:pPr>
            <w:r w:rsidRPr="00AF75CE">
              <w:rPr>
                <w:sz w:val="20"/>
                <w:lang w:val="fr-CA"/>
              </w:rPr>
              <w:t xml:space="preserve">Contrats — Contrats commerciaux — Norme de contrôle — Équité procédurale — L’acheteur a introduit une demande pour qu’il soit enjoint au vendeur de rembourser une somme d’argent versée pour satisfaire à des conditions relatives à la disjonction découlant d’une convention d’achat et de vente de terrain — La Cour d’appel a annulé la décision du tribunal de première instance et a rejeté la demande — Une cour d’appel en matière civile qui a constaté un manquement à l’équité procédurale en première instance doit-elle substituer sa décision à celle de la juridiction inférieure ou doit-t-elle renvoyer l’affaire au premier juge des faits? — La cour d’appel s’est-elle éloignée de la norme de contrôle établie par l’arrêt </w:t>
            </w:r>
            <w:r w:rsidRPr="00AF75CE">
              <w:rPr>
                <w:i/>
                <w:sz w:val="20"/>
                <w:lang w:val="fr-CA"/>
              </w:rPr>
              <w:t>Sattva Capital Corp. c. Creston Moly Corp.</w:t>
            </w:r>
            <w:r w:rsidRPr="00AF75CE">
              <w:rPr>
                <w:sz w:val="20"/>
                <w:lang w:val="fr-CA"/>
              </w:rPr>
              <w:t>, 2014 CSC 53, [2014] 2 R.C.S. 633 pour substituer sa propre interprétation d’un contrat commercial négocié? — La cour d’appel a-t-elle appliqué les règles bien établies d’interprétation contractuelle?</w:t>
            </w:r>
          </w:p>
          <w:p w:rsidR="00B124FF" w:rsidRPr="00AF75CE" w:rsidRDefault="00B124FF" w:rsidP="005F32B8">
            <w:pPr>
              <w:jc w:val="both"/>
              <w:rPr>
                <w:sz w:val="20"/>
                <w:lang w:val="fr-CA"/>
              </w:rPr>
            </w:pPr>
          </w:p>
        </w:tc>
      </w:tr>
      <w:tr w:rsidR="00B124FF" w:rsidRPr="00CC0B55" w:rsidTr="005F32B8">
        <w:tc>
          <w:tcPr>
            <w:tcW w:w="5000" w:type="pct"/>
            <w:gridSpan w:val="4"/>
          </w:tcPr>
          <w:p w:rsidR="00B124FF" w:rsidRPr="00AF75CE" w:rsidRDefault="00B124FF" w:rsidP="005F32B8">
            <w:pPr>
              <w:jc w:val="both"/>
              <w:rPr>
                <w:sz w:val="20"/>
                <w:lang w:val="fr-CA"/>
              </w:rPr>
            </w:pPr>
            <w:r w:rsidRPr="00AF75CE">
              <w:rPr>
                <w:sz w:val="20"/>
                <w:lang w:val="fr-CA"/>
              </w:rPr>
              <w:t>Les parties ont conclu une convention d’achat et de vente en vertu de laquelle l’intimée, Markham Woodmills Development Inc. acceptait de vendre une parcelle de terrain non bâtie à la demanderesse, Union Building Corporation of Canada. La vente était conditionnelle à ce que la Ville Markham consente à la disjonction du terrain. La clause 17 de la convention prévoyait que Markham Woodmills chercherait à obtenir la disjonction et satisferait aux conditions imposées par la Ville, à l’exception des conditions [</w:t>
            </w:r>
            <w:r w:rsidRPr="00AF75CE">
              <w:rPr>
                <w:smallCaps/>
                <w:sz w:val="20"/>
                <w:lang w:val="fr-CA"/>
              </w:rPr>
              <w:t>traduction</w:t>
            </w:r>
            <w:r w:rsidRPr="00AF75CE">
              <w:rPr>
                <w:sz w:val="20"/>
                <w:lang w:val="fr-CA"/>
              </w:rPr>
              <w:t xml:space="preserve">] « onéreuses ou déraisonnables ». La clause 17 </w:t>
            </w:r>
            <w:r w:rsidRPr="00AF75CE">
              <w:rPr>
                <w:sz w:val="20"/>
                <w:lang w:val="fr-CA"/>
              </w:rPr>
              <w:lastRenderedPageBreak/>
              <w:t xml:space="preserve">prévoyait qu’Union Building pouvait avoir l’occasion de satisfaire une telle condition, à défaut de quoi la convention était nulle. </w:t>
            </w:r>
          </w:p>
          <w:p w:rsidR="00B124FF" w:rsidRPr="00AF75CE" w:rsidRDefault="00B124FF" w:rsidP="005F32B8">
            <w:pPr>
              <w:jc w:val="both"/>
              <w:rPr>
                <w:sz w:val="20"/>
                <w:lang w:val="fr-CA"/>
              </w:rPr>
            </w:pPr>
          </w:p>
          <w:p w:rsidR="00B124FF" w:rsidRPr="00AF75CE" w:rsidRDefault="00B124FF" w:rsidP="005F32B8">
            <w:pPr>
              <w:jc w:val="both"/>
              <w:rPr>
                <w:sz w:val="20"/>
                <w:lang w:val="fr-CA"/>
              </w:rPr>
            </w:pPr>
            <w:r w:rsidRPr="00AF75CE">
              <w:rPr>
                <w:sz w:val="20"/>
                <w:lang w:val="fr-CA"/>
              </w:rPr>
              <w:t>La Villa a accordé l’ordonnance de disjonction, mais a obligé Markham Woodmills à souscrire à un plan d’aménagement au coût de 407 562 $. Markham Woodmills estimait qu’il s’agissait là d’une condition onéreuse ou déraisonnable et a invoqué la clause 17. Union Building a payé ce montant pour obtenir la disjonction. Union Building a ensuite introduit une demande pour se faire rembourser ce montant par Markham Woods.</w:t>
            </w:r>
          </w:p>
          <w:p w:rsidR="00B124FF" w:rsidRPr="00AF75CE" w:rsidRDefault="00B124FF" w:rsidP="005F32B8">
            <w:pPr>
              <w:jc w:val="both"/>
              <w:rPr>
                <w:sz w:val="20"/>
                <w:lang w:val="fr-CA"/>
              </w:rPr>
            </w:pPr>
          </w:p>
          <w:p w:rsidR="00B124FF" w:rsidRPr="00AF75CE" w:rsidRDefault="00B124FF" w:rsidP="005F32B8">
            <w:pPr>
              <w:jc w:val="both"/>
              <w:rPr>
                <w:sz w:val="20"/>
                <w:lang w:val="fr-CA"/>
              </w:rPr>
            </w:pPr>
            <w:r w:rsidRPr="00AF75CE">
              <w:rPr>
                <w:sz w:val="20"/>
                <w:lang w:val="fr-CA"/>
              </w:rPr>
              <w:t>La Cour supérieure a accueilli la demande et a enjoint à Markham Woodmills de payer à Union Building la somme de 407 582 $, c’est-à-dire la somme qu’Union Building avait payée pour satisfaire à la condition relative à la disjonction.</w:t>
            </w:r>
          </w:p>
          <w:p w:rsidR="00B124FF" w:rsidRPr="00AF75CE" w:rsidRDefault="00B124FF" w:rsidP="005F32B8">
            <w:pPr>
              <w:jc w:val="both"/>
              <w:rPr>
                <w:sz w:val="20"/>
                <w:lang w:val="fr-CA"/>
              </w:rPr>
            </w:pPr>
          </w:p>
          <w:p w:rsidR="00B124FF" w:rsidRPr="00AF75CE" w:rsidRDefault="00B124FF" w:rsidP="005F32B8">
            <w:pPr>
              <w:jc w:val="both"/>
              <w:rPr>
                <w:sz w:val="20"/>
                <w:lang w:val="fr-CA"/>
              </w:rPr>
            </w:pPr>
            <w:r w:rsidRPr="00AF75CE">
              <w:rPr>
                <w:sz w:val="20"/>
                <w:lang w:val="fr-CA"/>
              </w:rPr>
              <w:t>La Cour d’appel a accueilli l’appel, annulé la décision du juge de première instance et conclu que la demande devait être rejetée.</w:t>
            </w:r>
          </w:p>
        </w:tc>
      </w:tr>
      <w:tr w:rsidR="00B124FF" w:rsidRPr="00CC0B55" w:rsidTr="005F32B8">
        <w:tc>
          <w:tcPr>
            <w:tcW w:w="5000" w:type="pct"/>
            <w:gridSpan w:val="4"/>
          </w:tcPr>
          <w:p w:rsidR="00B124FF" w:rsidRPr="00AF75CE" w:rsidRDefault="00B124FF" w:rsidP="005F32B8">
            <w:pPr>
              <w:jc w:val="both"/>
              <w:rPr>
                <w:sz w:val="20"/>
                <w:lang w:val="fr-CA"/>
              </w:rPr>
            </w:pPr>
          </w:p>
        </w:tc>
      </w:tr>
      <w:tr w:rsidR="00B124FF" w:rsidRPr="00CC0B55" w:rsidTr="005F32B8">
        <w:tc>
          <w:tcPr>
            <w:tcW w:w="2427" w:type="pct"/>
            <w:gridSpan w:val="2"/>
          </w:tcPr>
          <w:p w:rsidR="00B124FF" w:rsidRPr="00AF75CE" w:rsidRDefault="00B124FF" w:rsidP="005F32B8">
            <w:pPr>
              <w:jc w:val="both"/>
              <w:rPr>
                <w:sz w:val="20"/>
                <w:lang w:val="fr-CA"/>
              </w:rPr>
            </w:pPr>
            <w:r w:rsidRPr="00AF75CE">
              <w:rPr>
                <w:sz w:val="20"/>
                <w:lang w:val="fr-CA"/>
              </w:rPr>
              <w:t>25 juillet 2017</w:t>
            </w:r>
          </w:p>
          <w:p w:rsidR="00B124FF" w:rsidRPr="00AF75CE" w:rsidRDefault="00B124FF" w:rsidP="005F32B8">
            <w:pPr>
              <w:jc w:val="both"/>
              <w:rPr>
                <w:sz w:val="20"/>
                <w:lang w:val="fr-CA"/>
              </w:rPr>
            </w:pPr>
            <w:r w:rsidRPr="00AF75CE">
              <w:rPr>
                <w:sz w:val="20"/>
                <w:lang w:val="fr-CA"/>
              </w:rPr>
              <w:t>Cour supérieure de justice de l’Ontario</w:t>
            </w:r>
          </w:p>
          <w:p w:rsidR="00B124FF" w:rsidRPr="00AF75CE" w:rsidRDefault="00B124FF" w:rsidP="005F32B8">
            <w:pPr>
              <w:jc w:val="both"/>
              <w:rPr>
                <w:sz w:val="20"/>
                <w:lang w:val="fr-CA"/>
              </w:rPr>
            </w:pPr>
            <w:r w:rsidRPr="00AF75CE">
              <w:rPr>
                <w:sz w:val="20"/>
                <w:lang w:val="fr-CA"/>
              </w:rPr>
              <w:t>(Juge Lederer)</w:t>
            </w:r>
          </w:p>
          <w:p w:rsidR="00B124FF" w:rsidRPr="00AF75CE" w:rsidRDefault="00A24D5C" w:rsidP="005F32B8">
            <w:pPr>
              <w:jc w:val="both"/>
              <w:rPr>
                <w:sz w:val="20"/>
                <w:lang w:val="fr-CA"/>
              </w:rPr>
            </w:pPr>
            <w:hyperlink r:id="rId49" w:history="1">
              <w:r w:rsidR="00B124FF" w:rsidRPr="00AF75CE">
                <w:rPr>
                  <w:rStyle w:val="Hyperlink"/>
                  <w:sz w:val="20"/>
                  <w:lang w:val="fr-CA"/>
                </w:rPr>
                <w:t>2017 ONSC 4514</w:t>
              </w:r>
            </w:hyperlink>
          </w:p>
          <w:p w:rsidR="00B124FF" w:rsidRPr="00AF75CE" w:rsidRDefault="00B124FF" w:rsidP="005F32B8">
            <w:pPr>
              <w:jc w:val="both"/>
              <w:rPr>
                <w:sz w:val="20"/>
                <w:lang w:val="fr-CA"/>
              </w:rPr>
            </w:pPr>
          </w:p>
        </w:tc>
        <w:tc>
          <w:tcPr>
            <w:tcW w:w="243" w:type="pct"/>
          </w:tcPr>
          <w:p w:rsidR="00B124FF" w:rsidRPr="00AF75CE" w:rsidRDefault="00B124FF" w:rsidP="005F32B8">
            <w:pPr>
              <w:jc w:val="both"/>
              <w:rPr>
                <w:sz w:val="20"/>
                <w:lang w:val="fr-CA"/>
              </w:rPr>
            </w:pPr>
          </w:p>
        </w:tc>
        <w:tc>
          <w:tcPr>
            <w:tcW w:w="2330" w:type="pct"/>
          </w:tcPr>
          <w:p w:rsidR="00B124FF" w:rsidRPr="00AF75CE" w:rsidRDefault="00B124FF" w:rsidP="005F32B8">
            <w:pPr>
              <w:jc w:val="both"/>
              <w:rPr>
                <w:sz w:val="20"/>
                <w:lang w:val="fr-CA"/>
              </w:rPr>
            </w:pPr>
            <w:r w:rsidRPr="00AF75CE">
              <w:rPr>
                <w:sz w:val="20"/>
                <w:lang w:val="fr-CA"/>
              </w:rPr>
              <w:t xml:space="preserve">Jugement accueillant la demande, condamnant Markham Woodmills à payer à Union Building la somme de 407 582 $ pour satisfaire la condition relative à la disjonction. </w:t>
            </w:r>
          </w:p>
          <w:p w:rsidR="00B124FF" w:rsidRPr="00AF75CE" w:rsidRDefault="00B124FF" w:rsidP="005F32B8">
            <w:pPr>
              <w:jc w:val="both"/>
              <w:rPr>
                <w:sz w:val="20"/>
                <w:lang w:val="fr-CA"/>
              </w:rPr>
            </w:pPr>
          </w:p>
        </w:tc>
      </w:tr>
      <w:tr w:rsidR="00B124FF" w:rsidRPr="00CC0B55" w:rsidTr="005F32B8">
        <w:tc>
          <w:tcPr>
            <w:tcW w:w="2427" w:type="pct"/>
            <w:gridSpan w:val="2"/>
          </w:tcPr>
          <w:p w:rsidR="00B124FF" w:rsidRPr="00AF75CE" w:rsidRDefault="00B124FF" w:rsidP="005F32B8">
            <w:pPr>
              <w:jc w:val="both"/>
              <w:rPr>
                <w:sz w:val="20"/>
                <w:lang w:val="fr-CA"/>
              </w:rPr>
            </w:pPr>
            <w:r w:rsidRPr="00AF75CE">
              <w:rPr>
                <w:sz w:val="20"/>
                <w:lang w:val="fr-CA"/>
              </w:rPr>
              <w:t>27 avril 2018</w:t>
            </w:r>
          </w:p>
          <w:p w:rsidR="00B124FF" w:rsidRPr="00AF75CE" w:rsidRDefault="00B124FF" w:rsidP="005F32B8">
            <w:pPr>
              <w:jc w:val="both"/>
              <w:rPr>
                <w:sz w:val="20"/>
                <w:lang w:val="fr-CA"/>
              </w:rPr>
            </w:pPr>
            <w:r w:rsidRPr="00AF75CE">
              <w:rPr>
                <w:sz w:val="20"/>
                <w:lang w:val="fr-CA"/>
              </w:rPr>
              <w:t>Cour d’appel de l’Ontario</w:t>
            </w:r>
          </w:p>
          <w:p w:rsidR="00B124FF" w:rsidRPr="00AF75CE" w:rsidRDefault="00B124FF" w:rsidP="005F32B8">
            <w:pPr>
              <w:jc w:val="both"/>
              <w:rPr>
                <w:sz w:val="20"/>
                <w:lang w:val="fr-CA"/>
              </w:rPr>
            </w:pPr>
            <w:r w:rsidRPr="00AF75CE">
              <w:rPr>
                <w:sz w:val="20"/>
                <w:lang w:val="fr-CA"/>
              </w:rPr>
              <w:t>(Juges Hourigan, Huscroft et Nordheimer)</w:t>
            </w:r>
          </w:p>
          <w:p w:rsidR="00B124FF" w:rsidRPr="00AF75CE" w:rsidRDefault="00A24D5C" w:rsidP="005F32B8">
            <w:pPr>
              <w:jc w:val="both"/>
              <w:rPr>
                <w:sz w:val="20"/>
                <w:lang w:val="fr-CA"/>
              </w:rPr>
            </w:pPr>
            <w:hyperlink r:id="rId50" w:history="1">
              <w:r w:rsidR="00B124FF" w:rsidRPr="00AF75CE">
                <w:rPr>
                  <w:rStyle w:val="Hyperlink"/>
                  <w:sz w:val="20"/>
                  <w:lang w:val="fr-CA"/>
                </w:rPr>
                <w:t>2018 ONCA 401</w:t>
              </w:r>
            </w:hyperlink>
          </w:p>
          <w:p w:rsidR="00B124FF" w:rsidRPr="00AF75CE" w:rsidRDefault="00B124FF" w:rsidP="005F32B8">
            <w:pPr>
              <w:jc w:val="both"/>
              <w:rPr>
                <w:sz w:val="20"/>
                <w:lang w:val="fr-CA"/>
              </w:rPr>
            </w:pPr>
            <w:r w:rsidRPr="00AF75CE">
              <w:rPr>
                <w:sz w:val="20"/>
                <w:lang w:val="fr-CA"/>
              </w:rPr>
              <w:t>N</w:t>
            </w:r>
            <w:r w:rsidRPr="00AF75CE">
              <w:rPr>
                <w:sz w:val="20"/>
                <w:vertAlign w:val="superscript"/>
                <w:lang w:val="fr-CA"/>
              </w:rPr>
              <w:t>o</w:t>
            </w:r>
            <w:r w:rsidRPr="00AF75CE">
              <w:rPr>
                <w:sz w:val="20"/>
                <w:lang w:val="fr-CA"/>
              </w:rPr>
              <w:t xml:space="preserve"> de dossier : C64257</w:t>
            </w:r>
          </w:p>
          <w:p w:rsidR="00B124FF" w:rsidRPr="00AF75CE" w:rsidRDefault="00B124FF" w:rsidP="005F32B8">
            <w:pPr>
              <w:jc w:val="both"/>
              <w:rPr>
                <w:sz w:val="20"/>
                <w:lang w:val="fr-CA"/>
              </w:rPr>
            </w:pPr>
          </w:p>
        </w:tc>
        <w:tc>
          <w:tcPr>
            <w:tcW w:w="243" w:type="pct"/>
          </w:tcPr>
          <w:p w:rsidR="00B124FF" w:rsidRPr="00AF75CE" w:rsidRDefault="00B124FF" w:rsidP="005F32B8">
            <w:pPr>
              <w:jc w:val="both"/>
              <w:rPr>
                <w:sz w:val="20"/>
                <w:lang w:val="fr-CA"/>
              </w:rPr>
            </w:pPr>
          </w:p>
        </w:tc>
        <w:tc>
          <w:tcPr>
            <w:tcW w:w="2330" w:type="pct"/>
          </w:tcPr>
          <w:p w:rsidR="00B124FF" w:rsidRPr="00AF75CE" w:rsidRDefault="00B124FF" w:rsidP="005F32B8">
            <w:pPr>
              <w:jc w:val="both"/>
              <w:rPr>
                <w:sz w:val="20"/>
                <w:lang w:val="fr-CA"/>
              </w:rPr>
            </w:pPr>
            <w:r w:rsidRPr="00AF75CE">
              <w:rPr>
                <w:sz w:val="20"/>
                <w:lang w:val="fr-CA"/>
              </w:rPr>
              <w:t xml:space="preserve">Arrêt accueillant l’appel, annulant le jugement et rejetant la demande. </w:t>
            </w:r>
          </w:p>
          <w:p w:rsidR="00B124FF" w:rsidRPr="00AF75CE" w:rsidRDefault="00B124FF" w:rsidP="005F32B8">
            <w:pPr>
              <w:jc w:val="both"/>
              <w:rPr>
                <w:sz w:val="20"/>
                <w:lang w:val="fr-CA"/>
              </w:rPr>
            </w:pPr>
          </w:p>
        </w:tc>
      </w:tr>
      <w:tr w:rsidR="00B124FF" w:rsidRPr="00CC0B55" w:rsidTr="005F32B8">
        <w:tc>
          <w:tcPr>
            <w:tcW w:w="2427" w:type="pct"/>
            <w:gridSpan w:val="2"/>
          </w:tcPr>
          <w:p w:rsidR="00B124FF" w:rsidRPr="00AF75CE" w:rsidRDefault="00B124FF" w:rsidP="005F32B8">
            <w:pPr>
              <w:jc w:val="both"/>
              <w:rPr>
                <w:sz w:val="20"/>
                <w:lang w:val="fr-CA"/>
              </w:rPr>
            </w:pPr>
            <w:r w:rsidRPr="00AF75CE">
              <w:rPr>
                <w:sz w:val="20"/>
                <w:lang w:val="fr-CA"/>
              </w:rPr>
              <w:t>8 juin 2018</w:t>
            </w:r>
          </w:p>
          <w:p w:rsidR="00B124FF" w:rsidRPr="00AF75CE" w:rsidRDefault="00B124FF" w:rsidP="005F32B8">
            <w:pPr>
              <w:jc w:val="both"/>
              <w:rPr>
                <w:sz w:val="20"/>
                <w:lang w:val="fr-CA"/>
              </w:rPr>
            </w:pPr>
            <w:r w:rsidRPr="00AF75CE">
              <w:rPr>
                <w:sz w:val="20"/>
                <w:lang w:val="fr-CA"/>
              </w:rPr>
              <w:t>Cour suprême du Canada</w:t>
            </w:r>
          </w:p>
        </w:tc>
        <w:tc>
          <w:tcPr>
            <w:tcW w:w="243" w:type="pct"/>
          </w:tcPr>
          <w:p w:rsidR="00B124FF" w:rsidRPr="00AF75CE" w:rsidRDefault="00B124FF" w:rsidP="005F32B8">
            <w:pPr>
              <w:jc w:val="both"/>
              <w:rPr>
                <w:sz w:val="20"/>
                <w:lang w:val="fr-CA"/>
              </w:rPr>
            </w:pPr>
          </w:p>
        </w:tc>
        <w:tc>
          <w:tcPr>
            <w:tcW w:w="2330" w:type="pct"/>
          </w:tcPr>
          <w:p w:rsidR="00B124FF" w:rsidRPr="00AF75CE" w:rsidRDefault="00B124FF" w:rsidP="005F32B8">
            <w:pPr>
              <w:jc w:val="both"/>
              <w:rPr>
                <w:sz w:val="20"/>
                <w:lang w:val="fr-CA"/>
              </w:rPr>
            </w:pPr>
            <w:r w:rsidRPr="00AF75CE">
              <w:rPr>
                <w:sz w:val="20"/>
                <w:lang w:val="fr-CA"/>
              </w:rPr>
              <w:t>Dépôt de la demande d’autorisation d’appel.</w:t>
            </w:r>
          </w:p>
          <w:p w:rsidR="00B124FF" w:rsidRPr="00AF75CE" w:rsidRDefault="00B124FF" w:rsidP="005F32B8">
            <w:pPr>
              <w:jc w:val="both"/>
              <w:rPr>
                <w:sz w:val="20"/>
                <w:lang w:val="fr-CA"/>
              </w:rPr>
            </w:pPr>
          </w:p>
        </w:tc>
      </w:tr>
    </w:tbl>
    <w:p w:rsidR="00B124FF" w:rsidRDefault="00B124FF" w:rsidP="00B124FF">
      <w:pPr>
        <w:jc w:val="both"/>
        <w:rPr>
          <w:sz w:val="20"/>
          <w:lang w:val="fr-CA"/>
        </w:rPr>
      </w:pPr>
    </w:p>
    <w:p w:rsidR="00B124FF" w:rsidRPr="00AF75CE" w:rsidRDefault="00A24D5C" w:rsidP="00B124FF">
      <w:pPr>
        <w:jc w:val="both"/>
        <w:rPr>
          <w:sz w:val="20"/>
          <w:lang w:val="fr-CA"/>
        </w:rPr>
      </w:pPr>
      <w:r>
        <w:rPr>
          <w:sz w:val="20"/>
          <w:szCs w:val="20"/>
        </w:rPr>
        <w:pict>
          <v:rect id="_x0000_i1041" style="width:2in;height:1pt" o:hrpct="0" o:hralign="center" o:hrstd="t" o:hrnoshade="t" o:hr="t" fillcolor="black [3213]" stroked="f"/>
        </w:pict>
      </w:r>
    </w:p>
    <w:p w:rsidR="00B124FF" w:rsidRPr="00AF75CE" w:rsidRDefault="00B124FF" w:rsidP="00B124FF">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124FF" w:rsidRPr="00AF75CE" w:rsidTr="005F32B8">
        <w:tc>
          <w:tcPr>
            <w:tcW w:w="543" w:type="pct"/>
          </w:tcPr>
          <w:p w:rsidR="00B124FF" w:rsidRPr="00AF75CE" w:rsidRDefault="00B124FF" w:rsidP="005F32B8">
            <w:pPr>
              <w:jc w:val="both"/>
              <w:rPr>
                <w:sz w:val="20"/>
              </w:rPr>
            </w:pPr>
            <w:r w:rsidRPr="00AF75CE">
              <w:rPr>
                <w:rStyle w:val="SCCFileNumberChar"/>
                <w:sz w:val="20"/>
                <w:szCs w:val="20"/>
              </w:rPr>
              <w:t>38234</w:t>
            </w:r>
          </w:p>
        </w:tc>
        <w:tc>
          <w:tcPr>
            <w:tcW w:w="4457" w:type="pct"/>
            <w:gridSpan w:val="3"/>
          </w:tcPr>
          <w:p w:rsidR="00B124FF" w:rsidRPr="00202CE2" w:rsidRDefault="00B124FF" w:rsidP="005F32B8">
            <w:pPr>
              <w:pStyle w:val="SCCLsocParty"/>
              <w:jc w:val="both"/>
              <w:rPr>
                <w:b/>
                <w:sz w:val="20"/>
                <w:szCs w:val="20"/>
                <w:lang w:val="en-US"/>
              </w:rPr>
            </w:pPr>
            <w:r w:rsidRPr="00202CE2">
              <w:rPr>
                <w:b/>
                <w:sz w:val="20"/>
                <w:szCs w:val="20"/>
                <w:lang w:val="en-US"/>
              </w:rPr>
              <w:t>William Hamilton Crook v. Her Majesty the Queen</w:t>
            </w:r>
          </w:p>
          <w:p w:rsidR="00B124FF" w:rsidRPr="00AF75CE" w:rsidRDefault="00B124FF" w:rsidP="005F32B8">
            <w:pPr>
              <w:jc w:val="both"/>
              <w:rPr>
                <w:sz w:val="20"/>
              </w:rPr>
            </w:pPr>
            <w:r w:rsidRPr="00AF75CE">
              <w:rPr>
                <w:sz w:val="20"/>
              </w:rPr>
              <w:t>(F</w:t>
            </w:r>
            <w:r>
              <w:rPr>
                <w:sz w:val="20"/>
              </w:rPr>
              <w:t>.</w:t>
            </w:r>
            <w:r w:rsidRPr="00AF75CE">
              <w:rPr>
                <w:sz w:val="20"/>
              </w:rPr>
              <w:t>C</w:t>
            </w:r>
            <w:r>
              <w:rPr>
                <w:sz w:val="20"/>
              </w:rPr>
              <w:t>.</w:t>
            </w:r>
            <w:r w:rsidRPr="00AF75CE">
              <w:rPr>
                <w:sz w:val="20"/>
              </w:rPr>
              <w:t>) (Civil) (By Leave)</w:t>
            </w:r>
          </w:p>
        </w:tc>
      </w:tr>
      <w:tr w:rsidR="00B124FF" w:rsidRPr="00AF75CE" w:rsidTr="005F32B8">
        <w:tc>
          <w:tcPr>
            <w:tcW w:w="5000" w:type="pct"/>
            <w:gridSpan w:val="4"/>
          </w:tcPr>
          <w:p w:rsidR="00B124FF" w:rsidRDefault="00B124FF" w:rsidP="005F32B8">
            <w:pPr>
              <w:jc w:val="both"/>
              <w:rPr>
                <w:sz w:val="20"/>
              </w:rPr>
            </w:pPr>
            <w:r w:rsidRPr="00C97F67">
              <w:rPr>
                <w:sz w:val="20"/>
              </w:rPr>
              <w:t>The application for leave to appeal from the judgment of the Federal Court of Appeal, Number A-54-17, 2018 FCA 60, dated March 22, 2018, is dismissed with no order as to costs.</w:t>
            </w:r>
          </w:p>
          <w:p w:rsidR="00B124FF" w:rsidRPr="00C97F67" w:rsidRDefault="00B124FF" w:rsidP="005F32B8">
            <w:pPr>
              <w:jc w:val="both"/>
              <w:rPr>
                <w:sz w:val="20"/>
              </w:rPr>
            </w:pPr>
          </w:p>
        </w:tc>
      </w:tr>
      <w:tr w:rsidR="00B124FF" w:rsidRPr="00AF75CE" w:rsidTr="005F32B8">
        <w:tc>
          <w:tcPr>
            <w:tcW w:w="5000" w:type="pct"/>
            <w:gridSpan w:val="4"/>
          </w:tcPr>
          <w:p w:rsidR="00B124FF" w:rsidRPr="00AF75CE" w:rsidRDefault="00B124FF" w:rsidP="005F32B8">
            <w:pPr>
              <w:jc w:val="both"/>
              <w:rPr>
                <w:sz w:val="20"/>
              </w:rPr>
            </w:pPr>
            <w:r w:rsidRPr="00AF75CE">
              <w:rPr>
                <w:i/>
                <w:sz w:val="20"/>
              </w:rPr>
              <w:t xml:space="preserve">Charter of Rights </w:t>
            </w:r>
            <w:r w:rsidRPr="00AF75CE">
              <w:rPr>
                <w:sz w:val="20"/>
              </w:rPr>
              <w:t>– Right to freedom of expression – Fundamental justice – Right to make full answers and defence – Judgments and orders – Summary judgments – Applicant’s action struck in its entirety with no leave to amend – Whether applicant denied procedural fairness.</w:t>
            </w:r>
          </w:p>
          <w:p w:rsidR="00B124FF" w:rsidRPr="00AF75CE" w:rsidRDefault="00B124FF" w:rsidP="005F32B8">
            <w:pPr>
              <w:jc w:val="both"/>
              <w:rPr>
                <w:sz w:val="20"/>
              </w:rPr>
            </w:pPr>
          </w:p>
        </w:tc>
      </w:tr>
      <w:tr w:rsidR="00B124FF" w:rsidRPr="00AF75CE" w:rsidTr="005F32B8">
        <w:tc>
          <w:tcPr>
            <w:tcW w:w="5000" w:type="pct"/>
            <w:gridSpan w:val="4"/>
          </w:tcPr>
          <w:p w:rsidR="00B124FF" w:rsidRPr="00AF75CE" w:rsidRDefault="00B124FF" w:rsidP="005F32B8">
            <w:pPr>
              <w:jc w:val="both"/>
              <w:rPr>
                <w:sz w:val="20"/>
              </w:rPr>
            </w:pPr>
            <w:r w:rsidRPr="00AF75CE">
              <w:rPr>
                <w:sz w:val="20"/>
              </w:rPr>
              <w:t>Mr. Crook brought an action in Federal Court, seeking damages. The respondent brought a motion to strike the applicant’s statement of claim in its entirety, without leave to amend. The Prothonotary granted the motion. Mr. Crook’s subsequent motion for an extension of time was dismissed. His appeal from that decision was also dismissed.</w:t>
            </w:r>
          </w:p>
        </w:tc>
      </w:tr>
      <w:tr w:rsidR="00B124FF" w:rsidRPr="00AF75CE" w:rsidTr="005F32B8">
        <w:tc>
          <w:tcPr>
            <w:tcW w:w="5000" w:type="pct"/>
            <w:gridSpan w:val="4"/>
          </w:tcPr>
          <w:p w:rsidR="00B124FF" w:rsidRPr="00AF75CE" w:rsidRDefault="00B124FF" w:rsidP="005F32B8">
            <w:pPr>
              <w:jc w:val="both"/>
              <w:rPr>
                <w:sz w:val="20"/>
              </w:rPr>
            </w:pPr>
          </w:p>
        </w:tc>
      </w:tr>
      <w:tr w:rsidR="00B124FF" w:rsidRPr="00AF75CE" w:rsidTr="005F32B8">
        <w:tc>
          <w:tcPr>
            <w:tcW w:w="2427" w:type="pct"/>
            <w:gridSpan w:val="2"/>
          </w:tcPr>
          <w:p w:rsidR="00B124FF" w:rsidRPr="00AF75CE" w:rsidRDefault="00B124FF" w:rsidP="005F32B8">
            <w:pPr>
              <w:jc w:val="both"/>
              <w:rPr>
                <w:sz w:val="20"/>
              </w:rPr>
            </w:pPr>
            <w:r w:rsidRPr="00AF75CE">
              <w:rPr>
                <w:sz w:val="20"/>
              </w:rPr>
              <w:t>October 3, 2016</w:t>
            </w:r>
          </w:p>
          <w:p w:rsidR="00B124FF" w:rsidRPr="00AF75CE" w:rsidRDefault="00B124FF" w:rsidP="005F32B8">
            <w:pPr>
              <w:jc w:val="both"/>
              <w:rPr>
                <w:sz w:val="20"/>
              </w:rPr>
            </w:pPr>
            <w:r w:rsidRPr="00AF75CE">
              <w:rPr>
                <w:sz w:val="20"/>
              </w:rPr>
              <w:t>Federal Court</w:t>
            </w:r>
          </w:p>
          <w:p w:rsidR="00B124FF" w:rsidRPr="00AF75CE" w:rsidRDefault="00B124FF" w:rsidP="005F32B8">
            <w:pPr>
              <w:jc w:val="both"/>
              <w:rPr>
                <w:sz w:val="20"/>
              </w:rPr>
            </w:pPr>
            <w:r w:rsidRPr="00AF75CE">
              <w:rPr>
                <w:sz w:val="20"/>
              </w:rPr>
              <w:t>Aalto, Prothonotary</w:t>
            </w:r>
          </w:p>
          <w:p w:rsidR="00B124FF" w:rsidRPr="00AF75CE" w:rsidRDefault="00B124FF" w:rsidP="005F32B8">
            <w:pPr>
              <w:jc w:val="both"/>
              <w:rPr>
                <w:sz w:val="20"/>
              </w:rPr>
            </w:pPr>
            <w:r w:rsidRPr="00AF75CE">
              <w:rPr>
                <w:sz w:val="20"/>
              </w:rPr>
              <w:t>Unreported</w:t>
            </w:r>
          </w:p>
          <w:p w:rsidR="00B124FF" w:rsidRPr="00AF75CE" w:rsidRDefault="00B124FF" w:rsidP="005F32B8">
            <w:pPr>
              <w:jc w:val="both"/>
              <w:rPr>
                <w:sz w:val="20"/>
              </w:rPr>
            </w:pPr>
          </w:p>
        </w:tc>
        <w:tc>
          <w:tcPr>
            <w:tcW w:w="243" w:type="pct"/>
          </w:tcPr>
          <w:p w:rsidR="00B124FF" w:rsidRPr="00AF75CE" w:rsidRDefault="00B124FF" w:rsidP="005F32B8">
            <w:pPr>
              <w:jc w:val="both"/>
              <w:rPr>
                <w:sz w:val="20"/>
              </w:rPr>
            </w:pPr>
          </w:p>
        </w:tc>
        <w:tc>
          <w:tcPr>
            <w:tcW w:w="2330" w:type="pct"/>
          </w:tcPr>
          <w:p w:rsidR="00B124FF" w:rsidRPr="00AF75CE" w:rsidRDefault="00B124FF" w:rsidP="005F32B8">
            <w:pPr>
              <w:jc w:val="both"/>
              <w:rPr>
                <w:sz w:val="20"/>
              </w:rPr>
            </w:pPr>
            <w:r w:rsidRPr="00AF75CE">
              <w:rPr>
                <w:sz w:val="20"/>
              </w:rPr>
              <w:t>Respondent’s motion to strike applicant’s statement of claim in its entirety without leave to amend granted</w:t>
            </w:r>
          </w:p>
        </w:tc>
      </w:tr>
      <w:tr w:rsidR="00B124FF" w:rsidRPr="00AF75CE" w:rsidTr="005F32B8">
        <w:tc>
          <w:tcPr>
            <w:tcW w:w="2427" w:type="pct"/>
            <w:gridSpan w:val="2"/>
          </w:tcPr>
          <w:p w:rsidR="00B124FF" w:rsidRPr="00AF75CE" w:rsidRDefault="00B124FF" w:rsidP="005F32B8">
            <w:pPr>
              <w:jc w:val="both"/>
              <w:rPr>
                <w:sz w:val="20"/>
              </w:rPr>
            </w:pPr>
            <w:r w:rsidRPr="00AF75CE">
              <w:rPr>
                <w:sz w:val="20"/>
              </w:rPr>
              <w:lastRenderedPageBreak/>
              <w:t>January 20, 2017</w:t>
            </w:r>
          </w:p>
          <w:p w:rsidR="00B124FF" w:rsidRPr="00AF75CE" w:rsidRDefault="00B124FF" w:rsidP="005F32B8">
            <w:pPr>
              <w:jc w:val="both"/>
              <w:rPr>
                <w:sz w:val="20"/>
              </w:rPr>
            </w:pPr>
            <w:r w:rsidRPr="00AF75CE">
              <w:rPr>
                <w:sz w:val="20"/>
              </w:rPr>
              <w:t>Federal Court</w:t>
            </w:r>
          </w:p>
          <w:p w:rsidR="00B124FF" w:rsidRPr="00AF75CE" w:rsidRDefault="00B124FF" w:rsidP="005F32B8">
            <w:pPr>
              <w:jc w:val="both"/>
              <w:rPr>
                <w:sz w:val="20"/>
              </w:rPr>
            </w:pPr>
            <w:r w:rsidRPr="00AF75CE">
              <w:rPr>
                <w:sz w:val="20"/>
              </w:rPr>
              <w:t>(Diner J.)</w:t>
            </w:r>
          </w:p>
          <w:p w:rsidR="00B124FF" w:rsidRPr="00AF75CE" w:rsidRDefault="00B124FF" w:rsidP="005F32B8">
            <w:pPr>
              <w:jc w:val="both"/>
              <w:rPr>
                <w:sz w:val="20"/>
              </w:rPr>
            </w:pPr>
            <w:r w:rsidRPr="00AF75CE">
              <w:rPr>
                <w:sz w:val="20"/>
              </w:rPr>
              <w:t>Unreported</w:t>
            </w:r>
          </w:p>
        </w:tc>
        <w:tc>
          <w:tcPr>
            <w:tcW w:w="243" w:type="pct"/>
          </w:tcPr>
          <w:p w:rsidR="00B124FF" w:rsidRPr="00AF75CE" w:rsidRDefault="00B124FF" w:rsidP="005F32B8">
            <w:pPr>
              <w:jc w:val="both"/>
              <w:rPr>
                <w:sz w:val="20"/>
              </w:rPr>
            </w:pPr>
          </w:p>
        </w:tc>
        <w:tc>
          <w:tcPr>
            <w:tcW w:w="2330" w:type="pct"/>
          </w:tcPr>
          <w:p w:rsidR="00B124FF" w:rsidRPr="00AF75CE" w:rsidRDefault="00B124FF" w:rsidP="005F32B8">
            <w:pPr>
              <w:jc w:val="both"/>
              <w:rPr>
                <w:sz w:val="20"/>
              </w:rPr>
            </w:pPr>
            <w:r w:rsidRPr="00AF75CE">
              <w:rPr>
                <w:sz w:val="20"/>
              </w:rPr>
              <w:t>Applicant’s motion for extension of time in which to file appeal dismissed</w:t>
            </w:r>
          </w:p>
          <w:p w:rsidR="00B124FF" w:rsidRPr="00AF75CE" w:rsidRDefault="00B124FF" w:rsidP="005F32B8">
            <w:pPr>
              <w:jc w:val="both"/>
              <w:rPr>
                <w:sz w:val="20"/>
              </w:rPr>
            </w:pPr>
          </w:p>
          <w:p w:rsidR="00B124FF" w:rsidRPr="00AF75CE" w:rsidRDefault="00B124FF" w:rsidP="005F32B8">
            <w:pPr>
              <w:jc w:val="both"/>
              <w:rPr>
                <w:sz w:val="20"/>
              </w:rPr>
            </w:pPr>
          </w:p>
        </w:tc>
      </w:tr>
      <w:tr w:rsidR="00B124FF" w:rsidRPr="00AF75CE" w:rsidTr="005F32B8">
        <w:tc>
          <w:tcPr>
            <w:tcW w:w="2427" w:type="pct"/>
            <w:gridSpan w:val="2"/>
          </w:tcPr>
          <w:p w:rsidR="00B124FF" w:rsidRPr="00AF75CE" w:rsidRDefault="00B124FF" w:rsidP="005F32B8">
            <w:pPr>
              <w:jc w:val="both"/>
              <w:rPr>
                <w:sz w:val="20"/>
              </w:rPr>
            </w:pPr>
          </w:p>
          <w:p w:rsidR="00B124FF" w:rsidRPr="00AF75CE" w:rsidRDefault="00B124FF" w:rsidP="005F32B8">
            <w:pPr>
              <w:jc w:val="both"/>
              <w:rPr>
                <w:sz w:val="20"/>
              </w:rPr>
            </w:pPr>
            <w:r w:rsidRPr="00AF75CE">
              <w:rPr>
                <w:sz w:val="20"/>
              </w:rPr>
              <w:t>March 22, 2018</w:t>
            </w:r>
          </w:p>
          <w:p w:rsidR="00B124FF" w:rsidRPr="00AF75CE" w:rsidRDefault="00B124FF" w:rsidP="005F32B8">
            <w:pPr>
              <w:jc w:val="both"/>
              <w:rPr>
                <w:sz w:val="20"/>
              </w:rPr>
            </w:pPr>
            <w:r w:rsidRPr="00AF75CE">
              <w:rPr>
                <w:sz w:val="20"/>
              </w:rPr>
              <w:t>Federal Court of Appeal</w:t>
            </w:r>
          </w:p>
          <w:p w:rsidR="00B124FF" w:rsidRPr="00AF75CE" w:rsidRDefault="00B124FF" w:rsidP="005F32B8">
            <w:pPr>
              <w:jc w:val="both"/>
              <w:rPr>
                <w:sz w:val="20"/>
              </w:rPr>
            </w:pPr>
            <w:r w:rsidRPr="00AF75CE">
              <w:rPr>
                <w:sz w:val="20"/>
              </w:rPr>
              <w:t>(Rennie, Woods and Laskin JJ.A.)</w:t>
            </w:r>
          </w:p>
          <w:p w:rsidR="00B124FF" w:rsidRPr="00AF75CE" w:rsidRDefault="00B124FF" w:rsidP="005F32B8">
            <w:pPr>
              <w:jc w:val="both"/>
              <w:rPr>
                <w:sz w:val="20"/>
              </w:rPr>
            </w:pPr>
            <w:r w:rsidRPr="00AF75CE">
              <w:rPr>
                <w:sz w:val="20"/>
              </w:rPr>
              <w:t>Unreported</w:t>
            </w:r>
          </w:p>
          <w:p w:rsidR="00B124FF" w:rsidRPr="00AF75CE" w:rsidRDefault="00B124FF" w:rsidP="005F32B8">
            <w:pPr>
              <w:jc w:val="both"/>
              <w:rPr>
                <w:sz w:val="20"/>
              </w:rPr>
            </w:pPr>
          </w:p>
        </w:tc>
        <w:tc>
          <w:tcPr>
            <w:tcW w:w="243" w:type="pct"/>
          </w:tcPr>
          <w:p w:rsidR="00B124FF" w:rsidRPr="00AF75CE" w:rsidRDefault="00B124FF" w:rsidP="005F32B8">
            <w:pPr>
              <w:jc w:val="both"/>
              <w:rPr>
                <w:sz w:val="20"/>
              </w:rPr>
            </w:pPr>
          </w:p>
        </w:tc>
        <w:tc>
          <w:tcPr>
            <w:tcW w:w="2330" w:type="pct"/>
          </w:tcPr>
          <w:p w:rsidR="00B124FF" w:rsidRPr="00AF75CE" w:rsidRDefault="00B124FF" w:rsidP="005F32B8">
            <w:pPr>
              <w:jc w:val="both"/>
              <w:rPr>
                <w:sz w:val="20"/>
              </w:rPr>
            </w:pPr>
          </w:p>
          <w:p w:rsidR="00B124FF" w:rsidRPr="00AF75CE" w:rsidRDefault="00B124FF" w:rsidP="005F32B8">
            <w:pPr>
              <w:jc w:val="both"/>
              <w:rPr>
                <w:sz w:val="20"/>
              </w:rPr>
            </w:pPr>
            <w:r w:rsidRPr="00AF75CE">
              <w:rPr>
                <w:sz w:val="20"/>
              </w:rPr>
              <w:t>Applicant’s appeal dismissed</w:t>
            </w:r>
          </w:p>
          <w:p w:rsidR="00B124FF" w:rsidRPr="00AF75CE" w:rsidRDefault="00B124FF" w:rsidP="005F32B8">
            <w:pPr>
              <w:jc w:val="both"/>
              <w:rPr>
                <w:sz w:val="20"/>
              </w:rPr>
            </w:pPr>
          </w:p>
        </w:tc>
      </w:tr>
      <w:tr w:rsidR="00B124FF" w:rsidRPr="00AF75CE" w:rsidTr="005F32B8">
        <w:tc>
          <w:tcPr>
            <w:tcW w:w="2427" w:type="pct"/>
            <w:gridSpan w:val="2"/>
          </w:tcPr>
          <w:p w:rsidR="00B124FF" w:rsidRPr="00AF75CE" w:rsidRDefault="00B124FF" w:rsidP="005F32B8">
            <w:pPr>
              <w:jc w:val="both"/>
              <w:rPr>
                <w:sz w:val="20"/>
              </w:rPr>
            </w:pPr>
            <w:r w:rsidRPr="00AF75CE">
              <w:rPr>
                <w:sz w:val="20"/>
              </w:rPr>
              <w:t>May 4, 2018</w:t>
            </w:r>
          </w:p>
          <w:p w:rsidR="00B124FF" w:rsidRPr="00AF75CE" w:rsidRDefault="00B124FF" w:rsidP="005F32B8">
            <w:pPr>
              <w:jc w:val="both"/>
              <w:rPr>
                <w:sz w:val="20"/>
              </w:rPr>
            </w:pPr>
            <w:r w:rsidRPr="00AF75CE">
              <w:rPr>
                <w:sz w:val="20"/>
              </w:rPr>
              <w:t>Supreme Court of Canada</w:t>
            </w:r>
          </w:p>
        </w:tc>
        <w:tc>
          <w:tcPr>
            <w:tcW w:w="243" w:type="pct"/>
          </w:tcPr>
          <w:p w:rsidR="00B124FF" w:rsidRPr="00AF75CE" w:rsidRDefault="00B124FF" w:rsidP="005F32B8">
            <w:pPr>
              <w:jc w:val="both"/>
              <w:rPr>
                <w:sz w:val="20"/>
              </w:rPr>
            </w:pPr>
          </w:p>
        </w:tc>
        <w:tc>
          <w:tcPr>
            <w:tcW w:w="2330" w:type="pct"/>
          </w:tcPr>
          <w:p w:rsidR="00B124FF" w:rsidRPr="00AF75CE" w:rsidRDefault="00B124FF" w:rsidP="005F32B8">
            <w:pPr>
              <w:jc w:val="both"/>
              <w:rPr>
                <w:sz w:val="20"/>
              </w:rPr>
            </w:pPr>
            <w:r w:rsidRPr="00AF75CE">
              <w:rPr>
                <w:sz w:val="20"/>
              </w:rPr>
              <w:t>Application for leave to appeal filed</w:t>
            </w:r>
          </w:p>
          <w:p w:rsidR="00B124FF" w:rsidRPr="00AF75CE" w:rsidRDefault="00B124FF" w:rsidP="005F32B8">
            <w:pPr>
              <w:jc w:val="both"/>
              <w:rPr>
                <w:sz w:val="20"/>
              </w:rPr>
            </w:pPr>
          </w:p>
        </w:tc>
      </w:tr>
    </w:tbl>
    <w:p w:rsidR="00B124FF" w:rsidRDefault="00B124FF" w:rsidP="00B124FF">
      <w:pPr>
        <w:jc w:val="both"/>
        <w:rPr>
          <w:sz w:val="20"/>
        </w:rPr>
      </w:pPr>
    </w:p>
    <w:p w:rsidR="00B124FF" w:rsidRPr="00AF75CE" w:rsidRDefault="00B124FF" w:rsidP="00B124F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124FF" w:rsidRPr="00377C08" w:rsidTr="005F32B8">
        <w:tc>
          <w:tcPr>
            <w:tcW w:w="543" w:type="pct"/>
          </w:tcPr>
          <w:p w:rsidR="00B124FF" w:rsidRPr="00AF75CE" w:rsidRDefault="00B124FF" w:rsidP="005F32B8">
            <w:pPr>
              <w:jc w:val="both"/>
              <w:rPr>
                <w:sz w:val="20"/>
                <w:lang w:val="fr-CA"/>
              </w:rPr>
            </w:pPr>
            <w:r w:rsidRPr="00AF75CE">
              <w:rPr>
                <w:rStyle w:val="SCCFileNumberChar"/>
                <w:sz w:val="20"/>
                <w:szCs w:val="20"/>
                <w:lang w:val="fr-CA"/>
              </w:rPr>
              <w:t>38234</w:t>
            </w:r>
          </w:p>
        </w:tc>
        <w:tc>
          <w:tcPr>
            <w:tcW w:w="4457" w:type="pct"/>
            <w:gridSpan w:val="3"/>
          </w:tcPr>
          <w:p w:rsidR="00B124FF" w:rsidRPr="00202CE2" w:rsidRDefault="00B124FF" w:rsidP="005F32B8">
            <w:pPr>
              <w:pStyle w:val="SCCLsocParty"/>
              <w:jc w:val="both"/>
              <w:rPr>
                <w:b/>
                <w:sz w:val="20"/>
                <w:szCs w:val="20"/>
              </w:rPr>
            </w:pPr>
            <w:r w:rsidRPr="00202CE2">
              <w:rPr>
                <w:b/>
                <w:sz w:val="20"/>
                <w:szCs w:val="20"/>
              </w:rPr>
              <w:t>William Hamilton Crook c. Sa Majesté la Reine</w:t>
            </w:r>
          </w:p>
          <w:p w:rsidR="00B124FF" w:rsidRPr="00AF75CE" w:rsidRDefault="00B124FF" w:rsidP="005F32B8">
            <w:pPr>
              <w:jc w:val="both"/>
              <w:rPr>
                <w:sz w:val="20"/>
                <w:lang w:val="fr-CA"/>
              </w:rPr>
            </w:pPr>
            <w:r w:rsidRPr="00AF75CE">
              <w:rPr>
                <w:sz w:val="20"/>
                <w:lang w:val="fr-CA"/>
              </w:rPr>
              <w:t>(C</w:t>
            </w:r>
            <w:r>
              <w:rPr>
                <w:sz w:val="20"/>
                <w:lang w:val="fr-CA"/>
              </w:rPr>
              <w:t>.</w:t>
            </w:r>
            <w:r w:rsidRPr="00AF75CE">
              <w:rPr>
                <w:sz w:val="20"/>
                <w:lang w:val="fr-CA"/>
              </w:rPr>
              <w:t>F</w:t>
            </w:r>
            <w:r>
              <w:rPr>
                <w:sz w:val="20"/>
                <w:lang w:val="fr-CA"/>
              </w:rPr>
              <w:t>.</w:t>
            </w:r>
            <w:r w:rsidRPr="00AF75CE">
              <w:rPr>
                <w:sz w:val="20"/>
                <w:lang w:val="fr-CA"/>
              </w:rPr>
              <w:t>) (Civile) (Autorisation)</w:t>
            </w:r>
          </w:p>
        </w:tc>
      </w:tr>
      <w:tr w:rsidR="00B124FF" w:rsidRPr="00CC0B55" w:rsidTr="005F32B8">
        <w:tc>
          <w:tcPr>
            <w:tcW w:w="5000" w:type="pct"/>
            <w:gridSpan w:val="4"/>
          </w:tcPr>
          <w:p w:rsidR="00B124FF" w:rsidRDefault="00B124FF" w:rsidP="005F32B8">
            <w:pPr>
              <w:jc w:val="both"/>
              <w:rPr>
                <w:sz w:val="20"/>
                <w:lang w:val="fr-CA"/>
              </w:rPr>
            </w:pPr>
            <w:r w:rsidRPr="00C97F67">
              <w:rPr>
                <w:sz w:val="20"/>
                <w:lang w:val="fr-CA"/>
              </w:rPr>
              <w:t>La demande d’autorisation d’appel de l’arrêt de la Cour d’appel fédérale, numéro A-54-17, 2018 CAF 60, daté du 22 mars 2018, est rejetée sans ordonnance quant aux dépens.</w:t>
            </w:r>
          </w:p>
          <w:p w:rsidR="00B124FF" w:rsidRPr="00C97F67" w:rsidRDefault="00B124FF" w:rsidP="005F32B8">
            <w:pPr>
              <w:jc w:val="both"/>
              <w:rPr>
                <w:sz w:val="20"/>
                <w:lang w:val="fr-CA"/>
              </w:rPr>
            </w:pPr>
          </w:p>
        </w:tc>
      </w:tr>
      <w:tr w:rsidR="00B124FF" w:rsidRPr="00CC0B55" w:rsidTr="005F32B8">
        <w:tc>
          <w:tcPr>
            <w:tcW w:w="5000" w:type="pct"/>
            <w:gridSpan w:val="4"/>
          </w:tcPr>
          <w:p w:rsidR="00B124FF" w:rsidRPr="00AF75CE" w:rsidRDefault="00B124FF" w:rsidP="005F32B8">
            <w:pPr>
              <w:jc w:val="both"/>
              <w:rPr>
                <w:sz w:val="20"/>
                <w:lang w:val="fr-CA"/>
              </w:rPr>
            </w:pPr>
            <w:r w:rsidRPr="00AF75CE">
              <w:rPr>
                <w:i/>
                <w:sz w:val="20"/>
                <w:lang w:val="fr-CA"/>
              </w:rPr>
              <w:t xml:space="preserve">Charte des droits </w:t>
            </w:r>
            <w:r w:rsidRPr="00AF75CE">
              <w:rPr>
                <w:sz w:val="20"/>
                <w:lang w:val="fr-CA"/>
              </w:rPr>
              <w:t>– Droit à la liberté d’expression – Justice fondamentale – Droit de présenter une défense pleine et entière – Jugements et ordonnances – Jugements sommaires – L’action du demandeur a été radiée au complet sans autorisation de la modifier – Le demandeur a-t-il été privé de l’équité procédurale?</w:t>
            </w:r>
          </w:p>
          <w:p w:rsidR="00B124FF" w:rsidRPr="00AF75CE" w:rsidRDefault="00B124FF" w:rsidP="005F32B8">
            <w:pPr>
              <w:jc w:val="both"/>
              <w:rPr>
                <w:sz w:val="20"/>
                <w:lang w:val="fr-CA"/>
              </w:rPr>
            </w:pPr>
          </w:p>
        </w:tc>
      </w:tr>
      <w:tr w:rsidR="00B124FF" w:rsidRPr="00CC0B55" w:rsidTr="005F32B8">
        <w:tc>
          <w:tcPr>
            <w:tcW w:w="5000" w:type="pct"/>
            <w:gridSpan w:val="4"/>
          </w:tcPr>
          <w:p w:rsidR="00B124FF" w:rsidRPr="00AF75CE" w:rsidRDefault="00B124FF" w:rsidP="005F32B8">
            <w:pPr>
              <w:jc w:val="both"/>
              <w:rPr>
                <w:sz w:val="20"/>
                <w:lang w:val="fr-CA"/>
              </w:rPr>
            </w:pPr>
            <w:r w:rsidRPr="00AF75CE">
              <w:rPr>
                <w:sz w:val="20"/>
                <w:lang w:val="fr-CA"/>
              </w:rPr>
              <w:t>Monsieur Crook a intenté une action en dommages-intérêts en Cour fédérale. L’intimée a présenté une requête pour que soit radiée au complet la déclaration du demandeur, sans autorisation de la modifier. Le protonotaire a accueilli la requête. La requête subséquente de M. Crook en prorogation de délai a été rejetée. Son appel de cette décision a été rejeté lui aussi.</w:t>
            </w:r>
          </w:p>
        </w:tc>
      </w:tr>
      <w:tr w:rsidR="00B124FF" w:rsidRPr="00CC0B55" w:rsidTr="005F32B8">
        <w:tc>
          <w:tcPr>
            <w:tcW w:w="5000" w:type="pct"/>
            <w:gridSpan w:val="4"/>
          </w:tcPr>
          <w:p w:rsidR="00B124FF" w:rsidRPr="00AF75CE" w:rsidRDefault="00B124FF" w:rsidP="005F32B8">
            <w:pPr>
              <w:jc w:val="both"/>
              <w:rPr>
                <w:sz w:val="20"/>
                <w:lang w:val="fr-CA"/>
              </w:rPr>
            </w:pPr>
          </w:p>
        </w:tc>
      </w:tr>
      <w:tr w:rsidR="00B124FF" w:rsidRPr="00CC0B55" w:rsidTr="005F32B8">
        <w:tc>
          <w:tcPr>
            <w:tcW w:w="2427" w:type="pct"/>
            <w:gridSpan w:val="2"/>
          </w:tcPr>
          <w:p w:rsidR="00B124FF" w:rsidRPr="00AF75CE" w:rsidRDefault="00B124FF" w:rsidP="005F32B8">
            <w:pPr>
              <w:jc w:val="both"/>
              <w:rPr>
                <w:sz w:val="20"/>
                <w:lang w:val="fr-CA"/>
              </w:rPr>
            </w:pPr>
            <w:r w:rsidRPr="00AF75CE">
              <w:rPr>
                <w:sz w:val="20"/>
                <w:lang w:val="fr-CA"/>
              </w:rPr>
              <w:t>3 octobre 2016</w:t>
            </w:r>
          </w:p>
          <w:p w:rsidR="00B124FF" w:rsidRPr="00AF75CE" w:rsidRDefault="00B124FF" w:rsidP="005F32B8">
            <w:pPr>
              <w:jc w:val="both"/>
              <w:rPr>
                <w:sz w:val="20"/>
                <w:lang w:val="fr-CA"/>
              </w:rPr>
            </w:pPr>
            <w:r w:rsidRPr="00AF75CE">
              <w:rPr>
                <w:sz w:val="20"/>
                <w:lang w:val="fr-CA"/>
              </w:rPr>
              <w:t>Cour fédérale</w:t>
            </w:r>
          </w:p>
          <w:p w:rsidR="00B124FF" w:rsidRPr="00AF75CE" w:rsidRDefault="00B124FF" w:rsidP="005F32B8">
            <w:pPr>
              <w:jc w:val="both"/>
              <w:rPr>
                <w:sz w:val="20"/>
                <w:lang w:val="fr-CA"/>
              </w:rPr>
            </w:pPr>
            <w:r w:rsidRPr="00AF75CE">
              <w:rPr>
                <w:sz w:val="20"/>
                <w:lang w:val="fr-CA"/>
              </w:rPr>
              <w:t xml:space="preserve">Protonotaire Aalto </w:t>
            </w:r>
          </w:p>
          <w:p w:rsidR="00B124FF" w:rsidRPr="00AF75CE" w:rsidRDefault="00B124FF" w:rsidP="005F32B8">
            <w:pPr>
              <w:jc w:val="both"/>
              <w:rPr>
                <w:sz w:val="20"/>
                <w:lang w:val="fr-CA"/>
              </w:rPr>
            </w:pPr>
            <w:r w:rsidRPr="00AF75CE">
              <w:rPr>
                <w:sz w:val="20"/>
                <w:lang w:val="fr-CA"/>
              </w:rPr>
              <w:t>Non publié</w:t>
            </w:r>
          </w:p>
          <w:p w:rsidR="00B124FF" w:rsidRPr="00AF75CE" w:rsidRDefault="00B124FF" w:rsidP="005F32B8">
            <w:pPr>
              <w:jc w:val="both"/>
              <w:rPr>
                <w:sz w:val="20"/>
                <w:lang w:val="fr-CA"/>
              </w:rPr>
            </w:pPr>
          </w:p>
        </w:tc>
        <w:tc>
          <w:tcPr>
            <w:tcW w:w="243" w:type="pct"/>
          </w:tcPr>
          <w:p w:rsidR="00B124FF" w:rsidRPr="00AF75CE" w:rsidRDefault="00B124FF" w:rsidP="005F32B8">
            <w:pPr>
              <w:jc w:val="both"/>
              <w:rPr>
                <w:sz w:val="20"/>
                <w:lang w:val="fr-CA"/>
              </w:rPr>
            </w:pPr>
          </w:p>
        </w:tc>
        <w:tc>
          <w:tcPr>
            <w:tcW w:w="2330" w:type="pct"/>
          </w:tcPr>
          <w:p w:rsidR="00B124FF" w:rsidRPr="00AF75CE" w:rsidRDefault="00B124FF" w:rsidP="005F32B8">
            <w:pPr>
              <w:jc w:val="both"/>
              <w:rPr>
                <w:sz w:val="20"/>
                <w:lang w:val="fr-CA"/>
              </w:rPr>
            </w:pPr>
            <w:r w:rsidRPr="00AF75CE">
              <w:rPr>
                <w:sz w:val="20"/>
                <w:lang w:val="fr-CA"/>
              </w:rPr>
              <w:t>Jugement accueillant la requête de l’intimée pour que soit radiée au complet la déclaration du demandeur, sans autorisation de la modifier</w:t>
            </w:r>
          </w:p>
        </w:tc>
      </w:tr>
      <w:tr w:rsidR="00B124FF" w:rsidRPr="00CC0B55" w:rsidTr="005F32B8">
        <w:tc>
          <w:tcPr>
            <w:tcW w:w="2427" w:type="pct"/>
            <w:gridSpan w:val="2"/>
          </w:tcPr>
          <w:p w:rsidR="00B124FF" w:rsidRPr="00AF75CE" w:rsidRDefault="00B124FF" w:rsidP="005F32B8">
            <w:pPr>
              <w:jc w:val="both"/>
              <w:rPr>
                <w:sz w:val="20"/>
                <w:lang w:val="fr-CA"/>
              </w:rPr>
            </w:pPr>
            <w:r w:rsidRPr="00AF75CE">
              <w:rPr>
                <w:sz w:val="20"/>
                <w:lang w:val="fr-CA"/>
              </w:rPr>
              <w:t>20 janvier 2017</w:t>
            </w:r>
          </w:p>
          <w:p w:rsidR="00B124FF" w:rsidRPr="00AF75CE" w:rsidRDefault="00B124FF" w:rsidP="005F32B8">
            <w:pPr>
              <w:jc w:val="both"/>
              <w:rPr>
                <w:sz w:val="20"/>
                <w:lang w:val="fr-CA"/>
              </w:rPr>
            </w:pPr>
            <w:r w:rsidRPr="00AF75CE">
              <w:rPr>
                <w:sz w:val="20"/>
                <w:lang w:val="fr-CA"/>
              </w:rPr>
              <w:t>Cour fédérale</w:t>
            </w:r>
          </w:p>
          <w:p w:rsidR="00B124FF" w:rsidRPr="00AF75CE" w:rsidRDefault="00B124FF" w:rsidP="005F32B8">
            <w:pPr>
              <w:jc w:val="both"/>
              <w:rPr>
                <w:sz w:val="20"/>
                <w:lang w:val="fr-CA"/>
              </w:rPr>
            </w:pPr>
            <w:r w:rsidRPr="00AF75CE">
              <w:rPr>
                <w:sz w:val="20"/>
                <w:lang w:val="fr-CA"/>
              </w:rPr>
              <w:t>(Juge Diner)</w:t>
            </w:r>
          </w:p>
          <w:p w:rsidR="00B124FF" w:rsidRPr="00AF75CE" w:rsidRDefault="00B124FF" w:rsidP="005F32B8">
            <w:pPr>
              <w:jc w:val="both"/>
              <w:rPr>
                <w:sz w:val="20"/>
                <w:lang w:val="fr-CA"/>
              </w:rPr>
            </w:pPr>
            <w:r w:rsidRPr="00AF75CE">
              <w:rPr>
                <w:sz w:val="20"/>
                <w:lang w:val="fr-CA"/>
              </w:rPr>
              <w:t>Non publié</w:t>
            </w:r>
          </w:p>
        </w:tc>
        <w:tc>
          <w:tcPr>
            <w:tcW w:w="243" w:type="pct"/>
          </w:tcPr>
          <w:p w:rsidR="00B124FF" w:rsidRPr="00AF75CE" w:rsidRDefault="00B124FF" w:rsidP="005F32B8">
            <w:pPr>
              <w:jc w:val="both"/>
              <w:rPr>
                <w:sz w:val="20"/>
                <w:lang w:val="fr-CA"/>
              </w:rPr>
            </w:pPr>
          </w:p>
        </w:tc>
        <w:tc>
          <w:tcPr>
            <w:tcW w:w="2330" w:type="pct"/>
          </w:tcPr>
          <w:p w:rsidR="00B124FF" w:rsidRPr="00AF75CE" w:rsidRDefault="00B124FF" w:rsidP="005F32B8">
            <w:pPr>
              <w:jc w:val="both"/>
              <w:rPr>
                <w:sz w:val="20"/>
                <w:lang w:val="fr-CA"/>
              </w:rPr>
            </w:pPr>
            <w:r w:rsidRPr="00AF75CE">
              <w:rPr>
                <w:sz w:val="20"/>
                <w:lang w:val="fr-CA"/>
              </w:rPr>
              <w:t>Rejet de la requête du demandeur en prorogation du délai de dépôt de l’appel</w:t>
            </w:r>
          </w:p>
          <w:p w:rsidR="00B124FF" w:rsidRPr="00AF75CE" w:rsidRDefault="00B124FF" w:rsidP="005F32B8">
            <w:pPr>
              <w:jc w:val="both"/>
              <w:rPr>
                <w:sz w:val="20"/>
                <w:lang w:val="fr-CA"/>
              </w:rPr>
            </w:pPr>
          </w:p>
          <w:p w:rsidR="00B124FF" w:rsidRPr="00AF75CE" w:rsidRDefault="00B124FF" w:rsidP="005F32B8">
            <w:pPr>
              <w:jc w:val="both"/>
              <w:rPr>
                <w:sz w:val="20"/>
                <w:lang w:val="fr-CA"/>
              </w:rPr>
            </w:pPr>
          </w:p>
        </w:tc>
      </w:tr>
      <w:tr w:rsidR="00B124FF" w:rsidRPr="00AF75CE" w:rsidTr="005F32B8">
        <w:tc>
          <w:tcPr>
            <w:tcW w:w="2427" w:type="pct"/>
            <w:gridSpan w:val="2"/>
          </w:tcPr>
          <w:p w:rsidR="00B124FF" w:rsidRPr="00AF75CE" w:rsidRDefault="00B124FF" w:rsidP="005F32B8">
            <w:pPr>
              <w:jc w:val="both"/>
              <w:rPr>
                <w:sz w:val="20"/>
                <w:lang w:val="fr-CA"/>
              </w:rPr>
            </w:pPr>
          </w:p>
          <w:p w:rsidR="00B124FF" w:rsidRPr="00AF75CE" w:rsidRDefault="00B124FF" w:rsidP="005F32B8">
            <w:pPr>
              <w:jc w:val="both"/>
              <w:rPr>
                <w:sz w:val="20"/>
                <w:lang w:val="fr-CA"/>
              </w:rPr>
            </w:pPr>
            <w:r w:rsidRPr="00AF75CE">
              <w:rPr>
                <w:sz w:val="20"/>
                <w:lang w:val="fr-CA"/>
              </w:rPr>
              <w:t>22 mars 2018</w:t>
            </w:r>
          </w:p>
          <w:p w:rsidR="00B124FF" w:rsidRPr="00AF75CE" w:rsidRDefault="00B124FF" w:rsidP="005F32B8">
            <w:pPr>
              <w:jc w:val="both"/>
              <w:rPr>
                <w:sz w:val="20"/>
                <w:lang w:val="fr-CA"/>
              </w:rPr>
            </w:pPr>
            <w:r w:rsidRPr="00AF75CE">
              <w:rPr>
                <w:sz w:val="20"/>
                <w:lang w:val="fr-CA"/>
              </w:rPr>
              <w:t>Cour d’appel fédérale</w:t>
            </w:r>
          </w:p>
          <w:p w:rsidR="00B124FF" w:rsidRPr="00AF75CE" w:rsidRDefault="00B124FF" w:rsidP="005F32B8">
            <w:pPr>
              <w:jc w:val="both"/>
              <w:rPr>
                <w:sz w:val="20"/>
                <w:lang w:val="fr-CA"/>
              </w:rPr>
            </w:pPr>
            <w:r w:rsidRPr="00AF75CE">
              <w:rPr>
                <w:sz w:val="20"/>
                <w:lang w:val="fr-CA"/>
              </w:rPr>
              <w:t>(Juges Rennie, Woods et Laskin)</w:t>
            </w:r>
          </w:p>
          <w:p w:rsidR="00B124FF" w:rsidRPr="00AF75CE" w:rsidRDefault="00B124FF" w:rsidP="005F32B8">
            <w:pPr>
              <w:jc w:val="both"/>
              <w:rPr>
                <w:sz w:val="20"/>
                <w:lang w:val="fr-CA"/>
              </w:rPr>
            </w:pPr>
            <w:r w:rsidRPr="00AF75CE">
              <w:rPr>
                <w:sz w:val="20"/>
                <w:lang w:val="fr-CA"/>
              </w:rPr>
              <w:t>Non publié</w:t>
            </w:r>
          </w:p>
          <w:p w:rsidR="00B124FF" w:rsidRPr="00AF75CE" w:rsidRDefault="00B124FF" w:rsidP="005F32B8">
            <w:pPr>
              <w:jc w:val="both"/>
              <w:rPr>
                <w:sz w:val="20"/>
                <w:lang w:val="fr-CA"/>
              </w:rPr>
            </w:pPr>
          </w:p>
        </w:tc>
        <w:tc>
          <w:tcPr>
            <w:tcW w:w="243" w:type="pct"/>
          </w:tcPr>
          <w:p w:rsidR="00B124FF" w:rsidRPr="00AF75CE" w:rsidRDefault="00B124FF" w:rsidP="005F32B8">
            <w:pPr>
              <w:jc w:val="both"/>
              <w:rPr>
                <w:sz w:val="20"/>
                <w:lang w:val="fr-CA"/>
              </w:rPr>
            </w:pPr>
          </w:p>
        </w:tc>
        <w:tc>
          <w:tcPr>
            <w:tcW w:w="2330" w:type="pct"/>
          </w:tcPr>
          <w:p w:rsidR="00B124FF" w:rsidRPr="00AF75CE" w:rsidRDefault="00B124FF" w:rsidP="005F32B8">
            <w:pPr>
              <w:jc w:val="both"/>
              <w:rPr>
                <w:sz w:val="20"/>
                <w:lang w:val="fr-CA"/>
              </w:rPr>
            </w:pPr>
          </w:p>
          <w:p w:rsidR="00B124FF" w:rsidRPr="00AF75CE" w:rsidRDefault="00B124FF" w:rsidP="005F32B8">
            <w:pPr>
              <w:jc w:val="both"/>
              <w:rPr>
                <w:sz w:val="20"/>
                <w:lang w:val="fr-CA"/>
              </w:rPr>
            </w:pPr>
            <w:r w:rsidRPr="00AF75CE">
              <w:rPr>
                <w:sz w:val="20"/>
                <w:lang w:val="fr-CA"/>
              </w:rPr>
              <w:t>Rejet de l’appel du demandeur</w:t>
            </w:r>
          </w:p>
          <w:p w:rsidR="00B124FF" w:rsidRPr="00AF75CE" w:rsidRDefault="00B124FF" w:rsidP="005F32B8">
            <w:pPr>
              <w:jc w:val="both"/>
              <w:rPr>
                <w:sz w:val="20"/>
                <w:lang w:val="fr-CA"/>
              </w:rPr>
            </w:pPr>
          </w:p>
        </w:tc>
      </w:tr>
      <w:tr w:rsidR="00B124FF" w:rsidRPr="00CC0B55" w:rsidTr="005F32B8">
        <w:tc>
          <w:tcPr>
            <w:tcW w:w="2427" w:type="pct"/>
            <w:gridSpan w:val="2"/>
          </w:tcPr>
          <w:p w:rsidR="00B124FF" w:rsidRPr="00AF75CE" w:rsidRDefault="00B124FF" w:rsidP="005F32B8">
            <w:pPr>
              <w:jc w:val="both"/>
              <w:rPr>
                <w:sz w:val="20"/>
                <w:lang w:val="fr-CA"/>
              </w:rPr>
            </w:pPr>
            <w:r w:rsidRPr="00AF75CE">
              <w:rPr>
                <w:sz w:val="20"/>
                <w:lang w:val="fr-CA"/>
              </w:rPr>
              <w:t>4 mai 2018</w:t>
            </w:r>
          </w:p>
          <w:p w:rsidR="00B124FF" w:rsidRPr="00AF75CE" w:rsidRDefault="00B124FF" w:rsidP="005F32B8">
            <w:pPr>
              <w:jc w:val="both"/>
              <w:rPr>
                <w:sz w:val="20"/>
                <w:lang w:val="fr-CA"/>
              </w:rPr>
            </w:pPr>
            <w:r w:rsidRPr="00AF75CE">
              <w:rPr>
                <w:sz w:val="20"/>
                <w:lang w:val="fr-CA"/>
              </w:rPr>
              <w:t>Cour suprême du Canada</w:t>
            </w:r>
          </w:p>
        </w:tc>
        <w:tc>
          <w:tcPr>
            <w:tcW w:w="243" w:type="pct"/>
          </w:tcPr>
          <w:p w:rsidR="00B124FF" w:rsidRPr="00AF75CE" w:rsidRDefault="00B124FF" w:rsidP="005F32B8">
            <w:pPr>
              <w:jc w:val="both"/>
              <w:rPr>
                <w:sz w:val="20"/>
                <w:lang w:val="fr-CA"/>
              </w:rPr>
            </w:pPr>
          </w:p>
        </w:tc>
        <w:tc>
          <w:tcPr>
            <w:tcW w:w="2330" w:type="pct"/>
          </w:tcPr>
          <w:p w:rsidR="00B124FF" w:rsidRPr="00AF75CE" w:rsidRDefault="00B124FF" w:rsidP="005F32B8">
            <w:pPr>
              <w:jc w:val="both"/>
              <w:rPr>
                <w:sz w:val="20"/>
                <w:lang w:val="fr-CA"/>
              </w:rPr>
            </w:pPr>
            <w:r w:rsidRPr="00AF75CE">
              <w:rPr>
                <w:sz w:val="20"/>
                <w:lang w:val="fr-CA"/>
              </w:rPr>
              <w:t>Dépôt de la demande d’autorisation d’appel</w:t>
            </w:r>
          </w:p>
          <w:p w:rsidR="00B124FF" w:rsidRPr="00AF75CE" w:rsidRDefault="00B124FF" w:rsidP="005F32B8">
            <w:pPr>
              <w:jc w:val="both"/>
              <w:rPr>
                <w:sz w:val="20"/>
                <w:lang w:val="fr-CA"/>
              </w:rPr>
            </w:pPr>
          </w:p>
        </w:tc>
      </w:tr>
    </w:tbl>
    <w:p w:rsidR="00B124FF" w:rsidRDefault="00B124FF" w:rsidP="00B124FF">
      <w:pPr>
        <w:jc w:val="both"/>
        <w:rPr>
          <w:sz w:val="20"/>
          <w:lang w:val="fr-CA"/>
        </w:rPr>
      </w:pPr>
    </w:p>
    <w:p w:rsidR="00B124FF" w:rsidRDefault="00B124FF" w:rsidP="00B124FF">
      <w:pPr>
        <w:rPr>
          <w:sz w:val="20"/>
          <w:lang w:val="fr-CA"/>
        </w:rPr>
      </w:pPr>
      <w:r>
        <w:rPr>
          <w:sz w:val="20"/>
          <w:lang w:val="fr-CA"/>
        </w:rPr>
        <w:br w:type="page"/>
      </w:r>
    </w:p>
    <w:p w:rsidR="00B124FF" w:rsidRPr="00AF75CE" w:rsidRDefault="00A24D5C" w:rsidP="00B124FF">
      <w:pPr>
        <w:jc w:val="both"/>
        <w:rPr>
          <w:sz w:val="20"/>
          <w:lang w:val="fr-CA"/>
        </w:rPr>
      </w:pPr>
      <w:r>
        <w:rPr>
          <w:sz w:val="20"/>
          <w:szCs w:val="20"/>
        </w:rPr>
        <w:lastRenderedPageBreak/>
        <w:pict>
          <v:rect id="_x0000_i1042" style="width:2in;height:1pt" o:hrpct="0" o:hralign="center" o:hrstd="t" o:hrnoshade="t" o:hr="t" fillcolor="black [3213]" stroked="f"/>
        </w:pict>
      </w:r>
    </w:p>
    <w:p w:rsidR="00B124FF" w:rsidRPr="00AF75CE" w:rsidRDefault="00B124FF" w:rsidP="00B124FF">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124FF" w:rsidRPr="00AF75CE" w:rsidTr="005F32B8">
        <w:tc>
          <w:tcPr>
            <w:tcW w:w="543" w:type="pct"/>
          </w:tcPr>
          <w:p w:rsidR="00B124FF" w:rsidRPr="00AF75CE" w:rsidRDefault="00B124FF" w:rsidP="005F32B8">
            <w:pPr>
              <w:jc w:val="both"/>
              <w:rPr>
                <w:sz w:val="20"/>
              </w:rPr>
            </w:pPr>
            <w:r w:rsidRPr="00AF75CE">
              <w:rPr>
                <w:rStyle w:val="SCCFileNumberChar"/>
                <w:sz w:val="20"/>
                <w:szCs w:val="20"/>
              </w:rPr>
              <w:t>38123</w:t>
            </w:r>
          </w:p>
        </w:tc>
        <w:tc>
          <w:tcPr>
            <w:tcW w:w="4457" w:type="pct"/>
            <w:gridSpan w:val="3"/>
          </w:tcPr>
          <w:p w:rsidR="00B124FF" w:rsidRPr="00202CE2" w:rsidRDefault="00B124FF" w:rsidP="005F32B8">
            <w:pPr>
              <w:pStyle w:val="SCCLsocParty"/>
              <w:jc w:val="both"/>
              <w:rPr>
                <w:b/>
                <w:sz w:val="20"/>
                <w:szCs w:val="20"/>
                <w:lang w:val="en-US"/>
              </w:rPr>
            </w:pPr>
            <w:r w:rsidRPr="00202CE2">
              <w:rPr>
                <w:b/>
                <w:sz w:val="20"/>
                <w:szCs w:val="20"/>
                <w:lang w:val="en-US"/>
              </w:rPr>
              <w:t>Mokua Gichuru v. Mark Pallai</w:t>
            </w:r>
            <w:r>
              <w:rPr>
                <w:b/>
                <w:sz w:val="20"/>
                <w:szCs w:val="20"/>
                <w:lang w:val="en-US"/>
              </w:rPr>
              <w:t xml:space="preserve"> and</w:t>
            </w:r>
            <w:r w:rsidRPr="00202CE2">
              <w:rPr>
                <w:b/>
                <w:sz w:val="20"/>
                <w:szCs w:val="20"/>
                <w:lang w:val="en-US"/>
              </w:rPr>
              <w:t xml:space="preserve"> BC Human Rights Tribunal</w:t>
            </w:r>
          </w:p>
          <w:p w:rsidR="00B124FF" w:rsidRPr="00AF75CE" w:rsidRDefault="00B124FF" w:rsidP="005F32B8">
            <w:pPr>
              <w:jc w:val="both"/>
              <w:rPr>
                <w:sz w:val="20"/>
              </w:rPr>
            </w:pPr>
            <w:r w:rsidRPr="00AF75CE">
              <w:rPr>
                <w:sz w:val="20"/>
              </w:rPr>
              <w:t>(B.C.) (Civil) (By Leave)</w:t>
            </w:r>
          </w:p>
        </w:tc>
      </w:tr>
      <w:tr w:rsidR="00B124FF" w:rsidRPr="00AF75CE" w:rsidTr="005F32B8">
        <w:tc>
          <w:tcPr>
            <w:tcW w:w="5000" w:type="pct"/>
            <w:gridSpan w:val="4"/>
          </w:tcPr>
          <w:p w:rsidR="00B124FF" w:rsidRDefault="00B124FF" w:rsidP="005F32B8">
            <w:pPr>
              <w:jc w:val="both"/>
              <w:rPr>
                <w:sz w:val="20"/>
              </w:rPr>
            </w:pPr>
            <w:r w:rsidRPr="00C97F67">
              <w:rPr>
                <w:sz w:val="20"/>
              </w:rPr>
              <w:t>The motion for an extension of time to serve and file the reply is granted. The application for leave to appeal from the judgment of the Court of Appeal for British Columbia (Vancouver), Number CA44485, 2018 BCCA 78, dated March 7, 2018, is dismissed with costs.</w:t>
            </w:r>
          </w:p>
          <w:p w:rsidR="00B124FF" w:rsidRPr="00AF75CE" w:rsidRDefault="00B124FF" w:rsidP="005F32B8">
            <w:pPr>
              <w:jc w:val="both"/>
              <w:rPr>
                <w:sz w:val="20"/>
              </w:rPr>
            </w:pPr>
          </w:p>
        </w:tc>
      </w:tr>
      <w:tr w:rsidR="00B124FF" w:rsidRPr="00AF75CE" w:rsidTr="005F32B8">
        <w:tc>
          <w:tcPr>
            <w:tcW w:w="5000" w:type="pct"/>
            <w:gridSpan w:val="4"/>
          </w:tcPr>
          <w:p w:rsidR="00B124FF" w:rsidRPr="00AF75CE" w:rsidRDefault="00B124FF" w:rsidP="005F32B8">
            <w:pPr>
              <w:jc w:val="both"/>
              <w:rPr>
                <w:sz w:val="20"/>
              </w:rPr>
            </w:pPr>
            <w:r w:rsidRPr="00AF75CE">
              <w:rPr>
                <w:sz w:val="20"/>
              </w:rPr>
              <w:t xml:space="preserve">Human Rights – Discriminatory practices – Retaliation – Applicant filing complaint against respondent landlord on basis that landlord terminated tenancy as retaliation for prior complaint brought against him – Tribunal dismissing complaint – Supreme Court of British Columbia dismissing petition for judicial review and making order akin to vexatious litigant order against applicant and awarding special costs to respondent landlord – Court of Appeal amending vexatious litigant order and costs award but otherwise dismissing appeal – Does the inherent jurisdiction of the court include a power to restrict access to the court? – If so, does the enactment by the legislature of a statute permitting the court to restrict a person’s future access to the court replace or modify the court’s inherent jurisdiction? – Does such legislation “occupy the field”? – Is the court required to observe the principles of natural justice when exercising its inherent jurisdiction? – What is the appropriate legal test under s. 43 of the </w:t>
            </w:r>
            <w:r w:rsidRPr="00AF75CE">
              <w:rPr>
                <w:i/>
                <w:sz w:val="20"/>
              </w:rPr>
              <w:t>Human Rights Code</w:t>
            </w:r>
            <w:r w:rsidRPr="00AF75CE">
              <w:rPr>
                <w:sz w:val="20"/>
              </w:rPr>
              <w:t>, R.S.B.C. 1996, c. 210, and for “anti-retaliation” provisions in human rights legislation generally?</w:t>
            </w:r>
          </w:p>
        </w:tc>
      </w:tr>
      <w:tr w:rsidR="00B124FF" w:rsidRPr="00AF75CE" w:rsidTr="005F32B8">
        <w:tc>
          <w:tcPr>
            <w:tcW w:w="5000" w:type="pct"/>
            <w:gridSpan w:val="4"/>
          </w:tcPr>
          <w:p w:rsidR="00B124FF" w:rsidRPr="00AF75CE" w:rsidRDefault="00B124FF" w:rsidP="005F32B8">
            <w:pPr>
              <w:jc w:val="both"/>
              <w:rPr>
                <w:sz w:val="20"/>
              </w:rPr>
            </w:pPr>
          </w:p>
          <w:p w:rsidR="00B124FF" w:rsidRPr="00AF75CE" w:rsidRDefault="00B124FF" w:rsidP="005F32B8">
            <w:pPr>
              <w:jc w:val="both"/>
              <w:rPr>
                <w:sz w:val="20"/>
              </w:rPr>
            </w:pPr>
            <w:r w:rsidRPr="00AF75CE">
              <w:rPr>
                <w:sz w:val="20"/>
              </w:rPr>
              <w:t xml:space="preserve">In 2012, the British Columbia Human Rights Tribunal dismissed Mr. Gichuru’s complaint against his former landlord, the respondent Mr. Pallai. Mr. Gichuru had argued that the landlord had ended the tenancy in retaliation for another complaint he had brought against him before the Tribunal (contrary to s. 43 of the </w:t>
            </w:r>
            <w:r w:rsidRPr="00AF75CE">
              <w:rPr>
                <w:i/>
                <w:sz w:val="20"/>
                <w:lang w:val="en"/>
              </w:rPr>
              <w:t>Human Rights Cod</w:t>
            </w:r>
            <w:r w:rsidRPr="00AF75CE">
              <w:rPr>
                <w:sz w:val="20"/>
                <w:lang w:val="en"/>
              </w:rPr>
              <w:t>e, R.S.B.C. 1996, c. 210 (“</w:t>
            </w:r>
            <w:r w:rsidRPr="00AF75CE">
              <w:rPr>
                <w:i/>
                <w:sz w:val="20"/>
                <w:lang w:val="en"/>
              </w:rPr>
              <w:t>Code</w:t>
            </w:r>
            <w:r w:rsidRPr="00AF75CE">
              <w:rPr>
                <w:sz w:val="20"/>
                <w:lang w:val="en"/>
              </w:rPr>
              <w:t>”))</w:t>
            </w:r>
            <w:r w:rsidRPr="00AF75CE">
              <w:rPr>
                <w:sz w:val="20"/>
              </w:rPr>
              <w:t>. Mr. Gichuru’s petition for judicial review of that decision was dismissed, and an order akin to a vexatious litigant order was issued against him, as well as an order for special costs. The Court of Appeal dismissed the appeal.</w:t>
            </w:r>
          </w:p>
        </w:tc>
      </w:tr>
      <w:tr w:rsidR="00B124FF" w:rsidRPr="00AF75CE" w:rsidTr="005F32B8">
        <w:tc>
          <w:tcPr>
            <w:tcW w:w="5000" w:type="pct"/>
            <w:gridSpan w:val="4"/>
          </w:tcPr>
          <w:p w:rsidR="00B124FF" w:rsidRPr="00AF75CE" w:rsidRDefault="00B124FF" w:rsidP="005F32B8">
            <w:pPr>
              <w:jc w:val="both"/>
              <w:rPr>
                <w:sz w:val="20"/>
              </w:rPr>
            </w:pPr>
          </w:p>
        </w:tc>
      </w:tr>
      <w:tr w:rsidR="00B124FF" w:rsidRPr="00AF75CE" w:rsidTr="005F32B8">
        <w:tc>
          <w:tcPr>
            <w:tcW w:w="2427" w:type="pct"/>
            <w:gridSpan w:val="2"/>
          </w:tcPr>
          <w:p w:rsidR="00B124FF" w:rsidRPr="00AF75CE" w:rsidRDefault="00B124FF" w:rsidP="005F32B8">
            <w:pPr>
              <w:jc w:val="both"/>
              <w:rPr>
                <w:sz w:val="20"/>
              </w:rPr>
            </w:pPr>
            <w:r w:rsidRPr="00AF75CE">
              <w:rPr>
                <w:sz w:val="20"/>
              </w:rPr>
              <w:t>September 26, 2012</w:t>
            </w:r>
          </w:p>
          <w:p w:rsidR="00B124FF" w:rsidRPr="00AF75CE" w:rsidRDefault="00B124FF" w:rsidP="005F32B8">
            <w:pPr>
              <w:jc w:val="both"/>
              <w:rPr>
                <w:sz w:val="20"/>
              </w:rPr>
            </w:pPr>
            <w:r w:rsidRPr="00AF75CE">
              <w:rPr>
                <w:sz w:val="20"/>
              </w:rPr>
              <w:t>British Columbia Human Rights Tribunal</w:t>
            </w:r>
          </w:p>
          <w:p w:rsidR="00B124FF" w:rsidRPr="00AF75CE" w:rsidRDefault="00B124FF" w:rsidP="005F32B8">
            <w:pPr>
              <w:jc w:val="both"/>
              <w:rPr>
                <w:sz w:val="20"/>
              </w:rPr>
            </w:pPr>
            <w:r w:rsidRPr="00AF75CE">
              <w:rPr>
                <w:sz w:val="20"/>
              </w:rPr>
              <w:t>(Tyshynski, Member)</w:t>
            </w:r>
          </w:p>
          <w:p w:rsidR="00B124FF" w:rsidRPr="00AF75CE" w:rsidRDefault="00A24D5C" w:rsidP="005F32B8">
            <w:pPr>
              <w:jc w:val="both"/>
              <w:rPr>
                <w:rStyle w:val="Hyperlink"/>
                <w:sz w:val="20"/>
              </w:rPr>
            </w:pPr>
            <w:hyperlink r:id="rId51" w:history="1">
              <w:r w:rsidR="00B124FF" w:rsidRPr="00AF75CE">
                <w:rPr>
                  <w:rStyle w:val="Hyperlink"/>
                  <w:sz w:val="20"/>
                </w:rPr>
                <w:t>2012 BCHRT 327</w:t>
              </w:r>
            </w:hyperlink>
          </w:p>
          <w:p w:rsidR="00B124FF" w:rsidRPr="00AF75CE" w:rsidRDefault="00B124FF" w:rsidP="005F32B8">
            <w:pPr>
              <w:jc w:val="both"/>
              <w:rPr>
                <w:sz w:val="20"/>
              </w:rPr>
            </w:pPr>
          </w:p>
        </w:tc>
        <w:tc>
          <w:tcPr>
            <w:tcW w:w="243" w:type="pct"/>
          </w:tcPr>
          <w:p w:rsidR="00B124FF" w:rsidRPr="00AF75CE" w:rsidRDefault="00B124FF" w:rsidP="005F32B8">
            <w:pPr>
              <w:jc w:val="both"/>
              <w:rPr>
                <w:sz w:val="20"/>
              </w:rPr>
            </w:pPr>
          </w:p>
        </w:tc>
        <w:tc>
          <w:tcPr>
            <w:tcW w:w="2330" w:type="pct"/>
          </w:tcPr>
          <w:p w:rsidR="00B124FF" w:rsidRPr="00AF75CE" w:rsidRDefault="00B124FF" w:rsidP="005F32B8">
            <w:pPr>
              <w:jc w:val="both"/>
              <w:rPr>
                <w:sz w:val="20"/>
              </w:rPr>
            </w:pPr>
            <w:r w:rsidRPr="00AF75CE">
              <w:rPr>
                <w:sz w:val="20"/>
              </w:rPr>
              <w:t xml:space="preserve">Complaint dismissed </w:t>
            </w:r>
          </w:p>
        </w:tc>
      </w:tr>
      <w:tr w:rsidR="00B124FF" w:rsidRPr="00AF75CE" w:rsidTr="005F32B8">
        <w:tc>
          <w:tcPr>
            <w:tcW w:w="2427" w:type="pct"/>
            <w:gridSpan w:val="2"/>
          </w:tcPr>
          <w:p w:rsidR="00B124FF" w:rsidRPr="00AF75CE" w:rsidRDefault="00B124FF" w:rsidP="005F32B8">
            <w:pPr>
              <w:jc w:val="both"/>
              <w:rPr>
                <w:sz w:val="20"/>
              </w:rPr>
            </w:pPr>
            <w:r w:rsidRPr="00AF75CE">
              <w:rPr>
                <w:sz w:val="20"/>
              </w:rPr>
              <w:t>June 1, 2017</w:t>
            </w:r>
          </w:p>
          <w:p w:rsidR="00B124FF" w:rsidRPr="00AF75CE" w:rsidRDefault="00B124FF" w:rsidP="005F32B8">
            <w:pPr>
              <w:jc w:val="both"/>
              <w:rPr>
                <w:sz w:val="20"/>
              </w:rPr>
            </w:pPr>
            <w:r w:rsidRPr="00AF75CE">
              <w:rPr>
                <w:sz w:val="20"/>
              </w:rPr>
              <w:t>Supreme Court of British Columbia</w:t>
            </w:r>
          </w:p>
          <w:p w:rsidR="00B124FF" w:rsidRPr="00AF75CE" w:rsidRDefault="00B124FF" w:rsidP="005F32B8">
            <w:pPr>
              <w:jc w:val="both"/>
              <w:rPr>
                <w:sz w:val="20"/>
              </w:rPr>
            </w:pPr>
            <w:r w:rsidRPr="00AF75CE">
              <w:rPr>
                <w:sz w:val="20"/>
              </w:rPr>
              <w:t>(Groves J.)</w:t>
            </w:r>
          </w:p>
          <w:p w:rsidR="00B124FF" w:rsidRPr="00AF75CE" w:rsidRDefault="00A24D5C" w:rsidP="005F32B8">
            <w:pPr>
              <w:jc w:val="both"/>
              <w:rPr>
                <w:sz w:val="20"/>
              </w:rPr>
            </w:pPr>
            <w:hyperlink r:id="rId52" w:history="1">
              <w:r w:rsidR="00B124FF" w:rsidRPr="00AF75CE">
                <w:rPr>
                  <w:rStyle w:val="Hyperlink"/>
                  <w:sz w:val="20"/>
                </w:rPr>
                <w:t>2017 BCSC 1083</w:t>
              </w:r>
            </w:hyperlink>
          </w:p>
          <w:p w:rsidR="00B124FF" w:rsidRPr="00AF75CE" w:rsidRDefault="00B124FF" w:rsidP="005F32B8">
            <w:pPr>
              <w:jc w:val="both"/>
              <w:rPr>
                <w:sz w:val="20"/>
              </w:rPr>
            </w:pPr>
          </w:p>
        </w:tc>
        <w:tc>
          <w:tcPr>
            <w:tcW w:w="243" w:type="pct"/>
          </w:tcPr>
          <w:p w:rsidR="00B124FF" w:rsidRPr="00AF75CE" w:rsidRDefault="00B124FF" w:rsidP="005F32B8">
            <w:pPr>
              <w:jc w:val="both"/>
              <w:rPr>
                <w:sz w:val="20"/>
              </w:rPr>
            </w:pPr>
          </w:p>
        </w:tc>
        <w:tc>
          <w:tcPr>
            <w:tcW w:w="2330" w:type="pct"/>
          </w:tcPr>
          <w:p w:rsidR="00B124FF" w:rsidRPr="00AF75CE" w:rsidRDefault="00B124FF" w:rsidP="005F32B8">
            <w:pPr>
              <w:jc w:val="both"/>
              <w:rPr>
                <w:sz w:val="20"/>
              </w:rPr>
            </w:pPr>
            <w:r w:rsidRPr="00AF75CE">
              <w:rPr>
                <w:sz w:val="20"/>
              </w:rPr>
              <w:t xml:space="preserve">Petition for judicial review dismissed; special costs awarded to respondent Mark Pallai; order akin to vexatious litigant order issued </w:t>
            </w:r>
          </w:p>
        </w:tc>
      </w:tr>
      <w:tr w:rsidR="00B124FF" w:rsidRPr="00AF75CE" w:rsidTr="005F32B8">
        <w:tc>
          <w:tcPr>
            <w:tcW w:w="2427" w:type="pct"/>
            <w:gridSpan w:val="2"/>
          </w:tcPr>
          <w:p w:rsidR="00B124FF" w:rsidRPr="00AF75CE" w:rsidRDefault="00B124FF" w:rsidP="005F32B8">
            <w:pPr>
              <w:jc w:val="both"/>
              <w:rPr>
                <w:sz w:val="20"/>
              </w:rPr>
            </w:pPr>
            <w:r w:rsidRPr="00AF75CE">
              <w:rPr>
                <w:sz w:val="20"/>
              </w:rPr>
              <w:t>March 7, 2018</w:t>
            </w:r>
          </w:p>
          <w:p w:rsidR="00B124FF" w:rsidRPr="00AF75CE" w:rsidRDefault="00B124FF" w:rsidP="005F32B8">
            <w:pPr>
              <w:jc w:val="both"/>
              <w:rPr>
                <w:sz w:val="20"/>
              </w:rPr>
            </w:pPr>
            <w:r w:rsidRPr="00AF75CE">
              <w:rPr>
                <w:sz w:val="20"/>
              </w:rPr>
              <w:t xml:space="preserve">Court of Appeal for British Columbia </w:t>
            </w:r>
          </w:p>
          <w:p w:rsidR="00B124FF" w:rsidRPr="00AF75CE" w:rsidRDefault="00B124FF" w:rsidP="005F32B8">
            <w:pPr>
              <w:jc w:val="both"/>
              <w:rPr>
                <w:sz w:val="20"/>
              </w:rPr>
            </w:pPr>
            <w:r w:rsidRPr="00AF75CE">
              <w:rPr>
                <w:sz w:val="20"/>
              </w:rPr>
              <w:t>(Kirkpatrick, Bennett and Harris JJ.A.)</w:t>
            </w:r>
          </w:p>
          <w:p w:rsidR="00B124FF" w:rsidRPr="00AF75CE" w:rsidRDefault="00A24D5C" w:rsidP="005F32B8">
            <w:pPr>
              <w:jc w:val="both"/>
              <w:rPr>
                <w:sz w:val="20"/>
              </w:rPr>
            </w:pPr>
            <w:hyperlink r:id="rId53" w:history="1">
              <w:r w:rsidR="00B124FF" w:rsidRPr="00AF75CE">
                <w:rPr>
                  <w:rStyle w:val="Hyperlink"/>
                  <w:sz w:val="20"/>
                </w:rPr>
                <w:t>2018 BCCA 78</w:t>
              </w:r>
            </w:hyperlink>
          </w:p>
          <w:p w:rsidR="00B124FF" w:rsidRPr="00AF75CE" w:rsidRDefault="00B124FF" w:rsidP="005F32B8">
            <w:pPr>
              <w:jc w:val="both"/>
              <w:rPr>
                <w:sz w:val="20"/>
              </w:rPr>
            </w:pPr>
          </w:p>
        </w:tc>
        <w:tc>
          <w:tcPr>
            <w:tcW w:w="243" w:type="pct"/>
          </w:tcPr>
          <w:p w:rsidR="00B124FF" w:rsidRPr="00AF75CE" w:rsidRDefault="00B124FF" w:rsidP="005F32B8">
            <w:pPr>
              <w:jc w:val="both"/>
              <w:rPr>
                <w:sz w:val="20"/>
              </w:rPr>
            </w:pPr>
          </w:p>
        </w:tc>
        <w:tc>
          <w:tcPr>
            <w:tcW w:w="2330" w:type="pct"/>
          </w:tcPr>
          <w:p w:rsidR="00B124FF" w:rsidRPr="00AF75CE" w:rsidRDefault="00B124FF" w:rsidP="005F32B8">
            <w:pPr>
              <w:jc w:val="both"/>
              <w:rPr>
                <w:sz w:val="20"/>
              </w:rPr>
            </w:pPr>
            <w:r w:rsidRPr="00AF75CE">
              <w:rPr>
                <w:sz w:val="20"/>
              </w:rPr>
              <w:t>Order akin to vexatious litigant order and costs award amended; appeal otherwise dismissed</w:t>
            </w:r>
          </w:p>
          <w:p w:rsidR="00B124FF" w:rsidRPr="00AF75CE" w:rsidRDefault="00B124FF" w:rsidP="005F32B8">
            <w:pPr>
              <w:jc w:val="both"/>
              <w:rPr>
                <w:sz w:val="20"/>
              </w:rPr>
            </w:pPr>
          </w:p>
        </w:tc>
      </w:tr>
      <w:tr w:rsidR="00B124FF" w:rsidRPr="00AF75CE" w:rsidTr="005F32B8">
        <w:tc>
          <w:tcPr>
            <w:tcW w:w="2427" w:type="pct"/>
            <w:gridSpan w:val="2"/>
          </w:tcPr>
          <w:p w:rsidR="00B124FF" w:rsidRPr="00AF75CE" w:rsidRDefault="00B124FF" w:rsidP="005F32B8">
            <w:pPr>
              <w:jc w:val="both"/>
              <w:rPr>
                <w:sz w:val="20"/>
              </w:rPr>
            </w:pPr>
            <w:r w:rsidRPr="00AF75CE">
              <w:rPr>
                <w:sz w:val="20"/>
              </w:rPr>
              <w:t>May 4, 2018</w:t>
            </w:r>
          </w:p>
          <w:p w:rsidR="00B124FF" w:rsidRPr="00AF75CE" w:rsidRDefault="00B124FF" w:rsidP="005F32B8">
            <w:pPr>
              <w:jc w:val="both"/>
              <w:rPr>
                <w:sz w:val="20"/>
              </w:rPr>
            </w:pPr>
            <w:r w:rsidRPr="00AF75CE">
              <w:rPr>
                <w:sz w:val="20"/>
              </w:rPr>
              <w:t>Supreme Court of Canada</w:t>
            </w:r>
          </w:p>
          <w:p w:rsidR="00B124FF" w:rsidRPr="00AF75CE" w:rsidRDefault="00B124FF" w:rsidP="005F32B8">
            <w:pPr>
              <w:jc w:val="both"/>
              <w:rPr>
                <w:sz w:val="20"/>
              </w:rPr>
            </w:pPr>
          </w:p>
        </w:tc>
        <w:tc>
          <w:tcPr>
            <w:tcW w:w="243" w:type="pct"/>
          </w:tcPr>
          <w:p w:rsidR="00B124FF" w:rsidRPr="00AF75CE" w:rsidRDefault="00B124FF" w:rsidP="005F32B8">
            <w:pPr>
              <w:jc w:val="both"/>
              <w:rPr>
                <w:sz w:val="20"/>
              </w:rPr>
            </w:pPr>
          </w:p>
        </w:tc>
        <w:tc>
          <w:tcPr>
            <w:tcW w:w="2330" w:type="pct"/>
          </w:tcPr>
          <w:p w:rsidR="00B124FF" w:rsidRPr="00AF75CE" w:rsidRDefault="00B124FF" w:rsidP="005F32B8">
            <w:pPr>
              <w:jc w:val="both"/>
              <w:rPr>
                <w:sz w:val="20"/>
              </w:rPr>
            </w:pPr>
            <w:r w:rsidRPr="00AF75CE">
              <w:rPr>
                <w:sz w:val="20"/>
              </w:rPr>
              <w:t xml:space="preserve">Application for leave to appeal filed </w:t>
            </w:r>
          </w:p>
        </w:tc>
      </w:tr>
      <w:tr w:rsidR="00B124FF" w:rsidRPr="00AF75CE" w:rsidTr="005F32B8">
        <w:tc>
          <w:tcPr>
            <w:tcW w:w="2427" w:type="pct"/>
            <w:gridSpan w:val="2"/>
          </w:tcPr>
          <w:p w:rsidR="00B124FF" w:rsidRPr="00AF75CE" w:rsidRDefault="00B124FF" w:rsidP="005F32B8">
            <w:pPr>
              <w:jc w:val="both"/>
              <w:rPr>
                <w:sz w:val="20"/>
              </w:rPr>
            </w:pPr>
            <w:r w:rsidRPr="00AF75CE">
              <w:rPr>
                <w:sz w:val="20"/>
              </w:rPr>
              <w:t>July 11, 2018</w:t>
            </w:r>
          </w:p>
          <w:p w:rsidR="00B124FF" w:rsidRPr="00AF75CE" w:rsidRDefault="00B124FF" w:rsidP="005F32B8">
            <w:pPr>
              <w:jc w:val="both"/>
              <w:rPr>
                <w:sz w:val="20"/>
              </w:rPr>
            </w:pPr>
            <w:r w:rsidRPr="00AF75CE">
              <w:rPr>
                <w:sz w:val="20"/>
              </w:rPr>
              <w:t xml:space="preserve">Supreme Court of Canada </w:t>
            </w:r>
          </w:p>
        </w:tc>
        <w:tc>
          <w:tcPr>
            <w:tcW w:w="243" w:type="pct"/>
          </w:tcPr>
          <w:p w:rsidR="00B124FF" w:rsidRPr="00AF75CE" w:rsidRDefault="00B124FF" w:rsidP="005F32B8">
            <w:pPr>
              <w:jc w:val="both"/>
              <w:rPr>
                <w:sz w:val="20"/>
              </w:rPr>
            </w:pPr>
          </w:p>
        </w:tc>
        <w:tc>
          <w:tcPr>
            <w:tcW w:w="2330" w:type="pct"/>
          </w:tcPr>
          <w:p w:rsidR="00B124FF" w:rsidRPr="00AF75CE" w:rsidRDefault="00B124FF" w:rsidP="005F32B8">
            <w:pPr>
              <w:jc w:val="both"/>
              <w:rPr>
                <w:sz w:val="20"/>
              </w:rPr>
            </w:pPr>
            <w:r w:rsidRPr="00AF75CE">
              <w:rPr>
                <w:sz w:val="20"/>
              </w:rPr>
              <w:t xml:space="preserve">Motion for extension of time to serve and file reply filed </w:t>
            </w:r>
          </w:p>
        </w:tc>
      </w:tr>
    </w:tbl>
    <w:p w:rsidR="00B124FF" w:rsidRDefault="00B124FF" w:rsidP="00B124FF">
      <w:pPr>
        <w:jc w:val="both"/>
        <w:rPr>
          <w:sz w:val="20"/>
        </w:rPr>
      </w:pPr>
    </w:p>
    <w:p w:rsidR="00B124FF" w:rsidRDefault="00B124FF" w:rsidP="00B124FF">
      <w:pPr>
        <w:rPr>
          <w:sz w:val="20"/>
        </w:rPr>
      </w:pPr>
      <w:r>
        <w:rPr>
          <w:sz w:val="20"/>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124FF" w:rsidRPr="00AF75CE" w:rsidTr="005F32B8">
        <w:tc>
          <w:tcPr>
            <w:tcW w:w="543" w:type="pct"/>
          </w:tcPr>
          <w:p w:rsidR="00B124FF" w:rsidRPr="00AF75CE" w:rsidRDefault="00B124FF" w:rsidP="005F32B8">
            <w:pPr>
              <w:jc w:val="both"/>
              <w:rPr>
                <w:sz w:val="20"/>
                <w:lang w:val="fr-CA"/>
              </w:rPr>
            </w:pPr>
            <w:r w:rsidRPr="00AF75CE">
              <w:rPr>
                <w:rStyle w:val="SCCFileNumberChar"/>
                <w:sz w:val="20"/>
                <w:szCs w:val="20"/>
                <w:lang w:val="fr-CA"/>
              </w:rPr>
              <w:lastRenderedPageBreak/>
              <w:t>38123</w:t>
            </w:r>
          </w:p>
        </w:tc>
        <w:tc>
          <w:tcPr>
            <w:tcW w:w="4457" w:type="pct"/>
            <w:gridSpan w:val="3"/>
          </w:tcPr>
          <w:p w:rsidR="00B124FF" w:rsidRPr="00202CE2" w:rsidRDefault="00B124FF" w:rsidP="005F32B8">
            <w:pPr>
              <w:pStyle w:val="SCCLsocParty"/>
              <w:jc w:val="both"/>
              <w:rPr>
                <w:b/>
                <w:sz w:val="20"/>
                <w:szCs w:val="20"/>
                <w:lang w:val="en-US"/>
              </w:rPr>
            </w:pPr>
            <w:r w:rsidRPr="00202CE2">
              <w:rPr>
                <w:b/>
                <w:sz w:val="20"/>
                <w:szCs w:val="20"/>
                <w:lang w:val="en-US"/>
              </w:rPr>
              <w:t>Mokua Gichuru c. Mark Pallai</w:t>
            </w:r>
            <w:r>
              <w:rPr>
                <w:b/>
                <w:sz w:val="20"/>
                <w:szCs w:val="20"/>
                <w:lang w:val="en-US"/>
              </w:rPr>
              <w:t xml:space="preserve"> et</w:t>
            </w:r>
            <w:r w:rsidRPr="00202CE2">
              <w:rPr>
                <w:b/>
                <w:sz w:val="20"/>
                <w:szCs w:val="20"/>
                <w:lang w:val="en-US"/>
              </w:rPr>
              <w:t xml:space="preserve"> BC Human Rights Tribunal</w:t>
            </w:r>
          </w:p>
          <w:p w:rsidR="00B124FF" w:rsidRPr="00AF75CE" w:rsidRDefault="00B124FF" w:rsidP="005F32B8">
            <w:pPr>
              <w:jc w:val="both"/>
              <w:rPr>
                <w:sz w:val="20"/>
                <w:lang w:val="fr-CA"/>
              </w:rPr>
            </w:pPr>
            <w:r w:rsidRPr="00AF75CE">
              <w:rPr>
                <w:sz w:val="20"/>
                <w:lang w:val="fr-CA"/>
              </w:rPr>
              <w:t>(C.-B.) (Civile) (Autorisation)</w:t>
            </w:r>
          </w:p>
        </w:tc>
      </w:tr>
      <w:tr w:rsidR="00B124FF" w:rsidRPr="00CC0B55" w:rsidTr="005F32B8">
        <w:tc>
          <w:tcPr>
            <w:tcW w:w="5000" w:type="pct"/>
            <w:gridSpan w:val="4"/>
          </w:tcPr>
          <w:p w:rsidR="00B124FF" w:rsidRDefault="00B124FF" w:rsidP="005F32B8">
            <w:pPr>
              <w:jc w:val="both"/>
              <w:rPr>
                <w:sz w:val="20"/>
                <w:lang w:val="fr-CA"/>
              </w:rPr>
            </w:pPr>
            <w:r w:rsidRPr="00C97F67">
              <w:rPr>
                <w:sz w:val="20"/>
                <w:lang w:val="fr-CA"/>
              </w:rPr>
              <w:t>La requête en prorogation du délai de signification et de dépôt de la réplique est accueillie. La demande d’autorisation d’appel de l’arrêt de la Cour d’appel de la Colombie-Britannique (Vancouver), numéro CA44485, 2018 BCCA 78, daté du 7 mars 2018, est rejetée avec dépens.</w:t>
            </w:r>
          </w:p>
          <w:p w:rsidR="00B124FF" w:rsidRPr="00AF75CE" w:rsidRDefault="00B124FF" w:rsidP="005F32B8">
            <w:pPr>
              <w:jc w:val="both"/>
              <w:rPr>
                <w:sz w:val="20"/>
                <w:lang w:val="fr-CA"/>
              </w:rPr>
            </w:pPr>
          </w:p>
        </w:tc>
      </w:tr>
      <w:tr w:rsidR="00B124FF" w:rsidRPr="00CC0B55" w:rsidTr="005F32B8">
        <w:tc>
          <w:tcPr>
            <w:tcW w:w="5000" w:type="pct"/>
            <w:gridSpan w:val="4"/>
          </w:tcPr>
          <w:p w:rsidR="00B124FF" w:rsidRPr="00AF75CE" w:rsidRDefault="00B124FF" w:rsidP="005F32B8">
            <w:pPr>
              <w:jc w:val="both"/>
              <w:rPr>
                <w:sz w:val="20"/>
                <w:lang w:val="fr-CA"/>
              </w:rPr>
            </w:pPr>
            <w:r w:rsidRPr="00AF75CE">
              <w:rPr>
                <w:sz w:val="20"/>
                <w:lang w:val="fr-CA"/>
              </w:rPr>
              <w:t xml:space="preserve">Droits de la personne – Pratiques discriminatoires – Représailles – Le demandeur a déposé une plainte contre le locateur intimé, reprochant à ce dernier d’avoir annulé le bail en guise de représailles pour la plainte antérieure portée contre lui – Le Tribunal a rejeté la plainte – La Cour suprême de la Colombie-Britannique a rejeté la requête en contrôle judiciaire, rendu une ordonnance semblable à une déclaration de plaideur quérulent contre le demandeur et accordé des dépens spéciaux au locateur intimé – La Cour d’appel a modifié la déclaration de plaideur quérulent et l’ordonnance quant aux dépens, mais a rejeté l’appel pour le reste – La compétence inhérente de la cour comprend-elle le pouvoir de restreindre l’accès à la cour? – Dans l’affirmative, l’adoption par le législateur d’une loi permettant à la cour de restreindre l’accès futur d’une personne à la cour remplace-t-elle ou modifie-t-elle la compétence inhérente de la cour? – Une telle loi « occupe-t-elle le champ »? – La cour est-elle tenue d’observer les principes de justice naturelle lorsqu’elle exerce sa compétence inhérente? – Quel est le critère approprié en application de l’art. 43 du </w:t>
            </w:r>
            <w:r w:rsidRPr="00AF75CE">
              <w:rPr>
                <w:i/>
                <w:sz w:val="20"/>
                <w:lang w:val="fr-CA"/>
              </w:rPr>
              <w:t>Human Rights Code</w:t>
            </w:r>
            <w:r w:rsidRPr="00AF75CE">
              <w:rPr>
                <w:sz w:val="20"/>
                <w:lang w:val="fr-CA"/>
              </w:rPr>
              <w:t>, R.S.B.C. 1996, ch. 210, et des dispositions « anti-représailles » dans les lois sur les droits de la personne en général?</w:t>
            </w:r>
          </w:p>
        </w:tc>
      </w:tr>
      <w:tr w:rsidR="00B124FF" w:rsidRPr="00AF75CE" w:rsidTr="005F32B8">
        <w:tc>
          <w:tcPr>
            <w:tcW w:w="5000" w:type="pct"/>
            <w:gridSpan w:val="4"/>
          </w:tcPr>
          <w:p w:rsidR="00B124FF" w:rsidRPr="00AF75CE" w:rsidRDefault="00B124FF" w:rsidP="005F32B8">
            <w:pPr>
              <w:jc w:val="both"/>
              <w:rPr>
                <w:sz w:val="20"/>
                <w:lang w:val="fr-CA"/>
              </w:rPr>
            </w:pPr>
          </w:p>
          <w:p w:rsidR="00B124FF" w:rsidRPr="00AF75CE" w:rsidRDefault="00B124FF" w:rsidP="005F32B8">
            <w:pPr>
              <w:jc w:val="both"/>
              <w:rPr>
                <w:sz w:val="20"/>
                <w:lang w:val="fr-CA"/>
              </w:rPr>
            </w:pPr>
            <w:r w:rsidRPr="00AF75CE">
              <w:rPr>
                <w:sz w:val="20"/>
                <w:lang w:val="fr-CA"/>
              </w:rPr>
              <w:t xml:space="preserve">En 2012, le Human Rights Tribunal de la Colombie-Britannique a rejeté la plainte de M. Gichuru contre son ancien locateur, l’intimé M. Pallai. Selon M. Gichuru, le locateur avait mis fin au bail en guise de représailles relativement à une autre plainte qu’il avait portée contre lui devant le Tribunal (ce qui est interdit par l’art. 43 du </w:t>
            </w:r>
            <w:r w:rsidRPr="00AF75CE">
              <w:rPr>
                <w:i/>
                <w:sz w:val="20"/>
                <w:lang w:val="fr-CA"/>
              </w:rPr>
              <w:t>Human Rights Cod</w:t>
            </w:r>
            <w:r w:rsidRPr="00AF75CE">
              <w:rPr>
                <w:sz w:val="20"/>
                <w:lang w:val="fr-CA"/>
              </w:rPr>
              <w:t>e, R.S.B.C. 1996, ch. 210 (le « </w:t>
            </w:r>
            <w:r w:rsidRPr="00AF75CE">
              <w:rPr>
                <w:i/>
                <w:sz w:val="20"/>
                <w:lang w:val="fr-CA"/>
              </w:rPr>
              <w:t>Code</w:t>
            </w:r>
            <w:r w:rsidRPr="00AF75CE">
              <w:rPr>
                <w:sz w:val="20"/>
                <w:lang w:val="fr-CA"/>
              </w:rPr>
              <w:t> »)). La requête de M. Gichuru en contrôle judiciaire de cette décision a été rejetée, et une ordonnance semblable à une déclaration de plaideur quérulent a été prononcée contre lui, ainsi qu’une ordonnance de dépens spéciaux. La Cour d’appel a rejeté l’appel.</w:t>
            </w:r>
          </w:p>
        </w:tc>
      </w:tr>
      <w:tr w:rsidR="00B124FF" w:rsidRPr="00AF75CE" w:rsidTr="005F32B8">
        <w:tc>
          <w:tcPr>
            <w:tcW w:w="5000" w:type="pct"/>
            <w:gridSpan w:val="4"/>
          </w:tcPr>
          <w:p w:rsidR="00B124FF" w:rsidRPr="00AF75CE" w:rsidRDefault="00B124FF" w:rsidP="005F32B8">
            <w:pPr>
              <w:jc w:val="both"/>
              <w:rPr>
                <w:sz w:val="20"/>
                <w:lang w:val="fr-CA"/>
              </w:rPr>
            </w:pPr>
          </w:p>
        </w:tc>
      </w:tr>
      <w:tr w:rsidR="00B124FF" w:rsidRPr="00AF75CE" w:rsidTr="005F32B8">
        <w:tc>
          <w:tcPr>
            <w:tcW w:w="2427" w:type="pct"/>
            <w:gridSpan w:val="2"/>
          </w:tcPr>
          <w:p w:rsidR="00B124FF" w:rsidRPr="00AF75CE" w:rsidRDefault="00B124FF" w:rsidP="005F32B8">
            <w:pPr>
              <w:jc w:val="both"/>
              <w:rPr>
                <w:sz w:val="20"/>
                <w:lang w:val="fr-CA"/>
              </w:rPr>
            </w:pPr>
            <w:r w:rsidRPr="00AF75CE">
              <w:rPr>
                <w:sz w:val="20"/>
                <w:lang w:val="fr-CA"/>
              </w:rPr>
              <w:t>26 septembre 2012</w:t>
            </w:r>
          </w:p>
          <w:p w:rsidR="00B124FF" w:rsidRPr="00AF75CE" w:rsidRDefault="00B124FF" w:rsidP="005F32B8">
            <w:pPr>
              <w:jc w:val="both"/>
              <w:rPr>
                <w:sz w:val="20"/>
                <w:lang w:val="fr-CA"/>
              </w:rPr>
            </w:pPr>
            <w:r w:rsidRPr="00AF75CE">
              <w:rPr>
                <w:sz w:val="20"/>
                <w:lang w:val="fr-CA"/>
              </w:rPr>
              <w:t>Human Rights Tribunal de la Colombie-Britannique</w:t>
            </w:r>
          </w:p>
          <w:p w:rsidR="00B124FF" w:rsidRPr="00AF75CE" w:rsidRDefault="00B124FF" w:rsidP="005F32B8">
            <w:pPr>
              <w:jc w:val="both"/>
              <w:rPr>
                <w:sz w:val="20"/>
                <w:lang w:val="fr-CA"/>
              </w:rPr>
            </w:pPr>
            <w:r w:rsidRPr="00AF75CE">
              <w:rPr>
                <w:sz w:val="20"/>
                <w:lang w:val="fr-CA"/>
              </w:rPr>
              <w:t>(Membre Tyshynski)</w:t>
            </w:r>
          </w:p>
          <w:p w:rsidR="00B124FF" w:rsidRPr="00AF75CE" w:rsidRDefault="00A24D5C" w:rsidP="005F32B8">
            <w:pPr>
              <w:jc w:val="both"/>
              <w:rPr>
                <w:rStyle w:val="Hyperlink"/>
                <w:sz w:val="20"/>
                <w:lang w:val="fr-CA"/>
              </w:rPr>
            </w:pPr>
            <w:hyperlink r:id="rId54" w:history="1">
              <w:r w:rsidR="00B124FF" w:rsidRPr="00AF75CE">
                <w:rPr>
                  <w:rStyle w:val="Hyperlink"/>
                  <w:sz w:val="20"/>
                  <w:lang w:val="fr-CA"/>
                </w:rPr>
                <w:t>2012 BCHRT 327</w:t>
              </w:r>
            </w:hyperlink>
          </w:p>
          <w:p w:rsidR="00B124FF" w:rsidRPr="00AF75CE" w:rsidRDefault="00B124FF" w:rsidP="005F32B8">
            <w:pPr>
              <w:jc w:val="both"/>
              <w:rPr>
                <w:sz w:val="20"/>
                <w:lang w:val="fr-CA"/>
              </w:rPr>
            </w:pPr>
          </w:p>
        </w:tc>
        <w:tc>
          <w:tcPr>
            <w:tcW w:w="243" w:type="pct"/>
          </w:tcPr>
          <w:p w:rsidR="00B124FF" w:rsidRPr="00AF75CE" w:rsidRDefault="00B124FF" w:rsidP="005F32B8">
            <w:pPr>
              <w:jc w:val="both"/>
              <w:rPr>
                <w:sz w:val="20"/>
                <w:lang w:val="fr-CA"/>
              </w:rPr>
            </w:pPr>
          </w:p>
        </w:tc>
        <w:tc>
          <w:tcPr>
            <w:tcW w:w="2330" w:type="pct"/>
          </w:tcPr>
          <w:p w:rsidR="00B124FF" w:rsidRPr="00AF75CE" w:rsidRDefault="00B124FF" w:rsidP="005F32B8">
            <w:pPr>
              <w:jc w:val="both"/>
              <w:rPr>
                <w:sz w:val="20"/>
                <w:lang w:val="fr-CA"/>
              </w:rPr>
            </w:pPr>
            <w:r w:rsidRPr="00AF75CE">
              <w:rPr>
                <w:sz w:val="20"/>
                <w:lang w:val="fr-CA"/>
              </w:rPr>
              <w:t xml:space="preserve">Rejet de la plainte </w:t>
            </w:r>
          </w:p>
        </w:tc>
      </w:tr>
      <w:tr w:rsidR="00B124FF" w:rsidRPr="00CC0B55" w:rsidTr="005F32B8">
        <w:tc>
          <w:tcPr>
            <w:tcW w:w="2427" w:type="pct"/>
            <w:gridSpan w:val="2"/>
          </w:tcPr>
          <w:p w:rsidR="00B124FF" w:rsidRPr="00AF75CE" w:rsidRDefault="00B124FF" w:rsidP="005F32B8">
            <w:pPr>
              <w:jc w:val="both"/>
              <w:rPr>
                <w:sz w:val="20"/>
                <w:lang w:val="fr-CA"/>
              </w:rPr>
            </w:pPr>
            <w:r w:rsidRPr="00AF75CE">
              <w:rPr>
                <w:sz w:val="20"/>
                <w:lang w:val="fr-CA"/>
              </w:rPr>
              <w:t>1</w:t>
            </w:r>
            <w:r w:rsidRPr="00AF75CE">
              <w:rPr>
                <w:sz w:val="20"/>
                <w:vertAlign w:val="superscript"/>
                <w:lang w:val="fr-CA"/>
              </w:rPr>
              <w:t>er</w:t>
            </w:r>
            <w:r w:rsidRPr="00AF75CE">
              <w:rPr>
                <w:sz w:val="20"/>
                <w:lang w:val="fr-CA"/>
              </w:rPr>
              <w:t xml:space="preserve"> juin 2017</w:t>
            </w:r>
          </w:p>
          <w:p w:rsidR="00B124FF" w:rsidRPr="00AF75CE" w:rsidRDefault="00B124FF" w:rsidP="005F32B8">
            <w:pPr>
              <w:jc w:val="both"/>
              <w:rPr>
                <w:sz w:val="20"/>
                <w:lang w:val="fr-CA"/>
              </w:rPr>
            </w:pPr>
            <w:r w:rsidRPr="00AF75CE">
              <w:rPr>
                <w:sz w:val="20"/>
                <w:lang w:val="fr-CA"/>
              </w:rPr>
              <w:t>Cour suprême de la Colombie-Britannique</w:t>
            </w:r>
          </w:p>
          <w:p w:rsidR="00B124FF" w:rsidRPr="00AF75CE" w:rsidRDefault="00B124FF" w:rsidP="005F32B8">
            <w:pPr>
              <w:jc w:val="both"/>
              <w:rPr>
                <w:sz w:val="20"/>
                <w:lang w:val="fr-CA"/>
              </w:rPr>
            </w:pPr>
            <w:r w:rsidRPr="00AF75CE">
              <w:rPr>
                <w:sz w:val="20"/>
                <w:lang w:val="fr-CA"/>
              </w:rPr>
              <w:t>(Juge Groves)</w:t>
            </w:r>
          </w:p>
          <w:p w:rsidR="00B124FF" w:rsidRPr="00AF75CE" w:rsidRDefault="00A24D5C" w:rsidP="005F32B8">
            <w:pPr>
              <w:jc w:val="both"/>
              <w:rPr>
                <w:sz w:val="20"/>
                <w:lang w:val="fr-CA"/>
              </w:rPr>
            </w:pPr>
            <w:hyperlink r:id="rId55" w:history="1">
              <w:r w:rsidR="00B124FF" w:rsidRPr="00AF75CE">
                <w:rPr>
                  <w:rStyle w:val="Hyperlink"/>
                  <w:sz w:val="20"/>
                  <w:lang w:val="fr-CA"/>
                </w:rPr>
                <w:t>2017 BCSC 1083</w:t>
              </w:r>
            </w:hyperlink>
          </w:p>
          <w:p w:rsidR="00B124FF" w:rsidRPr="00AF75CE" w:rsidRDefault="00B124FF" w:rsidP="005F32B8">
            <w:pPr>
              <w:jc w:val="both"/>
              <w:rPr>
                <w:sz w:val="20"/>
                <w:lang w:val="fr-CA"/>
              </w:rPr>
            </w:pPr>
          </w:p>
        </w:tc>
        <w:tc>
          <w:tcPr>
            <w:tcW w:w="243" w:type="pct"/>
          </w:tcPr>
          <w:p w:rsidR="00B124FF" w:rsidRPr="00AF75CE" w:rsidRDefault="00B124FF" w:rsidP="005F32B8">
            <w:pPr>
              <w:jc w:val="both"/>
              <w:rPr>
                <w:sz w:val="20"/>
                <w:lang w:val="fr-CA"/>
              </w:rPr>
            </w:pPr>
          </w:p>
        </w:tc>
        <w:tc>
          <w:tcPr>
            <w:tcW w:w="2330" w:type="pct"/>
          </w:tcPr>
          <w:p w:rsidR="00B124FF" w:rsidRPr="00AF75CE" w:rsidRDefault="00B124FF" w:rsidP="005F32B8">
            <w:pPr>
              <w:jc w:val="both"/>
              <w:rPr>
                <w:sz w:val="20"/>
                <w:lang w:val="fr-CA"/>
              </w:rPr>
            </w:pPr>
            <w:r w:rsidRPr="00AF75CE">
              <w:rPr>
                <w:sz w:val="20"/>
                <w:lang w:val="fr-CA"/>
              </w:rPr>
              <w:t xml:space="preserve">Jugement rejetant la requête en contrôle judiciaire, accordant des dépens spéciaux à l’intimé Mark Pallai et prononçant une ordonnance semblable à une déclaration de plaideur quérulent </w:t>
            </w:r>
          </w:p>
          <w:p w:rsidR="00B124FF" w:rsidRPr="00AF75CE" w:rsidRDefault="00B124FF" w:rsidP="005F32B8">
            <w:pPr>
              <w:jc w:val="both"/>
              <w:rPr>
                <w:sz w:val="20"/>
                <w:lang w:val="fr-CA"/>
              </w:rPr>
            </w:pPr>
          </w:p>
        </w:tc>
      </w:tr>
      <w:tr w:rsidR="00B124FF" w:rsidRPr="00CC0B55" w:rsidTr="005F32B8">
        <w:tc>
          <w:tcPr>
            <w:tcW w:w="2427" w:type="pct"/>
            <w:gridSpan w:val="2"/>
          </w:tcPr>
          <w:p w:rsidR="00B124FF" w:rsidRPr="00AF75CE" w:rsidRDefault="00B124FF" w:rsidP="005F32B8">
            <w:pPr>
              <w:jc w:val="both"/>
              <w:rPr>
                <w:sz w:val="20"/>
                <w:lang w:val="fr-CA"/>
              </w:rPr>
            </w:pPr>
            <w:r w:rsidRPr="00AF75CE">
              <w:rPr>
                <w:sz w:val="20"/>
                <w:lang w:val="fr-CA"/>
              </w:rPr>
              <w:t>7 mars 2018</w:t>
            </w:r>
          </w:p>
          <w:p w:rsidR="00B124FF" w:rsidRPr="00AF75CE" w:rsidRDefault="00B124FF" w:rsidP="005F32B8">
            <w:pPr>
              <w:jc w:val="both"/>
              <w:rPr>
                <w:sz w:val="20"/>
                <w:lang w:val="fr-CA"/>
              </w:rPr>
            </w:pPr>
            <w:r w:rsidRPr="00AF75CE">
              <w:rPr>
                <w:sz w:val="20"/>
                <w:lang w:val="fr-CA"/>
              </w:rPr>
              <w:t xml:space="preserve">Cour d’appel de la Colombie-Britannique </w:t>
            </w:r>
          </w:p>
          <w:p w:rsidR="00B124FF" w:rsidRPr="00AF75CE" w:rsidRDefault="00B124FF" w:rsidP="005F32B8">
            <w:pPr>
              <w:jc w:val="both"/>
              <w:rPr>
                <w:sz w:val="20"/>
                <w:lang w:val="fr-CA"/>
              </w:rPr>
            </w:pPr>
            <w:r w:rsidRPr="00AF75CE">
              <w:rPr>
                <w:sz w:val="20"/>
                <w:lang w:val="fr-CA"/>
              </w:rPr>
              <w:t>(Juges Kirkpatrick, Bennett et Harris)</w:t>
            </w:r>
          </w:p>
          <w:p w:rsidR="00B124FF" w:rsidRPr="00AF75CE" w:rsidRDefault="00A24D5C" w:rsidP="005F32B8">
            <w:pPr>
              <w:jc w:val="both"/>
              <w:rPr>
                <w:sz w:val="20"/>
                <w:lang w:val="fr-CA"/>
              </w:rPr>
            </w:pPr>
            <w:hyperlink r:id="rId56" w:history="1">
              <w:r w:rsidR="00B124FF" w:rsidRPr="00AF75CE">
                <w:rPr>
                  <w:rStyle w:val="Hyperlink"/>
                  <w:sz w:val="20"/>
                  <w:lang w:val="fr-CA"/>
                </w:rPr>
                <w:t>2018 BCCA 78</w:t>
              </w:r>
            </w:hyperlink>
          </w:p>
          <w:p w:rsidR="00B124FF" w:rsidRPr="00AF75CE" w:rsidRDefault="00B124FF" w:rsidP="005F32B8">
            <w:pPr>
              <w:jc w:val="both"/>
              <w:rPr>
                <w:sz w:val="20"/>
                <w:lang w:val="fr-CA"/>
              </w:rPr>
            </w:pPr>
          </w:p>
        </w:tc>
        <w:tc>
          <w:tcPr>
            <w:tcW w:w="243" w:type="pct"/>
          </w:tcPr>
          <w:p w:rsidR="00B124FF" w:rsidRPr="00AF75CE" w:rsidRDefault="00B124FF" w:rsidP="005F32B8">
            <w:pPr>
              <w:jc w:val="both"/>
              <w:rPr>
                <w:sz w:val="20"/>
                <w:lang w:val="fr-CA"/>
              </w:rPr>
            </w:pPr>
          </w:p>
        </w:tc>
        <w:tc>
          <w:tcPr>
            <w:tcW w:w="2330" w:type="pct"/>
          </w:tcPr>
          <w:p w:rsidR="00B124FF" w:rsidRPr="00AF75CE" w:rsidRDefault="00B124FF" w:rsidP="005F32B8">
            <w:pPr>
              <w:jc w:val="both"/>
              <w:rPr>
                <w:sz w:val="20"/>
                <w:lang w:val="fr-CA"/>
              </w:rPr>
            </w:pPr>
            <w:r w:rsidRPr="00AF75CE">
              <w:rPr>
                <w:sz w:val="20"/>
                <w:lang w:val="fr-CA"/>
              </w:rPr>
              <w:t>Arrêt modifiant l’ordonnance semblable à une déclaration de plaideur quérulent et l’ordonnance quant aux dépens et rejetant l’appel pour le reste</w:t>
            </w:r>
          </w:p>
          <w:p w:rsidR="00B124FF" w:rsidRPr="00AF75CE" w:rsidRDefault="00B124FF" w:rsidP="005F32B8">
            <w:pPr>
              <w:jc w:val="both"/>
              <w:rPr>
                <w:sz w:val="20"/>
                <w:lang w:val="fr-CA"/>
              </w:rPr>
            </w:pPr>
          </w:p>
        </w:tc>
      </w:tr>
      <w:tr w:rsidR="00B124FF" w:rsidRPr="00CC0B55" w:rsidTr="005F32B8">
        <w:tc>
          <w:tcPr>
            <w:tcW w:w="2427" w:type="pct"/>
            <w:gridSpan w:val="2"/>
          </w:tcPr>
          <w:p w:rsidR="00B124FF" w:rsidRPr="00AF75CE" w:rsidRDefault="00B124FF" w:rsidP="005F32B8">
            <w:pPr>
              <w:jc w:val="both"/>
              <w:rPr>
                <w:sz w:val="20"/>
                <w:lang w:val="fr-CA"/>
              </w:rPr>
            </w:pPr>
            <w:r w:rsidRPr="00AF75CE">
              <w:rPr>
                <w:sz w:val="20"/>
                <w:lang w:val="fr-CA"/>
              </w:rPr>
              <w:t>4 mai 2018</w:t>
            </w:r>
          </w:p>
          <w:p w:rsidR="00B124FF" w:rsidRPr="00AF75CE" w:rsidRDefault="00B124FF" w:rsidP="005F32B8">
            <w:pPr>
              <w:jc w:val="both"/>
              <w:rPr>
                <w:sz w:val="20"/>
                <w:lang w:val="fr-CA"/>
              </w:rPr>
            </w:pPr>
            <w:r w:rsidRPr="00AF75CE">
              <w:rPr>
                <w:sz w:val="20"/>
                <w:lang w:val="fr-CA"/>
              </w:rPr>
              <w:t>Cour suprême du Canada</w:t>
            </w:r>
          </w:p>
          <w:p w:rsidR="00B124FF" w:rsidRPr="00AF75CE" w:rsidRDefault="00B124FF" w:rsidP="005F32B8">
            <w:pPr>
              <w:jc w:val="both"/>
              <w:rPr>
                <w:sz w:val="20"/>
                <w:lang w:val="fr-CA"/>
              </w:rPr>
            </w:pPr>
          </w:p>
        </w:tc>
        <w:tc>
          <w:tcPr>
            <w:tcW w:w="243" w:type="pct"/>
          </w:tcPr>
          <w:p w:rsidR="00B124FF" w:rsidRPr="00AF75CE" w:rsidRDefault="00B124FF" w:rsidP="005F32B8">
            <w:pPr>
              <w:jc w:val="both"/>
              <w:rPr>
                <w:sz w:val="20"/>
                <w:lang w:val="fr-CA"/>
              </w:rPr>
            </w:pPr>
          </w:p>
        </w:tc>
        <w:tc>
          <w:tcPr>
            <w:tcW w:w="2330" w:type="pct"/>
          </w:tcPr>
          <w:p w:rsidR="00B124FF" w:rsidRPr="00AF75CE" w:rsidRDefault="00B124FF" w:rsidP="005F32B8">
            <w:pPr>
              <w:jc w:val="both"/>
              <w:rPr>
                <w:sz w:val="20"/>
                <w:lang w:val="fr-CA"/>
              </w:rPr>
            </w:pPr>
            <w:r w:rsidRPr="00AF75CE">
              <w:rPr>
                <w:sz w:val="20"/>
                <w:lang w:val="fr-CA"/>
              </w:rPr>
              <w:t xml:space="preserve">Dépôt de la demande d’autorisation d’appel </w:t>
            </w:r>
          </w:p>
        </w:tc>
      </w:tr>
      <w:tr w:rsidR="00B124FF" w:rsidRPr="00CC0B55" w:rsidTr="005F32B8">
        <w:tc>
          <w:tcPr>
            <w:tcW w:w="2427" w:type="pct"/>
            <w:gridSpan w:val="2"/>
          </w:tcPr>
          <w:p w:rsidR="00B124FF" w:rsidRPr="00AF75CE" w:rsidRDefault="00B124FF" w:rsidP="005F32B8">
            <w:pPr>
              <w:jc w:val="both"/>
              <w:rPr>
                <w:sz w:val="20"/>
                <w:lang w:val="fr-CA"/>
              </w:rPr>
            </w:pPr>
            <w:r w:rsidRPr="00AF75CE">
              <w:rPr>
                <w:sz w:val="20"/>
                <w:lang w:val="fr-CA"/>
              </w:rPr>
              <w:t>11 juillet 2018</w:t>
            </w:r>
          </w:p>
          <w:p w:rsidR="00B124FF" w:rsidRPr="00AF75CE" w:rsidRDefault="00B124FF" w:rsidP="005F32B8">
            <w:pPr>
              <w:jc w:val="both"/>
              <w:rPr>
                <w:sz w:val="20"/>
                <w:lang w:val="fr-CA"/>
              </w:rPr>
            </w:pPr>
            <w:r w:rsidRPr="00AF75CE">
              <w:rPr>
                <w:sz w:val="20"/>
                <w:lang w:val="fr-CA"/>
              </w:rPr>
              <w:t xml:space="preserve">Cour suprême du Canada </w:t>
            </w:r>
          </w:p>
        </w:tc>
        <w:tc>
          <w:tcPr>
            <w:tcW w:w="243" w:type="pct"/>
          </w:tcPr>
          <w:p w:rsidR="00B124FF" w:rsidRPr="00AF75CE" w:rsidRDefault="00B124FF" w:rsidP="005F32B8">
            <w:pPr>
              <w:jc w:val="both"/>
              <w:rPr>
                <w:sz w:val="20"/>
                <w:lang w:val="fr-CA"/>
              </w:rPr>
            </w:pPr>
          </w:p>
        </w:tc>
        <w:tc>
          <w:tcPr>
            <w:tcW w:w="2330" w:type="pct"/>
          </w:tcPr>
          <w:p w:rsidR="00B124FF" w:rsidRPr="00AF75CE" w:rsidRDefault="00B124FF" w:rsidP="005F32B8">
            <w:pPr>
              <w:jc w:val="both"/>
              <w:rPr>
                <w:sz w:val="20"/>
                <w:lang w:val="fr-CA"/>
              </w:rPr>
            </w:pPr>
            <w:r w:rsidRPr="00AF75CE">
              <w:rPr>
                <w:sz w:val="20"/>
                <w:lang w:val="fr-CA"/>
              </w:rPr>
              <w:t xml:space="preserve">Dépôt de la requête en prorogation du délai de signification et de dépôt de la réplique </w:t>
            </w:r>
          </w:p>
        </w:tc>
      </w:tr>
    </w:tbl>
    <w:p w:rsidR="00B124FF" w:rsidRDefault="00B124FF" w:rsidP="00B124FF">
      <w:pPr>
        <w:jc w:val="both"/>
        <w:rPr>
          <w:sz w:val="20"/>
          <w:lang w:val="fr-CA"/>
        </w:rPr>
      </w:pPr>
    </w:p>
    <w:p w:rsidR="00B124FF" w:rsidRPr="00AF75CE" w:rsidRDefault="00A24D5C" w:rsidP="00B124FF">
      <w:pPr>
        <w:jc w:val="both"/>
        <w:rPr>
          <w:sz w:val="20"/>
          <w:lang w:val="fr-CA"/>
        </w:rPr>
      </w:pPr>
      <w:r>
        <w:rPr>
          <w:sz w:val="20"/>
          <w:szCs w:val="20"/>
        </w:rPr>
        <w:pict>
          <v:rect id="_x0000_i1043" style="width:2in;height:1pt" o:hrpct="0" o:hralign="center" o:hrstd="t" o:hrnoshade="t" o:hr="t" fillcolor="black [3213]" stroked="f"/>
        </w:pict>
      </w:r>
    </w:p>
    <w:p w:rsidR="00B124FF" w:rsidRDefault="00B124FF" w:rsidP="00B124FF">
      <w:pPr>
        <w:rPr>
          <w:sz w:val="20"/>
          <w:lang w:val="fr-CA"/>
        </w:rPr>
      </w:pPr>
      <w:r>
        <w:rPr>
          <w:sz w:val="20"/>
          <w:lang w:val="fr-CA"/>
        </w:rPr>
        <w:br w:type="page"/>
      </w:r>
    </w:p>
    <w:p w:rsidR="00B124FF" w:rsidRPr="00377C08" w:rsidRDefault="00B124FF" w:rsidP="00B124FF">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124FF" w:rsidRPr="00377C08" w:rsidTr="005F32B8">
        <w:tc>
          <w:tcPr>
            <w:tcW w:w="543" w:type="pct"/>
          </w:tcPr>
          <w:p w:rsidR="00B124FF" w:rsidRPr="00377C08" w:rsidRDefault="00B124FF" w:rsidP="005F32B8">
            <w:pPr>
              <w:jc w:val="both"/>
              <w:rPr>
                <w:sz w:val="20"/>
              </w:rPr>
            </w:pPr>
            <w:r w:rsidRPr="00377C08">
              <w:rPr>
                <w:rStyle w:val="SCCFileNumberChar"/>
                <w:sz w:val="20"/>
                <w:szCs w:val="20"/>
              </w:rPr>
              <w:t>37977</w:t>
            </w:r>
          </w:p>
        </w:tc>
        <w:tc>
          <w:tcPr>
            <w:tcW w:w="4457" w:type="pct"/>
            <w:gridSpan w:val="3"/>
          </w:tcPr>
          <w:p w:rsidR="00B124FF" w:rsidRPr="00377C08" w:rsidRDefault="00B124FF" w:rsidP="005F32B8">
            <w:pPr>
              <w:pStyle w:val="SCCLsocParty"/>
              <w:jc w:val="both"/>
              <w:rPr>
                <w:b/>
                <w:sz w:val="20"/>
                <w:szCs w:val="20"/>
                <w:lang w:val="en-US"/>
              </w:rPr>
            </w:pPr>
            <w:r w:rsidRPr="00377C08">
              <w:rPr>
                <w:b/>
                <w:sz w:val="20"/>
                <w:szCs w:val="20"/>
                <w:lang w:val="en-US"/>
              </w:rPr>
              <w:t>David Matthew Clarke v. Her Majesty the Queen</w:t>
            </w:r>
          </w:p>
          <w:p w:rsidR="00B124FF" w:rsidRPr="00377C08" w:rsidRDefault="00B124FF" w:rsidP="005F32B8">
            <w:pPr>
              <w:jc w:val="both"/>
              <w:rPr>
                <w:sz w:val="20"/>
              </w:rPr>
            </w:pPr>
            <w:r w:rsidRPr="00377C08">
              <w:rPr>
                <w:sz w:val="20"/>
              </w:rPr>
              <w:t>(B.C.) (Criminal) (By Leave)</w:t>
            </w:r>
          </w:p>
        </w:tc>
      </w:tr>
      <w:tr w:rsidR="00B124FF" w:rsidRPr="00377C08" w:rsidTr="005F32B8">
        <w:tc>
          <w:tcPr>
            <w:tcW w:w="5000" w:type="pct"/>
            <w:gridSpan w:val="4"/>
          </w:tcPr>
          <w:p w:rsidR="00B124FF" w:rsidRDefault="00B124FF" w:rsidP="005F32B8">
            <w:pPr>
              <w:jc w:val="both"/>
              <w:rPr>
                <w:sz w:val="20"/>
              </w:rPr>
            </w:pPr>
            <w:r w:rsidRPr="00C97F67">
              <w:rPr>
                <w:sz w:val="20"/>
              </w:rPr>
              <w:t>The motion to expedite the application for leave to appeal is dismissed. The application for leave to appeal from the judgment of the Court of Appeal for British Columbia (Vancouver), Number CA43640, 2017 BCCA 453, dated December 27, 2017, is dismissed.</w:t>
            </w:r>
          </w:p>
          <w:p w:rsidR="00B124FF" w:rsidRPr="00C97F67" w:rsidRDefault="00B124FF" w:rsidP="005F32B8">
            <w:pPr>
              <w:jc w:val="both"/>
              <w:rPr>
                <w:sz w:val="20"/>
              </w:rPr>
            </w:pPr>
          </w:p>
        </w:tc>
      </w:tr>
      <w:tr w:rsidR="00B124FF" w:rsidRPr="00377C08" w:rsidTr="005F32B8">
        <w:tc>
          <w:tcPr>
            <w:tcW w:w="5000" w:type="pct"/>
            <w:gridSpan w:val="4"/>
          </w:tcPr>
          <w:p w:rsidR="00B124FF" w:rsidRPr="00377C08" w:rsidRDefault="00B124FF" w:rsidP="005F32B8">
            <w:pPr>
              <w:jc w:val="both"/>
              <w:rPr>
                <w:sz w:val="20"/>
              </w:rPr>
            </w:pPr>
            <w:r w:rsidRPr="00377C08">
              <w:rPr>
                <w:i/>
                <w:sz w:val="20"/>
              </w:rPr>
              <w:t>Charter of Rights</w:t>
            </w:r>
            <w:r w:rsidRPr="00377C08">
              <w:rPr>
                <w:sz w:val="20"/>
              </w:rPr>
              <w:t xml:space="preserve"> — Criminal law — Search and seizure — Where a person shares a home and its contents with others, can the state rely upon the consent of a third-party co-resident to justify a warrantless search and seizure under s. 8 of the </w:t>
            </w:r>
            <w:r w:rsidRPr="00377C08">
              <w:rPr>
                <w:i/>
                <w:sz w:val="20"/>
              </w:rPr>
              <w:t>Charter</w:t>
            </w:r>
            <w:r w:rsidRPr="00377C08">
              <w:rPr>
                <w:sz w:val="20"/>
              </w:rPr>
              <w:t xml:space="preserve"> as against the person whose consent has not been obtained — Whether a person’s reasonable expectation of privacy under s. 8 of the </w:t>
            </w:r>
            <w:r w:rsidRPr="00377C08">
              <w:rPr>
                <w:i/>
                <w:sz w:val="20"/>
              </w:rPr>
              <w:t>Charter</w:t>
            </w:r>
            <w:r w:rsidRPr="00377C08">
              <w:rPr>
                <w:sz w:val="20"/>
              </w:rPr>
              <w:t xml:space="preserve"> includes a “risk analysis” of whether the person should reasonably expect that a third party with whom he or she shares a home may become adverse to his or her interests and consent to police entry to seize property from the home, and that it would be open to agents of the state to do so without prior judicial authorization, or any other legal authority — </w:t>
            </w:r>
            <w:r w:rsidRPr="00377C08">
              <w:rPr>
                <w:i/>
                <w:sz w:val="20"/>
              </w:rPr>
              <w:t>Canadian Charter of Rights and Freedoms</w:t>
            </w:r>
            <w:r w:rsidRPr="00377C08">
              <w:rPr>
                <w:sz w:val="20"/>
              </w:rPr>
              <w:t>, s. 8.</w:t>
            </w:r>
          </w:p>
        </w:tc>
      </w:tr>
      <w:tr w:rsidR="00B124FF" w:rsidRPr="00377C08" w:rsidTr="005F32B8">
        <w:tc>
          <w:tcPr>
            <w:tcW w:w="5000" w:type="pct"/>
            <w:gridSpan w:val="4"/>
          </w:tcPr>
          <w:p w:rsidR="00B124FF" w:rsidRPr="00377C08" w:rsidRDefault="00B124FF" w:rsidP="005F32B8">
            <w:pPr>
              <w:jc w:val="both"/>
              <w:rPr>
                <w:sz w:val="20"/>
              </w:rPr>
            </w:pPr>
          </w:p>
        </w:tc>
      </w:tr>
      <w:tr w:rsidR="00B124FF" w:rsidRPr="00377C08" w:rsidTr="005F32B8">
        <w:tc>
          <w:tcPr>
            <w:tcW w:w="5000" w:type="pct"/>
            <w:gridSpan w:val="4"/>
          </w:tcPr>
          <w:p w:rsidR="00B124FF" w:rsidRPr="00377C08" w:rsidRDefault="00B124FF" w:rsidP="005F32B8">
            <w:pPr>
              <w:jc w:val="both"/>
              <w:rPr>
                <w:sz w:val="20"/>
              </w:rPr>
            </w:pPr>
            <w:r w:rsidRPr="00377C08">
              <w:rPr>
                <w:sz w:val="20"/>
              </w:rPr>
              <w:t xml:space="preserve">Mr. Clarke was convicted on two counts of possession of a firearm without a licence and registration certificate, contrary to s. 92(1) of the </w:t>
            </w:r>
            <w:r w:rsidRPr="00377C08">
              <w:rPr>
                <w:i/>
                <w:sz w:val="20"/>
              </w:rPr>
              <w:t>Criminal Code</w:t>
            </w:r>
            <w:r w:rsidRPr="00377C08">
              <w:rPr>
                <w:sz w:val="20"/>
              </w:rPr>
              <w:t xml:space="preserve">. The firearms were seized during the police search of a residence pursuant to the consent of F, the primary occupant of the home that was shared with Mr. Clarke. The registered owners of the residence were Mr. Clarke and his mother. F was Mr. Clarke’s tenant and was the primary occupant (with her three children) of the residence. Mr. Clarke had a friendship, business relationship and sexual relationship with F. Mr. Clarke had his own key and resided in the home only intermittently, coming and going as he wished. F had various concerns about Mr. Clarke, then a police officer, when she had not seen him for some time. She contacted the police detachment and disclosed that Mr. Clarke stored ammunition in the garage of the residence. F met with the police and signed a consent form authorizing them to search the residence.  The police conducted a warrantless search of the common areas of the residence, together with the garage that was accessible from the residence through an interior door. The two weapons were found buried in a pile of items, covered by a tarp and under a shelf or workbench in the garage in an area that was strictly Mr. Clarke’s.  </w:t>
            </w:r>
          </w:p>
          <w:p w:rsidR="00B124FF" w:rsidRPr="00377C08" w:rsidRDefault="00B124FF" w:rsidP="005F32B8">
            <w:pPr>
              <w:jc w:val="both"/>
              <w:rPr>
                <w:sz w:val="20"/>
              </w:rPr>
            </w:pPr>
          </w:p>
          <w:p w:rsidR="00B124FF" w:rsidRPr="00377C08" w:rsidRDefault="00B124FF" w:rsidP="005F32B8">
            <w:pPr>
              <w:jc w:val="both"/>
              <w:rPr>
                <w:sz w:val="20"/>
              </w:rPr>
            </w:pPr>
            <w:r w:rsidRPr="00377C08">
              <w:rPr>
                <w:sz w:val="20"/>
              </w:rPr>
              <w:t xml:space="preserve">On appeal, Mr. Clarke argued that the trial judge erred in concluding the search and seizure of the firearms did not violate his s. 8 right under the </w:t>
            </w:r>
            <w:r w:rsidRPr="00377C08">
              <w:rPr>
                <w:i/>
                <w:sz w:val="20"/>
              </w:rPr>
              <w:t>Canadian Charter of Rights and Freedoms</w:t>
            </w:r>
            <w:r w:rsidRPr="00377C08">
              <w:rPr>
                <w:sz w:val="20"/>
              </w:rPr>
              <w:t xml:space="preserve"> and in declining to exclude the firearms pursuant to s. 24(2) of the </w:t>
            </w:r>
            <w:r w:rsidRPr="00377C08">
              <w:rPr>
                <w:i/>
                <w:sz w:val="20"/>
              </w:rPr>
              <w:t>Charter</w:t>
            </w:r>
            <w:r w:rsidRPr="00377C08">
              <w:rPr>
                <w:sz w:val="20"/>
              </w:rPr>
              <w:t>. The British Columbia Court of Appeal dismissed the appeal, finding that the police did breach Mr. Clarke’s s. 8 right to privacy but that the exclusion of the evidence would result in greater harm to society’s confidence in the administration of justice than would their admission into evidence.</w:t>
            </w:r>
          </w:p>
          <w:p w:rsidR="00B124FF" w:rsidRPr="00377C08" w:rsidRDefault="00B124FF" w:rsidP="005F32B8">
            <w:pPr>
              <w:jc w:val="both"/>
              <w:rPr>
                <w:sz w:val="20"/>
              </w:rPr>
            </w:pPr>
          </w:p>
        </w:tc>
      </w:tr>
      <w:tr w:rsidR="00B124FF" w:rsidRPr="00377C08" w:rsidTr="005F32B8">
        <w:tc>
          <w:tcPr>
            <w:tcW w:w="2427" w:type="pct"/>
            <w:gridSpan w:val="2"/>
          </w:tcPr>
          <w:p w:rsidR="00B124FF" w:rsidRPr="00377C08" w:rsidRDefault="00B124FF" w:rsidP="005F32B8">
            <w:pPr>
              <w:jc w:val="both"/>
              <w:rPr>
                <w:sz w:val="20"/>
              </w:rPr>
            </w:pPr>
            <w:r w:rsidRPr="00377C08">
              <w:rPr>
                <w:sz w:val="20"/>
              </w:rPr>
              <w:t>January 29, 2016</w:t>
            </w:r>
          </w:p>
          <w:p w:rsidR="00B124FF" w:rsidRPr="00377C08" w:rsidRDefault="00B124FF" w:rsidP="005F32B8">
            <w:pPr>
              <w:jc w:val="both"/>
              <w:rPr>
                <w:sz w:val="20"/>
              </w:rPr>
            </w:pPr>
            <w:r w:rsidRPr="00377C08">
              <w:rPr>
                <w:sz w:val="20"/>
              </w:rPr>
              <w:t>Supreme Court of British Columbia</w:t>
            </w:r>
          </w:p>
          <w:p w:rsidR="00B124FF" w:rsidRPr="00377C08" w:rsidRDefault="00B124FF" w:rsidP="005F32B8">
            <w:pPr>
              <w:jc w:val="both"/>
              <w:rPr>
                <w:sz w:val="20"/>
              </w:rPr>
            </w:pPr>
            <w:r w:rsidRPr="00377C08">
              <w:rPr>
                <w:sz w:val="20"/>
              </w:rPr>
              <w:t>(Arnold-Bailey J.)</w:t>
            </w:r>
          </w:p>
          <w:p w:rsidR="00B124FF" w:rsidRPr="00377C08" w:rsidRDefault="00A24D5C" w:rsidP="005F32B8">
            <w:pPr>
              <w:jc w:val="both"/>
              <w:rPr>
                <w:sz w:val="20"/>
              </w:rPr>
            </w:pPr>
            <w:hyperlink r:id="rId57" w:history="1">
              <w:r w:rsidR="00B124FF" w:rsidRPr="00377C08">
                <w:rPr>
                  <w:rStyle w:val="Hyperlink"/>
                  <w:sz w:val="20"/>
                </w:rPr>
                <w:t>2016 BCSC 1323</w:t>
              </w:r>
            </w:hyperlink>
          </w:p>
          <w:p w:rsidR="00B124FF" w:rsidRPr="00377C08" w:rsidRDefault="00B124FF" w:rsidP="005F32B8">
            <w:pPr>
              <w:jc w:val="both"/>
              <w:rPr>
                <w:sz w:val="20"/>
              </w:rPr>
            </w:pPr>
          </w:p>
        </w:tc>
        <w:tc>
          <w:tcPr>
            <w:tcW w:w="243" w:type="pct"/>
          </w:tcPr>
          <w:p w:rsidR="00B124FF" w:rsidRPr="00377C08" w:rsidRDefault="00B124FF" w:rsidP="005F32B8">
            <w:pPr>
              <w:jc w:val="both"/>
              <w:rPr>
                <w:sz w:val="20"/>
              </w:rPr>
            </w:pPr>
          </w:p>
        </w:tc>
        <w:tc>
          <w:tcPr>
            <w:tcW w:w="2330" w:type="pct"/>
          </w:tcPr>
          <w:p w:rsidR="00B124FF" w:rsidRPr="00377C08" w:rsidRDefault="00B124FF" w:rsidP="005F32B8">
            <w:pPr>
              <w:jc w:val="both"/>
              <w:rPr>
                <w:i/>
                <w:sz w:val="20"/>
              </w:rPr>
            </w:pPr>
            <w:r w:rsidRPr="00377C08">
              <w:rPr>
                <w:sz w:val="20"/>
              </w:rPr>
              <w:t xml:space="preserve">Applicant convicted of two counts possession of a firearm without a licence and registration certificate </w:t>
            </w:r>
          </w:p>
          <w:p w:rsidR="00B124FF" w:rsidRPr="00377C08" w:rsidRDefault="00B124FF" w:rsidP="005F32B8">
            <w:pPr>
              <w:jc w:val="both"/>
              <w:rPr>
                <w:sz w:val="20"/>
              </w:rPr>
            </w:pPr>
          </w:p>
        </w:tc>
      </w:tr>
      <w:tr w:rsidR="00B124FF" w:rsidRPr="00377C08" w:rsidTr="005F32B8">
        <w:tc>
          <w:tcPr>
            <w:tcW w:w="2427" w:type="pct"/>
            <w:gridSpan w:val="2"/>
          </w:tcPr>
          <w:p w:rsidR="00B124FF" w:rsidRPr="00377C08" w:rsidRDefault="00B124FF" w:rsidP="005F32B8">
            <w:pPr>
              <w:jc w:val="both"/>
              <w:rPr>
                <w:sz w:val="20"/>
              </w:rPr>
            </w:pPr>
            <w:r w:rsidRPr="00377C08">
              <w:rPr>
                <w:sz w:val="20"/>
              </w:rPr>
              <w:t>December 27, 2017</w:t>
            </w:r>
          </w:p>
          <w:p w:rsidR="00B124FF" w:rsidRPr="00377C08" w:rsidRDefault="00B124FF" w:rsidP="005F32B8">
            <w:pPr>
              <w:jc w:val="both"/>
              <w:rPr>
                <w:sz w:val="20"/>
              </w:rPr>
            </w:pPr>
            <w:r w:rsidRPr="00377C08">
              <w:rPr>
                <w:sz w:val="20"/>
              </w:rPr>
              <w:t>Court of Appeal for British Columbia</w:t>
            </w:r>
          </w:p>
          <w:p w:rsidR="00B124FF" w:rsidRPr="00377C08" w:rsidRDefault="00B124FF" w:rsidP="005F32B8">
            <w:pPr>
              <w:jc w:val="both"/>
              <w:rPr>
                <w:sz w:val="20"/>
              </w:rPr>
            </w:pPr>
            <w:r w:rsidRPr="00377C08">
              <w:rPr>
                <w:sz w:val="20"/>
              </w:rPr>
              <w:t>(Vancouver)</w:t>
            </w:r>
          </w:p>
          <w:p w:rsidR="00B124FF" w:rsidRPr="00377C08" w:rsidRDefault="00B124FF" w:rsidP="005F32B8">
            <w:pPr>
              <w:jc w:val="both"/>
              <w:rPr>
                <w:sz w:val="20"/>
              </w:rPr>
            </w:pPr>
            <w:r w:rsidRPr="00377C08">
              <w:rPr>
                <w:sz w:val="20"/>
              </w:rPr>
              <w:t>(MacKenzie, Harris and Fisher JJ.A.)</w:t>
            </w:r>
          </w:p>
          <w:p w:rsidR="00B124FF" w:rsidRPr="00377C08" w:rsidRDefault="00A24D5C" w:rsidP="005F32B8">
            <w:pPr>
              <w:jc w:val="both"/>
              <w:rPr>
                <w:sz w:val="20"/>
              </w:rPr>
            </w:pPr>
            <w:hyperlink r:id="rId58" w:history="1">
              <w:r w:rsidR="00B124FF" w:rsidRPr="00377C08">
                <w:rPr>
                  <w:rStyle w:val="Hyperlink"/>
                  <w:sz w:val="20"/>
                </w:rPr>
                <w:t>2017 BCCA 453</w:t>
              </w:r>
            </w:hyperlink>
          </w:p>
          <w:p w:rsidR="00B124FF" w:rsidRPr="00377C08" w:rsidRDefault="00B124FF" w:rsidP="005F32B8">
            <w:pPr>
              <w:jc w:val="both"/>
              <w:rPr>
                <w:sz w:val="20"/>
              </w:rPr>
            </w:pPr>
          </w:p>
        </w:tc>
        <w:tc>
          <w:tcPr>
            <w:tcW w:w="243" w:type="pct"/>
          </w:tcPr>
          <w:p w:rsidR="00B124FF" w:rsidRPr="00377C08" w:rsidRDefault="00B124FF" w:rsidP="005F32B8">
            <w:pPr>
              <w:jc w:val="both"/>
              <w:rPr>
                <w:sz w:val="20"/>
              </w:rPr>
            </w:pPr>
          </w:p>
        </w:tc>
        <w:tc>
          <w:tcPr>
            <w:tcW w:w="2330" w:type="pct"/>
          </w:tcPr>
          <w:p w:rsidR="00B124FF" w:rsidRPr="00377C08" w:rsidRDefault="00B124FF" w:rsidP="005F32B8">
            <w:pPr>
              <w:jc w:val="both"/>
              <w:rPr>
                <w:sz w:val="20"/>
              </w:rPr>
            </w:pPr>
            <w:r w:rsidRPr="00377C08">
              <w:rPr>
                <w:sz w:val="20"/>
              </w:rPr>
              <w:t>Appeal from conviction dismissed</w:t>
            </w:r>
          </w:p>
        </w:tc>
      </w:tr>
      <w:tr w:rsidR="00B124FF" w:rsidRPr="00377C08" w:rsidTr="005F32B8">
        <w:tc>
          <w:tcPr>
            <w:tcW w:w="2427" w:type="pct"/>
            <w:gridSpan w:val="2"/>
          </w:tcPr>
          <w:p w:rsidR="00B124FF" w:rsidRPr="00377C08" w:rsidRDefault="00B124FF" w:rsidP="005F32B8">
            <w:pPr>
              <w:jc w:val="both"/>
              <w:rPr>
                <w:sz w:val="20"/>
              </w:rPr>
            </w:pPr>
            <w:r w:rsidRPr="00377C08">
              <w:rPr>
                <w:sz w:val="20"/>
              </w:rPr>
              <w:t>February 26, 2018</w:t>
            </w:r>
          </w:p>
          <w:p w:rsidR="00B124FF" w:rsidRPr="00377C08" w:rsidRDefault="00B124FF" w:rsidP="005F32B8">
            <w:pPr>
              <w:jc w:val="both"/>
              <w:rPr>
                <w:sz w:val="20"/>
              </w:rPr>
            </w:pPr>
            <w:r w:rsidRPr="00377C08">
              <w:rPr>
                <w:sz w:val="20"/>
              </w:rPr>
              <w:t>Supreme Court of Canada</w:t>
            </w:r>
          </w:p>
        </w:tc>
        <w:tc>
          <w:tcPr>
            <w:tcW w:w="243" w:type="pct"/>
          </w:tcPr>
          <w:p w:rsidR="00B124FF" w:rsidRPr="00377C08" w:rsidRDefault="00B124FF" w:rsidP="005F32B8">
            <w:pPr>
              <w:jc w:val="both"/>
              <w:rPr>
                <w:sz w:val="20"/>
              </w:rPr>
            </w:pPr>
          </w:p>
        </w:tc>
        <w:tc>
          <w:tcPr>
            <w:tcW w:w="2330" w:type="pct"/>
          </w:tcPr>
          <w:p w:rsidR="00B124FF" w:rsidRPr="00377C08" w:rsidRDefault="00B124FF" w:rsidP="005F32B8">
            <w:pPr>
              <w:jc w:val="both"/>
              <w:rPr>
                <w:sz w:val="20"/>
              </w:rPr>
            </w:pPr>
            <w:r w:rsidRPr="00377C08">
              <w:rPr>
                <w:sz w:val="20"/>
              </w:rPr>
              <w:t>Application for leave to appeal filed</w:t>
            </w:r>
          </w:p>
          <w:p w:rsidR="00B124FF" w:rsidRPr="00377C08" w:rsidRDefault="00B124FF" w:rsidP="005F32B8">
            <w:pPr>
              <w:jc w:val="both"/>
              <w:rPr>
                <w:sz w:val="20"/>
              </w:rPr>
            </w:pPr>
          </w:p>
        </w:tc>
      </w:tr>
    </w:tbl>
    <w:p w:rsidR="00B124FF" w:rsidRDefault="00B124FF" w:rsidP="00B124FF">
      <w:pPr>
        <w:jc w:val="both"/>
        <w:rPr>
          <w:sz w:val="20"/>
        </w:rPr>
      </w:pPr>
    </w:p>
    <w:p w:rsidR="00B124FF" w:rsidRDefault="00B124FF" w:rsidP="00B124FF">
      <w:pPr>
        <w:rPr>
          <w:sz w:val="20"/>
        </w:rPr>
      </w:pPr>
      <w:r>
        <w:rPr>
          <w:sz w:val="20"/>
        </w:rPr>
        <w:br w:type="page"/>
      </w:r>
    </w:p>
    <w:p w:rsidR="00B124FF" w:rsidRPr="00377C08" w:rsidRDefault="00B124FF" w:rsidP="00B124F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124FF" w:rsidRPr="00CC0B55" w:rsidTr="005F32B8">
        <w:tc>
          <w:tcPr>
            <w:tcW w:w="543" w:type="pct"/>
          </w:tcPr>
          <w:p w:rsidR="00B124FF" w:rsidRPr="00377C08" w:rsidRDefault="00B124FF" w:rsidP="005F32B8">
            <w:pPr>
              <w:jc w:val="both"/>
              <w:rPr>
                <w:sz w:val="20"/>
                <w:lang w:val="fr-CA"/>
              </w:rPr>
            </w:pPr>
            <w:r w:rsidRPr="00377C08">
              <w:rPr>
                <w:rStyle w:val="SCCFileNumberChar"/>
                <w:sz w:val="20"/>
                <w:szCs w:val="20"/>
                <w:lang w:val="fr-CA"/>
              </w:rPr>
              <w:t>37977</w:t>
            </w:r>
          </w:p>
        </w:tc>
        <w:tc>
          <w:tcPr>
            <w:tcW w:w="4457" w:type="pct"/>
            <w:gridSpan w:val="3"/>
          </w:tcPr>
          <w:p w:rsidR="00B124FF" w:rsidRPr="00377C08" w:rsidRDefault="00B124FF" w:rsidP="005F32B8">
            <w:pPr>
              <w:pStyle w:val="SCCLsocParty"/>
              <w:jc w:val="both"/>
              <w:rPr>
                <w:b/>
                <w:sz w:val="20"/>
                <w:szCs w:val="20"/>
              </w:rPr>
            </w:pPr>
            <w:r w:rsidRPr="00377C08">
              <w:rPr>
                <w:b/>
                <w:sz w:val="20"/>
                <w:szCs w:val="20"/>
              </w:rPr>
              <w:t>David Matthew Clarke c. Sa Majesté la Reine</w:t>
            </w:r>
          </w:p>
          <w:p w:rsidR="00B124FF" w:rsidRPr="00377C08" w:rsidRDefault="00B124FF" w:rsidP="005F32B8">
            <w:pPr>
              <w:jc w:val="both"/>
              <w:rPr>
                <w:sz w:val="20"/>
                <w:lang w:val="fr-CA"/>
              </w:rPr>
            </w:pPr>
            <w:r w:rsidRPr="00377C08">
              <w:rPr>
                <w:sz w:val="20"/>
                <w:lang w:val="fr-CA"/>
              </w:rPr>
              <w:t>(C.-B.) (Criminelle) (Sur autorisation)</w:t>
            </w:r>
          </w:p>
        </w:tc>
      </w:tr>
      <w:tr w:rsidR="00B124FF" w:rsidRPr="00CC0B55" w:rsidTr="005F32B8">
        <w:tc>
          <w:tcPr>
            <w:tcW w:w="5000" w:type="pct"/>
            <w:gridSpan w:val="4"/>
          </w:tcPr>
          <w:p w:rsidR="00B124FF" w:rsidRDefault="00B124FF" w:rsidP="005F32B8">
            <w:pPr>
              <w:jc w:val="both"/>
              <w:rPr>
                <w:sz w:val="20"/>
                <w:lang w:val="fr-CA"/>
              </w:rPr>
            </w:pPr>
            <w:r w:rsidRPr="00C97F67">
              <w:rPr>
                <w:sz w:val="20"/>
                <w:lang w:val="fr-CA"/>
              </w:rPr>
              <w:t>La requête visant à accélérer le traitement de la demande d’autorisation d’appel est rejetée. La demande d’autorisation d’appel de l’arrêt de la Cour d’appel de la Colombie-Britannique (Vancouver), numéro CA43640, 2017 BCCA 453, daté du 27 décembre 2017, est rejetée.</w:t>
            </w:r>
          </w:p>
          <w:p w:rsidR="00B124FF" w:rsidRPr="00C97F67" w:rsidRDefault="00B124FF" w:rsidP="005F32B8">
            <w:pPr>
              <w:jc w:val="both"/>
              <w:rPr>
                <w:sz w:val="20"/>
                <w:lang w:val="fr-CA"/>
              </w:rPr>
            </w:pPr>
          </w:p>
        </w:tc>
      </w:tr>
      <w:tr w:rsidR="00B124FF" w:rsidRPr="00CC0B55" w:rsidTr="005F32B8">
        <w:tc>
          <w:tcPr>
            <w:tcW w:w="5000" w:type="pct"/>
            <w:gridSpan w:val="4"/>
          </w:tcPr>
          <w:p w:rsidR="00B124FF" w:rsidRPr="00377C08" w:rsidRDefault="00B124FF" w:rsidP="005F32B8">
            <w:pPr>
              <w:jc w:val="both"/>
              <w:rPr>
                <w:sz w:val="20"/>
                <w:lang w:val="fr-CA"/>
              </w:rPr>
            </w:pPr>
            <w:r w:rsidRPr="00377C08">
              <w:rPr>
                <w:i/>
                <w:sz w:val="20"/>
                <w:lang w:val="fr-CA"/>
              </w:rPr>
              <w:t xml:space="preserve">Charte des droits </w:t>
            </w:r>
            <w:r w:rsidRPr="00377C08">
              <w:rPr>
                <w:sz w:val="20"/>
                <w:lang w:val="fr-CA"/>
              </w:rPr>
              <w:t xml:space="preserve">— Droit criminel — Fouilles, perquisitions et saisies — Lorsqu’une personne partage sa résidence et son contenu avec d’autres, l’État peut-il s’appuyer sur le consentement d’un tiers co-résident pour justifier une fouille ou une perquisition et une saisie sans mandat au regard de l’art. 8 à l’encontre de la personne dont le consentement n’a pas été obtenu? — L’attente raisonnable en matière de vie privée au sens de l’art. 8 de la </w:t>
            </w:r>
            <w:r w:rsidRPr="00377C08">
              <w:rPr>
                <w:i/>
                <w:sz w:val="20"/>
                <w:lang w:val="fr-CA"/>
              </w:rPr>
              <w:t>Charte</w:t>
            </w:r>
            <w:r w:rsidRPr="00377C08">
              <w:rPr>
                <w:sz w:val="20"/>
                <w:lang w:val="fr-CA"/>
              </w:rPr>
              <w:t xml:space="preserve"> comprend-elle une « analyse du risque » de la question de savoir si la personne doit raisonnablement s’attendre à ce qu’un tiers avec qui elle partage une résidence peut avoir des intérêts contraires aux siens et consentir à ce que des policiers entrent dans la résidence pour y saisir des biens et qu’il serait loisible à des mandataires de l’État de le faire sans autorisation judiciaire préalable ou quelque autre pouvoir légal que ce soit? — </w:t>
            </w:r>
            <w:r w:rsidRPr="00377C08">
              <w:rPr>
                <w:i/>
                <w:sz w:val="20"/>
                <w:lang w:val="fr-CA"/>
              </w:rPr>
              <w:t>Charte canadienne des droits et libertés</w:t>
            </w:r>
            <w:r w:rsidRPr="00377C08">
              <w:rPr>
                <w:sz w:val="20"/>
                <w:lang w:val="fr-CA"/>
              </w:rPr>
              <w:t>, art. 8.</w:t>
            </w:r>
          </w:p>
        </w:tc>
      </w:tr>
      <w:tr w:rsidR="00B124FF" w:rsidRPr="00CC0B55" w:rsidTr="005F32B8">
        <w:tc>
          <w:tcPr>
            <w:tcW w:w="5000" w:type="pct"/>
            <w:gridSpan w:val="4"/>
          </w:tcPr>
          <w:p w:rsidR="00B124FF" w:rsidRPr="00377C08" w:rsidRDefault="00B124FF" w:rsidP="005F32B8">
            <w:pPr>
              <w:jc w:val="both"/>
              <w:rPr>
                <w:sz w:val="20"/>
                <w:lang w:val="fr-CA"/>
              </w:rPr>
            </w:pPr>
          </w:p>
        </w:tc>
      </w:tr>
      <w:tr w:rsidR="00B124FF" w:rsidRPr="00CC0B55" w:rsidTr="005F32B8">
        <w:tc>
          <w:tcPr>
            <w:tcW w:w="5000" w:type="pct"/>
            <w:gridSpan w:val="4"/>
          </w:tcPr>
          <w:p w:rsidR="00B124FF" w:rsidRPr="00377C08" w:rsidRDefault="00B124FF" w:rsidP="005F32B8">
            <w:pPr>
              <w:jc w:val="both"/>
              <w:rPr>
                <w:sz w:val="20"/>
                <w:lang w:val="fr-CA"/>
              </w:rPr>
            </w:pPr>
            <w:r w:rsidRPr="00377C08">
              <w:rPr>
                <w:sz w:val="20"/>
                <w:lang w:val="fr-CA"/>
              </w:rPr>
              <w:t xml:space="preserve">M. Clarke a été déclaré coupable de deux chefs d’accusation de possession d’une arme à feu sans permis et sans certificat d’enregistrement, infraction prévue au par. 92(1) du </w:t>
            </w:r>
            <w:r w:rsidRPr="00377C08">
              <w:rPr>
                <w:i/>
                <w:sz w:val="20"/>
                <w:lang w:val="fr-CA"/>
              </w:rPr>
              <w:t>Code criminel</w:t>
            </w:r>
            <w:r w:rsidRPr="00377C08">
              <w:rPr>
                <w:sz w:val="20"/>
                <w:lang w:val="fr-CA"/>
              </w:rPr>
              <w:t>. Les armes à feu ont été saisies lors d’une perquisition dans une résidence, que la police a effectuée avec le consentement de F, la principale occupante de la maison qu’elle partageait avec M. Clarke. Les propriétaires inscrits de la résidence étaient M. Clarke et sa mère. F était la locataire de M. Clarke et la principale occupante (avec ses trois enfants) de la résidence. M. Clarke avait une liaison ainsi qu’une relation d’amitié et d’affaires avec F. Il avait sa propre clé et habitait dans la maison de façon intermittente seulement, à son gré. F avait des inquiétudes au sujet de M. Clarke, qui était policier à l’époque, et après un certain temps sans l’avoir vu, elle a communiqué avec le service de police. Elle a révélé aux policiers que M. Clarke entreposait des munitions dans le garage de la résidence. Elle a rencontré les policiers et signé un formulaire de consentement les autorisant à perquisitionner dans la résidence. Les policiers ont procédé à une perquisition sans mandat des aires communes de la résidence ainsi que du garage, auquel on pouvait avoir accès à partir de la résidence en passant par une porte intérieure. Les deux armes ont été découvertes. Elles étaient enfouies sous une pile d’objets, laquelle était recouverte d’une bâche sous une étagère ou un établi dans le garage, dans une aire strictement occupée par M. Clarke.</w:t>
            </w:r>
          </w:p>
          <w:p w:rsidR="00B124FF" w:rsidRPr="00377C08" w:rsidRDefault="00B124FF" w:rsidP="005F32B8">
            <w:pPr>
              <w:jc w:val="both"/>
              <w:rPr>
                <w:sz w:val="20"/>
                <w:lang w:val="fr-CA"/>
              </w:rPr>
            </w:pPr>
          </w:p>
          <w:p w:rsidR="00B124FF" w:rsidRPr="00377C08" w:rsidRDefault="00B124FF" w:rsidP="005F32B8">
            <w:pPr>
              <w:jc w:val="both"/>
              <w:rPr>
                <w:sz w:val="20"/>
                <w:lang w:val="fr-CA"/>
              </w:rPr>
            </w:pPr>
            <w:r w:rsidRPr="00377C08">
              <w:rPr>
                <w:sz w:val="20"/>
                <w:lang w:val="fr-CA"/>
              </w:rPr>
              <w:t xml:space="preserve">En appel, M. Clarke a soutenu que la juge du procès avait eu tort de conclure que la perquisition et la saisie des armes à feu ne violaient pas le droit que lui confère l’art. 8 de la </w:t>
            </w:r>
            <w:r w:rsidRPr="00377C08">
              <w:rPr>
                <w:i/>
                <w:sz w:val="20"/>
                <w:lang w:val="fr-CA"/>
              </w:rPr>
              <w:t>Charte canadienne des droits et libertés</w:t>
            </w:r>
            <w:r w:rsidRPr="00377C08">
              <w:rPr>
                <w:sz w:val="20"/>
                <w:lang w:val="fr-CA"/>
              </w:rPr>
              <w:t xml:space="preserve">, et de refuser d’exclure les armes à feu au titre du par. 24(2) de la </w:t>
            </w:r>
            <w:r w:rsidRPr="00377C08">
              <w:rPr>
                <w:i/>
                <w:sz w:val="20"/>
                <w:lang w:val="fr-CA"/>
              </w:rPr>
              <w:t>Charte</w:t>
            </w:r>
            <w:r w:rsidRPr="00377C08">
              <w:rPr>
                <w:sz w:val="20"/>
                <w:lang w:val="fr-CA"/>
              </w:rPr>
              <w:t xml:space="preserve">. La Cour d’appel de la Colombie-Britannique a rejeté l’appel, et a conclu que les policiers avaient violé le droit à la vie privée que l’art. 8 garantit à M. Clarke, mais que l’exclusion de la preuve serait plus susceptible de miner la confiance du public envers l’administration de </w:t>
            </w:r>
            <w:r>
              <w:rPr>
                <w:sz w:val="20"/>
                <w:lang w:val="fr-CA"/>
              </w:rPr>
              <w:t>la justice que son utilisation.</w:t>
            </w:r>
          </w:p>
          <w:p w:rsidR="00B124FF" w:rsidRPr="00377C08" w:rsidRDefault="00B124FF" w:rsidP="005F32B8">
            <w:pPr>
              <w:jc w:val="both"/>
              <w:rPr>
                <w:sz w:val="20"/>
                <w:lang w:val="fr-CA"/>
              </w:rPr>
            </w:pPr>
          </w:p>
        </w:tc>
      </w:tr>
      <w:tr w:rsidR="00B124FF" w:rsidRPr="00CC0B55" w:rsidTr="005F32B8">
        <w:tc>
          <w:tcPr>
            <w:tcW w:w="2427" w:type="pct"/>
            <w:gridSpan w:val="2"/>
          </w:tcPr>
          <w:p w:rsidR="00B124FF" w:rsidRPr="00377C08" w:rsidRDefault="00B124FF" w:rsidP="005F32B8">
            <w:pPr>
              <w:jc w:val="both"/>
              <w:rPr>
                <w:sz w:val="20"/>
                <w:lang w:val="fr-CA"/>
              </w:rPr>
            </w:pPr>
            <w:r w:rsidRPr="00377C08">
              <w:rPr>
                <w:sz w:val="20"/>
                <w:lang w:val="fr-CA"/>
              </w:rPr>
              <w:t>29 janvier 2016</w:t>
            </w:r>
          </w:p>
          <w:p w:rsidR="00B124FF" w:rsidRPr="00377C08" w:rsidRDefault="00B124FF" w:rsidP="005F32B8">
            <w:pPr>
              <w:jc w:val="both"/>
              <w:rPr>
                <w:sz w:val="20"/>
                <w:lang w:val="fr-CA"/>
              </w:rPr>
            </w:pPr>
            <w:r w:rsidRPr="00377C08">
              <w:rPr>
                <w:sz w:val="20"/>
                <w:lang w:val="fr-CA"/>
              </w:rPr>
              <w:t>Cour suprême de la Colombie-Britannique</w:t>
            </w:r>
          </w:p>
          <w:p w:rsidR="00B124FF" w:rsidRPr="00377C08" w:rsidRDefault="00B124FF" w:rsidP="005F32B8">
            <w:pPr>
              <w:jc w:val="both"/>
              <w:rPr>
                <w:sz w:val="20"/>
                <w:lang w:val="fr-CA"/>
              </w:rPr>
            </w:pPr>
            <w:r w:rsidRPr="00377C08">
              <w:rPr>
                <w:sz w:val="20"/>
                <w:lang w:val="fr-CA"/>
              </w:rPr>
              <w:t>(Juge Arnold-Bailey)</w:t>
            </w:r>
          </w:p>
          <w:p w:rsidR="00B124FF" w:rsidRPr="00377C08" w:rsidRDefault="00A24D5C" w:rsidP="005F32B8">
            <w:pPr>
              <w:jc w:val="both"/>
              <w:rPr>
                <w:sz w:val="20"/>
                <w:lang w:val="fr-CA"/>
              </w:rPr>
            </w:pPr>
            <w:hyperlink r:id="rId59" w:history="1">
              <w:r w:rsidR="00B124FF" w:rsidRPr="00377C08">
                <w:rPr>
                  <w:rStyle w:val="Hyperlink"/>
                  <w:sz w:val="20"/>
                  <w:lang w:val="fr-CA"/>
                </w:rPr>
                <w:t>2016 BCSC 1323</w:t>
              </w:r>
            </w:hyperlink>
          </w:p>
          <w:p w:rsidR="00B124FF" w:rsidRPr="00377C08" w:rsidRDefault="00B124FF" w:rsidP="005F32B8">
            <w:pPr>
              <w:jc w:val="both"/>
              <w:rPr>
                <w:sz w:val="20"/>
                <w:lang w:val="fr-CA"/>
              </w:rPr>
            </w:pPr>
          </w:p>
        </w:tc>
        <w:tc>
          <w:tcPr>
            <w:tcW w:w="243" w:type="pct"/>
          </w:tcPr>
          <w:p w:rsidR="00B124FF" w:rsidRPr="00377C08" w:rsidRDefault="00B124FF" w:rsidP="005F32B8">
            <w:pPr>
              <w:jc w:val="both"/>
              <w:rPr>
                <w:sz w:val="20"/>
                <w:lang w:val="fr-CA"/>
              </w:rPr>
            </w:pPr>
          </w:p>
        </w:tc>
        <w:tc>
          <w:tcPr>
            <w:tcW w:w="2330" w:type="pct"/>
          </w:tcPr>
          <w:p w:rsidR="00B124FF" w:rsidRPr="00377C08" w:rsidRDefault="00B124FF" w:rsidP="005F32B8">
            <w:pPr>
              <w:jc w:val="both"/>
              <w:rPr>
                <w:i/>
                <w:sz w:val="20"/>
                <w:lang w:val="fr-CA"/>
              </w:rPr>
            </w:pPr>
            <w:r w:rsidRPr="00377C08">
              <w:rPr>
                <w:sz w:val="20"/>
                <w:lang w:val="fr-CA"/>
              </w:rPr>
              <w:t xml:space="preserve">Demandeur déclaré coupable de deux chefs d’accusation de possession d’une arme à feu sans permis et sans certificat d’enregistrement </w:t>
            </w:r>
          </w:p>
          <w:p w:rsidR="00B124FF" w:rsidRPr="00377C08" w:rsidRDefault="00B124FF" w:rsidP="005F32B8">
            <w:pPr>
              <w:jc w:val="both"/>
              <w:rPr>
                <w:sz w:val="20"/>
                <w:lang w:val="fr-CA"/>
              </w:rPr>
            </w:pPr>
          </w:p>
        </w:tc>
      </w:tr>
      <w:tr w:rsidR="00B124FF" w:rsidRPr="00CC0B55" w:rsidTr="005F32B8">
        <w:tc>
          <w:tcPr>
            <w:tcW w:w="2427" w:type="pct"/>
            <w:gridSpan w:val="2"/>
          </w:tcPr>
          <w:p w:rsidR="00B124FF" w:rsidRPr="00377C08" w:rsidRDefault="00B124FF" w:rsidP="005F32B8">
            <w:pPr>
              <w:jc w:val="both"/>
              <w:rPr>
                <w:sz w:val="20"/>
                <w:lang w:val="fr-CA"/>
              </w:rPr>
            </w:pPr>
            <w:r w:rsidRPr="00377C08">
              <w:rPr>
                <w:sz w:val="20"/>
                <w:lang w:val="fr-CA"/>
              </w:rPr>
              <w:t>27 décembre 2017</w:t>
            </w:r>
          </w:p>
          <w:p w:rsidR="00B124FF" w:rsidRPr="00377C08" w:rsidRDefault="00B124FF" w:rsidP="005F32B8">
            <w:pPr>
              <w:jc w:val="both"/>
              <w:rPr>
                <w:sz w:val="20"/>
                <w:lang w:val="fr-CA"/>
              </w:rPr>
            </w:pPr>
            <w:r w:rsidRPr="00377C08">
              <w:rPr>
                <w:sz w:val="20"/>
                <w:lang w:val="fr-CA"/>
              </w:rPr>
              <w:t xml:space="preserve">Cour d’appel de la Colombie-Britannique </w:t>
            </w:r>
          </w:p>
          <w:p w:rsidR="00B124FF" w:rsidRPr="00377C08" w:rsidRDefault="00B124FF" w:rsidP="005F32B8">
            <w:pPr>
              <w:jc w:val="both"/>
              <w:rPr>
                <w:sz w:val="20"/>
                <w:lang w:val="fr-CA"/>
              </w:rPr>
            </w:pPr>
            <w:r w:rsidRPr="00377C08">
              <w:rPr>
                <w:sz w:val="20"/>
                <w:lang w:val="fr-CA"/>
              </w:rPr>
              <w:t>(Vancouver)</w:t>
            </w:r>
          </w:p>
          <w:p w:rsidR="00B124FF" w:rsidRPr="00377C08" w:rsidRDefault="00B124FF" w:rsidP="005F32B8">
            <w:pPr>
              <w:jc w:val="both"/>
              <w:rPr>
                <w:sz w:val="20"/>
                <w:lang w:val="fr-CA"/>
              </w:rPr>
            </w:pPr>
            <w:r w:rsidRPr="00377C08">
              <w:rPr>
                <w:sz w:val="20"/>
                <w:lang w:val="fr-CA"/>
              </w:rPr>
              <w:t>(Juges MacKenzie, Harris et Fisher)</w:t>
            </w:r>
          </w:p>
          <w:p w:rsidR="00B124FF" w:rsidRPr="00377C08" w:rsidRDefault="00A24D5C" w:rsidP="005F32B8">
            <w:pPr>
              <w:jc w:val="both"/>
              <w:rPr>
                <w:sz w:val="20"/>
                <w:lang w:val="fr-CA"/>
              </w:rPr>
            </w:pPr>
            <w:hyperlink r:id="rId60" w:history="1">
              <w:r w:rsidR="00B124FF" w:rsidRPr="00377C08">
                <w:rPr>
                  <w:rStyle w:val="Hyperlink"/>
                  <w:sz w:val="20"/>
                  <w:lang w:val="fr-CA"/>
                </w:rPr>
                <w:t>2017 BCCA 453</w:t>
              </w:r>
            </w:hyperlink>
          </w:p>
          <w:p w:rsidR="00B124FF" w:rsidRPr="00377C08" w:rsidRDefault="00B124FF" w:rsidP="005F32B8">
            <w:pPr>
              <w:jc w:val="both"/>
              <w:rPr>
                <w:sz w:val="20"/>
                <w:lang w:val="fr-CA"/>
              </w:rPr>
            </w:pPr>
          </w:p>
        </w:tc>
        <w:tc>
          <w:tcPr>
            <w:tcW w:w="243" w:type="pct"/>
          </w:tcPr>
          <w:p w:rsidR="00B124FF" w:rsidRPr="00377C08" w:rsidRDefault="00B124FF" w:rsidP="005F32B8">
            <w:pPr>
              <w:jc w:val="both"/>
              <w:rPr>
                <w:sz w:val="20"/>
                <w:lang w:val="fr-CA"/>
              </w:rPr>
            </w:pPr>
          </w:p>
        </w:tc>
        <w:tc>
          <w:tcPr>
            <w:tcW w:w="2330" w:type="pct"/>
          </w:tcPr>
          <w:p w:rsidR="00B124FF" w:rsidRPr="00377C08" w:rsidRDefault="00B124FF" w:rsidP="005F32B8">
            <w:pPr>
              <w:jc w:val="both"/>
              <w:rPr>
                <w:sz w:val="20"/>
                <w:lang w:val="fr-CA"/>
              </w:rPr>
            </w:pPr>
            <w:r w:rsidRPr="00377C08">
              <w:rPr>
                <w:sz w:val="20"/>
                <w:lang w:val="fr-CA"/>
              </w:rPr>
              <w:t xml:space="preserve">Appel de la déclaration de culpabilité rejeté </w:t>
            </w:r>
          </w:p>
        </w:tc>
      </w:tr>
      <w:tr w:rsidR="00B124FF" w:rsidRPr="00377C08" w:rsidTr="005F32B8">
        <w:tc>
          <w:tcPr>
            <w:tcW w:w="2427" w:type="pct"/>
            <w:gridSpan w:val="2"/>
          </w:tcPr>
          <w:p w:rsidR="00B124FF" w:rsidRPr="00377C08" w:rsidRDefault="00B124FF" w:rsidP="005F32B8">
            <w:pPr>
              <w:jc w:val="both"/>
              <w:rPr>
                <w:sz w:val="20"/>
                <w:lang w:val="fr-CA"/>
              </w:rPr>
            </w:pPr>
            <w:r w:rsidRPr="00377C08">
              <w:rPr>
                <w:sz w:val="20"/>
                <w:lang w:val="fr-CA"/>
              </w:rPr>
              <w:t>26 février 2018</w:t>
            </w:r>
          </w:p>
          <w:p w:rsidR="00B124FF" w:rsidRPr="00377C08" w:rsidRDefault="00B124FF" w:rsidP="005F32B8">
            <w:pPr>
              <w:jc w:val="both"/>
              <w:rPr>
                <w:sz w:val="20"/>
                <w:lang w:val="fr-CA"/>
              </w:rPr>
            </w:pPr>
            <w:r w:rsidRPr="00377C08">
              <w:rPr>
                <w:sz w:val="20"/>
                <w:lang w:val="fr-CA"/>
              </w:rPr>
              <w:t>Cour suprême du Canada</w:t>
            </w:r>
          </w:p>
        </w:tc>
        <w:tc>
          <w:tcPr>
            <w:tcW w:w="243" w:type="pct"/>
          </w:tcPr>
          <w:p w:rsidR="00B124FF" w:rsidRPr="00377C08" w:rsidRDefault="00B124FF" w:rsidP="005F32B8">
            <w:pPr>
              <w:jc w:val="both"/>
              <w:rPr>
                <w:sz w:val="20"/>
                <w:lang w:val="fr-CA"/>
              </w:rPr>
            </w:pPr>
          </w:p>
        </w:tc>
        <w:tc>
          <w:tcPr>
            <w:tcW w:w="2330" w:type="pct"/>
          </w:tcPr>
          <w:p w:rsidR="00B124FF" w:rsidRPr="00377C08" w:rsidRDefault="00B124FF" w:rsidP="005F32B8">
            <w:pPr>
              <w:jc w:val="both"/>
              <w:rPr>
                <w:sz w:val="20"/>
                <w:lang w:val="fr-CA"/>
              </w:rPr>
            </w:pPr>
            <w:r w:rsidRPr="00377C08">
              <w:rPr>
                <w:sz w:val="20"/>
                <w:lang w:val="fr-CA"/>
              </w:rPr>
              <w:t>Demande d’autorisation d’appel déposée</w:t>
            </w:r>
          </w:p>
          <w:p w:rsidR="00B124FF" w:rsidRPr="00377C08" w:rsidRDefault="00B124FF" w:rsidP="005F32B8">
            <w:pPr>
              <w:jc w:val="both"/>
              <w:rPr>
                <w:sz w:val="20"/>
                <w:lang w:val="fr-CA"/>
              </w:rPr>
            </w:pPr>
          </w:p>
        </w:tc>
      </w:tr>
    </w:tbl>
    <w:p w:rsidR="00B124FF" w:rsidRPr="00AF75CE" w:rsidRDefault="00B124FF" w:rsidP="00B124FF">
      <w:pPr>
        <w:jc w:val="both"/>
        <w:rPr>
          <w:sz w:val="20"/>
          <w:lang w:val="fr-CA"/>
        </w:rPr>
      </w:pPr>
    </w:p>
    <w:p w:rsidR="00B124FF" w:rsidRPr="00AF75CE" w:rsidRDefault="00A24D5C" w:rsidP="00B124FF">
      <w:pPr>
        <w:ind w:left="142" w:hanging="142"/>
        <w:jc w:val="both"/>
        <w:rPr>
          <w:sz w:val="20"/>
          <w:lang w:val="fr-CA"/>
        </w:rPr>
      </w:pPr>
      <w:r>
        <w:rPr>
          <w:sz w:val="20"/>
          <w:szCs w:val="20"/>
        </w:rPr>
        <w:pict>
          <v:rect id="_x0000_i1044" style="width:2in;height:1pt" o:hrpct="0" o:hralign="center" o:hrstd="t" o:hrnoshade="t" o:hr="t" fillcolor="black [3213]" stroked="f"/>
        </w:pict>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124FF" w:rsidRPr="00AF75CE" w:rsidTr="005F32B8">
        <w:tc>
          <w:tcPr>
            <w:tcW w:w="543" w:type="pct"/>
          </w:tcPr>
          <w:p w:rsidR="00B124FF" w:rsidRPr="00AF75CE" w:rsidRDefault="00B124FF" w:rsidP="005F32B8">
            <w:pPr>
              <w:jc w:val="both"/>
              <w:rPr>
                <w:sz w:val="20"/>
              </w:rPr>
            </w:pPr>
            <w:r w:rsidRPr="00AF75CE">
              <w:rPr>
                <w:rStyle w:val="SCCFileNumberChar"/>
                <w:sz w:val="20"/>
                <w:szCs w:val="20"/>
              </w:rPr>
              <w:lastRenderedPageBreak/>
              <w:t>38096</w:t>
            </w:r>
          </w:p>
        </w:tc>
        <w:tc>
          <w:tcPr>
            <w:tcW w:w="4457" w:type="pct"/>
            <w:gridSpan w:val="3"/>
          </w:tcPr>
          <w:p w:rsidR="00B124FF" w:rsidRPr="00AF75CE" w:rsidRDefault="00B124FF" w:rsidP="005F32B8">
            <w:pPr>
              <w:jc w:val="both"/>
              <w:rPr>
                <w:sz w:val="20"/>
              </w:rPr>
            </w:pPr>
            <w:r w:rsidRPr="00AF75CE">
              <w:rPr>
                <w:b/>
                <w:spacing w:val="-6"/>
                <w:sz w:val="20"/>
              </w:rPr>
              <w:t>Art Douglas</w:t>
            </w:r>
            <w:r>
              <w:rPr>
                <w:b/>
                <w:spacing w:val="-6"/>
                <w:sz w:val="20"/>
              </w:rPr>
              <w:t xml:space="preserve"> and</w:t>
            </w:r>
            <w:r w:rsidRPr="00AF75CE">
              <w:rPr>
                <w:b/>
                <w:spacing w:val="-6"/>
                <w:sz w:val="20"/>
              </w:rPr>
              <w:t xml:space="preserve"> Wendy Douglas v. Stan Fergusson Fuels Ltd., Imperial Oil Limited</w:t>
            </w:r>
            <w:r>
              <w:rPr>
                <w:b/>
                <w:spacing w:val="-6"/>
                <w:sz w:val="20"/>
              </w:rPr>
              <w:t xml:space="preserve"> and </w:t>
            </w:r>
            <w:r w:rsidRPr="00AF75CE">
              <w:rPr>
                <w:b/>
                <w:spacing w:val="-6"/>
                <w:sz w:val="20"/>
              </w:rPr>
              <w:t>Imperial Oil, a partnership of Imperial Oil Limited and Imperial Oil Resources Limited (</w:t>
            </w:r>
            <w:r>
              <w:rPr>
                <w:b/>
                <w:spacing w:val="-6"/>
                <w:sz w:val="20"/>
              </w:rPr>
              <w:t xml:space="preserve">successor to </w:t>
            </w:r>
            <w:r w:rsidRPr="00AF75CE">
              <w:rPr>
                <w:b/>
                <w:spacing w:val="-6"/>
                <w:sz w:val="20"/>
              </w:rPr>
              <w:t xml:space="preserve">Frontenac Petroleum Inc.) </w:t>
            </w:r>
            <w:r w:rsidRPr="00AF75CE">
              <w:rPr>
                <w:sz w:val="20"/>
              </w:rPr>
              <w:t>(Ont.) (Civil) (By Leave)</w:t>
            </w:r>
          </w:p>
        </w:tc>
      </w:tr>
      <w:tr w:rsidR="00B124FF" w:rsidRPr="00AF75CE" w:rsidTr="005F32B8">
        <w:tc>
          <w:tcPr>
            <w:tcW w:w="5000" w:type="pct"/>
            <w:gridSpan w:val="4"/>
          </w:tcPr>
          <w:p w:rsidR="00B124FF" w:rsidRDefault="00B124FF" w:rsidP="005F32B8">
            <w:pPr>
              <w:jc w:val="both"/>
              <w:rPr>
                <w:sz w:val="20"/>
              </w:rPr>
            </w:pPr>
            <w:r w:rsidRPr="00C11FF6">
              <w:rPr>
                <w:sz w:val="20"/>
              </w:rPr>
              <w:t>The application for leave to appeal from the judgment of the Court of Appeal for Ontario, Number C62079, 2018 ONCA 192, dated March 9, 2018, is dismissed with costs.</w:t>
            </w:r>
          </w:p>
          <w:p w:rsidR="00B124FF" w:rsidRPr="00AF75CE" w:rsidRDefault="00B124FF" w:rsidP="005F32B8">
            <w:pPr>
              <w:jc w:val="both"/>
              <w:rPr>
                <w:sz w:val="20"/>
              </w:rPr>
            </w:pPr>
          </w:p>
        </w:tc>
      </w:tr>
      <w:tr w:rsidR="00B124FF" w:rsidRPr="00AF75CE" w:rsidTr="005F32B8">
        <w:tc>
          <w:tcPr>
            <w:tcW w:w="5000" w:type="pct"/>
            <w:gridSpan w:val="4"/>
          </w:tcPr>
          <w:p w:rsidR="00B124FF" w:rsidRPr="00AF75CE" w:rsidRDefault="00B124FF" w:rsidP="005F32B8">
            <w:pPr>
              <w:jc w:val="both"/>
              <w:rPr>
                <w:sz w:val="20"/>
              </w:rPr>
            </w:pPr>
            <w:r w:rsidRPr="00AF75CE">
              <w:rPr>
                <w:sz w:val="20"/>
              </w:rPr>
              <w:t>Civil procedure — Parties — Addition — Substitution — Insurance — Subrogation — Bankruptcy and insolvency — Insurer initiated subrogated claim for cost of remediation of property damage naming Art and Wendy Douglas as plaintiffs — Limitation period expired shortly after action commenced — Wendy Douglas had made assignment into bankruptcy before property damaged — Art Douglas made assignment into bankruptcy after damage to property but before action commenced — Respondents sought summary judgment based on lack of capacity to sue — Whether insurer’s right to commence and maintain action in insured’s name after the insured has made an assignment into bankruptcy has been compromised — Whether the insurer’s ability to correct a misnomer of an improperly named party has been compromised.</w:t>
            </w:r>
          </w:p>
        </w:tc>
      </w:tr>
      <w:tr w:rsidR="00B124FF" w:rsidRPr="00AF75CE" w:rsidTr="005F32B8">
        <w:tc>
          <w:tcPr>
            <w:tcW w:w="5000" w:type="pct"/>
            <w:gridSpan w:val="4"/>
          </w:tcPr>
          <w:p w:rsidR="00B124FF" w:rsidRPr="00AF75CE" w:rsidRDefault="00B124FF" w:rsidP="005F32B8">
            <w:pPr>
              <w:jc w:val="both"/>
              <w:rPr>
                <w:sz w:val="20"/>
              </w:rPr>
            </w:pPr>
          </w:p>
          <w:p w:rsidR="00B124FF" w:rsidRPr="00AF75CE" w:rsidRDefault="00B124FF" w:rsidP="005F32B8">
            <w:pPr>
              <w:jc w:val="both"/>
              <w:rPr>
                <w:sz w:val="20"/>
              </w:rPr>
            </w:pPr>
            <w:r w:rsidRPr="00AF75CE">
              <w:rPr>
                <w:sz w:val="20"/>
              </w:rPr>
              <w:t>It is alleged that fuel oil delivered by the respondents escaped and contaminated the Douglases’ property. Title to the property was then held by Art Douglas and Wendy Douglas’s trustee in bankruptcy. The Douglases’ insurer, State Farm Fire and Casualty, covered the losses and remediated the damage, indicating that it intended to recover its costs from the respondents under the subrogation clause in the Douglases’ Homeowners Policy. In June 2009, Art Douglas filed an assignment in bankruptcy. A trustee in bankruptcy replaced him on the title to the property and advised State Farm of the assignment. In October 2009, the Trustee sold the remediated property and satisfied the Douglases’ creditors.</w:t>
            </w:r>
          </w:p>
          <w:p w:rsidR="00B124FF" w:rsidRPr="00AF75CE" w:rsidRDefault="00B124FF" w:rsidP="005F32B8">
            <w:pPr>
              <w:jc w:val="both"/>
              <w:rPr>
                <w:sz w:val="20"/>
              </w:rPr>
            </w:pPr>
          </w:p>
          <w:p w:rsidR="00B124FF" w:rsidRPr="00AF75CE" w:rsidRDefault="00B124FF" w:rsidP="005F32B8">
            <w:pPr>
              <w:jc w:val="both"/>
              <w:rPr>
                <w:sz w:val="20"/>
              </w:rPr>
            </w:pPr>
            <w:r w:rsidRPr="00AF75CE">
              <w:rPr>
                <w:sz w:val="20"/>
              </w:rPr>
              <w:t xml:space="preserve">In November 2009, State Farm commenced this action against the respondents in the names of Art and Wendy Douglas. Art Douglas received an absolute discharge from bankruptcy in March 2010, and the trustee was discharged in August 2012. In 2013, the respondents brought a summary judgment motion arguing that the Douglases did not have the capacity to bring this action. State Farm brought a cross-motion for directions as to the continuation of the action in the Douglases’ name or in its own name and alternative relief. The motions judge dismissed the motion for summary judgment and ordered that State Farm was </w:t>
            </w:r>
            <w:r w:rsidRPr="00AF75CE">
              <w:rPr>
                <w:i/>
                <w:sz w:val="20"/>
              </w:rPr>
              <w:t>dominus litus</w:t>
            </w:r>
            <w:r w:rsidRPr="00AF75CE">
              <w:rPr>
                <w:sz w:val="20"/>
              </w:rPr>
              <w:t xml:space="preserve"> and had the right to control the action. The Divisional Court dismissed the respondents’ appeal. The Court of Appeal allowed their further appeal, granting summary judgment and dismissing the action.</w:t>
            </w:r>
          </w:p>
        </w:tc>
      </w:tr>
      <w:tr w:rsidR="00B124FF" w:rsidRPr="00AF75CE" w:rsidTr="005F32B8">
        <w:tc>
          <w:tcPr>
            <w:tcW w:w="5000" w:type="pct"/>
            <w:gridSpan w:val="4"/>
          </w:tcPr>
          <w:p w:rsidR="00B124FF" w:rsidRPr="00AF75CE" w:rsidRDefault="00B124FF" w:rsidP="005F32B8">
            <w:pPr>
              <w:jc w:val="both"/>
              <w:rPr>
                <w:sz w:val="20"/>
              </w:rPr>
            </w:pPr>
          </w:p>
        </w:tc>
      </w:tr>
      <w:tr w:rsidR="00B124FF" w:rsidRPr="00AF75CE" w:rsidTr="005F32B8">
        <w:tc>
          <w:tcPr>
            <w:tcW w:w="2427" w:type="pct"/>
            <w:gridSpan w:val="2"/>
          </w:tcPr>
          <w:p w:rsidR="00B124FF" w:rsidRPr="00AF75CE" w:rsidRDefault="00B124FF" w:rsidP="005F32B8">
            <w:pPr>
              <w:jc w:val="both"/>
              <w:rPr>
                <w:sz w:val="20"/>
              </w:rPr>
            </w:pPr>
            <w:r w:rsidRPr="00AF75CE">
              <w:rPr>
                <w:sz w:val="20"/>
              </w:rPr>
              <w:t>August 13, 2014</w:t>
            </w:r>
          </w:p>
          <w:p w:rsidR="00B124FF" w:rsidRPr="00AF75CE" w:rsidRDefault="00B124FF" w:rsidP="005F32B8">
            <w:pPr>
              <w:jc w:val="both"/>
              <w:rPr>
                <w:sz w:val="20"/>
              </w:rPr>
            </w:pPr>
            <w:r w:rsidRPr="00AF75CE">
              <w:rPr>
                <w:sz w:val="20"/>
              </w:rPr>
              <w:t>Ontario Superior Court of Justice</w:t>
            </w:r>
          </w:p>
          <w:p w:rsidR="00B124FF" w:rsidRPr="00AF75CE" w:rsidRDefault="00B124FF" w:rsidP="005F32B8">
            <w:pPr>
              <w:jc w:val="both"/>
              <w:rPr>
                <w:sz w:val="20"/>
              </w:rPr>
            </w:pPr>
            <w:r w:rsidRPr="00AF75CE">
              <w:rPr>
                <w:sz w:val="20"/>
              </w:rPr>
              <w:t>(Abrams J.)</w:t>
            </w:r>
          </w:p>
          <w:p w:rsidR="00B124FF" w:rsidRPr="00AF75CE" w:rsidRDefault="00A24D5C" w:rsidP="005F32B8">
            <w:pPr>
              <w:jc w:val="both"/>
              <w:rPr>
                <w:sz w:val="20"/>
              </w:rPr>
            </w:pPr>
            <w:hyperlink r:id="rId61" w:history="1">
              <w:r w:rsidR="00B124FF" w:rsidRPr="00AF75CE">
                <w:rPr>
                  <w:rStyle w:val="Hyperlink"/>
                  <w:sz w:val="20"/>
                </w:rPr>
                <w:t>2014 ONSC 4709</w:t>
              </w:r>
            </w:hyperlink>
          </w:p>
          <w:p w:rsidR="00B124FF" w:rsidRPr="00AF75CE" w:rsidRDefault="00B124FF" w:rsidP="005F32B8">
            <w:pPr>
              <w:jc w:val="both"/>
              <w:rPr>
                <w:sz w:val="20"/>
              </w:rPr>
            </w:pPr>
          </w:p>
        </w:tc>
        <w:tc>
          <w:tcPr>
            <w:tcW w:w="243" w:type="pct"/>
          </w:tcPr>
          <w:p w:rsidR="00B124FF" w:rsidRPr="00AF75CE" w:rsidRDefault="00B124FF" w:rsidP="005F32B8">
            <w:pPr>
              <w:jc w:val="both"/>
              <w:rPr>
                <w:sz w:val="20"/>
              </w:rPr>
            </w:pPr>
          </w:p>
        </w:tc>
        <w:tc>
          <w:tcPr>
            <w:tcW w:w="2330" w:type="pct"/>
          </w:tcPr>
          <w:p w:rsidR="00B124FF" w:rsidRPr="00AF75CE" w:rsidRDefault="00B124FF" w:rsidP="005F32B8">
            <w:pPr>
              <w:jc w:val="both"/>
              <w:rPr>
                <w:sz w:val="20"/>
              </w:rPr>
            </w:pPr>
            <w:r w:rsidRPr="00AF75CE">
              <w:rPr>
                <w:sz w:val="20"/>
              </w:rPr>
              <w:t xml:space="preserve">State Farm held to be </w:t>
            </w:r>
            <w:r w:rsidRPr="00AF75CE">
              <w:rPr>
                <w:i/>
                <w:sz w:val="20"/>
              </w:rPr>
              <w:t>dominus litis</w:t>
            </w:r>
            <w:r w:rsidRPr="00AF75CE">
              <w:rPr>
                <w:sz w:val="20"/>
              </w:rPr>
              <w:t xml:space="preserve"> and to have the right to control this action under its subrogated claim; respondents’ motion for summary judgment dismissed</w:t>
            </w:r>
          </w:p>
          <w:p w:rsidR="00B124FF" w:rsidRPr="00AF75CE" w:rsidRDefault="00B124FF" w:rsidP="005F32B8">
            <w:pPr>
              <w:jc w:val="both"/>
              <w:rPr>
                <w:sz w:val="20"/>
              </w:rPr>
            </w:pPr>
          </w:p>
        </w:tc>
      </w:tr>
      <w:tr w:rsidR="00B124FF" w:rsidRPr="00AF75CE" w:rsidTr="005F32B8">
        <w:tc>
          <w:tcPr>
            <w:tcW w:w="2427" w:type="pct"/>
            <w:gridSpan w:val="2"/>
          </w:tcPr>
          <w:p w:rsidR="00B124FF" w:rsidRPr="00AF75CE" w:rsidRDefault="00B124FF" w:rsidP="005F32B8">
            <w:pPr>
              <w:jc w:val="both"/>
              <w:rPr>
                <w:sz w:val="20"/>
              </w:rPr>
            </w:pPr>
            <w:r w:rsidRPr="00AF75CE">
              <w:rPr>
                <w:sz w:val="20"/>
              </w:rPr>
              <w:t>January 18, 2016</w:t>
            </w:r>
          </w:p>
          <w:p w:rsidR="00B124FF" w:rsidRPr="00AF75CE" w:rsidRDefault="00B124FF" w:rsidP="005F32B8">
            <w:pPr>
              <w:jc w:val="both"/>
              <w:rPr>
                <w:sz w:val="20"/>
              </w:rPr>
            </w:pPr>
            <w:r w:rsidRPr="00AF75CE">
              <w:rPr>
                <w:sz w:val="20"/>
              </w:rPr>
              <w:t>Ontario Superior Court of Justice (Div. Ct.)</w:t>
            </w:r>
          </w:p>
          <w:p w:rsidR="00B124FF" w:rsidRPr="00AF75CE" w:rsidRDefault="00B124FF" w:rsidP="005F32B8">
            <w:pPr>
              <w:jc w:val="both"/>
              <w:rPr>
                <w:sz w:val="20"/>
              </w:rPr>
            </w:pPr>
            <w:r w:rsidRPr="00AF75CE">
              <w:rPr>
                <w:sz w:val="20"/>
              </w:rPr>
              <w:t>(Marrocco A.C.J., Herold, Whitten JJ.)</w:t>
            </w:r>
          </w:p>
          <w:p w:rsidR="00B124FF" w:rsidRPr="00AF75CE" w:rsidRDefault="00A24D5C" w:rsidP="005F32B8">
            <w:pPr>
              <w:jc w:val="both"/>
              <w:rPr>
                <w:sz w:val="20"/>
              </w:rPr>
            </w:pPr>
            <w:hyperlink r:id="rId62" w:history="1">
              <w:r w:rsidR="00B124FF" w:rsidRPr="00AF75CE">
                <w:rPr>
                  <w:rStyle w:val="Hyperlink"/>
                  <w:sz w:val="20"/>
                </w:rPr>
                <w:t>2016 ONSC 442</w:t>
              </w:r>
            </w:hyperlink>
          </w:p>
          <w:p w:rsidR="00B124FF" w:rsidRPr="00AF75CE" w:rsidRDefault="00B124FF" w:rsidP="005F32B8">
            <w:pPr>
              <w:jc w:val="both"/>
              <w:rPr>
                <w:sz w:val="20"/>
              </w:rPr>
            </w:pPr>
          </w:p>
        </w:tc>
        <w:tc>
          <w:tcPr>
            <w:tcW w:w="243" w:type="pct"/>
          </w:tcPr>
          <w:p w:rsidR="00B124FF" w:rsidRPr="00AF75CE" w:rsidRDefault="00B124FF" w:rsidP="005F32B8">
            <w:pPr>
              <w:jc w:val="both"/>
              <w:rPr>
                <w:sz w:val="20"/>
              </w:rPr>
            </w:pPr>
          </w:p>
        </w:tc>
        <w:tc>
          <w:tcPr>
            <w:tcW w:w="2330" w:type="pct"/>
          </w:tcPr>
          <w:p w:rsidR="00B124FF" w:rsidRPr="00AF75CE" w:rsidRDefault="00B124FF" w:rsidP="005F32B8">
            <w:pPr>
              <w:jc w:val="both"/>
              <w:rPr>
                <w:sz w:val="20"/>
              </w:rPr>
            </w:pPr>
            <w:r w:rsidRPr="00AF75CE">
              <w:rPr>
                <w:sz w:val="20"/>
              </w:rPr>
              <w:t>State Farm entitled to commence action in Mr. Douglas’ name without consent of trustee in bankruptcy; respondents’ appeal dismissed</w:t>
            </w:r>
          </w:p>
        </w:tc>
      </w:tr>
      <w:tr w:rsidR="00B124FF" w:rsidRPr="00AF75CE" w:rsidTr="005F32B8">
        <w:tc>
          <w:tcPr>
            <w:tcW w:w="2427" w:type="pct"/>
            <w:gridSpan w:val="2"/>
          </w:tcPr>
          <w:p w:rsidR="00B124FF" w:rsidRPr="00AF75CE" w:rsidRDefault="00B124FF" w:rsidP="005F32B8">
            <w:pPr>
              <w:jc w:val="both"/>
              <w:rPr>
                <w:sz w:val="20"/>
              </w:rPr>
            </w:pPr>
            <w:r w:rsidRPr="00AF75CE">
              <w:rPr>
                <w:sz w:val="20"/>
              </w:rPr>
              <w:t>March 9, 2018</w:t>
            </w:r>
          </w:p>
          <w:p w:rsidR="00B124FF" w:rsidRPr="00AF75CE" w:rsidRDefault="00B124FF" w:rsidP="005F32B8">
            <w:pPr>
              <w:jc w:val="both"/>
              <w:rPr>
                <w:sz w:val="20"/>
              </w:rPr>
            </w:pPr>
            <w:r w:rsidRPr="00AF75CE">
              <w:rPr>
                <w:sz w:val="20"/>
              </w:rPr>
              <w:t>Court of Appeal for Ontario</w:t>
            </w:r>
          </w:p>
          <w:p w:rsidR="00B124FF" w:rsidRPr="00AF75CE" w:rsidRDefault="00B124FF" w:rsidP="005F32B8">
            <w:pPr>
              <w:jc w:val="both"/>
              <w:rPr>
                <w:sz w:val="20"/>
              </w:rPr>
            </w:pPr>
            <w:r w:rsidRPr="00AF75CE">
              <w:rPr>
                <w:sz w:val="20"/>
              </w:rPr>
              <w:t xml:space="preserve">(Hoy, Rouleau [dissenting in part], Hourigan, </w:t>
            </w:r>
          </w:p>
          <w:p w:rsidR="00B124FF" w:rsidRPr="00AF75CE" w:rsidRDefault="00B124FF" w:rsidP="005F32B8">
            <w:pPr>
              <w:jc w:val="both"/>
              <w:rPr>
                <w:sz w:val="20"/>
              </w:rPr>
            </w:pPr>
            <w:r w:rsidRPr="00AF75CE">
              <w:rPr>
                <w:sz w:val="20"/>
              </w:rPr>
              <w:t>Benotto, Roberts [dissenting in part] JJ.A.)</w:t>
            </w:r>
          </w:p>
          <w:p w:rsidR="00B124FF" w:rsidRPr="00AF75CE" w:rsidRDefault="00A24D5C" w:rsidP="005F32B8">
            <w:pPr>
              <w:jc w:val="both"/>
              <w:rPr>
                <w:sz w:val="20"/>
              </w:rPr>
            </w:pPr>
            <w:hyperlink r:id="rId63" w:history="1">
              <w:r w:rsidR="00B124FF" w:rsidRPr="00AF75CE">
                <w:rPr>
                  <w:rStyle w:val="Hyperlink"/>
                  <w:sz w:val="20"/>
                </w:rPr>
                <w:t>2018 ONCA 192</w:t>
              </w:r>
            </w:hyperlink>
          </w:p>
          <w:p w:rsidR="00B124FF" w:rsidRPr="00AF75CE" w:rsidRDefault="00B124FF" w:rsidP="005F32B8">
            <w:pPr>
              <w:jc w:val="both"/>
              <w:rPr>
                <w:sz w:val="20"/>
              </w:rPr>
            </w:pPr>
          </w:p>
        </w:tc>
        <w:tc>
          <w:tcPr>
            <w:tcW w:w="243" w:type="pct"/>
          </w:tcPr>
          <w:p w:rsidR="00B124FF" w:rsidRPr="00AF75CE" w:rsidRDefault="00B124FF" w:rsidP="005F32B8">
            <w:pPr>
              <w:jc w:val="both"/>
              <w:rPr>
                <w:sz w:val="20"/>
              </w:rPr>
            </w:pPr>
          </w:p>
        </w:tc>
        <w:tc>
          <w:tcPr>
            <w:tcW w:w="2330" w:type="pct"/>
          </w:tcPr>
          <w:p w:rsidR="00B124FF" w:rsidRPr="00AF75CE" w:rsidRDefault="00B124FF" w:rsidP="005F32B8">
            <w:pPr>
              <w:jc w:val="both"/>
              <w:rPr>
                <w:sz w:val="20"/>
              </w:rPr>
            </w:pPr>
            <w:r w:rsidRPr="00AF75CE">
              <w:rPr>
                <w:sz w:val="20"/>
              </w:rPr>
              <w:t>Appeal allowed; motion for summary judgment granted; action dismissed</w:t>
            </w:r>
          </w:p>
          <w:p w:rsidR="00B124FF" w:rsidRPr="00AF75CE" w:rsidRDefault="00B124FF" w:rsidP="005F32B8">
            <w:pPr>
              <w:jc w:val="both"/>
              <w:rPr>
                <w:sz w:val="20"/>
              </w:rPr>
            </w:pPr>
          </w:p>
        </w:tc>
      </w:tr>
      <w:tr w:rsidR="00B124FF" w:rsidRPr="00AF75CE" w:rsidTr="005F32B8">
        <w:tc>
          <w:tcPr>
            <w:tcW w:w="2427" w:type="pct"/>
            <w:gridSpan w:val="2"/>
          </w:tcPr>
          <w:p w:rsidR="00B124FF" w:rsidRPr="00AF75CE" w:rsidRDefault="00B124FF" w:rsidP="005F32B8">
            <w:pPr>
              <w:jc w:val="both"/>
              <w:rPr>
                <w:sz w:val="20"/>
              </w:rPr>
            </w:pPr>
            <w:r w:rsidRPr="00AF75CE">
              <w:rPr>
                <w:sz w:val="20"/>
              </w:rPr>
              <w:t>May 4, 2018</w:t>
            </w:r>
          </w:p>
          <w:p w:rsidR="00B124FF" w:rsidRPr="00AF75CE" w:rsidRDefault="00B124FF" w:rsidP="005F32B8">
            <w:pPr>
              <w:jc w:val="both"/>
              <w:rPr>
                <w:sz w:val="20"/>
              </w:rPr>
            </w:pPr>
            <w:r w:rsidRPr="00AF75CE">
              <w:rPr>
                <w:sz w:val="20"/>
              </w:rPr>
              <w:t>Supreme Court of Canada</w:t>
            </w:r>
          </w:p>
        </w:tc>
        <w:tc>
          <w:tcPr>
            <w:tcW w:w="243" w:type="pct"/>
          </w:tcPr>
          <w:p w:rsidR="00B124FF" w:rsidRPr="00AF75CE" w:rsidRDefault="00B124FF" w:rsidP="005F32B8">
            <w:pPr>
              <w:jc w:val="both"/>
              <w:rPr>
                <w:sz w:val="20"/>
              </w:rPr>
            </w:pPr>
          </w:p>
        </w:tc>
        <w:tc>
          <w:tcPr>
            <w:tcW w:w="2330" w:type="pct"/>
          </w:tcPr>
          <w:p w:rsidR="00B124FF" w:rsidRPr="00AF75CE" w:rsidRDefault="00B124FF" w:rsidP="005F32B8">
            <w:pPr>
              <w:jc w:val="both"/>
              <w:rPr>
                <w:sz w:val="20"/>
              </w:rPr>
            </w:pPr>
            <w:r w:rsidRPr="00AF75CE">
              <w:rPr>
                <w:sz w:val="20"/>
              </w:rPr>
              <w:t>Application for leave to appeal filed</w:t>
            </w:r>
          </w:p>
          <w:p w:rsidR="00B124FF" w:rsidRPr="00AF75CE" w:rsidRDefault="00B124FF" w:rsidP="005F32B8">
            <w:pPr>
              <w:jc w:val="both"/>
              <w:rPr>
                <w:sz w:val="20"/>
              </w:rPr>
            </w:pPr>
          </w:p>
        </w:tc>
      </w:tr>
    </w:tbl>
    <w:p w:rsidR="00B124FF" w:rsidRDefault="00B124FF" w:rsidP="00B124FF">
      <w:pPr>
        <w:jc w:val="both"/>
        <w:rPr>
          <w:sz w:val="20"/>
        </w:rPr>
      </w:pPr>
    </w:p>
    <w:p w:rsidR="00B124FF" w:rsidRPr="00AF75CE" w:rsidRDefault="00B124FF" w:rsidP="00B124F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124FF" w:rsidRPr="00AF75CE" w:rsidTr="005F32B8">
        <w:tc>
          <w:tcPr>
            <w:tcW w:w="543" w:type="pct"/>
          </w:tcPr>
          <w:p w:rsidR="00B124FF" w:rsidRPr="00AF75CE" w:rsidRDefault="00B124FF" w:rsidP="005F32B8">
            <w:pPr>
              <w:jc w:val="both"/>
              <w:rPr>
                <w:sz w:val="20"/>
                <w:lang w:val="fr-CA"/>
              </w:rPr>
            </w:pPr>
            <w:r w:rsidRPr="00AF75CE">
              <w:rPr>
                <w:rStyle w:val="SCCFileNumberChar"/>
                <w:sz w:val="20"/>
                <w:szCs w:val="20"/>
                <w:lang w:val="fr-CA"/>
              </w:rPr>
              <w:t>38096</w:t>
            </w:r>
          </w:p>
        </w:tc>
        <w:tc>
          <w:tcPr>
            <w:tcW w:w="4457" w:type="pct"/>
            <w:gridSpan w:val="3"/>
          </w:tcPr>
          <w:p w:rsidR="00B124FF" w:rsidRPr="00AF75CE" w:rsidRDefault="00B124FF" w:rsidP="005F32B8">
            <w:pPr>
              <w:jc w:val="both"/>
              <w:rPr>
                <w:b/>
                <w:spacing w:val="-6"/>
                <w:sz w:val="20"/>
                <w:lang w:val="fr-CA"/>
              </w:rPr>
            </w:pPr>
            <w:r w:rsidRPr="00AF75CE">
              <w:rPr>
                <w:b/>
                <w:spacing w:val="-6"/>
                <w:sz w:val="20"/>
                <w:lang w:val="fr-CA"/>
              </w:rPr>
              <w:t>Art Douglas</w:t>
            </w:r>
            <w:r>
              <w:rPr>
                <w:b/>
                <w:spacing w:val="-6"/>
                <w:sz w:val="20"/>
                <w:lang w:val="fr-CA"/>
              </w:rPr>
              <w:t xml:space="preserve"> et</w:t>
            </w:r>
            <w:r w:rsidRPr="00AF75CE">
              <w:rPr>
                <w:b/>
                <w:spacing w:val="-6"/>
                <w:sz w:val="20"/>
                <w:lang w:val="fr-CA"/>
              </w:rPr>
              <w:t xml:space="preserve"> Wendy Douglas c. </w:t>
            </w:r>
            <w:r w:rsidRPr="00DA572E">
              <w:rPr>
                <w:b/>
                <w:spacing w:val="-6"/>
                <w:sz w:val="20"/>
                <w:lang w:val="fr-CA"/>
              </w:rPr>
              <w:t>Stan Fergusson Fuels Ltd., Compagnie Pétrolière Impériale Ltée et Pétrolière Impériale, une société en nom collectif de Compagnie Pétrolière Impériale Ltée et Pétrolière Impériale Ressources Limitée (successeur de McColl-Frontenac Petroleum</w:t>
            </w:r>
          </w:p>
          <w:p w:rsidR="00B124FF" w:rsidRPr="00AF75CE" w:rsidRDefault="00B124FF" w:rsidP="005F32B8">
            <w:pPr>
              <w:jc w:val="both"/>
              <w:rPr>
                <w:sz w:val="20"/>
                <w:lang w:val="fr-CA"/>
              </w:rPr>
            </w:pPr>
            <w:r w:rsidRPr="00AF75CE">
              <w:rPr>
                <w:sz w:val="20"/>
                <w:lang w:val="fr-CA"/>
              </w:rPr>
              <w:t>(Ont.) (Civile) (Autorisation)</w:t>
            </w:r>
          </w:p>
        </w:tc>
      </w:tr>
      <w:tr w:rsidR="00B124FF" w:rsidRPr="00CC0B55" w:rsidTr="005F32B8">
        <w:tc>
          <w:tcPr>
            <w:tcW w:w="5000" w:type="pct"/>
            <w:gridSpan w:val="4"/>
          </w:tcPr>
          <w:p w:rsidR="00B124FF" w:rsidRDefault="00B124FF" w:rsidP="005F32B8">
            <w:pPr>
              <w:jc w:val="both"/>
              <w:rPr>
                <w:sz w:val="20"/>
                <w:lang w:val="fr-CA"/>
              </w:rPr>
            </w:pPr>
            <w:r w:rsidRPr="00C11FF6">
              <w:rPr>
                <w:sz w:val="20"/>
                <w:lang w:val="fr-CA"/>
              </w:rPr>
              <w:t>La demande d’autorisation d’appel de l’arrêt de la Cour d’appel de l’Ontario, numéro C62079, 2018 ONCA 192, daté du 9 mars 2018, est rejetée avec dépens.</w:t>
            </w:r>
          </w:p>
          <w:p w:rsidR="00B124FF" w:rsidRPr="00AF75CE" w:rsidRDefault="00B124FF" w:rsidP="005F32B8">
            <w:pPr>
              <w:jc w:val="both"/>
              <w:rPr>
                <w:sz w:val="20"/>
                <w:lang w:val="fr-CA"/>
              </w:rPr>
            </w:pPr>
          </w:p>
        </w:tc>
      </w:tr>
      <w:tr w:rsidR="00B124FF" w:rsidRPr="00CC0B55" w:rsidTr="005F32B8">
        <w:tc>
          <w:tcPr>
            <w:tcW w:w="5000" w:type="pct"/>
            <w:gridSpan w:val="4"/>
          </w:tcPr>
          <w:p w:rsidR="00B124FF" w:rsidRPr="00AF75CE" w:rsidRDefault="00B124FF" w:rsidP="005F32B8">
            <w:pPr>
              <w:jc w:val="both"/>
              <w:rPr>
                <w:sz w:val="20"/>
                <w:lang w:val="fr-CA"/>
              </w:rPr>
            </w:pPr>
            <w:r w:rsidRPr="00AF75CE">
              <w:rPr>
                <w:sz w:val="20"/>
                <w:lang w:val="fr-CA"/>
              </w:rPr>
              <w:t>Procédure civile — Parties — Ajout — Substitution — Assurances — Subrogation — Faillite et insolvabilité — L’assureur a introduit une demande subrogatoire pour le coût de réparation de dommages matériels, nommant Art et Wendy Douglas comme demandeurs — Le délai de prescription a expiré peu de temps après l’introduction de l’action — Wendy Douglas avait fait une cession de faillite avant que les biens aient été endommagés — Art Douglas avait fait une cession de faillite après que les biens ont été endommagés, mais avant le début de l’action — Les intimées ont demandé un jugement sommaire, alléguant l’incapacité de poursuivre — Le droit de l’assureur d’intenter et de poursuivre une action au nom de l’assuré après que l’assuré a fait une cession de faillite a-t-il été compromis? — La faculté de l’assureur de corriger une erreur de nom d’une partie incorrectement nommée a-t-elle été compromise?</w:t>
            </w:r>
          </w:p>
        </w:tc>
      </w:tr>
      <w:tr w:rsidR="00B124FF" w:rsidRPr="00CC0B55" w:rsidTr="005F32B8">
        <w:tc>
          <w:tcPr>
            <w:tcW w:w="5000" w:type="pct"/>
            <w:gridSpan w:val="4"/>
          </w:tcPr>
          <w:p w:rsidR="00B124FF" w:rsidRPr="00AF75CE" w:rsidRDefault="00B124FF" w:rsidP="005F32B8">
            <w:pPr>
              <w:jc w:val="both"/>
              <w:rPr>
                <w:sz w:val="20"/>
                <w:lang w:val="fr-CA"/>
              </w:rPr>
            </w:pPr>
          </w:p>
          <w:p w:rsidR="00B124FF" w:rsidRPr="00AF75CE" w:rsidRDefault="00B124FF" w:rsidP="005F32B8">
            <w:pPr>
              <w:jc w:val="both"/>
              <w:rPr>
                <w:sz w:val="20"/>
                <w:lang w:val="fr-CA"/>
              </w:rPr>
            </w:pPr>
            <w:r w:rsidRPr="00AF75CE">
              <w:rPr>
                <w:sz w:val="20"/>
                <w:lang w:val="fr-CA"/>
              </w:rPr>
              <w:t>On allègue que du mazout livré par les intimées aurait fui et contaminé la propriété des Douglas. Le titre de propriété était alors détenu par le syndic de faillite d’Art Douglas et de Wendy Douglas. L’assureur des Douglas, State Farm Fire and Casualty, a couvert les pertes et a réparé les dommages, indiquant qu’elle avait l’intention de recouvrer ses frais des intimées en vertu de la clause de subrogation dans la police propriétaires occupants des Douglas. En juin 2009, Art Douglas a déposé une cession de faillite. Un syndic de faillite l’a remplacé comme propriétaire inscrit de la propriété et a informé State Farm de la cession. En octobre 2009, le syndic a vendu la propriété remise en état et a payé les créanciers des Douglas.</w:t>
            </w:r>
          </w:p>
          <w:p w:rsidR="00B124FF" w:rsidRPr="00AF75CE" w:rsidRDefault="00B124FF" w:rsidP="005F32B8">
            <w:pPr>
              <w:jc w:val="both"/>
              <w:rPr>
                <w:sz w:val="20"/>
                <w:lang w:val="fr-CA"/>
              </w:rPr>
            </w:pPr>
          </w:p>
          <w:p w:rsidR="00B124FF" w:rsidRPr="00AF75CE" w:rsidRDefault="00B124FF" w:rsidP="005F32B8">
            <w:pPr>
              <w:jc w:val="both"/>
              <w:rPr>
                <w:sz w:val="20"/>
                <w:lang w:val="fr-CA"/>
              </w:rPr>
            </w:pPr>
            <w:r w:rsidRPr="00AF75CE">
              <w:rPr>
                <w:sz w:val="20"/>
                <w:lang w:val="fr-CA"/>
              </w:rPr>
              <w:t xml:space="preserve">En novembre 2009, State Farm a intenté la présente action contre les intimées aux noms d’Art et de Wendy Douglas. Art Douglas a obtenu une libération absolue de la faillite en mars 2010, et le syndic a été libéré en août 2012. En 2013, les intimées ont présenté une motion en jugement sommaire, plaidant que les Douglas n’avaient pas la capacité d’intenter la présente action. State Farm a présenté une motion incidente pour obtenir des directives sur la reprise d’instance au nom des Douglas ou en son propre nom et d’autres mesures de redressement. Le juge de première instance a rejeté la motion en jugement sommaire et a statué que State Farm était </w:t>
            </w:r>
            <w:r w:rsidRPr="00AF75CE">
              <w:rPr>
                <w:i/>
                <w:sz w:val="20"/>
                <w:lang w:val="fr-CA"/>
              </w:rPr>
              <w:t>dominus litis</w:t>
            </w:r>
            <w:r w:rsidRPr="00AF75CE">
              <w:rPr>
                <w:sz w:val="20"/>
                <w:lang w:val="fr-CA"/>
              </w:rPr>
              <w:t xml:space="preserve"> et avait le droit de contrôler l’action. La Cour divisionnaire a rejeté l’appel des intimées. La Cour d’appel a accueilli leur appel subséquent, prononçant un jugement sommaire et rejetant l’action.</w:t>
            </w:r>
          </w:p>
        </w:tc>
      </w:tr>
      <w:tr w:rsidR="00B124FF" w:rsidRPr="00CC0B55" w:rsidTr="005F32B8">
        <w:tc>
          <w:tcPr>
            <w:tcW w:w="5000" w:type="pct"/>
            <w:gridSpan w:val="4"/>
          </w:tcPr>
          <w:p w:rsidR="00B124FF" w:rsidRPr="00AF75CE" w:rsidRDefault="00B124FF" w:rsidP="005F32B8">
            <w:pPr>
              <w:jc w:val="both"/>
              <w:rPr>
                <w:sz w:val="20"/>
                <w:lang w:val="fr-CA"/>
              </w:rPr>
            </w:pPr>
          </w:p>
        </w:tc>
      </w:tr>
      <w:tr w:rsidR="00B124FF" w:rsidRPr="00CC0B55" w:rsidTr="005F32B8">
        <w:tc>
          <w:tcPr>
            <w:tcW w:w="2427" w:type="pct"/>
            <w:gridSpan w:val="2"/>
          </w:tcPr>
          <w:p w:rsidR="00B124FF" w:rsidRPr="00AF75CE" w:rsidRDefault="00B124FF" w:rsidP="005F32B8">
            <w:pPr>
              <w:jc w:val="both"/>
              <w:rPr>
                <w:sz w:val="20"/>
                <w:lang w:val="fr-CA"/>
              </w:rPr>
            </w:pPr>
            <w:r w:rsidRPr="00AF75CE">
              <w:rPr>
                <w:sz w:val="20"/>
                <w:lang w:val="fr-CA"/>
              </w:rPr>
              <w:t>13 août 2014</w:t>
            </w:r>
          </w:p>
          <w:p w:rsidR="00B124FF" w:rsidRPr="00AF75CE" w:rsidRDefault="00B124FF" w:rsidP="005F32B8">
            <w:pPr>
              <w:jc w:val="both"/>
              <w:rPr>
                <w:sz w:val="20"/>
                <w:lang w:val="fr-CA"/>
              </w:rPr>
            </w:pPr>
            <w:r w:rsidRPr="00AF75CE">
              <w:rPr>
                <w:sz w:val="20"/>
                <w:lang w:val="fr-CA"/>
              </w:rPr>
              <w:t>Cour supérieure de justice de l’Ontario</w:t>
            </w:r>
          </w:p>
          <w:p w:rsidR="00B124FF" w:rsidRPr="00AF75CE" w:rsidRDefault="00B124FF" w:rsidP="005F32B8">
            <w:pPr>
              <w:jc w:val="both"/>
              <w:rPr>
                <w:sz w:val="20"/>
                <w:lang w:val="fr-CA"/>
              </w:rPr>
            </w:pPr>
            <w:r w:rsidRPr="00AF75CE">
              <w:rPr>
                <w:sz w:val="20"/>
                <w:lang w:val="fr-CA"/>
              </w:rPr>
              <w:t>(Juge Abrams)</w:t>
            </w:r>
          </w:p>
          <w:p w:rsidR="00B124FF" w:rsidRPr="00AF75CE" w:rsidRDefault="00A24D5C" w:rsidP="005F32B8">
            <w:pPr>
              <w:jc w:val="both"/>
              <w:rPr>
                <w:sz w:val="20"/>
                <w:lang w:val="fr-CA"/>
              </w:rPr>
            </w:pPr>
            <w:hyperlink r:id="rId64" w:history="1">
              <w:r w:rsidR="00B124FF" w:rsidRPr="00AF75CE">
                <w:rPr>
                  <w:rStyle w:val="Hyperlink"/>
                  <w:sz w:val="20"/>
                  <w:lang w:val="fr-CA"/>
                </w:rPr>
                <w:t>2014 ONSC 4709</w:t>
              </w:r>
            </w:hyperlink>
          </w:p>
          <w:p w:rsidR="00B124FF" w:rsidRPr="00AF75CE" w:rsidRDefault="00B124FF" w:rsidP="005F32B8">
            <w:pPr>
              <w:jc w:val="both"/>
              <w:rPr>
                <w:sz w:val="20"/>
                <w:lang w:val="fr-CA"/>
              </w:rPr>
            </w:pPr>
          </w:p>
        </w:tc>
        <w:tc>
          <w:tcPr>
            <w:tcW w:w="243" w:type="pct"/>
          </w:tcPr>
          <w:p w:rsidR="00B124FF" w:rsidRPr="00AF75CE" w:rsidRDefault="00B124FF" w:rsidP="005F32B8">
            <w:pPr>
              <w:jc w:val="both"/>
              <w:rPr>
                <w:sz w:val="20"/>
                <w:lang w:val="fr-CA"/>
              </w:rPr>
            </w:pPr>
          </w:p>
        </w:tc>
        <w:tc>
          <w:tcPr>
            <w:tcW w:w="2330" w:type="pct"/>
          </w:tcPr>
          <w:p w:rsidR="00B124FF" w:rsidRPr="00AF75CE" w:rsidRDefault="00B124FF" w:rsidP="005F32B8">
            <w:pPr>
              <w:jc w:val="both"/>
              <w:rPr>
                <w:sz w:val="20"/>
                <w:lang w:val="fr-CA"/>
              </w:rPr>
            </w:pPr>
            <w:r w:rsidRPr="00AF75CE">
              <w:rPr>
                <w:sz w:val="20"/>
                <w:lang w:val="fr-CA"/>
              </w:rPr>
              <w:t xml:space="preserve">Jugement statuant que State Farm est </w:t>
            </w:r>
            <w:r w:rsidRPr="00AF75CE">
              <w:rPr>
                <w:i/>
                <w:sz w:val="20"/>
                <w:lang w:val="fr-CA"/>
              </w:rPr>
              <w:t>dominus litis</w:t>
            </w:r>
            <w:r w:rsidRPr="00AF75CE">
              <w:rPr>
                <w:sz w:val="20"/>
                <w:lang w:val="fr-CA"/>
              </w:rPr>
              <w:t xml:space="preserve"> et a le droit de contrôler la présente action en vertu de sa créance subrogatoire et rejetant la motion des intimées en jugement sommaire </w:t>
            </w:r>
          </w:p>
          <w:p w:rsidR="00B124FF" w:rsidRPr="00AF75CE" w:rsidRDefault="00B124FF" w:rsidP="005F32B8">
            <w:pPr>
              <w:jc w:val="both"/>
              <w:rPr>
                <w:sz w:val="20"/>
                <w:lang w:val="fr-CA"/>
              </w:rPr>
            </w:pPr>
          </w:p>
        </w:tc>
      </w:tr>
      <w:tr w:rsidR="00B124FF" w:rsidRPr="00CC0B55" w:rsidTr="005F32B8">
        <w:tc>
          <w:tcPr>
            <w:tcW w:w="2427" w:type="pct"/>
            <w:gridSpan w:val="2"/>
          </w:tcPr>
          <w:p w:rsidR="00B124FF" w:rsidRPr="00AF75CE" w:rsidRDefault="00B124FF" w:rsidP="005F32B8">
            <w:pPr>
              <w:jc w:val="both"/>
              <w:rPr>
                <w:sz w:val="20"/>
                <w:lang w:val="fr-CA"/>
              </w:rPr>
            </w:pPr>
            <w:r w:rsidRPr="00AF75CE">
              <w:rPr>
                <w:sz w:val="20"/>
                <w:lang w:val="fr-CA"/>
              </w:rPr>
              <w:t>18 janvier 2016</w:t>
            </w:r>
          </w:p>
          <w:p w:rsidR="00B124FF" w:rsidRPr="00AF75CE" w:rsidRDefault="00B124FF" w:rsidP="005F32B8">
            <w:pPr>
              <w:jc w:val="both"/>
              <w:rPr>
                <w:sz w:val="20"/>
                <w:lang w:val="fr-CA"/>
              </w:rPr>
            </w:pPr>
            <w:r w:rsidRPr="00AF75CE">
              <w:rPr>
                <w:sz w:val="20"/>
                <w:lang w:val="fr-CA"/>
              </w:rPr>
              <w:t>Cour supérieure de justice de l’Ontario (Cour div.)</w:t>
            </w:r>
          </w:p>
          <w:p w:rsidR="00B124FF" w:rsidRPr="00AF75CE" w:rsidRDefault="00B124FF" w:rsidP="005F32B8">
            <w:pPr>
              <w:jc w:val="both"/>
              <w:rPr>
                <w:sz w:val="20"/>
                <w:lang w:val="fr-CA"/>
              </w:rPr>
            </w:pPr>
            <w:r w:rsidRPr="00AF75CE">
              <w:rPr>
                <w:sz w:val="20"/>
                <w:lang w:val="fr-CA"/>
              </w:rPr>
              <w:t>(Juge en chef adjoint Marrocco, juges Herold et Whitten)</w:t>
            </w:r>
          </w:p>
          <w:p w:rsidR="00B124FF" w:rsidRPr="00AF75CE" w:rsidRDefault="00A24D5C" w:rsidP="005F32B8">
            <w:pPr>
              <w:jc w:val="both"/>
              <w:rPr>
                <w:sz w:val="20"/>
                <w:lang w:val="fr-CA"/>
              </w:rPr>
            </w:pPr>
            <w:hyperlink r:id="rId65" w:history="1">
              <w:r w:rsidR="00B124FF" w:rsidRPr="00AF75CE">
                <w:rPr>
                  <w:rStyle w:val="Hyperlink"/>
                  <w:sz w:val="20"/>
                  <w:lang w:val="fr-CA"/>
                </w:rPr>
                <w:t>2016 ONSC 442</w:t>
              </w:r>
            </w:hyperlink>
          </w:p>
          <w:p w:rsidR="00B124FF" w:rsidRPr="00AF75CE" w:rsidRDefault="00B124FF" w:rsidP="005F32B8">
            <w:pPr>
              <w:jc w:val="both"/>
              <w:rPr>
                <w:sz w:val="20"/>
                <w:lang w:val="fr-CA"/>
              </w:rPr>
            </w:pPr>
          </w:p>
        </w:tc>
        <w:tc>
          <w:tcPr>
            <w:tcW w:w="243" w:type="pct"/>
          </w:tcPr>
          <w:p w:rsidR="00B124FF" w:rsidRPr="00AF75CE" w:rsidRDefault="00B124FF" w:rsidP="005F32B8">
            <w:pPr>
              <w:jc w:val="both"/>
              <w:rPr>
                <w:sz w:val="20"/>
                <w:lang w:val="fr-CA"/>
              </w:rPr>
            </w:pPr>
          </w:p>
        </w:tc>
        <w:tc>
          <w:tcPr>
            <w:tcW w:w="2330" w:type="pct"/>
          </w:tcPr>
          <w:p w:rsidR="00B124FF" w:rsidRPr="00AF75CE" w:rsidRDefault="00B124FF" w:rsidP="005F32B8">
            <w:pPr>
              <w:jc w:val="both"/>
              <w:rPr>
                <w:sz w:val="20"/>
                <w:lang w:val="fr-CA"/>
              </w:rPr>
            </w:pPr>
            <w:r w:rsidRPr="00AF75CE">
              <w:rPr>
                <w:sz w:val="20"/>
                <w:lang w:val="fr-CA"/>
              </w:rPr>
              <w:t xml:space="preserve">Jugement statuant que State Farm a le droit d’intenter une action au nom de M. Douglas sans le consentement du syndic de faillite et rejetant l’appel des intimés </w:t>
            </w:r>
          </w:p>
        </w:tc>
      </w:tr>
      <w:tr w:rsidR="00B124FF" w:rsidRPr="00CC0B55" w:rsidTr="005F32B8">
        <w:tc>
          <w:tcPr>
            <w:tcW w:w="2427" w:type="pct"/>
            <w:gridSpan w:val="2"/>
          </w:tcPr>
          <w:p w:rsidR="00B124FF" w:rsidRPr="00AF75CE" w:rsidRDefault="00B124FF" w:rsidP="005F32B8">
            <w:pPr>
              <w:jc w:val="both"/>
              <w:rPr>
                <w:sz w:val="20"/>
                <w:lang w:val="fr-CA"/>
              </w:rPr>
            </w:pPr>
            <w:r w:rsidRPr="00AF75CE">
              <w:rPr>
                <w:sz w:val="20"/>
                <w:lang w:val="fr-CA"/>
              </w:rPr>
              <w:t>9 mars 2018</w:t>
            </w:r>
          </w:p>
          <w:p w:rsidR="00B124FF" w:rsidRPr="00AF75CE" w:rsidRDefault="00B124FF" w:rsidP="005F32B8">
            <w:pPr>
              <w:jc w:val="both"/>
              <w:rPr>
                <w:sz w:val="20"/>
                <w:lang w:val="fr-CA"/>
              </w:rPr>
            </w:pPr>
            <w:r w:rsidRPr="00AF75CE">
              <w:rPr>
                <w:sz w:val="20"/>
                <w:lang w:val="fr-CA"/>
              </w:rPr>
              <w:t>Cour d’appel de l’Ontario</w:t>
            </w:r>
          </w:p>
          <w:p w:rsidR="00B124FF" w:rsidRPr="00AF75CE" w:rsidRDefault="00B124FF" w:rsidP="005F32B8">
            <w:pPr>
              <w:jc w:val="both"/>
              <w:rPr>
                <w:sz w:val="20"/>
                <w:lang w:val="fr-CA"/>
              </w:rPr>
            </w:pPr>
            <w:r w:rsidRPr="00AF75CE">
              <w:rPr>
                <w:sz w:val="20"/>
                <w:lang w:val="fr-CA"/>
              </w:rPr>
              <w:t xml:space="preserve">(Juges Hoy, Rouleau [dissident en partie], Hourigan, </w:t>
            </w:r>
          </w:p>
          <w:p w:rsidR="00B124FF" w:rsidRPr="00AF75CE" w:rsidRDefault="00B124FF" w:rsidP="005F32B8">
            <w:pPr>
              <w:jc w:val="both"/>
              <w:rPr>
                <w:sz w:val="20"/>
                <w:lang w:val="fr-CA"/>
              </w:rPr>
            </w:pPr>
            <w:r w:rsidRPr="00AF75CE">
              <w:rPr>
                <w:sz w:val="20"/>
                <w:lang w:val="fr-CA"/>
              </w:rPr>
              <w:t>Benotto et Roberts [dissidente en partie])</w:t>
            </w:r>
          </w:p>
          <w:p w:rsidR="00B124FF" w:rsidRPr="00AF75CE" w:rsidRDefault="00A24D5C" w:rsidP="005F32B8">
            <w:pPr>
              <w:jc w:val="both"/>
              <w:rPr>
                <w:sz w:val="20"/>
                <w:lang w:val="fr-CA"/>
              </w:rPr>
            </w:pPr>
            <w:hyperlink r:id="rId66" w:history="1">
              <w:r w:rsidR="00B124FF" w:rsidRPr="00AF75CE">
                <w:rPr>
                  <w:rStyle w:val="Hyperlink"/>
                  <w:sz w:val="20"/>
                  <w:lang w:val="fr-CA"/>
                </w:rPr>
                <w:t>2018 ONCA 192</w:t>
              </w:r>
            </w:hyperlink>
          </w:p>
          <w:p w:rsidR="00B124FF" w:rsidRPr="00AF75CE" w:rsidRDefault="00B124FF" w:rsidP="005F32B8">
            <w:pPr>
              <w:jc w:val="both"/>
              <w:rPr>
                <w:sz w:val="20"/>
                <w:lang w:val="fr-CA"/>
              </w:rPr>
            </w:pPr>
          </w:p>
        </w:tc>
        <w:tc>
          <w:tcPr>
            <w:tcW w:w="243" w:type="pct"/>
          </w:tcPr>
          <w:p w:rsidR="00B124FF" w:rsidRPr="00AF75CE" w:rsidRDefault="00B124FF" w:rsidP="005F32B8">
            <w:pPr>
              <w:jc w:val="both"/>
              <w:rPr>
                <w:sz w:val="20"/>
                <w:lang w:val="fr-CA"/>
              </w:rPr>
            </w:pPr>
          </w:p>
        </w:tc>
        <w:tc>
          <w:tcPr>
            <w:tcW w:w="2330" w:type="pct"/>
          </w:tcPr>
          <w:p w:rsidR="00B124FF" w:rsidRPr="00AF75CE" w:rsidRDefault="00B124FF" w:rsidP="005F32B8">
            <w:pPr>
              <w:jc w:val="both"/>
              <w:rPr>
                <w:sz w:val="20"/>
                <w:lang w:val="fr-CA"/>
              </w:rPr>
            </w:pPr>
            <w:r w:rsidRPr="00AF75CE">
              <w:rPr>
                <w:sz w:val="20"/>
                <w:lang w:val="fr-CA"/>
              </w:rPr>
              <w:t>Arrêt accueillant l’appel, prononçant un jugement sommaire et rejetant l’action</w:t>
            </w:r>
          </w:p>
          <w:p w:rsidR="00B124FF" w:rsidRPr="00AF75CE" w:rsidRDefault="00B124FF" w:rsidP="005F32B8">
            <w:pPr>
              <w:jc w:val="both"/>
              <w:rPr>
                <w:sz w:val="20"/>
                <w:lang w:val="fr-CA"/>
              </w:rPr>
            </w:pPr>
          </w:p>
        </w:tc>
      </w:tr>
      <w:tr w:rsidR="00B124FF" w:rsidRPr="00CC0B55" w:rsidTr="005F32B8">
        <w:tc>
          <w:tcPr>
            <w:tcW w:w="2427" w:type="pct"/>
            <w:gridSpan w:val="2"/>
          </w:tcPr>
          <w:p w:rsidR="00B124FF" w:rsidRPr="00AF75CE" w:rsidRDefault="00B124FF" w:rsidP="005F32B8">
            <w:pPr>
              <w:jc w:val="both"/>
              <w:rPr>
                <w:sz w:val="20"/>
                <w:lang w:val="fr-CA"/>
              </w:rPr>
            </w:pPr>
            <w:r w:rsidRPr="00AF75CE">
              <w:rPr>
                <w:sz w:val="20"/>
                <w:lang w:val="fr-CA"/>
              </w:rPr>
              <w:lastRenderedPageBreak/>
              <w:t>4 mai 2018</w:t>
            </w:r>
          </w:p>
          <w:p w:rsidR="00B124FF" w:rsidRPr="00AF75CE" w:rsidRDefault="00B124FF" w:rsidP="005F32B8">
            <w:pPr>
              <w:jc w:val="both"/>
              <w:rPr>
                <w:sz w:val="20"/>
                <w:lang w:val="fr-CA"/>
              </w:rPr>
            </w:pPr>
            <w:r w:rsidRPr="00AF75CE">
              <w:rPr>
                <w:sz w:val="20"/>
                <w:lang w:val="fr-CA"/>
              </w:rPr>
              <w:t>Cour suprême du Canada</w:t>
            </w:r>
          </w:p>
        </w:tc>
        <w:tc>
          <w:tcPr>
            <w:tcW w:w="243" w:type="pct"/>
          </w:tcPr>
          <w:p w:rsidR="00B124FF" w:rsidRPr="00AF75CE" w:rsidRDefault="00B124FF" w:rsidP="005F32B8">
            <w:pPr>
              <w:jc w:val="both"/>
              <w:rPr>
                <w:sz w:val="20"/>
                <w:lang w:val="fr-CA"/>
              </w:rPr>
            </w:pPr>
          </w:p>
        </w:tc>
        <w:tc>
          <w:tcPr>
            <w:tcW w:w="2330" w:type="pct"/>
          </w:tcPr>
          <w:p w:rsidR="00B124FF" w:rsidRPr="00AF75CE" w:rsidRDefault="00B124FF" w:rsidP="005F32B8">
            <w:pPr>
              <w:jc w:val="both"/>
              <w:rPr>
                <w:sz w:val="20"/>
                <w:lang w:val="fr-CA"/>
              </w:rPr>
            </w:pPr>
            <w:r w:rsidRPr="00AF75CE">
              <w:rPr>
                <w:sz w:val="20"/>
                <w:lang w:val="fr-CA"/>
              </w:rPr>
              <w:t>Dépôt de la demande d’autorisation d’appel</w:t>
            </w:r>
          </w:p>
          <w:p w:rsidR="00B124FF" w:rsidRPr="00AF75CE" w:rsidRDefault="00B124FF" w:rsidP="005F32B8">
            <w:pPr>
              <w:jc w:val="both"/>
              <w:rPr>
                <w:sz w:val="20"/>
                <w:lang w:val="fr-CA"/>
              </w:rPr>
            </w:pPr>
          </w:p>
        </w:tc>
      </w:tr>
    </w:tbl>
    <w:p w:rsidR="00B124FF" w:rsidRPr="00AF75CE" w:rsidRDefault="00B124FF" w:rsidP="00B124FF">
      <w:pPr>
        <w:jc w:val="both"/>
        <w:rPr>
          <w:sz w:val="20"/>
          <w:lang w:val="fr-CA"/>
        </w:rPr>
      </w:pPr>
    </w:p>
    <w:p w:rsidR="00B124FF" w:rsidRDefault="00A24D5C" w:rsidP="00B124FF">
      <w:pPr>
        <w:ind w:left="142" w:hanging="142"/>
        <w:jc w:val="both"/>
        <w:rPr>
          <w:sz w:val="20"/>
          <w:lang w:val="fr-CA"/>
        </w:rPr>
      </w:pPr>
      <w:r>
        <w:rPr>
          <w:sz w:val="20"/>
          <w:szCs w:val="20"/>
        </w:rPr>
        <w:pict>
          <v:rect id="_x0000_i1045" style="width:2in;height:1pt" o:hrpct="0" o:hralign="center" o:hrstd="t" o:hrnoshade="t" o:hr="t" fillcolor="black [3213]" stroked="f"/>
        </w:pict>
      </w:r>
    </w:p>
    <w:p w:rsidR="00B124FF" w:rsidRPr="00AF75CE" w:rsidRDefault="00B124FF" w:rsidP="00B124FF">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124FF" w:rsidRPr="00AF75CE" w:rsidTr="005F32B8">
        <w:tc>
          <w:tcPr>
            <w:tcW w:w="543" w:type="pct"/>
          </w:tcPr>
          <w:p w:rsidR="00B124FF" w:rsidRPr="00AF75CE" w:rsidRDefault="00B124FF" w:rsidP="005F32B8">
            <w:pPr>
              <w:jc w:val="both"/>
              <w:rPr>
                <w:sz w:val="20"/>
              </w:rPr>
            </w:pPr>
            <w:r w:rsidRPr="00AF75CE">
              <w:rPr>
                <w:rStyle w:val="SCCFileNumberChar"/>
                <w:sz w:val="20"/>
                <w:szCs w:val="20"/>
              </w:rPr>
              <w:t>38157</w:t>
            </w:r>
          </w:p>
        </w:tc>
        <w:tc>
          <w:tcPr>
            <w:tcW w:w="4457" w:type="pct"/>
            <w:gridSpan w:val="3"/>
          </w:tcPr>
          <w:p w:rsidR="00B124FF" w:rsidRPr="00202CE2" w:rsidRDefault="00B124FF" w:rsidP="005F32B8">
            <w:pPr>
              <w:pStyle w:val="SCCLsocParty"/>
              <w:jc w:val="both"/>
              <w:rPr>
                <w:b/>
                <w:sz w:val="20"/>
                <w:szCs w:val="20"/>
                <w:lang w:val="en-US"/>
              </w:rPr>
            </w:pPr>
            <w:r w:rsidRPr="00202CE2">
              <w:rPr>
                <w:b/>
                <w:sz w:val="20"/>
                <w:szCs w:val="20"/>
                <w:lang w:val="en-US"/>
              </w:rPr>
              <w:t>Vancouver Area Network of Drug Users on behalf of people who are, or appear to be, street homeless and/or drug addicted v. Downtown Vancouver Business Improvement Association, City of Vancouver</w:t>
            </w:r>
            <w:r>
              <w:rPr>
                <w:b/>
                <w:sz w:val="20"/>
                <w:szCs w:val="20"/>
                <w:lang w:val="en-US"/>
              </w:rPr>
              <w:t xml:space="preserve"> and</w:t>
            </w:r>
            <w:r w:rsidRPr="00202CE2">
              <w:rPr>
                <w:b/>
                <w:sz w:val="20"/>
                <w:szCs w:val="20"/>
                <w:lang w:val="en-US"/>
              </w:rPr>
              <w:t xml:space="preserve"> British Columbia Human Rights Tribunal</w:t>
            </w:r>
          </w:p>
          <w:p w:rsidR="00B124FF" w:rsidRPr="00AF75CE" w:rsidRDefault="00B124FF" w:rsidP="005F32B8">
            <w:pPr>
              <w:pStyle w:val="SCCLsocOtherPartySeparator"/>
              <w:rPr>
                <w:sz w:val="20"/>
                <w:szCs w:val="20"/>
              </w:rPr>
            </w:pPr>
            <w:r w:rsidRPr="00AF75CE">
              <w:rPr>
                <w:sz w:val="20"/>
                <w:szCs w:val="20"/>
              </w:rPr>
              <w:t>- and -</w:t>
            </w:r>
          </w:p>
          <w:p w:rsidR="00B124FF" w:rsidRPr="00202CE2" w:rsidRDefault="00B124FF" w:rsidP="005F32B8">
            <w:pPr>
              <w:pStyle w:val="SCCLsocParty"/>
              <w:jc w:val="both"/>
              <w:rPr>
                <w:b/>
                <w:sz w:val="20"/>
                <w:szCs w:val="20"/>
                <w:lang w:val="en-US"/>
              </w:rPr>
            </w:pPr>
            <w:r w:rsidRPr="00202CE2">
              <w:rPr>
                <w:b/>
                <w:sz w:val="20"/>
                <w:szCs w:val="20"/>
                <w:lang w:val="en-US"/>
              </w:rPr>
              <w:t>Coalition of West Coast Women’s Legal Education and Action Fund and Community Legal Assistance Society</w:t>
            </w:r>
          </w:p>
          <w:p w:rsidR="00B124FF" w:rsidRPr="00AF75CE" w:rsidRDefault="00B124FF" w:rsidP="005F32B8">
            <w:pPr>
              <w:jc w:val="both"/>
              <w:rPr>
                <w:sz w:val="20"/>
              </w:rPr>
            </w:pPr>
            <w:r w:rsidRPr="00AF75CE">
              <w:rPr>
                <w:sz w:val="20"/>
              </w:rPr>
              <w:t>(B.C.) (Civil) (By Leave)</w:t>
            </w:r>
          </w:p>
        </w:tc>
      </w:tr>
      <w:tr w:rsidR="00B124FF" w:rsidRPr="00AF75CE" w:rsidTr="005F32B8">
        <w:tc>
          <w:tcPr>
            <w:tcW w:w="5000" w:type="pct"/>
            <w:gridSpan w:val="4"/>
          </w:tcPr>
          <w:p w:rsidR="00B124FF" w:rsidRDefault="00B124FF" w:rsidP="005F32B8">
            <w:pPr>
              <w:pStyle w:val="SCCBanSummary0"/>
              <w:rPr>
                <w:smallCaps w:val="0"/>
                <w:sz w:val="20"/>
                <w:szCs w:val="20"/>
              </w:rPr>
            </w:pPr>
            <w:r w:rsidRPr="00C11FF6">
              <w:rPr>
                <w:smallCaps w:val="0"/>
                <w:sz w:val="20"/>
                <w:szCs w:val="20"/>
              </w:rPr>
              <w:t>The application for leave to appeal from the judgment of the Court of Appeal for British Columbia (Vancouver), Numbers CA42770 and CA42777, 2018 BCCA 132, dated April 11, 2018, is dismissed without costs.</w:t>
            </w:r>
          </w:p>
          <w:p w:rsidR="00B124FF" w:rsidRPr="00C11FF6" w:rsidRDefault="00B124FF" w:rsidP="005F32B8"/>
        </w:tc>
      </w:tr>
      <w:tr w:rsidR="00B124FF" w:rsidRPr="00AF75CE" w:rsidTr="005F32B8">
        <w:tc>
          <w:tcPr>
            <w:tcW w:w="5000" w:type="pct"/>
            <w:gridSpan w:val="4"/>
          </w:tcPr>
          <w:p w:rsidR="00B124FF" w:rsidRPr="00AF75CE" w:rsidRDefault="00B124FF" w:rsidP="005F32B8">
            <w:pPr>
              <w:pStyle w:val="SCCBanSummary0"/>
              <w:rPr>
                <w:smallCaps w:val="0"/>
                <w:sz w:val="20"/>
                <w:szCs w:val="20"/>
              </w:rPr>
            </w:pPr>
            <w:r w:rsidRPr="00AF75CE">
              <w:rPr>
                <w:smallCaps w:val="0"/>
                <w:sz w:val="20"/>
                <w:szCs w:val="20"/>
              </w:rPr>
              <w:t xml:space="preserve">Human rights law — Discrimination — Prohibited grounds — Mental or physical disability — Race, colour, ancestry or place of origin — Access to public places or transportation — Respondents sponsored Program to prevent people from loitering or sleeping in front of businesses and in a Vancouver park, affecting mostly street homeless population — Applicant organization aimed at assisting active and former drug users brought complaint before Human Rights Tribunal on behalf of street homeless population, alleging that impugned aspects of Program violated s. 8(1) of </w:t>
            </w:r>
            <w:r w:rsidRPr="00AF75CE">
              <w:rPr>
                <w:i/>
                <w:smallCaps w:val="0"/>
                <w:sz w:val="20"/>
                <w:szCs w:val="20"/>
              </w:rPr>
              <w:t>Human Rights Code</w:t>
            </w:r>
            <w:r w:rsidRPr="00AF75CE">
              <w:rPr>
                <w:smallCaps w:val="0"/>
                <w:sz w:val="20"/>
                <w:szCs w:val="20"/>
              </w:rPr>
              <w:t>,</w:t>
            </w:r>
            <w:r w:rsidRPr="00AF75CE">
              <w:rPr>
                <w:i/>
                <w:smallCaps w:val="0"/>
                <w:sz w:val="20"/>
                <w:szCs w:val="20"/>
              </w:rPr>
              <w:t xml:space="preserve"> </w:t>
            </w:r>
            <w:r w:rsidRPr="00AF75CE">
              <w:rPr>
                <w:smallCaps w:val="0"/>
                <w:sz w:val="20"/>
                <w:szCs w:val="20"/>
              </w:rPr>
              <w:t xml:space="preserve">R.S.B.C., 1996, c. 120 — Whether strong statistical connection between homelessness and Aboriginal background, mental health, and drug and alcohol addiction is sufficient in law to establish “nexus” of </w:t>
            </w:r>
            <w:r w:rsidRPr="00AF75CE">
              <w:rPr>
                <w:i/>
                <w:smallCaps w:val="0"/>
                <w:sz w:val="20"/>
                <w:szCs w:val="20"/>
              </w:rPr>
              <w:t>prima facie</w:t>
            </w:r>
            <w:r w:rsidRPr="00AF75CE">
              <w:rPr>
                <w:smallCaps w:val="0"/>
                <w:sz w:val="20"/>
                <w:szCs w:val="20"/>
              </w:rPr>
              <w:t xml:space="preserve"> discrimination — To what extent can “nexus” between homelessness and Aboriginal background and/or addiction be established by common sense and/or judicial notice.</w:t>
            </w:r>
          </w:p>
        </w:tc>
      </w:tr>
      <w:tr w:rsidR="00B124FF" w:rsidRPr="00AF75CE" w:rsidTr="005F32B8">
        <w:tc>
          <w:tcPr>
            <w:tcW w:w="5000" w:type="pct"/>
            <w:gridSpan w:val="4"/>
          </w:tcPr>
          <w:p w:rsidR="00B124FF" w:rsidRPr="00AF75CE" w:rsidRDefault="00B124FF" w:rsidP="005F32B8">
            <w:pPr>
              <w:jc w:val="both"/>
              <w:rPr>
                <w:sz w:val="20"/>
              </w:rPr>
            </w:pPr>
          </w:p>
          <w:p w:rsidR="00B124FF" w:rsidRPr="00AF75CE" w:rsidRDefault="00B124FF" w:rsidP="005F32B8">
            <w:pPr>
              <w:jc w:val="both"/>
              <w:rPr>
                <w:sz w:val="20"/>
              </w:rPr>
            </w:pPr>
            <w:r w:rsidRPr="00AF75CE">
              <w:rPr>
                <w:sz w:val="20"/>
              </w:rPr>
              <w:t xml:space="preserve">The applicant, the Vancouver Area Network of Drug Users (the “Network”) filed a complaint with the British Columbia Human Rights Tribunal about the Downtown Ambassadors Program (the “Program”), sponsored by the respondents, the Downtown Vancouver Business Improvement Association (the “DVBIA”) and the City of Vancouver. The impugned part of the Program involved a concerted effort to prevent people from loitering or sleeping in front of businesses. The Network brought the complaint on behalf of a class of persons referred to as “street homeless” population, alleging that the Program violated s. 8(1) of the </w:t>
            </w:r>
            <w:r w:rsidRPr="00AF75CE">
              <w:rPr>
                <w:i/>
                <w:sz w:val="20"/>
              </w:rPr>
              <w:t>Human Rights Code</w:t>
            </w:r>
            <w:r w:rsidRPr="00AF75CE">
              <w:rPr>
                <w:sz w:val="20"/>
              </w:rPr>
              <w:t>,</w:t>
            </w:r>
            <w:r w:rsidRPr="00AF75CE">
              <w:rPr>
                <w:i/>
                <w:sz w:val="20"/>
              </w:rPr>
              <w:t xml:space="preserve"> </w:t>
            </w:r>
            <w:r w:rsidRPr="00AF75CE">
              <w:rPr>
                <w:sz w:val="20"/>
              </w:rPr>
              <w:t xml:space="preserve">R.S.B.C., 1996, c. 120. The Tribunal dismissed the Network’s complaint, finding that the evidence did not establish a “connection or link” between the adverse treatment complained of and membership in a group protected under s. 8(1) of the </w:t>
            </w:r>
            <w:r w:rsidRPr="00AF75CE">
              <w:rPr>
                <w:i/>
                <w:sz w:val="20"/>
              </w:rPr>
              <w:t>Code</w:t>
            </w:r>
            <w:r w:rsidRPr="00AF75CE">
              <w:rPr>
                <w:sz w:val="20"/>
              </w:rPr>
              <w:t xml:space="preserve">. On appeal, the BC Supreme Court found that the Tribunal erred in looking for a “connection or link”; instead, it should have considered whether membership in a protected group was “a factor” in the adverse treatment. The court set the Tribunal’s decision aside and remitted the case to the Tribunal for the purpose of determining if the </w:t>
            </w:r>
            <w:r w:rsidRPr="00AF75CE">
              <w:rPr>
                <w:i/>
                <w:sz w:val="20"/>
              </w:rPr>
              <w:t xml:space="preserve">prima facie </w:t>
            </w:r>
            <w:r w:rsidRPr="00AF75CE">
              <w:rPr>
                <w:sz w:val="20"/>
              </w:rPr>
              <w:t xml:space="preserve">discrimination was justified. The DVBIA appealed the court’s decision. In a unanimous decision, the Court of Appeal found that the court erred in finding any legal error in the Tribunal’s assessment. Therefore, the Court of Appeal allowed the appeal and reinstated the Tribunal’s decision. </w:t>
            </w:r>
          </w:p>
        </w:tc>
      </w:tr>
      <w:tr w:rsidR="00B124FF" w:rsidRPr="00AF75CE" w:rsidTr="005F32B8">
        <w:tc>
          <w:tcPr>
            <w:tcW w:w="5000" w:type="pct"/>
            <w:gridSpan w:val="4"/>
          </w:tcPr>
          <w:p w:rsidR="00B124FF" w:rsidRPr="00AF75CE" w:rsidRDefault="00B124FF" w:rsidP="005F32B8">
            <w:pPr>
              <w:jc w:val="both"/>
              <w:rPr>
                <w:sz w:val="20"/>
              </w:rPr>
            </w:pPr>
          </w:p>
        </w:tc>
      </w:tr>
      <w:tr w:rsidR="00B124FF" w:rsidRPr="00AF75CE" w:rsidTr="005F32B8">
        <w:tc>
          <w:tcPr>
            <w:tcW w:w="2427" w:type="pct"/>
            <w:gridSpan w:val="2"/>
          </w:tcPr>
          <w:p w:rsidR="00B124FF" w:rsidRPr="00AF75CE" w:rsidRDefault="00B124FF" w:rsidP="005F32B8">
            <w:pPr>
              <w:jc w:val="both"/>
              <w:rPr>
                <w:sz w:val="20"/>
              </w:rPr>
            </w:pPr>
            <w:r w:rsidRPr="00AF75CE">
              <w:rPr>
                <w:sz w:val="20"/>
              </w:rPr>
              <w:t>February 7, 2012</w:t>
            </w:r>
          </w:p>
          <w:p w:rsidR="00B124FF" w:rsidRPr="00AF75CE" w:rsidRDefault="00B124FF" w:rsidP="005F32B8">
            <w:pPr>
              <w:jc w:val="both"/>
              <w:rPr>
                <w:sz w:val="20"/>
              </w:rPr>
            </w:pPr>
            <w:r w:rsidRPr="00AF75CE">
              <w:rPr>
                <w:sz w:val="20"/>
              </w:rPr>
              <w:t>British Columbia Human Rights Tribunal</w:t>
            </w:r>
          </w:p>
          <w:p w:rsidR="00B124FF" w:rsidRPr="00AF75CE" w:rsidRDefault="00B124FF" w:rsidP="005F32B8">
            <w:pPr>
              <w:jc w:val="both"/>
              <w:rPr>
                <w:sz w:val="20"/>
              </w:rPr>
            </w:pPr>
            <w:r w:rsidRPr="00AF75CE">
              <w:rPr>
                <w:sz w:val="20"/>
              </w:rPr>
              <w:t>(Beharrell, Tribunal Member)</w:t>
            </w:r>
          </w:p>
          <w:p w:rsidR="00B124FF" w:rsidRPr="00AF75CE" w:rsidRDefault="00A24D5C" w:rsidP="005F32B8">
            <w:pPr>
              <w:jc w:val="both"/>
              <w:rPr>
                <w:sz w:val="20"/>
              </w:rPr>
            </w:pPr>
            <w:hyperlink r:id="rId67" w:history="1">
              <w:r w:rsidR="00B124FF" w:rsidRPr="00AF75CE">
                <w:rPr>
                  <w:rStyle w:val="Hyperlink"/>
                  <w:sz w:val="20"/>
                </w:rPr>
                <w:t>2012 BCHRT 23</w:t>
              </w:r>
            </w:hyperlink>
            <w:r w:rsidR="00B124FF" w:rsidRPr="00AF75CE">
              <w:rPr>
                <w:sz w:val="20"/>
              </w:rPr>
              <w:t xml:space="preserve"> </w:t>
            </w:r>
          </w:p>
          <w:p w:rsidR="00B124FF" w:rsidRPr="00AF75CE" w:rsidRDefault="00B124FF" w:rsidP="005F32B8">
            <w:pPr>
              <w:jc w:val="both"/>
              <w:rPr>
                <w:sz w:val="20"/>
              </w:rPr>
            </w:pPr>
          </w:p>
        </w:tc>
        <w:tc>
          <w:tcPr>
            <w:tcW w:w="243" w:type="pct"/>
          </w:tcPr>
          <w:p w:rsidR="00B124FF" w:rsidRPr="00AF75CE" w:rsidRDefault="00B124FF" w:rsidP="005F32B8">
            <w:pPr>
              <w:jc w:val="both"/>
              <w:rPr>
                <w:sz w:val="20"/>
              </w:rPr>
            </w:pPr>
          </w:p>
        </w:tc>
        <w:tc>
          <w:tcPr>
            <w:tcW w:w="2330" w:type="pct"/>
          </w:tcPr>
          <w:p w:rsidR="00B124FF" w:rsidRPr="00AF75CE" w:rsidRDefault="00B124FF" w:rsidP="005F32B8">
            <w:pPr>
              <w:jc w:val="both"/>
              <w:rPr>
                <w:sz w:val="20"/>
              </w:rPr>
            </w:pPr>
            <w:r w:rsidRPr="00AF75CE">
              <w:rPr>
                <w:sz w:val="20"/>
              </w:rPr>
              <w:t xml:space="preserve">Complaint filed alleging discrimination against protected class; complaint dismissed. </w:t>
            </w:r>
          </w:p>
          <w:p w:rsidR="00B124FF" w:rsidRPr="00AF75CE" w:rsidRDefault="00B124FF" w:rsidP="005F32B8">
            <w:pPr>
              <w:jc w:val="both"/>
              <w:rPr>
                <w:sz w:val="20"/>
              </w:rPr>
            </w:pPr>
          </w:p>
        </w:tc>
      </w:tr>
      <w:tr w:rsidR="00B124FF" w:rsidRPr="00AF75CE" w:rsidTr="005F32B8">
        <w:tc>
          <w:tcPr>
            <w:tcW w:w="2427" w:type="pct"/>
            <w:gridSpan w:val="2"/>
          </w:tcPr>
          <w:p w:rsidR="00B124FF" w:rsidRPr="00AF75CE" w:rsidRDefault="00B124FF" w:rsidP="005F32B8">
            <w:pPr>
              <w:jc w:val="both"/>
              <w:rPr>
                <w:sz w:val="20"/>
              </w:rPr>
            </w:pPr>
            <w:r w:rsidRPr="00AF75CE">
              <w:rPr>
                <w:sz w:val="20"/>
              </w:rPr>
              <w:t>April 10, 2015</w:t>
            </w:r>
          </w:p>
          <w:p w:rsidR="00B124FF" w:rsidRPr="00AF75CE" w:rsidRDefault="00B124FF" w:rsidP="005F32B8">
            <w:pPr>
              <w:jc w:val="both"/>
              <w:rPr>
                <w:sz w:val="20"/>
              </w:rPr>
            </w:pPr>
            <w:r w:rsidRPr="00AF75CE">
              <w:rPr>
                <w:sz w:val="20"/>
              </w:rPr>
              <w:t>Supreme Court of British Columbia</w:t>
            </w:r>
          </w:p>
          <w:p w:rsidR="00B124FF" w:rsidRPr="00AF75CE" w:rsidRDefault="00B124FF" w:rsidP="005F32B8">
            <w:pPr>
              <w:jc w:val="both"/>
              <w:rPr>
                <w:sz w:val="20"/>
              </w:rPr>
            </w:pPr>
            <w:r w:rsidRPr="00AF75CE">
              <w:rPr>
                <w:sz w:val="20"/>
              </w:rPr>
              <w:t>(Sharma J.)</w:t>
            </w:r>
          </w:p>
          <w:p w:rsidR="00B124FF" w:rsidRPr="00AF75CE" w:rsidRDefault="00A24D5C" w:rsidP="005F32B8">
            <w:pPr>
              <w:jc w:val="both"/>
              <w:rPr>
                <w:rStyle w:val="Hyperlink"/>
                <w:sz w:val="20"/>
              </w:rPr>
            </w:pPr>
            <w:hyperlink r:id="rId68" w:history="1">
              <w:r w:rsidR="00B124FF" w:rsidRPr="00AF75CE">
                <w:rPr>
                  <w:rStyle w:val="Hyperlink"/>
                  <w:sz w:val="20"/>
                </w:rPr>
                <w:t>2015 BCSC 534</w:t>
              </w:r>
            </w:hyperlink>
          </w:p>
          <w:p w:rsidR="00B124FF" w:rsidRPr="00AF75CE" w:rsidRDefault="00B124FF" w:rsidP="005F32B8">
            <w:pPr>
              <w:jc w:val="both"/>
              <w:rPr>
                <w:sz w:val="20"/>
              </w:rPr>
            </w:pPr>
          </w:p>
        </w:tc>
        <w:tc>
          <w:tcPr>
            <w:tcW w:w="243" w:type="pct"/>
          </w:tcPr>
          <w:p w:rsidR="00B124FF" w:rsidRPr="00AF75CE" w:rsidRDefault="00B124FF" w:rsidP="005F32B8">
            <w:pPr>
              <w:jc w:val="both"/>
              <w:rPr>
                <w:sz w:val="20"/>
              </w:rPr>
            </w:pPr>
          </w:p>
        </w:tc>
        <w:tc>
          <w:tcPr>
            <w:tcW w:w="2330" w:type="pct"/>
          </w:tcPr>
          <w:p w:rsidR="00B124FF" w:rsidRPr="00AF75CE" w:rsidRDefault="00B124FF" w:rsidP="005F32B8">
            <w:pPr>
              <w:jc w:val="both"/>
              <w:rPr>
                <w:sz w:val="20"/>
              </w:rPr>
            </w:pPr>
            <w:r w:rsidRPr="00AF75CE">
              <w:rPr>
                <w:sz w:val="20"/>
              </w:rPr>
              <w:t xml:space="preserve">Tribunal decision set aside; complaint remitted. </w:t>
            </w:r>
          </w:p>
          <w:p w:rsidR="00B124FF" w:rsidRPr="00AF75CE" w:rsidRDefault="00B124FF" w:rsidP="005F32B8">
            <w:pPr>
              <w:jc w:val="both"/>
              <w:rPr>
                <w:sz w:val="20"/>
              </w:rPr>
            </w:pPr>
          </w:p>
        </w:tc>
      </w:tr>
      <w:tr w:rsidR="00B124FF" w:rsidRPr="00AF75CE" w:rsidTr="005F32B8">
        <w:tc>
          <w:tcPr>
            <w:tcW w:w="2427" w:type="pct"/>
            <w:gridSpan w:val="2"/>
          </w:tcPr>
          <w:p w:rsidR="00B124FF" w:rsidRPr="00AF75CE" w:rsidRDefault="00B124FF" w:rsidP="005F32B8">
            <w:pPr>
              <w:jc w:val="both"/>
              <w:rPr>
                <w:sz w:val="20"/>
              </w:rPr>
            </w:pPr>
            <w:r w:rsidRPr="00AF75CE">
              <w:rPr>
                <w:sz w:val="20"/>
              </w:rPr>
              <w:lastRenderedPageBreak/>
              <w:t>April 11, 2018</w:t>
            </w:r>
          </w:p>
          <w:p w:rsidR="00B124FF" w:rsidRPr="00AF75CE" w:rsidRDefault="00B124FF" w:rsidP="005F32B8">
            <w:pPr>
              <w:jc w:val="both"/>
              <w:rPr>
                <w:sz w:val="20"/>
              </w:rPr>
            </w:pPr>
            <w:r w:rsidRPr="00AF75CE">
              <w:rPr>
                <w:sz w:val="20"/>
              </w:rPr>
              <w:t xml:space="preserve">Court of Appeal for British Columbia </w:t>
            </w:r>
          </w:p>
          <w:p w:rsidR="00B124FF" w:rsidRPr="00AF75CE" w:rsidRDefault="00B124FF" w:rsidP="005F32B8">
            <w:pPr>
              <w:jc w:val="both"/>
              <w:rPr>
                <w:sz w:val="20"/>
                <w:lang w:val="fr-CA"/>
              </w:rPr>
            </w:pPr>
            <w:r w:rsidRPr="00AF75CE">
              <w:rPr>
                <w:sz w:val="20"/>
                <w:lang w:val="fr-CA"/>
              </w:rPr>
              <w:t>(Vancouver)</w:t>
            </w:r>
          </w:p>
          <w:p w:rsidR="00B124FF" w:rsidRPr="00AF75CE" w:rsidRDefault="00B124FF" w:rsidP="005F32B8">
            <w:pPr>
              <w:jc w:val="both"/>
              <w:rPr>
                <w:sz w:val="20"/>
                <w:lang w:val="fr-CA"/>
              </w:rPr>
            </w:pPr>
            <w:r w:rsidRPr="00AF75CE">
              <w:rPr>
                <w:sz w:val="20"/>
                <w:lang w:val="fr-CA"/>
              </w:rPr>
              <w:t>(Groberman, Harris, Fenlon JJ.A.)</w:t>
            </w:r>
          </w:p>
          <w:p w:rsidR="00B124FF" w:rsidRPr="00AF75CE" w:rsidRDefault="00B124FF" w:rsidP="005F32B8">
            <w:pPr>
              <w:jc w:val="both"/>
              <w:rPr>
                <w:sz w:val="20"/>
              </w:rPr>
            </w:pPr>
            <w:r w:rsidRPr="00AF75CE">
              <w:rPr>
                <w:rStyle w:val="Hyperlink"/>
                <w:sz w:val="20"/>
              </w:rPr>
              <w:t>2018 BCCA 132</w:t>
            </w:r>
            <w:r w:rsidRPr="00AF75CE">
              <w:rPr>
                <w:sz w:val="20"/>
              </w:rPr>
              <w:t xml:space="preserve"> (No. CA42770 and CA42777)</w:t>
            </w:r>
          </w:p>
          <w:p w:rsidR="00B124FF" w:rsidRPr="00AF75CE" w:rsidRDefault="00B124FF" w:rsidP="005F32B8">
            <w:pPr>
              <w:jc w:val="both"/>
              <w:rPr>
                <w:sz w:val="20"/>
              </w:rPr>
            </w:pPr>
          </w:p>
        </w:tc>
        <w:tc>
          <w:tcPr>
            <w:tcW w:w="243" w:type="pct"/>
          </w:tcPr>
          <w:p w:rsidR="00B124FF" w:rsidRPr="00AF75CE" w:rsidRDefault="00B124FF" w:rsidP="005F32B8">
            <w:pPr>
              <w:jc w:val="both"/>
              <w:rPr>
                <w:sz w:val="20"/>
              </w:rPr>
            </w:pPr>
          </w:p>
        </w:tc>
        <w:tc>
          <w:tcPr>
            <w:tcW w:w="2330" w:type="pct"/>
          </w:tcPr>
          <w:p w:rsidR="00B124FF" w:rsidRPr="00AF75CE" w:rsidRDefault="00B124FF" w:rsidP="005F32B8">
            <w:pPr>
              <w:jc w:val="both"/>
              <w:rPr>
                <w:sz w:val="20"/>
              </w:rPr>
            </w:pPr>
            <w:r w:rsidRPr="00AF75CE">
              <w:rPr>
                <w:sz w:val="20"/>
              </w:rPr>
              <w:t xml:space="preserve">Appeal allowed. Tribunal decision reinstated. </w:t>
            </w:r>
          </w:p>
          <w:p w:rsidR="00B124FF" w:rsidRPr="00AF75CE" w:rsidRDefault="00B124FF" w:rsidP="005F32B8">
            <w:pPr>
              <w:jc w:val="both"/>
              <w:rPr>
                <w:sz w:val="20"/>
              </w:rPr>
            </w:pPr>
          </w:p>
        </w:tc>
      </w:tr>
      <w:tr w:rsidR="00B124FF" w:rsidRPr="00AF75CE" w:rsidTr="005F32B8">
        <w:tc>
          <w:tcPr>
            <w:tcW w:w="2427" w:type="pct"/>
            <w:gridSpan w:val="2"/>
          </w:tcPr>
          <w:p w:rsidR="00B124FF" w:rsidRPr="00AF75CE" w:rsidRDefault="00B124FF" w:rsidP="005F32B8">
            <w:pPr>
              <w:jc w:val="both"/>
              <w:rPr>
                <w:sz w:val="20"/>
              </w:rPr>
            </w:pPr>
            <w:r w:rsidRPr="00AF75CE">
              <w:rPr>
                <w:sz w:val="20"/>
              </w:rPr>
              <w:t>June 11, 2018</w:t>
            </w:r>
          </w:p>
          <w:p w:rsidR="00B124FF" w:rsidRPr="00AF75CE" w:rsidRDefault="00B124FF" w:rsidP="005F32B8">
            <w:pPr>
              <w:jc w:val="both"/>
              <w:rPr>
                <w:sz w:val="20"/>
              </w:rPr>
            </w:pPr>
            <w:r w:rsidRPr="00AF75CE">
              <w:rPr>
                <w:sz w:val="20"/>
              </w:rPr>
              <w:t>Supreme Court of Canada</w:t>
            </w:r>
          </w:p>
        </w:tc>
        <w:tc>
          <w:tcPr>
            <w:tcW w:w="243" w:type="pct"/>
          </w:tcPr>
          <w:p w:rsidR="00B124FF" w:rsidRPr="00AF75CE" w:rsidRDefault="00B124FF" w:rsidP="005F32B8">
            <w:pPr>
              <w:jc w:val="both"/>
              <w:rPr>
                <w:sz w:val="20"/>
              </w:rPr>
            </w:pPr>
          </w:p>
        </w:tc>
        <w:tc>
          <w:tcPr>
            <w:tcW w:w="2330" w:type="pct"/>
          </w:tcPr>
          <w:p w:rsidR="00B124FF" w:rsidRPr="00AF75CE" w:rsidRDefault="00B124FF" w:rsidP="005F32B8">
            <w:pPr>
              <w:jc w:val="both"/>
              <w:rPr>
                <w:sz w:val="20"/>
              </w:rPr>
            </w:pPr>
            <w:r w:rsidRPr="00AF75CE">
              <w:rPr>
                <w:sz w:val="20"/>
              </w:rPr>
              <w:t>Application for leave to appeal filed.</w:t>
            </w:r>
          </w:p>
          <w:p w:rsidR="00B124FF" w:rsidRPr="00AF75CE" w:rsidRDefault="00B124FF" w:rsidP="005F32B8">
            <w:pPr>
              <w:jc w:val="both"/>
              <w:rPr>
                <w:sz w:val="20"/>
              </w:rPr>
            </w:pPr>
          </w:p>
        </w:tc>
      </w:tr>
    </w:tbl>
    <w:p w:rsidR="00B124FF" w:rsidRDefault="00B124FF" w:rsidP="00B124FF">
      <w:pPr>
        <w:jc w:val="both"/>
        <w:rPr>
          <w:sz w:val="20"/>
        </w:rPr>
      </w:pPr>
    </w:p>
    <w:p w:rsidR="00B124FF" w:rsidRPr="00AF75CE" w:rsidRDefault="00B124FF" w:rsidP="00B124F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124FF" w:rsidRPr="00AF75CE" w:rsidTr="005F32B8">
        <w:tc>
          <w:tcPr>
            <w:tcW w:w="543" w:type="pct"/>
          </w:tcPr>
          <w:p w:rsidR="00B124FF" w:rsidRPr="00AF75CE" w:rsidRDefault="00B124FF" w:rsidP="005F32B8">
            <w:pPr>
              <w:jc w:val="both"/>
              <w:rPr>
                <w:sz w:val="20"/>
                <w:lang w:val="fr-CA"/>
              </w:rPr>
            </w:pPr>
            <w:r w:rsidRPr="00AF75CE">
              <w:rPr>
                <w:rStyle w:val="SCCFileNumberChar"/>
                <w:sz w:val="20"/>
                <w:szCs w:val="20"/>
                <w:lang w:val="fr-CA"/>
              </w:rPr>
              <w:t>38157</w:t>
            </w:r>
          </w:p>
        </w:tc>
        <w:tc>
          <w:tcPr>
            <w:tcW w:w="4457" w:type="pct"/>
            <w:gridSpan w:val="3"/>
          </w:tcPr>
          <w:p w:rsidR="00B124FF" w:rsidRPr="00202CE2" w:rsidRDefault="00B124FF" w:rsidP="005F32B8">
            <w:pPr>
              <w:pStyle w:val="SCCLsocParty"/>
              <w:jc w:val="both"/>
              <w:rPr>
                <w:b/>
                <w:sz w:val="20"/>
                <w:szCs w:val="20"/>
              </w:rPr>
            </w:pPr>
            <w:r w:rsidRPr="00202CE2">
              <w:rPr>
                <w:b/>
                <w:sz w:val="20"/>
                <w:szCs w:val="20"/>
              </w:rPr>
              <w:t xml:space="preserve">Vancouver Area Network of Drug Users au nom des personnes qui sont, ou qui paraissent être des sans-abri ou des toxicomanes c. Downtown Vancouver Business Improvement Association, </w:t>
            </w:r>
            <w:r>
              <w:rPr>
                <w:b/>
                <w:sz w:val="20"/>
                <w:szCs w:val="20"/>
              </w:rPr>
              <w:t>City of</w:t>
            </w:r>
            <w:r w:rsidRPr="00202CE2">
              <w:rPr>
                <w:b/>
                <w:sz w:val="20"/>
                <w:szCs w:val="20"/>
              </w:rPr>
              <w:t xml:space="preserve"> Vancouver</w:t>
            </w:r>
            <w:r>
              <w:rPr>
                <w:b/>
                <w:sz w:val="20"/>
                <w:szCs w:val="20"/>
              </w:rPr>
              <w:t xml:space="preserve"> et</w:t>
            </w:r>
            <w:r w:rsidRPr="00202CE2">
              <w:rPr>
                <w:b/>
                <w:sz w:val="20"/>
                <w:szCs w:val="20"/>
              </w:rPr>
              <w:t xml:space="preserve"> British Columbia Human Rights Tribunal</w:t>
            </w:r>
          </w:p>
          <w:p w:rsidR="00B124FF" w:rsidRPr="00AF75CE" w:rsidRDefault="00B124FF" w:rsidP="005F32B8">
            <w:pPr>
              <w:pStyle w:val="SCCLsocOtherPartySeparator"/>
              <w:rPr>
                <w:sz w:val="20"/>
                <w:szCs w:val="20"/>
              </w:rPr>
            </w:pPr>
            <w:r w:rsidRPr="00AF75CE">
              <w:rPr>
                <w:sz w:val="20"/>
                <w:szCs w:val="20"/>
              </w:rPr>
              <w:t>- et -</w:t>
            </w:r>
          </w:p>
          <w:p w:rsidR="00B124FF" w:rsidRPr="00202CE2" w:rsidRDefault="00B124FF" w:rsidP="005F32B8">
            <w:pPr>
              <w:pStyle w:val="SCCLsocParty"/>
              <w:jc w:val="both"/>
              <w:rPr>
                <w:b/>
                <w:sz w:val="20"/>
                <w:szCs w:val="20"/>
                <w:lang w:val="en-US"/>
              </w:rPr>
            </w:pPr>
            <w:r w:rsidRPr="00202CE2">
              <w:rPr>
                <w:b/>
                <w:sz w:val="20"/>
                <w:szCs w:val="20"/>
                <w:lang w:val="en-US"/>
              </w:rPr>
              <w:t xml:space="preserve">Coalition of West Coast Women’s Legal Education </w:t>
            </w:r>
            <w:r>
              <w:rPr>
                <w:b/>
                <w:sz w:val="20"/>
                <w:szCs w:val="20"/>
                <w:lang w:val="en-US"/>
              </w:rPr>
              <w:t>et</w:t>
            </w:r>
            <w:r w:rsidRPr="00202CE2">
              <w:rPr>
                <w:b/>
                <w:sz w:val="20"/>
                <w:szCs w:val="20"/>
                <w:lang w:val="en-US"/>
              </w:rPr>
              <w:t xml:space="preserve"> Action Fund et Community Legal Assistance Society</w:t>
            </w:r>
          </w:p>
          <w:p w:rsidR="00B124FF" w:rsidRPr="00AF75CE" w:rsidRDefault="00B124FF" w:rsidP="005F32B8">
            <w:pPr>
              <w:jc w:val="both"/>
              <w:rPr>
                <w:sz w:val="20"/>
                <w:lang w:val="fr-CA"/>
              </w:rPr>
            </w:pPr>
            <w:r w:rsidRPr="00AF75CE">
              <w:rPr>
                <w:sz w:val="20"/>
                <w:lang w:val="fr-CA"/>
              </w:rPr>
              <w:t>(C.-B.) (Civile) (Autorisation)</w:t>
            </w:r>
          </w:p>
        </w:tc>
      </w:tr>
      <w:tr w:rsidR="00B124FF" w:rsidRPr="00CC0B55" w:rsidTr="005F32B8">
        <w:tc>
          <w:tcPr>
            <w:tcW w:w="5000" w:type="pct"/>
            <w:gridSpan w:val="4"/>
          </w:tcPr>
          <w:p w:rsidR="00B124FF" w:rsidRDefault="00B124FF" w:rsidP="005F32B8">
            <w:pPr>
              <w:pStyle w:val="SCCBanSummary0"/>
              <w:rPr>
                <w:smallCaps w:val="0"/>
                <w:sz w:val="20"/>
                <w:szCs w:val="20"/>
                <w:lang w:val="fr-CA"/>
              </w:rPr>
            </w:pPr>
            <w:r w:rsidRPr="00C11FF6">
              <w:rPr>
                <w:smallCaps w:val="0"/>
                <w:sz w:val="20"/>
                <w:szCs w:val="20"/>
                <w:lang w:val="fr-CA"/>
              </w:rPr>
              <w:t>La demande d’autorisation d’appel de l’arrêt de la Cour d’appel de la Colombie-Britannique (Vancouver), numéros CA42770 et CA42777, 2018 BCCA 132, daté du 11 avril 2018, est rejetée sans dépens.</w:t>
            </w:r>
          </w:p>
          <w:p w:rsidR="00B124FF" w:rsidRPr="00C11FF6" w:rsidRDefault="00B124FF" w:rsidP="005F32B8">
            <w:pPr>
              <w:rPr>
                <w:lang w:val="fr-CA"/>
              </w:rPr>
            </w:pPr>
          </w:p>
        </w:tc>
      </w:tr>
      <w:tr w:rsidR="00B124FF" w:rsidRPr="00CC0B55" w:rsidTr="005F32B8">
        <w:tc>
          <w:tcPr>
            <w:tcW w:w="5000" w:type="pct"/>
            <w:gridSpan w:val="4"/>
          </w:tcPr>
          <w:p w:rsidR="00B124FF" w:rsidRPr="00AF75CE" w:rsidRDefault="00B124FF" w:rsidP="005F32B8">
            <w:pPr>
              <w:pStyle w:val="SCCBanSummary0"/>
              <w:rPr>
                <w:smallCaps w:val="0"/>
                <w:sz w:val="20"/>
                <w:szCs w:val="20"/>
                <w:lang w:val="fr-CA"/>
              </w:rPr>
            </w:pPr>
            <w:r w:rsidRPr="00AF75CE">
              <w:rPr>
                <w:smallCaps w:val="0"/>
                <w:sz w:val="20"/>
                <w:szCs w:val="20"/>
                <w:lang w:val="fr-CA"/>
              </w:rPr>
              <w:t xml:space="preserve">Droits de la personne — Discrimination — Motifs de distinction illicite — Déficience mentale ou physique — Race, couleur, ascendance ou lieu d’origine — Accès aux lieux ou aux transports publics — Les intimées ont commandité un programme pour empêcher les gens de flâner ou de dormir devant les établissements commerciaux et un parc de Vancouver, touchant surtout la population des sans-abri  — L’organisme demandeur dont la mission est d’aider les toxicomanes et ceux qui l’ont déjà été a déposé une plainte au tribunal des droits de la personne au nom de la population des sans-abri, alléguant que les aspects contestés du programme violaient le par. 8(1) du </w:t>
            </w:r>
            <w:r w:rsidRPr="00AF75CE">
              <w:rPr>
                <w:i/>
                <w:smallCaps w:val="0"/>
                <w:sz w:val="20"/>
                <w:szCs w:val="20"/>
                <w:lang w:val="fr-CA"/>
              </w:rPr>
              <w:t>Human Rights Code</w:t>
            </w:r>
            <w:r w:rsidRPr="00AF75CE">
              <w:rPr>
                <w:smallCaps w:val="0"/>
                <w:sz w:val="20"/>
                <w:szCs w:val="20"/>
                <w:lang w:val="fr-CA"/>
              </w:rPr>
              <w:t>,</w:t>
            </w:r>
            <w:r w:rsidRPr="00AF75CE">
              <w:rPr>
                <w:i/>
                <w:smallCaps w:val="0"/>
                <w:sz w:val="20"/>
                <w:szCs w:val="20"/>
                <w:lang w:val="fr-CA"/>
              </w:rPr>
              <w:t xml:space="preserve"> </w:t>
            </w:r>
            <w:r w:rsidRPr="00AF75CE">
              <w:rPr>
                <w:smallCaps w:val="0"/>
                <w:sz w:val="20"/>
                <w:szCs w:val="20"/>
                <w:lang w:val="fr-CA"/>
              </w:rPr>
              <w:t xml:space="preserve">R.S.B.C., 1996, ch. 120 — Une forte corrélation statistique entre les sans-abri et l’origine autochtone, la santé mentale et la toxicomanie et l’alcoolisme suffit-elle, en droit, à établir un « lien » de discrimination </w:t>
            </w:r>
            <w:r w:rsidRPr="00AF75CE">
              <w:rPr>
                <w:i/>
                <w:smallCaps w:val="0"/>
                <w:sz w:val="20"/>
                <w:szCs w:val="20"/>
                <w:lang w:val="fr-CA"/>
              </w:rPr>
              <w:t>prima facie</w:t>
            </w:r>
            <w:r w:rsidRPr="00AF75CE">
              <w:rPr>
                <w:smallCaps w:val="0"/>
                <w:sz w:val="20"/>
                <w:szCs w:val="20"/>
                <w:lang w:val="fr-CA"/>
              </w:rPr>
              <w:t>? — Dans quelle mesure le « lien » entre l’itinérance et l’origine autochtone ou la toxicomanie peut-il être établi par le sens commun ou la connaissance judiciaire?</w:t>
            </w:r>
          </w:p>
        </w:tc>
      </w:tr>
      <w:tr w:rsidR="00B124FF" w:rsidRPr="00CC0B55" w:rsidTr="005F32B8">
        <w:tc>
          <w:tcPr>
            <w:tcW w:w="5000" w:type="pct"/>
            <w:gridSpan w:val="4"/>
          </w:tcPr>
          <w:p w:rsidR="00B124FF" w:rsidRPr="00AF75CE" w:rsidRDefault="00B124FF" w:rsidP="005F32B8">
            <w:pPr>
              <w:jc w:val="both"/>
              <w:rPr>
                <w:sz w:val="20"/>
                <w:lang w:val="fr-CA"/>
              </w:rPr>
            </w:pPr>
          </w:p>
          <w:p w:rsidR="00B124FF" w:rsidRPr="00AF75CE" w:rsidRDefault="00B124FF" w:rsidP="005F32B8">
            <w:pPr>
              <w:jc w:val="both"/>
              <w:rPr>
                <w:sz w:val="20"/>
                <w:lang w:val="fr-CA"/>
              </w:rPr>
            </w:pPr>
            <w:r w:rsidRPr="00AF75CE">
              <w:rPr>
                <w:sz w:val="20"/>
                <w:lang w:val="fr-CA"/>
              </w:rPr>
              <w:t>Le demandeur, le Vancouver Area Network of Drug Users (le « Réseau ») a déposé une plainte au British Columbia Human Rights Tribunal au sujet du Downtown Ambassadors Program (le « programme »), commandité par les intimées, la Downtown Vancouver Business Improvement Association (la « DVBIA ») et la Ville de Vancouver. La partie contestée du programme impliquait un effort concerté pour empêcher les gens de flâner ou de dormir devant des établissements commerciaux. Le Réseau a déposé la plainte au nom d’une catégorie de personnes  appelée [</w:t>
            </w:r>
            <w:r w:rsidRPr="00AF75CE">
              <w:rPr>
                <w:smallCaps/>
                <w:sz w:val="20"/>
                <w:lang w:val="fr-CA"/>
              </w:rPr>
              <w:t>traduction</w:t>
            </w:r>
            <w:r w:rsidRPr="00AF75CE">
              <w:rPr>
                <w:sz w:val="20"/>
                <w:lang w:val="fr-CA"/>
              </w:rPr>
              <w:t xml:space="preserve">] la population des « sans-abri », alléguant que le programme violait le par. 8(1) du </w:t>
            </w:r>
            <w:r w:rsidRPr="00AF75CE">
              <w:rPr>
                <w:i/>
                <w:sz w:val="20"/>
                <w:lang w:val="fr-CA"/>
              </w:rPr>
              <w:t>Human Rights Code</w:t>
            </w:r>
            <w:r w:rsidRPr="00AF75CE">
              <w:rPr>
                <w:sz w:val="20"/>
                <w:lang w:val="fr-CA"/>
              </w:rPr>
              <w:t>,</w:t>
            </w:r>
            <w:r w:rsidRPr="00AF75CE">
              <w:rPr>
                <w:i/>
                <w:sz w:val="20"/>
                <w:lang w:val="fr-CA"/>
              </w:rPr>
              <w:t xml:space="preserve"> </w:t>
            </w:r>
            <w:r w:rsidRPr="00AF75CE">
              <w:rPr>
                <w:sz w:val="20"/>
                <w:lang w:val="fr-CA"/>
              </w:rPr>
              <w:t>R.S.B.C., 1996, ch. 120. Le Tribunal a rejeté la plainte du Réseau, concluant que la preuve n’établissait pas [</w:t>
            </w:r>
            <w:r w:rsidRPr="00AF75CE">
              <w:rPr>
                <w:smallCaps/>
                <w:sz w:val="20"/>
                <w:lang w:val="fr-CA"/>
              </w:rPr>
              <w:t>traduction</w:t>
            </w:r>
            <w:r w:rsidRPr="00AF75CE">
              <w:rPr>
                <w:sz w:val="20"/>
                <w:lang w:val="fr-CA"/>
              </w:rPr>
              <w:t xml:space="preserve">] « de rattachement ou de lien » entre le traitement préjudiciable dont on se plaint et l’appartenance à un groupe protégé en vertu du par. 8(1) du </w:t>
            </w:r>
            <w:r w:rsidRPr="00AF75CE">
              <w:rPr>
                <w:i/>
                <w:sz w:val="20"/>
                <w:lang w:val="fr-CA"/>
              </w:rPr>
              <w:t>Code</w:t>
            </w:r>
            <w:r w:rsidRPr="00AF75CE">
              <w:rPr>
                <w:sz w:val="20"/>
                <w:lang w:val="fr-CA"/>
              </w:rPr>
              <w:t>. En appel, la Cour suprême de la Colombie-Britannique a conclu que le Tribunal avait eu tort de chercher [</w:t>
            </w:r>
            <w:r w:rsidRPr="00AF75CE">
              <w:rPr>
                <w:smallCaps/>
                <w:sz w:val="20"/>
                <w:lang w:val="fr-CA"/>
              </w:rPr>
              <w:t>traduction</w:t>
            </w:r>
            <w:r w:rsidRPr="00AF75CE">
              <w:rPr>
                <w:sz w:val="20"/>
                <w:lang w:val="fr-CA"/>
              </w:rPr>
              <w:t>] « un rattachement ou un lien » et qu’elle aurait dû plutôt se demander si l’appartenance à un groupe protégé était [</w:t>
            </w:r>
            <w:r w:rsidRPr="00AF75CE">
              <w:rPr>
                <w:smallCaps/>
                <w:sz w:val="20"/>
                <w:lang w:val="fr-CA"/>
              </w:rPr>
              <w:t>traduction</w:t>
            </w:r>
            <w:r w:rsidRPr="00AF75CE">
              <w:rPr>
                <w:sz w:val="20"/>
                <w:lang w:val="fr-CA"/>
              </w:rPr>
              <w:t xml:space="preserve">] « un facteur » du traitement préjudiciable. La cour a annulé la décision du Tribunal et a renvoyé l’affaire au Tribunal pour que celui-ci détermine si la discrimination </w:t>
            </w:r>
            <w:r w:rsidRPr="00AF75CE">
              <w:rPr>
                <w:i/>
                <w:sz w:val="20"/>
                <w:lang w:val="fr-CA"/>
              </w:rPr>
              <w:t xml:space="preserve">prima facie </w:t>
            </w:r>
            <w:r w:rsidRPr="00AF75CE">
              <w:rPr>
                <w:sz w:val="20"/>
                <w:lang w:val="fr-CA"/>
              </w:rPr>
              <w:t xml:space="preserve">était justifiée. La DVBIA a interjeté appel de la décision de la cour. Dans un arrêt unanime, la Cour d’appel a conclu que la cour avait eu tort de conclure à une erreur de droit dans l’appréciation du Tribunal. En conséquence, la Cour d’appel a accueilli l’appel et rétabli la décision du Tribunal. </w:t>
            </w:r>
          </w:p>
        </w:tc>
      </w:tr>
      <w:tr w:rsidR="00B124FF" w:rsidRPr="00CC0B55" w:rsidTr="005F32B8">
        <w:tc>
          <w:tcPr>
            <w:tcW w:w="5000" w:type="pct"/>
            <w:gridSpan w:val="4"/>
          </w:tcPr>
          <w:p w:rsidR="00B124FF" w:rsidRPr="00AF75CE" w:rsidRDefault="00B124FF" w:rsidP="005F32B8">
            <w:pPr>
              <w:jc w:val="both"/>
              <w:rPr>
                <w:sz w:val="20"/>
                <w:lang w:val="fr-CA"/>
              </w:rPr>
            </w:pPr>
          </w:p>
        </w:tc>
      </w:tr>
      <w:tr w:rsidR="00B124FF" w:rsidRPr="00CC0B55" w:rsidTr="005F32B8">
        <w:tc>
          <w:tcPr>
            <w:tcW w:w="2427" w:type="pct"/>
            <w:gridSpan w:val="2"/>
          </w:tcPr>
          <w:p w:rsidR="00B124FF" w:rsidRPr="00AF75CE" w:rsidRDefault="00B124FF" w:rsidP="005F32B8">
            <w:pPr>
              <w:jc w:val="both"/>
              <w:rPr>
                <w:sz w:val="20"/>
              </w:rPr>
            </w:pPr>
            <w:r w:rsidRPr="00AF75CE">
              <w:rPr>
                <w:sz w:val="20"/>
              </w:rPr>
              <w:t>7 février 2012</w:t>
            </w:r>
          </w:p>
          <w:p w:rsidR="00B124FF" w:rsidRPr="00AF75CE" w:rsidRDefault="00B124FF" w:rsidP="005F32B8">
            <w:pPr>
              <w:jc w:val="both"/>
              <w:rPr>
                <w:sz w:val="20"/>
              </w:rPr>
            </w:pPr>
            <w:r w:rsidRPr="00AF75CE">
              <w:rPr>
                <w:sz w:val="20"/>
              </w:rPr>
              <w:t>British Columbia Human Rights Tribunal</w:t>
            </w:r>
          </w:p>
          <w:p w:rsidR="00B124FF" w:rsidRPr="00AF75CE" w:rsidRDefault="00B124FF" w:rsidP="005F32B8">
            <w:pPr>
              <w:jc w:val="both"/>
              <w:rPr>
                <w:sz w:val="20"/>
                <w:lang w:val="fr-CA"/>
              </w:rPr>
            </w:pPr>
            <w:r w:rsidRPr="00AF75CE">
              <w:rPr>
                <w:sz w:val="20"/>
                <w:lang w:val="fr-CA"/>
              </w:rPr>
              <w:t>(Membre du tribunal Beharrell)</w:t>
            </w:r>
          </w:p>
          <w:p w:rsidR="00B124FF" w:rsidRPr="00AF75CE" w:rsidRDefault="00A24D5C" w:rsidP="005F32B8">
            <w:pPr>
              <w:jc w:val="both"/>
              <w:rPr>
                <w:sz w:val="20"/>
                <w:lang w:val="fr-CA"/>
              </w:rPr>
            </w:pPr>
            <w:hyperlink r:id="rId69" w:history="1">
              <w:r w:rsidR="00B124FF" w:rsidRPr="00AF75CE">
                <w:rPr>
                  <w:rStyle w:val="Hyperlink"/>
                  <w:sz w:val="20"/>
                  <w:lang w:val="fr-CA"/>
                </w:rPr>
                <w:t>2012 BCHRT 23</w:t>
              </w:r>
            </w:hyperlink>
            <w:r w:rsidR="00B124FF" w:rsidRPr="00AF75CE">
              <w:rPr>
                <w:sz w:val="20"/>
                <w:lang w:val="fr-CA"/>
              </w:rPr>
              <w:t xml:space="preserve"> </w:t>
            </w:r>
          </w:p>
          <w:p w:rsidR="00B124FF" w:rsidRPr="00AF75CE" w:rsidRDefault="00B124FF" w:rsidP="005F32B8">
            <w:pPr>
              <w:jc w:val="both"/>
              <w:rPr>
                <w:sz w:val="20"/>
                <w:lang w:val="fr-CA"/>
              </w:rPr>
            </w:pPr>
          </w:p>
        </w:tc>
        <w:tc>
          <w:tcPr>
            <w:tcW w:w="243" w:type="pct"/>
          </w:tcPr>
          <w:p w:rsidR="00B124FF" w:rsidRPr="00AF75CE" w:rsidRDefault="00B124FF" w:rsidP="005F32B8">
            <w:pPr>
              <w:jc w:val="both"/>
              <w:rPr>
                <w:sz w:val="20"/>
                <w:lang w:val="fr-CA"/>
              </w:rPr>
            </w:pPr>
          </w:p>
        </w:tc>
        <w:tc>
          <w:tcPr>
            <w:tcW w:w="2330" w:type="pct"/>
          </w:tcPr>
          <w:p w:rsidR="00B124FF" w:rsidRPr="00AF75CE" w:rsidRDefault="00B124FF" w:rsidP="005F32B8">
            <w:pPr>
              <w:jc w:val="both"/>
              <w:rPr>
                <w:sz w:val="20"/>
                <w:lang w:val="fr-CA"/>
              </w:rPr>
            </w:pPr>
            <w:r w:rsidRPr="00AF75CE">
              <w:rPr>
                <w:sz w:val="20"/>
                <w:lang w:val="fr-CA"/>
              </w:rPr>
              <w:t xml:space="preserve">Rejet de la plainte alléguant discrimination contre une catégorie protégée. </w:t>
            </w:r>
          </w:p>
          <w:p w:rsidR="00B124FF" w:rsidRPr="00AF75CE" w:rsidRDefault="00B124FF" w:rsidP="005F32B8">
            <w:pPr>
              <w:jc w:val="both"/>
              <w:rPr>
                <w:sz w:val="20"/>
                <w:lang w:val="fr-CA"/>
              </w:rPr>
            </w:pPr>
          </w:p>
        </w:tc>
      </w:tr>
      <w:tr w:rsidR="00B124FF" w:rsidRPr="00CC0B55" w:rsidTr="005F32B8">
        <w:tc>
          <w:tcPr>
            <w:tcW w:w="2427" w:type="pct"/>
            <w:gridSpan w:val="2"/>
          </w:tcPr>
          <w:p w:rsidR="00B124FF" w:rsidRPr="00AF75CE" w:rsidRDefault="00B124FF" w:rsidP="005F32B8">
            <w:pPr>
              <w:jc w:val="both"/>
              <w:rPr>
                <w:sz w:val="20"/>
                <w:lang w:val="fr-CA"/>
              </w:rPr>
            </w:pPr>
            <w:r w:rsidRPr="00AF75CE">
              <w:rPr>
                <w:sz w:val="20"/>
                <w:lang w:val="fr-CA"/>
              </w:rPr>
              <w:t>10 avril 2015</w:t>
            </w:r>
          </w:p>
          <w:p w:rsidR="00B124FF" w:rsidRPr="00AF75CE" w:rsidRDefault="00B124FF" w:rsidP="005F32B8">
            <w:pPr>
              <w:jc w:val="both"/>
              <w:rPr>
                <w:sz w:val="20"/>
                <w:lang w:val="fr-CA"/>
              </w:rPr>
            </w:pPr>
            <w:r w:rsidRPr="00AF75CE">
              <w:rPr>
                <w:sz w:val="20"/>
                <w:lang w:val="fr-CA"/>
              </w:rPr>
              <w:t>Cour suprême de la Colombie-Britannique</w:t>
            </w:r>
          </w:p>
          <w:p w:rsidR="00B124FF" w:rsidRPr="00AF75CE" w:rsidRDefault="00B124FF" w:rsidP="005F32B8">
            <w:pPr>
              <w:jc w:val="both"/>
              <w:rPr>
                <w:sz w:val="20"/>
                <w:lang w:val="fr-CA"/>
              </w:rPr>
            </w:pPr>
            <w:r w:rsidRPr="00AF75CE">
              <w:rPr>
                <w:sz w:val="20"/>
                <w:lang w:val="fr-CA"/>
              </w:rPr>
              <w:t>(Juge Sharma)</w:t>
            </w:r>
          </w:p>
          <w:p w:rsidR="00B124FF" w:rsidRPr="00AF75CE" w:rsidRDefault="00A24D5C" w:rsidP="005F32B8">
            <w:pPr>
              <w:jc w:val="both"/>
              <w:rPr>
                <w:rStyle w:val="Hyperlink"/>
                <w:sz w:val="20"/>
                <w:lang w:val="fr-CA"/>
              </w:rPr>
            </w:pPr>
            <w:hyperlink r:id="rId70" w:history="1">
              <w:r w:rsidR="00B124FF" w:rsidRPr="00AF75CE">
                <w:rPr>
                  <w:rStyle w:val="Hyperlink"/>
                  <w:sz w:val="20"/>
                  <w:lang w:val="fr-CA"/>
                </w:rPr>
                <w:t>2015 BCSC 534</w:t>
              </w:r>
            </w:hyperlink>
          </w:p>
          <w:p w:rsidR="00B124FF" w:rsidRPr="00AF75CE" w:rsidRDefault="00B124FF" w:rsidP="005F32B8">
            <w:pPr>
              <w:jc w:val="both"/>
              <w:rPr>
                <w:sz w:val="20"/>
                <w:lang w:val="fr-CA"/>
              </w:rPr>
            </w:pPr>
          </w:p>
        </w:tc>
        <w:tc>
          <w:tcPr>
            <w:tcW w:w="243" w:type="pct"/>
          </w:tcPr>
          <w:p w:rsidR="00B124FF" w:rsidRPr="00AF75CE" w:rsidRDefault="00B124FF" w:rsidP="005F32B8">
            <w:pPr>
              <w:jc w:val="both"/>
              <w:rPr>
                <w:sz w:val="20"/>
                <w:lang w:val="fr-CA"/>
              </w:rPr>
            </w:pPr>
          </w:p>
        </w:tc>
        <w:tc>
          <w:tcPr>
            <w:tcW w:w="2330" w:type="pct"/>
          </w:tcPr>
          <w:p w:rsidR="00B124FF" w:rsidRPr="00AF75CE" w:rsidRDefault="00B124FF" w:rsidP="005F32B8">
            <w:pPr>
              <w:jc w:val="both"/>
              <w:rPr>
                <w:sz w:val="20"/>
                <w:lang w:val="fr-CA"/>
              </w:rPr>
            </w:pPr>
            <w:r w:rsidRPr="00AF75CE">
              <w:rPr>
                <w:sz w:val="20"/>
                <w:lang w:val="fr-CA"/>
              </w:rPr>
              <w:t xml:space="preserve">Annulation de la décision du Tribunal et renvoi de la plainte. </w:t>
            </w:r>
          </w:p>
          <w:p w:rsidR="00B124FF" w:rsidRPr="00AF75CE" w:rsidRDefault="00B124FF" w:rsidP="005F32B8">
            <w:pPr>
              <w:jc w:val="both"/>
              <w:rPr>
                <w:sz w:val="20"/>
                <w:lang w:val="fr-CA"/>
              </w:rPr>
            </w:pPr>
          </w:p>
        </w:tc>
      </w:tr>
      <w:tr w:rsidR="00B124FF" w:rsidRPr="00CC0B55" w:rsidTr="005F32B8">
        <w:tc>
          <w:tcPr>
            <w:tcW w:w="2427" w:type="pct"/>
            <w:gridSpan w:val="2"/>
          </w:tcPr>
          <w:p w:rsidR="00B124FF" w:rsidRPr="00AF75CE" w:rsidRDefault="00B124FF" w:rsidP="005F32B8">
            <w:pPr>
              <w:jc w:val="both"/>
              <w:rPr>
                <w:sz w:val="20"/>
                <w:lang w:val="fr-CA"/>
              </w:rPr>
            </w:pPr>
            <w:r w:rsidRPr="00AF75CE">
              <w:rPr>
                <w:sz w:val="20"/>
                <w:lang w:val="fr-CA"/>
              </w:rPr>
              <w:t>11 avril 2018</w:t>
            </w:r>
          </w:p>
          <w:p w:rsidR="00B124FF" w:rsidRPr="00AF75CE" w:rsidRDefault="00B124FF" w:rsidP="005F32B8">
            <w:pPr>
              <w:jc w:val="both"/>
              <w:rPr>
                <w:sz w:val="20"/>
                <w:lang w:val="fr-CA"/>
              </w:rPr>
            </w:pPr>
            <w:r w:rsidRPr="00AF75CE">
              <w:rPr>
                <w:sz w:val="20"/>
                <w:lang w:val="fr-CA"/>
              </w:rPr>
              <w:t>Cour d’appel de la Colombie-Britannique</w:t>
            </w:r>
          </w:p>
          <w:p w:rsidR="00B124FF" w:rsidRPr="00AF75CE" w:rsidRDefault="00B124FF" w:rsidP="005F32B8">
            <w:pPr>
              <w:jc w:val="both"/>
              <w:rPr>
                <w:sz w:val="20"/>
                <w:lang w:val="fr-CA"/>
              </w:rPr>
            </w:pPr>
            <w:r w:rsidRPr="00AF75CE">
              <w:rPr>
                <w:sz w:val="20"/>
                <w:lang w:val="fr-CA"/>
              </w:rPr>
              <w:t>(Vancouver)</w:t>
            </w:r>
          </w:p>
          <w:p w:rsidR="00B124FF" w:rsidRPr="00AF75CE" w:rsidRDefault="00B124FF" w:rsidP="005F32B8">
            <w:pPr>
              <w:jc w:val="both"/>
              <w:rPr>
                <w:sz w:val="20"/>
                <w:lang w:val="fr-CA"/>
              </w:rPr>
            </w:pPr>
            <w:r w:rsidRPr="00AF75CE">
              <w:rPr>
                <w:sz w:val="20"/>
                <w:lang w:val="fr-CA"/>
              </w:rPr>
              <w:t>(Juges Groberman, Harris et Fenlon)</w:t>
            </w:r>
          </w:p>
          <w:p w:rsidR="00B124FF" w:rsidRPr="00AF75CE" w:rsidRDefault="00B124FF" w:rsidP="005F32B8">
            <w:pPr>
              <w:jc w:val="both"/>
              <w:rPr>
                <w:sz w:val="20"/>
                <w:lang w:val="fr-CA"/>
              </w:rPr>
            </w:pPr>
            <w:r w:rsidRPr="00AF75CE">
              <w:rPr>
                <w:rStyle w:val="Hyperlink"/>
                <w:sz w:val="20"/>
                <w:lang w:val="fr-CA"/>
              </w:rPr>
              <w:t>2018 BCCA 132</w:t>
            </w:r>
            <w:r w:rsidRPr="00AF75CE">
              <w:rPr>
                <w:sz w:val="20"/>
                <w:lang w:val="fr-CA"/>
              </w:rPr>
              <w:t xml:space="preserve"> (N</w:t>
            </w:r>
            <w:r w:rsidRPr="00AF75CE">
              <w:rPr>
                <w:sz w:val="20"/>
                <w:vertAlign w:val="superscript"/>
                <w:lang w:val="fr-CA"/>
              </w:rPr>
              <w:t>os</w:t>
            </w:r>
            <w:r w:rsidRPr="00AF75CE">
              <w:rPr>
                <w:sz w:val="20"/>
                <w:lang w:val="fr-CA"/>
              </w:rPr>
              <w:t xml:space="preserve"> CA42770 et CA42777)</w:t>
            </w:r>
          </w:p>
          <w:p w:rsidR="00B124FF" w:rsidRPr="00AF75CE" w:rsidRDefault="00B124FF" w:rsidP="005F32B8">
            <w:pPr>
              <w:jc w:val="both"/>
              <w:rPr>
                <w:sz w:val="20"/>
                <w:lang w:val="fr-CA"/>
              </w:rPr>
            </w:pPr>
          </w:p>
        </w:tc>
        <w:tc>
          <w:tcPr>
            <w:tcW w:w="243" w:type="pct"/>
          </w:tcPr>
          <w:p w:rsidR="00B124FF" w:rsidRPr="00AF75CE" w:rsidRDefault="00B124FF" w:rsidP="005F32B8">
            <w:pPr>
              <w:jc w:val="both"/>
              <w:rPr>
                <w:sz w:val="20"/>
                <w:lang w:val="fr-CA"/>
              </w:rPr>
            </w:pPr>
          </w:p>
        </w:tc>
        <w:tc>
          <w:tcPr>
            <w:tcW w:w="2330" w:type="pct"/>
          </w:tcPr>
          <w:p w:rsidR="00B124FF" w:rsidRPr="00AF75CE" w:rsidRDefault="00B124FF" w:rsidP="005F32B8">
            <w:pPr>
              <w:jc w:val="both"/>
              <w:rPr>
                <w:sz w:val="20"/>
                <w:lang w:val="fr-CA"/>
              </w:rPr>
            </w:pPr>
            <w:r w:rsidRPr="00AF75CE">
              <w:rPr>
                <w:sz w:val="20"/>
                <w:lang w:val="fr-CA"/>
              </w:rPr>
              <w:t xml:space="preserve">Arrêt accueillant l’appel et rétablissant la décision du Tribunal. </w:t>
            </w:r>
          </w:p>
          <w:p w:rsidR="00B124FF" w:rsidRPr="00AF75CE" w:rsidRDefault="00B124FF" w:rsidP="005F32B8">
            <w:pPr>
              <w:jc w:val="both"/>
              <w:rPr>
                <w:sz w:val="20"/>
                <w:lang w:val="fr-CA"/>
              </w:rPr>
            </w:pPr>
          </w:p>
        </w:tc>
      </w:tr>
      <w:tr w:rsidR="00B124FF" w:rsidRPr="00CC0B55" w:rsidTr="005F32B8">
        <w:tc>
          <w:tcPr>
            <w:tcW w:w="2427" w:type="pct"/>
            <w:gridSpan w:val="2"/>
          </w:tcPr>
          <w:p w:rsidR="00B124FF" w:rsidRPr="00AF75CE" w:rsidRDefault="00B124FF" w:rsidP="005F32B8">
            <w:pPr>
              <w:jc w:val="both"/>
              <w:rPr>
                <w:sz w:val="20"/>
                <w:lang w:val="fr-CA"/>
              </w:rPr>
            </w:pPr>
            <w:r w:rsidRPr="00AF75CE">
              <w:rPr>
                <w:sz w:val="20"/>
                <w:lang w:val="fr-CA"/>
              </w:rPr>
              <w:t>11 juin 2018</w:t>
            </w:r>
          </w:p>
          <w:p w:rsidR="00B124FF" w:rsidRPr="00AF75CE" w:rsidRDefault="00B124FF" w:rsidP="005F32B8">
            <w:pPr>
              <w:jc w:val="both"/>
              <w:rPr>
                <w:sz w:val="20"/>
                <w:lang w:val="fr-CA"/>
              </w:rPr>
            </w:pPr>
            <w:r w:rsidRPr="00AF75CE">
              <w:rPr>
                <w:sz w:val="20"/>
                <w:lang w:val="fr-CA"/>
              </w:rPr>
              <w:t>Cour suprême du Canada</w:t>
            </w:r>
          </w:p>
        </w:tc>
        <w:tc>
          <w:tcPr>
            <w:tcW w:w="243" w:type="pct"/>
          </w:tcPr>
          <w:p w:rsidR="00B124FF" w:rsidRPr="00AF75CE" w:rsidRDefault="00B124FF" w:rsidP="005F32B8">
            <w:pPr>
              <w:jc w:val="both"/>
              <w:rPr>
                <w:sz w:val="20"/>
                <w:lang w:val="fr-CA"/>
              </w:rPr>
            </w:pPr>
          </w:p>
        </w:tc>
        <w:tc>
          <w:tcPr>
            <w:tcW w:w="2330" w:type="pct"/>
          </w:tcPr>
          <w:p w:rsidR="00B124FF" w:rsidRPr="00AF75CE" w:rsidRDefault="00B124FF" w:rsidP="005F32B8">
            <w:pPr>
              <w:jc w:val="both"/>
              <w:rPr>
                <w:sz w:val="20"/>
                <w:lang w:val="fr-CA"/>
              </w:rPr>
            </w:pPr>
            <w:r w:rsidRPr="00AF75CE">
              <w:rPr>
                <w:sz w:val="20"/>
                <w:lang w:val="fr-CA"/>
              </w:rPr>
              <w:t>Dépôt de la demande d’autorisation d’appel.</w:t>
            </w:r>
          </w:p>
          <w:p w:rsidR="00B124FF" w:rsidRPr="00AF75CE" w:rsidRDefault="00B124FF" w:rsidP="005F32B8">
            <w:pPr>
              <w:jc w:val="both"/>
              <w:rPr>
                <w:sz w:val="20"/>
                <w:lang w:val="fr-CA"/>
              </w:rPr>
            </w:pPr>
          </w:p>
        </w:tc>
      </w:tr>
    </w:tbl>
    <w:p w:rsidR="00B124FF" w:rsidRDefault="00B124FF" w:rsidP="00B124FF">
      <w:pPr>
        <w:jc w:val="both"/>
        <w:rPr>
          <w:sz w:val="20"/>
          <w:lang w:val="fr-CA"/>
        </w:rPr>
      </w:pPr>
    </w:p>
    <w:p w:rsidR="00B124FF" w:rsidRPr="00AF75CE" w:rsidRDefault="00A24D5C" w:rsidP="00B124FF">
      <w:pPr>
        <w:jc w:val="both"/>
        <w:rPr>
          <w:sz w:val="20"/>
          <w:lang w:val="fr-CA"/>
        </w:rPr>
      </w:pPr>
      <w:r>
        <w:rPr>
          <w:sz w:val="20"/>
          <w:szCs w:val="20"/>
        </w:rPr>
        <w:pict>
          <v:rect id="_x0000_i1046" style="width:2in;height:1pt" o:hrpct="0" o:hralign="center" o:hrstd="t" o:hrnoshade="t" o:hr="t" fillcolor="black [3213]" stroked="f"/>
        </w:pict>
      </w:r>
    </w:p>
    <w:p w:rsidR="00B124FF" w:rsidRPr="00AF75CE" w:rsidRDefault="00B124FF" w:rsidP="00B124FF">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124FF" w:rsidRPr="00AF75CE" w:rsidTr="005F32B8">
        <w:tc>
          <w:tcPr>
            <w:tcW w:w="543" w:type="pct"/>
          </w:tcPr>
          <w:p w:rsidR="00B124FF" w:rsidRPr="00AF75CE" w:rsidRDefault="00B124FF" w:rsidP="005F32B8">
            <w:pPr>
              <w:jc w:val="both"/>
              <w:rPr>
                <w:sz w:val="20"/>
              </w:rPr>
            </w:pPr>
            <w:r w:rsidRPr="00AF75CE">
              <w:rPr>
                <w:rStyle w:val="SCCFileNumberChar"/>
                <w:sz w:val="20"/>
                <w:szCs w:val="20"/>
              </w:rPr>
              <w:t>38312</w:t>
            </w:r>
          </w:p>
        </w:tc>
        <w:tc>
          <w:tcPr>
            <w:tcW w:w="4457" w:type="pct"/>
            <w:gridSpan w:val="3"/>
          </w:tcPr>
          <w:p w:rsidR="00B124FF" w:rsidRPr="00202CE2" w:rsidRDefault="00B124FF" w:rsidP="005F32B8">
            <w:pPr>
              <w:pStyle w:val="SCCLsocParty"/>
              <w:jc w:val="both"/>
              <w:rPr>
                <w:b/>
                <w:sz w:val="20"/>
                <w:szCs w:val="20"/>
                <w:lang w:val="en-US"/>
              </w:rPr>
            </w:pPr>
            <w:r w:rsidRPr="00202CE2">
              <w:rPr>
                <w:b/>
                <w:sz w:val="20"/>
                <w:szCs w:val="20"/>
                <w:lang w:val="en-US"/>
              </w:rPr>
              <w:t>Seyawash Qhasimy v. Her Majesty the Queen</w:t>
            </w:r>
          </w:p>
          <w:p w:rsidR="00B124FF" w:rsidRPr="00AF75CE" w:rsidRDefault="00B124FF" w:rsidP="005F32B8">
            <w:pPr>
              <w:jc w:val="both"/>
              <w:rPr>
                <w:sz w:val="20"/>
              </w:rPr>
            </w:pPr>
            <w:r w:rsidRPr="00AF75CE">
              <w:rPr>
                <w:sz w:val="20"/>
              </w:rPr>
              <w:t>(Alta.) (Criminal) (By Leave)</w:t>
            </w:r>
          </w:p>
        </w:tc>
      </w:tr>
      <w:tr w:rsidR="00B124FF" w:rsidRPr="00AF75CE" w:rsidTr="005F32B8">
        <w:tc>
          <w:tcPr>
            <w:tcW w:w="5000" w:type="pct"/>
            <w:gridSpan w:val="4"/>
          </w:tcPr>
          <w:p w:rsidR="00B124FF" w:rsidRPr="00C11FF6" w:rsidRDefault="00B124FF" w:rsidP="005F32B8">
            <w:pPr>
              <w:jc w:val="both"/>
              <w:rPr>
                <w:sz w:val="20"/>
                <w:szCs w:val="20"/>
              </w:rPr>
            </w:pPr>
            <w:r w:rsidRPr="00C11FF6">
              <w:rPr>
                <w:sz w:val="20"/>
                <w:szCs w:val="20"/>
              </w:rPr>
              <w:t>The motion for an extension of time to serve and file the response to the application for leave to appeal is granted. The application for leave to appeal from the judgment of the</w:t>
            </w:r>
            <w:bookmarkStart w:id="6" w:name="BM_1_"/>
            <w:bookmarkEnd w:id="6"/>
            <w:r w:rsidRPr="00C11FF6">
              <w:rPr>
                <w:sz w:val="20"/>
                <w:szCs w:val="20"/>
              </w:rPr>
              <w:t xml:space="preserve"> Court of Appeal of Alberta (Calgary), Number 1701-0138-A, 2018 ABCA 228, dated June 22, 2018, is dismissed.</w:t>
            </w:r>
          </w:p>
          <w:p w:rsidR="00B124FF" w:rsidRPr="00C11FF6" w:rsidRDefault="00B124FF" w:rsidP="005F32B8">
            <w:pPr>
              <w:jc w:val="both"/>
              <w:rPr>
                <w:sz w:val="20"/>
                <w:szCs w:val="20"/>
              </w:rPr>
            </w:pPr>
          </w:p>
          <w:p w:rsidR="00B124FF" w:rsidRPr="00C11FF6" w:rsidRDefault="00B124FF" w:rsidP="005F32B8">
            <w:pPr>
              <w:rPr>
                <w:sz w:val="20"/>
                <w:szCs w:val="20"/>
                <w:lang w:val="en-US"/>
              </w:rPr>
            </w:pPr>
            <w:r w:rsidRPr="00C11FF6">
              <w:rPr>
                <w:sz w:val="20"/>
                <w:szCs w:val="20"/>
              </w:rPr>
              <w:t>Martin J. took no part in the judgment.</w:t>
            </w:r>
          </w:p>
          <w:p w:rsidR="00B124FF" w:rsidRPr="00C11FF6" w:rsidRDefault="00B124FF" w:rsidP="005F32B8">
            <w:pPr>
              <w:jc w:val="both"/>
              <w:rPr>
                <w:smallCaps/>
                <w:sz w:val="20"/>
                <w:lang w:val="en-US"/>
              </w:rPr>
            </w:pPr>
          </w:p>
        </w:tc>
      </w:tr>
      <w:tr w:rsidR="00B124FF" w:rsidRPr="00AF75CE" w:rsidTr="005F32B8">
        <w:tc>
          <w:tcPr>
            <w:tcW w:w="5000" w:type="pct"/>
            <w:gridSpan w:val="4"/>
          </w:tcPr>
          <w:p w:rsidR="00B124FF" w:rsidRPr="00AF75CE" w:rsidRDefault="00B124FF" w:rsidP="005F32B8">
            <w:pPr>
              <w:jc w:val="both"/>
              <w:rPr>
                <w:smallCaps/>
                <w:sz w:val="20"/>
              </w:rPr>
            </w:pPr>
            <w:r w:rsidRPr="00AF75CE">
              <w:rPr>
                <w:smallCaps/>
                <w:sz w:val="20"/>
              </w:rPr>
              <w:t>(Publication ban in case)</w:t>
            </w:r>
          </w:p>
          <w:p w:rsidR="00B124FF" w:rsidRPr="00AF75CE" w:rsidRDefault="00B124FF" w:rsidP="005F32B8">
            <w:pPr>
              <w:jc w:val="both"/>
              <w:rPr>
                <w:sz w:val="20"/>
              </w:rPr>
            </w:pPr>
          </w:p>
          <w:p w:rsidR="00B124FF" w:rsidRPr="00AF75CE" w:rsidRDefault="00B124FF" w:rsidP="005F32B8">
            <w:pPr>
              <w:jc w:val="both"/>
              <w:rPr>
                <w:sz w:val="20"/>
              </w:rPr>
            </w:pPr>
            <w:r w:rsidRPr="00AF75CE">
              <w:rPr>
                <w:sz w:val="20"/>
              </w:rPr>
              <w:t xml:space="preserve">Criminal law – Sexual assault – Whether the Court of Appeal erred by upholding the trial judge’s reliance on ‘hue and cry’ reasoning – Whether the Court of Appeal erred by applying the wrong test to s. 686(1)(b)(iii) of the </w:t>
            </w:r>
            <w:r w:rsidRPr="00AF75CE">
              <w:rPr>
                <w:i/>
                <w:sz w:val="20"/>
              </w:rPr>
              <w:t>Criminal Code</w:t>
            </w:r>
            <w:r w:rsidRPr="00AF75CE">
              <w:rPr>
                <w:sz w:val="20"/>
              </w:rPr>
              <w:t>.</w:t>
            </w:r>
          </w:p>
          <w:p w:rsidR="00B124FF" w:rsidRPr="00AF75CE" w:rsidRDefault="00B124FF" w:rsidP="005F32B8">
            <w:pPr>
              <w:jc w:val="both"/>
              <w:rPr>
                <w:sz w:val="20"/>
              </w:rPr>
            </w:pPr>
          </w:p>
        </w:tc>
      </w:tr>
      <w:tr w:rsidR="00B124FF" w:rsidRPr="00AF75CE" w:rsidTr="005F32B8">
        <w:tc>
          <w:tcPr>
            <w:tcW w:w="5000" w:type="pct"/>
            <w:gridSpan w:val="4"/>
          </w:tcPr>
          <w:p w:rsidR="00B124FF" w:rsidRPr="00AF75CE" w:rsidRDefault="00B124FF" w:rsidP="005F32B8">
            <w:pPr>
              <w:jc w:val="both"/>
              <w:rPr>
                <w:sz w:val="20"/>
              </w:rPr>
            </w:pPr>
            <w:r w:rsidRPr="00AF75CE">
              <w:rPr>
                <w:sz w:val="20"/>
              </w:rPr>
              <w:t>Mr. Qhasimy was charged with sexual assault. The issue at trial was consent and both the complainant and Mr. Qhasimy testified at trial. It was a “he said, she said” case where the two had contradictory and diametrically opposed versions of the events. Mr. Qhasimy was convicted and his appeal dismissed.</w:t>
            </w:r>
          </w:p>
        </w:tc>
      </w:tr>
      <w:tr w:rsidR="00B124FF" w:rsidRPr="00AF75CE" w:rsidTr="005F32B8">
        <w:tc>
          <w:tcPr>
            <w:tcW w:w="5000" w:type="pct"/>
            <w:gridSpan w:val="4"/>
          </w:tcPr>
          <w:p w:rsidR="00B124FF" w:rsidRPr="00AF75CE" w:rsidRDefault="00B124FF" w:rsidP="005F32B8">
            <w:pPr>
              <w:jc w:val="both"/>
              <w:rPr>
                <w:sz w:val="20"/>
              </w:rPr>
            </w:pPr>
          </w:p>
        </w:tc>
      </w:tr>
      <w:tr w:rsidR="00B124FF" w:rsidRPr="00AF75CE" w:rsidTr="005F32B8">
        <w:tc>
          <w:tcPr>
            <w:tcW w:w="2427" w:type="pct"/>
            <w:gridSpan w:val="2"/>
          </w:tcPr>
          <w:p w:rsidR="00B124FF" w:rsidRPr="00AF75CE" w:rsidRDefault="00B124FF" w:rsidP="005F32B8">
            <w:pPr>
              <w:jc w:val="both"/>
              <w:rPr>
                <w:sz w:val="20"/>
              </w:rPr>
            </w:pPr>
            <w:r w:rsidRPr="00AF75CE">
              <w:rPr>
                <w:sz w:val="20"/>
              </w:rPr>
              <w:t>April 20, 2017</w:t>
            </w:r>
          </w:p>
          <w:p w:rsidR="00B124FF" w:rsidRPr="00AF75CE" w:rsidRDefault="00B124FF" w:rsidP="005F32B8">
            <w:pPr>
              <w:jc w:val="both"/>
              <w:rPr>
                <w:sz w:val="20"/>
              </w:rPr>
            </w:pPr>
            <w:r w:rsidRPr="00AF75CE">
              <w:rPr>
                <w:sz w:val="20"/>
              </w:rPr>
              <w:t>Provincial Court of Alberta</w:t>
            </w:r>
          </w:p>
          <w:p w:rsidR="00B124FF" w:rsidRPr="00AF75CE" w:rsidRDefault="00B124FF" w:rsidP="005F32B8">
            <w:pPr>
              <w:jc w:val="both"/>
              <w:rPr>
                <w:sz w:val="20"/>
              </w:rPr>
            </w:pPr>
            <w:r w:rsidRPr="00AF75CE">
              <w:rPr>
                <w:sz w:val="20"/>
              </w:rPr>
              <w:t>(Meagher J.)</w:t>
            </w:r>
          </w:p>
          <w:p w:rsidR="00B124FF" w:rsidRPr="00AF75CE" w:rsidRDefault="00A24D5C" w:rsidP="005F32B8">
            <w:pPr>
              <w:jc w:val="both"/>
              <w:rPr>
                <w:sz w:val="20"/>
              </w:rPr>
            </w:pPr>
            <w:hyperlink r:id="rId71" w:history="1">
              <w:r w:rsidR="00B124FF" w:rsidRPr="00AF75CE">
                <w:rPr>
                  <w:rStyle w:val="Hyperlink"/>
                  <w:sz w:val="20"/>
                </w:rPr>
                <w:t>2017 ABPC 83</w:t>
              </w:r>
            </w:hyperlink>
            <w:r w:rsidR="00B124FF" w:rsidRPr="00AF75CE">
              <w:rPr>
                <w:sz w:val="20"/>
              </w:rPr>
              <w:t>; 150134229P1</w:t>
            </w:r>
          </w:p>
          <w:p w:rsidR="00B124FF" w:rsidRPr="00AF75CE" w:rsidRDefault="00B124FF" w:rsidP="005F32B8">
            <w:pPr>
              <w:jc w:val="both"/>
              <w:rPr>
                <w:sz w:val="20"/>
              </w:rPr>
            </w:pPr>
          </w:p>
        </w:tc>
        <w:tc>
          <w:tcPr>
            <w:tcW w:w="243" w:type="pct"/>
          </w:tcPr>
          <w:p w:rsidR="00B124FF" w:rsidRPr="00AF75CE" w:rsidRDefault="00B124FF" w:rsidP="005F32B8">
            <w:pPr>
              <w:jc w:val="both"/>
              <w:rPr>
                <w:sz w:val="20"/>
              </w:rPr>
            </w:pPr>
          </w:p>
        </w:tc>
        <w:tc>
          <w:tcPr>
            <w:tcW w:w="2330" w:type="pct"/>
          </w:tcPr>
          <w:p w:rsidR="00B124FF" w:rsidRPr="00AF75CE" w:rsidRDefault="00B124FF" w:rsidP="005F32B8">
            <w:pPr>
              <w:jc w:val="both"/>
              <w:rPr>
                <w:sz w:val="20"/>
              </w:rPr>
            </w:pPr>
            <w:r w:rsidRPr="00AF75CE">
              <w:rPr>
                <w:sz w:val="20"/>
              </w:rPr>
              <w:t>Applicant convicted of sexual assault</w:t>
            </w:r>
          </w:p>
          <w:p w:rsidR="00B124FF" w:rsidRPr="00AF75CE" w:rsidRDefault="00B124FF" w:rsidP="005F32B8">
            <w:pPr>
              <w:jc w:val="both"/>
              <w:rPr>
                <w:sz w:val="20"/>
              </w:rPr>
            </w:pPr>
          </w:p>
        </w:tc>
      </w:tr>
      <w:tr w:rsidR="00B124FF" w:rsidRPr="00AF75CE" w:rsidTr="005F32B8">
        <w:tc>
          <w:tcPr>
            <w:tcW w:w="2427" w:type="pct"/>
            <w:gridSpan w:val="2"/>
          </w:tcPr>
          <w:p w:rsidR="00B124FF" w:rsidRPr="00AF75CE" w:rsidRDefault="00B124FF" w:rsidP="005F32B8">
            <w:pPr>
              <w:jc w:val="both"/>
              <w:rPr>
                <w:sz w:val="20"/>
              </w:rPr>
            </w:pPr>
            <w:r w:rsidRPr="00AF75CE">
              <w:rPr>
                <w:sz w:val="20"/>
              </w:rPr>
              <w:t>June 22, 2018</w:t>
            </w:r>
          </w:p>
          <w:p w:rsidR="00B124FF" w:rsidRPr="00AF75CE" w:rsidRDefault="00B124FF" w:rsidP="005F32B8">
            <w:pPr>
              <w:jc w:val="both"/>
              <w:rPr>
                <w:sz w:val="20"/>
              </w:rPr>
            </w:pPr>
            <w:r w:rsidRPr="00AF75CE">
              <w:rPr>
                <w:sz w:val="20"/>
              </w:rPr>
              <w:t>Court of Appeal of Alberta (Calgary)</w:t>
            </w:r>
          </w:p>
          <w:p w:rsidR="00B124FF" w:rsidRPr="00AF75CE" w:rsidRDefault="00B124FF" w:rsidP="005F32B8">
            <w:pPr>
              <w:jc w:val="both"/>
              <w:rPr>
                <w:sz w:val="20"/>
              </w:rPr>
            </w:pPr>
            <w:r w:rsidRPr="00AF75CE">
              <w:rPr>
                <w:sz w:val="20"/>
              </w:rPr>
              <w:t>(Slatter, O’Ferrall and Wakeling JJ.A.)</w:t>
            </w:r>
          </w:p>
          <w:p w:rsidR="00B124FF" w:rsidRPr="00AF75CE" w:rsidRDefault="00A24D5C" w:rsidP="005F32B8">
            <w:pPr>
              <w:jc w:val="both"/>
              <w:rPr>
                <w:sz w:val="20"/>
              </w:rPr>
            </w:pPr>
            <w:hyperlink r:id="rId72" w:history="1">
              <w:r w:rsidR="00B124FF" w:rsidRPr="00AF75CE">
                <w:rPr>
                  <w:rStyle w:val="Hyperlink"/>
                  <w:sz w:val="20"/>
                </w:rPr>
                <w:t>2018 ABCA 228</w:t>
              </w:r>
            </w:hyperlink>
            <w:r w:rsidR="00B124FF" w:rsidRPr="00AF75CE">
              <w:rPr>
                <w:sz w:val="20"/>
              </w:rPr>
              <w:t>; 1701-0138-A</w:t>
            </w:r>
          </w:p>
          <w:p w:rsidR="00B124FF" w:rsidRPr="00AF75CE" w:rsidRDefault="00B124FF" w:rsidP="005F32B8">
            <w:pPr>
              <w:jc w:val="both"/>
              <w:rPr>
                <w:sz w:val="20"/>
              </w:rPr>
            </w:pPr>
          </w:p>
        </w:tc>
        <w:tc>
          <w:tcPr>
            <w:tcW w:w="243" w:type="pct"/>
          </w:tcPr>
          <w:p w:rsidR="00B124FF" w:rsidRPr="00AF75CE" w:rsidRDefault="00B124FF" w:rsidP="005F32B8">
            <w:pPr>
              <w:jc w:val="both"/>
              <w:rPr>
                <w:sz w:val="20"/>
              </w:rPr>
            </w:pPr>
          </w:p>
        </w:tc>
        <w:tc>
          <w:tcPr>
            <w:tcW w:w="2330" w:type="pct"/>
          </w:tcPr>
          <w:p w:rsidR="00B124FF" w:rsidRPr="00AF75CE" w:rsidRDefault="00B124FF" w:rsidP="005F32B8">
            <w:pPr>
              <w:jc w:val="both"/>
              <w:rPr>
                <w:sz w:val="20"/>
              </w:rPr>
            </w:pPr>
            <w:r w:rsidRPr="00AF75CE">
              <w:rPr>
                <w:sz w:val="20"/>
              </w:rPr>
              <w:t>Appeal dismissed</w:t>
            </w:r>
          </w:p>
          <w:p w:rsidR="00B124FF" w:rsidRPr="00AF75CE" w:rsidRDefault="00B124FF" w:rsidP="005F32B8">
            <w:pPr>
              <w:jc w:val="both"/>
              <w:rPr>
                <w:sz w:val="20"/>
              </w:rPr>
            </w:pPr>
          </w:p>
        </w:tc>
      </w:tr>
      <w:tr w:rsidR="00B124FF" w:rsidRPr="00AF75CE" w:rsidTr="005F32B8">
        <w:tc>
          <w:tcPr>
            <w:tcW w:w="2427" w:type="pct"/>
            <w:gridSpan w:val="2"/>
          </w:tcPr>
          <w:p w:rsidR="00B124FF" w:rsidRPr="00AF75CE" w:rsidRDefault="00B124FF" w:rsidP="005F32B8">
            <w:pPr>
              <w:jc w:val="both"/>
              <w:rPr>
                <w:sz w:val="20"/>
              </w:rPr>
            </w:pPr>
            <w:r w:rsidRPr="00AF75CE">
              <w:rPr>
                <w:sz w:val="20"/>
              </w:rPr>
              <w:t>September 21, 2018</w:t>
            </w:r>
          </w:p>
          <w:p w:rsidR="00B124FF" w:rsidRPr="00AF75CE" w:rsidRDefault="00B124FF" w:rsidP="005F32B8">
            <w:pPr>
              <w:jc w:val="both"/>
              <w:rPr>
                <w:sz w:val="20"/>
              </w:rPr>
            </w:pPr>
            <w:r w:rsidRPr="00AF75CE">
              <w:rPr>
                <w:sz w:val="20"/>
              </w:rPr>
              <w:t>Supreme Court of Canada</w:t>
            </w:r>
          </w:p>
          <w:p w:rsidR="00B124FF" w:rsidRPr="00AF75CE" w:rsidRDefault="00B124FF" w:rsidP="005F32B8">
            <w:pPr>
              <w:jc w:val="both"/>
              <w:rPr>
                <w:sz w:val="20"/>
              </w:rPr>
            </w:pPr>
          </w:p>
        </w:tc>
        <w:tc>
          <w:tcPr>
            <w:tcW w:w="243" w:type="pct"/>
          </w:tcPr>
          <w:p w:rsidR="00B124FF" w:rsidRPr="00AF75CE" w:rsidRDefault="00B124FF" w:rsidP="005F32B8">
            <w:pPr>
              <w:jc w:val="both"/>
              <w:rPr>
                <w:sz w:val="20"/>
              </w:rPr>
            </w:pPr>
          </w:p>
        </w:tc>
        <w:tc>
          <w:tcPr>
            <w:tcW w:w="2330" w:type="pct"/>
          </w:tcPr>
          <w:p w:rsidR="00B124FF" w:rsidRPr="00AF75CE" w:rsidRDefault="00B124FF" w:rsidP="005F32B8">
            <w:pPr>
              <w:jc w:val="both"/>
              <w:rPr>
                <w:sz w:val="20"/>
              </w:rPr>
            </w:pPr>
            <w:r w:rsidRPr="00AF75CE">
              <w:rPr>
                <w:sz w:val="20"/>
              </w:rPr>
              <w:t>Application for leave to appeal filed</w:t>
            </w:r>
          </w:p>
          <w:p w:rsidR="00B124FF" w:rsidRPr="00AF75CE" w:rsidRDefault="00B124FF" w:rsidP="005F32B8">
            <w:pPr>
              <w:jc w:val="both"/>
              <w:rPr>
                <w:sz w:val="20"/>
              </w:rPr>
            </w:pPr>
          </w:p>
        </w:tc>
      </w:tr>
      <w:tr w:rsidR="00B124FF" w:rsidRPr="00AF75CE" w:rsidTr="005F32B8">
        <w:tc>
          <w:tcPr>
            <w:tcW w:w="2427" w:type="pct"/>
            <w:gridSpan w:val="2"/>
          </w:tcPr>
          <w:p w:rsidR="00B124FF" w:rsidRPr="00AF75CE" w:rsidRDefault="00B124FF" w:rsidP="005F32B8">
            <w:pPr>
              <w:jc w:val="both"/>
              <w:rPr>
                <w:sz w:val="20"/>
              </w:rPr>
            </w:pPr>
            <w:r w:rsidRPr="00AF75CE">
              <w:rPr>
                <w:sz w:val="20"/>
              </w:rPr>
              <w:t>November 5, 2018</w:t>
            </w:r>
          </w:p>
          <w:p w:rsidR="00B124FF" w:rsidRPr="00AF75CE" w:rsidRDefault="00B124FF" w:rsidP="005F32B8">
            <w:pPr>
              <w:jc w:val="both"/>
              <w:rPr>
                <w:sz w:val="20"/>
              </w:rPr>
            </w:pPr>
            <w:r w:rsidRPr="00AF75CE">
              <w:rPr>
                <w:sz w:val="20"/>
              </w:rPr>
              <w:t>Supreme Court of Canada</w:t>
            </w:r>
          </w:p>
        </w:tc>
        <w:tc>
          <w:tcPr>
            <w:tcW w:w="243" w:type="pct"/>
          </w:tcPr>
          <w:p w:rsidR="00B124FF" w:rsidRPr="00AF75CE" w:rsidRDefault="00B124FF" w:rsidP="005F32B8">
            <w:pPr>
              <w:jc w:val="both"/>
              <w:rPr>
                <w:sz w:val="20"/>
              </w:rPr>
            </w:pPr>
          </w:p>
        </w:tc>
        <w:tc>
          <w:tcPr>
            <w:tcW w:w="2330" w:type="pct"/>
          </w:tcPr>
          <w:p w:rsidR="00B124FF" w:rsidRPr="00AF75CE" w:rsidRDefault="00B124FF" w:rsidP="005F32B8">
            <w:pPr>
              <w:jc w:val="both"/>
              <w:rPr>
                <w:sz w:val="20"/>
              </w:rPr>
            </w:pPr>
            <w:r w:rsidRPr="00AF75CE">
              <w:rPr>
                <w:sz w:val="20"/>
              </w:rPr>
              <w:t>Motion for extension of time to file response filed</w:t>
            </w:r>
          </w:p>
        </w:tc>
      </w:tr>
    </w:tbl>
    <w:p w:rsidR="00B124FF" w:rsidRDefault="00B124FF" w:rsidP="00B124FF">
      <w:pPr>
        <w:jc w:val="both"/>
        <w:rPr>
          <w:sz w:val="20"/>
        </w:rPr>
      </w:pPr>
    </w:p>
    <w:p w:rsidR="00B124FF" w:rsidRPr="00AF75CE" w:rsidRDefault="00B124FF" w:rsidP="00B124F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124FF" w:rsidRPr="00AF75CE" w:rsidTr="005F32B8">
        <w:tc>
          <w:tcPr>
            <w:tcW w:w="543" w:type="pct"/>
          </w:tcPr>
          <w:p w:rsidR="00B124FF" w:rsidRPr="00AF75CE" w:rsidRDefault="00B124FF" w:rsidP="005F32B8">
            <w:pPr>
              <w:jc w:val="both"/>
              <w:rPr>
                <w:sz w:val="20"/>
                <w:lang w:val="fr-CA"/>
              </w:rPr>
            </w:pPr>
            <w:r w:rsidRPr="00AF75CE">
              <w:rPr>
                <w:rStyle w:val="SCCFileNumberChar"/>
                <w:sz w:val="20"/>
                <w:szCs w:val="20"/>
                <w:lang w:val="fr-CA"/>
              </w:rPr>
              <w:t>38312</w:t>
            </w:r>
          </w:p>
        </w:tc>
        <w:tc>
          <w:tcPr>
            <w:tcW w:w="4457" w:type="pct"/>
            <w:gridSpan w:val="3"/>
          </w:tcPr>
          <w:p w:rsidR="00B124FF" w:rsidRPr="00202CE2" w:rsidRDefault="00B124FF" w:rsidP="005F32B8">
            <w:pPr>
              <w:pStyle w:val="SCCLsocParty"/>
              <w:jc w:val="both"/>
              <w:rPr>
                <w:b/>
                <w:sz w:val="20"/>
                <w:szCs w:val="20"/>
              </w:rPr>
            </w:pPr>
            <w:r w:rsidRPr="00202CE2">
              <w:rPr>
                <w:b/>
                <w:sz w:val="20"/>
                <w:szCs w:val="20"/>
              </w:rPr>
              <w:t>Seyawash Qhasimy c. Sa Majesté la Reine</w:t>
            </w:r>
          </w:p>
          <w:p w:rsidR="00B124FF" w:rsidRPr="00AF75CE" w:rsidRDefault="00B124FF" w:rsidP="005F32B8">
            <w:pPr>
              <w:jc w:val="both"/>
              <w:rPr>
                <w:sz w:val="20"/>
                <w:lang w:val="fr-CA"/>
              </w:rPr>
            </w:pPr>
            <w:r w:rsidRPr="00AF75CE">
              <w:rPr>
                <w:sz w:val="20"/>
                <w:lang w:val="fr-CA"/>
              </w:rPr>
              <w:t>(Alb.) (Criminelle) (Autorisation)</w:t>
            </w:r>
          </w:p>
        </w:tc>
      </w:tr>
      <w:tr w:rsidR="00B124FF" w:rsidRPr="00CC0B55" w:rsidTr="005F32B8">
        <w:tc>
          <w:tcPr>
            <w:tcW w:w="5000" w:type="pct"/>
            <w:gridSpan w:val="4"/>
          </w:tcPr>
          <w:p w:rsidR="00B124FF" w:rsidRPr="00C11FF6" w:rsidRDefault="00B124FF" w:rsidP="005F32B8">
            <w:pPr>
              <w:jc w:val="both"/>
              <w:rPr>
                <w:sz w:val="20"/>
                <w:szCs w:val="20"/>
                <w:lang w:val="fr-CA"/>
              </w:rPr>
            </w:pPr>
            <w:r w:rsidRPr="00C11FF6">
              <w:rPr>
                <w:color w:val="000000"/>
                <w:sz w:val="20"/>
                <w:szCs w:val="20"/>
                <w:lang w:val="fr-CA"/>
              </w:rPr>
              <w:t xml:space="preserve">La requête en prorogation du délai de signification et de dépôt de la réponse à la demande d’autorisation d’appel est accueillie. </w:t>
            </w:r>
            <w:r w:rsidRPr="00C11FF6">
              <w:rPr>
                <w:sz w:val="20"/>
                <w:szCs w:val="20"/>
                <w:lang w:val="fr-CA"/>
              </w:rPr>
              <w:t>La demande d’autorisation d’appel de l’arrêt de la Cour d’appel de l’Alberta (Calgary), numéro 1701-0138-A, 2018 ABCA 228, daté du 22 juin 2018, est rejetée.</w:t>
            </w:r>
          </w:p>
          <w:p w:rsidR="00B124FF" w:rsidRPr="00C11FF6" w:rsidRDefault="00B124FF" w:rsidP="005F32B8">
            <w:pPr>
              <w:jc w:val="both"/>
              <w:rPr>
                <w:sz w:val="20"/>
                <w:szCs w:val="20"/>
                <w:lang w:val="fr-CA"/>
              </w:rPr>
            </w:pPr>
          </w:p>
          <w:p w:rsidR="00B124FF" w:rsidRPr="00AF75CE" w:rsidRDefault="00B124FF" w:rsidP="005F32B8">
            <w:pPr>
              <w:jc w:val="both"/>
              <w:rPr>
                <w:smallCaps/>
                <w:sz w:val="20"/>
                <w:lang w:val="fr-CA"/>
              </w:rPr>
            </w:pPr>
            <w:r w:rsidRPr="00C11FF6">
              <w:rPr>
                <w:sz w:val="20"/>
                <w:szCs w:val="20"/>
                <w:lang w:val="fr-CA"/>
              </w:rPr>
              <w:t>La juge Martin n’a pas participé au jugement.</w:t>
            </w:r>
          </w:p>
        </w:tc>
      </w:tr>
      <w:tr w:rsidR="00B124FF" w:rsidRPr="00AF75CE" w:rsidTr="005F32B8">
        <w:tc>
          <w:tcPr>
            <w:tcW w:w="5000" w:type="pct"/>
            <w:gridSpan w:val="4"/>
          </w:tcPr>
          <w:p w:rsidR="00B124FF" w:rsidRPr="00AF75CE" w:rsidRDefault="00B124FF" w:rsidP="005F32B8">
            <w:pPr>
              <w:jc w:val="both"/>
              <w:rPr>
                <w:smallCaps/>
                <w:sz w:val="20"/>
                <w:lang w:val="fr-CA"/>
              </w:rPr>
            </w:pPr>
            <w:r w:rsidRPr="00AF75CE">
              <w:rPr>
                <w:smallCaps/>
                <w:sz w:val="20"/>
                <w:lang w:val="fr-CA"/>
              </w:rPr>
              <w:t>(Ordonnance de non-publication dans le dossier)</w:t>
            </w:r>
          </w:p>
          <w:p w:rsidR="00B124FF" w:rsidRPr="00AF75CE" w:rsidRDefault="00B124FF" w:rsidP="005F32B8">
            <w:pPr>
              <w:jc w:val="both"/>
              <w:rPr>
                <w:sz w:val="20"/>
                <w:lang w:val="fr-CA"/>
              </w:rPr>
            </w:pPr>
          </w:p>
          <w:p w:rsidR="00B124FF" w:rsidRPr="00AF75CE" w:rsidRDefault="00B124FF" w:rsidP="005F32B8">
            <w:pPr>
              <w:jc w:val="both"/>
              <w:rPr>
                <w:sz w:val="20"/>
                <w:lang w:val="fr-CA"/>
              </w:rPr>
            </w:pPr>
            <w:r w:rsidRPr="00AF75CE">
              <w:rPr>
                <w:sz w:val="20"/>
                <w:lang w:val="fr-CA"/>
              </w:rPr>
              <w:t xml:space="preserve">Droit criminel – Agression sexuelle – La Cour d’appel a-t-elle commis une erreur en confirmant le recours, par le juge du procès, au raisonnement relatif à « la clameur publique »? – La Cour d’appel a-t-elle commis une erreur en appliquant le mauvais raisonnement relativement au sous-al. 686(1)b)(iii) du </w:t>
            </w:r>
            <w:r w:rsidRPr="00AF75CE">
              <w:rPr>
                <w:i/>
                <w:sz w:val="20"/>
                <w:lang w:val="fr-CA"/>
              </w:rPr>
              <w:t>Code criminel</w:t>
            </w:r>
            <w:r w:rsidRPr="00AF75CE">
              <w:rPr>
                <w:sz w:val="20"/>
                <w:lang w:val="fr-CA"/>
              </w:rPr>
              <w:t>?</w:t>
            </w:r>
          </w:p>
          <w:p w:rsidR="00B124FF" w:rsidRPr="00AF75CE" w:rsidRDefault="00B124FF" w:rsidP="005F32B8">
            <w:pPr>
              <w:jc w:val="both"/>
              <w:rPr>
                <w:sz w:val="20"/>
                <w:lang w:val="fr-CA"/>
              </w:rPr>
            </w:pPr>
          </w:p>
        </w:tc>
      </w:tr>
      <w:tr w:rsidR="00B124FF" w:rsidRPr="00CC0B55" w:rsidTr="005F32B8">
        <w:tc>
          <w:tcPr>
            <w:tcW w:w="5000" w:type="pct"/>
            <w:gridSpan w:val="4"/>
          </w:tcPr>
          <w:p w:rsidR="00B124FF" w:rsidRPr="00AF75CE" w:rsidRDefault="00B124FF" w:rsidP="005F32B8">
            <w:pPr>
              <w:jc w:val="both"/>
              <w:rPr>
                <w:sz w:val="20"/>
                <w:lang w:val="fr-CA"/>
              </w:rPr>
            </w:pPr>
            <w:r w:rsidRPr="00AF75CE">
              <w:rPr>
                <w:sz w:val="20"/>
                <w:lang w:val="fr-CA"/>
              </w:rPr>
              <w:t>Monsieur Qhasimy a été accusé d’agression sexuelle. Le procès portait sur le consentement et la plaignante et M. Qhasimy ont tous les deux témoigné. La plaignante et l’accusé ont présenté des versions contradictoires et diamétralement opposées des événements. Monsieur Qhasimy a été déclaré coupable et son appel a été rejeté.</w:t>
            </w:r>
          </w:p>
        </w:tc>
      </w:tr>
      <w:tr w:rsidR="00B124FF" w:rsidRPr="00CC0B55" w:rsidTr="005F32B8">
        <w:tc>
          <w:tcPr>
            <w:tcW w:w="5000" w:type="pct"/>
            <w:gridSpan w:val="4"/>
          </w:tcPr>
          <w:p w:rsidR="00B124FF" w:rsidRPr="00AF75CE" w:rsidRDefault="00B124FF" w:rsidP="005F32B8">
            <w:pPr>
              <w:jc w:val="both"/>
              <w:rPr>
                <w:sz w:val="20"/>
                <w:lang w:val="fr-CA"/>
              </w:rPr>
            </w:pPr>
          </w:p>
        </w:tc>
      </w:tr>
      <w:tr w:rsidR="00B124FF" w:rsidRPr="00AF75CE" w:rsidTr="005F32B8">
        <w:tc>
          <w:tcPr>
            <w:tcW w:w="2427" w:type="pct"/>
            <w:gridSpan w:val="2"/>
          </w:tcPr>
          <w:p w:rsidR="00B124FF" w:rsidRPr="00AF75CE" w:rsidRDefault="00B124FF" w:rsidP="005F32B8">
            <w:pPr>
              <w:jc w:val="both"/>
              <w:rPr>
                <w:sz w:val="20"/>
                <w:lang w:val="fr-CA"/>
              </w:rPr>
            </w:pPr>
            <w:r w:rsidRPr="00AF75CE">
              <w:rPr>
                <w:sz w:val="20"/>
                <w:lang w:val="fr-CA"/>
              </w:rPr>
              <w:t>20 avril 2017</w:t>
            </w:r>
          </w:p>
          <w:p w:rsidR="00B124FF" w:rsidRPr="00AF75CE" w:rsidRDefault="00B124FF" w:rsidP="005F32B8">
            <w:pPr>
              <w:jc w:val="both"/>
              <w:rPr>
                <w:sz w:val="20"/>
                <w:lang w:val="fr-CA"/>
              </w:rPr>
            </w:pPr>
            <w:r w:rsidRPr="00AF75CE">
              <w:rPr>
                <w:sz w:val="20"/>
                <w:lang w:val="fr-CA"/>
              </w:rPr>
              <w:t>Cour provinciale de l’Alberta</w:t>
            </w:r>
          </w:p>
          <w:p w:rsidR="00B124FF" w:rsidRPr="00AF75CE" w:rsidRDefault="00B124FF" w:rsidP="005F32B8">
            <w:pPr>
              <w:jc w:val="both"/>
              <w:rPr>
                <w:sz w:val="20"/>
                <w:lang w:val="fr-CA"/>
              </w:rPr>
            </w:pPr>
            <w:r w:rsidRPr="00AF75CE">
              <w:rPr>
                <w:sz w:val="20"/>
                <w:lang w:val="fr-CA"/>
              </w:rPr>
              <w:t>(Juge Meagher)</w:t>
            </w:r>
          </w:p>
          <w:p w:rsidR="00B124FF" w:rsidRPr="00AF75CE" w:rsidRDefault="00A24D5C" w:rsidP="005F32B8">
            <w:pPr>
              <w:jc w:val="both"/>
              <w:rPr>
                <w:sz w:val="20"/>
                <w:lang w:val="fr-CA"/>
              </w:rPr>
            </w:pPr>
            <w:hyperlink r:id="rId73" w:history="1">
              <w:r w:rsidR="00B124FF" w:rsidRPr="00AF75CE">
                <w:rPr>
                  <w:rStyle w:val="Hyperlink"/>
                  <w:sz w:val="20"/>
                  <w:lang w:val="fr-CA"/>
                </w:rPr>
                <w:t>2017 ABPC 83</w:t>
              </w:r>
            </w:hyperlink>
            <w:r w:rsidR="00B124FF" w:rsidRPr="00AF75CE">
              <w:rPr>
                <w:sz w:val="20"/>
                <w:lang w:val="fr-CA"/>
              </w:rPr>
              <w:t>; 150134229P1</w:t>
            </w:r>
          </w:p>
          <w:p w:rsidR="00B124FF" w:rsidRPr="00AF75CE" w:rsidRDefault="00B124FF" w:rsidP="005F32B8">
            <w:pPr>
              <w:jc w:val="both"/>
              <w:rPr>
                <w:sz w:val="20"/>
                <w:lang w:val="fr-CA"/>
              </w:rPr>
            </w:pPr>
          </w:p>
        </w:tc>
        <w:tc>
          <w:tcPr>
            <w:tcW w:w="243" w:type="pct"/>
          </w:tcPr>
          <w:p w:rsidR="00B124FF" w:rsidRPr="00AF75CE" w:rsidRDefault="00B124FF" w:rsidP="005F32B8">
            <w:pPr>
              <w:jc w:val="both"/>
              <w:rPr>
                <w:sz w:val="20"/>
                <w:lang w:val="fr-CA"/>
              </w:rPr>
            </w:pPr>
          </w:p>
        </w:tc>
        <w:tc>
          <w:tcPr>
            <w:tcW w:w="2330" w:type="pct"/>
          </w:tcPr>
          <w:p w:rsidR="00B124FF" w:rsidRPr="00AF75CE" w:rsidRDefault="00B124FF" w:rsidP="005F32B8">
            <w:pPr>
              <w:jc w:val="both"/>
              <w:rPr>
                <w:sz w:val="20"/>
                <w:lang w:val="fr-CA"/>
              </w:rPr>
            </w:pPr>
            <w:r w:rsidRPr="00AF75CE">
              <w:rPr>
                <w:sz w:val="20"/>
                <w:lang w:val="fr-CA"/>
              </w:rPr>
              <w:t>Déclaration de culpabilité d’agression sexuelle</w:t>
            </w:r>
          </w:p>
          <w:p w:rsidR="00B124FF" w:rsidRPr="00AF75CE" w:rsidRDefault="00B124FF" w:rsidP="005F32B8">
            <w:pPr>
              <w:jc w:val="both"/>
              <w:rPr>
                <w:sz w:val="20"/>
                <w:lang w:val="fr-CA"/>
              </w:rPr>
            </w:pPr>
          </w:p>
        </w:tc>
      </w:tr>
      <w:tr w:rsidR="00B124FF" w:rsidRPr="00AF75CE" w:rsidTr="005F32B8">
        <w:tc>
          <w:tcPr>
            <w:tcW w:w="2427" w:type="pct"/>
            <w:gridSpan w:val="2"/>
          </w:tcPr>
          <w:p w:rsidR="00B124FF" w:rsidRPr="00AF75CE" w:rsidRDefault="00B124FF" w:rsidP="005F32B8">
            <w:pPr>
              <w:jc w:val="both"/>
              <w:rPr>
                <w:sz w:val="20"/>
                <w:lang w:val="fr-CA"/>
              </w:rPr>
            </w:pPr>
            <w:r w:rsidRPr="00AF75CE">
              <w:rPr>
                <w:sz w:val="20"/>
                <w:lang w:val="fr-CA"/>
              </w:rPr>
              <w:t>22 juin 2018</w:t>
            </w:r>
          </w:p>
          <w:p w:rsidR="00B124FF" w:rsidRPr="00AF75CE" w:rsidRDefault="00B124FF" w:rsidP="005F32B8">
            <w:pPr>
              <w:jc w:val="both"/>
              <w:rPr>
                <w:sz w:val="20"/>
                <w:lang w:val="fr-CA"/>
              </w:rPr>
            </w:pPr>
            <w:r w:rsidRPr="00AF75CE">
              <w:rPr>
                <w:sz w:val="20"/>
                <w:lang w:val="fr-CA"/>
              </w:rPr>
              <w:t>Cour d’appel de l’Alberta (Calgary)</w:t>
            </w:r>
          </w:p>
          <w:p w:rsidR="00B124FF" w:rsidRPr="00AF75CE" w:rsidRDefault="00B124FF" w:rsidP="005F32B8">
            <w:pPr>
              <w:jc w:val="both"/>
              <w:rPr>
                <w:sz w:val="20"/>
              </w:rPr>
            </w:pPr>
            <w:r w:rsidRPr="00AF75CE">
              <w:rPr>
                <w:sz w:val="20"/>
              </w:rPr>
              <w:t>(Juges Slatter, O’Ferrall et Wakeling)</w:t>
            </w:r>
          </w:p>
          <w:p w:rsidR="00B124FF" w:rsidRPr="00AF75CE" w:rsidRDefault="00A24D5C" w:rsidP="005F32B8">
            <w:pPr>
              <w:jc w:val="both"/>
              <w:rPr>
                <w:sz w:val="20"/>
              </w:rPr>
            </w:pPr>
            <w:hyperlink r:id="rId74" w:history="1">
              <w:r w:rsidR="00B124FF" w:rsidRPr="00AF75CE">
                <w:rPr>
                  <w:rStyle w:val="Hyperlink"/>
                  <w:sz w:val="20"/>
                </w:rPr>
                <w:t>2018 ABCA 228</w:t>
              </w:r>
            </w:hyperlink>
            <w:r w:rsidR="00B124FF" w:rsidRPr="00AF75CE">
              <w:rPr>
                <w:sz w:val="20"/>
              </w:rPr>
              <w:t>; 1701-0138-A</w:t>
            </w:r>
          </w:p>
          <w:p w:rsidR="00B124FF" w:rsidRPr="00AF75CE" w:rsidRDefault="00B124FF" w:rsidP="005F32B8">
            <w:pPr>
              <w:jc w:val="both"/>
              <w:rPr>
                <w:sz w:val="20"/>
              </w:rPr>
            </w:pPr>
          </w:p>
        </w:tc>
        <w:tc>
          <w:tcPr>
            <w:tcW w:w="243" w:type="pct"/>
          </w:tcPr>
          <w:p w:rsidR="00B124FF" w:rsidRPr="00AF75CE" w:rsidRDefault="00B124FF" w:rsidP="005F32B8">
            <w:pPr>
              <w:jc w:val="both"/>
              <w:rPr>
                <w:sz w:val="20"/>
              </w:rPr>
            </w:pPr>
          </w:p>
        </w:tc>
        <w:tc>
          <w:tcPr>
            <w:tcW w:w="2330" w:type="pct"/>
          </w:tcPr>
          <w:p w:rsidR="00B124FF" w:rsidRPr="00AF75CE" w:rsidRDefault="00B124FF" w:rsidP="005F32B8">
            <w:pPr>
              <w:jc w:val="both"/>
              <w:rPr>
                <w:sz w:val="20"/>
                <w:lang w:val="fr-CA"/>
              </w:rPr>
            </w:pPr>
            <w:r w:rsidRPr="00AF75CE">
              <w:rPr>
                <w:sz w:val="20"/>
                <w:lang w:val="fr-CA"/>
              </w:rPr>
              <w:t>Rejet de l’appel</w:t>
            </w:r>
          </w:p>
          <w:p w:rsidR="00B124FF" w:rsidRPr="00AF75CE" w:rsidRDefault="00B124FF" w:rsidP="005F32B8">
            <w:pPr>
              <w:jc w:val="both"/>
              <w:rPr>
                <w:sz w:val="20"/>
                <w:lang w:val="fr-CA"/>
              </w:rPr>
            </w:pPr>
          </w:p>
        </w:tc>
      </w:tr>
      <w:tr w:rsidR="00B124FF" w:rsidRPr="00CC0B55" w:rsidTr="005F32B8">
        <w:tc>
          <w:tcPr>
            <w:tcW w:w="2427" w:type="pct"/>
            <w:gridSpan w:val="2"/>
          </w:tcPr>
          <w:p w:rsidR="00B124FF" w:rsidRPr="00AF75CE" w:rsidRDefault="00B124FF" w:rsidP="005F32B8">
            <w:pPr>
              <w:jc w:val="both"/>
              <w:rPr>
                <w:sz w:val="20"/>
                <w:lang w:val="fr-CA"/>
              </w:rPr>
            </w:pPr>
            <w:r w:rsidRPr="00AF75CE">
              <w:rPr>
                <w:sz w:val="20"/>
                <w:lang w:val="fr-CA"/>
              </w:rPr>
              <w:t>21 septembre 2018</w:t>
            </w:r>
          </w:p>
          <w:p w:rsidR="00B124FF" w:rsidRPr="00AF75CE" w:rsidRDefault="00B124FF" w:rsidP="005F32B8">
            <w:pPr>
              <w:jc w:val="both"/>
              <w:rPr>
                <w:sz w:val="20"/>
                <w:lang w:val="fr-CA"/>
              </w:rPr>
            </w:pPr>
            <w:r w:rsidRPr="00AF75CE">
              <w:rPr>
                <w:sz w:val="20"/>
                <w:lang w:val="fr-CA"/>
              </w:rPr>
              <w:t>Cour suprême du Canada</w:t>
            </w:r>
          </w:p>
          <w:p w:rsidR="00B124FF" w:rsidRPr="00AF75CE" w:rsidRDefault="00B124FF" w:rsidP="005F32B8">
            <w:pPr>
              <w:jc w:val="both"/>
              <w:rPr>
                <w:sz w:val="20"/>
                <w:lang w:val="fr-CA"/>
              </w:rPr>
            </w:pPr>
          </w:p>
        </w:tc>
        <w:tc>
          <w:tcPr>
            <w:tcW w:w="243" w:type="pct"/>
          </w:tcPr>
          <w:p w:rsidR="00B124FF" w:rsidRPr="00AF75CE" w:rsidRDefault="00B124FF" w:rsidP="005F32B8">
            <w:pPr>
              <w:jc w:val="both"/>
              <w:rPr>
                <w:sz w:val="20"/>
                <w:lang w:val="fr-CA"/>
              </w:rPr>
            </w:pPr>
          </w:p>
        </w:tc>
        <w:tc>
          <w:tcPr>
            <w:tcW w:w="2330" w:type="pct"/>
          </w:tcPr>
          <w:p w:rsidR="00B124FF" w:rsidRPr="00AF75CE" w:rsidRDefault="00B124FF" w:rsidP="005F32B8">
            <w:pPr>
              <w:jc w:val="both"/>
              <w:rPr>
                <w:sz w:val="20"/>
                <w:lang w:val="fr-CA"/>
              </w:rPr>
            </w:pPr>
            <w:r w:rsidRPr="00AF75CE">
              <w:rPr>
                <w:sz w:val="20"/>
                <w:lang w:val="fr-CA"/>
              </w:rPr>
              <w:t>Dépôt de la demande d’autorisation d’appel</w:t>
            </w:r>
          </w:p>
          <w:p w:rsidR="00B124FF" w:rsidRPr="00AF75CE" w:rsidRDefault="00B124FF" w:rsidP="005F32B8">
            <w:pPr>
              <w:jc w:val="both"/>
              <w:rPr>
                <w:sz w:val="20"/>
                <w:lang w:val="fr-CA"/>
              </w:rPr>
            </w:pPr>
          </w:p>
        </w:tc>
      </w:tr>
      <w:tr w:rsidR="00B124FF" w:rsidRPr="00CC0B55" w:rsidTr="005F32B8">
        <w:tc>
          <w:tcPr>
            <w:tcW w:w="2427" w:type="pct"/>
            <w:gridSpan w:val="2"/>
          </w:tcPr>
          <w:p w:rsidR="00B124FF" w:rsidRPr="00AF75CE" w:rsidRDefault="00B124FF" w:rsidP="005F32B8">
            <w:pPr>
              <w:jc w:val="both"/>
              <w:rPr>
                <w:sz w:val="20"/>
                <w:lang w:val="fr-CA"/>
              </w:rPr>
            </w:pPr>
            <w:r w:rsidRPr="00AF75CE">
              <w:rPr>
                <w:sz w:val="20"/>
                <w:lang w:val="fr-CA"/>
              </w:rPr>
              <w:t>5 novembre 2018</w:t>
            </w:r>
          </w:p>
          <w:p w:rsidR="00B124FF" w:rsidRPr="00AF75CE" w:rsidRDefault="00B124FF" w:rsidP="005F32B8">
            <w:pPr>
              <w:jc w:val="both"/>
              <w:rPr>
                <w:sz w:val="20"/>
                <w:lang w:val="fr-CA"/>
              </w:rPr>
            </w:pPr>
            <w:r w:rsidRPr="00AF75CE">
              <w:rPr>
                <w:sz w:val="20"/>
                <w:lang w:val="fr-CA"/>
              </w:rPr>
              <w:t>Cour suprême du Canada</w:t>
            </w:r>
          </w:p>
        </w:tc>
        <w:tc>
          <w:tcPr>
            <w:tcW w:w="243" w:type="pct"/>
          </w:tcPr>
          <w:p w:rsidR="00B124FF" w:rsidRPr="00AF75CE" w:rsidRDefault="00B124FF" w:rsidP="005F32B8">
            <w:pPr>
              <w:jc w:val="both"/>
              <w:rPr>
                <w:sz w:val="20"/>
                <w:lang w:val="fr-CA"/>
              </w:rPr>
            </w:pPr>
          </w:p>
        </w:tc>
        <w:tc>
          <w:tcPr>
            <w:tcW w:w="2330" w:type="pct"/>
          </w:tcPr>
          <w:p w:rsidR="00B124FF" w:rsidRPr="00AF75CE" w:rsidRDefault="00B124FF" w:rsidP="005F32B8">
            <w:pPr>
              <w:jc w:val="both"/>
              <w:rPr>
                <w:sz w:val="20"/>
                <w:lang w:val="fr-CA"/>
              </w:rPr>
            </w:pPr>
            <w:r w:rsidRPr="00AF75CE">
              <w:rPr>
                <w:sz w:val="20"/>
                <w:lang w:val="fr-CA"/>
              </w:rPr>
              <w:t>Dépôt de la requête en prorogation du délai de dépôt de la réponse</w:t>
            </w:r>
          </w:p>
        </w:tc>
      </w:tr>
    </w:tbl>
    <w:p w:rsidR="00B124FF" w:rsidRPr="00AF75CE" w:rsidRDefault="00B124FF" w:rsidP="00B124FF">
      <w:pPr>
        <w:jc w:val="both"/>
        <w:rPr>
          <w:sz w:val="20"/>
          <w:lang w:val="fr-CA"/>
        </w:rPr>
      </w:pPr>
    </w:p>
    <w:p w:rsidR="00B124FF" w:rsidRDefault="00A24D5C" w:rsidP="00B124FF">
      <w:pPr>
        <w:ind w:left="142" w:hanging="142"/>
        <w:jc w:val="both"/>
        <w:rPr>
          <w:sz w:val="20"/>
          <w:lang w:val="fr-CA"/>
        </w:rPr>
      </w:pPr>
      <w:r>
        <w:rPr>
          <w:sz w:val="20"/>
          <w:szCs w:val="20"/>
        </w:rPr>
        <w:pict>
          <v:rect id="_x0000_i1047" style="width:2in;height:1pt" o:hrpct="0" o:hralign="center" o:hrstd="t" o:hrnoshade="t" o:hr="t" fillcolor="black [3213]" stroked="f"/>
        </w:pict>
      </w:r>
    </w:p>
    <w:p w:rsidR="00B124FF" w:rsidRPr="00AF75CE" w:rsidRDefault="00B124FF" w:rsidP="00B124FF">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124FF" w:rsidRPr="00AF75CE" w:rsidTr="005F32B8">
        <w:tc>
          <w:tcPr>
            <w:tcW w:w="543" w:type="pct"/>
          </w:tcPr>
          <w:p w:rsidR="00B124FF" w:rsidRPr="00AF75CE" w:rsidRDefault="00B124FF" w:rsidP="005F32B8">
            <w:pPr>
              <w:jc w:val="both"/>
              <w:rPr>
                <w:sz w:val="20"/>
              </w:rPr>
            </w:pPr>
            <w:r w:rsidRPr="00AF75CE">
              <w:rPr>
                <w:rStyle w:val="SCCFileNumberChar"/>
                <w:sz w:val="20"/>
                <w:szCs w:val="20"/>
              </w:rPr>
              <w:t>38218</w:t>
            </w:r>
          </w:p>
        </w:tc>
        <w:tc>
          <w:tcPr>
            <w:tcW w:w="4457" w:type="pct"/>
            <w:gridSpan w:val="3"/>
          </w:tcPr>
          <w:p w:rsidR="00B124FF" w:rsidRPr="00202CE2" w:rsidRDefault="00B124FF" w:rsidP="005F32B8">
            <w:pPr>
              <w:pStyle w:val="SCCLsocParty"/>
              <w:jc w:val="both"/>
              <w:rPr>
                <w:b/>
                <w:sz w:val="20"/>
                <w:szCs w:val="20"/>
                <w:lang w:val="en-US"/>
              </w:rPr>
            </w:pPr>
            <w:r w:rsidRPr="00202CE2">
              <w:rPr>
                <w:b/>
                <w:sz w:val="20"/>
                <w:szCs w:val="20"/>
                <w:lang w:val="en-US"/>
              </w:rPr>
              <w:t>Oliver Bajor v. TD Meloche Monnex</w:t>
            </w:r>
          </w:p>
          <w:p w:rsidR="00B124FF" w:rsidRPr="00AF75CE" w:rsidRDefault="00B124FF" w:rsidP="005F32B8">
            <w:pPr>
              <w:jc w:val="both"/>
              <w:rPr>
                <w:sz w:val="20"/>
              </w:rPr>
            </w:pPr>
            <w:r w:rsidRPr="00AF75CE">
              <w:rPr>
                <w:sz w:val="20"/>
              </w:rPr>
              <w:t>(Ont.) (Civil) (By Leave)</w:t>
            </w:r>
          </w:p>
        </w:tc>
      </w:tr>
      <w:tr w:rsidR="00B124FF" w:rsidRPr="00AF75CE" w:rsidTr="005F32B8">
        <w:tc>
          <w:tcPr>
            <w:tcW w:w="5000" w:type="pct"/>
            <w:gridSpan w:val="4"/>
          </w:tcPr>
          <w:p w:rsidR="00B124FF" w:rsidRDefault="00B124FF" w:rsidP="005F32B8">
            <w:pPr>
              <w:jc w:val="both"/>
              <w:rPr>
                <w:sz w:val="20"/>
              </w:rPr>
            </w:pPr>
            <w:r w:rsidRPr="00C11FF6">
              <w:rPr>
                <w:sz w:val="20"/>
              </w:rPr>
              <w:t>The motion for an extension of time to serve and file the application for leave to appeal is granted. The application for leave to appeal from the judgment of the Court of Appeal for Ontario, Number M47809, dated August 17, 2017, is dismissed with costs.</w:t>
            </w:r>
          </w:p>
          <w:p w:rsidR="00B124FF" w:rsidRPr="00AF75CE" w:rsidRDefault="00B124FF" w:rsidP="005F32B8">
            <w:pPr>
              <w:jc w:val="both"/>
              <w:rPr>
                <w:sz w:val="20"/>
              </w:rPr>
            </w:pPr>
          </w:p>
        </w:tc>
      </w:tr>
      <w:tr w:rsidR="00B124FF" w:rsidRPr="00AF75CE" w:rsidTr="005F32B8">
        <w:tc>
          <w:tcPr>
            <w:tcW w:w="5000" w:type="pct"/>
            <w:gridSpan w:val="4"/>
          </w:tcPr>
          <w:p w:rsidR="00B124FF" w:rsidRPr="00AF75CE" w:rsidRDefault="00B124FF" w:rsidP="005F32B8">
            <w:pPr>
              <w:jc w:val="both"/>
              <w:rPr>
                <w:sz w:val="20"/>
              </w:rPr>
            </w:pPr>
            <w:r w:rsidRPr="00AF75CE">
              <w:rPr>
                <w:sz w:val="20"/>
              </w:rPr>
              <w:t>Insurance – Automobile insurance – Applicant’s action for damages against insurer for deducting pre-authorized premium payment from applicant’s bank account for policy of insurance on applicant’s motorcycle dismissed – Whether lower courts erred and failed to consider this a “consumer matter”</w:t>
            </w:r>
          </w:p>
          <w:p w:rsidR="00B124FF" w:rsidRPr="00AF75CE" w:rsidRDefault="00B124FF" w:rsidP="005F32B8">
            <w:pPr>
              <w:jc w:val="both"/>
              <w:rPr>
                <w:sz w:val="20"/>
              </w:rPr>
            </w:pPr>
          </w:p>
        </w:tc>
      </w:tr>
      <w:tr w:rsidR="00B124FF" w:rsidRPr="00AF75CE" w:rsidTr="005F32B8">
        <w:tc>
          <w:tcPr>
            <w:tcW w:w="5000" w:type="pct"/>
            <w:gridSpan w:val="4"/>
          </w:tcPr>
          <w:p w:rsidR="00B124FF" w:rsidRPr="00AF75CE" w:rsidRDefault="00B124FF" w:rsidP="005F32B8">
            <w:pPr>
              <w:jc w:val="both"/>
              <w:rPr>
                <w:sz w:val="20"/>
              </w:rPr>
            </w:pPr>
            <w:r w:rsidRPr="00AF75CE">
              <w:rPr>
                <w:sz w:val="20"/>
              </w:rPr>
              <w:t xml:space="preserve">Mr. Bajor purchased a policy of insurance from the respondent, TD Meloche Monnex (“TDMM”) for his motorcycle and pre-authorized debit payments for the policy from his business account. That policy of insurance was subject to </w:t>
            </w:r>
            <w:r w:rsidRPr="00AF75CE">
              <w:rPr>
                <w:sz w:val="20"/>
              </w:rPr>
              <w:lastRenderedPageBreak/>
              <w:t>automatic renewal and Mr. Bajor was advised of this prior to the renewal date. In March 2014, after the renewal took place, amidst concerns expressed by Mr. Bajor, TDMM automatically withdrew the sum of $226.16 from his account for payment of the insurance premium. Mr. Bajor then cancelled the policy of insurance. TDMM returned the premium payment to Mr. Bajor’s account. Mr. Bajor commenced a proceeding in Small Claims Court against TDMM claiming damages for improperly taking the premium payment from his account. The Small Claims Court judge dismissed the action. A single judge of the Divisional Court dismissed Mr. Bajor’s appeal. The Court of Appeal dismissed his motion for leave to appeal.</w:t>
            </w:r>
          </w:p>
        </w:tc>
      </w:tr>
      <w:tr w:rsidR="00B124FF" w:rsidRPr="00AF75CE" w:rsidTr="005F32B8">
        <w:tc>
          <w:tcPr>
            <w:tcW w:w="5000" w:type="pct"/>
            <w:gridSpan w:val="4"/>
          </w:tcPr>
          <w:p w:rsidR="00B124FF" w:rsidRPr="00AF75CE" w:rsidRDefault="00B124FF" w:rsidP="005F32B8">
            <w:pPr>
              <w:jc w:val="both"/>
              <w:rPr>
                <w:sz w:val="20"/>
              </w:rPr>
            </w:pPr>
          </w:p>
        </w:tc>
      </w:tr>
      <w:tr w:rsidR="00B124FF" w:rsidRPr="00AF75CE" w:rsidTr="005F32B8">
        <w:tc>
          <w:tcPr>
            <w:tcW w:w="2427" w:type="pct"/>
            <w:gridSpan w:val="2"/>
          </w:tcPr>
          <w:p w:rsidR="00B124FF" w:rsidRPr="00AF75CE" w:rsidRDefault="00B124FF" w:rsidP="005F32B8">
            <w:pPr>
              <w:jc w:val="both"/>
              <w:rPr>
                <w:sz w:val="20"/>
              </w:rPr>
            </w:pPr>
            <w:r w:rsidRPr="00AF75CE">
              <w:rPr>
                <w:sz w:val="20"/>
              </w:rPr>
              <w:t>July 14, 2015</w:t>
            </w:r>
          </w:p>
          <w:p w:rsidR="00B124FF" w:rsidRPr="00AF75CE" w:rsidRDefault="00B124FF" w:rsidP="005F32B8">
            <w:pPr>
              <w:jc w:val="both"/>
              <w:rPr>
                <w:sz w:val="20"/>
              </w:rPr>
            </w:pPr>
            <w:r w:rsidRPr="00AF75CE">
              <w:rPr>
                <w:sz w:val="20"/>
              </w:rPr>
              <w:t>Small Claims Court</w:t>
            </w:r>
          </w:p>
          <w:p w:rsidR="00B124FF" w:rsidRPr="00AF75CE" w:rsidRDefault="00B124FF" w:rsidP="005F32B8">
            <w:pPr>
              <w:jc w:val="both"/>
              <w:rPr>
                <w:sz w:val="20"/>
              </w:rPr>
            </w:pPr>
            <w:r w:rsidRPr="00AF75CE">
              <w:rPr>
                <w:sz w:val="20"/>
              </w:rPr>
              <w:t>Kay, Deputy Judge</w:t>
            </w:r>
          </w:p>
          <w:p w:rsidR="00B124FF" w:rsidRPr="00AF75CE" w:rsidRDefault="00B124FF" w:rsidP="005F32B8">
            <w:pPr>
              <w:jc w:val="both"/>
              <w:rPr>
                <w:sz w:val="20"/>
              </w:rPr>
            </w:pPr>
            <w:r w:rsidRPr="00AF75CE">
              <w:rPr>
                <w:sz w:val="20"/>
              </w:rPr>
              <w:t>Unreported</w:t>
            </w:r>
          </w:p>
          <w:p w:rsidR="00B124FF" w:rsidRPr="00AF75CE" w:rsidRDefault="00B124FF" w:rsidP="005F32B8">
            <w:pPr>
              <w:jc w:val="both"/>
              <w:rPr>
                <w:sz w:val="20"/>
              </w:rPr>
            </w:pPr>
          </w:p>
        </w:tc>
        <w:tc>
          <w:tcPr>
            <w:tcW w:w="243" w:type="pct"/>
          </w:tcPr>
          <w:p w:rsidR="00B124FF" w:rsidRPr="00AF75CE" w:rsidRDefault="00B124FF" w:rsidP="005F32B8">
            <w:pPr>
              <w:jc w:val="both"/>
              <w:rPr>
                <w:sz w:val="20"/>
              </w:rPr>
            </w:pPr>
          </w:p>
        </w:tc>
        <w:tc>
          <w:tcPr>
            <w:tcW w:w="2330" w:type="pct"/>
          </w:tcPr>
          <w:p w:rsidR="00B124FF" w:rsidRPr="00AF75CE" w:rsidRDefault="00B124FF" w:rsidP="005F32B8">
            <w:pPr>
              <w:jc w:val="both"/>
              <w:rPr>
                <w:sz w:val="20"/>
              </w:rPr>
            </w:pPr>
            <w:r w:rsidRPr="00AF75CE">
              <w:rPr>
                <w:sz w:val="20"/>
              </w:rPr>
              <w:t>Applicant’s action for damages dismissed</w:t>
            </w:r>
          </w:p>
        </w:tc>
      </w:tr>
      <w:tr w:rsidR="00B124FF" w:rsidRPr="00AF75CE" w:rsidTr="005F32B8">
        <w:tc>
          <w:tcPr>
            <w:tcW w:w="2427" w:type="pct"/>
            <w:gridSpan w:val="2"/>
          </w:tcPr>
          <w:p w:rsidR="00B124FF" w:rsidRPr="00AF75CE" w:rsidRDefault="00B124FF" w:rsidP="005F32B8">
            <w:pPr>
              <w:jc w:val="both"/>
              <w:rPr>
                <w:sz w:val="20"/>
              </w:rPr>
            </w:pPr>
            <w:r w:rsidRPr="00AF75CE">
              <w:rPr>
                <w:sz w:val="20"/>
              </w:rPr>
              <w:t>April 12, 2017</w:t>
            </w:r>
          </w:p>
          <w:p w:rsidR="00B124FF" w:rsidRPr="00AF75CE" w:rsidRDefault="00B124FF" w:rsidP="005F32B8">
            <w:pPr>
              <w:jc w:val="both"/>
              <w:rPr>
                <w:sz w:val="20"/>
              </w:rPr>
            </w:pPr>
            <w:r w:rsidRPr="00AF75CE">
              <w:rPr>
                <w:sz w:val="20"/>
              </w:rPr>
              <w:t>Ontario Superior Court of Justice</w:t>
            </w:r>
          </w:p>
          <w:p w:rsidR="00B124FF" w:rsidRPr="00AF75CE" w:rsidRDefault="00B124FF" w:rsidP="005F32B8">
            <w:pPr>
              <w:jc w:val="both"/>
              <w:rPr>
                <w:sz w:val="20"/>
              </w:rPr>
            </w:pPr>
            <w:r w:rsidRPr="00AF75CE">
              <w:rPr>
                <w:sz w:val="20"/>
              </w:rPr>
              <w:t>(Stewart J.)</w:t>
            </w:r>
          </w:p>
          <w:p w:rsidR="00B124FF" w:rsidRPr="00AF75CE" w:rsidRDefault="00A24D5C" w:rsidP="005F32B8">
            <w:pPr>
              <w:jc w:val="both"/>
              <w:rPr>
                <w:sz w:val="20"/>
              </w:rPr>
            </w:pPr>
            <w:hyperlink r:id="rId75" w:history="1">
              <w:r w:rsidR="00B124FF" w:rsidRPr="00AF75CE">
                <w:rPr>
                  <w:rStyle w:val="Hyperlink"/>
                  <w:sz w:val="20"/>
                </w:rPr>
                <w:t>2017 ONSC 2014</w:t>
              </w:r>
            </w:hyperlink>
          </w:p>
          <w:p w:rsidR="00B124FF" w:rsidRPr="00AF75CE" w:rsidRDefault="00B124FF" w:rsidP="005F32B8">
            <w:pPr>
              <w:jc w:val="both"/>
              <w:rPr>
                <w:sz w:val="20"/>
              </w:rPr>
            </w:pPr>
          </w:p>
        </w:tc>
        <w:tc>
          <w:tcPr>
            <w:tcW w:w="243" w:type="pct"/>
          </w:tcPr>
          <w:p w:rsidR="00B124FF" w:rsidRPr="00AF75CE" w:rsidRDefault="00B124FF" w:rsidP="005F32B8">
            <w:pPr>
              <w:jc w:val="both"/>
              <w:rPr>
                <w:sz w:val="20"/>
              </w:rPr>
            </w:pPr>
          </w:p>
        </w:tc>
        <w:tc>
          <w:tcPr>
            <w:tcW w:w="2330" w:type="pct"/>
          </w:tcPr>
          <w:p w:rsidR="00B124FF" w:rsidRPr="00AF75CE" w:rsidRDefault="00B124FF" w:rsidP="005F32B8">
            <w:pPr>
              <w:jc w:val="both"/>
              <w:rPr>
                <w:sz w:val="20"/>
              </w:rPr>
            </w:pPr>
            <w:r w:rsidRPr="00AF75CE">
              <w:rPr>
                <w:sz w:val="20"/>
              </w:rPr>
              <w:t>Applicant’s appeal dismissed</w:t>
            </w:r>
          </w:p>
          <w:p w:rsidR="00B124FF" w:rsidRPr="00AF75CE" w:rsidRDefault="00B124FF" w:rsidP="005F32B8">
            <w:pPr>
              <w:jc w:val="both"/>
              <w:rPr>
                <w:sz w:val="20"/>
              </w:rPr>
            </w:pPr>
          </w:p>
        </w:tc>
      </w:tr>
      <w:tr w:rsidR="00B124FF" w:rsidRPr="00AF75CE" w:rsidTr="005F32B8">
        <w:tc>
          <w:tcPr>
            <w:tcW w:w="2427" w:type="pct"/>
            <w:gridSpan w:val="2"/>
          </w:tcPr>
          <w:p w:rsidR="00B124FF" w:rsidRPr="00AF75CE" w:rsidRDefault="00B124FF" w:rsidP="005F32B8">
            <w:pPr>
              <w:jc w:val="both"/>
              <w:rPr>
                <w:sz w:val="20"/>
              </w:rPr>
            </w:pPr>
            <w:r w:rsidRPr="00AF75CE">
              <w:rPr>
                <w:sz w:val="20"/>
              </w:rPr>
              <w:t>August 17, 2017</w:t>
            </w:r>
          </w:p>
          <w:p w:rsidR="00B124FF" w:rsidRPr="00AF75CE" w:rsidRDefault="00B124FF" w:rsidP="005F32B8">
            <w:pPr>
              <w:jc w:val="both"/>
              <w:rPr>
                <w:sz w:val="20"/>
              </w:rPr>
            </w:pPr>
            <w:r w:rsidRPr="00AF75CE">
              <w:rPr>
                <w:sz w:val="20"/>
              </w:rPr>
              <w:t>Court of Appeal for Ontario</w:t>
            </w:r>
          </w:p>
          <w:p w:rsidR="00B124FF" w:rsidRPr="00AF75CE" w:rsidRDefault="00B124FF" w:rsidP="005F32B8">
            <w:pPr>
              <w:jc w:val="both"/>
              <w:rPr>
                <w:sz w:val="20"/>
              </w:rPr>
            </w:pPr>
            <w:r w:rsidRPr="00AF75CE">
              <w:rPr>
                <w:sz w:val="20"/>
              </w:rPr>
              <w:t>(LaForme, Pepall and van Rensburg JJ.A.)</w:t>
            </w:r>
          </w:p>
          <w:p w:rsidR="00B124FF" w:rsidRPr="00AF75CE" w:rsidRDefault="00B124FF" w:rsidP="005F32B8">
            <w:pPr>
              <w:jc w:val="both"/>
              <w:rPr>
                <w:sz w:val="20"/>
              </w:rPr>
            </w:pPr>
            <w:r w:rsidRPr="00AF75CE">
              <w:rPr>
                <w:sz w:val="20"/>
              </w:rPr>
              <w:t>Unreported</w:t>
            </w:r>
          </w:p>
          <w:p w:rsidR="00B124FF" w:rsidRPr="00AF75CE" w:rsidRDefault="00B124FF" w:rsidP="005F32B8">
            <w:pPr>
              <w:jc w:val="both"/>
              <w:rPr>
                <w:sz w:val="20"/>
              </w:rPr>
            </w:pPr>
          </w:p>
        </w:tc>
        <w:tc>
          <w:tcPr>
            <w:tcW w:w="243" w:type="pct"/>
          </w:tcPr>
          <w:p w:rsidR="00B124FF" w:rsidRPr="00AF75CE" w:rsidRDefault="00B124FF" w:rsidP="005F32B8">
            <w:pPr>
              <w:jc w:val="both"/>
              <w:rPr>
                <w:sz w:val="20"/>
              </w:rPr>
            </w:pPr>
          </w:p>
        </w:tc>
        <w:tc>
          <w:tcPr>
            <w:tcW w:w="2330" w:type="pct"/>
          </w:tcPr>
          <w:p w:rsidR="00B124FF" w:rsidRPr="00AF75CE" w:rsidRDefault="00B124FF" w:rsidP="005F32B8">
            <w:pPr>
              <w:jc w:val="both"/>
              <w:rPr>
                <w:sz w:val="20"/>
              </w:rPr>
            </w:pPr>
            <w:r w:rsidRPr="00AF75CE">
              <w:rPr>
                <w:sz w:val="20"/>
              </w:rPr>
              <w:t>Applicant’s application for leave to appeal dismissed</w:t>
            </w:r>
          </w:p>
          <w:p w:rsidR="00B124FF" w:rsidRPr="00AF75CE" w:rsidRDefault="00B124FF" w:rsidP="005F32B8">
            <w:pPr>
              <w:jc w:val="both"/>
              <w:rPr>
                <w:sz w:val="20"/>
              </w:rPr>
            </w:pPr>
          </w:p>
        </w:tc>
      </w:tr>
      <w:tr w:rsidR="00B124FF" w:rsidRPr="00AF75CE" w:rsidTr="005F32B8">
        <w:tc>
          <w:tcPr>
            <w:tcW w:w="2427" w:type="pct"/>
            <w:gridSpan w:val="2"/>
          </w:tcPr>
          <w:p w:rsidR="00B124FF" w:rsidRPr="00AF75CE" w:rsidRDefault="00B124FF" w:rsidP="005F32B8">
            <w:pPr>
              <w:jc w:val="both"/>
              <w:rPr>
                <w:sz w:val="20"/>
              </w:rPr>
            </w:pPr>
            <w:r w:rsidRPr="00AF75CE">
              <w:rPr>
                <w:sz w:val="20"/>
              </w:rPr>
              <w:t>July 6, 2018</w:t>
            </w:r>
          </w:p>
          <w:p w:rsidR="00B124FF" w:rsidRPr="00AF75CE" w:rsidRDefault="00B124FF" w:rsidP="005F32B8">
            <w:pPr>
              <w:jc w:val="both"/>
              <w:rPr>
                <w:sz w:val="20"/>
              </w:rPr>
            </w:pPr>
            <w:r w:rsidRPr="00AF75CE">
              <w:rPr>
                <w:sz w:val="20"/>
              </w:rPr>
              <w:t>Supreme Court of Canada</w:t>
            </w:r>
          </w:p>
        </w:tc>
        <w:tc>
          <w:tcPr>
            <w:tcW w:w="243" w:type="pct"/>
          </w:tcPr>
          <w:p w:rsidR="00B124FF" w:rsidRPr="00AF75CE" w:rsidRDefault="00B124FF" w:rsidP="005F32B8">
            <w:pPr>
              <w:jc w:val="both"/>
              <w:rPr>
                <w:sz w:val="20"/>
              </w:rPr>
            </w:pPr>
          </w:p>
        </w:tc>
        <w:tc>
          <w:tcPr>
            <w:tcW w:w="2330" w:type="pct"/>
          </w:tcPr>
          <w:p w:rsidR="00B124FF" w:rsidRPr="00AF75CE" w:rsidRDefault="00B124FF" w:rsidP="005F32B8">
            <w:pPr>
              <w:jc w:val="both"/>
              <w:rPr>
                <w:sz w:val="20"/>
              </w:rPr>
            </w:pPr>
            <w:r w:rsidRPr="00AF75CE">
              <w:rPr>
                <w:sz w:val="20"/>
              </w:rPr>
              <w:t>Application for leave to appeal filed</w:t>
            </w:r>
          </w:p>
          <w:p w:rsidR="00B124FF" w:rsidRPr="00AF75CE" w:rsidRDefault="00B124FF" w:rsidP="005F32B8">
            <w:pPr>
              <w:jc w:val="both"/>
              <w:rPr>
                <w:sz w:val="20"/>
              </w:rPr>
            </w:pPr>
          </w:p>
        </w:tc>
      </w:tr>
    </w:tbl>
    <w:p w:rsidR="00B124FF" w:rsidRDefault="00B124FF" w:rsidP="00B124FF">
      <w:pPr>
        <w:jc w:val="both"/>
        <w:rPr>
          <w:sz w:val="20"/>
        </w:rPr>
      </w:pPr>
    </w:p>
    <w:p w:rsidR="00B124FF" w:rsidRPr="00AF75CE" w:rsidRDefault="00B124FF" w:rsidP="00B124F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124FF" w:rsidRPr="00AF75CE" w:rsidTr="005F32B8">
        <w:tc>
          <w:tcPr>
            <w:tcW w:w="543" w:type="pct"/>
          </w:tcPr>
          <w:p w:rsidR="00B124FF" w:rsidRPr="00AF75CE" w:rsidRDefault="00B124FF" w:rsidP="005F32B8">
            <w:pPr>
              <w:jc w:val="both"/>
              <w:rPr>
                <w:sz w:val="20"/>
                <w:lang w:val="fr-CA"/>
              </w:rPr>
            </w:pPr>
            <w:r w:rsidRPr="00AF75CE">
              <w:rPr>
                <w:rStyle w:val="SCCFileNumberChar"/>
                <w:sz w:val="20"/>
                <w:szCs w:val="20"/>
                <w:lang w:val="fr-CA"/>
              </w:rPr>
              <w:t>38218</w:t>
            </w:r>
          </w:p>
        </w:tc>
        <w:tc>
          <w:tcPr>
            <w:tcW w:w="4457" w:type="pct"/>
            <w:gridSpan w:val="3"/>
          </w:tcPr>
          <w:p w:rsidR="00B124FF" w:rsidRPr="00202CE2" w:rsidRDefault="00B124FF" w:rsidP="005F32B8">
            <w:pPr>
              <w:pStyle w:val="SCCLsocParty"/>
              <w:jc w:val="both"/>
              <w:rPr>
                <w:b/>
                <w:sz w:val="20"/>
                <w:szCs w:val="20"/>
                <w:lang w:val="en-US"/>
              </w:rPr>
            </w:pPr>
            <w:r w:rsidRPr="00202CE2">
              <w:rPr>
                <w:b/>
                <w:sz w:val="20"/>
                <w:szCs w:val="20"/>
                <w:lang w:val="en-US"/>
              </w:rPr>
              <w:t>Oliver Bajor c. TD Meloche Monnex</w:t>
            </w:r>
          </w:p>
          <w:p w:rsidR="00B124FF" w:rsidRPr="00AF75CE" w:rsidRDefault="00B124FF" w:rsidP="005F32B8">
            <w:pPr>
              <w:jc w:val="both"/>
              <w:rPr>
                <w:sz w:val="20"/>
                <w:lang w:val="fr-CA"/>
              </w:rPr>
            </w:pPr>
            <w:r w:rsidRPr="00AF75CE">
              <w:rPr>
                <w:sz w:val="20"/>
                <w:lang w:val="fr-CA"/>
              </w:rPr>
              <w:t>(Ont.) (Civile) (Autorisation)</w:t>
            </w:r>
          </w:p>
        </w:tc>
      </w:tr>
      <w:tr w:rsidR="00B124FF" w:rsidRPr="00CC0B55" w:rsidTr="005F32B8">
        <w:tc>
          <w:tcPr>
            <w:tcW w:w="5000" w:type="pct"/>
            <w:gridSpan w:val="4"/>
          </w:tcPr>
          <w:p w:rsidR="00B124FF" w:rsidRDefault="00B124FF" w:rsidP="005F32B8">
            <w:pPr>
              <w:jc w:val="both"/>
              <w:rPr>
                <w:sz w:val="20"/>
                <w:lang w:val="fr-CA"/>
              </w:rPr>
            </w:pPr>
            <w:r w:rsidRPr="00C11FF6">
              <w:rPr>
                <w:sz w:val="20"/>
                <w:lang w:val="fr-CA"/>
              </w:rPr>
              <w:t>La requête en prorogation du délai de signification et de dépôt de la demande d’autorisation d’appel est accueillie. La demande d’autorisation d’appel de l’arrêt de la Cour d’appel de l’Ontario, numéro M47809, daté du 17 août 2017, est rejetée avec dépens.</w:t>
            </w:r>
          </w:p>
          <w:p w:rsidR="00B124FF" w:rsidRPr="00AF75CE" w:rsidRDefault="00B124FF" w:rsidP="005F32B8">
            <w:pPr>
              <w:jc w:val="both"/>
              <w:rPr>
                <w:sz w:val="20"/>
                <w:lang w:val="fr-CA"/>
              </w:rPr>
            </w:pPr>
          </w:p>
        </w:tc>
      </w:tr>
      <w:tr w:rsidR="00B124FF" w:rsidRPr="00CC0B55" w:rsidTr="005F32B8">
        <w:tc>
          <w:tcPr>
            <w:tcW w:w="5000" w:type="pct"/>
            <w:gridSpan w:val="4"/>
          </w:tcPr>
          <w:p w:rsidR="00B124FF" w:rsidRPr="00AF75CE" w:rsidRDefault="00B124FF" w:rsidP="005F32B8">
            <w:pPr>
              <w:jc w:val="both"/>
              <w:rPr>
                <w:sz w:val="20"/>
                <w:lang w:val="fr-CA"/>
              </w:rPr>
            </w:pPr>
            <w:r w:rsidRPr="00AF75CE">
              <w:rPr>
                <w:sz w:val="20"/>
                <w:lang w:val="fr-CA"/>
              </w:rPr>
              <w:t>Assurance – Assurance automobile – Rejet de l’action du demandeur en dommages-intérêts contre l’assureur pour avoir déduit un paiement de prime préautorisé du compte bancaire du demandeur au titre de la police d’assurance sur la motocyclette de ce dernier – Les juridictions inférieures ont-elles eu tort et omis de ne pas avoir considéré la présente affaire comme une « affaire de consommateur »?</w:t>
            </w:r>
          </w:p>
          <w:p w:rsidR="00B124FF" w:rsidRPr="00AF75CE" w:rsidRDefault="00B124FF" w:rsidP="005F32B8">
            <w:pPr>
              <w:jc w:val="both"/>
              <w:rPr>
                <w:sz w:val="20"/>
                <w:lang w:val="fr-CA"/>
              </w:rPr>
            </w:pPr>
          </w:p>
        </w:tc>
      </w:tr>
      <w:tr w:rsidR="00B124FF" w:rsidRPr="00CC0B55" w:rsidTr="005F32B8">
        <w:tc>
          <w:tcPr>
            <w:tcW w:w="5000" w:type="pct"/>
            <w:gridSpan w:val="4"/>
          </w:tcPr>
          <w:p w:rsidR="00B124FF" w:rsidRPr="00AF75CE" w:rsidRDefault="00B124FF" w:rsidP="005F32B8">
            <w:pPr>
              <w:jc w:val="both"/>
              <w:rPr>
                <w:sz w:val="20"/>
                <w:lang w:val="fr-CA"/>
              </w:rPr>
            </w:pPr>
            <w:r w:rsidRPr="00AF75CE">
              <w:rPr>
                <w:sz w:val="20"/>
                <w:lang w:val="fr-CA"/>
              </w:rPr>
              <w:t>Monsieur Bajor a souscrit une police d’assurance de l’intimée, TD Meloche Monnex (« TDMM ») pour sa motocyclette et des paiements de débit préautorisés pour la police étaient tirés de son compte d’entreprise. Cette police d’assurance était renouvelée automatiquement et M. Bajor en était informé avant la date de renouvellement. En mars 2014, après le renouvellement, alors que M. Bajor avait exprimé des préoccupations à ce sujet, TDMM a automatiquement retiré la somme de 226,16 $ de son compte pour acquitter la prime d’assurance. Monsieur Bajor a alors annulé la police d’assurance. TDMM a remis le paiement de la prime dans le compte de M. Bajor. Monsieur Bajor a intenté une poursuite en dommages-intérêts contre TDMM devant la Cour des petites créances, reprochant à l’assureur d’avoir prélevé sans droit le paiement de la prime de son compte. Le juge de la Cour des petites créances a rejeté l’action. Une juge de la Cour divisionnaire siégeant seule a rejeté l’appel de M. Bajor. La Cour d’appel a rejeté sa motion en autorisation d’interjeter appel.</w:t>
            </w:r>
          </w:p>
        </w:tc>
      </w:tr>
      <w:tr w:rsidR="00B124FF" w:rsidRPr="00CC0B55" w:rsidTr="005F32B8">
        <w:tc>
          <w:tcPr>
            <w:tcW w:w="5000" w:type="pct"/>
            <w:gridSpan w:val="4"/>
          </w:tcPr>
          <w:p w:rsidR="00B124FF" w:rsidRPr="00AF75CE" w:rsidRDefault="00B124FF" w:rsidP="005F32B8">
            <w:pPr>
              <w:jc w:val="both"/>
              <w:rPr>
                <w:sz w:val="20"/>
                <w:lang w:val="fr-CA"/>
              </w:rPr>
            </w:pPr>
          </w:p>
        </w:tc>
      </w:tr>
      <w:tr w:rsidR="00B124FF" w:rsidRPr="00CC0B55" w:rsidTr="005F32B8">
        <w:tc>
          <w:tcPr>
            <w:tcW w:w="2427" w:type="pct"/>
            <w:gridSpan w:val="2"/>
          </w:tcPr>
          <w:p w:rsidR="00B124FF" w:rsidRPr="00AF75CE" w:rsidRDefault="00B124FF" w:rsidP="005F32B8">
            <w:pPr>
              <w:jc w:val="both"/>
              <w:rPr>
                <w:sz w:val="20"/>
                <w:lang w:val="fr-CA"/>
              </w:rPr>
            </w:pPr>
            <w:r w:rsidRPr="00AF75CE">
              <w:rPr>
                <w:sz w:val="20"/>
                <w:lang w:val="fr-CA"/>
              </w:rPr>
              <w:lastRenderedPageBreak/>
              <w:t>14 juillet 2015</w:t>
            </w:r>
          </w:p>
          <w:p w:rsidR="00B124FF" w:rsidRPr="00AF75CE" w:rsidRDefault="00B124FF" w:rsidP="005F32B8">
            <w:pPr>
              <w:jc w:val="both"/>
              <w:rPr>
                <w:sz w:val="20"/>
                <w:lang w:val="fr-CA"/>
              </w:rPr>
            </w:pPr>
            <w:r w:rsidRPr="00AF75CE">
              <w:rPr>
                <w:sz w:val="20"/>
                <w:lang w:val="fr-CA"/>
              </w:rPr>
              <w:t>Cour des petites créances</w:t>
            </w:r>
          </w:p>
          <w:p w:rsidR="00B124FF" w:rsidRPr="00AF75CE" w:rsidRDefault="00B124FF" w:rsidP="005F32B8">
            <w:pPr>
              <w:jc w:val="both"/>
              <w:rPr>
                <w:sz w:val="20"/>
                <w:lang w:val="fr-CA"/>
              </w:rPr>
            </w:pPr>
            <w:r w:rsidRPr="00AF75CE">
              <w:rPr>
                <w:sz w:val="20"/>
                <w:lang w:val="fr-CA"/>
              </w:rPr>
              <w:t>Juge adjoint Kay</w:t>
            </w:r>
          </w:p>
          <w:p w:rsidR="00B124FF" w:rsidRPr="00AF75CE" w:rsidRDefault="00B124FF" w:rsidP="005F32B8">
            <w:pPr>
              <w:jc w:val="both"/>
              <w:rPr>
                <w:sz w:val="20"/>
                <w:lang w:val="fr-CA"/>
              </w:rPr>
            </w:pPr>
            <w:r w:rsidRPr="00AF75CE">
              <w:rPr>
                <w:sz w:val="20"/>
                <w:lang w:val="fr-CA"/>
              </w:rPr>
              <w:t>Non publié</w:t>
            </w:r>
          </w:p>
          <w:p w:rsidR="00B124FF" w:rsidRPr="00AF75CE" w:rsidRDefault="00B124FF" w:rsidP="005F32B8">
            <w:pPr>
              <w:jc w:val="both"/>
              <w:rPr>
                <w:sz w:val="20"/>
                <w:lang w:val="fr-CA"/>
              </w:rPr>
            </w:pPr>
          </w:p>
        </w:tc>
        <w:tc>
          <w:tcPr>
            <w:tcW w:w="243" w:type="pct"/>
          </w:tcPr>
          <w:p w:rsidR="00B124FF" w:rsidRPr="00AF75CE" w:rsidRDefault="00B124FF" w:rsidP="005F32B8">
            <w:pPr>
              <w:jc w:val="both"/>
              <w:rPr>
                <w:sz w:val="20"/>
                <w:lang w:val="fr-CA"/>
              </w:rPr>
            </w:pPr>
          </w:p>
        </w:tc>
        <w:tc>
          <w:tcPr>
            <w:tcW w:w="2330" w:type="pct"/>
          </w:tcPr>
          <w:p w:rsidR="00B124FF" w:rsidRPr="00AF75CE" w:rsidRDefault="00B124FF" w:rsidP="005F32B8">
            <w:pPr>
              <w:jc w:val="both"/>
              <w:rPr>
                <w:sz w:val="20"/>
                <w:lang w:val="fr-CA"/>
              </w:rPr>
            </w:pPr>
            <w:r w:rsidRPr="00AF75CE">
              <w:rPr>
                <w:sz w:val="20"/>
                <w:lang w:val="fr-CA"/>
              </w:rPr>
              <w:t>Rejet de l’action en dommages-intérêts du demandeur</w:t>
            </w:r>
          </w:p>
        </w:tc>
      </w:tr>
      <w:tr w:rsidR="00B124FF" w:rsidRPr="00AF75CE" w:rsidTr="005F32B8">
        <w:tc>
          <w:tcPr>
            <w:tcW w:w="2427" w:type="pct"/>
            <w:gridSpan w:val="2"/>
          </w:tcPr>
          <w:p w:rsidR="00B124FF" w:rsidRPr="00AF75CE" w:rsidRDefault="00B124FF" w:rsidP="005F32B8">
            <w:pPr>
              <w:jc w:val="both"/>
              <w:rPr>
                <w:sz w:val="20"/>
                <w:lang w:val="fr-CA"/>
              </w:rPr>
            </w:pPr>
            <w:r w:rsidRPr="00AF75CE">
              <w:rPr>
                <w:sz w:val="20"/>
                <w:lang w:val="fr-CA"/>
              </w:rPr>
              <w:t>12 avril 2017</w:t>
            </w:r>
          </w:p>
          <w:p w:rsidR="00B124FF" w:rsidRPr="00AF75CE" w:rsidRDefault="00B124FF" w:rsidP="005F32B8">
            <w:pPr>
              <w:jc w:val="both"/>
              <w:rPr>
                <w:sz w:val="20"/>
                <w:lang w:val="fr-CA"/>
              </w:rPr>
            </w:pPr>
            <w:r w:rsidRPr="00AF75CE">
              <w:rPr>
                <w:sz w:val="20"/>
                <w:lang w:val="fr-CA"/>
              </w:rPr>
              <w:t>Cour supérieure de justice de l’Ontario</w:t>
            </w:r>
          </w:p>
          <w:p w:rsidR="00B124FF" w:rsidRPr="00AF75CE" w:rsidRDefault="00B124FF" w:rsidP="005F32B8">
            <w:pPr>
              <w:jc w:val="both"/>
              <w:rPr>
                <w:sz w:val="20"/>
                <w:lang w:val="fr-CA"/>
              </w:rPr>
            </w:pPr>
            <w:r w:rsidRPr="00AF75CE">
              <w:rPr>
                <w:sz w:val="20"/>
                <w:lang w:val="fr-CA"/>
              </w:rPr>
              <w:t>(Juge Stewart)</w:t>
            </w:r>
          </w:p>
          <w:p w:rsidR="00B124FF" w:rsidRPr="00AF75CE" w:rsidRDefault="00A24D5C" w:rsidP="005F32B8">
            <w:pPr>
              <w:jc w:val="both"/>
              <w:rPr>
                <w:sz w:val="20"/>
                <w:lang w:val="fr-CA"/>
              </w:rPr>
            </w:pPr>
            <w:hyperlink r:id="rId76" w:history="1">
              <w:r w:rsidR="00B124FF" w:rsidRPr="00AF75CE">
                <w:rPr>
                  <w:rStyle w:val="Hyperlink"/>
                  <w:sz w:val="20"/>
                  <w:lang w:val="fr-CA"/>
                </w:rPr>
                <w:t>2017 ONSC 2014</w:t>
              </w:r>
            </w:hyperlink>
          </w:p>
          <w:p w:rsidR="00B124FF" w:rsidRPr="00AF75CE" w:rsidRDefault="00B124FF" w:rsidP="005F32B8">
            <w:pPr>
              <w:jc w:val="both"/>
              <w:rPr>
                <w:sz w:val="20"/>
                <w:lang w:val="fr-CA"/>
              </w:rPr>
            </w:pPr>
          </w:p>
        </w:tc>
        <w:tc>
          <w:tcPr>
            <w:tcW w:w="243" w:type="pct"/>
          </w:tcPr>
          <w:p w:rsidR="00B124FF" w:rsidRPr="00AF75CE" w:rsidRDefault="00B124FF" w:rsidP="005F32B8">
            <w:pPr>
              <w:jc w:val="both"/>
              <w:rPr>
                <w:sz w:val="20"/>
                <w:lang w:val="fr-CA"/>
              </w:rPr>
            </w:pPr>
          </w:p>
        </w:tc>
        <w:tc>
          <w:tcPr>
            <w:tcW w:w="2330" w:type="pct"/>
          </w:tcPr>
          <w:p w:rsidR="00B124FF" w:rsidRPr="00AF75CE" w:rsidRDefault="00B124FF" w:rsidP="005F32B8">
            <w:pPr>
              <w:jc w:val="both"/>
              <w:rPr>
                <w:sz w:val="20"/>
                <w:lang w:val="fr-CA"/>
              </w:rPr>
            </w:pPr>
            <w:r w:rsidRPr="00AF75CE">
              <w:rPr>
                <w:sz w:val="20"/>
                <w:lang w:val="fr-CA"/>
              </w:rPr>
              <w:t>Rejet de l’appel du demandeur</w:t>
            </w:r>
          </w:p>
          <w:p w:rsidR="00B124FF" w:rsidRPr="00AF75CE" w:rsidRDefault="00B124FF" w:rsidP="005F32B8">
            <w:pPr>
              <w:jc w:val="both"/>
              <w:rPr>
                <w:sz w:val="20"/>
                <w:lang w:val="fr-CA"/>
              </w:rPr>
            </w:pPr>
          </w:p>
        </w:tc>
      </w:tr>
      <w:tr w:rsidR="00B124FF" w:rsidRPr="00CC0B55" w:rsidTr="005F32B8">
        <w:tc>
          <w:tcPr>
            <w:tcW w:w="2427" w:type="pct"/>
            <w:gridSpan w:val="2"/>
          </w:tcPr>
          <w:p w:rsidR="00B124FF" w:rsidRPr="00AF75CE" w:rsidRDefault="00B124FF" w:rsidP="005F32B8">
            <w:pPr>
              <w:jc w:val="both"/>
              <w:rPr>
                <w:sz w:val="20"/>
                <w:lang w:val="fr-CA"/>
              </w:rPr>
            </w:pPr>
            <w:r w:rsidRPr="00AF75CE">
              <w:rPr>
                <w:sz w:val="20"/>
                <w:lang w:val="fr-CA"/>
              </w:rPr>
              <w:t>17 août 2017</w:t>
            </w:r>
          </w:p>
          <w:p w:rsidR="00B124FF" w:rsidRPr="00AF75CE" w:rsidRDefault="00B124FF" w:rsidP="005F32B8">
            <w:pPr>
              <w:jc w:val="both"/>
              <w:rPr>
                <w:sz w:val="20"/>
                <w:lang w:val="fr-CA"/>
              </w:rPr>
            </w:pPr>
            <w:r w:rsidRPr="00AF75CE">
              <w:rPr>
                <w:sz w:val="20"/>
                <w:lang w:val="fr-CA"/>
              </w:rPr>
              <w:t>Cour d’appel de l’Ontario</w:t>
            </w:r>
          </w:p>
          <w:p w:rsidR="00B124FF" w:rsidRPr="00AF75CE" w:rsidRDefault="00B124FF" w:rsidP="005F32B8">
            <w:pPr>
              <w:jc w:val="both"/>
              <w:rPr>
                <w:sz w:val="20"/>
                <w:lang w:val="fr-CA"/>
              </w:rPr>
            </w:pPr>
            <w:r w:rsidRPr="00AF75CE">
              <w:rPr>
                <w:sz w:val="20"/>
                <w:lang w:val="fr-CA"/>
              </w:rPr>
              <w:t>(Juges LaForme, Pepall et van Rensburg)</w:t>
            </w:r>
          </w:p>
          <w:p w:rsidR="00B124FF" w:rsidRPr="00AF75CE" w:rsidRDefault="00B124FF" w:rsidP="005F32B8">
            <w:pPr>
              <w:jc w:val="both"/>
              <w:rPr>
                <w:sz w:val="20"/>
                <w:lang w:val="fr-CA"/>
              </w:rPr>
            </w:pPr>
            <w:r w:rsidRPr="00AF75CE">
              <w:rPr>
                <w:sz w:val="20"/>
                <w:lang w:val="fr-CA"/>
              </w:rPr>
              <w:t>Non publié</w:t>
            </w:r>
          </w:p>
          <w:p w:rsidR="00B124FF" w:rsidRPr="00AF75CE" w:rsidRDefault="00B124FF" w:rsidP="005F32B8">
            <w:pPr>
              <w:jc w:val="both"/>
              <w:rPr>
                <w:sz w:val="20"/>
                <w:lang w:val="fr-CA"/>
              </w:rPr>
            </w:pPr>
          </w:p>
        </w:tc>
        <w:tc>
          <w:tcPr>
            <w:tcW w:w="243" w:type="pct"/>
          </w:tcPr>
          <w:p w:rsidR="00B124FF" w:rsidRPr="00AF75CE" w:rsidRDefault="00B124FF" w:rsidP="005F32B8">
            <w:pPr>
              <w:jc w:val="both"/>
              <w:rPr>
                <w:sz w:val="20"/>
                <w:lang w:val="fr-CA"/>
              </w:rPr>
            </w:pPr>
          </w:p>
        </w:tc>
        <w:tc>
          <w:tcPr>
            <w:tcW w:w="2330" w:type="pct"/>
          </w:tcPr>
          <w:p w:rsidR="00B124FF" w:rsidRPr="00AF75CE" w:rsidRDefault="00B124FF" w:rsidP="005F32B8">
            <w:pPr>
              <w:jc w:val="both"/>
              <w:rPr>
                <w:sz w:val="20"/>
                <w:lang w:val="fr-CA"/>
              </w:rPr>
            </w:pPr>
            <w:r w:rsidRPr="00AF75CE">
              <w:rPr>
                <w:sz w:val="20"/>
                <w:lang w:val="fr-CA"/>
              </w:rPr>
              <w:t>Rejet de la requête du demandeur en autorisation d’interjeter appel</w:t>
            </w:r>
          </w:p>
          <w:p w:rsidR="00B124FF" w:rsidRPr="00AF75CE" w:rsidRDefault="00B124FF" w:rsidP="005F32B8">
            <w:pPr>
              <w:jc w:val="both"/>
              <w:rPr>
                <w:sz w:val="20"/>
                <w:lang w:val="fr-CA"/>
              </w:rPr>
            </w:pPr>
          </w:p>
        </w:tc>
      </w:tr>
      <w:tr w:rsidR="00B124FF" w:rsidRPr="00CC0B55" w:rsidTr="005F32B8">
        <w:tc>
          <w:tcPr>
            <w:tcW w:w="2427" w:type="pct"/>
            <w:gridSpan w:val="2"/>
          </w:tcPr>
          <w:p w:rsidR="00B124FF" w:rsidRPr="00AF75CE" w:rsidRDefault="00B124FF" w:rsidP="005F32B8">
            <w:pPr>
              <w:jc w:val="both"/>
              <w:rPr>
                <w:sz w:val="20"/>
                <w:lang w:val="fr-CA"/>
              </w:rPr>
            </w:pPr>
            <w:r w:rsidRPr="00AF75CE">
              <w:rPr>
                <w:sz w:val="20"/>
                <w:lang w:val="fr-CA"/>
              </w:rPr>
              <w:t>6 juillet 2018</w:t>
            </w:r>
          </w:p>
          <w:p w:rsidR="00B124FF" w:rsidRPr="00AF75CE" w:rsidRDefault="00B124FF" w:rsidP="005F32B8">
            <w:pPr>
              <w:jc w:val="both"/>
              <w:rPr>
                <w:sz w:val="20"/>
                <w:lang w:val="fr-CA"/>
              </w:rPr>
            </w:pPr>
            <w:r w:rsidRPr="00AF75CE">
              <w:rPr>
                <w:sz w:val="20"/>
                <w:lang w:val="fr-CA"/>
              </w:rPr>
              <w:t>Cour suprême du Canada</w:t>
            </w:r>
          </w:p>
        </w:tc>
        <w:tc>
          <w:tcPr>
            <w:tcW w:w="243" w:type="pct"/>
          </w:tcPr>
          <w:p w:rsidR="00B124FF" w:rsidRPr="00AF75CE" w:rsidRDefault="00B124FF" w:rsidP="005F32B8">
            <w:pPr>
              <w:jc w:val="both"/>
              <w:rPr>
                <w:sz w:val="20"/>
                <w:lang w:val="fr-CA"/>
              </w:rPr>
            </w:pPr>
          </w:p>
        </w:tc>
        <w:tc>
          <w:tcPr>
            <w:tcW w:w="2330" w:type="pct"/>
          </w:tcPr>
          <w:p w:rsidR="00B124FF" w:rsidRPr="00AF75CE" w:rsidRDefault="00B124FF" w:rsidP="005F32B8">
            <w:pPr>
              <w:jc w:val="both"/>
              <w:rPr>
                <w:sz w:val="20"/>
                <w:lang w:val="fr-CA"/>
              </w:rPr>
            </w:pPr>
            <w:r w:rsidRPr="00AF75CE">
              <w:rPr>
                <w:sz w:val="20"/>
                <w:lang w:val="fr-CA"/>
              </w:rPr>
              <w:t>Dépôt de la demande d’autorisation d’appel</w:t>
            </w:r>
          </w:p>
          <w:p w:rsidR="00B124FF" w:rsidRPr="00AF75CE" w:rsidRDefault="00B124FF" w:rsidP="005F32B8">
            <w:pPr>
              <w:jc w:val="both"/>
              <w:rPr>
                <w:sz w:val="20"/>
                <w:lang w:val="fr-CA"/>
              </w:rPr>
            </w:pPr>
          </w:p>
        </w:tc>
      </w:tr>
    </w:tbl>
    <w:p w:rsidR="00B124FF" w:rsidRPr="00AF75CE" w:rsidRDefault="00B124FF" w:rsidP="00B124FF">
      <w:pPr>
        <w:jc w:val="both"/>
        <w:rPr>
          <w:sz w:val="20"/>
          <w:lang w:val="fr-CA"/>
        </w:rPr>
      </w:pPr>
    </w:p>
    <w:p w:rsidR="00B124FF" w:rsidRDefault="00A24D5C" w:rsidP="00B124FF">
      <w:pPr>
        <w:ind w:left="142" w:hanging="142"/>
        <w:jc w:val="both"/>
        <w:rPr>
          <w:sz w:val="20"/>
          <w:lang w:val="fr-CA"/>
        </w:rPr>
      </w:pPr>
      <w:r>
        <w:rPr>
          <w:sz w:val="20"/>
          <w:szCs w:val="20"/>
        </w:rPr>
        <w:pict>
          <v:rect id="_x0000_i1048" style="width:2in;height:1pt" o:hrpct="0" o:hralign="center" o:hrstd="t" o:hrnoshade="t" o:hr="t" fillcolor="black [3213]" stroked="f"/>
        </w:pict>
      </w:r>
    </w:p>
    <w:p w:rsidR="00B124FF" w:rsidRPr="00AF75CE" w:rsidRDefault="00B124FF" w:rsidP="00B124FF">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124FF" w:rsidRPr="00AF75CE" w:rsidTr="005F32B8">
        <w:trPr>
          <w:trHeight w:val="426"/>
        </w:trPr>
        <w:tc>
          <w:tcPr>
            <w:tcW w:w="543" w:type="pct"/>
          </w:tcPr>
          <w:p w:rsidR="00B124FF" w:rsidRPr="00AF75CE" w:rsidRDefault="00B124FF" w:rsidP="005F32B8">
            <w:pPr>
              <w:jc w:val="both"/>
              <w:rPr>
                <w:sz w:val="20"/>
              </w:rPr>
            </w:pPr>
            <w:r w:rsidRPr="00AF75CE">
              <w:rPr>
                <w:rStyle w:val="SCCFileNumberChar"/>
                <w:sz w:val="20"/>
                <w:szCs w:val="20"/>
              </w:rPr>
              <w:t>38177</w:t>
            </w:r>
          </w:p>
        </w:tc>
        <w:tc>
          <w:tcPr>
            <w:tcW w:w="4457" w:type="pct"/>
            <w:gridSpan w:val="3"/>
          </w:tcPr>
          <w:p w:rsidR="00B124FF" w:rsidRPr="00202CE2" w:rsidRDefault="00B124FF" w:rsidP="005F32B8">
            <w:pPr>
              <w:pStyle w:val="SCCLsocParty"/>
              <w:jc w:val="both"/>
              <w:rPr>
                <w:b/>
                <w:sz w:val="20"/>
                <w:szCs w:val="20"/>
                <w:lang w:val="en-US"/>
              </w:rPr>
            </w:pPr>
            <w:r w:rsidRPr="00202CE2">
              <w:rPr>
                <w:b/>
                <w:sz w:val="20"/>
                <w:szCs w:val="20"/>
                <w:lang w:val="en-US"/>
              </w:rPr>
              <w:t>Corporal John Joseph Higgins v. Attorney General of Canada</w:t>
            </w:r>
          </w:p>
          <w:p w:rsidR="00B124FF" w:rsidRPr="00AF75CE" w:rsidRDefault="00B124FF" w:rsidP="005F32B8">
            <w:pPr>
              <w:jc w:val="both"/>
              <w:rPr>
                <w:sz w:val="20"/>
              </w:rPr>
            </w:pPr>
            <w:r w:rsidRPr="00AF75CE">
              <w:rPr>
                <w:sz w:val="20"/>
              </w:rPr>
              <w:t>(F</w:t>
            </w:r>
            <w:r>
              <w:rPr>
                <w:sz w:val="20"/>
              </w:rPr>
              <w:t>.</w:t>
            </w:r>
            <w:r w:rsidRPr="00AF75CE">
              <w:rPr>
                <w:sz w:val="20"/>
              </w:rPr>
              <w:t>C</w:t>
            </w:r>
            <w:r>
              <w:rPr>
                <w:sz w:val="20"/>
              </w:rPr>
              <w:t>.</w:t>
            </w:r>
            <w:r w:rsidRPr="00AF75CE">
              <w:rPr>
                <w:sz w:val="20"/>
              </w:rPr>
              <w:t>) (Civil) (By Leave)</w:t>
            </w:r>
          </w:p>
        </w:tc>
      </w:tr>
      <w:tr w:rsidR="00B124FF" w:rsidRPr="00AF75CE" w:rsidTr="005F32B8">
        <w:tc>
          <w:tcPr>
            <w:tcW w:w="5000" w:type="pct"/>
            <w:gridSpan w:val="4"/>
          </w:tcPr>
          <w:p w:rsidR="00B124FF" w:rsidRDefault="00B124FF" w:rsidP="005F32B8">
            <w:pPr>
              <w:pStyle w:val="SCCBanSummary0"/>
              <w:rPr>
                <w:smallCaps w:val="0"/>
                <w:sz w:val="20"/>
                <w:szCs w:val="20"/>
              </w:rPr>
            </w:pPr>
            <w:r w:rsidRPr="00C11FF6">
              <w:rPr>
                <w:smallCaps w:val="0"/>
                <w:sz w:val="20"/>
                <w:szCs w:val="20"/>
              </w:rPr>
              <w:t>The motion for an extension of time to serve and file the application for leave to appeal is granted. The application for leave to appeal from the judgment of the Federal Court of Appeal, Number A-36-16, 2018 FCA 49, dated March 2, 2018, is dismissed without costs.</w:t>
            </w:r>
          </w:p>
          <w:p w:rsidR="00B124FF" w:rsidRPr="00C11FF6" w:rsidRDefault="00B124FF" w:rsidP="005F32B8"/>
        </w:tc>
      </w:tr>
      <w:tr w:rsidR="00B124FF" w:rsidRPr="00AF75CE" w:rsidTr="005F32B8">
        <w:tc>
          <w:tcPr>
            <w:tcW w:w="5000" w:type="pct"/>
            <w:gridSpan w:val="4"/>
          </w:tcPr>
          <w:p w:rsidR="00B124FF" w:rsidRPr="00AF75CE" w:rsidRDefault="00B124FF" w:rsidP="005F32B8">
            <w:pPr>
              <w:pStyle w:val="SCCBanSummary0"/>
              <w:rPr>
                <w:smallCaps w:val="0"/>
                <w:sz w:val="20"/>
                <w:szCs w:val="20"/>
              </w:rPr>
            </w:pPr>
            <w:r w:rsidRPr="00AF75CE">
              <w:rPr>
                <w:smallCaps w:val="0"/>
                <w:sz w:val="20"/>
                <w:szCs w:val="20"/>
              </w:rPr>
              <w:t>Administrative law — Standard of Review — Procedural Fairness —Armed Forces — Grievance — Whether there was sufficient evidence to initiate an investigation — Whether there are grounds in fact or law to keep the recorded warning on the applicant’s record — Whether there is substantiating evidence to support the allegations put forth against the applicant — Whether there is documented material to support the decisions issued by the Federal Court of Appeal, Federal Court or Chief of Defence Staff — Whether the decisions of the Federal Court of Appeal and Federal Court should be overturned.</w:t>
            </w:r>
          </w:p>
          <w:p w:rsidR="00B124FF" w:rsidRPr="00AF75CE" w:rsidRDefault="00B124FF" w:rsidP="005F32B8">
            <w:pPr>
              <w:jc w:val="both"/>
              <w:rPr>
                <w:sz w:val="20"/>
              </w:rPr>
            </w:pPr>
          </w:p>
        </w:tc>
      </w:tr>
      <w:tr w:rsidR="00B124FF" w:rsidRPr="00AF75CE" w:rsidTr="005F32B8">
        <w:tc>
          <w:tcPr>
            <w:tcW w:w="5000" w:type="pct"/>
            <w:gridSpan w:val="4"/>
          </w:tcPr>
          <w:p w:rsidR="00B124FF" w:rsidRPr="00AF75CE" w:rsidRDefault="00B124FF" w:rsidP="005F32B8">
            <w:pPr>
              <w:jc w:val="both"/>
              <w:rPr>
                <w:sz w:val="20"/>
                <w:lang w:val="en"/>
              </w:rPr>
            </w:pPr>
            <w:r w:rsidRPr="00AF75CE">
              <w:rPr>
                <w:sz w:val="20"/>
                <w:lang w:val="en"/>
              </w:rPr>
              <w:t xml:space="preserve">The Applicant, Corporal John Higgins, was suspended from his Squadron on August 30, 2011 while acting as an officer in charge of non-military cadets. On September 6, 2011, following his suspension, Cpl. Higgins filed a complaint alleging harassment and abuse of authority by two individuals in his chain of command. An investigation into Cpl. Higgins’ complaints were determined to be unfounded. Cpl. Higgins therefore filed a grievance to the Initial Authority (“IA”) on December 5, 2011. </w:t>
            </w:r>
          </w:p>
          <w:p w:rsidR="00B124FF" w:rsidRPr="00AF75CE" w:rsidRDefault="00B124FF" w:rsidP="005F32B8">
            <w:pPr>
              <w:jc w:val="both"/>
              <w:rPr>
                <w:sz w:val="20"/>
                <w:lang w:val="en"/>
              </w:rPr>
            </w:pPr>
          </w:p>
          <w:p w:rsidR="00B124FF" w:rsidRPr="00AF75CE" w:rsidRDefault="00B124FF" w:rsidP="005F32B8">
            <w:pPr>
              <w:jc w:val="both"/>
              <w:rPr>
                <w:sz w:val="20"/>
                <w:lang w:val="en"/>
              </w:rPr>
            </w:pPr>
            <w:r w:rsidRPr="00AF75CE">
              <w:rPr>
                <w:sz w:val="20"/>
                <w:lang w:val="en"/>
              </w:rPr>
              <w:t xml:space="preserve">At the IA level, it was found that the Cpl. Higgins was not grieved and therefore no redress was granted. He then sought to bring his grievance to the Final Authority (“FA”) level. </w:t>
            </w:r>
            <w:bookmarkStart w:id="7" w:name="par7"/>
            <w:bookmarkEnd w:id="7"/>
            <w:r w:rsidRPr="00AF75CE">
              <w:rPr>
                <w:sz w:val="20"/>
                <w:lang w:val="en"/>
              </w:rPr>
              <w:t xml:space="preserve">The Canadian Forces Grievance Board (“CFGB”), an independent body who is first referred a grievance in such a process, recommended that it be partially upheld. On September 22, 2014, Colonel Malo at the FA level rendered his decision on the basis of a </w:t>
            </w:r>
            <w:r w:rsidRPr="00AF75CE">
              <w:rPr>
                <w:rStyle w:val="Emphasis"/>
                <w:sz w:val="20"/>
                <w:lang w:val="en"/>
              </w:rPr>
              <w:t>de novo</w:t>
            </w:r>
            <w:r w:rsidRPr="00AF75CE">
              <w:rPr>
                <w:sz w:val="20"/>
                <w:lang w:val="en"/>
              </w:rPr>
              <w:t xml:space="preserve"> review and upheld the applicant’s grievance in part. He followed the recommendation of the CFBG and ordered that a Recorded Warning be issued on the Appellant’s file and that the possibility of a new investigation be considered with respect to one of the allegations leading to Cpl. Higgins’ suspension.</w:t>
            </w:r>
            <w:bookmarkStart w:id="8" w:name="par9"/>
            <w:bookmarkEnd w:id="8"/>
            <w:r w:rsidRPr="00AF75CE">
              <w:rPr>
                <w:sz w:val="20"/>
                <w:lang w:val="en"/>
              </w:rPr>
              <w:t xml:space="preserve"> Cpl. Higgins sought judicial review of the FA Decision before the Federal Court. The Federal Court Judge dismissed Cpl. Higgins’ application for judicial review and provided comprehensive reasons for so doing. In reviewing the Federal Court’s decision, the Federal Court of Appeal found that the Federal Court had identified the appropriate standard of review of reasonableness and that it had been applied correctly to the FA level decision.</w:t>
            </w:r>
          </w:p>
          <w:p w:rsidR="00B124FF" w:rsidRPr="00AF75CE" w:rsidRDefault="00B124FF" w:rsidP="005F32B8">
            <w:pPr>
              <w:jc w:val="both"/>
              <w:rPr>
                <w:sz w:val="20"/>
              </w:rPr>
            </w:pPr>
          </w:p>
        </w:tc>
      </w:tr>
      <w:tr w:rsidR="00B124FF" w:rsidRPr="00AF75CE" w:rsidTr="005F32B8">
        <w:tc>
          <w:tcPr>
            <w:tcW w:w="2427" w:type="pct"/>
            <w:gridSpan w:val="2"/>
          </w:tcPr>
          <w:p w:rsidR="00B124FF" w:rsidRPr="00AF75CE" w:rsidRDefault="00B124FF" w:rsidP="005F32B8">
            <w:pPr>
              <w:jc w:val="both"/>
              <w:rPr>
                <w:sz w:val="20"/>
              </w:rPr>
            </w:pPr>
            <w:r w:rsidRPr="00AF75CE">
              <w:rPr>
                <w:sz w:val="20"/>
              </w:rPr>
              <w:lastRenderedPageBreak/>
              <w:t>January 8, 2016</w:t>
            </w:r>
          </w:p>
          <w:p w:rsidR="00B124FF" w:rsidRPr="00AF75CE" w:rsidRDefault="00B124FF" w:rsidP="005F32B8">
            <w:pPr>
              <w:jc w:val="both"/>
              <w:rPr>
                <w:sz w:val="20"/>
              </w:rPr>
            </w:pPr>
            <w:r w:rsidRPr="00AF75CE">
              <w:rPr>
                <w:sz w:val="20"/>
              </w:rPr>
              <w:t>Federal Court</w:t>
            </w:r>
          </w:p>
          <w:p w:rsidR="00B124FF" w:rsidRPr="00AF75CE" w:rsidRDefault="00B124FF" w:rsidP="005F32B8">
            <w:pPr>
              <w:jc w:val="both"/>
              <w:rPr>
                <w:sz w:val="20"/>
              </w:rPr>
            </w:pPr>
            <w:r w:rsidRPr="00AF75CE">
              <w:rPr>
                <w:sz w:val="20"/>
              </w:rPr>
              <w:t>(Elliott J.)</w:t>
            </w:r>
          </w:p>
          <w:p w:rsidR="00B124FF" w:rsidRPr="00AF75CE" w:rsidRDefault="00A24D5C" w:rsidP="005F32B8">
            <w:pPr>
              <w:jc w:val="both"/>
              <w:rPr>
                <w:sz w:val="20"/>
              </w:rPr>
            </w:pPr>
            <w:hyperlink r:id="rId77" w:history="1">
              <w:r w:rsidR="00B124FF" w:rsidRPr="00AF75CE">
                <w:rPr>
                  <w:rStyle w:val="Hyperlink"/>
                  <w:sz w:val="20"/>
                </w:rPr>
                <w:t>2016 FC 32</w:t>
              </w:r>
            </w:hyperlink>
            <w:r w:rsidR="00B124FF" w:rsidRPr="00AF75CE">
              <w:rPr>
                <w:sz w:val="20"/>
              </w:rPr>
              <w:t xml:space="preserve"> </w:t>
            </w:r>
          </w:p>
          <w:p w:rsidR="00B124FF" w:rsidRPr="00AF75CE" w:rsidRDefault="00B124FF" w:rsidP="005F32B8">
            <w:pPr>
              <w:jc w:val="both"/>
              <w:rPr>
                <w:sz w:val="20"/>
              </w:rPr>
            </w:pPr>
          </w:p>
        </w:tc>
        <w:tc>
          <w:tcPr>
            <w:tcW w:w="243" w:type="pct"/>
          </w:tcPr>
          <w:p w:rsidR="00B124FF" w:rsidRPr="00AF75CE" w:rsidRDefault="00B124FF" w:rsidP="005F32B8">
            <w:pPr>
              <w:jc w:val="both"/>
              <w:rPr>
                <w:sz w:val="20"/>
              </w:rPr>
            </w:pPr>
          </w:p>
        </w:tc>
        <w:tc>
          <w:tcPr>
            <w:tcW w:w="2330" w:type="pct"/>
          </w:tcPr>
          <w:p w:rsidR="00B124FF" w:rsidRPr="00AF75CE" w:rsidRDefault="00B124FF" w:rsidP="005F32B8">
            <w:pPr>
              <w:jc w:val="both"/>
              <w:rPr>
                <w:sz w:val="20"/>
              </w:rPr>
            </w:pPr>
            <w:r w:rsidRPr="00AF75CE">
              <w:rPr>
                <w:sz w:val="20"/>
              </w:rPr>
              <w:t>Application for judicial review dismissed.</w:t>
            </w:r>
          </w:p>
          <w:p w:rsidR="00B124FF" w:rsidRPr="00AF75CE" w:rsidRDefault="00B124FF" w:rsidP="005F32B8">
            <w:pPr>
              <w:jc w:val="both"/>
              <w:rPr>
                <w:sz w:val="20"/>
              </w:rPr>
            </w:pPr>
          </w:p>
        </w:tc>
      </w:tr>
      <w:tr w:rsidR="00B124FF" w:rsidRPr="00AF75CE" w:rsidTr="005F32B8">
        <w:tc>
          <w:tcPr>
            <w:tcW w:w="2427" w:type="pct"/>
            <w:gridSpan w:val="2"/>
          </w:tcPr>
          <w:p w:rsidR="00B124FF" w:rsidRPr="00AF75CE" w:rsidRDefault="00B124FF" w:rsidP="005F32B8">
            <w:pPr>
              <w:jc w:val="both"/>
              <w:rPr>
                <w:sz w:val="20"/>
              </w:rPr>
            </w:pPr>
            <w:r w:rsidRPr="00AF75CE">
              <w:rPr>
                <w:sz w:val="20"/>
              </w:rPr>
              <w:t>March 2, 2018</w:t>
            </w:r>
          </w:p>
          <w:p w:rsidR="00B124FF" w:rsidRPr="00AF75CE" w:rsidRDefault="00B124FF" w:rsidP="005F32B8">
            <w:pPr>
              <w:jc w:val="both"/>
              <w:rPr>
                <w:sz w:val="20"/>
              </w:rPr>
            </w:pPr>
            <w:r w:rsidRPr="00AF75CE">
              <w:rPr>
                <w:sz w:val="20"/>
              </w:rPr>
              <w:t>Federal Court of Appeal</w:t>
            </w:r>
          </w:p>
          <w:p w:rsidR="00B124FF" w:rsidRPr="00AF75CE" w:rsidRDefault="00B124FF" w:rsidP="005F32B8">
            <w:pPr>
              <w:jc w:val="both"/>
              <w:rPr>
                <w:sz w:val="20"/>
              </w:rPr>
            </w:pPr>
            <w:r w:rsidRPr="00AF75CE">
              <w:rPr>
                <w:sz w:val="20"/>
              </w:rPr>
              <w:t>(Pelletier, Boivin and de Montigny JJ.A.)</w:t>
            </w:r>
          </w:p>
          <w:p w:rsidR="00B124FF" w:rsidRPr="00AF75CE" w:rsidRDefault="00A24D5C" w:rsidP="005F32B8">
            <w:pPr>
              <w:jc w:val="both"/>
              <w:rPr>
                <w:sz w:val="20"/>
              </w:rPr>
            </w:pPr>
            <w:hyperlink r:id="rId78" w:history="1">
              <w:r w:rsidR="00B124FF" w:rsidRPr="00AF75CE">
                <w:rPr>
                  <w:rStyle w:val="Hyperlink"/>
                  <w:sz w:val="20"/>
                </w:rPr>
                <w:t>2018 FCA 49</w:t>
              </w:r>
            </w:hyperlink>
          </w:p>
          <w:p w:rsidR="00B124FF" w:rsidRPr="00AF75CE" w:rsidRDefault="00B124FF" w:rsidP="005F32B8">
            <w:pPr>
              <w:jc w:val="both"/>
              <w:rPr>
                <w:sz w:val="20"/>
              </w:rPr>
            </w:pPr>
          </w:p>
        </w:tc>
        <w:tc>
          <w:tcPr>
            <w:tcW w:w="243" w:type="pct"/>
          </w:tcPr>
          <w:p w:rsidR="00B124FF" w:rsidRPr="00AF75CE" w:rsidRDefault="00B124FF" w:rsidP="005F32B8">
            <w:pPr>
              <w:jc w:val="both"/>
              <w:rPr>
                <w:sz w:val="20"/>
              </w:rPr>
            </w:pPr>
          </w:p>
        </w:tc>
        <w:tc>
          <w:tcPr>
            <w:tcW w:w="2330" w:type="pct"/>
          </w:tcPr>
          <w:p w:rsidR="00B124FF" w:rsidRPr="00AF75CE" w:rsidRDefault="00B124FF" w:rsidP="005F32B8">
            <w:pPr>
              <w:jc w:val="both"/>
              <w:rPr>
                <w:sz w:val="20"/>
              </w:rPr>
            </w:pPr>
            <w:r w:rsidRPr="00AF75CE">
              <w:rPr>
                <w:sz w:val="20"/>
              </w:rPr>
              <w:t xml:space="preserve">Appeal dismissed. </w:t>
            </w:r>
          </w:p>
        </w:tc>
      </w:tr>
      <w:tr w:rsidR="00B124FF" w:rsidRPr="00AF75CE" w:rsidTr="005F32B8">
        <w:tc>
          <w:tcPr>
            <w:tcW w:w="2427" w:type="pct"/>
            <w:gridSpan w:val="2"/>
          </w:tcPr>
          <w:p w:rsidR="00B124FF" w:rsidRPr="00AF75CE" w:rsidRDefault="00B124FF" w:rsidP="005F32B8">
            <w:pPr>
              <w:jc w:val="both"/>
              <w:rPr>
                <w:sz w:val="20"/>
              </w:rPr>
            </w:pPr>
            <w:r w:rsidRPr="00AF75CE">
              <w:rPr>
                <w:sz w:val="20"/>
              </w:rPr>
              <w:t>May 25, 2018</w:t>
            </w:r>
          </w:p>
          <w:p w:rsidR="00B124FF" w:rsidRPr="00AF75CE" w:rsidRDefault="00B124FF" w:rsidP="005F32B8">
            <w:pPr>
              <w:jc w:val="both"/>
              <w:rPr>
                <w:sz w:val="20"/>
              </w:rPr>
            </w:pPr>
            <w:r w:rsidRPr="00AF75CE">
              <w:rPr>
                <w:sz w:val="20"/>
              </w:rPr>
              <w:t>Supreme Court of Canada</w:t>
            </w:r>
          </w:p>
        </w:tc>
        <w:tc>
          <w:tcPr>
            <w:tcW w:w="243" w:type="pct"/>
          </w:tcPr>
          <w:p w:rsidR="00B124FF" w:rsidRPr="00AF75CE" w:rsidRDefault="00B124FF" w:rsidP="005F32B8">
            <w:pPr>
              <w:jc w:val="both"/>
              <w:rPr>
                <w:sz w:val="20"/>
              </w:rPr>
            </w:pPr>
          </w:p>
        </w:tc>
        <w:tc>
          <w:tcPr>
            <w:tcW w:w="2330" w:type="pct"/>
          </w:tcPr>
          <w:p w:rsidR="00B124FF" w:rsidRPr="00AF75CE" w:rsidRDefault="00B124FF" w:rsidP="005F32B8">
            <w:pPr>
              <w:jc w:val="both"/>
              <w:rPr>
                <w:sz w:val="20"/>
              </w:rPr>
            </w:pPr>
            <w:r w:rsidRPr="00AF75CE">
              <w:rPr>
                <w:sz w:val="20"/>
              </w:rPr>
              <w:t>Application for leave to appeal and motion for extension of time to serve and file application for leave to appeal filed.</w:t>
            </w:r>
          </w:p>
        </w:tc>
      </w:tr>
    </w:tbl>
    <w:p w:rsidR="00B124FF" w:rsidRDefault="00B124FF" w:rsidP="00B124FF">
      <w:pPr>
        <w:jc w:val="both"/>
        <w:rPr>
          <w:sz w:val="20"/>
        </w:rPr>
      </w:pPr>
    </w:p>
    <w:p w:rsidR="00B124FF" w:rsidRPr="00AF75CE" w:rsidRDefault="00B124FF" w:rsidP="00B124F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124FF" w:rsidRPr="00DF3BCE" w:rsidTr="005F32B8">
        <w:trPr>
          <w:trHeight w:val="515"/>
        </w:trPr>
        <w:tc>
          <w:tcPr>
            <w:tcW w:w="543" w:type="pct"/>
          </w:tcPr>
          <w:p w:rsidR="00B124FF" w:rsidRPr="00AF75CE" w:rsidRDefault="00B124FF" w:rsidP="005F32B8">
            <w:pPr>
              <w:jc w:val="both"/>
              <w:rPr>
                <w:sz w:val="20"/>
                <w:lang w:val="fr-CA"/>
              </w:rPr>
            </w:pPr>
            <w:r w:rsidRPr="00AF75CE">
              <w:rPr>
                <w:rStyle w:val="SCCFileNumberChar"/>
                <w:sz w:val="20"/>
                <w:szCs w:val="20"/>
                <w:lang w:val="fr-CA"/>
              </w:rPr>
              <w:t>38177</w:t>
            </w:r>
          </w:p>
        </w:tc>
        <w:tc>
          <w:tcPr>
            <w:tcW w:w="4457" w:type="pct"/>
            <w:gridSpan w:val="3"/>
          </w:tcPr>
          <w:p w:rsidR="00B124FF" w:rsidRPr="00202CE2" w:rsidRDefault="00B124FF" w:rsidP="005F32B8">
            <w:pPr>
              <w:pStyle w:val="SCCLsocParty"/>
              <w:jc w:val="both"/>
              <w:rPr>
                <w:b/>
                <w:sz w:val="20"/>
                <w:szCs w:val="20"/>
              </w:rPr>
            </w:pPr>
            <w:r w:rsidRPr="00202CE2">
              <w:rPr>
                <w:b/>
                <w:sz w:val="20"/>
                <w:szCs w:val="20"/>
              </w:rPr>
              <w:t>Caporal John Joseph Higgins c. Procureur général du Canada</w:t>
            </w:r>
          </w:p>
          <w:p w:rsidR="00B124FF" w:rsidRPr="00AF75CE" w:rsidRDefault="00B124FF" w:rsidP="005F32B8">
            <w:pPr>
              <w:jc w:val="both"/>
              <w:rPr>
                <w:sz w:val="20"/>
                <w:lang w:val="fr-CA"/>
              </w:rPr>
            </w:pPr>
            <w:r w:rsidRPr="00AF75CE">
              <w:rPr>
                <w:sz w:val="20"/>
                <w:lang w:val="fr-CA"/>
              </w:rPr>
              <w:t>(C</w:t>
            </w:r>
            <w:r>
              <w:rPr>
                <w:sz w:val="20"/>
                <w:lang w:val="fr-CA"/>
              </w:rPr>
              <w:t>.</w:t>
            </w:r>
            <w:r w:rsidRPr="00AF75CE">
              <w:rPr>
                <w:sz w:val="20"/>
                <w:lang w:val="fr-CA"/>
              </w:rPr>
              <w:t>F</w:t>
            </w:r>
            <w:r>
              <w:rPr>
                <w:sz w:val="20"/>
                <w:lang w:val="fr-CA"/>
              </w:rPr>
              <w:t>.</w:t>
            </w:r>
            <w:r w:rsidRPr="00AF75CE">
              <w:rPr>
                <w:sz w:val="20"/>
                <w:lang w:val="fr-CA"/>
              </w:rPr>
              <w:t>) (Civile) (Autorisation)</w:t>
            </w:r>
          </w:p>
        </w:tc>
      </w:tr>
      <w:tr w:rsidR="00B124FF" w:rsidRPr="00CC0B55" w:rsidTr="005F32B8">
        <w:tc>
          <w:tcPr>
            <w:tcW w:w="5000" w:type="pct"/>
            <w:gridSpan w:val="4"/>
          </w:tcPr>
          <w:p w:rsidR="00B124FF" w:rsidRDefault="00B124FF" w:rsidP="005F32B8">
            <w:pPr>
              <w:pStyle w:val="SCCBanSummary0"/>
              <w:rPr>
                <w:smallCaps w:val="0"/>
                <w:sz w:val="20"/>
                <w:szCs w:val="20"/>
                <w:lang w:val="fr-CA"/>
              </w:rPr>
            </w:pPr>
            <w:r w:rsidRPr="00C11FF6">
              <w:rPr>
                <w:smallCaps w:val="0"/>
                <w:sz w:val="20"/>
                <w:szCs w:val="20"/>
                <w:lang w:val="fr-CA"/>
              </w:rPr>
              <w:t>La requête en prorogation du délai de signification et de dépôt de la demande d’autorisation d’appel est accueillie. La demande d’autorisation d’appel de l’arrêt de la Cour d’appel fédérale, numéro A-36-16, 2018 CAF 49, daté du 2 mars 2018, est rejetée sans dépens.</w:t>
            </w:r>
          </w:p>
          <w:p w:rsidR="00B124FF" w:rsidRPr="00C11FF6" w:rsidRDefault="00B124FF" w:rsidP="005F32B8">
            <w:pPr>
              <w:rPr>
                <w:lang w:val="fr-CA"/>
              </w:rPr>
            </w:pPr>
          </w:p>
        </w:tc>
      </w:tr>
      <w:tr w:rsidR="00B124FF" w:rsidRPr="00CC0B55" w:rsidTr="005F32B8">
        <w:tc>
          <w:tcPr>
            <w:tcW w:w="5000" w:type="pct"/>
            <w:gridSpan w:val="4"/>
          </w:tcPr>
          <w:p w:rsidR="00B124FF" w:rsidRPr="00AF75CE" w:rsidRDefault="00B124FF" w:rsidP="005F32B8">
            <w:pPr>
              <w:pStyle w:val="SCCBanSummary0"/>
              <w:rPr>
                <w:smallCaps w:val="0"/>
                <w:sz w:val="20"/>
                <w:szCs w:val="20"/>
                <w:lang w:val="fr-CA"/>
              </w:rPr>
            </w:pPr>
            <w:r w:rsidRPr="00AF75CE">
              <w:rPr>
                <w:smallCaps w:val="0"/>
                <w:sz w:val="20"/>
                <w:szCs w:val="20"/>
                <w:lang w:val="fr-CA"/>
              </w:rPr>
              <w:t>Droit administratif — Norme de contrôle — Équité procédurale — Forces armées — Grief — Y avait-il suffisamment d’éléments de preuve pour entreprendre une enquête? — Existe-t-il des motifs de fait ou de droit pour laisser l’avertissement écrit dans le dossier du demandeur? — Existe-t-il une preuve justificative qui étaye les allégations portées contre le demandeur? — Existe-t-il des documents pour étayer les décisions rendues par la Cour d’appel fédérale, la Cour d’appel ou le chef d’état-major de la Défense? — Y a-t-il lieu d’infirmer les décisions de la Cour d’appel fédérale et de la Cour fédérale?</w:t>
            </w:r>
          </w:p>
          <w:p w:rsidR="00B124FF" w:rsidRPr="00AF75CE" w:rsidRDefault="00B124FF" w:rsidP="005F32B8">
            <w:pPr>
              <w:jc w:val="both"/>
              <w:rPr>
                <w:sz w:val="20"/>
                <w:lang w:val="fr-CA"/>
              </w:rPr>
            </w:pPr>
          </w:p>
        </w:tc>
      </w:tr>
      <w:tr w:rsidR="00B124FF" w:rsidRPr="00CC0B55" w:rsidTr="005F32B8">
        <w:tc>
          <w:tcPr>
            <w:tcW w:w="5000" w:type="pct"/>
            <w:gridSpan w:val="4"/>
          </w:tcPr>
          <w:p w:rsidR="00B124FF" w:rsidRPr="00AF75CE" w:rsidRDefault="00B124FF" w:rsidP="005F32B8">
            <w:pPr>
              <w:jc w:val="both"/>
              <w:rPr>
                <w:sz w:val="20"/>
                <w:lang w:val="fr-CA"/>
              </w:rPr>
            </w:pPr>
            <w:r w:rsidRPr="00AF75CE">
              <w:rPr>
                <w:sz w:val="20"/>
                <w:lang w:val="fr-CA"/>
              </w:rPr>
              <w:t xml:space="preserve">Le demandeur, le caporal John Higgins, a été suspendu de son escadron le 30 août 2011 alors qu’il agissait comme officier responsable de cadets civils. Le 6 septembre 2011, à la suite de sa suspension, le caporal Higgins a déposé une plainte pour harcèlement et abus de pouvoir contre deux personnes de sa chaîne de commandement. À la suite d’une enquête, les plaintes du caporal Higgins ont été jugées non fondées. Le caporal Higgins a donc déposé un grief auprès de l’autorité initiale (« AI »), le 5 décembre 2011. </w:t>
            </w:r>
          </w:p>
          <w:p w:rsidR="00B124FF" w:rsidRPr="00AF75CE" w:rsidRDefault="00B124FF" w:rsidP="005F32B8">
            <w:pPr>
              <w:jc w:val="both"/>
              <w:rPr>
                <w:sz w:val="20"/>
                <w:lang w:val="fr-CA"/>
              </w:rPr>
            </w:pPr>
          </w:p>
          <w:p w:rsidR="00B124FF" w:rsidRPr="00AF75CE" w:rsidRDefault="00B124FF" w:rsidP="005F32B8">
            <w:pPr>
              <w:jc w:val="both"/>
              <w:rPr>
                <w:sz w:val="20"/>
                <w:lang w:val="fr-CA"/>
              </w:rPr>
            </w:pPr>
            <w:r w:rsidRPr="00AF75CE">
              <w:rPr>
                <w:sz w:val="20"/>
                <w:lang w:val="fr-CA"/>
              </w:rPr>
              <w:t>L’AI a conclu que le caporal Higgins n’avait pas été lésé, si bien qu’aucune réparation  n’a été accordée. Il a ensuite demandé que son grief soit soumis à l’autorité de dernière instance (« ADI »). Le Comité des griefs des Forces canadiennes (« CGFC »), une entité indépendante chargée d’examiner les griefs qui lui sont transmis dans le cadre de cette procédure, a recommandé que le grief soit accueilli partiellement. Le 22 septembre 2014, le colonel Malo, l’ADI, a rendu sa décision après avoir procédé à un examen </w:t>
            </w:r>
            <w:r w:rsidRPr="00AF75CE">
              <w:rPr>
                <w:i/>
                <w:iCs/>
                <w:sz w:val="20"/>
                <w:lang w:val="fr-CA"/>
              </w:rPr>
              <w:t>de novo</w:t>
            </w:r>
            <w:r w:rsidRPr="00AF75CE">
              <w:rPr>
                <w:sz w:val="20"/>
                <w:lang w:val="fr-CA"/>
              </w:rPr>
              <w:t xml:space="preserve"> et a accueilli en partie le grief du demandeur. Il a suivi la recommandation du CGFC et a ordonné qu’un avertissement écrit soit versé au dossier du demandeur et qu’une nouvelle enquête concernant une des allégations qui ont mené à la suspension du caporal soit envisagée. Le caporal Higgins a demandé à la Cour fédérale d’effectuer le contrôle judiciaire de la décision de l’ADI. La juge de la Cour fédérale a rejeté cette demande et a assorti sa décision de motifs détaillés. En examinant la décision de la Cour fédérale, la Cour d’appel fédérale a conclu que la Cour fédérale avait choisi la bonne norme de contrôle judiciaire, celle de la  décision raisonnable, et qu’elle l’avait appliquée correctement à la décision de l’ADI.</w:t>
            </w:r>
          </w:p>
          <w:p w:rsidR="00B124FF" w:rsidRPr="00AF75CE" w:rsidRDefault="00B124FF" w:rsidP="005F32B8">
            <w:pPr>
              <w:jc w:val="both"/>
              <w:rPr>
                <w:sz w:val="20"/>
                <w:lang w:val="fr-CA"/>
              </w:rPr>
            </w:pPr>
          </w:p>
        </w:tc>
      </w:tr>
      <w:tr w:rsidR="00B124FF" w:rsidRPr="00CC0B55" w:rsidTr="005F32B8">
        <w:tc>
          <w:tcPr>
            <w:tcW w:w="2427" w:type="pct"/>
            <w:gridSpan w:val="2"/>
          </w:tcPr>
          <w:p w:rsidR="00B124FF" w:rsidRPr="00AF75CE" w:rsidRDefault="00B124FF" w:rsidP="005F32B8">
            <w:pPr>
              <w:jc w:val="both"/>
              <w:rPr>
                <w:sz w:val="20"/>
                <w:lang w:val="fr-CA"/>
              </w:rPr>
            </w:pPr>
            <w:r w:rsidRPr="00AF75CE">
              <w:rPr>
                <w:sz w:val="20"/>
                <w:lang w:val="fr-CA"/>
              </w:rPr>
              <w:t>8 janvier 2016</w:t>
            </w:r>
          </w:p>
          <w:p w:rsidR="00B124FF" w:rsidRPr="00AF75CE" w:rsidRDefault="00B124FF" w:rsidP="005F32B8">
            <w:pPr>
              <w:jc w:val="both"/>
              <w:rPr>
                <w:sz w:val="20"/>
                <w:lang w:val="fr-CA"/>
              </w:rPr>
            </w:pPr>
            <w:r w:rsidRPr="00AF75CE">
              <w:rPr>
                <w:sz w:val="20"/>
                <w:lang w:val="fr-CA"/>
              </w:rPr>
              <w:t>Cour fédérale</w:t>
            </w:r>
          </w:p>
          <w:p w:rsidR="00B124FF" w:rsidRPr="00AF75CE" w:rsidRDefault="00B124FF" w:rsidP="005F32B8">
            <w:pPr>
              <w:jc w:val="both"/>
              <w:rPr>
                <w:sz w:val="20"/>
                <w:lang w:val="fr-CA"/>
              </w:rPr>
            </w:pPr>
            <w:r w:rsidRPr="00AF75CE">
              <w:rPr>
                <w:sz w:val="20"/>
                <w:lang w:val="fr-CA"/>
              </w:rPr>
              <w:t>(Juge Elliott)</w:t>
            </w:r>
          </w:p>
          <w:p w:rsidR="00B124FF" w:rsidRPr="00AF75CE" w:rsidRDefault="00A24D5C" w:rsidP="005F32B8">
            <w:pPr>
              <w:jc w:val="both"/>
              <w:rPr>
                <w:sz w:val="20"/>
                <w:lang w:val="fr-CA"/>
              </w:rPr>
            </w:pPr>
            <w:hyperlink r:id="rId79" w:history="1">
              <w:r w:rsidR="00B124FF" w:rsidRPr="00AF75CE">
                <w:rPr>
                  <w:rStyle w:val="Hyperlink"/>
                  <w:sz w:val="20"/>
                  <w:lang w:val="fr-CA"/>
                </w:rPr>
                <w:t>2016 CF 32</w:t>
              </w:r>
            </w:hyperlink>
            <w:r w:rsidR="00B124FF" w:rsidRPr="00AF75CE">
              <w:rPr>
                <w:sz w:val="20"/>
                <w:lang w:val="fr-CA"/>
              </w:rPr>
              <w:t xml:space="preserve"> </w:t>
            </w:r>
          </w:p>
          <w:p w:rsidR="00B124FF" w:rsidRPr="00AF75CE" w:rsidRDefault="00B124FF" w:rsidP="005F32B8">
            <w:pPr>
              <w:jc w:val="both"/>
              <w:rPr>
                <w:sz w:val="20"/>
                <w:lang w:val="fr-CA"/>
              </w:rPr>
            </w:pPr>
          </w:p>
        </w:tc>
        <w:tc>
          <w:tcPr>
            <w:tcW w:w="243" w:type="pct"/>
          </w:tcPr>
          <w:p w:rsidR="00B124FF" w:rsidRPr="00AF75CE" w:rsidRDefault="00B124FF" w:rsidP="005F32B8">
            <w:pPr>
              <w:jc w:val="both"/>
              <w:rPr>
                <w:sz w:val="20"/>
                <w:lang w:val="fr-CA"/>
              </w:rPr>
            </w:pPr>
          </w:p>
        </w:tc>
        <w:tc>
          <w:tcPr>
            <w:tcW w:w="2330" w:type="pct"/>
          </w:tcPr>
          <w:p w:rsidR="00B124FF" w:rsidRPr="00AF75CE" w:rsidRDefault="00B124FF" w:rsidP="005F32B8">
            <w:pPr>
              <w:jc w:val="both"/>
              <w:rPr>
                <w:sz w:val="20"/>
                <w:lang w:val="fr-CA"/>
              </w:rPr>
            </w:pPr>
            <w:r w:rsidRPr="00AF75CE">
              <w:rPr>
                <w:sz w:val="20"/>
                <w:lang w:val="fr-CA"/>
              </w:rPr>
              <w:t>Rejet de la demande de contrôle judiciaire.</w:t>
            </w:r>
          </w:p>
          <w:p w:rsidR="00B124FF" w:rsidRPr="00AF75CE" w:rsidRDefault="00B124FF" w:rsidP="005F32B8">
            <w:pPr>
              <w:jc w:val="both"/>
              <w:rPr>
                <w:sz w:val="20"/>
                <w:lang w:val="fr-CA"/>
              </w:rPr>
            </w:pPr>
          </w:p>
        </w:tc>
      </w:tr>
      <w:tr w:rsidR="00B124FF" w:rsidRPr="00AF75CE" w:rsidTr="005F32B8">
        <w:tc>
          <w:tcPr>
            <w:tcW w:w="2427" w:type="pct"/>
            <w:gridSpan w:val="2"/>
          </w:tcPr>
          <w:p w:rsidR="00B124FF" w:rsidRPr="00AF75CE" w:rsidRDefault="00B124FF" w:rsidP="005F32B8">
            <w:pPr>
              <w:jc w:val="both"/>
              <w:rPr>
                <w:sz w:val="20"/>
                <w:lang w:val="fr-CA"/>
              </w:rPr>
            </w:pPr>
            <w:r w:rsidRPr="00AF75CE">
              <w:rPr>
                <w:sz w:val="20"/>
                <w:lang w:val="fr-CA"/>
              </w:rPr>
              <w:t>2 mars 2018</w:t>
            </w:r>
          </w:p>
          <w:p w:rsidR="00B124FF" w:rsidRPr="00AF75CE" w:rsidRDefault="00B124FF" w:rsidP="005F32B8">
            <w:pPr>
              <w:jc w:val="both"/>
              <w:rPr>
                <w:sz w:val="20"/>
                <w:lang w:val="fr-CA"/>
              </w:rPr>
            </w:pPr>
            <w:r w:rsidRPr="00AF75CE">
              <w:rPr>
                <w:sz w:val="20"/>
                <w:lang w:val="fr-CA"/>
              </w:rPr>
              <w:t>Cour d’appel fédérale</w:t>
            </w:r>
          </w:p>
          <w:p w:rsidR="00B124FF" w:rsidRPr="00AF75CE" w:rsidRDefault="00B124FF" w:rsidP="005F32B8">
            <w:pPr>
              <w:jc w:val="both"/>
              <w:rPr>
                <w:sz w:val="20"/>
                <w:lang w:val="fr-CA"/>
              </w:rPr>
            </w:pPr>
            <w:r w:rsidRPr="00AF75CE">
              <w:rPr>
                <w:sz w:val="20"/>
                <w:lang w:val="fr-CA"/>
              </w:rPr>
              <w:t>(Juges Pelletier, Boivin et de Montigny)</w:t>
            </w:r>
          </w:p>
          <w:p w:rsidR="00B124FF" w:rsidRPr="00AF75CE" w:rsidRDefault="00A24D5C" w:rsidP="005F32B8">
            <w:pPr>
              <w:jc w:val="both"/>
              <w:rPr>
                <w:sz w:val="20"/>
                <w:lang w:val="fr-CA"/>
              </w:rPr>
            </w:pPr>
            <w:hyperlink r:id="rId80" w:history="1">
              <w:r w:rsidR="00B124FF" w:rsidRPr="00AF75CE">
                <w:rPr>
                  <w:rStyle w:val="Hyperlink"/>
                  <w:sz w:val="20"/>
                  <w:lang w:val="fr-CA"/>
                </w:rPr>
                <w:t>2018 FCA 49</w:t>
              </w:r>
            </w:hyperlink>
          </w:p>
          <w:p w:rsidR="00B124FF" w:rsidRPr="00AF75CE" w:rsidRDefault="00B124FF" w:rsidP="005F32B8">
            <w:pPr>
              <w:jc w:val="both"/>
              <w:rPr>
                <w:sz w:val="20"/>
                <w:lang w:val="fr-CA"/>
              </w:rPr>
            </w:pPr>
          </w:p>
        </w:tc>
        <w:tc>
          <w:tcPr>
            <w:tcW w:w="243" w:type="pct"/>
          </w:tcPr>
          <w:p w:rsidR="00B124FF" w:rsidRPr="00AF75CE" w:rsidRDefault="00B124FF" w:rsidP="005F32B8">
            <w:pPr>
              <w:jc w:val="both"/>
              <w:rPr>
                <w:sz w:val="20"/>
                <w:lang w:val="fr-CA"/>
              </w:rPr>
            </w:pPr>
          </w:p>
        </w:tc>
        <w:tc>
          <w:tcPr>
            <w:tcW w:w="2330" w:type="pct"/>
          </w:tcPr>
          <w:p w:rsidR="00B124FF" w:rsidRPr="00AF75CE" w:rsidRDefault="00B124FF" w:rsidP="005F32B8">
            <w:pPr>
              <w:jc w:val="both"/>
              <w:rPr>
                <w:sz w:val="20"/>
                <w:lang w:val="fr-CA"/>
              </w:rPr>
            </w:pPr>
            <w:r w:rsidRPr="00AF75CE">
              <w:rPr>
                <w:sz w:val="20"/>
                <w:lang w:val="fr-CA"/>
              </w:rPr>
              <w:t xml:space="preserve">Rejet de l’appel. </w:t>
            </w:r>
          </w:p>
        </w:tc>
      </w:tr>
      <w:tr w:rsidR="00B124FF" w:rsidRPr="00CC0B55" w:rsidTr="005F32B8">
        <w:tc>
          <w:tcPr>
            <w:tcW w:w="2427" w:type="pct"/>
            <w:gridSpan w:val="2"/>
          </w:tcPr>
          <w:p w:rsidR="00B124FF" w:rsidRPr="00AF75CE" w:rsidRDefault="00B124FF" w:rsidP="005F32B8">
            <w:pPr>
              <w:jc w:val="both"/>
              <w:rPr>
                <w:sz w:val="20"/>
                <w:lang w:val="fr-CA"/>
              </w:rPr>
            </w:pPr>
            <w:r w:rsidRPr="00AF75CE">
              <w:rPr>
                <w:sz w:val="20"/>
                <w:lang w:val="fr-CA"/>
              </w:rPr>
              <w:t>25 mai 2018</w:t>
            </w:r>
          </w:p>
          <w:p w:rsidR="00B124FF" w:rsidRPr="00AF75CE" w:rsidRDefault="00B124FF" w:rsidP="005F32B8">
            <w:pPr>
              <w:jc w:val="both"/>
              <w:rPr>
                <w:sz w:val="20"/>
                <w:lang w:val="fr-CA"/>
              </w:rPr>
            </w:pPr>
            <w:r w:rsidRPr="00AF75CE">
              <w:rPr>
                <w:sz w:val="20"/>
                <w:lang w:val="fr-CA"/>
              </w:rPr>
              <w:t>Cour suprême du Canada</w:t>
            </w:r>
          </w:p>
        </w:tc>
        <w:tc>
          <w:tcPr>
            <w:tcW w:w="243" w:type="pct"/>
          </w:tcPr>
          <w:p w:rsidR="00B124FF" w:rsidRPr="00AF75CE" w:rsidRDefault="00B124FF" w:rsidP="005F32B8">
            <w:pPr>
              <w:jc w:val="both"/>
              <w:rPr>
                <w:sz w:val="20"/>
                <w:lang w:val="fr-CA"/>
              </w:rPr>
            </w:pPr>
          </w:p>
        </w:tc>
        <w:tc>
          <w:tcPr>
            <w:tcW w:w="2330" w:type="pct"/>
          </w:tcPr>
          <w:p w:rsidR="00B124FF" w:rsidRPr="00AF75CE" w:rsidRDefault="00B124FF" w:rsidP="005F32B8">
            <w:pPr>
              <w:jc w:val="both"/>
              <w:rPr>
                <w:sz w:val="20"/>
                <w:lang w:val="fr-CA"/>
              </w:rPr>
            </w:pPr>
            <w:r w:rsidRPr="00AF75CE">
              <w:rPr>
                <w:sz w:val="20"/>
                <w:lang w:val="fr-CA"/>
              </w:rPr>
              <w:t>Dépôt de la demande d’autorisation d’appel et de la requête en prorogation du délai de signification et de dépôt de la demande d’autorisation d’appel.</w:t>
            </w:r>
          </w:p>
        </w:tc>
      </w:tr>
    </w:tbl>
    <w:p w:rsidR="00B124FF" w:rsidRDefault="00B124FF" w:rsidP="00B124FF">
      <w:pPr>
        <w:jc w:val="both"/>
        <w:rPr>
          <w:sz w:val="20"/>
          <w:lang w:val="fr-CA"/>
        </w:rPr>
      </w:pPr>
    </w:p>
    <w:p w:rsidR="00B124FF" w:rsidRDefault="00A24D5C" w:rsidP="00B124FF">
      <w:pPr>
        <w:jc w:val="both"/>
        <w:rPr>
          <w:sz w:val="20"/>
          <w:lang w:val="fr-CA"/>
        </w:rPr>
      </w:pPr>
      <w:r>
        <w:rPr>
          <w:sz w:val="20"/>
          <w:szCs w:val="20"/>
        </w:rPr>
        <w:pict>
          <v:rect id="_x0000_i1049" style="width:2in;height:1pt" o:hrpct="0" o:hralign="center" o:hrstd="t" o:hrnoshade="t" o:hr="t" fillcolor="black [3213]" stroked="f"/>
        </w:pict>
      </w:r>
    </w:p>
    <w:p w:rsidR="00B124FF" w:rsidRPr="00AF75CE" w:rsidRDefault="00B124FF" w:rsidP="00B124FF">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124FF" w:rsidRPr="00AF75CE" w:rsidTr="005F32B8">
        <w:tc>
          <w:tcPr>
            <w:tcW w:w="543" w:type="pct"/>
          </w:tcPr>
          <w:p w:rsidR="00B124FF" w:rsidRPr="00AF75CE" w:rsidRDefault="00B124FF" w:rsidP="005F32B8">
            <w:pPr>
              <w:jc w:val="both"/>
              <w:rPr>
                <w:sz w:val="20"/>
              </w:rPr>
            </w:pPr>
            <w:r w:rsidRPr="00AF75CE">
              <w:rPr>
                <w:rStyle w:val="SCCFileNumberChar"/>
                <w:sz w:val="20"/>
                <w:szCs w:val="20"/>
              </w:rPr>
              <w:t>38203</w:t>
            </w:r>
          </w:p>
        </w:tc>
        <w:tc>
          <w:tcPr>
            <w:tcW w:w="4457" w:type="pct"/>
            <w:gridSpan w:val="3"/>
          </w:tcPr>
          <w:p w:rsidR="00B124FF" w:rsidRPr="00202CE2" w:rsidRDefault="00B124FF" w:rsidP="005F32B8">
            <w:pPr>
              <w:pStyle w:val="SCCLsocParty"/>
              <w:jc w:val="both"/>
              <w:rPr>
                <w:b/>
                <w:sz w:val="20"/>
                <w:szCs w:val="20"/>
                <w:lang w:val="en-US"/>
              </w:rPr>
            </w:pPr>
            <w:r w:rsidRPr="00202CE2">
              <w:rPr>
                <w:b/>
                <w:sz w:val="20"/>
                <w:szCs w:val="20"/>
                <w:lang w:val="en-US"/>
              </w:rPr>
              <w:t>Iryna Filipska</w:t>
            </w:r>
            <w:r>
              <w:rPr>
                <w:b/>
                <w:sz w:val="20"/>
                <w:szCs w:val="20"/>
                <w:lang w:val="en-US"/>
              </w:rPr>
              <w:t xml:space="preserve"> and</w:t>
            </w:r>
            <w:r w:rsidRPr="00202CE2">
              <w:rPr>
                <w:b/>
                <w:sz w:val="20"/>
                <w:szCs w:val="20"/>
                <w:lang w:val="en-US"/>
              </w:rPr>
              <w:t xml:space="preserve"> Stepan Sobolev v. Ministry of Community and Social Services, Ontario Works Program</w:t>
            </w:r>
            <w:r>
              <w:rPr>
                <w:b/>
                <w:sz w:val="20"/>
                <w:szCs w:val="20"/>
                <w:lang w:val="en-US"/>
              </w:rPr>
              <w:t xml:space="preserve"> and</w:t>
            </w:r>
            <w:r w:rsidRPr="00202CE2">
              <w:rPr>
                <w:b/>
                <w:sz w:val="20"/>
                <w:szCs w:val="20"/>
                <w:lang w:val="en-US"/>
              </w:rPr>
              <w:t xml:space="preserve"> Ontario Disability Support Program</w:t>
            </w:r>
          </w:p>
          <w:p w:rsidR="00B124FF" w:rsidRPr="00AF75CE" w:rsidRDefault="00B124FF" w:rsidP="005F32B8">
            <w:pPr>
              <w:jc w:val="both"/>
              <w:rPr>
                <w:sz w:val="20"/>
              </w:rPr>
            </w:pPr>
            <w:r w:rsidRPr="00AF75CE">
              <w:rPr>
                <w:sz w:val="20"/>
              </w:rPr>
              <w:t>(Ont.) (Civil) (By Leave)</w:t>
            </w:r>
          </w:p>
        </w:tc>
      </w:tr>
      <w:tr w:rsidR="00B124FF" w:rsidRPr="00AF75CE" w:rsidTr="005F32B8">
        <w:tc>
          <w:tcPr>
            <w:tcW w:w="5000" w:type="pct"/>
            <w:gridSpan w:val="4"/>
          </w:tcPr>
          <w:p w:rsidR="00B124FF" w:rsidRDefault="00B124FF" w:rsidP="005F32B8">
            <w:pPr>
              <w:jc w:val="both"/>
              <w:rPr>
                <w:sz w:val="20"/>
              </w:rPr>
            </w:pPr>
            <w:r w:rsidRPr="00C11FF6">
              <w:rPr>
                <w:sz w:val="20"/>
              </w:rPr>
              <w:t>The motion for an extension of time to serve and file the application for leave to appeal is granted. The motion for the appointment of counsel is dismissed. The application for leave to appeal from the judgment of the Court of Appeal for Ontario, Number M48326, dated January 12, 2018, is dismissed with costs.</w:t>
            </w:r>
          </w:p>
          <w:p w:rsidR="00B124FF" w:rsidRPr="00C11FF6" w:rsidRDefault="00B124FF" w:rsidP="005F32B8">
            <w:pPr>
              <w:jc w:val="both"/>
              <w:rPr>
                <w:sz w:val="20"/>
              </w:rPr>
            </w:pPr>
          </w:p>
        </w:tc>
      </w:tr>
      <w:tr w:rsidR="00B124FF" w:rsidRPr="00AF75CE" w:rsidTr="005F32B8">
        <w:tc>
          <w:tcPr>
            <w:tcW w:w="5000" w:type="pct"/>
            <w:gridSpan w:val="4"/>
          </w:tcPr>
          <w:p w:rsidR="00B124FF" w:rsidRPr="00AF75CE" w:rsidRDefault="00B124FF" w:rsidP="005F32B8">
            <w:pPr>
              <w:jc w:val="both"/>
              <w:rPr>
                <w:sz w:val="20"/>
              </w:rPr>
            </w:pPr>
            <w:r w:rsidRPr="00AF75CE">
              <w:rPr>
                <w:i/>
                <w:sz w:val="20"/>
              </w:rPr>
              <w:t>Charter of Rights</w:t>
            </w:r>
            <w:r w:rsidRPr="00AF75CE">
              <w:rPr>
                <w:sz w:val="20"/>
              </w:rPr>
              <w:t xml:space="preserve"> – Access to Justice – Social law – Social assistance – Applicant disputing decision to deny her benefits under Ontario Disability Support Program – Whether there is social inequality that creates the necessity for social justice.</w:t>
            </w:r>
          </w:p>
          <w:p w:rsidR="00B124FF" w:rsidRPr="00AF75CE" w:rsidRDefault="00B124FF" w:rsidP="005F32B8">
            <w:pPr>
              <w:jc w:val="both"/>
              <w:rPr>
                <w:sz w:val="20"/>
              </w:rPr>
            </w:pPr>
          </w:p>
        </w:tc>
      </w:tr>
      <w:tr w:rsidR="00B124FF" w:rsidRPr="00AF75CE" w:rsidTr="005F32B8">
        <w:tc>
          <w:tcPr>
            <w:tcW w:w="5000" w:type="pct"/>
            <w:gridSpan w:val="4"/>
          </w:tcPr>
          <w:p w:rsidR="00B124FF" w:rsidRPr="00AF75CE" w:rsidRDefault="00B124FF" w:rsidP="005F32B8">
            <w:pPr>
              <w:jc w:val="both"/>
              <w:rPr>
                <w:sz w:val="20"/>
              </w:rPr>
            </w:pPr>
            <w:r w:rsidRPr="00AF75CE">
              <w:rPr>
                <w:sz w:val="20"/>
              </w:rPr>
              <w:t xml:space="preserve">Ms. Filipska applied for Ontario Disability Support Program (“ODSP”) income support in January, 2014. She was advised by letter that she was found to be a “person with a disability” but subsequently advised that she did not qualify for ODSP income support because her income was too high as determined under the </w:t>
            </w:r>
            <w:r w:rsidRPr="00AF75CE">
              <w:rPr>
                <w:i/>
                <w:sz w:val="20"/>
              </w:rPr>
              <w:t>Ontario Disability Support Program Act, 1997</w:t>
            </w:r>
            <w:r w:rsidRPr="00AF75CE">
              <w:rPr>
                <w:sz w:val="20"/>
              </w:rPr>
              <w:t>, S.O. 1997, c. 25. Ms. Filipska requested a review of that decision. The decision was upheld and her appeal to the Tribunal was dismissed. Her motion for an extension of time to file a notice of appeal was dismissed. Her subsequent appeal to Divisional Court was dismissed and the Court of Appeal dismissed her motion for leave to appeal.</w:t>
            </w:r>
          </w:p>
        </w:tc>
      </w:tr>
      <w:tr w:rsidR="00B124FF" w:rsidRPr="00AF75CE" w:rsidTr="005F32B8">
        <w:tc>
          <w:tcPr>
            <w:tcW w:w="5000" w:type="pct"/>
            <w:gridSpan w:val="4"/>
          </w:tcPr>
          <w:p w:rsidR="00B124FF" w:rsidRPr="00AF75CE" w:rsidRDefault="00B124FF" w:rsidP="005F32B8">
            <w:pPr>
              <w:jc w:val="both"/>
              <w:rPr>
                <w:sz w:val="20"/>
              </w:rPr>
            </w:pPr>
          </w:p>
        </w:tc>
      </w:tr>
      <w:tr w:rsidR="00B124FF" w:rsidRPr="00AF75CE" w:rsidTr="005F32B8">
        <w:tc>
          <w:tcPr>
            <w:tcW w:w="2427" w:type="pct"/>
            <w:gridSpan w:val="2"/>
          </w:tcPr>
          <w:p w:rsidR="00B124FF" w:rsidRPr="00AF75CE" w:rsidRDefault="00B124FF" w:rsidP="005F32B8">
            <w:pPr>
              <w:jc w:val="both"/>
              <w:rPr>
                <w:sz w:val="20"/>
              </w:rPr>
            </w:pPr>
            <w:r w:rsidRPr="00AF75CE">
              <w:rPr>
                <w:sz w:val="20"/>
              </w:rPr>
              <w:t>November 10, 2016</w:t>
            </w:r>
          </w:p>
          <w:p w:rsidR="00B124FF" w:rsidRPr="00AF75CE" w:rsidRDefault="00B124FF" w:rsidP="005F32B8">
            <w:pPr>
              <w:jc w:val="both"/>
              <w:rPr>
                <w:sz w:val="20"/>
              </w:rPr>
            </w:pPr>
            <w:r w:rsidRPr="00AF75CE">
              <w:rPr>
                <w:sz w:val="20"/>
              </w:rPr>
              <w:t>Ontario Superior Court of Justice</w:t>
            </w:r>
          </w:p>
          <w:p w:rsidR="00B124FF" w:rsidRPr="00AF75CE" w:rsidRDefault="00B124FF" w:rsidP="005F32B8">
            <w:pPr>
              <w:jc w:val="both"/>
              <w:rPr>
                <w:sz w:val="20"/>
              </w:rPr>
            </w:pPr>
            <w:r w:rsidRPr="00AF75CE">
              <w:rPr>
                <w:sz w:val="20"/>
              </w:rPr>
              <w:t>(Horkins J.)</w:t>
            </w:r>
          </w:p>
          <w:p w:rsidR="00B124FF" w:rsidRPr="00AF75CE" w:rsidRDefault="00B124FF" w:rsidP="005F32B8">
            <w:pPr>
              <w:jc w:val="both"/>
              <w:rPr>
                <w:sz w:val="20"/>
              </w:rPr>
            </w:pPr>
            <w:r w:rsidRPr="00AF75CE">
              <w:rPr>
                <w:sz w:val="20"/>
              </w:rPr>
              <w:t>Unreported</w:t>
            </w:r>
          </w:p>
          <w:p w:rsidR="00B124FF" w:rsidRPr="00AF75CE" w:rsidRDefault="00B124FF" w:rsidP="005F32B8">
            <w:pPr>
              <w:jc w:val="both"/>
              <w:rPr>
                <w:sz w:val="20"/>
              </w:rPr>
            </w:pPr>
          </w:p>
        </w:tc>
        <w:tc>
          <w:tcPr>
            <w:tcW w:w="243" w:type="pct"/>
          </w:tcPr>
          <w:p w:rsidR="00B124FF" w:rsidRPr="00AF75CE" w:rsidRDefault="00B124FF" w:rsidP="005F32B8">
            <w:pPr>
              <w:jc w:val="both"/>
              <w:rPr>
                <w:sz w:val="20"/>
              </w:rPr>
            </w:pPr>
          </w:p>
        </w:tc>
        <w:tc>
          <w:tcPr>
            <w:tcW w:w="2330" w:type="pct"/>
          </w:tcPr>
          <w:p w:rsidR="00B124FF" w:rsidRPr="00AF75CE" w:rsidRDefault="00B124FF" w:rsidP="005F32B8">
            <w:pPr>
              <w:jc w:val="both"/>
              <w:rPr>
                <w:sz w:val="20"/>
              </w:rPr>
            </w:pPr>
            <w:r w:rsidRPr="00AF75CE">
              <w:rPr>
                <w:sz w:val="20"/>
              </w:rPr>
              <w:t>Applicants’ motion for extension of time to file notice of appeal dismissed</w:t>
            </w:r>
          </w:p>
          <w:p w:rsidR="00B124FF" w:rsidRPr="00AF75CE" w:rsidRDefault="00B124FF" w:rsidP="005F32B8">
            <w:pPr>
              <w:jc w:val="both"/>
              <w:rPr>
                <w:sz w:val="20"/>
              </w:rPr>
            </w:pPr>
          </w:p>
          <w:p w:rsidR="00B124FF" w:rsidRPr="00AF75CE" w:rsidRDefault="00B124FF" w:rsidP="005F32B8">
            <w:pPr>
              <w:jc w:val="both"/>
              <w:rPr>
                <w:sz w:val="20"/>
              </w:rPr>
            </w:pPr>
          </w:p>
        </w:tc>
      </w:tr>
      <w:tr w:rsidR="00B124FF" w:rsidRPr="00AF75CE" w:rsidTr="005F32B8">
        <w:tc>
          <w:tcPr>
            <w:tcW w:w="2427" w:type="pct"/>
            <w:gridSpan w:val="2"/>
          </w:tcPr>
          <w:p w:rsidR="00B124FF" w:rsidRPr="00AF75CE" w:rsidRDefault="00B124FF" w:rsidP="005F32B8">
            <w:pPr>
              <w:jc w:val="both"/>
              <w:rPr>
                <w:sz w:val="20"/>
              </w:rPr>
            </w:pPr>
            <w:r w:rsidRPr="00AF75CE">
              <w:rPr>
                <w:sz w:val="20"/>
              </w:rPr>
              <w:t>September 19, 2017</w:t>
            </w:r>
          </w:p>
          <w:p w:rsidR="00B124FF" w:rsidRPr="00AF75CE" w:rsidRDefault="00B124FF" w:rsidP="005F32B8">
            <w:pPr>
              <w:jc w:val="both"/>
              <w:rPr>
                <w:sz w:val="20"/>
              </w:rPr>
            </w:pPr>
            <w:r w:rsidRPr="00AF75CE">
              <w:rPr>
                <w:sz w:val="20"/>
              </w:rPr>
              <w:t>Ontario Superior Court of Justice</w:t>
            </w:r>
          </w:p>
          <w:p w:rsidR="00B124FF" w:rsidRPr="00AF75CE" w:rsidRDefault="00B124FF" w:rsidP="005F32B8">
            <w:pPr>
              <w:jc w:val="both"/>
              <w:rPr>
                <w:sz w:val="20"/>
              </w:rPr>
            </w:pPr>
            <w:r w:rsidRPr="00AF75CE">
              <w:rPr>
                <w:sz w:val="20"/>
              </w:rPr>
              <w:t>(Kiteley, Lederman and Akbarali JJ.)</w:t>
            </w:r>
          </w:p>
          <w:p w:rsidR="00B124FF" w:rsidRPr="00AF75CE" w:rsidRDefault="00A24D5C" w:rsidP="005F32B8">
            <w:pPr>
              <w:jc w:val="both"/>
              <w:rPr>
                <w:sz w:val="20"/>
              </w:rPr>
            </w:pPr>
            <w:hyperlink r:id="rId81" w:history="1">
              <w:r w:rsidR="00B124FF" w:rsidRPr="00AF75CE">
                <w:rPr>
                  <w:rStyle w:val="Hyperlink"/>
                  <w:sz w:val="20"/>
                </w:rPr>
                <w:t>2017 ONSC 5462</w:t>
              </w:r>
            </w:hyperlink>
          </w:p>
          <w:p w:rsidR="00B124FF" w:rsidRPr="00AF75CE" w:rsidRDefault="00B124FF" w:rsidP="005F32B8">
            <w:pPr>
              <w:jc w:val="both"/>
              <w:rPr>
                <w:sz w:val="20"/>
              </w:rPr>
            </w:pPr>
          </w:p>
        </w:tc>
        <w:tc>
          <w:tcPr>
            <w:tcW w:w="243" w:type="pct"/>
          </w:tcPr>
          <w:p w:rsidR="00B124FF" w:rsidRPr="00AF75CE" w:rsidRDefault="00B124FF" w:rsidP="005F32B8">
            <w:pPr>
              <w:jc w:val="both"/>
              <w:rPr>
                <w:sz w:val="20"/>
              </w:rPr>
            </w:pPr>
          </w:p>
        </w:tc>
        <w:tc>
          <w:tcPr>
            <w:tcW w:w="2330" w:type="pct"/>
          </w:tcPr>
          <w:p w:rsidR="00B124FF" w:rsidRPr="00AF75CE" w:rsidRDefault="00B124FF" w:rsidP="005F32B8">
            <w:pPr>
              <w:jc w:val="both"/>
              <w:rPr>
                <w:sz w:val="20"/>
              </w:rPr>
            </w:pPr>
            <w:r w:rsidRPr="00AF75CE">
              <w:rPr>
                <w:sz w:val="20"/>
              </w:rPr>
              <w:t>Applicants’ appeal dismissed</w:t>
            </w:r>
          </w:p>
          <w:p w:rsidR="00B124FF" w:rsidRPr="00AF75CE" w:rsidRDefault="00B124FF" w:rsidP="005F32B8">
            <w:pPr>
              <w:jc w:val="both"/>
              <w:rPr>
                <w:sz w:val="20"/>
              </w:rPr>
            </w:pPr>
          </w:p>
        </w:tc>
      </w:tr>
      <w:tr w:rsidR="00B124FF" w:rsidRPr="00AF75CE" w:rsidTr="005F32B8">
        <w:tc>
          <w:tcPr>
            <w:tcW w:w="2427" w:type="pct"/>
            <w:gridSpan w:val="2"/>
          </w:tcPr>
          <w:p w:rsidR="00B124FF" w:rsidRPr="00AF75CE" w:rsidRDefault="00B124FF" w:rsidP="005F32B8">
            <w:pPr>
              <w:jc w:val="both"/>
              <w:rPr>
                <w:sz w:val="20"/>
              </w:rPr>
            </w:pPr>
            <w:r w:rsidRPr="00AF75CE">
              <w:rPr>
                <w:sz w:val="20"/>
              </w:rPr>
              <w:t>January 12, 2018</w:t>
            </w:r>
          </w:p>
          <w:p w:rsidR="00B124FF" w:rsidRPr="00AF75CE" w:rsidRDefault="00B124FF" w:rsidP="005F32B8">
            <w:pPr>
              <w:jc w:val="both"/>
              <w:rPr>
                <w:sz w:val="20"/>
              </w:rPr>
            </w:pPr>
            <w:r w:rsidRPr="00AF75CE">
              <w:rPr>
                <w:sz w:val="20"/>
              </w:rPr>
              <w:t>Court of Appeal for Ontario</w:t>
            </w:r>
          </w:p>
          <w:p w:rsidR="00B124FF" w:rsidRPr="00AF75CE" w:rsidRDefault="00B124FF" w:rsidP="005F32B8">
            <w:pPr>
              <w:jc w:val="both"/>
              <w:rPr>
                <w:sz w:val="20"/>
              </w:rPr>
            </w:pPr>
            <w:r w:rsidRPr="00AF75CE">
              <w:rPr>
                <w:sz w:val="20"/>
              </w:rPr>
              <w:t>(Feldman, Pepall and Huscroft JJ.A.)</w:t>
            </w:r>
          </w:p>
          <w:p w:rsidR="00B124FF" w:rsidRPr="00AF75CE" w:rsidRDefault="00B124FF" w:rsidP="005F32B8">
            <w:pPr>
              <w:jc w:val="both"/>
              <w:rPr>
                <w:sz w:val="20"/>
              </w:rPr>
            </w:pPr>
            <w:r w:rsidRPr="00AF75CE">
              <w:rPr>
                <w:sz w:val="20"/>
              </w:rPr>
              <w:t>Unreported</w:t>
            </w:r>
          </w:p>
          <w:p w:rsidR="00B124FF" w:rsidRPr="00AF75CE" w:rsidRDefault="00B124FF" w:rsidP="005F32B8">
            <w:pPr>
              <w:jc w:val="both"/>
              <w:rPr>
                <w:sz w:val="20"/>
              </w:rPr>
            </w:pPr>
          </w:p>
        </w:tc>
        <w:tc>
          <w:tcPr>
            <w:tcW w:w="243" w:type="pct"/>
          </w:tcPr>
          <w:p w:rsidR="00B124FF" w:rsidRPr="00AF75CE" w:rsidRDefault="00B124FF" w:rsidP="005F32B8">
            <w:pPr>
              <w:jc w:val="both"/>
              <w:rPr>
                <w:sz w:val="20"/>
              </w:rPr>
            </w:pPr>
          </w:p>
        </w:tc>
        <w:tc>
          <w:tcPr>
            <w:tcW w:w="2330" w:type="pct"/>
          </w:tcPr>
          <w:p w:rsidR="00B124FF" w:rsidRPr="00AF75CE" w:rsidRDefault="00B124FF" w:rsidP="005F32B8">
            <w:pPr>
              <w:jc w:val="both"/>
              <w:rPr>
                <w:sz w:val="20"/>
              </w:rPr>
            </w:pPr>
            <w:r w:rsidRPr="00AF75CE">
              <w:rPr>
                <w:sz w:val="20"/>
              </w:rPr>
              <w:t>Applicants’ motion for leave to appeal dismissed</w:t>
            </w:r>
          </w:p>
          <w:p w:rsidR="00B124FF" w:rsidRPr="00AF75CE" w:rsidRDefault="00B124FF" w:rsidP="005F32B8">
            <w:pPr>
              <w:jc w:val="both"/>
              <w:rPr>
                <w:sz w:val="20"/>
              </w:rPr>
            </w:pPr>
          </w:p>
        </w:tc>
      </w:tr>
      <w:tr w:rsidR="00B124FF" w:rsidRPr="00AF75CE" w:rsidTr="005F32B8">
        <w:tc>
          <w:tcPr>
            <w:tcW w:w="2427" w:type="pct"/>
            <w:gridSpan w:val="2"/>
          </w:tcPr>
          <w:p w:rsidR="00B124FF" w:rsidRPr="00AF75CE" w:rsidRDefault="00B124FF" w:rsidP="005F32B8">
            <w:pPr>
              <w:jc w:val="both"/>
              <w:rPr>
                <w:sz w:val="20"/>
              </w:rPr>
            </w:pPr>
            <w:r w:rsidRPr="00AF75CE">
              <w:rPr>
                <w:sz w:val="20"/>
              </w:rPr>
              <w:t>April 4, 2018</w:t>
            </w:r>
          </w:p>
          <w:p w:rsidR="00B124FF" w:rsidRPr="00AF75CE" w:rsidRDefault="00B124FF" w:rsidP="005F32B8">
            <w:pPr>
              <w:jc w:val="both"/>
              <w:rPr>
                <w:sz w:val="20"/>
              </w:rPr>
            </w:pPr>
            <w:r w:rsidRPr="00AF75CE">
              <w:rPr>
                <w:sz w:val="20"/>
              </w:rPr>
              <w:t>Supreme Court of Canada</w:t>
            </w:r>
          </w:p>
        </w:tc>
        <w:tc>
          <w:tcPr>
            <w:tcW w:w="243" w:type="pct"/>
          </w:tcPr>
          <w:p w:rsidR="00B124FF" w:rsidRPr="00AF75CE" w:rsidRDefault="00B124FF" w:rsidP="005F32B8">
            <w:pPr>
              <w:jc w:val="both"/>
              <w:rPr>
                <w:sz w:val="20"/>
              </w:rPr>
            </w:pPr>
          </w:p>
        </w:tc>
        <w:tc>
          <w:tcPr>
            <w:tcW w:w="2330" w:type="pct"/>
          </w:tcPr>
          <w:p w:rsidR="00B124FF" w:rsidRPr="00AF75CE" w:rsidRDefault="00B124FF" w:rsidP="005F32B8">
            <w:pPr>
              <w:jc w:val="both"/>
              <w:rPr>
                <w:sz w:val="20"/>
              </w:rPr>
            </w:pPr>
            <w:r w:rsidRPr="00AF75CE">
              <w:rPr>
                <w:sz w:val="20"/>
              </w:rPr>
              <w:t>Motion for extension of time in which to serve and file application for leave to appeal and application for leave to appeal filed</w:t>
            </w:r>
          </w:p>
        </w:tc>
      </w:tr>
    </w:tbl>
    <w:p w:rsidR="00B124FF" w:rsidRDefault="00B124FF" w:rsidP="00B124FF">
      <w:pPr>
        <w:jc w:val="both"/>
        <w:rPr>
          <w:sz w:val="20"/>
        </w:rPr>
      </w:pPr>
    </w:p>
    <w:p w:rsidR="00B124FF" w:rsidRPr="00AF75CE" w:rsidRDefault="00B124FF" w:rsidP="00B124F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124FF" w:rsidRPr="00AF75CE" w:rsidTr="005F32B8">
        <w:tc>
          <w:tcPr>
            <w:tcW w:w="543" w:type="pct"/>
          </w:tcPr>
          <w:p w:rsidR="00B124FF" w:rsidRPr="00AF75CE" w:rsidRDefault="00B124FF" w:rsidP="005F32B8">
            <w:pPr>
              <w:jc w:val="both"/>
              <w:rPr>
                <w:sz w:val="20"/>
                <w:lang w:val="fr-CA"/>
              </w:rPr>
            </w:pPr>
            <w:r w:rsidRPr="00AF75CE">
              <w:rPr>
                <w:rStyle w:val="SCCFileNumberChar"/>
                <w:sz w:val="20"/>
                <w:szCs w:val="20"/>
                <w:lang w:val="fr-CA"/>
              </w:rPr>
              <w:lastRenderedPageBreak/>
              <w:t>38203</w:t>
            </w:r>
          </w:p>
        </w:tc>
        <w:tc>
          <w:tcPr>
            <w:tcW w:w="4457" w:type="pct"/>
            <w:gridSpan w:val="3"/>
          </w:tcPr>
          <w:p w:rsidR="00B124FF" w:rsidRPr="00202CE2" w:rsidRDefault="00B124FF" w:rsidP="005F32B8">
            <w:pPr>
              <w:pStyle w:val="SCCLsocParty"/>
              <w:jc w:val="both"/>
              <w:rPr>
                <w:b/>
                <w:sz w:val="20"/>
                <w:szCs w:val="20"/>
              </w:rPr>
            </w:pPr>
            <w:r w:rsidRPr="00202CE2">
              <w:rPr>
                <w:b/>
                <w:sz w:val="20"/>
                <w:szCs w:val="20"/>
              </w:rPr>
              <w:t>Iryna Filipska</w:t>
            </w:r>
            <w:r>
              <w:rPr>
                <w:b/>
                <w:sz w:val="20"/>
                <w:szCs w:val="20"/>
              </w:rPr>
              <w:t xml:space="preserve"> et</w:t>
            </w:r>
            <w:r w:rsidRPr="00202CE2">
              <w:rPr>
                <w:b/>
                <w:sz w:val="20"/>
                <w:szCs w:val="20"/>
              </w:rPr>
              <w:t xml:space="preserve"> Stepan Sobolev c. </w:t>
            </w:r>
            <w:r w:rsidRPr="001124A2">
              <w:rPr>
                <w:b/>
                <w:sz w:val="20"/>
                <w:szCs w:val="20"/>
              </w:rPr>
              <w:t>Ministère des Services à l’enfance et des Services sociaux et communautaires, Ontario Works Program et Programme ontarien de soutien aux personnes handicapées</w:t>
            </w:r>
          </w:p>
          <w:p w:rsidR="00B124FF" w:rsidRPr="00AF75CE" w:rsidRDefault="00B124FF" w:rsidP="005F32B8">
            <w:pPr>
              <w:jc w:val="both"/>
              <w:rPr>
                <w:sz w:val="20"/>
                <w:lang w:val="fr-CA"/>
              </w:rPr>
            </w:pPr>
            <w:r w:rsidRPr="00AF75CE">
              <w:rPr>
                <w:sz w:val="20"/>
                <w:lang w:val="fr-CA"/>
              </w:rPr>
              <w:t>(Ont.) (Civile) (Autorisation)</w:t>
            </w:r>
          </w:p>
        </w:tc>
      </w:tr>
      <w:tr w:rsidR="00B124FF" w:rsidRPr="00CC0B55" w:rsidTr="005F32B8">
        <w:tc>
          <w:tcPr>
            <w:tcW w:w="5000" w:type="pct"/>
            <w:gridSpan w:val="4"/>
          </w:tcPr>
          <w:p w:rsidR="00B124FF" w:rsidRDefault="00B124FF" w:rsidP="005F32B8">
            <w:pPr>
              <w:jc w:val="both"/>
              <w:rPr>
                <w:sz w:val="20"/>
                <w:lang w:val="fr-CA"/>
              </w:rPr>
            </w:pPr>
            <w:r w:rsidRPr="00C11FF6">
              <w:rPr>
                <w:sz w:val="20"/>
                <w:lang w:val="fr-CA"/>
              </w:rPr>
              <w:t>La requête en prorogation du délai de signification et de dépôt de la demande d’autorisation d’appel est accueillie. La requête pour nomination d’un avocat est rejetée. La demande d’autorisation d’appel de l’arrêt de la Cour d’appel de l’Ontario, numéro M48326, daté du 12 janvier 2018, est rejetée avec dépens.</w:t>
            </w:r>
          </w:p>
          <w:p w:rsidR="00B124FF" w:rsidRPr="00C11FF6" w:rsidRDefault="00B124FF" w:rsidP="005F32B8">
            <w:pPr>
              <w:jc w:val="both"/>
              <w:rPr>
                <w:sz w:val="20"/>
                <w:lang w:val="fr-CA"/>
              </w:rPr>
            </w:pPr>
          </w:p>
        </w:tc>
      </w:tr>
      <w:tr w:rsidR="00B124FF" w:rsidRPr="00CC0B55" w:rsidTr="005F32B8">
        <w:tc>
          <w:tcPr>
            <w:tcW w:w="5000" w:type="pct"/>
            <w:gridSpan w:val="4"/>
          </w:tcPr>
          <w:p w:rsidR="00B124FF" w:rsidRPr="00AF75CE" w:rsidRDefault="00B124FF" w:rsidP="005F32B8">
            <w:pPr>
              <w:jc w:val="both"/>
              <w:rPr>
                <w:sz w:val="20"/>
                <w:lang w:val="fr-CA"/>
              </w:rPr>
            </w:pPr>
            <w:r w:rsidRPr="00AF75CE">
              <w:rPr>
                <w:i/>
                <w:sz w:val="20"/>
                <w:lang w:val="fr-CA"/>
              </w:rPr>
              <w:t>Charte des droits</w:t>
            </w:r>
            <w:r w:rsidRPr="00AF75CE">
              <w:rPr>
                <w:sz w:val="20"/>
                <w:lang w:val="fr-CA"/>
              </w:rPr>
              <w:t xml:space="preserve"> – Accès à la justice – Droit social – Aide sociale – La demanderesse conteste la décision de lui refuser des prestations sous le régime du Programme ontarien de soutien aux personnes handicapées – Y a-t-il inégalité sociale qui crée la nécessité de justice sociale?</w:t>
            </w:r>
          </w:p>
          <w:p w:rsidR="00B124FF" w:rsidRPr="00AF75CE" w:rsidRDefault="00B124FF" w:rsidP="005F32B8">
            <w:pPr>
              <w:jc w:val="both"/>
              <w:rPr>
                <w:sz w:val="20"/>
                <w:lang w:val="fr-CA"/>
              </w:rPr>
            </w:pPr>
          </w:p>
        </w:tc>
      </w:tr>
      <w:tr w:rsidR="00B124FF" w:rsidRPr="00CC0B55" w:rsidTr="005F32B8">
        <w:tc>
          <w:tcPr>
            <w:tcW w:w="5000" w:type="pct"/>
            <w:gridSpan w:val="4"/>
          </w:tcPr>
          <w:p w:rsidR="00B124FF" w:rsidRPr="00AF75CE" w:rsidRDefault="00B124FF" w:rsidP="005F32B8">
            <w:pPr>
              <w:jc w:val="both"/>
              <w:rPr>
                <w:sz w:val="20"/>
                <w:lang w:val="fr-CA"/>
              </w:rPr>
            </w:pPr>
            <w:r w:rsidRPr="00AF75CE">
              <w:rPr>
                <w:sz w:val="20"/>
                <w:lang w:val="fr-CA"/>
              </w:rPr>
              <w:t xml:space="preserve">En janvier 2014, Mme Filipska a fait une demande de soutien du revenu sous le régime du Programme ontarien de soutien aux personnes handicapées (« POSPH »). Elle a été informée par lettre qu’elle avait déclarée « personne handicapée », mais on l’a informée par la suite qu’elle n’était pas admissible au soutien du revenu sous le régime du POSPH parce que son revenu était trop élevé selon les barèmes de la </w:t>
            </w:r>
            <w:r w:rsidRPr="00AF75CE">
              <w:rPr>
                <w:i/>
                <w:sz w:val="20"/>
                <w:lang w:val="fr-CA"/>
              </w:rPr>
              <w:t>Loi de 1997 sur le Programme ontarien de soutien aux personnes handicapées</w:t>
            </w:r>
            <w:r w:rsidRPr="00AF75CE">
              <w:rPr>
                <w:sz w:val="20"/>
                <w:lang w:val="fr-CA"/>
              </w:rPr>
              <w:t>, L.O. 1997, ch. 25. Madame Filipska a demandé la révision de cette décision. La décision a été confirmée et son appel au Tribunal a été rejeté. Sa motion en prorogation du délai de dépôt d’un avis d’appel a été rejetée. Son appel subséquent à la Cour divisionnaire a été rejeté et la Cour d’appel a rejeté sa motion en autorisation d’interjeter appel.</w:t>
            </w:r>
          </w:p>
        </w:tc>
      </w:tr>
      <w:tr w:rsidR="00B124FF" w:rsidRPr="00CC0B55" w:rsidTr="005F32B8">
        <w:tc>
          <w:tcPr>
            <w:tcW w:w="5000" w:type="pct"/>
            <w:gridSpan w:val="4"/>
          </w:tcPr>
          <w:p w:rsidR="00B124FF" w:rsidRPr="00AF75CE" w:rsidRDefault="00B124FF" w:rsidP="005F32B8">
            <w:pPr>
              <w:jc w:val="both"/>
              <w:rPr>
                <w:sz w:val="20"/>
                <w:lang w:val="fr-CA"/>
              </w:rPr>
            </w:pPr>
          </w:p>
        </w:tc>
      </w:tr>
      <w:tr w:rsidR="00B124FF" w:rsidRPr="00CC0B55" w:rsidTr="005F32B8">
        <w:tc>
          <w:tcPr>
            <w:tcW w:w="2427" w:type="pct"/>
            <w:gridSpan w:val="2"/>
          </w:tcPr>
          <w:p w:rsidR="00B124FF" w:rsidRPr="00AF75CE" w:rsidRDefault="00B124FF" w:rsidP="005F32B8">
            <w:pPr>
              <w:jc w:val="both"/>
              <w:rPr>
                <w:sz w:val="20"/>
                <w:lang w:val="fr-CA"/>
              </w:rPr>
            </w:pPr>
            <w:r w:rsidRPr="00AF75CE">
              <w:rPr>
                <w:sz w:val="20"/>
                <w:lang w:val="fr-CA"/>
              </w:rPr>
              <w:t>10 novembre 2016</w:t>
            </w:r>
          </w:p>
          <w:p w:rsidR="00B124FF" w:rsidRPr="00AF75CE" w:rsidRDefault="00B124FF" w:rsidP="005F32B8">
            <w:pPr>
              <w:jc w:val="both"/>
              <w:rPr>
                <w:sz w:val="20"/>
                <w:lang w:val="fr-CA"/>
              </w:rPr>
            </w:pPr>
            <w:r w:rsidRPr="00AF75CE">
              <w:rPr>
                <w:sz w:val="20"/>
                <w:lang w:val="fr-CA"/>
              </w:rPr>
              <w:t>Cour supérieure de justice de l’Ontario</w:t>
            </w:r>
          </w:p>
          <w:p w:rsidR="00B124FF" w:rsidRPr="00AF75CE" w:rsidRDefault="00B124FF" w:rsidP="005F32B8">
            <w:pPr>
              <w:jc w:val="both"/>
              <w:rPr>
                <w:sz w:val="20"/>
                <w:lang w:val="fr-CA"/>
              </w:rPr>
            </w:pPr>
            <w:r w:rsidRPr="00AF75CE">
              <w:rPr>
                <w:sz w:val="20"/>
                <w:lang w:val="fr-CA"/>
              </w:rPr>
              <w:t>(Juge Horkins)</w:t>
            </w:r>
          </w:p>
          <w:p w:rsidR="00B124FF" w:rsidRPr="00AF75CE" w:rsidRDefault="00B124FF" w:rsidP="005F32B8">
            <w:pPr>
              <w:jc w:val="both"/>
              <w:rPr>
                <w:sz w:val="20"/>
                <w:lang w:val="fr-CA"/>
              </w:rPr>
            </w:pPr>
            <w:r w:rsidRPr="00AF75CE">
              <w:rPr>
                <w:sz w:val="20"/>
                <w:lang w:val="fr-CA"/>
              </w:rPr>
              <w:t>Non publié</w:t>
            </w:r>
          </w:p>
          <w:p w:rsidR="00B124FF" w:rsidRPr="00AF75CE" w:rsidRDefault="00B124FF" w:rsidP="005F32B8">
            <w:pPr>
              <w:jc w:val="both"/>
              <w:rPr>
                <w:sz w:val="20"/>
                <w:lang w:val="fr-CA"/>
              </w:rPr>
            </w:pPr>
          </w:p>
        </w:tc>
        <w:tc>
          <w:tcPr>
            <w:tcW w:w="243" w:type="pct"/>
          </w:tcPr>
          <w:p w:rsidR="00B124FF" w:rsidRPr="00AF75CE" w:rsidRDefault="00B124FF" w:rsidP="005F32B8">
            <w:pPr>
              <w:jc w:val="both"/>
              <w:rPr>
                <w:sz w:val="20"/>
                <w:lang w:val="fr-CA"/>
              </w:rPr>
            </w:pPr>
          </w:p>
        </w:tc>
        <w:tc>
          <w:tcPr>
            <w:tcW w:w="2330" w:type="pct"/>
          </w:tcPr>
          <w:p w:rsidR="00B124FF" w:rsidRPr="00AF75CE" w:rsidRDefault="00B124FF" w:rsidP="005F32B8">
            <w:pPr>
              <w:jc w:val="both"/>
              <w:rPr>
                <w:sz w:val="20"/>
                <w:lang w:val="fr-CA"/>
              </w:rPr>
            </w:pPr>
            <w:r w:rsidRPr="00AF75CE">
              <w:rPr>
                <w:sz w:val="20"/>
                <w:lang w:val="fr-CA"/>
              </w:rPr>
              <w:t>Rejet de la motion des demandeurs en prorogation du délai pour déposer un avis d’appel</w:t>
            </w:r>
          </w:p>
          <w:p w:rsidR="00B124FF" w:rsidRPr="00AF75CE" w:rsidRDefault="00B124FF" w:rsidP="005F32B8">
            <w:pPr>
              <w:jc w:val="both"/>
              <w:rPr>
                <w:sz w:val="20"/>
                <w:lang w:val="fr-CA"/>
              </w:rPr>
            </w:pPr>
          </w:p>
          <w:p w:rsidR="00B124FF" w:rsidRPr="00AF75CE" w:rsidRDefault="00B124FF" w:rsidP="005F32B8">
            <w:pPr>
              <w:jc w:val="both"/>
              <w:rPr>
                <w:sz w:val="20"/>
                <w:lang w:val="fr-CA"/>
              </w:rPr>
            </w:pPr>
          </w:p>
        </w:tc>
      </w:tr>
      <w:tr w:rsidR="00B124FF" w:rsidRPr="00AF75CE" w:rsidTr="005F32B8">
        <w:tc>
          <w:tcPr>
            <w:tcW w:w="2427" w:type="pct"/>
            <w:gridSpan w:val="2"/>
          </w:tcPr>
          <w:p w:rsidR="00B124FF" w:rsidRPr="00AF75CE" w:rsidRDefault="00B124FF" w:rsidP="005F32B8">
            <w:pPr>
              <w:jc w:val="both"/>
              <w:rPr>
                <w:sz w:val="20"/>
                <w:lang w:val="fr-CA"/>
              </w:rPr>
            </w:pPr>
            <w:r w:rsidRPr="00AF75CE">
              <w:rPr>
                <w:sz w:val="20"/>
                <w:lang w:val="fr-CA"/>
              </w:rPr>
              <w:t>19 septembre 2017</w:t>
            </w:r>
          </w:p>
          <w:p w:rsidR="00B124FF" w:rsidRPr="00AF75CE" w:rsidRDefault="00B124FF" w:rsidP="005F32B8">
            <w:pPr>
              <w:jc w:val="both"/>
              <w:rPr>
                <w:sz w:val="20"/>
                <w:lang w:val="fr-CA"/>
              </w:rPr>
            </w:pPr>
            <w:r w:rsidRPr="00AF75CE">
              <w:rPr>
                <w:sz w:val="20"/>
                <w:lang w:val="fr-CA"/>
              </w:rPr>
              <w:t>Cour supérieure de justice de l’Ontario</w:t>
            </w:r>
          </w:p>
          <w:p w:rsidR="00B124FF" w:rsidRPr="00AF75CE" w:rsidRDefault="00B124FF" w:rsidP="005F32B8">
            <w:pPr>
              <w:jc w:val="both"/>
              <w:rPr>
                <w:sz w:val="20"/>
                <w:lang w:val="fr-CA"/>
              </w:rPr>
            </w:pPr>
            <w:r w:rsidRPr="00AF75CE">
              <w:rPr>
                <w:sz w:val="20"/>
                <w:lang w:val="fr-CA"/>
              </w:rPr>
              <w:t>(Juges Kiteley, Lederman et Akbarali)</w:t>
            </w:r>
          </w:p>
          <w:p w:rsidR="00B124FF" w:rsidRPr="00AF75CE" w:rsidRDefault="00A24D5C" w:rsidP="005F32B8">
            <w:pPr>
              <w:jc w:val="both"/>
              <w:rPr>
                <w:sz w:val="20"/>
                <w:lang w:val="fr-CA"/>
              </w:rPr>
            </w:pPr>
            <w:hyperlink r:id="rId82" w:history="1">
              <w:r w:rsidR="00B124FF" w:rsidRPr="00AF75CE">
                <w:rPr>
                  <w:rStyle w:val="Hyperlink"/>
                  <w:sz w:val="20"/>
                  <w:lang w:val="fr-CA"/>
                </w:rPr>
                <w:t>2017 ONSC 5462</w:t>
              </w:r>
            </w:hyperlink>
          </w:p>
          <w:p w:rsidR="00B124FF" w:rsidRPr="00AF75CE" w:rsidRDefault="00B124FF" w:rsidP="005F32B8">
            <w:pPr>
              <w:jc w:val="both"/>
              <w:rPr>
                <w:sz w:val="20"/>
                <w:lang w:val="fr-CA"/>
              </w:rPr>
            </w:pPr>
          </w:p>
        </w:tc>
        <w:tc>
          <w:tcPr>
            <w:tcW w:w="243" w:type="pct"/>
          </w:tcPr>
          <w:p w:rsidR="00B124FF" w:rsidRPr="00AF75CE" w:rsidRDefault="00B124FF" w:rsidP="005F32B8">
            <w:pPr>
              <w:jc w:val="both"/>
              <w:rPr>
                <w:sz w:val="20"/>
                <w:lang w:val="fr-CA"/>
              </w:rPr>
            </w:pPr>
          </w:p>
        </w:tc>
        <w:tc>
          <w:tcPr>
            <w:tcW w:w="2330" w:type="pct"/>
          </w:tcPr>
          <w:p w:rsidR="00B124FF" w:rsidRPr="00AF75CE" w:rsidRDefault="00B124FF" w:rsidP="005F32B8">
            <w:pPr>
              <w:jc w:val="both"/>
              <w:rPr>
                <w:sz w:val="20"/>
                <w:lang w:val="fr-CA"/>
              </w:rPr>
            </w:pPr>
            <w:r w:rsidRPr="00AF75CE">
              <w:rPr>
                <w:sz w:val="20"/>
                <w:lang w:val="fr-CA"/>
              </w:rPr>
              <w:t>Rejet de l’appel des demandeurs</w:t>
            </w:r>
          </w:p>
          <w:p w:rsidR="00B124FF" w:rsidRPr="00AF75CE" w:rsidRDefault="00B124FF" w:rsidP="005F32B8">
            <w:pPr>
              <w:jc w:val="both"/>
              <w:rPr>
                <w:sz w:val="20"/>
                <w:lang w:val="fr-CA"/>
              </w:rPr>
            </w:pPr>
          </w:p>
        </w:tc>
      </w:tr>
      <w:tr w:rsidR="00B124FF" w:rsidRPr="00CC0B55" w:rsidTr="005F32B8">
        <w:tc>
          <w:tcPr>
            <w:tcW w:w="2427" w:type="pct"/>
            <w:gridSpan w:val="2"/>
          </w:tcPr>
          <w:p w:rsidR="00B124FF" w:rsidRPr="00AF75CE" w:rsidRDefault="00B124FF" w:rsidP="005F32B8">
            <w:pPr>
              <w:jc w:val="both"/>
              <w:rPr>
                <w:sz w:val="20"/>
                <w:lang w:val="fr-CA"/>
              </w:rPr>
            </w:pPr>
            <w:r w:rsidRPr="00AF75CE">
              <w:rPr>
                <w:sz w:val="20"/>
                <w:lang w:val="fr-CA"/>
              </w:rPr>
              <w:t>12 janvier 2018</w:t>
            </w:r>
          </w:p>
          <w:p w:rsidR="00B124FF" w:rsidRPr="00AF75CE" w:rsidRDefault="00B124FF" w:rsidP="005F32B8">
            <w:pPr>
              <w:jc w:val="both"/>
              <w:rPr>
                <w:sz w:val="20"/>
                <w:lang w:val="fr-CA"/>
              </w:rPr>
            </w:pPr>
            <w:r w:rsidRPr="00AF75CE">
              <w:rPr>
                <w:sz w:val="20"/>
                <w:lang w:val="fr-CA"/>
              </w:rPr>
              <w:t>Cour d’appel de l’Ontario</w:t>
            </w:r>
          </w:p>
          <w:p w:rsidR="00B124FF" w:rsidRPr="00AF75CE" w:rsidRDefault="00B124FF" w:rsidP="005F32B8">
            <w:pPr>
              <w:jc w:val="both"/>
              <w:rPr>
                <w:sz w:val="20"/>
                <w:lang w:val="fr-CA"/>
              </w:rPr>
            </w:pPr>
            <w:r w:rsidRPr="00AF75CE">
              <w:rPr>
                <w:sz w:val="20"/>
                <w:lang w:val="fr-CA"/>
              </w:rPr>
              <w:t>(Juges Feldman, Pepall et Huscroft)</w:t>
            </w:r>
          </w:p>
          <w:p w:rsidR="00B124FF" w:rsidRPr="00AF75CE" w:rsidRDefault="00B124FF" w:rsidP="005F32B8">
            <w:pPr>
              <w:jc w:val="both"/>
              <w:rPr>
                <w:sz w:val="20"/>
                <w:lang w:val="fr-CA"/>
              </w:rPr>
            </w:pPr>
            <w:r w:rsidRPr="00AF75CE">
              <w:rPr>
                <w:sz w:val="20"/>
                <w:lang w:val="fr-CA"/>
              </w:rPr>
              <w:t>Non publié</w:t>
            </w:r>
          </w:p>
          <w:p w:rsidR="00B124FF" w:rsidRPr="00AF75CE" w:rsidRDefault="00B124FF" w:rsidP="005F32B8">
            <w:pPr>
              <w:jc w:val="both"/>
              <w:rPr>
                <w:sz w:val="20"/>
                <w:lang w:val="fr-CA"/>
              </w:rPr>
            </w:pPr>
          </w:p>
        </w:tc>
        <w:tc>
          <w:tcPr>
            <w:tcW w:w="243" w:type="pct"/>
          </w:tcPr>
          <w:p w:rsidR="00B124FF" w:rsidRPr="00AF75CE" w:rsidRDefault="00B124FF" w:rsidP="005F32B8">
            <w:pPr>
              <w:jc w:val="both"/>
              <w:rPr>
                <w:sz w:val="20"/>
                <w:lang w:val="fr-CA"/>
              </w:rPr>
            </w:pPr>
          </w:p>
        </w:tc>
        <w:tc>
          <w:tcPr>
            <w:tcW w:w="2330" w:type="pct"/>
          </w:tcPr>
          <w:p w:rsidR="00B124FF" w:rsidRPr="00AF75CE" w:rsidRDefault="00B124FF" w:rsidP="005F32B8">
            <w:pPr>
              <w:jc w:val="both"/>
              <w:rPr>
                <w:sz w:val="20"/>
                <w:lang w:val="fr-CA"/>
              </w:rPr>
            </w:pPr>
            <w:r w:rsidRPr="00AF75CE">
              <w:rPr>
                <w:sz w:val="20"/>
                <w:lang w:val="fr-CA"/>
              </w:rPr>
              <w:t>Rejet de la motion des demandeurs en autorisation d’interjeter appel</w:t>
            </w:r>
          </w:p>
          <w:p w:rsidR="00B124FF" w:rsidRPr="00AF75CE" w:rsidRDefault="00B124FF" w:rsidP="005F32B8">
            <w:pPr>
              <w:jc w:val="both"/>
              <w:rPr>
                <w:sz w:val="20"/>
                <w:lang w:val="fr-CA"/>
              </w:rPr>
            </w:pPr>
          </w:p>
        </w:tc>
      </w:tr>
      <w:tr w:rsidR="00B124FF" w:rsidRPr="00CC0B55" w:rsidTr="005F32B8">
        <w:tc>
          <w:tcPr>
            <w:tcW w:w="2427" w:type="pct"/>
            <w:gridSpan w:val="2"/>
          </w:tcPr>
          <w:p w:rsidR="00B124FF" w:rsidRPr="00AF75CE" w:rsidRDefault="00B124FF" w:rsidP="005F32B8">
            <w:pPr>
              <w:jc w:val="both"/>
              <w:rPr>
                <w:sz w:val="20"/>
                <w:lang w:val="fr-CA"/>
              </w:rPr>
            </w:pPr>
            <w:r w:rsidRPr="00AF75CE">
              <w:rPr>
                <w:sz w:val="20"/>
                <w:lang w:val="fr-CA"/>
              </w:rPr>
              <w:t>4 avril 2018</w:t>
            </w:r>
          </w:p>
          <w:p w:rsidR="00B124FF" w:rsidRPr="00AF75CE" w:rsidRDefault="00B124FF" w:rsidP="005F32B8">
            <w:pPr>
              <w:jc w:val="both"/>
              <w:rPr>
                <w:sz w:val="20"/>
                <w:lang w:val="fr-CA"/>
              </w:rPr>
            </w:pPr>
            <w:r w:rsidRPr="00AF75CE">
              <w:rPr>
                <w:sz w:val="20"/>
                <w:lang w:val="fr-CA"/>
              </w:rPr>
              <w:t>Cour suprême du Canada</w:t>
            </w:r>
          </w:p>
          <w:p w:rsidR="00B124FF" w:rsidRPr="00AF75CE" w:rsidRDefault="00B124FF" w:rsidP="005F32B8">
            <w:pPr>
              <w:jc w:val="both"/>
              <w:rPr>
                <w:sz w:val="20"/>
                <w:lang w:val="fr-CA"/>
              </w:rPr>
            </w:pPr>
          </w:p>
        </w:tc>
        <w:tc>
          <w:tcPr>
            <w:tcW w:w="243" w:type="pct"/>
          </w:tcPr>
          <w:p w:rsidR="00B124FF" w:rsidRPr="00AF75CE" w:rsidRDefault="00B124FF" w:rsidP="005F32B8">
            <w:pPr>
              <w:jc w:val="both"/>
              <w:rPr>
                <w:sz w:val="20"/>
                <w:lang w:val="fr-CA"/>
              </w:rPr>
            </w:pPr>
          </w:p>
        </w:tc>
        <w:tc>
          <w:tcPr>
            <w:tcW w:w="2330" w:type="pct"/>
          </w:tcPr>
          <w:p w:rsidR="00B124FF" w:rsidRPr="00AF75CE" w:rsidRDefault="00B124FF" w:rsidP="005F32B8">
            <w:pPr>
              <w:jc w:val="both"/>
              <w:rPr>
                <w:sz w:val="20"/>
                <w:lang w:val="fr-CA"/>
              </w:rPr>
            </w:pPr>
            <w:r w:rsidRPr="00AF75CE">
              <w:rPr>
                <w:sz w:val="20"/>
                <w:lang w:val="fr-CA"/>
              </w:rPr>
              <w:t>Dépôt de la requête en prorogation du délai de signification et de dépôt de la demande d’autorisation d’appel et de la demande d’autorisation d’appel</w:t>
            </w:r>
          </w:p>
        </w:tc>
      </w:tr>
    </w:tbl>
    <w:p w:rsidR="00B124FF" w:rsidRDefault="00B124FF" w:rsidP="00B124FF">
      <w:pPr>
        <w:jc w:val="both"/>
        <w:rPr>
          <w:sz w:val="20"/>
          <w:lang w:val="fr-CA"/>
        </w:rPr>
      </w:pPr>
    </w:p>
    <w:p w:rsidR="00B124FF" w:rsidRPr="00AF75CE" w:rsidRDefault="00A24D5C" w:rsidP="00B124FF">
      <w:pPr>
        <w:jc w:val="both"/>
        <w:rPr>
          <w:sz w:val="20"/>
          <w:lang w:val="fr-CA"/>
        </w:rPr>
      </w:pPr>
      <w:r>
        <w:rPr>
          <w:sz w:val="20"/>
          <w:szCs w:val="20"/>
        </w:rPr>
        <w:pict>
          <v:rect id="_x0000_i1050" style="width:2in;height:1pt" o:hrpct="0" o:hralign="center" o:hrstd="t" o:hrnoshade="t" o:hr="t" fillcolor="black [3213]" stroked="f"/>
        </w:pict>
      </w:r>
    </w:p>
    <w:p w:rsidR="00B124FF" w:rsidRPr="00AF75CE" w:rsidRDefault="00B124FF" w:rsidP="00B124FF">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124FF" w:rsidRPr="00AF75CE" w:rsidTr="005F32B8">
        <w:tc>
          <w:tcPr>
            <w:tcW w:w="543" w:type="pct"/>
          </w:tcPr>
          <w:p w:rsidR="00B124FF" w:rsidRPr="00AF75CE" w:rsidRDefault="00B124FF" w:rsidP="005F32B8">
            <w:pPr>
              <w:jc w:val="both"/>
              <w:rPr>
                <w:sz w:val="20"/>
              </w:rPr>
            </w:pPr>
            <w:r w:rsidRPr="00AF75CE">
              <w:rPr>
                <w:rStyle w:val="SCCFileNumberChar"/>
                <w:sz w:val="20"/>
                <w:szCs w:val="20"/>
              </w:rPr>
              <w:t>38174</w:t>
            </w:r>
          </w:p>
        </w:tc>
        <w:tc>
          <w:tcPr>
            <w:tcW w:w="4457" w:type="pct"/>
            <w:gridSpan w:val="3"/>
          </w:tcPr>
          <w:p w:rsidR="00B124FF" w:rsidRPr="00202CE2" w:rsidRDefault="00B124FF" w:rsidP="005F32B8">
            <w:pPr>
              <w:pStyle w:val="SCCLsocParty"/>
              <w:jc w:val="both"/>
              <w:rPr>
                <w:b/>
                <w:sz w:val="20"/>
                <w:szCs w:val="20"/>
                <w:lang w:val="en-US"/>
              </w:rPr>
            </w:pPr>
            <w:r w:rsidRPr="00202CE2">
              <w:rPr>
                <w:b/>
                <w:sz w:val="20"/>
                <w:szCs w:val="20"/>
                <w:lang w:val="en-US"/>
              </w:rPr>
              <w:t>John Carroll v. ATCO Electric Ltd.</w:t>
            </w:r>
            <w:r>
              <w:rPr>
                <w:b/>
                <w:sz w:val="20"/>
                <w:szCs w:val="20"/>
                <w:lang w:val="en-US"/>
              </w:rPr>
              <w:t xml:space="preserve"> and</w:t>
            </w:r>
            <w:r w:rsidRPr="00202CE2">
              <w:rPr>
                <w:b/>
                <w:sz w:val="20"/>
                <w:szCs w:val="20"/>
                <w:lang w:val="en-US"/>
              </w:rPr>
              <w:t xml:space="preserve"> Canadian Utilities Limited</w:t>
            </w:r>
          </w:p>
          <w:p w:rsidR="00B124FF" w:rsidRPr="00AF75CE" w:rsidRDefault="00B124FF" w:rsidP="005F32B8">
            <w:pPr>
              <w:jc w:val="both"/>
              <w:rPr>
                <w:sz w:val="20"/>
              </w:rPr>
            </w:pPr>
            <w:r w:rsidRPr="00AF75CE">
              <w:rPr>
                <w:sz w:val="20"/>
              </w:rPr>
              <w:t>(Alta.) (Civil) (By Leave)</w:t>
            </w:r>
          </w:p>
        </w:tc>
      </w:tr>
      <w:tr w:rsidR="00B124FF" w:rsidRPr="00AF75CE" w:rsidTr="005F32B8">
        <w:tc>
          <w:tcPr>
            <w:tcW w:w="5000" w:type="pct"/>
            <w:gridSpan w:val="4"/>
          </w:tcPr>
          <w:p w:rsidR="00B124FF" w:rsidRDefault="00B124FF" w:rsidP="005F32B8">
            <w:pPr>
              <w:jc w:val="both"/>
              <w:rPr>
                <w:sz w:val="20"/>
              </w:rPr>
            </w:pPr>
            <w:r w:rsidRPr="00C11FF6">
              <w:rPr>
                <w:sz w:val="20"/>
              </w:rPr>
              <w:t>The application for leave to appeal from the judgment of the Court of Appeal of Alberta (Edmonton), Number 1703-0113-AC, 2018 ABCA 146, dated April 17, 2018, is dismissed with costs.</w:t>
            </w:r>
          </w:p>
          <w:p w:rsidR="00B124FF" w:rsidRPr="00AF75CE" w:rsidRDefault="00B124FF" w:rsidP="005F32B8">
            <w:pPr>
              <w:jc w:val="both"/>
              <w:rPr>
                <w:sz w:val="20"/>
              </w:rPr>
            </w:pPr>
          </w:p>
        </w:tc>
      </w:tr>
      <w:tr w:rsidR="00B124FF" w:rsidRPr="00AF75CE" w:rsidTr="005F32B8">
        <w:tc>
          <w:tcPr>
            <w:tcW w:w="5000" w:type="pct"/>
            <w:gridSpan w:val="4"/>
          </w:tcPr>
          <w:p w:rsidR="00B124FF" w:rsidRPr="00AF75CE" w:rsidRDefault="00B124FF" w:rsidP="005F32B8">
            <w:pPr>
              <w:jc w:val="both"/>
              <w:rPr>
                <w:sz w:val="20"/>
              </w:rPr>
            </w:pPr>
            <w:r w:rsidRPr="00AF75CE">
              <w:rPr>
                <w:sz w:val="20"/>
              </w:rPr>
              <w:t xml:space="preserve">Employment law – Unjust dismissal – Calculation of notice period – Damages – Whether an “active service” requirement in a contract, standing alone, severs employee’s common law right to claim damages for benefits that would </w:t>
            </w:r>
            <w:r w:rsidRPr="00AF75CE">
              <w:rPr>
                <w:sz w:val="20"/>
              </w:rPr>
              <w:lastRenderedPageBreak/>
              <w:t>have been earned had the employee been permitted to work during the reasonable notice period – Is there a “rough upper limit” of 24 months’ reasonable notice in employment law cases? – What “exceptional circumstances” would warrant a greater reasonable notice period? – Is employer’s determination of reasonable notice a relevant factor for a Court? – Where employee relies upon a representation and delays the search for new employment, can the employer later revert to is strict legal rights?</w:t>
            </w:r>
          </w:p>
          <w:p w:rsidR="00B124FF" w:rsidRPr="00AF75CE" w:rsidRDefault="00B124FF" w:rsidP="005F32B8">
            <w:pPr>
              <w:jc w:val="both"/>
              <w:rPr>
                <w:sz w:val="20"/>
              </w:rPr>
            </w:pPr>
          </w:p>
        </w:tc>
      </w:tr>
      <w:tr w:rsidR="00B124FF" w:rsidRPr="00AF75CE" w:rsidTr="005F32B8">
        <w:tc>
          <w:tcPr>
            <w:tcW w:w="5000" w:type="pct"/>
            <w:gridSpan w:val="4"/>
          </w:tcPr>
          <w:p w:rsidR="00B124FF" w:rsidRPr="00AF75CE" w:rsidRDefault="00B124FF" w:rsidP="005F32B8">
            <w:pPr>
              <w:jc w:val="both"/>
              <w:rPr>
                <w:sz w:val="20"/>
              </w:rPr>
            </w:pPr>
            <w:r w:rsidRPr="00AF75CE">
              <w:rPr>
                <w:sz w:val="20"/>
              </w:rPr>
              <w:lastRenderedPageBreak/>
              <w:t>John Carroll was employed by Atco Electric Ltd for 28 years. His employment was terminated, and he sued for damages resulting from the wrongful dismissal. The Court of Queen’s Bench allowed his action against Atco in part. The Court of Appeal dismissed his appeal.</w:t>
            </w:r>
          </w:p>
        </w:tc>
      </w:tr>
      <w:tr w:rsidR="00B124FF" w:rsidRPr="00AF75CE" w:rsidTr="005F32B8">
        <w:tc>
          <w:tcPr>
            <w:tcW w:w="5000" w:type="pct"/>
            <w:gridSpan w:val="4"/>
          </w:tcPr>
          <w:p w:rsidR="00B124FF" w:rsidRPr="00AF75CE" w:rsidRDefault="00B124FF" w:rsidP="005F32B8">
            <w:pPr>
              <w:jc w:val="both"/>
              <w:rPr>
                <w:sz w:val="20"/>
              </w:rPr>
            </w:pPr>
          </w:p>
        </w:tc>
      </w:tr>
      <w:tr w:rsidR="00B124FF" w:rsidRPr="00AF75CE" w:rsidTr="005F32B8">
        <w:tc>
          <w:tcPr>
            <w:tcW w:w="2427" w:type="pct"/>
            <w:gridSpan w:val="2"/>
          </w:tcPr>
          <w:p w:rsidR="00B124FF" w:rsidRPr="00AF75CE" w:rsidRDefault="00B124FF" w:rsidP="005F32B8">
            <w:pPr>
              <w:jc w:val="both"/>
              <w:rPr>
                <w:sz w:val="20"/>
              </w:rPr>
            </w:pPr>
            <w:r w:rsidRPr="00AF75CE">
              <w:rPr>
                <w:sz w:val="20"/>
              </w:rPr>
              <w:t>April 13, 2017</w:t>
            </w:r>
          </w:p>
          <w:p w:rsidR="00B124FF" w:rsidRPr="00AF75CE" w:rsidRDefault="00B124FF" w:rsidP="005F32B8">
            <w:pPr>
              <w:jc w:val="both"/>
              <w:rPr>
                <w:sz w:val="20"/>
              </w:rPr>
            </w:pPr>
            <w:r w:rsidRPr="00AF75CE">
              <w:rPr>
                <w:sz w:val="20"/>
              </w:rPr>
              <w:t>Court of Queen’s Bench</w:t>
            </w:r>
          </w:p>
          <w:p w:rsidR="00B124FF" w:rsidRPr="00AF75CE" w:rsidRDefault="00B124FF" w:rsidP="005F32B8">
            <w:pPr>
              <w:jc w:val="both"/>
              <w:rPr>
                <w:sz w:val="20"/>
              </w:rPr>
            </w:pPr>
            <w:r w:rsidRPr="00AF75CE">
              <w:rPr>
                <w:sz w:val="20"/>
              </w:rPr>
              <w:t>(Mah J.)</w:t>
            </w:r>
          </w:p>
          <w:p w:rsidR="00B124FF" w:rsidRPr="00AF75CE" w:rsidRDefault="00B124FF" w:rsidP="005F32B8">
            <w:pPr>
              <w:jc w:val="both"/>
              <w:rPr>
                <w:sz w:val="20"/>
              </w:rPr>
            </w:pPr>
            <w:r w:rsidRPr="00AF75CE">
              <w:rPr>
                <w:sz w:val="20"/>
              </w:rPr>
              <w:t xml:space="preserve">Neutral citation: </w:t>
            </w:r>
            <w:hyperlink r:id="rId83" w:history="1">
              <w:r w:rsidRPr="00AF75CE">
                <w:rPr>
                  <w:rStyle w:val="Hyperlink"/>
                  <w:sz w:val="20"/>
                </w:rPr>
                <w:t>2017 ABQB 267</w:t>
              </w:r>
            </w:hyperlink>
          </w:p>
        </w:tc>
        <w:tc>
          <w:tcPr>
            <w:tcW w:w="243" w:type="pct"/>
          </w:tcPr>
          <w:p w:rsidR="00B124FF" w:rsidRPr="00AF75CE" w:rsidRDefault="00B124FF" w:rsidP="005F32B8">
            <w:pPr>
              <w:jc w:val="both"/>
              <w:rPr>
                <w:sz w:val="20"/>
              </w:rPr>
            </w:pPr>
          </w:p>
        </w:tc>
        <w:tc>
          <w:tcPr>
            <w:tcW w:w="2330" w:type="pct"/>
          </w:tcPr>
          <w:p w:rsidR="00B124FF" w:rsidRPr="00AF75CE" w:rsidRDefault="00B124FF" w:rsidP="005F32B8">
            <w:pPr>
              <w:jc w:val="both"/>
              <w:rPr>
                <w:sz w:val="20"/>
              </w:rPr>
            </w:pPr>
            <w:r w:rsidRPr="00AF75CE">
              <w:rPr>
                <w:sz w:val="20"/>
              </w:rPr>
              <w:t>Action against Atco allowed in part: applicant entitled to judgment in the sum of $72,000, set off against pre-trial payments</w:t>
            </w:r>
          </w:p>
          <w:p w:rsidR="00B124FF" w:rsidRPr="00AF75CE" w:rsidRDefault="00B124FF" w:rsidP="005F32B8">
            <w:pPr>
              <w:jc w:val="both"/>
              <w:rPr>
                <w:sz w:val="20"/>
              </w:rPr>
            </w:pPr>
          </w:p>
          <w:p w:rsidR="00B124FF" w:rsidRPr="00AF75CE" w:rsidRDefault="00B124FF" w:rsidP="005F32B8">
            <w:pPr>
              <w:jc w:val="both"/>
              <w:rPr>
                <w:sz w:val="20"/>
              </w:rPr>
            </w:pPr>
          </w:p>
        </w:tc>
      </w:tr>
      <w:tr w:rsidR="00B124FF" w:rsidRPr="00AF75CE" w:rsidTr="005F32B8">
        <w:tc>
          <w:tcPr>
            <w:tcW w:w="2427" w:type="pct"/>
            <w:gridSpan w:val="2"/>
          </w:tcPr>
          <w:p w:rsidR="00B124FF" w:rsidRPr="00AF75CE" w:rsidRDefault="00B124FF" w:rsidP="005F32B8">
            <w:pPr>
              <w:jc w:val="both"/>
              <w:rPr>
                <w:sz w:val="20"/>
              </w:rPr>
            </w:pPr>
            <w:r w:rsidRPr="00AF75CE">
              <w:rPr>
                <w:sz w:val="20"/>
              </w:rPr>
              <w:t>April 17, 2018</w:t>
            </w:r>
          </w:p>
          <w:p w:rsidR="00B124FF" w:rsidRPr="00AF75CE" w:rsidRDefault="00B124FF" w:rsidP="005F32B8">
            <w:pPr>
              <w:jc w:val="both"/>
              <w:rPr>
                <w:sz w:val="20"/>
              </w:rPr>
            </w:pPr>
            <w:r w:rsidRPr="00AF75CE">
              <w:rPr>
                <w:sz w:val="20"/>
              </w:rPr>
              <w:t>Court of Appeal of Alberta (Edmonton)</w:t>
            </w:r>
          </w:p>
          <w:p w:rsidR="00B124FF" w:rsidRPr="00AF75CE" w:rsidRDefault="00B124FF" w:rsidP="005F32B8">
            <w:pPr>
              <w:jc w:val="both"/>
              <w:rPr>
                <w:sz w:val="20"/>
              </w:rPr>
            </w:pPr>
            <w:r w:rsidRPr="00AF75CE">
              <w:rPr>
                <w:sz w:val="20"/>
              </w:rPr>
              <w:t>(Watson, Veldhuis and Crighton JJ.A.)</w:t>
            </w:r>
          </w:p>
          <w:p w:rsidR="00B124FF" w:rsidRPr="00AF75CE" w:rsidRDefault="00B124FF" w:rsidP="005F32B8">
            <w:pPr>
              <w:jc w:val="both"/>
              <w:rPr>
                <w:sz w:val="20"/>
              </w:rPr>
            </w:pPr>
            <w:r w:rsidRPr="00AF75CE">
              <w:rPr>
                <w:sz w:val="20"/>
              </w:rPr>
              <w:t xml:space="preserve">Neutral citation: </w:t>
            </w:r>
            <w:hyperlink r:id="rId84" w:history="1">
              <w:r w:rsidRPr="00AF75CE">
                <w:rPr>
                  <w:rStyle w:val="Hyperlink"/>
                  <w:sz w:val="20"/>
                </w:rPr>
                <w:t>2018 ABCA 146</w:t>
              </w:r>
            </w:hyperlink>
          </w:p>
          <w:p w:rsidR="00B124FF" w:rsidRPr="00AF75CE" w:rsidRDefault="00B124FF" w:rsidP="005F32B8">
            <w:pPr>
              <w:jc w:val="both"/>
              <w:rPr>
                <w:sz w:val="20"/>
              </w:rPr>
            </w:pPr>
          </w:p>
        </w:tc>
        <w:tc>
          <w:tcPr>
            <w:tcW w:w="243" w:type="pct"/>
          </w:tcPr>
          <w:p w:rsidR="00B124FF" w:rsidRPr="00AF75CE" w:rsidRDefault="00B124FF" w:rsidP="005F32B8">
            <w:pPr>
              <w:jc w:val="both"/>
              <w:rPr>
                <w:sz w:val="20"/>
              </w:rPr>
            </w:pPr>
          </w:p>
        </w:tc>
        <w:tc>
          <w:tcPr>
            <w:tcW w:w="2330" w:type="pct"/>
          </w:tcPr>
          <w:p w:rsidR="00B124FF" w:rsidRPr="00AF75CE" w:rsidRDefault="00B124FF" w:rsidP="005F32B8">
            <w:pPr>
              <w:jc w:val="both"/>
              <w:rPr>
                <w:sz w:val="20"/>
              </w:rPr>
            </w:pPr>
            <w:r w:rsidRPr="00AF75CE">
              <w:rPr>
                <w:sz w:val="20"/>
              </w:rPr>
              <w:t>Appeal dismissed</w:t>
            </w:r>
          </w:p>
          <w:p w:rsidR="00B124FF" w:rsidRPr="00AF75CE" w:rsidRDefault="00B124FF" w:rsidP="005F32B8">
            <w:pPr>
              <w:jc w:val="both"/>
              <w:rPr>
                <w:sz w:val="20"/>
              </w:rPr>
            </w:pPr>
          </w:p>
        </w:tc>
      </w:tr>
      <w:tr w:rsidR="00B124FF" w:rsidRPr="00AF75CE" w:rsidTr="005F32B8">
        <w:tc>
          <w:tcPr>
            <w:tcW w:w="2427" w:type="pct"/>
            <w:gridSpan w:val="2"/>
          </w:tcPr>
          <w:p w:rsidR="00B124FF" w:rsidRPr="00AF75CE" w:rsidRDefault="00B124FF" w:rsidP="005F32B8">
            <w:pPr>
              <w:jc w:val="both"/>
              <w:rPr>
                <w:sz w:val="20"/>
              </w:rPr>
            </w:pPr>
            <w:r w:rsidRPr="00AF75CE">
              <w:rPr>
                <w:sz w:val="20"/>
              </w:rPr>
              <w:t>June 18, 2018</w:t>
            </w:r>
          </w:p>
          <w:p w:rsidR="00B124FF" w:rsidRPr="00AF75CE" w:rsidRDefault="00B124FF" w:rsidP="005F32B8">
            <w:pPr>
              <w:jc w:val="both"/>
              <w:rPr>
                <w:sz w:val="20"/>
              </w:rPr>
            </w:pPr>
            <w:r w:rsidRPr="00AF75CE">
              <w:rPr>
                <w:sz w:val="20"/>
              </w:rPr>
              <w:t>Supreme Court of Canada</w:t>
            </w:r>
          </w:p>
        </w:tc>
        <w:tc>
          <w:tcPr>
            <w:tcW w:w="243" w:type="pct"/>
          </w:tcPr>
          <w:p w:rsidR="00B124FF" w:rsidRPr="00AF75CE" w:rsidRDefault="00B124FF" w:rsidP="005F32B8">
            <w:pPr>
              <w:jc w:val="both"/>
              <w:rPr>
                <w:sz w:val="20"/>
              </w:rPr>
            </w:pPr>
          </w:p>
        </w:tc>
        <w:tc>
          <w:tcPr>
            <w:tcW w:w="2330" w:type="pct"/>
          </w:tcPr>
          <w:p w:rsidR="00B124FF" w:rsidRPr="00AF75CE" w:rsidRDefault="00B124FF" w:rsidP="005F32B8">
            <w:pPr>
              <w:jc w:val="both"/>
              <w:rPr>
                <w:sz w:val="20"/>
              </w:rPr>
            </w:pPr>
            <w:r w:rsidRPr="00AF75CE">
              <w:rPr>
                <w:sz w:val="20"/>
              </w:rPr>
              <w:t>Application for leave to appeal filed</w:t>
            </w:r>
          </w:p>
          <w:p w:rsidR="00B124FF" w:rsidRPr="00AF75CE" w:rsidRDefault="00B124FF" w:rsidP="005F32B8">
            <w:pPr>
              <w:jc w:val="both"/>
              <w:rPr>
                <w:sz w:val="20"/>
              </w:rPr>
            </w:pPr>
          </w:p>
        </w:tc>
      </w:tr>
    </w:tbl>
    <w:p w:rsidR="00B124FF" w:rsidRDefault="00B124FF" w:rsidP="00B124FF">
      <w:pPr>
        <w:jc w:val="both"/>
        <w:rPr>
          <w:sz w:val="20"/>
        </w:rPr>
      </w:pPr>
    </w:p>
    <w:p w:rsidR="00B124FF" w:rsidRPr="00AF75CE" w:rsidRDefault="00B124FF" w:rsidP="00B124F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124FF" w:rsidRPr="00F8354B" w:rsidTr="005F32B8">
        <w:tc>
          <w:tcPr>
            <w:tcW w:w="543" w:type="pct"/>
          </w:tcPr>
          <w:p w:rsidR="00B124FF" w:rsidRPr="00AF75CE" w:rsidRDefault="00B124FF" w:rsidP="005F32B8">
            <w:pPr>
              <w:jc w:val="both"/>
              <w:rPr>
                <w:sz w:val="20"/>
                <w:lang w:val="fr-CA"/>
              </w:rPr>
            </w:pPr>
            <w:r w:rsidRPr="00AF75CE">
              <w:rPr>
                <w:rStyle w:val="SCCFileNumberChar"/>
                <w:sz w:val="20"/>
                <w:szCs w:val="20"/>
                <w:lang w:val="fr-CA"/>
              </w:rPr>
              <w:t>38174</w:t>
            </w:r>
          </w:p>
        </w:tc>
        <w:tc>
          <w:tcPr>
            <w:tcW w:w="4457" w:type="pct"/>
            <w:gridSpan w:val="3"/>
          </w:tcPr>
          <w:p w:rsidR="00B124FF" w:rsidRPr="00656A4F" w:rsidRDefault="00B124FF" w:rsidP="005F32B8">
            <w:pPr>
              <w:pStyle w:val="SCCLsocParty"/>
              <w:jc w:val="both"/>
              <w:rPr>
                <w:b/>
                <w:sz w:val="20"/>
                <w:szCs w:val="20"/>
                <w:lang w:val="en-US"/>
              </w:rPr>
            </w:pPr>
            <w:r w:rsidRPr="00656A4F">
              <w:rPr>
                <w:b/>
                <w:sz w:val="20"/>
                <w:szCs w:val="20"/>
                <w:lang w:val="en-US"/>
              </w:rPr>
              <w:t>John Carroll c. ATCO Electric Ltd. et Canadian Utilities Limited</w:t>
            </w:r>
          </w:p>
          <w:p w:rsidR="00B124FF" w:rsidRPr="00AF75CE" w:rsidRDefault="00B124FF" w:rsidP="005F32B8">
            <w:pPr>
              <w:jc w:val="both"/>
              <w:rPr>
                <w:sz w:val="20"/>
                <w:lang w:val="fr-CA"/>
              </w:rPr>
            </w:pPr>
            <w:r w:rsidRPr="00AF75CE">
              <w:rPr>
                <w:sz w:val="20"/>
                <w:lang w:val="fr-CA"/>
              </w:rPr>
              <w:t>(Alb.) (Civile) (Autorisation)</w:t>
            </w:r>
          </w:p>
        </w:tc>
      </w:tr>
      <w:tr w:rsidR="00B124FF" w:rsidRPr="00CC0B55" w:rsidTr="005F32B8">
        <w:tc>
          <w:tcPr>
            <w:tcW w:w="5000" w:type="pct"/>
            <w:gridSpan w:val="4"/>
          </w:tcPr>
          <w:p w:rsidR="00B124FF" w:rsidRDefault="00B124FF" w:rsidP="005F32B8">
            <w:pPr>
              <w:jc w:val="both"/>
              <w:rPr>
                <w:sz w:val="20"/>
                <w:lang w:val="fr-CA"/>
              </w:rPr>
            </w:pPr>
            <w:r w:rsidRPr="00C11FF6">
              <w:rPr>
                <w:sz w:val="20"/>
                <w:lang w:val="fr-CA"/>
              </w:rPr>
              <w:t>La demande d’autorisation d’appel de l’arrêt de la Cour d’appel de l’Alberta (Edmonton), numéro 1703-0113-AC, 2018 ABCA 146, daté du 17 avril 2018, est rejetée avec dépens.</w:t>
            </w:r>
          </w:p>
          <w:p w:rsidR="00B124FF" w:rsidRPr="00AF75CE" w:rsidRDefault="00B124FF" w:rsidP="005F32B8">
            <w:pPr>
              <w:jc w:val="both"/>
              <w:rPr>
                <w:sz w:val="20"/>
                <w:lang w:val="fr-CA"/>
              </w:rPr>
            </w:pPr>
          </w:p>
        </w:tc>
      </w:tr>
      <w:tr w:rsidR="00B124FF" w:rsidRPr="00CC0B55" w:rsidTr="005F32B8">
        <w:tc>
          <w:tcPr>
            <w:tcW w:w="5000" w:type="pct"/>
            <w:gridSpan w:val="4"/>
          </w:tcPr>
          <w:p w:rsidR="00B124FF" w:rsidRPr="00AF75CE" w:rsidRDefault="00B124FF" w:rsidP="005F32B8">
            <w:pPr>
              <w:jc w:val="both"/>
              <w:rPr>
                <w:sz w:val="20"/>
                <w:lang w:val="fr-CA"/>
              </w:rPr>
            </w:pPr>
            <w:r w:rsidRPr="00AF75CE">
              <w:rPr>
                <w:sz w:val="20"/>
                <w:lang w:val="fr-CA"/>
              </w:rPr>
              <w:t>Droit de l’emploi – Congédiement injustifié – Calcul de la période de préavis – Dommages-intérêts – L’exigence relative au « service actif » dans un contrat, à elle seule, prive-t-elle l’employé du droit que lui confère la common law de demander des dommages-intérêts pour les avantages qui auraient été acquis si l’employé avait été autorisé à travailler pendant la période de préavis raisonnable? – Existe-t-il un « plafond approximatif » de vingt-quatre mois de préavis raisonnable dans les affaires de droit de l’emploi? – Quelles « circonstances exceptionnelles » justifieraient une période de préavis raisonnable plus longue? – La détermination par l’employeur de ce que serait un préavis raisonnable est-elle un facteur pertinent pour le tribunal? – Lorsque l’employé s’appuie sur une déclaration et retarde la recherche d’un nouvel emploi, l’employeur peut-il ultérieurement invoquer les droits qui lui confèrent la loi?</w:t>
            </w:r>
          </w:p>
          <w:p w:rsidR="00B124FF" w:rsidRPr="00AF75CE" w:rsidRDefault="00B124FF" w:rsidP="005F32B8">
            <w:pPr>
              <w:jc w:val="both"/>
              <w:rPr>
                <w:sz w:val="20"/>
                <w:lang w:val="fr-CA"/>
              </w:rPr>
            </w:pPr>
          </w:p>
        </w:tc>
      </w:tr>
      <w:tr w:rsidR="00B124FF" w:rsidRPr="00AF75CE" w:rsidTr="005F32B8">
        <w:tc>
          <w:tcPr>
            <w:tcW w:w="5000" w:type="pct"/>
            <w:gridSpan w:val="4"/>
          </w:tcPr>
          <w:p w:rsidR="00B124FF" w:rsidRPr="00AF75CE" w:rsidRDefault="00B124FF" w:rsidP="005F32B8">
            <w:pPr>
              <w:jc w:val="both"/>
              <w:rPr>
                <w:sz w:val="20"/>
                <w:lang w:val="fr-CA"/>
              </w:rPr>
            </w:pPr>
            <w:r w:rsidRPr="00AF75CE">
              <w:rPr>
                <w:sz w:val="20"/>
                <w:lang w:val="fr-CA"/>
              </w:rPr>
              <w:t>John Carroll était au service d’Atco Electric Ltd pendant vingt-huit ans. Il a été congédié et il a intenté une poursuite en dommages-intérêts pour congédiement injustifié. La Cour du Banc de la Reine a accueilli en partie son action contre Atco. La Cour d’appel a rejeté son appel.</w:t>
            </w:r>
          </w:p>
        </w:tc>
      </w:tr>
      <w:tr w:rsidR="00B124FF" w:rsidRPr="00AF75CE" w:rsidTr="005F32B8">
        <w:tc>
          <w:tcPr>
            <w:tcW w:w="5000" w:type="pct"/>
            <w:gridSpan w:val="4"/>
          </w:tcPr>
          <w:p w:rsidR="00B124FF" w:rsidRPr="00AF75CE" w:rsidRDefault="00B124FF" w:rsidP="005F32B8">
            <w:pPr>
              <w:jc w:val="both"/>
              <w:rPr>
                <w:sz w:val="20"/>
                <w:lang w:val="fr-CA"/>
              </w:rPr>
            </w:pPr>
          </w:p>
        </w:tc>
      </w:tr>
      <w:tr w:rsidR="00B124FF" w:rsidRPr="00CC0B55" w:rsidTr="005F32B8">
        <w:tc>
          <w:tcPr>
            <w:tcW w:w="2427" w:type="pct"/>
            <w:gridSpan w:val="2"/>
          </w:tcPr>
          <w:p w:rsidR="00B124FF" w:rsidRPr="00AF75CE" w:rsidRDefault="00B124FF" w:rsidP="005F32B8">
            <w:pPr>
              <w:jc w:val="both"/>
              <w:rPr>
                <w:sz w:val="20"/>
                <w:lang w:val="fr-CA"/>
              </w:rPr>
            </w:pPr>
            <w:r w:rsidRPr="00AF75CE">
              <w:rPr>
                <w:sz w:val="20"/>
                <w:lang w:val="fr-CA"/>
              </w:rPr>
              <w:t>13 avril 2017</w:t>
            </w:r>
          </w:p>
          <w:p w:rsidR="00B124FF" w:rsidRPr="00AF75CE" w:rsidRDefault="00B124FF" w:rsidP="005F32B8">
            <w:pPr>
              <w:jc w:val="both"/>
              <w:rPr>
                <w:sz w:val="20"/>
                <w:lang w:val="fr-CA"/>
              </w:rPr>
            </w:pPr>
            <w:r w:rsidRPr="00AF75CE">
              <w:rPr>
                <w:sz w:val="20"/>
                <w:lang w:val="fr-CA"/>
              </w:rPr>
              <w:t>Cour du Banc de la Reine</w:t>
            </w:r>
          </w:p>
          <w:p w:rsidR="00B124FF" w:rsidRPr="00AF75CE" w:rsidRDefault="00B124FF" w:rsidP="005F32B8">
            <w:pPr>
              <w:jc w:val="both"/>
              <w:rPr>
                <w:sz w:val="20"/>
                <w:lang w:val="fr-CA"/>
              </w:rPr>
            </w:pPr>
            <w:r w:rsidRPr="00AF75CE">
              <w:rPr>
                <w:sz w:val="20"/>
                <w:lang w:val="fr-CA"/>
              </w:rPr>
              <w:t>(Juge Mah)</w:t>
            </w:r>
          </w:p>
          <w:p w:rsidR="00B124FF" w:rsidRPr="00AF75CE" w:rsidRDefault="00B124FF" w:rsidP="005F32B8">
            <w:pPr>
              <w:jc w:val="both"/>
              <w:rPr>
                <w:sz w:val="20"/>
                <w:lang w:val="fr-CA"/>
              </w:rPr>
            </w:pPr>
            <w:r w:rsidRPr="00AF75CE">
              <w:rPr>
                <w:sz w:val="20"/>
                <w:lang w:val="fr-CA"/>
              </w:rPr>
              <w:t xml:space="preserve">Référence neutre : </w:t>
            </w:r>
            <w:hyperlink r:id="rId85" w:history="1">
              <w:r w:rsidRPr="00AF75CE">
                <w:rPr>
                  <w:rStyle w:val="Hyperlink"/>
                  <w:sz w:val="20"/>
                  <w:lang w:val="fr-CA"/>
                </w:rPr>
                <w:t>2017 ABQB 267</w:t>
              </w:r>
            </w:hyperlink>
          </w:p>
        </w:tc>
        <w:tc>
          <w:tcPr>
            <w:tcW w:w="243" w:type="pct"/>
          </w:tcPr>
          <w:p w:rsidR="00B124FF" w:rsidRPr="00AF75CE" w:rsidRDefault="00B124FF" w:rsidP="005F32B8">
            <w:pPr>
              <w:jc w:val="both"/>
              <w:rPr>
                <w:sz w:val="20"/>
                <w:lang w:val="fr-CA"/>
              </w:rPr>
            </w:pPr>
          </w:p>
        </w:tc>
        <w:tc>
          <w:tcPr>
            <w:tcW w:w="2330" w:type="pct"/>
          </w:tcPr>
          <w:p w:rsidR="00B124FF" w:rsidRPr="00AF75CE" w:rsidRDefault="00B124FF" w:rsidP="005F32B8">
            <w:pPr>
              <w:jc w:val="both"/>
              <w:rPr>
                <w:sz w:val="20"/>
                <w:lang w:val="fr-CA"/>
              </w:rPr>
            </w:pPr>
            <w:r w:rsidRPr="00AF75CE">
              <w:rPr>
                <w:sz w:val="20"/>
                <w:lang w:val="fr-CA"/>
              </w:rPr>
              <w:t>Jugement accueillant en partie l’action contre Atco et statuant que le demandeur a le droit à la somme de 72 000 $, déduite des paiements préalables au procès</w:t>
            </w:r>
          </w:p>
          <w:p w:rsidR="00B124FF" w:rsidRPr="00AF75CE" w:rsidRDefault="00B124FF" w:rsidP="005F32B8">
            <w:pPr>
              <w:jc w:val="both"/>
              <w:rPr>
                <w:sz w:val="20"/>
                <w:lang w:val="fr-CA"/>
              </w:rPr>
            </w:pPr>
          </w:p>
        </w:tc>
      </w:tr>
      <w:tr w:rsidR="00B124FF" w:rsidRPr="00AF75CE" w:rsidTr="005F32B8">
        <w:tc>
          <w:tcPr>
            <w:tcW w:w="2427" w:type="pct"/>
            <w:gridSpan w:val="2"/>
          </w:tcPr>
          <w:p w:rsidR="00B124FF" w:rsidRPr="00AF75CE" w:rsidRDefault="00B124FF" w:rsidP="005F32B8">
            <w:pPr>
              <w:jc w:val="both"/>
              <w:rPr>
                <w:sz w:val="20"/>
                <w:lang w:val="fr-CA"/>
              </w:rPr>
            </w:pPr>
            <w:r w:rsidRPr="00AF75CE">
              <w:rPr>
                <w:sz w:val="20"/>
                <w:lang w:val="fr-CA"/>
              </w:rPr>
              <w:t>17 avril 2018</w:t>
            </w:r>
          </w:p>
          <w:p w:rsidR="00B124FF" w:rsidRPr="00AF75CE" w:rsidRDefault="00B124FF" w:rsidP="005F32B8">
            <w:pPr>
              <w:jc w:val="both"/>
              <w:rPr>
                <w:sz w:val="20"/>
                <w:lang w:val="fr-CA"/>
              </w:rPr>
            </w:pPr>
            <w:r w:rsidRPr="00AF75CE">
              <w:rPr>
                <w:sz w:val="20"/>
                <w:lang w:val="fr-CA"/>
              </w:rPr>
              <w:t>Cour d’appel de l’Alberta (Edmonton)</w:t>
            </w:r>
          </w:p>
          <w:p w:rsidR="00B124FF" w:rsidRPr="00AF75CE" w:rsidRDefault="00B124FF" w:rsidP="005F32B8">
            <w:pPr>
              <w:jc w:val="both"/>
              <w:rPr>
                <w:sz w:val="20"/>
                <w:lang w:val="fr-CA"/>
              </w:rPr>
            </w:pPr>
            <w:r w:rsidRPr="00AF75CE">
              <w:rPr>
                <w:sz w:val="20"/>
                <w:lang w:val="fr-CA"/>
              </w:rPr>
              <w:t>(Juges Watson, Veldhuis et Crighton)</w:t>
            </w:r>
          </w:p>
          <w:p w:rsidR="00B124FF" w:rsidRPr="00AF75CE" w:rsidRDefault="00B124FF" w:rsidP="005F32B8">
            <w:pPr>
              <w:jc w:val="both"/>
              <w:rPr>
                <w:sz w:val="20"/>
                <w:lang w:val="fr-CA"/>
              </w:rPr>
            </w:pPr>
            <w:r w:rsidRPr="00AF75CE">
              <w:rPr>
                <w:sz w:val="20"/>
                <w:lang w:val="fr-CA"/>
              </w:rPr>
              <w:lastRenderedPageBreak/>
              <w:t xml:space="preserve">Référence neutre : </w:t>
            </w:r>
            <w:hyperlink r:id="rId86" w:history="1">
              <w:r w:rsidRPr="00AF75CE">
                <w:rPr>
                  <w:rStyle w:val="Hyperlink"/>
                  <w:sz w:val="20"/>
                  <w:lang w:val="fr-CA"/>
                </w:rPr>
                <w:t>2018 ABCA 146</w:t>
              </w:r>
            </w:hyperlink>
          </w:p>
          <w:p w:rsidR="00B124FF" w:rsidRPr="00AF75CE" w:rsidRDefault="00B124FF" w:rsidP="005F32B8">
            <w:pPr>
              <w:jc w:val="both"/>
              <w:rPr>
                <w:sz w:val="20"/>
                <w:lang w:val="fr-CA"/>
              </w:rPr>
            </w:pPr>
          </w:p>
        </w:tc>
        <w:tc>
          <w:tcPr>
            <w:tcW w:w="243" w:type="pct"/>
          </w:tcPr>
          <w:p w:rsidR="00B124FF" w:rsidRPr="00AF75CE" w:rsidRDefault="00B124FF" w:rsidP="005F32B8">
            <w:pPr>
              <w:jc w:val="both"/>
              <w:rPr>
                <w:sz w:val="20"/>
                <w:lang w:val="fr-CA"/>
              </w:rPr>
            </w:pPr>
          </w:p>
        </w:tc>
        <w:tc>
          <w:tcPr>
            <w:tcW w:w="2330" w:type="pct"/>
          </w:tcPr>
          <w:p w:rsidR="00B124FF" w:rsidRPr="00AF75CE" w:rsidRDefault="00B124FF" w:rsidP="005F32B8">
            <w:pPr>
              <w:jc w:val="both"/>
              <w:rPr>
                <w:sz w:val="20"/>
                <w:lang w:val="fr-CA"/>
              </w:rPr>
            </w:pPr>
            <w:r w:rsidRPr="00AF75CE">
              <w:rPr>
                <w:sz w:val="20"/>
                <w:lang w:val="fr-CA"/>
              </w:rPr>
              <w:t>Rejet de l’appel</w:t>
            </w:r>
          </w:p>
          <w:p w:rsidR="00B124FF" w:rsidRPr="00AF75CE" w:rsidRDefault="00B124FF" w:rsidP="005F32B8">
            <w:pPr>
              <w:jc w:val="both"/>
              <w:rPr>
                <w:sz w:val="20"/>
                <w:lang w:val="fr-CA"/>
              </w:rPr>
            </w:pPr>
          </w:p>
        </w:tc>
      </w:tr>
      <w:tr w:rsidR="00B124FF" w:rsidRPr="00CC0B55" w:rsidTr="005F32B8">
        <w:tc>
          <w:tcPr>
            <w:tcW w:w="2427" w:type="pct"/>
            <w:gridSpan w:val="2"/>
          </w:tcPr>
          <w:p w:rsidR="00B124FF" w:rsidRPr="00AF75CE" w:rsidRDefault="00B124FF" w:rsidP="005F32B8">
            <w:pPr>
              <w:jc w:val="both"/>
              <w:rPr>
                <w:sz w:val="20"/>
                <w:lang w:val="fr-CA"/>
              </w:rPr>
            </w:pPr>
            <w:r w:rsidRPr="00AF75CE">
              <w:rPr>
                <w:sz w:val="20"/>
                <w:lang w:val="fr-CA"/>
              </w:rPr>
              <w:t>18 juin 2018</w:t>
            </w:r>
          </w:p>
          <w:p w:rsidR="00B124FF" w:rsidRPr="00AF75CE" w:rsidRDefault="00B124FF" w:rsidP="005F32B8">
            <w:pPr>
              <w:jc w:val="both"/>
              <w:rPr>
                <w:sz w:val="20"/>
                <w:lang w:val="fr-CA"/>
              </w:rPr>
            </w:pPr>
            <w:r w:rsidRPr="00AF75CE">
              <w:rPr>
                <w:sz w:val="20"/>
                <w:lang w:val="fr-CA"/>
              </w:rPr>
              <w:t>Cour suprême du Canada</w:t>
            </w:r>
          </w:p>
        </w:tc>
        <w:tc>
          <w:tcPr>
            <w:tcW w:w="243" w:type="pct"/>
          </w:tcPr>
          <w:p w:rsidR="00B124FF" w:rsidRPr="00AF75CE" w:rsidRDefault="00B124FF" w:rsidP="005F32B8">
            <w:pPr>
              <w:jc w:val="both"/>
              <w:rPr>
                <w:sz w:val="20"/>
                <w:lang w:val="fr-CA"/>
              </w:rPr>
            </w:pPr>
          </w:p>
        </w:tc>
        <w:tc>
          <w:tcPr>
            <w:tcW w:w="2330" w:type="pct"/>
          </w:tcPr>
          <w:p w:rsidR="00B124FF" w:rsidRPr="00AF75CE" w:rsidRDefault="00B124FF" w:rsidP="005F32B8">
            <w:pPr>
              <w:jc w:val="both"/>
              <w:rPr>
                <w:sz w:val="20"/>
                <w:lang w:val="fr-CA"/>
              </w:rPr>
            </w:pPr>
            <w:r w:rsidRPr="00AF75CE">
              <w:rPr>
                <w:sz w:val="20"/>
                <w:lang w:val="fr-CA"/>
              </w:rPr>
              <w:t>Dépôt de la demande d’autorisation d’appel</w:t>
            </w:r>
          </w:p>
          <w:p w:rsidR="00B124FF" w:rsidRPr="00AF75CE" w:rsidRDefault="00B124FF" w:rsidP="005F32B8">
            <w:pPr>
              <w:jc w:val="both"/>
              <w:rPr>
                <w:sz w:val="20"/>
                <w:lang w:val="fr-CA"/>
              </w:rPr>
            </w:pPr>
          </w:p>
        </w:tc>
      </w:tr>
    </w:tbl>
    <w:p w:rsidR="00B124FF" w:rsidRPr="00AF75CE" w:rsidRDefault="00B124FF" w:rsidP="00B124FF">
      <w:pPr>
        <w:jc w:val="both"/>
        <w:rPr>
          <w:sz w:val="20"/>
          <w:lang w:val="fr-CA"/>
        </w:rPr>
      </w:pPr>
    </w:p>
    <w:p w:rsidR="00B124FF" w:rsidRDefault="00A24D5C" w:rsidP="00B124FF">
      <w:pPr>
        <w:ind w:left="142" w:hanging="142"/>
        <w:jc w:val="both"/>
        <w:rPr>
          <w:sz w:val="20"/>
          <w:lang w:val="fr-CA"/>
        </w:rPr>
      </w:pPr>
      <w:r>
        <w:rPr>
          <w:sz w:val="20"/>
          <w:szCs w:val="20"/>
        </w:rPr>
        <w:pict>
          <v:rect id="_x0000_i1051" style="width:2in;height:1pt" o:hrpct="0" o:hralign="center" o:hrstd="t" o:hrnoshade="t" o:hr="t" fillcolor="black [3213]" stroked="f"/>
        </w:pict>
      </w:r>
    </w:p>
    <w:p w:rsidR="00B124FF" w:rsidRPr="00AF75CE" w:rsidRDefault="00B124FF" w:rsidP="00B124FF">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124FF" w:rsidRPr="00AF75CE" w:rsidTr="005F32B8">
        <w:tc>
          <w:tcPr>
            <w:tcW w:w="543" w:type="pct"/>
          </w:tcPr>
          <w:p w:rsidR="00B124FF" w:rsidRPr="00AF75CE" w:rsidRDefault="00B124FF" w:rsidP="005F32B8">
            <w:pPr>
              <w:jc w:val="both"/>
              <w:rPr>
                <w:sz w:val="20"/>
              </w:rPr>
            </w:pPr>
            <w:r w:rsidRPr="00AF75CE">
              <w:rPr>
                <w:rStyle w:val="SCCFileNumberChar"/>
                <w:sz w:val="20"/>
                <w:szCs w:val="20"/>
              </w:rPr>
              <w:t>38167</w:t>
            </w:r>
          </w:p>
        </w:tc>
        <w:tc>
          <w:tcPr>
            <w:tcW w:w="4457" w:type="pct"/>
            <w:gridSpan w:val="3"/>
          </w:tcPr>
          <w:p w:rsidR="00B124FF" w:rsidRPr="00202CE2" w:rsidRDefault="00B124FF" w:rsidP="005F32B8">
            <w:pPr>
              <w:pStyle w:val="SCCLsocParty"/>
              <w:jc w:val="both"/>
              <w:rPr>
                <w:b/>
                <w:sz w:val="20"/>
                <w:szCs w:val="20"/>
                <w:lang w:val="en-CA"/>
              </w:rPr>
            </w:pPr>
            <w:r w:rsidRPr="00202CE2">
              <w:rPr>
                <w:b/>
                <w:sz w:val="20"/>
                <w:szCs w:val="20"/>
                <w:lang w:val="en-CA"/>
              </w:rPr>
              <w:t>Richard Champagne v. Attorney General of Canada</w:t>
            </w:r>
          </w:p>
          <w:p w:rsidR="00B124FF" w:rsidRPr="00AF75CE" w:rsidRDefault="00B124FF" w:rsidP="005F32B8">
            <w:pPr>
              <w:jc w:val="both"/>
              <w:rPr>
                <w:sz w:val="20"/>
              </w:rPr>
            </w:pPr>
            <w:r w:rsidRPr="00AF75CE">
              <w:rPr>
                <w:sz w:val="20"/>
              </w:rPr>
              <w:t>(F</w:t>
            </w:r>
            <w:r>
              <w:rPr>
                <w:sz w:val="20"/>
              </w:rPr>
              <w:t>.</w:t>
            </w:r>
            <w:r w:rsidRPr="00AF75CE">
              <w:rPr>
                <w:sz w:val="20"/>
              </w:rPr>
              <w:t>C</w:t>
            </w:r>
            <w:r>
              <w:rPr>
                <w:sz w:val="20"/>
              </w:rPr>
              <w:t>.</w:t>
            </w:r>
            <w:r w:rsidRPr="00AF75CE">
              <w:rPr>
                <w:sz w:val="20"/>
              </w:rPr>
              <w:t>) (Civil) (By Leave)</w:t>
            </w:r>
          </w:p>
        </w:tc>
      </w:tr>
      <w:tr w:rsidR="00B124FF" w:rsidRPr="00EF6B8A" w:rsidTr="005F32B8">
        <w:tc>
          <w:tcPr>
            <w:tcW w:w="5000" w:type="pct"/>
            <w:gridSpan w:val="4"/>
          </w:tcPr>
          <w:p w:rsidR="00B124FF" w:rsidRDefault="00B124FF" w:rsidP="005F32B8">
            <w:pPr>
              <w:jc w:val="both"/>
              <w:rPr>
                <w:sz w:val="20"/>
                <w:lang w:val="en-US"/>
              </w:rPr>
            </w:pPr>
            <w:r w:rsidRPr="00C11FF6">
              <w:rPr>
                <w:sz w:val="20"/>
                <w:lang w:val="en-US"/>
              </w:rPr>
              <w:t>The application for leave to appeal from the judgment of the Federal Court of Appeal, Number A-245-17, 2018 FCA 79, dated April 17, 2018, is dismissed without costs.</w:t>
            </w:r>
          </w:p>
          <w:p w:rsidR="00B124FF" w:rsidRPr="00EF6B8A" w:rsidRDefault="00B124FF" w:rsidP="005F32B8">
            <w:pPr>
              <w:jc w:val="both"/>
              <w:rPr>
                <w:sz w:val="20"/>
                <w:lang w:val="en-US"/>
              </w:rPr>
            </w:pPr>
          </w:p>
        </w:tc>
      </w:tr>
      <w:tr w:rsidR="00B124FF" w:rsidRPr="00AF75CE" w:rsidTr="005F32B8">
        <w:tc>
          <w:tcPr>
            <w:tcW w:w="5000" w:type="pct"/>
            <w:gridSpan w:val="4"/>
          </w:tcPr>
          <w:p w:rsidR="00B124FF" w:rsidRPr="00AF75CE" w:rsidRDefault="00B124FF" w:rsidP="005F32B8">
            <w:pPr>
              <w:jc w:val="both"/>
              <w:rPr>
                <w:sz w:val="20"/>
              </w:rPr>
            </w:pPr>
            <w:r w:rsidRPr="00AF75CE">
              <w:rPr>
                <w:sz w:val="20"/>
              </w:rPr>
              <w:t xml:space="preserve">Employment law – Employment insurance – Severance pay – Whether tribunal erred in law in deciding to allocate earnings paid to applicant by Air Canada under separation program in accordance with s. 36(9) of </w:t>
            </w:r>
            <w:r w:rsidRPr="00AF75CE">
              <w:rPr>
                <w:i/>
                <w:sz w:val="20"/>
              </w:rPr>
              <w:t>Employment Insurance Regulations</w:t>
            </w:r>
            <w:r w:rsidRPr="00AF75CE">
              <w:rPr>
                <w:sz w:val="20"/>
              </w:rPr>
              <w:t xml:space="preserve">, and as of March 2012 – </w:t>
            </w:r>
            <w:r w:rsidRPr="00AF75CE">
              <w:rPr>
                <w:i/>
                <w:sz w:val="20"/>
              </w:rPr>
              <w:t>Employment Insurance Regulations</w:t>
            </w:r>
            <w:r w:rsidRPr="00AF75CE">
              <w:rPr>
                <w:sz w:val="20"/>
              </w:rPr>
              <w:t>, SOR/96-332, s. 36(9) and 36(19)</w:t>
            </w:r>
          </w:p>
        </w:tc>
      </w:tr>
      <w:tr w:rsidR="00B124FF" w:rsidRPr="00AF75CE" w:rsidTr="005F32B8">
        <w:tc>
          <w:tcPr>
            <w:tcW w:w="5000" w:type="pct"/>
            <w:gridSpan w:val="4"/>
          </w:tcPr>
          <w:p w:rsidR="00B124FF" w:rsidRPr="00AF75CE" w:rsidRDefault="00B124FF" w:rsidP="005F32B8">
            <w:pPr>
              <w:jc w:val="both"/>
              <w:rPr>
                <w:sz w:val="20"/>
              </w:rPr>
            </w:pPr>
          </w:p>
          <w:p w:rsidR="00B124FF" w:rsidRPr="00AF75CE" w:rsidRDefault="00B124FF" w:rsidP="005F32B8">
            <w:pPr>
              <w:jc w:val="both"/>
              <w:rPr>
                <w:sz w:val="20"/>
              </w:rPr>
            </w:pPr>
            <w:r w:rsidRPr="00AF75CE">
              <w:rPr>
                <w:sz w:val="20"/>
              </w:rPr>
              <w:t>In transferring certain of its employees, including the applicant, Mr. Champagne, to Aveos in July 2011, Air Canada undertook as part of a separation program to pay severance pay in the event, in particular, of lay-offs. In March 2012, Aveos became insolvent, and Mr. Champagne’s employment was terminated. The severance pay he received was then allocated as of March 2012, which he contested.</w:t>
            </w:r>
          </w:p>
          <w:p w:rsidR="00B124FF" w:rsidRPr="00AF75CE" w:rsidRDefault="00B124FF" w:rsidP="005F32B8">
            <w:pPr>
              <w:jc w:val="both"/>
              <w:rPr>
                <w:sz w:val="20"/>
              </w:rPr>
            </w:pPr>
          </w:p>
          <w:p w:rsidR="00B124FF" w:rsidRPr="00AF75CE" w:rsidRDefault="00B124FF" w:rsidP="005F32B8">
            <w:pPr>
              <w:jc w:val="both"/>
              <w:rPr>
                <w:sz w:val="20"/>
              </w:rPr>
            </w:pPr>
            <w:r w:rsidRPr="00AF75CE">
              <w:rPr>
                <w:sz w:val="20"/>
              </w:rPr>
              <w:t xml:space="preserve">The board of referees allowed Mr. Champagne’s appeal and concluded that the severance pay should be allocated as of the date he ceased working at Air Canada in July 2011, not the date he ceased working at Aveos. The Social Security Tribunal of Canada allowed an appeal by the Canada Employment Insurance Commission from that decision. In the tribunal’s opinion, the severance payments should be allocated in accordance with s. 36(9) of the </w:t>
            </w:r>
            <w:r w:rsidRPr="00AF75CE">
              <w:rPr>
                <w:i/>
                <w:sz w:val="20"/>
              </w:rPr>
              <w:t>Employment Insurance Regulations</w:t>
            </w:r>
            <w:r w:rsidRPr="00AF75CE">
              <w:rPr>
                <w:sz w:val="20"/>
              </w:rPr>
              <w:t xml:space="preserve">, beginning with the week of the termination or lay-off by Aveos. The Federal Court of Appeal dismissed an application for judicial review by Mr. Champagne against the Attorney General of Canada. It considered the conclusions of the Social Security Tribunal of Canada to be reasonable. </w:t>
            </w:r>
          </w:p>
        </w:tc>
      </w:tr>
      <w:tr w:rsidR="00B124FF" w:rsidRPr="00AF75CE" w:rsidTr="005F32B8">
        <w:tc>
          <w:tcPr>
            <w:tcW w:w="5000" w:type="pct"/>
            <w:gridSpan w:val="4"/>
          </w:tcPr>
          <w:p w:rsidR="00B124FF" w:rsidRPr="00AF75CE" w:rsidRDefault="00B124FF" w:rsidP="005F32B8">
            <w:pPr>
              <w:jc w:val="both"/>
              <w:rPr>
                <w:sz w:val="20"/>
              </w:rPr>
            </w:pPr>
          </w:p>
        </w:tc>
      </w:tr>
      <w:tr w:rsidR="00B124FF" w:rsidRPr="00AF75CE" w:rsidTr="005F32B8">
        <w:tc>
          <w:tcPr>
            <w:tcW w:w="2427" w:type="pct"/>
            <w:gridSpan w:val="2"/>
          </w:tcPr>
          <w:p w:rsidR="00B124FF" w:rsidRPr="00AF75CE" w:rsidRDefault="00B124FF" w:rsidP="005F32B8">
            <w:pPr>
              <w:jc w:val="both"/>
              <w:rPr>
                <w:sz w:val="20"/>
              </w:rPr>
            </w:pPr>
            <w:r w:rsidRPr="00AF75CE">
              <w:rPr>
                <w:sz w:val="20"/>
              </w:rPr>
              <w:t>August 21, 2013</w:t>
            </w:r>
          </w:p>
          <w:p w:rsidR="00B124FF" w:rsidRPr="00AF75CE" w:rsidRDefault="00B124FF" w:rsidP="005F32B8">
            <w:pPr>
              <w:jc w:val="both"/>
              <w:rPr>
                <w:sz w:val="20"/>
              </w:rPr>
            </w:pPr>
            <w:r w:rsidRPr="00AF75CE">
              <w:rPr>
                <w:sz w:val="20"/>
              </w:rPr>
              <w:t>Board of Referees, Employment Insurance</w:t>
            </w:r>
          </w:p>
          <w:p w:rsidR="00B124FF" w:rsidRPr="00AF75CE" w:rsidRDefault="00B124FF" w:rsidP="005F32B8">
            <w:pPr>
              <w:jc w:val="both"/>
              <w:rPr>
                <w:sz w:val="20"/>
              </w:rPr>
            </w:pPr>
            <w:r w:rsidRPr="00AF75CE">
              <w:rPr>
                <w:sz w:val="20"/>
              </w:rPr>
              <w:t>(Chairperson C.A.G. Joncas)</w:t>
            </w:r>
          </w:p>
          <w:p w:rsidR="00B124FF" w:rsidRPr="00AF75CE" w:rsidRDefault="00B124FF" w:rsidP="005F32B8">
            <w:pPr>
              <w:jc w:val="both"/>
              <w:rPr>
                <w:sz w:val="20"/>
              </w:rPr>
            </w:pPr>
          </w:p>
        </w:tc>
        <w:tc>
          <w:tcPr>
            <w:tcW w:w="243" w:type="pct"/>
          </w:tcPr>
          <w:p w:rsidR="00B124FF" w:rsidRPr="00AF75CE" w:rsidRDefault="00B124FF" w:rsidP="005F32B8">
            <w:pPr>
              <w:jc w:val="both"/>
              <w:rPr>
                <w:sz w:val="20"/>
              </w:rPr>
            </w:pPr>
          </w:p>
        </w:tc>
        <w:tc>
          <w:tcPr>
            <w:tcW w:w="2330" w:type="pct"/>
          </w:tcPr>
          <w:p w:rsidR="00B124FF" w:rsidRPr="00AF75CE" w:rsidRDefault="00B124FF" w:rsidP="005F32B8">
            <w:pPr>
              <w:jc w:val="both"/>
              <w:rPr>
                <w:sz w:val="20"/>
              </w:rPr>
            </w:pPr>
            <w:r w:rsidRPr="00AF75CE">
              <w:rPr>
                <w:sz w:val="20"/>
              </w:rPr>
              <w:t>Allocation of earnings owed to applicant advanced to July 2011</w:t>
            </w:r>
          </w:p>
        </w:tc>
      </w:tr>
      <w:tr w:rsidR="00B124FF" w:rsidRPr="00AF75CE" w:rsidTr="005F32B8">
        <w:tc>
          <w:tcPr>
            <w:tcW w:w="2427" w:type="pct"/>
            <w:gridSpan w:val="2"/>
          </w:tcPr>
          <w:p w:rsidR="00B124FF" w:rsidRPr="00AF75CE" w:rsidRDefault="00B124FF" w:rsidP="005F32B8">
            <w:pPr>
              <w:jc w:val="both"/>
              <w:rPr>
                <w:sz w:val="20"/>
              </w:rPr>
            </w:pPr>
            <w:r w:rsidRPr="00AF75CE">
              <w:rPr>
                <w:sz w:val="20"/>
              </w:rPr>
              <w:t>January 16, 2017</w:t>
            </w:r>
          </w:p>
          <w:p w:rsidR="00B124FF" w:rsidRPr="00AF75CE" w:rsidRDefault="00B124FF" w:rsidP="005F32B8">
            <w:pPr>
              <w:jc w:val="both"/>
              <w:rPr>
                <w:sz w:val="20"/>
              </w:rPr>
            </w:pPr>
            <w:r w:rsidRPr="00AF75CE">
              <w:rPr>
                <w:sz w:val="20"/>
              </w:rPr>
              <w:t>Social Security Tribunal of Canada</w:t>
            </w:r>
          </w:p>
          <w:p w:rsidR="00B124FF" w:rsidRPr="00AF75CE" w:rsidRDefault="00B124FF" w:rsidP="005F32B8">
            <w:pPr>
              <w:jc w:val="both"/>
              <w:rPr>
                <w:sz w:val="20"/>
              </w:rPr>
            </w:pPr>
            <w:r w:rsidRPr="00AF75CE">
              <w:rPr>
                <w:sz w:val="20"/>
              </w:rPr>
              <w:t>(Member Pierre Lafontaine)</w:t>
            </w:r>
          </w:p>
          <w:p w:rsidR="00B124FF" w:rsidRPr="00AF75CE" w:rsidRDefault="00B124FF" w:rsidP="005F32B8">
            <w:pPr>
              <w:jc w:val="both"/>
              <w:rPr>
                <w:sz w:val="20"/>
              </w:rPr>
            </w:pPr>
            <w:r w:rsidRPr="00AF75CE">
              <w:rPr>
                <w:sz w:val="20"/>
              </w:rPr>
              <w:t>AD-13-1187</w:t>
            </w:r>
          </w:p>
          <w:p w:rsidR="00B124FF" w:rsidRPr="00AF75CE" w:rsidRDefault="00B124FF" w:rsidP="005F32B8">
            <w:pPr>
              <w:jc w:val="both"/>
              <w:rPr>
                <w:sz w:val="20"/>
              </w:rPr>
            </w:pPr>
          </w:p>
        </w:tc>
        <w:tc>
          <w:tcPr>
            <w:tcW w:w="243" w:type="pct"/>
          </w:tcPr>
          <w:p w:rsidR="00B124FF" w:rsidRPr="00AF75CE" w:rsidRDefault="00B124FF" w:rsidP="005F32B8">
            <w:pPr>
              <w:jc w:val="both"/>
              <w:rPr>
                <w:sz w:val="20"/>
              </w:rPr>
            </w:pPr>
          </w:p>
        </w:tc>
        <w:tc>
          <w:tcPr>
            <w:tcW w:w="2330" w:type="pct"/>
          </w:tcPr>
          <w:p w:rsidR="00B124FF" w:rsidRPr="00AF75CE" w:rsidRDefault="00B124FF" w:rsidP="005F32B8">
            <w:pPr>
              <w:jc w:val="both"/>
              <w:rPr>
                <w:sz w:val="20"/>
              </w:rPr>
            </w:pPr>
            <w:r w:rsidRPr="00AF75CE">
              <w:rPr>
                <w:sz w:val="20"/>
              </w:rPr>
              <w:t>Appeal of Employment Insurance Commission allowed, earnings owed to applicant allocated as of March 2012</w:t>
            </w:r>
          </w:p>
          <w:p w:rsidR="00B124FF" w:rsidRPr="00AF75CE" w:rsidRDefault="00B124FF" w:rsidP="005F32B8">
            <w:pPr>
              <w:jc w:val="both"/>
              <w:rPr>
                <w:sz w:val="20"/>
              </w:rPr>
            </w:pPr>
          </w:p>
        </w:tc>
      </w:tr>
      <w:tr w:rsidR="00B124FF" w:rsidRPr="00AF75CE" w:rsidTr="005F32B8">
        <w:tc>
          <w:tcPr>
            <w:tcW w:w="2427" w:type="pct"/>
            <w:gridSpan w:val="2"/>
          </w:tcPr>
          <w:p w:rsidR="00B124FF" w:rsidRPr="00AF75CE" w:rsidRDefault="00B124FF" w:rsidP="005F32B8">
            <w:pPr>
              <w:jc w:val="both"/>
              <w:rPr>
                <w:sz w:val="20"/>
              </w:rPr>
            </w:pPr>
            <w:r w:rsidRPr="00AF75CE">
              <w:rPr>
                <w:sz w:val="20"/>
              </w:rPr>
              <w:t>April 17, 2018</w:t>
            </w:r>
          </w:p>
          <w:p w:rsidR="00B124FF" w:rsidRPr="00AF75CE" w:rsidRDefault="00B124FF" w:rsidP="005F32B8">
            <w:pPr>
              <w:jc w:val="both"/>
              <w:rPr>
                <w:sz w:val="20"/>
              </w:rPr>
            </w:pPr>
            <w:r w:rsidRPr="00AF75CE">
              <w:rPr>
                <w:sz w:val="20"/>
              </w:rPr>
              <w:t>Federal Court of Appeal</w:t>
            </w:r>
          </w:p>
          <w:p w:rsidR="00B124FF" w:rsidRPr="00AF75CE" w:rsidRDefault="00B124FF" w:rsidP="005F32B8">
            <w:pPr>
              <w:jc w:val="both"/>
              <w:rPr>
                <w:sz w:val="20"/>
              </w:rPr>
            </w:pPr>
            <w:r w:rsidRPr="00AF75CE">
              <w:rPr>
                <w:sz w:val="20"/>
              </w:rPr>
              <w:t>(Nadon, Blais and de Montigny JJ.A.)</w:t>
            </w:r>
          </w:p>
          <w:p w:rsidR="00B124FF" w:rsidRPr="00AF75CE" w:rsidRDefault="00A24D5C" w:rsidP="005F32B8">
            <w:pPr>
              <w:jc w:val="both"/>
              <w:rPr>
                <w:sz w:val="20"/>
              </w:rPr>
            </w:pPr>
            <w:hyperlink r:id="rId87" w:history="1">
              <w:r w:rsidR="00B124FF" w:rsidRPr="00AF75CE">
                <w:rPr>
                  <w:rStyle w:val="Hyperlink"/>
                  <w:sz w:val="20"/>
                </w:rPr>
                <w:t>2018 FCA 79</w:t>
              </w:r>
            </w:hyperlink>
          </w:p>
          <w:p w:rsidR="00B124FF" w:rsidRPr="00AF75CE" w:rsidRDefault="00B124FF" w:rsidP="005F32B8">
            <w:pPr>
              <w:jc w:val="both"/>
              <w:rPr>
                <w:sz w:val="20"/>
              </w:rPr>
            </w:pPr>
          </w:p>
        </w:tc>
        <w:tc>
          <w:tcPr>
            <w:tcW w:w="243" w:type="pct"/>
          </w:tcPr>
          <w:p w:rsidR="00B124FF" w:rsidRPr="00AF75CE" w:rsidRDefault="00B124FF" w:rsidP="005F32B8">
            <w:pPr>
              <w:jc w:val="both"/>
              <w:rPr>
                <w:sz w:val="20"/>
              </w:rPr>
            </w:pPr>
          </w:p>
        </w:tc>
        <w:tc>
          <w:tcPr>
            <w:tcW w:w="2330" w:type="pct"/>
          </w:tcPr>
          <w:p w:rsidR="00B124FF" w:rsidRPr="00AF75CE" w:rsidRDefault="00B124FF" w:rsidP="005F32B8">
            <w:pPr>
              <w:jc w:val="both"/>
              <w:rPr>
                <w:sz w:val="20"/>
              </w:rPr>
            </w:pPr>
            <w:r w:rsidRPr="00AF75CE">
              <w:rPr>
                <w:sz w:val="20"/>
              </w:rPr>
              <w:t>Applicant’s application for judicial review dismissed</w:t>
            </w:r>
          </w:p>
          <w:p w:rsidR="00B124FF" w:rsidRPr="00AF75CE" w:rsidRDefault="00B124FF" w:rsidP="005F32B8">
            <w:pPr>
              <w:jc w:val="both"/>
              <w:rPr>
                <w:sz w:val="20"/>
              </w:rPr>
            </w:pPr>
          </w:p>
        </w:tc>
      </w:tr>
      <w:tr w:rsidR="00B124FF" w:rsidRPr="00AF75CE" w:rsidTr="005F32B8">
        <w:tc>
          <w:tcPr>
            <w:tcW w:w="2427" w:type="pct"/>
            <w:gridSpan w:val="2"/>
          </w:tcPr>
          <w:p w:rsidR="00B124FF" w:rsidRPr="00AF75CE" w:rsidRDefault="00B124FF" w:rsidP="005F32B8">
            <w:pPr>
              <w:jc w:val="both"/>
              <w:rPr>
                <w:sz w:val="20"/>
              </w:rPr>
            </w:pPr>
            <w:r w:rsidRPr="00AF75CE">
              <w:rPr>
                <w:sz w:val="20"/>
              </w:rPr>
              <w:t>June 8, 2018</w:t>
            </w:r>
          </w:p>
          <w:p w:rsidR="00B124FF" w:rsidRPr="00AF75CE" w:rsidRDefault="00B124FF" w:rsidP="005F32B8">
            <w:pPr>
              <w:jc w:val="both"/>
              <w:rPr>
                <w:sz w:val="20"/>
              </w:rPr>
            </w:pPr>
            <w:r w:rsidRPr="00AF75CE">
              <w:rPr>
                <w:sz w:val="20"/>
              </w:rPr>
              <w:t>Supreme Court of Canada</w:t>
            </w:r>
          </w:p>
        </w:tc>
        <w:tc>
          <w:tcPr>
            <w:tcW w:w="243" w:type="pct"/>
          </w:tcPr>
          <w:p w:rsidR="00B124FF" w:rsidRPr="00AF75CE" w:rsidRDefault="00B124FF" w:rsidP="005F32B8">
            <w:pPr>
              <w:jc w:val="both"/>
              <w:rPr>
                <w:sz w:val="20"/>
              </w:rPr>
            </w:pPr>
          </w:p>
        </w:tc>
        <w:tc>
          <w:tcPr>
            <w:tcW w:w="2330" w:type="pct"/>
          </w:tcPr>
          <w:p w:rsidR="00B124FF" w:rsidRPr="00AF75CE" w:rsidRDefault="00B124FF" w:rsidP="005F32B8">
            <w:pPr>
              <w:jc w:val="both"/>
              <w:rPr>
                <w:sz w:val="20"/>
              </w:rPr>
            </w:pPr>
            <w:r w:rsidRPr="00AF75CE">
              <w:rPr>
                <w:sz w:val="20"/>
              </w:rPr>
              <w:t>Application for leave to appeal filed</w:t>
            </w:r>
          </w:p>
          <w:p w:rsidR="00B124FF" w:rsidRPr="00AF75CE" w:rsidRDefault="00B124FF" w:rsidP="005F32B8">
            <w:pPr>
              <w:jc w:val="both"/>
              <w:rPr>
                <w:sz w:val="20"/>
              </w:rPr>
            </w:pPr>
          </w:p>
        </w:tc>
      </w:tr>
    </w:tbl>
    <w:p w:rsidR="00B124FF" w:rsidRDefault="00B124FF" w:rsidP="00B124FF">
      <w:pPr>
        <w:jc w:val="both"/>
        <w:rPr>
          <w:sz w:val="20"/>
        </w:rPr>
      </w:pPr>
    </w:p>
    <w:p w:rsidR="009E2C1C" w:rsidRDefault="009E2C1C">
      <w:pPr>
        <w:rPr>
          <w:sz w:val="20"/>
        </w:rPr>
      </w:pPr>
      <w:r>
        <w:rPr>
          <w:sz w:val="20"/>
        </w:rPr>
        <w:br w:type="page"/>
      </w:r>
    </w:p>
    <w:p w:rsidR="00B124FF" w:rsidRPr="00AF75CE" w:rsidRDefault="00B124FF" w:rsidP="00B124F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124FF" w:rsidRPr="00560852" w:rsidTr="005F32B8">
        <w:tc>
          <w:tcPr>
            <w:tcW w:w="543" w:type="pct"/>
          </w:tcPr>
          <w:p w:rsidR="00B124FF" w:rsidRPr="00AF75CE" w:rsidRDefault="00B124FF" w:rsidP="005F32B8">
            <w:pPr>
              <w:jc w:val="both"/>
              <w:rPr>
                <w:sz w:val="20"/>
              </w:rPr>
            </w:pPr>
            <w:r w:rsidRPr="00AF75CE">
              <w:rPr>
                <w:rStyle w:val="SCCFileNumberChar"/>
                <w:sz w:val="20"/>
                <w:szCs w:val="20"/>
              </w:rPr>
              <w:t>38167</w:t>
            </w:r>
          </w:p>
        </w:tc>
        <w:tc>
          <w:tcPr>
            <w:tcW w:w="4457" w:type="pct"/>
            <w:gridSpan w:val="3"/>
          </w:tcPr>
          <w:p w:rsidR="00B124FF" w:rsidRPr="00202CE2" w:rsidRDefault="00B124FF" w:rsidP="005F32B8">
            <w:pPr>
              <w:pStyle w:val="SCCLsocParty"/>
              <w:jc w:val="both"/>
              <w:rPr>
                <w:b/>
                <w:sz w:val="20"/>
                <w:szCs w:val="20"/>
              </w:rPr>
            </w:pPr>
            <w:r w:rsidRPr="00202CE2">
              <w:rPr>
                <w:b/>
                <w:sz w:val="20"/>
                <w:szCs w:val="20"/>
              </w:rPr>
              <w:t>Richard Champagne c. Procureur général du Canada</w:t>
            </w:r>
          </w:p>
          <w:p w:rsidR="00B124FF" w:rsidRPr="00560852" w:rsidRDefault="00B124FF" w:rsidP="005F32B8">
            <w:pPr>
              <w:jc w:val="both"/>
              <w:rPr>
                <w:sz w:val="20"/>
                <w:lang w:val="fr-CA"/>
              </w:rPr>
            </w:pPr>
            <w:r w:rsidRPr="00560852">
              <w:rPr>
                <w:sz w:val="20"/>
                <w:lang w:val="fr-CA"/>
              </w:rPr>
              <w:t>(C.F.) (Civile) (Autorisation)</w:t>
            </w:r>
          </w:p>
        </w:tc>
      </w:tr>
      <w:tr w:rsidR="00B124FF" w:rsidRPr="00CC0B55" w:rsidTr="005F32B8">
        <w:tc>
          <w:tcPr>
            <w:tcW w:w="5000" w:type="pct"/>
            <w:gridSpan w:val="4"/>
          </w:tcPr>
          <w:p w:rsidR="00B124FF" w:rsidRDefault="00B124FF" w:rsidP="005F32B8">
            <w:pPr>
              <w:jc w:val="both"/>
              <w:rPr>
                <w:sz w:val="20"/>
                <w:lang w:val="fr-CA"/>
              </w:rPr>
            </w:pPr>
            <w:r w:rsidRPr="00C11FF6">
              <w:rPr>
                <w:sz w:val="20"/>
                <w:lang w:val="fr-CA"/>
              </w:rPr>
              <w:t>La demande d’autorisation d’appel de l’arrêt de la Cour d’appel fédérale, numéro A-245-17, 2018 CAF 79, daté du 17 avril 2018, est rejetée sans dépens.</w:t>
            </w:r>
          </w:p>
          <w:p w:rsidR="00B124FF" w:rsidRPr="00EF6B8A" w:rsidRDefault="00B124FF" w:rsidP="005F32B8">
            <w:pPr>
              <w:jc w:val="both"/>
              <w:rPr>
                <w:sz w:val="20"/>
                <w:lang w:val="fr-CA"/>
              </w:rPr>
            </w:pPr>
          </w:p>
          <w:p w:rsidR="00B124FF" w:rsidRPr="00EF6B8A" w:rsidRDefault="00B124FF" w:rsidP="005F32B8">
            <w:pPr>
              <w:jc w:val="both"/>
              <w:rPr>
                <w:sz w:val="20"/>
                <w:lang w:val="fr-CA"/>
              </w:rPr>
            </w:pPr>
          </w:p>
        </w:tc>
      </w:tr>
      <w:tr w:rsidR="00B124FF" w:rsidRPr="00CC0B55" w:rsidTr="005F32B8">
        <w:tc>
          <w:tcPr>
            <w:tcW w:w="5000" w:type="pct"/>
            <w:gridSpan w:val="4"/>
          </w:tcPr>
          <w:p w:rsidR="00B124FF" w:rsidRPr="00AF75CE" w:rsidRDefault="00B124FF" w:rsidP="005F32B8">
            <w:pPr>
              <w:jc w:val="both"/>
              <w:rPr>
                <w:sz w:val="20"/>
                <w:lang w:val="fr-CA"/>
              </w:rPr>
            </w:pPr>
            <w:r w:rsidRPr="00AF75CE">
              <w:rPr>
                <w:sz w:val="20"/>
                <w:lang w:val="fr-CA"/>
              </w:rPr>
              <w:t xml:space="preserve">Droit de l’emploi – Assurance-emploi – Indemnité de départ – Est-ce que le tribunal a erré en droit en décidant de répartir la rémunération versée par Air Canada au demandeur, conformément au Programme de cessation d’emploi, en vertu du par  36(9) du </w:t>
            </w:r>
            <w:r w:rsidRPr="00AF75CE">
              <w:rPr>
                <w:i/>
                <w:sz w:val="20"/>
                <w:lang w:val="fr-CA"/>
              </w:rPr>
              <w:t>Règlement sur l’assurance-emploi</w:t>
            </w:r>
            <w:r w:rsidRPr="00AF75CE">
              <w:rPr>
                <w:sz w:val="20"/>
                <w:lang w:val="fr-CA"/>
              </w:rPr>
              <w:t xml:space="preserve">, et ce, à compter de mars 2012? – </w:t>
            </w:r>
            <w:r w:rsidRPr="00AF75CE">
              <w:rPr>
                <w:i/>
                <w:sz w:val="20"/>
                <w:lang w:val="fr-CA"/>
              </w:rPr>
              <w:t>Règlement sur l’assurance-emploi</w:t>
            </w:r>
            <w:r w:rsidRPr="00AF75CE">
              <w:rPr>
                <w:sz w:val="20"/>
                <w:lang w:val="fr-CA"/>
              </w:rPr>
              <w:t>, DORS/96-332, par. 36(9) et 36(19)</w:t>
            </w:r>
          </w:p>
        </w:tc>
      </w:tr>
      <w:tr w:rsidR="00B124FF" w:rsidRPr="00CC0B55" w:rsidTr="005F32B8">
        <w:tc>
          <w:tcPr>
            <w:tcW w:w="5000" w:type="pct"/>
            <w:gridSpan w:val="4"/>
          </w:tcPr>
          <w:p w:rsidR="00B124FF" w:rsidRPr="00AF75CE" w:rsidRDefault="00B124FF" w:rsidP="005F32B8">
            <w:pPr>
              <w:jc w:val="both"/>
              <w:rPr>
                <w:sz w:val="20"/>
                <w:lang w:val="fr-CA"/>
              </w:rPr>
            </w:pPr>
          </w:p>
          <w:p w:rsidR="00B124FF" w:rsidRPr="00AF75CE" w:rsidRDefault="00B124FF" w:rsidP="005F32B8">
            <w:pPr>
              <w:jc w:val="both"/>
              <w:rPr>
                <w:sz w:val="20"/>
                <w:lang w:val="fr-CA"/>
              </w:rPr>
            </w:pPr>
            <w:r w:rsidRPr="00AF75CE">
              <w:rPr>
                <w:sz w:val="20"/>
                <w:lang w:val="fr-CA"/>
              </w:rPr>
              <w:t>Dans le cadre de la transition de certains employés d’Air Canada, dont le demandeur M. Champagne, chez Aveos, en juillet 2011, Air Canada s’oblige à travers un programme de cessation d’emploi, à payer des indemnités de départ, notamment en cas de mise à pied. En mars 2012, Aveos devient insolvable et il est mis fin à l’emploi de M. Champagne. L’indemnité de départ que reçoit ce dernier est alors répartie à compter du mois de mars 2012, ce qu’il conteste.</w:t>
            </w:r>
          </w:p>
          <w:p w:rsidR="00B124FF" w:rsidRPr="00AF75CE" w:rsidRDefault="00B124FF" w:rsidP="005F32B8">
            <w:pPr>
              <w:jc w:val="both"/>
              <w:rPr>
                <w:sz w:val="20"/>
                <w:lang w:val="fr-CA"/>
              </w:rPr>
            </w:pPr>
          </w:p>
          <w:p w:rsidR="00B124FF" w:rsidRPr="00AF75CE" w:rsidRDefault="00B124FF" w:rsidP="005F32B8">
            <w:pPr>
              <w:jc w:val="both"/>
              <w:rPr>
                <w:sz w:val="20"/>
                <w:lang w:val="fr-CA"/>
              </w:rPr>
            </w:pPr>
            <w:r w:rsidRPr="00AF75CE">
              <w:rPr>
                <w:sz w:val="20"/>
                <w:lang w:val="fr-CA"/>
              </w:rPr>
              <w:t xml:space="preserve">Le conseil arbitral accueille l’appel de M. Champagne et conclut que l’indemnité de départ devait être répartie à compter de la date de cessation d’emploi chez Air Canada en juillet 2011, plutôt qu’à la date de cessation d’emploi chez Aveos. Le Tribunal de la sécurité sociale du Canada accueille l’appel porté par la Commission de l’assurance-emploi du Canada de cette décision. Il est d’avis que il y a lieu de répartir les indemnités de départ de la manière prescrite au par. 36(9) du </w:t>
            </w:r>
            <w:r w:rsidRPr="00AF75CE">
              <w:rPr>
                <w:i/>
                <w:sz w:val="20"/>
                <w:lang w:val="fr-CA"/>
              </w:rPr>
              <w:t>Règlement sur l’assurance-emploi</w:t>
            </w:r>
            <w:r w:rsidRPr="00AF75CE">
              <w:rPr>
                <w:sz w:val="20"/>
                <w:lang w:val="fr-CA"/>
              </w:rPr>
              <w:t xml:space="preserve">, à partir de la semaine du licenciement ou de la mise à pied de chez Aveos. La Cour d’appel fédérale rejette la demande de contrôle judiciaire opposant M. Champagne au Procureur général du Canada. Elle estime que les conclusions du Tribunal de la sécurité sociale du Canada étaient raisonnables. </w:t>
            </w:r>
          </w:p>
        </w:tc>
      </w:tr>
      <w:tr w:rsidR="00B124FF" w:rsidRPr="00CC0B55" w:rsidTr="005F32B8">
        <w:tc>
          <w:tcPr>
            <w:tcW w:w="5000" w:type="pct"/>
            <w:gridSpan w:val="4"/>
          </w:tcPr>
          <w:p w:rsidR="00B124FF" w:rsidRPr="00AF75CE" w:rsidRDefault="00B124FF" w:rsidP="005F32B8">
            <w:pPr>
              <w:jc w:val="both"/>
              <w:rPr>
                <w:sz w:val="20"/>
                <w:lang w:val="fr-CA"/>
              </w:rPr>
            </w:pPr>
          </w:p>
        </w:tc>
      </w:tr>
      <w:tr w:rsidR="00B124FF" w:rsidRPr="00CC0B55" w:rsidTr="005F32B8">
        <w:tc>
          <w:tcPr>
            <w:tcW w:w="2427" w:type="pct"/>
            <w:gridSpan w:val="2"/>
          </w:tcPr>
          <w:p w:rsidR="00B124FF" w:rsidRPr="00AF75CE" w:rsidRDefault="00B124FF" w:rsidP="005F32B8">
            <w:pPr>
              <w:jc w:val="both"/>
              <w:rPr>
                <w:sz w:val="20"/>
                <w:lang w:val="fr-CA"/>
              </w:rPr>
            </w:pPr>
            <w:r w:rsidRPr="00AF75CE">
              <w:rPr>
                <w:sz w:val="20"/>
                <w:lang w:val="fr-CA"/>
              </w:rPr>
              <w:t>Le 21 août 2013</w:t>
            </w:r>
          </w:p>
          <w:p w:rsidR="00B124FF" w:rsidRPr="00AF75CE" w:rsidRDefault="00B124FF" w:rsidP="005F32B8">
            <w:pPr>
              <w:jc w:val="both"/>
              <w:rPr>
                <w:sz w:val="20"/>
                <w:lang w:val="fr-CA"/>
              </w:rPr>
            </w:pPr>
            <w:r w:rsidRPr="00AF75CE">
              <w:rPr>
                <w:sz w:val="20"/>
                <w:lang w:val="fr-CA"/>
              </w:rPr>
              <w:t>Conseil arbitral, assurance-emploi</w:t>
            </w:r>
          </w:p>
          <w:p w:rsidR="00B124FF" w:rsidRPr="00AF75CE" w:rsidRDefault="00B124FF" w:rsidP="005F32B8">
            <w:pPr>
              <w:jc w:val="both"/>
              <w:rPr>
                <w:sz w:val="20"/>
                <w:lang w:val="fr-CA"/>
              </w:rPr>
            </w:pPr>
            <w:r w:rsidRPr="00AF75CE">
              <w:rPr>
                <w:sz w:val="20"/>
                <w:lang w:val="fr-CA"/>
              </w:rPr>
              <w:t>(C.A.G. Joncas, président)</w:t>
            </w:r>
          </w:p>
          <w:p w:rsidR="00B124FF" w:rsidRPr="00AF75CE" w:rsidRDefault="00B124FF" w:rsidP="005F32B8">
            <w:pPr>
              <w:jc w:val="both"/>
              <w:rPr>
                <w:sz w:val="20"/>
                <w:lang w:val="fr-CA"/>
              </w:rPr>
            </w:pPr>
          </w:p>
        </w:tc>
        <w:tc>
          <w:tcPr>
            <w:tcW w:w="243" w:type="pct"/>
          </w:tcPr>
          <w:p w:rsidR="00B124FF" w:rsidRPr="00AF75CE" w:rsidRDefault="00B124FF" w:rsidP="005F32B8">
            <w:pPr>
              <w:jc w:val="both"/>
              <w:rPr>
                <w:sz w:val="20"/>
                <w:lang w:val="fr-CA"/>
              </w:rPr>
            </w:pPr>
          </w:p>
        </w:tc>
        <w:tc>
          <w:tcPr>
            <w:tcW w:w="2330" w:type="pct"/>
          </w:tcPr>
          <w:p w:rsidR="00B124FF" w:rsidRPr="00AF75CE" w:rsidRDefault="00B124FF" w:rsidP="005F32B8">
            <w:pPr>
              <w:jc w:val="both"/>
              <w:rPr>
                <w:sz w:val="20"/>
                <w:lang w:val="fr-CA"/>
              </w:rPr>
            </w:pPr>
            <w:r w:rsidRPr="00AF75CE">
              <w:rPr>
                <w:sz w:val="20"/>
                <w:lang w:val="fr-CA"/>
              </w:rPr>
              <w:t>Répartition de la rémunération due au demandeur devancée au mois juillet 2011</w:t>
            </w:r>
          </w:p>
        </w:tc>
      </w:tr>
      <w:tr w:rsidR="00B124FF" w:rsidRPr="00CC0B55" w:rsidTr="005F32B8">
        <w:tc>
          <w:tcPr>
            <w:tcW w:w="2427" w:type="pct"/>
            <w:gridSpan w:val="2"/>
          </w:tcPr>
          <w:p w:rsidR="00B124FF" w:rsidRPr="00AF75CE" w:rsidRDefault="00B124FF" w:rsidP="005F32B8">
            <w:pPr>
              <w:jc w:val="both"/>
              <w:rPr>
                <w:sz w:val="20"/>
                <w:lang w:val="fr-CA"/>
              </w:rPr>
            </w:pPr>
            <w:r w:rsidRPr="00AF75CE">
              <w:rPr>
                <w:sz w:val="20"/>
                <w:lang w:val="fr-CA"/>
              </w:rPr>
              <w:t>Le 16 janvier 2017</w:t>
            </w:r>
          </w:p>
          <w:p w:rsidR="00B124FF" w:rsidRPr="00AF75CE" w:rsidRDefault="00B124FF" w:rsidP="005F32B8">
            <w:pPr>
              <w:jc w:val="both"/>
              <w:rPr>
                <w:sz w:val="20"/>
                <w:lang w:val="fr-CA"/>
              </w:rPr>
            </w:pPr>
            <w:r w:rsidRPr="00AF75CE">
              <w:rPr>
                <w:sz w:val="20"/>
                <w:lang w:val="fr-CA"/>
              </w:rPr>
              <w:t>Tribunal de la sécurité sociale du Canada</w:t>
            </w:r>
          </w:p>
          <w:p w:rsidR="00B124FF" w:rsidRPr="00AF75CE" w:rsidRDefault="00B124FF" w:rsidP="005F32B8">
            <w:pPr>
              <w:jc w:val="both"/>
              <w:rPr>
                <w:sz w:val="20"/>
              </w:rPr>
            </w:pPr>
            <w:r w:rsidRPr="00AF75CE">
              <w:rPr>
                <w:sz w:val="20"/>
              </w:rPr>
              <w:t>(Pierre Lafontaine, membre)</w:t>
            </w:r>
          </w:p>
          <w:p w:rsidR="00B124FF" w:rsidRPr="00AF75CE" w:rsidRDefault="00B124FF" w:rsidP="005F32B8">
            <w:pPr>
              <w:jc w:val="both"/>
              <w:rPr>
                <w:sz w:val="20"/>
              </w:rPr>
            </w:pPr>
            <w:r w:rsidRPr="00AF75CE">
              <w:rPr>
                <w:sz w:val="20"/>
              </w:rPr>
              <w:t>AD-13-1187</w:t>
            </w:r>
          </w:p>
          <w:p w:rsidR="00B124FF" w:rsidRPr="00AF75CE" w:rsidRDefault="00B124FF" w:rsidP="005F32B8">
            <w:pPr>
              <w:jc w:val="both"/>
              <w:rPr>
                <w:sz w:val="20"/>
              </w:rPr>
            </w:pPr>
          </w:p>
        </w:tc>
        <w:tc>
          <w:tcPr>
            <w:tcW w:w="243" w:type="pct"/>
          </w:tcPr>
          <w:p w:rsidR="00B124FF" w:rsidRPr="00AF75CE" w:rsidRDefault="00B124FF" w:rsidP="005F32B8">
            <w:pPr>
              <w:jc w:val="both"/>
              <w:rPr>
                <w:sz w:val="20"/>
              </w:rPr>
            </w:pPr>
          </w:p>
        </w:tc>
        <w:tc>
          <w:tcPr>
            <w:tcW w:w="2330" w:type="pct"/>
          </w:tcPr>
          <w:p w:rsidR="00B124FF" w:rsidRPr="00AF75CE" w:rsidRDefault="00B124FF" w:rsidP="005F32B8">
            <w:pPr>
              <w:jc w:val="both"/>
              <w:rPr>
                <w:sz w:val="20"/>
                <w:lang w:val="fr-CA"/>
              </w:rPr>
            </w:pPr>
            <w:r w:rsidRPr="00AF75CE">
              <w:rPr>
                <w:sz w:val="20"/>
                <w:lang w:val="fr-CA"/>
              </w:rPr>
              <w:t>Appel de la Commission de l’assurance-emploi accueilli, rémunération due au demandeur répartie à partir du mois de mars 2012</w:t>
            </w:r>
          </w:p>
          <w:p w:rsidR="00B124FF" w:rsidRPr="00AF75CE" w:rsidRDefault="00B124FF" w:rsidP="005F32B8">
            <w:pPr>
              <w:jc w:val="both"/>
              <w:rPr>
                <w:sz w:val="20"/>
                <w:lang w:val="fr-CA"/>
              </w:rPr>
            </w:pPr>
          </w:p>
        </w:tc>
      </w:tr>
      <w:tr w:rsidR="00B124FF" w:rsidRPr="00CC0B55" w:rsidTr="005F32B8">
        <w:tc>
          <w:tcPr>
            <w:tcW w:w="2427" w:type="pct"/>
            <w:gridSpan w:val="2"/>
          </w:tcPr>
          <w:p w:rsidR="00B124FF" w:rsidRPr="00AF75CE" w:rsidRDefault="00B124FF" w:rsidP="005F32B8">
            <w:pPr>
              <w:jc w:val="both"/>
              <w:rPr>
                <w:sz w:val="20"/>
                <w:lang w:val="fr-CA"/>
              </w:rPr>
            </w:pPr>
            <w:r w:rsidRPr="00AF75CE">
              <w:rPr>
                <w:sz w:val="20"/>
                <w:lang w:val="fr-CA"/>
              </w:rPr>
              <w:t>Le 17 avril 2018</w:t>
            </w:r>
          </w:p>
          <w:p w:rsidR="00B124FF" w:rsidRPr="00AF75CE" w:rsidRDefault="00B124FF" w:rsidP="005F32B8">
            <w:pPr>
              <w:jc w:val="both"/>
              <w:rPr>
                <w:sz w:val="20"/>
                <w:lang w:val="fr-CA"/>
              </w:rPr>
            </w:pPr>
            <w:r w:rsidRPr="00AF75CE">
              <w:rPr>
                <w:sz w:val="20"/>
                <w:lang w:val="fr-CA"/>
              </w:rPr>
              <w:t>Cour d’appel fédérale</w:t>
            </w:r>
          </w:p>
          <w:p w:rsidR="00B124FF" w:rsidRPr="00AF75CE" w:rsidRDefault="00B124FF" w:rsidP="005F32B8">
            <w:pPr>
              <w:jc w:val="both"/>
              <w:rPr>
                <w:sz w:val="20"/>
                <w:lang w:val="fr-CA"/>
              </w:rPr>
            </w:pPr>
            <w:r w:rsidRPr="00AF75CE">
              <w:rPr>
                <w:sz w:val="20"/>
                <w:lang w:val="fr-CA"/>
              </w:rPr>
              <w:t>(les juges Nadon, Blais et de Montigny)</w:t>
            </w:r>
          </w:p>
          <w:p w:rsidR="00B124FF" w:rsidRPr="00AF75CE" w:rsidRDefault="00A24D5C" w:rsidP="005F32B8">
            <w:pPr>
              <w:jc w:val="both"/>
              <w:rPr>
                <w:sz w:val="20"/>
              </w:rPr>
            </w:pPr>
            <w:hyperlink r:id="rId88" w:history="1">
              <w:r w:rsidR="00B124FF" w:rsidRPr="00AF75CE">
                <w:rPr>
                  <w:rStyle w:val="Hyperlink"/>
                  <w:sz w:val="20"/>
                </w:rPr>
                <w:t>2018 CAF 79</w:t>
              </w:r>
            </w:hyperlink>
          </w:p>
          <w:p w:rsidR="00B124FF" w:rsidRPr="00AF75CE" w:rsidRDefault="00B124FF" w:rsidP="005F32B8">
            <w:pPr>
              <w:jc w:val="both"/>
              <w:rPr>
                <w:sz w:val="20"/>
              </w:rPr>
            </w:pPr>
          </w:p>
        </w:tc>
        <w:tc>
          <w:tcPr>
            <w:tcW w:w="243" w:type="pct"/>
          </w:tcPr>
          <w:p w:rsidR="00B124FF" w:rsidRPr="00AF75CE" w:rsidRDefault="00B124FF" w:rsidP="005F32B8">
            <w:pPr>
              <w:jc w:val="both"/>
              <w:rPr>
                <w:sz w:val="20"/>
              </w:rPr>
            </w:pPr>
          </w:p>
        </w:tc>
        <w:tc>
          <w:tcPr>
            <w:tcW w:w="2330" w:type="pct"/>
          </w:tcPr>
          <w:p w:rsidR="00B124FF" w:rsidRPr="00AF75CE" w:rsidRDefault="00B124FF" w:rsidP="005F32B8">
            <w:pPr>
              <w:jc w:val="both"/>
              <w:rPr>
                <w:sz w:val="20"/>
                <w:lang w:val="fr-CA"/>
              </w:rPr>
            </w:pPr>
            <w:r w:rsidRPr="00AF75CE">
              <w:rPr>
                <w:sz w:val="20"/>
                <w:lang w:val="fr-CA"/>
              </w:rPr>
              <w:t>Demande de contrôle judiciaire du demandeur rejetée</w:t>
            </w:r>
          </w:p>
          <w:p w:rsidR="00B124FF" w:rsidRPr="00AF75CE" w:rsidRDefault="00B124FF" w:rsidP="005F32B8">
            <w:pPr>
              <w:jc w:val="both"/>
              <w:rPr>
                <w:sz w:val="20"/>
                <w:lang w:val="fr-CA"/>
              </w:rPr>
            </w:pPr>
          </w:p>
        </w:tc>
      </w:tr>
      <w:tr w:rsidR="00B124FF" w:rsidRPr="00AF75CE" w:rsidTr="005F32B8">
        <w:tc>
          <w:tcPr>
            <w:tcW w:w="2427" w:type="pct"/>
            <w:gridSpan w:val="2"/>
          </w:tcPr>
          <w:p w:rsidR="00B124FF" w:rsidRPr="00AF75CE" w:rsidRDefault="00B124FF" w:rsidP="005F32B8">
            <w:pPr>
              <w:jc w:val="both"/>
              <w:rPr>
                <w:sz w:val="20"/>
                <w:lang w:val="fr-CA"/>
              </w:rPr>
            </w:pPr>
            <w:r w:rsidRPr="00AF75CE">
              <w:rPr>
                <w:sz w:val="20"/>
                <w:lang w:val="fr-CA"/>
              </w:rPr>
              <w:t>Le 8 juin 2018</w:t>
            </w:r>
          </w:p>
          <w:p w:rsidR="00B124FF" w:rsidRPr="00AF75CE" w:rsidRDefault="00B124FF" w:rsidP="005F32B8">
            <w:pPr>
              <w:jc w:val="both"/>
              <w:rPr>
                <w:sz w:val="20"/>
                <w:lang w:val="fr-CA"/>
              </w:rPr>
            </w:pPr>
            <w:r w:rsidRPr="00AF75CE">
              <w:rPr>
                <w:sz w:val="20"/>
                <w:lang w:val="fr-CA"/>
              </w:rPr>
              <w:t>Cour suprême du Canada</w:t>
            </w:r>
          </w:p>
        </w:tc>
        <w:tc>
          <w:tcPr>
            <w:tcW w:w="243" w:type="pct"/>
          </w:tcPr>
          <w:p w:rsidR="00B124FF" w:rsidRPr="00AF75CE" w:rsidRDefault="00B124FF" w:rsidP="005F32B8">
            <w:pPr>
              <w:jc w:val="both"/>
              <w:rPr>
                <w:sz w:val="20"/>
                <w:lang w:val="fr-CA"/>
              </w:rPr>
            </w:pPr>
          </w:p>
        </w:tc>
        <w:tc>
          <w:tcPr>
            <w:tcW w:w="2330" w:type="pct"/>
          </w:tcPr>
          <w:p w:rsidR="00B124FF" w:rsidRPr="00AF75CE" w:rsidRDefault="00B124FF" w:rsidP="005F32B8">
            <w:pPr>
              <w:jc w:val="both"/>
              <w:rPr>
                <w:sz w:val="20"/>
              </w:rPr>
            </w:pPr>
            <w:r w:rsidRPr="00AF75CE">
              <w:rPr>
                <w:sz w:val="20"/>
              </w:rPr>
              <w:t>Demande d’autorisation d’appel déposée</w:t>
            </w:r>
          </w:p>
          <w:p w:rsidR="00B124FF" w:rsidRPr="00AF75CE" w:rsidRDefault="00B124FF" w:rsidP="005F32B8">
            <w:pPr>
              <w:jc w:val="both"/>
              <w:rPr>
                <w:sz w:val="20"/>
              </w:rPr>
            </w:pPr>
          </w:p>
        </w:tc>
      </w:tr>
    </w:tbl>
    <w:p w:rsidR="00B124FF" w:rsidRDefault="00B124FF" w:rsidP="00B124FF">
      <w:pPr>
        <w:jc w:val="both"/>
        <w:rPr>
          <w:sz w:val="20"/>
        </w:rPr>
      </w:pPr>
    </w:p>
    <w:p w:rsidR="00B124FF" w:rsidRPr="00AF75CE" w:rsidRDefault="00A24D5C" w:rsidP="00B124FF">
      <w:pPr>
        <w:jc w:val="both"/>
        <w:rPr>
          <w:sz w:val="20"/>
        </w:rPr>
      </w:pPr>
      <w:r>
        <w:rPr>
          <w:sz w:val="20"/>
          <w:szCs w:val="20"/>
        </w:rPr>
        <w:pict>
          <v:rect id="_x0000_i1052" style="width:2in;height:1pt" o:hrpct="0" o:hralign="center" o:hrstd="t" o:hrnoshade="t" o:hr="t" fillcolor="black [3213]" stroked="f"/>
        </w:pict>
      </w:r>
    </w:p>
    <w:p w:rsidR="00B124FF" w:rsidRPr="00AF75CE" w:rsidRDefault="00B124FF" w:rsidP="00B124FF">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124FF" w:rsidRPr="00AF75CE" w:rsidTr="005F32B8">
        <w:tc>
          <w:tcPr>
            <w:tcW w:w="543" w:type="pct"/>
          </w:tcPr>
          <w:p w:rsidR="00B124FF" w:rsidRPr="00AF75CE" w:rsidRDefault="00B124FF" w:rsidP="005F32B8">
            <w:pPr>
              <w:jc w:val="both"/>
              <w:rPr>
                <w:sz w:val="20"/>
              </w:rPr>
            </w:pPr>
            <w:r w:rsidRPr="00AF75CE">
              <w:rPr>
                <w:rStyle w:val="SCCFileNumberChar"/>
                <w:sz w:val="20"/>
                <w:szCs w:val="20"/>
              </w:rPr>
              <w:t>38198</w:t>
            </w:r>
          </w:p>
        </w:tc>
        <w:tc>
          <w:tcPr>
            <w:tcW w:w="4457" w:type="pct"/>
            <w:gridSpan w:val="3"/>
          </w:tcPr>
          <w:p w:rsidR="00B124FF" w:rsidRPr="000B5C89" w:rsidRDefault="00B124FF" w:rsidP="005F32B8">
            <w:pPr>
              <w:pStyle w:val="SCCLsocParty"/>
              <w:jc w:val="both"/>
              <w:rPr>
                <w:b/>
                <w:sz w:val="20"/>
                <w:szCs w:val="20"/>
                <w:lang w:val="en-US"/>
              </w:rPr>
            </w:pPr>
            <w:r w:rsidRPr="000B5C89">
              <w:rPr>
                <w:b/>
                <w:sz w:val="20"/>
                <w:szCs w:val="20"/>
                <w:lang w:val="en-US"/>
              </w:rPr>
              <w:t>Duane Wisniewski, Joy Sleeth and RBC Dominion Securities Inc. v. MD Physician Services Inc. and MD Management Limited</w:t>
            </w:r>
          </w:p>
          <w:p w:rsidR="00B124FF" w:rsidRPr="00AF75CE" w:rsidRDefault="00B124FF" w:rsidP="005F32B8">
            <w:pPr>
              <w:jc w:val="both"/>
              <w:rPr>
                <w:sz w:val="20"/>
              </w:rPr>
            </w:pPr>
            <w:r w:rsidRPr="00AF75CE">
              <w:rPr>
                <w:sz w:val="20"/>
              </w:rPr>
              <w:t>(Ont.) (Civil) (By Leave)</w:t>
            </w:r>
          </w:p>
        </w:tc>
      </w:tr>
      <w:tr w:rsidR="00B124FF" w:rsidRPr="00AF75CE" w:rsidTr="005F32B8">
        <w:tc>
          <w:tcPr>
            <w:tcW w:w="5000" w:type="pct"/>
            <w:gridSpan w:val="4"/>
          </w:tcPr>
          <w:p w:rsidR="00B124FF" w:rsidRDefault="00B124FF" w:rsidP="005F32B8">
            <w:pPr>
              <w:jc w:val="both"/>
              <w:rPr>
                <w:sz w:val="20"/>
              </w:rPr>
            </w:pPr>
            <w:r w:rsidRPr="00C11FF6">
              <w:rPr>
                <w:sz w:val="20"/>
              </w:rPr>
              <w:t>The application for leave to appeal from the judgment of the Court of Appeal for Ontario, Number C64213, 2018 ONCA 440, dated May 1, 2018, is dismissed with costs.</w:t>
            </w:r>
          </w:p>
          <w:p w:rsidR="00B124FF" w:rsidRPr="00AF75CE" w:rsidRDefault="00B124FF" w:rsidP="005F32B8">
            <w:pPr>
              <w:jc w:val="both"/>
              <w:rPr>
                <w:sz w:val="20"/>
              </w:rPr>
            </w:pPr>
          </w:p>
        </w:tc>
      </w:tr>
      <w:tr w:rsidR="00B124FF" w:rsidRPr="00AF75CE" w:rsidTr="005F32B8">
        <w:tc>
          <w:tcPr>
            <w:tcW w:w="5000" w:type="pct"/>
            <w:gridSpan w:val="4"/>
          </w:tcPr>
          <w:p w:rsidR="00B124FF" w:rsidRPr="00AF75CE" w:rsidRDefault="00B124FF" w:rsidP="005F32B8">
            <w:pPr>
              <w:jc w:val="both"/>
              <w:rPr>
                <w:sz w:val="20"/>
              </w:rPr>
            </w:pPr>
            <w:r w:rsidRPr="00AF75CE">
              <w:rPr>
                <w:sz w:val="20"/>
              </w:rPr>
              <w:lastRenderedPageBreak/>
              <w:t>Contract law — Breach — Non-solicitation agreement — Former employees found liable for breaching non-solicitation agreement — New employer found vicariously liable for breaches of non-solicitation and confidentiality obligation — Court of appeal allowing trial judge’s finding of liability — Whether Canadian courts, in assessing restrictive covenants imposed on investment advisors, need to recognize departing investment advisors’ underlying right or duty to contact and notify their former clients of their new employment — Whether lower courts interpreting non-solicitation covenants are bound to follow this Court’s express guidance on matters such as use of “blue-pencil” severance and on principled evidence-based approach to be taken to assessing temporal length of non-solicitation covenants.</w:t>
            </w:r>
          </w:p>
          <w:p w:rsidR="00B124FF" w:rsidRPr="00AF75CE" w:rsidRDefault="00B124FF" w:rsidP="005F32B8">
            <w:pPr>
              <w:jc w:val="both"/>
              <w:rPr>
                <w:sz w:val="20"/>
              </w:rPr>
            </w:pPr>
          </w:p>
        </w:tc>
      </w:tr>
      <w:tr w:rsidR="00B124FF" w:rsidRPr="00AF75CE" w:rsidTr="005F32B8">
        <w:tc>
          <w:tcPr>
            <w:tcW w:w="5000" w:type="pct"/>
            <w:gridSpan w:val="4"/>
          </w:tcPr>
          <w:p w:rsidR="00B124FF" w:rsidRPr="00AF75CE" w:rsidRDefault="00B124FF" w:rsidP="005F32B8">
            <w:pPr>
              <w:jc w:val="both"/>
              <w:rPr>
                <w:sz w:val="20"/>
              </w:rPr>
            </w:pPr>
            <w:r w:rsidRPr="00AF75CE">
              <w:rPr>
                <w:sz w:val="20"/>
              </w:rPr>
              <w:t>The applicants are former employees of the respondent companies MD Physician Services Inc. and MD Management Limited (“MD”). They, together with their current employer, the respondent, RBC Dominion Securities Inc. (“RBC”), appealed from the trial judge’s finding that they had breached the non-solicitation terms of their employment contract with MD; and that RBC was vicariously liable for such breaches. The Court of Appeal dismissed the appeal.</w:t>
            </w:r>
          </w:p>
        </w:tc>
      </w:tr>
      <w:tr w:rsidR="00B124FF" w:rsidRPr="00AF75CE" w:rsidTr="005F32B8">
        <w:tc>
          <w:tcPr>
            <w:tcW w:w="5000" w:type="pct"/>
            <w:gridSpan w:val="4"/>
          </w:tcPr>
          <w:p w:rsidR="00B124FF" w:rsidRPr="00AF75CE" w:rsidRDefault="00B124FF" w:rsidP="005F32B8">
            <w:pPr>
              <w:jc w:val="both"/>
              <w:rPr>
                <w:sz w:val="20"/>
              </w:rPr>
            </w:pPr>
          </w:p>
        </w:tc>
      </w:tr>
      <w:tr w:rsidR="00B124FF" w:rsidRPr="00AF75CE" w:rsidTr="005F32B8">
        <w:tc>
          <w:tcPr>
            <w:tcW w:w="2427" w:type="pct"/>
            <w:gridSpan w:val="2"/>
          </w:tcPr>
          <w:p w:rsidR="00B124FF" w:rsidRPr="00AF75CE" w:rsidRDefault="00B124FF" w:rsidP="005F32B8">
            <w:pPr>
              <w:jc w:val="both"/>
              <w:rPr>
                <w:sz w:val="20"/>
              </w:rPr>
            </w:pPr>
            <w:r w:rsidRPr="00AF75CE">
              <w:rPr>
                <w:sz w:val="20"/>
              </w:rPr>
              <w:t>July 21, 2017</w:t>
            </w:r>
          </w:p>
          <w:p w:rsidR="00B124FF" w:rsidRPr="00AF75CE" w:rsidRDefault="00B124FF" w:rsidP="005F32B8">
            <w:pPr>
              <w:jc w:val="both"/>
              <w:rPr>
                <w:sz w:val="20"/>
              </w:rPr>
            </w:pPr>
            <w:r w:rsidRPr="00AF75CE">
              <w:rPr>
                <w:sz w:val="20"/>
              </w:rPr>
              <w:t>Ontario Superior Court of Justice</w:t>
            </w:r>
          </w:p>
          <w:p w:rsidR="00B124FF" w:rsidRPr="00AF75CE" w:rsidRDefault="00B124FF" w:rsidP="005F32B8">
            <w:pPr>
              <w:jc w:val="both"/>
              <w:rPr>
                <w:sz w:val="20"/>
              </w:rPr>
            </w:pPr>
            <w:r w:rsidRPr="00AF75CE">
              <w:rPr>
                <w:sz w:val="20"/>
              </w:rPr>
              <w:t>(Tausendfreund J.)</w:t>
            </w:r>
          </w:p>
          <w:p w:rsidR="00B124FF" w:rsidRPr="00AF75CE" w:rsidRDefault="00A24D5C" w:rsidP="005F32B8">
            <w:pPr>
              <w:jc w:val="both"/>
              <w:rPr>
                <w:sz w:val="20"/>
              </w:rPr>
            </w:pPr>
            <w:hyperlink r:id="rId89" w:history="1">
              <w:r w:rsidR="00B124FF" w:rsidRPr="00AF75CE">
                <w:rPr>
                  <w:rStyle w:val="Hyperlink"/>
                  <w:sz w:val="20"/>
                </w:rPr>
                <w:t>2017 ONSC 2772</w:t>
              </w:r>
            </w:hyperlink>
          </w:p>
          <w:p w:rsidR="00B124FF" w:rsidRPr="00AF75CE" w:rsidRDefault="00B124FF" w:rsidP="005F32B8">
            <w:pPr>
              <w:jc w:val="both"/>
              <w:rPr>
                <w:sz w:val="20"/>
              </w:rPr>
            </w:pPr>
          </w:p>
        </w:tc>
        <w:tc>
          <w:tcPr>
            <w:tcW w:w="243" w:type="pct"/>
          </w:tcPr>
          <w:p w:rsidR="00B124FF" w:rsidRPr="00AF75CE" w:rsidRDefault="00B124FF" w:rsidP="005F32B8">
            <w:pPr>
              <w:jc w:val="both"/>
              <w:rPr>
                <w:sz w:val="20"/>
              </w:rPr>
            </w:pPr>
          </w:p>
        </w:tc>
        <w:tc>
          <w:tcPr>
            <w:tcW w:w="2330" w:type="pct"/>
          </w:tcPr>
          <w:p w:rsidR="00B124FF" w:rsidRPr="00AF75CE" w:rsidRDefault="00B124FF" w:rsidP="005F32B8">
            <w:pPr>
              <w:jc w:val="both"/>
              <w:rPr>
                <w:sz w:val="20"/>
              </w:rPr>
            </w:pPr>
            <w:r w:rsidRPr="00AF75CE">
              <w:rPr>
                <w:sz w:val="20"/>
              </w:rPr>
              <w:t>Former employees liable for breaches of non-solicitation agreement; RBC vicariously liable for breaches of non-solicitation and confidentiality obligation.</w:t>
            </w:r>
          </w:p>
          <w:p w:rsidR="00B124FF" w:rsidRPr="00AF75CE" w:rsidRDefault="00B124FF" w:rsidP="005F32B8">
            <w:pPr>
              <w:jc w:val="both"/>
              <w:rPr>
                <w:sz w:val="20"/>
              </w:rPr>
            </w:pPr>
          </w:p>
        </w:tc>
      </w:tr>
      <w:tr w:rsidR="00B124FF" w:rsidRPr="00AF75CE" w:rsidTr="005F32B8">
        <w:tc>
          <w:tcPr>
            <w:tcW w:w="2427" w:type="pct"/>
            <w:gridSpan w:val="2"/>
          </w:tcPr>
          <w:p w:rsidR="00B124FF" w:rsidRPr="00AF75CE" w:rsidRDefault="00B124FF" w:rsidP="005F32B8">
            <w:pPr>
              <w:jc w:val="both"/>
              <w:rPr>
                <w:sz w:val="20"/>
              </w:rPr>
            </w:pPr>
            <w:r w:rsidRPr="00AF75CE">
              <w:rPr>
                <w:sz w:val="20"/>
              </w:rPr>
              <w:t>May 1, 2018</w:t>
            </w:r>
          </w:p>
          <w:p w:rsidR="00B124FF" w:rsidRPr="00AF75CE" w:rsidRDefault="00B124FF" w:rsidP="005F32B8">
            <w:pPr>
              <w:jc w:val="both"/>
              <w:rPr>
                <w:sz w:val="20"/>
              </w:rPr>
            </w:pPr>
            <w:r w:rsidRPr="00AF75CE">
              <w:rPr>
                <w:sz w:val="20"/>
              </w:rPr>
              <w:t>Court of Appeal for Ontario</w:t>
            </w:r>
          </w:p>
          <w:p w:rsidR="00B124FF" w:rsidRPr="00AF75CE" w:rsidRDefault="00B124FF" w:rsidP="005F32B8">
            <w:pPr>
              <w:jc w:val="both"/>
              <w:rPr>
                <w:sz w:val="20"/>
              </w:rPr>
            </w:pPr>
            <w:r w:rsidRPr="00AF75CE">
              <w:rPr>
                <w:sz w:val="20"/>
              </w:rPr>
              <w:t>(MacPherson, Hourigan and Benotto JJ.A.)</w:t>
            </w:r>
          </w:p>
          <w:p w:rsidR="00B124FF" w:rsidRPr="00AF75CE" w:rsidRDefault="00A24D5C" w:rsidP="005F32B8">
            <w:pPr>
              <w:jc w:val="both"/>
              <w:rPr>
                <w:sz w:val="20"/>
              </w:rPr>
            </w:pPr>
            <w:hyperlink r:id="rId90" w:history="1">
              <w:r w:rsidR="00B124FF" w:rsidRPr="00AF75CE">
                <w:rPr>
                  <w:rStyle w:val="Hyperlink"/>
                  <w:sz w:val="20"/>
                </w:rPr>
                <w:t>2018 ONCA 440</w:t>
              </w:r>
            </w:hyperlink>
          </w:p>
          <w:p w:rsidR="00B124FF" w:rsidRPr="00AF75CE" w:rsidRDefault="00B124FF" w:rsidP="005F32B8">
            <w:pPr>
              <w:jc w:val="both"/>
              <w:rPr>
                <w:sz w:val="20"/>
              </w:rPr>
            </w:pPr>
            <w:r w:rsidRPr="00AF75CE">
              <w:rPr>
                <w:sz w:val="20"/>
              </w:rPr>
              <w:t>File No.: C64213</w:t>
            </w:r>
          </w:p>
          <w:p w:rsidR="00B124FF" w:rsidRPr="00AF75CE" w:rsidRDefault="00B124FF" w:rsidP="005F32B8">
            <w:pPr>
              <w:jc w:val="both"/>
              <w:rPr>
                <w:sz w:val="20"/>
              </w:rPr>
            </w:pPr>
          </w:p>
        </w:tc>
        <w:tc>
          <w:tcPr>
            <w:tcW w:w="243" w:type="pct"/>
          </w:tcPr>
          <w:p w:rsidR="00B124FF" w:rsidRPr="00AF75CE" w:rsidRDefault="00B124FF" w:rsidP="005F32B8">
            <w:pPr>
              <w:jc w:val="both"/>
              <w:rPr>
                <w:sz w:val="20"/>
              </w:rPr>
            </w:pPr>
          </w:p>
        </w:tc>
        <w:tc>
          <w:tcPr>
            <w:tcW w:w="2330" w:type="pct"/>
          </w:tcPr>
          <w:p w:rsidR="00B124FF" w:rsidRPr="00AF75CE" w:rsidRDefault="00B124FF" w:rsidP="005F32B8">
            <w:pPr>
              <w:jc w:val="both"/>
              <w:rPr>
                <w:sz w:val="20"/>
              </w:rPr>
            </w:pPr>
            <w:r w:rsidRPr="00AF75CE">
              <w:rPr>
                <w:sz w:val="20"/>
              </w:rPr>
              <w:t>Appeal dismissed.</w:t>
            </w:r>
          </w:p>
          <w:p w:rsidR="00B124FF" w:rsidRPr="00AF75CE" w:rsidRDefault="00B124FF" w:rsidP="005F32B8">
            <w:pPr>
              <w:jc w:val="both"/>
              <w:rPr>
                <w:sz w:val="20"/>
              </w:rPr>
            </w:pPr>
          </w:p>
        </w:tc>
      </w:tr>
      <w:tr w:rsidR="00B124FF" w:rsidRPr="00AF75CE" w:rsidTr="005F32B8">
        <w:tc>
          <w:tcPr>
            <w:tcW w:w="2427" w:type="pct"/>
            <w:gridSpan w:val="2"/>
          </w:tcPr>
          <w:p w:rsidR="00B124FF" w:rsidRPr="00AF75CE" w:rsidRDefault="00B124FF" w:rsidP="005F32B8">
            <w:pPr>
              <w:jc w:val="both"/>
              <w:rPr>
                <w:sz w:val="20"/>
              </w:rPr>
            </w:pPr>
            <w:r w:rsidRPr="00AF75CE">
              <w:rPr>
                <w:sz w:val="20"/>
              </w:rPr>
              <w:t>July 3, 2018</w:t>
            </w:r>
          </w:p>
          <w:p w:rsidR="00B124FF" w:rsidRPr="00AF75CE" w:rsidRDefault="00B124FF" w:rsidP="005F32B8">
            <w:pPr>
              <w:jc w:val="both"/>
              <w:rPr>
                <w:sz w:val="20"/>
              </w:rPr>
            </w:pPr>
            <w:r w:rsidRPr="00AF75CE">
              <w:rPr>
                <w:sz w:val="20"/>
              </w:rPr>
              <w:t>Supreme Court of Canada</w:t>
            </w:r>
          </w:p>
        </w:tc>
        <w:tc>
          <w:tcPr>
            <w:tcW w:w="243" w:type="pct"/>
          </w:tcPr>
          <w:p w:rsidR="00B124FF" w:rsidRPr="00AF75CE" w:rsidRDefault="00B124FF" w:rsidP="005F32B8">
            <w:pPr>
              <w:jc w:val="both"/>
              <w:rPr>
                <w:sz w:val="20"/>
              </w:rPr>
            </w:pPr>
          </w:p>
        </w:tc>
        <w:tc>
          <w:tcPr>
            <w:tcW w:w="2330" w:type="pct"/>
          </w:tcPr>
          <w:p w:rsidR="00B124FF" w:rsidRPr="00AF75CE" w:rsidRDefault="00B124FF" w:rsidP="005F32B8">
            <w:pPr>
              <w:jc w:val="both"/>
              <w:rPr>
                <w:sz w:val="20"/>
              </w:rPr>
            </w:pPr>
            <w:r w:rsidRPr="00AF75CE">
              <w:rPr>
                <w:sz w:val="20"/>
              </w:rPr>
              <w:t>Application for leave to appeal filed.</w:t>
            </w:r>
          </w:p>
          <w:p w:rsidR="00B124FF" w:rsidRPr="00AF75CE" w:rsidRDefault="00B124FF" w:rsidP="005F32B8">
            <w:pPr>
              <w:jc w:val="both"/>
              <w:rPr>
                <w:sz w:val="20"/>
              </w:rPr>
            </w:pPr>
          </w:p>
        </w:tc>
      </w:tr>
    </w:tbl>
    <w:p w:rsidR="00B124FF" w:rsidRDefault="00B124FF" w:rsidP="00B124FF">
      <w:pPr>
        <w:jc w:val="both"/>
        <w:rPr>
          <w:sz w:val="20"/>
        </w:rPr>
      </w:pPr>
    </w:p>
    <w:p w:rsidR="00B124FF" w:rsidRPr="00AF75CE" w:rsidRDefault="00B124FF" w:rsidP="00B124F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124FF" w:rsidRPr="00AF75CE" w:rsidTr="005F32B8">
        <w:tc>
          <w:tcPr>
            <w:tcW w:w="543" w:type="pct"/>
          </w:tcPr>
          <w:p w:rsidR="00B124FF" w:rsidRPr="00AF75CE" w:rsidRDefault="00B124FF" w:rsidP="005F32B8">
            <w:pPr>
              <w:jc w:val="both"/>
              <w:rPr>
                <w:sz w:val="20"/>
                <w:lang w:val="fr-CA"/>
              </w:rPr>
            </w:pPr>
            <w:r w:rsidRPr="00AF75CE">
              <w:rPr>
                <w:rStyle w:val="SCCFileNumberChar"/>
                <w:sz w:val="20"/>
                <w:szCs w:val="20"/>
                <w:lang w:val="fr-CA"/>
              </w:rPr>
              <w:t>38198</w:t>
            </w:r>
          </w:p>
        </w:tc>
        <w:tc>
          <w:tcPr>
            <w:tcW w:w="4457" w:type="pct"/>
            <w:gridSpan w:val="3"/>
          </w:tcPr>
          <w:p w:rsidR="00B124FF" w:rsidRPr="000B5C89" w:rsidRDefault="00B124FF" w:rsidP="005F32B8">
            <w:pPr>
              <w:pStyle w:val="SCCLsocParty"/>
              <w:jc w:val="both"/>
              <w:rPr>
                <w:b/>
                <w:sz w:val="20"/>
                <w:szCs w:val="20"/>
              </w:rPr>
            </w:pPr>
            <w:r w:rsidRPr="000B5C89">
              <w:rPr>
                <w:b/>
                <w:sz w:val="20"/>
                <w:szCs w:val="20"/>
              </w:rPr>
              <w:t xml:space="preserve">Duane Wisniewski, Joy Sleeth et RBC Dominion Valeurs mobilières Inc. c. </w:t>
            </w:r>
            <w:r>
              <w:rPr>
                <w:b/>
                <w:sz w:val="20"/>
                <w:szCs w:val="20"/>
              </w:rPr>
              <w:t xml:space="preserve">Services aux </w:t>
            </w:r>
            <w:r w:rsidRPr="00656A4F">
              <w:rPr>
                <w:b/>
                <w:sz w:val="20"/>
                <w:szCs w:val="20"/>
              </w:rPr>
              <w:t xml:space="preserve">Médecins MD Inc. </w:t>
            </w:r>
            <w:r>
              <w:rPr>
                <w:b/>
                <w:sz w:val="20"/>
                <w:szCs w:val="20"/>
              </w:rPr>
              <w:t>e</w:t>
            </w:r>
            <w:r w:rsidRPr="00656A4F">
              <w:rPr>
                <w:b/>
                <w:sz w:val="20"/>
                <w:szCs w:val="20"/>
              </w:rPr>
              <w:t>t</w:t>
            </w:r>
            <w:r>
              <w:rPr>
                <w:b/>
                <w:sz w:val="20"/>
                <w:szCs w:val="20"/>
              </w:rPr>
              <w:t xml:space="preserve"> </w:t>
            </w:r>
            <w:r w:rsidRPr="00656A4F">
              <w:rPr>
                <w:b/>
                <w:sz w:val="20"/>
                <w:szCs w:val="20"/>
              </w:rPr>
              <w:t>Gestion MD Limitée</w:t>
            </w:r>
          </w:p>
          <w:p w:rsidR="00B124FF" w:rsidRPr="00AF75CE" w:rsidRDefault="00B124FF" w:rsidP="005F32B8">
            <w:pPr>
              <w:jc w:val="both"/>
              <w:rPr>
                <w:sz w:val="20"/>
                <w:lang w:val="fr-CA"/>
              </w:rPr>
            </w:pPr>
            <w:r w:rsidRPr="00AF75CE">
              <w:rPr>
                <w:sz w:val="20"/>
                <w:lang w:val="fr-CA"/>
              </w:rPr>
              <w:t>(Ont.) (Civile) (Autorisation)</w:t>
            </w:r>
          </w:p>
        </w:tc>
      </w:tr>
      <w:tr w:rsidR="00B124FF" w:rsidRPr="00CC0B55" w:rsidTr="005F32B8">
        <w:tc>
          <w:tcPr>
            <w:tcW w:w="5000" w:type="pct"/>
            <w:gridSpan w:val="4"/>
          </w:tcPr>
          <w:p w:rsidR="00B124FF" w:rsidRDefault="00B124FF" w:rsidP="005F32B8">
            <w:pPr>
              <w:jc w:val="both"/>
              <w:rPr>
                <w:sz w:val="20"/>
                <w:lang w:val="fr-CA"/>
              </w:rPr>
            </w:pPr>
            <w:r w:rsidRPr="00C11FF6">
              <w:rPr>
                <w:sz w:val="20"/>
                <w:lang w:val="fr-CA"/>
              </w:rPr>
              <w:t>La demande d’autorisation d’appel de l’arrêt de la Cour d’appel de l’Ontario, numéro C64213, 2018 ONCA 440, daté du 1er mai 2018, est rejetée avec dépens.</w:t>
            </w:r>
          </w:p>
          <w:p w:rsidR="00B124FF" w:rsidRPr="00AF75CE" w:rsidRDefault="00B124FF" w:rsidP="005F32B8">
            <w:pPr>
              <w:jc w:val="both"/>
              <w:rPr>
                <w:sz w:val="20"/>
                <w:lang w:val="fr-CA"/>
              </w:rPr>
            </w:pPr>
          </w:p>
        </w:tc>
      </w:tr>
      <w:tr w:rsidR="00B124FF" w:rsidRPr="00CC0B55" w:rsidTr="005F32B8">
        <w:tc>
          <w:tcPr>
            <w:tcW w:w="5000" w:type="pct"/>
            <w:gridSpan w:val="4"/>
          </w:tcPr>
          <w:p w:rsidR="00B124FF" w:rsidRPr="00AF75CE" w:rsidRDefault="00B124FF" w:rsidP="005F32B8">
            <w:pPr>
              <w:jc w:val="both"/>
              <w:rPr>
                <w:sz w:val="20"/>
                <w:lang w:val="fr-CA"/>
              </w:rPr>
            </w:pPr>
            <w:r w:rsidRPr="00AF75CE">
              <w:rPr>
                <w:sz w:val="20"/>
                <w:lang w:val="fr-CA"/>
              </w:rPr>
              <w:t>Droit des contrats — Violation — Convention de non-sollicitation — D’anciens employés ont été jugés responsables d’avoir violé une convention de non-sollicitation — Le nouvel employeur a été jugé responsable du fait d’autrui pour les violations de l’obligation de non-sollicitation et de confidentialité — La Cour d’appel a confirmé la conclusion du juge de première instance quant à la responsabilité — Les tribunaux canadiens, en appréciant les clauses restrictives imposées aux conseillers en placements, doivent-ils reconnaître le droit ou l’obligation sous-jacents des conseillers en placements qui quittent leur poste de communiquer avec leurs anciens clients et de les aviser de leur nouvel emploi? — Les juridictions inférieures qui interprètent les engagements de non-sollicitation sont-elles tenues d’observer les directives explicites de la Cour sur des questions comme la divisibilité pure et simple et une approche raisonnée fondée sur la preuve dans l’appréciation de la durée des engagements de non-sollicitation?</w:t>
            </w:r>
          </w:p>
          <w:p w:rsidR="00B124FF" w:rsidRPr="00AF75CE" w:rsidRDefault="00B124FF" w:rsidP="005F32B8">
            <w:pPr>
              <w:jc w:val="both"/>
              <w:rPr>
                <w:sz w:val="20"/>
                <w:lang w:val="fr-CA"/>
              </w:rPr>
            </w:pPr>
          </w:p>
        </w:tc>
      </w:tr>
      <w:tr w:rsidR="00B124FF" w:rsidRPr="00AF75CE" w:rsidTr="005F32B8">
        <w:tc>
          <w:tcPr>
            <w:tcW w:w="5000" w:type="pct"/>
            <w:gridSpan w:val="4"/>
          </w:tcPr>
          <w:p w:rsidR="00B124FF" w:rsidRPr="00AF75CE" w:rsidRDefault="00B124FF" w:rsidP="005F32B8">
            <w:pPr>
              <w:jc w:val="both"/>
              <w:rPr>
                <w:sz w:val="20"/>
                <w:lang w:val="fr-CA"/>
              </w:rPr>
            </w:pPr>
            <w:r w:rsidRPr="00AF75CE">
              <w:rPr>
                <w:sz w:val="20"/>
                <w:lang w:val="fr-CA"/>
              </w:rPr>
              <w:t>Les demandeurs sont d’anciens employés des sociétés intimées MD Physician Services Inc. et MD Management Limited (« MD »). Avec leur employeur actuel, RBC Dominion Valeurs mobilières Inc (« RBC »), intimée, ils ont interjeté appel de la conclusion du juge de première instance selon laquelle ils avaient violé les conditions de non-sollicitation stipulées dans leur contrat d’emploi avec MD et que RBC était responsable du fait d’autrui pour ces violations. La Cour d’appel a rejeté l’appel.</w:t>
            </w:r>
          </w:p>
        </w:tc>
      </w:tr>
      <w:tr w:rsidR="00B124FF" w:rsidRPr="00AF75CE" w:rsidTr="005F32B8">
        <w:tc>
          <w:tcPr>
            <w:tcW w:w="5000" w:type="pct"/>
            <w:gridSpan w:val="4"/>
          </w:tcPr>
          <w:p w:rsidR="00B124FF" w:rsidRPr="00AF75CE" w:rsidRDefault="00B124FF" w:rsidP="005F32B8">
            <w:pPr>
              <w:jc w:val="both"/>
              <w:rPr>
                <w:sz w:val="20"/>
                <w:lang w:val="fr-CA"/>
              </w:rPr>
            </w:pPr>
          </w:p>
        </w:tc>
      </w:tr>
      <w:tr w:rsidR="00B124FF" w:rsidRPr="00CC0B55" w:rsidTr="005F32B8">
        <w:tc>
          <w:tcPr>
            <w:tcW w:w="2427" w:type="pct"/>
            <w:gridSpan w:val="2"/>
          </w:tcPr>
          <w:p w:rsidR="00B124FF" w:rsidRPr="00AF75CE" w:rsidRDefault="00B124FF" w:rsidP="005F32B8">
            <w:pPr>
              <w:jc w:val="both"/>
              <w:rPr>
                <w:sz w:val="20"/>
                <w:lang w:val="fr-CA"/>
              </w:rPr>
            </w:pPr>
            <w:r w:rsidRPr="00AF75CE">
              <w:rPr>
                <w:sz w:val="20"/>
                <w:lang w:val="fr-CA"/>
              </w:rPr>
              <w:lastRenderedPageBreak/>
              <w:t>21 juillet 2017</w:t>
            </w:r>
          </w:p>
          <w:p w:rsidR="00B124FF" w:rsidRPr="00AF75CE" w:rsidRDefault="00B124FF" w:rsidP="005F32B8">
            <w:pPr>
              <w:jc w:val="both"/>
              <w:rPr>
                <w:sz w:val="20"/>
                <w:lang w:val="fr-CA"/>
              </w:rPr>
            </w:pPr>
            <w:r w:rsidRPr="00AF75CE">
              <w:rPr>
                <w:sz w:val="20"/>
                <w:lang w:val="fr-CA"/>
              </w:rPr>
              <w:t>Cour supérieure de justice de l’Ontario</w:t>
            </w:r>
          </w:p>
          <w:p w:rsidR="00B124FF" w:rsidRPr="00AF75CE" w:rsidRDefault="00B124FF" w:rsidP="005F32B8">
            <w:pPr>
              <w:jc w:val="both"/>
              <w:rPr>
                <w:sz w:val="20"/>
                <w:lang w:val="fr-CA"/>
              </w:rPr>
            </w:pPr>
            <w:r w:rsidRPr="00AF75CE">
              <w:rPr>
                <w:sz w:val="20"/>
                <w:lang w:val="fr-CA"/>
              </w:rPr>
              <w:t>(Juge Tausendfreund)</w:t>
            </w:r>
          </w:p>
          <w:p w:rsidR="00B124FF" w:rsidRPr="00AF75CE" w:rsidRDefault="00A24D5C" w:rsidP="005F32B8">
            <w:pPr>
              <w:jc w:val="both"/>
              <w:rPr>
                <w:sz w:val="20"/>
                <w:lang w:val="fr-CA"/>
              </w:rPr>
            </w:pPr>
            <w:hyperlink r:id="rId91" w:history="1">
              <w:r w:rsidR="00B124FF" w:rsidRPr="00AF75CE">
                <w:rPr>
                  <w:rStyle w:val="Hyperlink"/>
                  <w:sz w:val="20"/>
                  <w:lang w:val="fr-CA"/>
                </w:rPr>
                <w:t>2017 ONSC 2772</w:t>
              </w:r>
            </w:hyperlink>
          </w:p>
          <w:p w:rsidR="00B124FF" w:rsidRPr="00AF75CE" w:rsidRDefault="00B124FF" w:rsidP="005F32B8">
            <w:pPr>
              <w:jc w:val="both"/>
              <w:rPr>
                <w:sz w:val="20"/>
                <w:lang w:val="fr-CA"/>
              </w:rPr>
            </w:pPr>
          </w:p>
        </w:tc>
        <w:tc>
          <w:tcPr>
            <w:tcW w:w="243" w:type="pct"/>
          </w:tcPr>
          <w:p w:rsidR="00B124FF" w:rsidRPr="00AF75CE" w:rsidRDefault="00B124FF" w:rsidP="005F32B8">
            <w:pPr>
              <w:jc w:val="both"/>
              <w:rPr>
                <w:sz w:val="20"/>
                <w:lang w:val="fr-CA"/>
              </w:rPr>
            </w:pPr>
          </w:p>
        </w:tc>
        <w:tc>
          <w:tcPr>
            <w:tcW w:w="2330" w:type="pct"/>
          </w:tcPr>
          <w:p w:rsidR="00B124FF" w:rsidRPr="00AF75CE" w:rsidRDefault="00B124FF" w:rsidP="005F32B8">
            <w:pPr>
              <w:jc w:val="both"/>
              <w:rPr>
                <w:sz w:val="20"/>
                <w:lang w:val="fr-CA"/>
              </w:rPr>
            </w:pPr>
            <w:r w:rsidRPr="00AF75CE">
              <w:rPr>
                <w:sz w:val="20"/>
                <w:lang w:val="fr-CA"/>
              </w:rPr>
              <w:t>Jugement statuant que les anciens employés sont responsables pour violations d’une convention de non-sollicitation et que RBC est responsable du fait d’autrui pour violations de l’obligation de non-sollicitation et de confidentialité.</w:t>
            </w:r>
          </w:p>
          <w:p w:rsidR="00B124FF" w:rsidRPr="00AF75CE" w:rsidRDefault="00B124FF" w:rsidP="005F32B8">
            <w:pPr>
              <w:jc w:val="both"/>
              <w:rPr>
                <w:sz w:val="20"/>
                <w:lang w:val="fr-CA"/>
              </w:rPr>
            </w:pPr>
          </w:p>
        </w:tc>
      </w:tr>
      <w:tr w:rsidR="00B124FF" w:rsidRPr="00AF75CE" w:rsidTr="005F32B8">
        <w:tc>
          <w:tcPr>
            <w:tcW w:w="2427" w:type="pct"/>
            <w:gridSpan w:val="2"/>
          </w:tcPr>
          <w:p w:rsidR="00B124FF" w:rsidRPr="00AF75CE" w:rsidRDefault="00B124FF" w:rsidP="005F32B8">
            <w:pPr>
              <w:jc w:val="both"/>
              <w:rPr>
                <w:sz w:val="20"/>
                <w:lang w:val="fr-CA"/>
              </w:rPr>
            </w:pPr>
            <w:r w:rsidRPr="00AF75CE">
              <w:rPr>
                <w:sz w:val="20"/>
                <w:lang w:val="fr-CA"/>
              </w:rPr>
              <w:t>1</w:t>
            </w:r>
            <w:r w:rsidRPr="00AF75CE">
              <w:rPr>
                <w:sz w:val="20"/>
                <w:vertAlign w:val="superscript"/>
                <w:lang w:val="fr-CA"/>
              </w:rPr>
              <w:t>er</w:t>
            </w:r>
            <w:r w:rsidRPr="00AF75CE">
              <w:rPr>
                <w:sz w:val="20"/>
                <w:lang w:val="fr-CA"/>
              </w:rPr>
              <w:t xml:space="preserve"> mai 2018</w:t>
            </w:r>
          </w:p>
          <w:p w:rsidR="00B124FF" w:rsidRPr="00AF75CE" w:rsidRDefault="00B124FF" w:rsidP="005F32B8">
            <w:pPr>
              <w:jc w:val="both"/>
              <w:rPr>
                <w:sz w:val="20"/>
                <w:lang w:val="fr-CA"/>
              </w:rPr>
            </w:pPr>
            <w:r w:rsidRPr="00AF75CE">
              <w:rPr>
                <w:sz w:val="20"/>
                <w:lang w:val="fr-CA"/>
              </w:rPr>
              <w:t>Cour d’appel de l’Ontario</w:t>
            </w:r>
          </w:p>
          <w:p w:rsidR="00B124FF" w:rsidRPr="00AF75CE" w:rsidRDefault="00B124FF" w:rsidP="005F32B8">
            <w:pPr>
              <w:jc w:val="both"/>
              <w:rPr>
                <w:sz w:val="20"/>
                <w:lang w:val="fr-CA"/>
              </w:rPr>
            </w:pPr>
            <w:r w:rsidRPr="00AF75CE">
              <w:rPr>
                <w:sz w:val="20"/>
                <w:lang w:val="fr-CA"/>
              </w:rPr>
              <w:t>(Juges MacPherson, Hourigan et Benotto)</w:t>
            </w:r>
          </w:p>
          <w:p w:rsidR="00B124FF" w:rsidRPr="00AF75CE" w:rsidRDefault="00A24D5C" w:rsidP="005F32B8">
            <w:pPr>
              <w:jc w:val="both"/>
              <w:rPr>
                <w:sz w:val="20"/>
                <w:lang w:val="fr-CA"/>
              </w:rPr>
            </w:pPr>
            <w:hyperlink r:id="rId92" w:history="1">
              <w:r w:rsidR="00B124FF" w:rsidRPr="00AF75CE">
                <w:rPr>
                  <w:rStyle w:val="Hyperlink"/>
                  <w:sz w:val="20"/>
                  <w:lang w:val="fr-CA"/>
                </w:rPr>
                <w:t>2018 ONCA 440</w:t>
              </w:r>
            </w:hyperlink>
          </w:p>
          <w:p w:rsidR="00B124FF" w:rsidRPr="00AF75CE" w:rsidRDefault="00B124FF" w:rsidP="005F32B8">
            <w:pPr>
              <w:jc w:val="both"/>
              <w:rPr>
                <w:sz w:val="20"/>
                <w:lang w:val="fr-CA"/>
              </w:rPr>
            </w:pPr>
            <w:r w:rsidRPr="00AF75CE">
              <w:rPr>
                <w:sz w:val="20"/>
                <w:lang w:val="fr-CA"/>
              </w:rPr>
              <w:t>N</w:t>
            </w:r>
            <w:r w:rsidRPr="00AF75CE">
              <w:rPr>
                <w:sz w:val="20"/>
                <w:vertAlign w:val="superscript"/>
                <w:lang w:val="fr-CA"/>
              </w:rPr>
              <w:t>o</w:t>
            </w:r>
            <w:r w:rsidRPr="00AF75CE">
              <w:rPr>
                <w:sz w:val="20"/>
                <w:lang w:val="fr-CA"/>
              </w:rPr>
              <w:t xml:space="preserve"> de dossier : C64213</w:t>
            </w:r>
          </w:p>
          <w:p w:rsidR="00B124FF" w:rsidRPr="00AF75CE" w:rsidRDefault="00B124FF" w:rsidP="005F32B8">
            <w:pPr>
              <w:jc w:val="both"/>
              <w:rPr>
                <w:sz w:val="20"/>
                <w:lang w:val="fr-CA"/>
              </w:rPr>
            </w:pPr>
          </w:p>
        </w:tc>
        <w:tc>
          <w:tcPr>
            <w:tcW w:w="243" w:type="pct"/>
          </w:tcPr>
          <w:p w:rsidR="00B124FF" w:rsidRPr="00AF75CE" w:rsidRDefault="00B124FF" w:rsidP="005F32B8">
            <w:pPr>
              <w:jc w:val="both"/>
              <w:rPr>
                <w:sz w:val="20"/>
                <w:lang w:val="fr-CA"/>
              </w:rPr>
            </w:pPr>
          </w:p>
        </w:tc>
        <w:tc>
          <w:tcPr>
            <w:tcW w:w="2330" w:type="pct"/>
          </w:tcPr>
          <w:p w:rsidR="00B124FF" w:rsidRPr="00AF75CE" w:rsidRDefault="00B124FF" w:rsidP="005F32B8">
            <w:pPr>
              <w:jc w:val="both"/>
              <w:rPr>
                <w:sz w:val="20"/>
                <w:lang w:val="fr-CA"/>
              </w:rPr>
            </w:pPr>
            <w:r w:rsidRPr="00AF75CE">
              <w:rPr>
                <w:sz w:val="20"/>
                <w:lang w:val="fr-CA"/>
              </w:rPr>
              <w:t>Rejet de l’appel.</w:t>
            </w:r>
          </w:p>
          <w:p w:rsidR="00B124FF" w:rsidRPr="00AF75CE" w:rsidRDefault="00B124FF" w:rsidP="005F32B8">
            <w:pPr>
              <w:jc w:val="both"/>
              <w:rPr>
                <w:sz w:val="20"/>
                <w:lang w:val="fr-CA"/>
              </w:rPr>
            </w:pPr>
          </w:p>
        </w:tc>
      </w:tr>
      <w:tr w:rsidR="00B124FF" w:rsidRPr="00CC0B55" w:rsidTr="005F32B8">
        <w:tc>
          <w:tcPr>
            <w:tcW w:w="2427" w:type="pct"/>
            <w:gridSpan w:val="2"/>
          </w:tcPr>
          <w:p w:rsidR="00B124FF" w:rsidRPr="00AF75CE" w:rsidRDefault="00B124FF" w:rsidP="005F32B8">
            <w:pPr>
              <w:jc w:val="both"/>
              <w:rPr>
                <w:sz w:val="20"/>
                <w:lang w:val="fr-CA"/>
              </w:rPr>
            </w:pPr>
            <w:r w:rsidRPr="00AF75CE">
              <w:rPr>
                <w:sz w:val="20"/>
                <w:lang w:val="fr-CA"/>
              </w:rPr>
              <w:t>3 juillet 2018</w:t>
            </w:r>
          </w:p>
          <w:p w:rsidR="00B124FF" w:rsidRPr="00AF75CE" w:rsidRDefault="00B124FF" w:rsidP="005F32B8">
            <w:pPr>
              <w:jc w:val="both"/>
              <w:rPr>
                <w:sz w:val="20"/>
                <w:lang w:val="fr-CA"/>
              </w:rPr>
            </w:pPr>
            <w:r w:rsidRPr="00AF75CE">
              <w:rPr>
                <w:sz w:val="20"/>
                <w:lang w:val="fr-CA"/>
              </w:rPr>
              <w:t>Cour suprême du Canada</w:t>
            </w:r>
          </w:p>
        </w:tc>
        <w:tc>
          <w:tcPr>
            <w:tcW w:w="243" w:type="pct"/>
          </w:tcPr>
          <w:p w:rsidR="00B124FF" w:rsidRPr="00AF75CE" w:rsidRDefault="00B124FF" w:rsidP="005F32B8">
            <w:pPr>
              <w:jc w:val="both"/>
              <w:rPr>
                <w:sz w:val="20"/>
                <w:lang w:val="fr-CA"/>
              </w:rPr>
            </w:pPr>
          </w:p>
        </w:tc>
        <w:tc>
          <w:tcPr>
            <w:tcW w:w="2330" w:type="pct"/>
          </w:tcPr>
          <w:p w:rsidR="00B124FF" w:rsidRPr="00AF75CE" w:rsidRDefault="00B124FF" w:rsidP="005F32B8">
            <w:pPr>
              <w:jc w:val="both"/>
              <w:rPr>
                <w:sz w:val="20"/>
                <w:lang w:val="fr-CA"/>
              </w:rPr>
            </w:pPr>
            <w:r w:rsidRPr="00AF75CE">
              <w:rPr>
                <w:sz w:val="20"/>
                <w:lang w:val="fr-CA"/>
              </w:rPr>
              <w:t>Dépôt de la demande d’autorisation d’appel.</w:t>
            </w:r>
          </w:p>
          <w:p w:rsidR="00B124FF" w:rsidRPr="00AF75CE" w:rsidRDefault="00B124FF" w:rsidP="005F32B8">
            <w:pPr>
              <w:jc w:val="both"/>
              <w:rPr>
                <w:sz w:val="20"/>
                <w:lang w:val="fr-CA"/>
              </w:rPr>
            </w:pPr>
          </w:p>
        </w:tc>
      </w:tr>
    </w:tbl>
    <w:p w:rsidR="00B124FF" w:rsidRDefault="00B124FF" w:rsidP="00B124FF">
      <w:pPr>
        <w:jc w:val="both"/>
        <w:rPr>
          <w:sz w:val="20"/>
          <w:lang w:val="fr-CA"/>
        </w:rPr>
      </w:pPr>
    </w:p>
    <w:p w:rsidR="00B124FF" w:rsidRPr="00AF75CE" w:rsidRDefault="00A24D5C" w:rsidP="00B124FF">
      <w:pPr>
        <w:jc w:val="both"/>
        <w:rPr>
          <w:sz w:val="20"/>
          <w:lang w:val="fr-CA"/>
        </w:rPr>
      </w:pPr>
      <w:r>
        <w:rPr>
          <w:sz w:val="20"/>
          <w:szCs w:val="20"/>
        </w:rPr>
        <w:pict>
          <v:rect id="_x0000_i1053" style="width:2in;height:1pt" o:hrpct="0" o:hralign="center" o:hrstd="t" o:hrnoshade="t" o:hr="t" fillcolor="black [3213]" stroked="f"/>
        </w:pict>
      </w:r>
    </w:p>
    <w:p w:rsidR="00B124FF" w:rsidRPr="00AF75CE" w:rsidRDefault="00B124FF" w:rsidP="00B124FF">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124FF" w:rsidRPr="00AF75CE" w:rsidTr="005F32B8">
        <w:tc>
          <w:tcPr>
            <w:tcW w:w="543" w:type="pct"/>
          </w:tcPr>
          <w:p w:rsidR="00B124FF" w:rsidRPr="00AF75CE" w:rsidRDefault="00B124FF" w:rsidP="005F32B8">
            <w:pPr>
              <w:jc w:val="both"/>
              <w:rPr>
                <w:sz w:val="20"/>
              </w:rPr>
            </w:pPr>
            <w:r w:rsidRPr="00AF75CE">
              <w:rPr>
                <w:rStyle w:val="SCCFileNumberChar"/>
                <w:sz w:val="20"/>
                <w:szCs w:val="20"/>
              </w:rPr>
              <w:t>38193</w:t>
            </w:r>
          </w:p>
        </w:tc>
        <w:tc>
          <w:tcPr>
            <w:tcW w:w="4457" w:type="pct"/>
            <w:gridSpan w:val="3"/>
          </w:tcPr>
          <w:p w:rsidR="00B124FF" w:rsidRPr="000B5C89" w:rsidRDefault="00B124FF" w:rsidP="005F32B8">
            <w:pPr>
              <w:pStyle w:val="SCCLsocParty"/>
              <w:jc w:val="both"/>
              <w:rPr>
                <w:b/>
                <w:sz w:val="20"/>
                <w:szCs w:val="20"/>
              </w:rPr>
            </w:pPr>
            <w:r w:rsidRPr="000B5C89">
              <w:rPr>
                <w:b/>
                <w:sz w:val="20"/>
                <w:szCs w:val="20"/>
              </w:rPr>
              <w:t>D.M. v. Société de l</w:t>
            </w:r>
            <w:r>
              <w:rPr>
                <w:b/>
                <w:sz w:val="20"/>
                <w:szCs w:val="20"/>
              </w:rPr>
              <w:t>'assurance automobile du Québec and Administrative Tribunal of Québec</w:t>
            </w:r>
          </w:p>
          <w:p w:rsidR="00B124FF" w:rsidRPr="00AF75CE" w:rsidRDefault="00B124FF" w:rsidP="005F32B8">
            <w:pPr>
              <w:jc w:val="both"/>
              <w:rPr>
                <w:sz w:val="20"/>
              </w:rPr>
            </w:pPr>
            <w:r w:rsidRPr="00AF75CE">
              <w:rPr>
                <w:sz w:val="20"/>
              </w:rPr>
              <w:t>(Que.) (Civil) (By Leave)</w:t>
            </w:r>
          </w:p>
        </w:tc>
      </w:tr>
      <w:tr w:rsidR="00B124FF" w:rsidRPr="00C11FF6" w:rsidTr="005F32B8">
        <w:tc>
          <w:tcPr>
            <w:tcW w:w="5000" w:type="pct"/>
            <w:gridSpan w:val="4"/>
          </w:tcPr>
          <w:p w:rsidR="00B124FF" w:rsidRDefault="00B124FF" w:rsidP="005F32B8">
            <w:pPr>
              <w:jc w:val="both"/>
              <w:rPr>
                <w:sz w:val="20"/>
                <w:lang w:val="en-US"/>
              </w:rPr>
            </w:pPr>
            <w:r w:rsidRPr="00C11FF6">
              <w:rPr>
                <w:sz w:val="20"/>
                <w:lang w:val="en-US"/>
              </w:rPr>
              <w:t>The application for leave to appeal from the judgment of the Court of Appeal of Quebec (Montréal), Number 500-09-027274-182, 2018 QCCA 578, dated April 10, 2018, is dismissed with costs to the Respondent, Société de l’assurance automobile du Québec.</w:t>
            </w:r>
          </w:p>
          <w:p w:rsidR="00B124FF" w:rsidRPr="00C11FF6" w:rsidRDefault="00B124FF" w:rsidP="005F32B8">
            <w:pPr>
              <w:jc w:val="both"/>
              <w:rPr>
                <w:sz w:val="20"/>
                <w:lang w:val="en-US"/>
              </w:rPr>
            </w:pPr>
          </w:p>
        </w:tc>
      </w:tr>
      <w:tr w:rsidR="00B124FF" w:rsidRPr="00CC0B55" w:rsidTr="005F32B8">
        <w:tc>
          <w:tcPr>
            <w:tcW w:w="5000" w:type="pct"/>
            <w:gridSpan w:val="4"/>
          </w:tcPr>
          <w:p w:rsidR="00B124FF" w:rsidRPr="00C11FF6" w:rsidRDefault="00B124FF" w:rsidP="005F32B8">
            <w:pPr>
              <w:jc w:val="both"/>
              <w:rPr>
                <w:sz w:val="20"/>
                <w:lang w:val="fr-CA"/>
              </w:rPr>
            </w:pPr>
            <w:r w:rsidRPr="00C11FF6">
              <w:rPr>
                <w:sz w:val="20"/>
                <w:lang w:val="fr-CA"/>
              </w:rPr>
              <w:t>La demande d’autorisation d’appel de l’arrêt de la Cour d’appel du Québec (Montréal), numéro 500-09-027274-182, 2018 QCCA 578, daté du 10 avril 2018, est rejetée avec dépens en faveur de l’intimée, Société de l’assurance automobile du Québec.</w:t>
            </w:r>
          </w:p>
        </w:tc>
      </w:tr>
      <w:tr w:rsidR="00B124FF" w:rsidRPr="00AF75CE" w:rsidTr="005F32B8">
        <w:tc>
          <w:tcPr>
            <w:tcW w:w="5000" w:type="pct"/>
            <w:gridSpan w:val="4"/>
          </w:tcPr>
          <w:p w:rsidR="00B124FF" w:rsidRPr="00AF75CE" w:rsidRDefault="00B124FF" w:rsidP="005F32B8">
            <w:pPr>
              <w:jc w:val="both"/>
              <w:rPr>
                <w:sz w:val="20"/>
              </w:rPr>
            </w:pPr>
            <w:r w:rsidRPr="00AF75CE">
              <w:rPr>
                <w:sz w:val="20"/>
              </w:rPr>
              <w:t>Insurance – Automobile insurance</w:t>
            </w:r>
            <w:r w:rsidRPr="00AF75CE">
              <w:rPr>
                <w:i/>
                <w:sz w:val="20"/>
              </w:rPr>
              <w:t xml:space="preserve"> – </w:t>
            </w:r>
            <w:r w:rsidRPr="00AF75CE">
              <w:rPr>
                <w:sz w:val="20"/>
              </w:rPr>
              <w:t xml:space="preserve">Judicial review </w:t>
            </w:r>
            <w:r w:rsidRPr="00AF75CE">
              <w:rPr>
                <w:i/>
                <w:sz w:val="20"/>
              </w:rPr>
              <w:t>–</w:t>
            </w:r>
            <w:r w:rsidRPr="00AF75CE">
              <w:rPr>
                <w:sz w:val="20"/>
              </w:rPr>
              <w:t xml:space="preserve"> Minimum criteria that favour granting leave to appeal in cases involving question of principle and/or gross unfairness </w:t>
            </w:r>
            <w:r w:rsidRPr="00AF75CE">
              <w:rPr>
                <w:i/>
                <w:sz w:val="20"/>
              </w:rPr>
              <w:t xml:space="preserve">– </w:t>
            </w:r>
            <w:r w:rsidRPr="00AF75CE">
              <w:rPr>
                <w:sz w:val="20"/>
              </w:rPr>
              <w:t xml:space="preserve">Minimum criteria that court of original jurisdiction, Superior Court in particular, should apply in context of judicial review (evocation) </w:t>
            </w:r>
            <w:r w:rsidRPr="00AF75CE">
              <w:rPr>
                <w:i/>
                <w:sz w:val="20"/>
              </w:rPr>
              <w:t xml:space="preserve">– </w:t>
            </w:r>
            <w:r w:rsidRPr="00AF75CE">
              <w:rPr>
                <w:sz w:val="20"/>
              </w:rPr>
              <w:t xml:space="preserve">Whether insurer may take rights away from insured in totally retroactive manner </w:t>
            </w:r>
            <w:r w:rsidRPr="00AF75CE">
              <w:rPr>
                <w:i/>
                <w:sz w:val="20"/>
              </w:rPr>
              <w:t xml:space="preserve">– </w:t>
            </w:r>
            <w:r w:rsidRPr="00AF75CE">
              <w:rPr>
                <w:sz w:val="20"/>
              </w:rPr>
              <w:t xml:space="preserve">Whether, in judicial review context, court may ignore issue submitted to it </w:t>
            </w:r>
            <w:r w:rsidRPr="00AF75CE">
              <w:rPr>
                <w:i/>
                <w:sz w:val="20"/>
              </w:rPr>
              <w:t xml:space="preserve">– </w:t>
            </w:r>
            <w:r w:rsidRPr="00AF75CE">
              <w:rPr>
                <w:sz w:val="20"/>
              </w:rPr>
              <w:t>Whether court of final appeal may deny leave to appeal where, on judicial review, court of original jurisdiction has violated its own code of procedure and reached decision that was irrelevant to issue before it, declined jurisdiction to rule on issue, or refused to return case to court below it despite recognizing that that court erred in law.</w:t>
            </w:r>
          </w:p>
        </w:tc>
      </w:tr>
      <w:tr w:rsidR="00B124FF" w:rsidRPr="00AF75CE" w:rsidTr="005F32B8">
        <w:tc>
          <w:tcPr>
            <w:tcW w:w="5000" w:type="pct"/>
            <w:gridSpan w:val="4"/>
          </w:tcPr>
          <w:p w:rsidR="00B124FF" w:rsidRPr="00AF75CE" w:rsidRDefault="00B124FF" w:rsidP="005F32B8">
            <w:pPr>
              <w:jc w:val="both"/>
              <w:rPr>
                <w:sz w:val="20"/>
              </w:rPr>
            </w:pPr>
          </w:p>
          <w:p w:rsidR="00B124FF" w:rsidRPr="00AF75CE" w:rsidRDefault="00B124FF" w:rsidP="005F32B8">
            <w:pPr>
              <w:jc w:val="both"/>
              <w:rPr>
                <w:sz w:val="20"/>
              </w:rPr>
            </w:pPr>
            <w:r w:rsidRPr="00AF75CE">
              <w:rPr>
                <w:sz w:val="20"/>
              </w:rPr>
              <w:t xml:space="preserve">The applicant, D.M., was in a traffic accident in December 1987, and she received an income replacement indemnity in relation to it from the respondent Société de l’assurance automobile du Québec (SAAQ) until February 1988. D.M. was then in another traffic accident in November 1989. In 1990, she applied for an income replacement indemnity. The SAAQ denied her application. The Administrative Tribunal of Québec (ATQ) dismissed a proceeding brought by D.M. to contest the SAAQ’s decisions. </w:t>
            </w:r>
          </w:p>
          <w:p w:rsidR="00B124FF" w:rsidRPr="00AF75CE" w:rsidRDefault="00B124FF" w:rsidP="005F32B8">
            <w:pPr>
              <w:jc w:val="both"/>
              <w:rPr>
                <w:sz w:val="20"/>
              </w:rPr>
            </w:pPr>
          </w:p>
          <w:p w:rsidR="00B124FF" w:rsidRPr="00AF75CE" w:rsidRDefault="00B124FF" w:rsidP="005F32B8">
            <w:pPr>
              <w:jc w:val="both"/>
              <w:rPr>
                <w:sz w:val="20"/>
              </w:rPr>
            </w:pPr>
            <w:r w:rsidRPr="00AF75CE">
              <w:rPr>
                <w:sz w:val="20"/>
              </w:rPr>
              <w:t xml:space="preserve">D.M. applied in the Superior Court for judicial review of the Administrative Tribunal of Québec’s decision. Her application was dismissed. The judge held that any irregularity that had occurred had had no impact on the result, and that it would not therefore be appropriate to return the case to the ATQ. The Court of Appeal dismissed a motion by the applicant for leave to appeal. In its view, the conditions for granting such leave had not been met.  </w:t>
            </w:r>
          </w:p>
        </w:tc>
      </w:tr>
      <w:tr w:rsidR="00B124FF" w:rsidRPr="00AF75CE" w:rsidTr="005F32B8">
        <w:tc>
          <w:tcPr>
            <w:tcW w:w="5000" w:type="pct"/>
            <w:gridSpan w:val="4"/>
          </w:tcPr>
          <w:p w:rsidR="00B124FF" w:rsidRPr="00AF75CE" w:rsidRDefault="00B124FF" w:rsidP="005F32B8">
            <w:pPr>
              <w:jc w:val="both"/>
              <w:rPr>
                <w:sz w:val="20"/>
              </w:rPr>
            </w:pPr>
          </w:p>
        </w:tc>
      </w:tr>
      <w:tr w:rsidR="00B124FF" w:rsidRPr="00AF75CE" w:rsidTr="005F32B8">
        <w:tc>
          <w:tcPr>
            <w:tcW w:w="2427" w:type="pct"/>
            <w:gridSpan w:val="2"/>
          </w:tcPr>
          <w:p w:rsidR="00B124FF" w:rsidRPr="00AF75CE" w:rsidRDefault="00B124FF" w:rsidP="005F32B8">
            <w:pPr>
              <w:jc w:val="both"/>
              <w:rPr>
                <w:sz w:val="20"/>
              </w:rPr>
            </w:pPr>
            <w:r w:rsidRPr="00AF75CE">
              <w:rPr>
                <w:sz w:val="20"/>
              </w:rPr>
              <w:t>December 13, 2017</w:t>
            </w:r>
          </w:p>
          <w:p w:rsidR="00B124FF" w:rsidRPr="00AF75CE" w:rsidRDefault="00B124FF" w:rsidP="005F32B8">
            <w:pPr>
              <w:jc w:val="both"/>
              <w:rPr>
                <w:sz w:val="20"/>
              </w:rPr>
            </w:pPr>
            <w:r w:rsidRPr="00AF75CE">
              <w:rPr>
                <w:sz w:val="20"/>
              </w:rPr>
              <w:t>Quebec Superior Court</w:t>
            </w:r>
          </w:p>
          <w:p w:rsidR="00B124FF" w:rsidRPr="00AF75CE" w:rsidRDefault="00B124FF" w:rsidP="005F32B8">
            <w:pPr>
              <w:jc w:val="both"/>
              <w:rPr>
                <w:sz w:val="20"/>
              </w:rPr>
            </w:pPr>
            <w:r w:rsidRPr="00AF75CE">
              <w:rPr>
                <w:sz w:val="20"/>
              </w:rPr>
              <w:t>(St-Pierre J.)</w:t>
            </w:r>
          </w:p>
          <w:p w:rsidR="00B124FF" w:rsidRPr="00AF75CE" w:rsidRDefault="00A24D5C" w:rsidP="005F32B8">
            <w:pPr>
              <w:jc w:val="both"/>
              <w:rPr>
                <w:sz w:val="20"/>
              </w:rPr>
            </w:pPr>
            <w:hyperlink r:id="rId93" w:history="1">
              <w:r w:rsidR="00B124FF" w:rsidRPr="00AF75CE">
                <w:rPr>
                  <w:rStyle w:val="Hyperlink"/>
                  <w:sz w:val="20"/>
                </w:rPr>
                <w:t>2017 QCCS 5833</w:t>
              </w:r>
            </w:hyperlink>
          </w:p>
          <w:p w:rsidR="00B124FF" w:rsidRPr="00AF75CE" w:rsidRDefault="00B124FF" w:rsidP="005F32B8">
            <w:pPr>
              <w:jc w:val="both"/>
              <w:rPr>
                <w:sz w:val="20"/>
              </w:rPr>
            </w:pPr>
          </w:p>
        </w:tc>
        <w:tc>
          <w:tcPr>
            <w:tcW w:w="243" w:type="pct"/>
          </w:tcPr>
          <w:p w:rsidR="00B124FF" w:rsidRPr="00AF75CE" w:rsidRDefault="00B124FF" w:rsidP="005F32B8">
            <w:pPr>
              <w:jc w:val="both"/>
              <w:rPr>
                <w:sz w:val="20"/>
              </w:rPr>
            </w:pPr>
          </w:p>
        </w:tc>
        <w:tc>
          <w:tcPr>
            <w:tcW w:w="2330" w:type="pct"/>
          </w:tcPr>
          <w:p w:rsidR="00B124FF" w:rsidRPr="00AF75CE" w:rsidRDefault="00B124FF" w:rsidP="005F32B8">
            <w:pPr>
              <w:jc w:val="both"/>
              <w:rPr>
                <w:sz w:val="20"/>
              </w:rPr>
            </w:pPr>
            <w:r w:rsidRPr="00AF75CE">
              <w:rPr>
                <w:sz w:val="20"/>
              </w:rPr>
              <w:t xml:space="preserve">Applicant’s application for judicial review dismissed </w:t>
            </w:r>
          </w:p>
          <w:p w:rsidR="00B124FF" w:rsidRPr="00AF75CE" w:rsidRDefault="00B124FF" w:rsidP="005F32B8">
            <w:pPr>
              <w:jc w:val="both"/>
              <w:rPr>
                <w:sz w:val="20"/>
              </w:rPr>
            </w:pPr>
          </w:p>
        </w:tc>
      </w:tr>
      <w:tr w:rsidR="00B124FF" w:rsidRPr="00AF75CE" w:rsidTr="005F32B8">
        <w:tc>
          <w:tcPr>
            <w:tcW w:w="2427" w:type="pct"/>
            <w:gridSpan w:val="2"/>
          </w:tcPr>
          <w:p w:rsidR="00B124FF" w:rsidRPr="00AF75CE" w:rsidRDefault="00B124FF" w:rsidP="005F32B8">
            <w:pPr>
              <w:jc w:val="both"/>
              <w:rPr>
                <w:sz w:val="20"/>
              </w:rPr>
            </w:pPr>
            <w:r w:rsidRPr="00AF75CE">
              <w:rPr>
                <w:sz w:val="20"/>
              </w:rPr>
              <w:lastRenderedPageBreak/>
              <w:t>April 10, 2018</w:t>
            </w:r>
          </w:p>
          <w:p w:rsidR="00B124FF" w:rsidRPr="00AF75CE" w:rsidRDefault="00B124FF" w:rsidP="005F32B8">
            <w:pPr>
              <w:jc w:val="both"/>
              <w:rPr>
                <w:sz w:val="20"/>
              </w:rPr>
            </w:pPr>
            <w:r w:rsidRPr="00AF75CE">
              <w:rPr>
                <w:sz w:val="20"/>
              </w:rPr>
              <w:t>Quebec Court of Appeal (Montréal)</w:t>
            </w:r>
          </w:p>
          <w:p w:rsidR="00B124FF" w:rsidRPr="00AF75CE" w:rsidRDefault="00B124FF" w:rsidP="005F32B8">
            <w:pPr>
              <w:jc w:val="both"/>
              <w:rPr>
                <w:sz w:val="20"/>
              </w:rPr>
            </w:pPr>
            <w:r w:rsidRPr="00AF75CE">
              <w:rPr>
                <w:sz w:val="20"/>
              </w:rPr>
              <w:t>(Hogue J.A.)</w:t>
            </w:r>
          </w:p>
          <w:p w:rsidR="00B124FF" w:rsidRPr="00AF75CE" w:rsidRDefault="00A24D5C" w:rsidP="005F32B8">
            <w:pPr>
              <w:jc w:val="both"/>
              <w:rPr>
                <w:sz w:val="20"/>
              </w:rPr>
            </w:pPr>
            <w:hyperlink r:id="rId94" w:history="1">
              <w:r w:rsidR="00B124FF" w:rsidRPr="00AF75CE">
                <w:rPr>
                  <w:rStyle w:val="Hyperlink"/>
                  <w:sz w:val="20"/>
                </w:rPr>
                <w:t>2018 QCCA 578</w:t>
              </w:r>
            </w:hyperlink>
          </w:p>
          <w:p w:rsidR="00B124FF" w:rsidRPr="00AF75CE" w:rsidRDefault="00B124FF" w:rsidP="005F32B8">
            <w:pPr>
              <w:jc w:val="both"/>
              <w:rPr>
                <w:sz w:val="20"/>
              </w:rPr>
            </w:pPr>
          </w:p>
        </w:tc>
        <w:tc>
          <w:tcPr>
            <w:tcW w:w="243" w:type="pct"/>
          </w:tcPr>
          <w:p w:rsidR="00B124FF" w:rsidRPr="00AF75CE" w:rsidRDefault="00B124FF" w:rsidP="005F32B8">
            <w:pPr>
              <w:jc w:val="both"/>
              <w:rPr>
                <w:sz w:val="20"/>
              </w:rPr>
            </w:pPr>
          </w:p>
        </w:tc>
        <w:tc>
          <w:tcPr>
            <w:tcW w:w="2330" w:type="pct"/>
          </w:tcPr>
          <w:p w:rsidR="00B124FF" w:rsidRPr="00AF75CE" w:rsidRDefault="00B124FF" w:rsidP="005F32B8">
            <w:pPr>
              <w:jc w:val="both"/>
              <w:rPr>
                <w:sz w:val="20"/>
              </w:rPr>
            </w:pPr>
            <w:r w:rsidRPr="00AF75CE">
              <w:rPr>
                <w:sz w:val="20"/>
              </w:rPr>
              <w:t>Motion for leave to appeal dismissed</w:t>
            </w:r>
          </w:p>
          <w:p w:rsidR="00B124FF" w:rsidRPr="00AF75CE" w:rsidRDefault="00B124FF" w:rsidP="005F32B8">
            <w:pPr>
              <w:jc w:val="both"/>
              <w:rPr>
                <w:sz w:val="20"/>
              </w:rPr>
            </w:pPr>
          </w:p>
        </w:tc>
      </w:tr>
      <w:tr w:rsidR="00B124FF" w:rsidRPr="00AF75CE" w:rsidTr="005F32B8">
        <w:tc>
          <w:tcPr>
            <w:tcW w:w="2427" w:type="pct"/>
            <w:gridSpan w:val="2"/>
          </w:tcPr>
          <w:p w:rsidR="00B124FF" w:rsidRPr="00AF75CE" w:rsidRDefault="00B124FF" w:rsidP="005F32B8">
            <w:pPr>
              <w:jc w:val="both"/>
              <w:rPr>
                <w:sz w:val="20"/>
              </w:rPr>
            </w:pPr>
            <w:r w:rsidRPr="00AF75CE">
              <w:rPr>
                <w:sz w:val="20"/>
              </w:rPr>
              <w:t>June 11, 2018</w:t>
            </w:r>
          </w:p>
          <w:p w:rsidR="00B124FF" w:rsidRPr="00AF75CE" w:rsidRDefault="00B124FF" w:rsidP="005F32B8">
            <w:pPr>
              <w:jc w:val="both"/>
              <w:rPr>
                <w:sz w:val="20"/>
              </w:rPr>
            </w:pPr>
            <w:r w:rsidRPr="00AF75CE">
              <w:rPr>
                <w:sz w:val="20"/>
              </w:rPr>
              <w:t>Supreme Court of Canada</w:t>
            </w:r>
          </w:p>
        </w:tc>
        <w:tc>
          <w:tcPr>
            <w:tcW w:w="243" w:type="pct"/>
          </w:tcPr>
          <w:p w:rsidR="00B124FF" w:rsidRPr="00AF75CE" w:rsidRDefault="00B124FF" w:rsidP="005F32B8">
            <w:pPr>
              <w:jc w:val="both"/>
              <w:rPr>
                <w:sz w:val="20"/>
              </w:rPr>
            </w:pPr>
          </w:p>
        </w:tc>
        <w:tc>
          <w:tcPr>
            <w:tcW w:w="2330" w:type="pct"/>
          </w:tcPr>
          <w:p w:rsidR="00B124FF" w:rsidRPr="00AF75CE" w:rsidRDefault="00B124FF" w:rsidP="005F32B8">
            <w:pPr>
              <w:jc w:val="both"/>
              <w:rPr>
                <w:sz w:val="20"/>
              </w:rPr>
            </w:pPr>
            <w:r w:rsidRPr="00AF75CE">
              <w:rPr>
                <w:sz w:val="20"/>
              </w:rPr>
              <w:t>Application for leave to appeal filed</w:t>
            </w:r>
          </w:p>
          <w:p w:rsidR="00B124FF" w:rsidRPr="00AF75CE" w:rsidRDefault="00B124FF" w:rsidP="005F32B8">
            <w:pPr>
              <w:jc w:val="both"/>
              <w:rPr>
                <w:sz w:val="20"/>
              </w:rPr>
            </w:pPr>
          </w:p>
        </w:tc>
      </w:tr>
    </w:tbl>
    <w:p w:rsidR="00B124FF" w:rsidRPr="00AF75CE" w:rsidRDefault="00B124FF" w:rsidP="00B124FF">
      <w:pPr>
        <w:jc w:val="both"/>
        <w:rPr>
          <w:sz w:val="20"/>
        </w:rPr>
      </w:pPr>
    </w:p>
    <w:p w:rsidR="00B124FF" w:rsidRPr="00AF75CE" w:rsidRDefault="00B124FF" w:rsidP="00B124F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124FF" w:rsidRPr="00AF75CE" w:rsidTr="005F32B8">
        <w:tc>
          <w:tcPr>
            <w:tcW w:w="543" w:type="pct"/>
          </w:tcPr>
          <w:p w:rsidR="00B124FF" w:rsidRPr="00AF75CE" w:rsidRDefault="00B124FF" w:rsidP="005F32B8">
            <w:pPr>
              <w:jc w:val="both"/>
              <w:rPr>
                <w:sz w:val="20"/>
              </w:rPr>
            </w:pPr>
            <w:r w:rsidRPr="00AF75CE">
              <w:rPr>
                <w:rStyle w:val="SCCFileNumberChar"/>
                <w:sz w:val="20"/>
                <w:szCs w:val="20"/>
              </w:rPr>
              <w:t>38193</w:t>
            </w:r>
          </w:p>
        </w:tc>
        <w:tc>
          <w:tcPr>
            <w:tcW w:w="4457" w:type="pct"/>
            <w:gridSpan w:val="3"/>
          </w:tcPr>
          <w:p w:rsidR="00B124FF" w:rsidRPr="00AF75CE" w:rsidRDefault="00B124FF" w:rsidP="005F32B8">
            <w:pPr>
              <w:pStyle w:val="SCCLsocParty"/>
              <w:jc w:val="both"/>
              <w:rPr>
                <w:sz w:val="20"/>
                <w:szCs w:val="20"/>
              </w:rPr>
            </w:pPr>
            <w:r w:rsidRPr="000B5C89">
              <w:rPr>
                <w:b/>
                <w:sz w:val="20"/>
                <w:szCs w:val="20"/>
              </w:rPr>
              <w:t>D.M. c. Société de l'assurance automobile du Québec</w:t>
            </w:r>
            <w:r>
              <w:rPr>
                <w:b/>
                <w:sz w:val="20"/>
                <w:szCs w:val="20"/>
              </w:rPr>
              <w:t xml:space="preserve"> et</w:t>
            </w:r>
            <w:r w:rsidRPr="000B5C89">
              <w:rPr>
                <w:b/>
                <w:sz w:val="20"/>
                <w:szCs w:val="20"/>
              </w:rPr>
              <w:t xml:space="preserve"> Tribunal administratif du Québec</w:t>
            </w:r>
          </w:p>
          <w:p w:rsidR="00B124FF" w:rsidRPr="00AF75CE" w:rsidRDefault="00B124FF" w:rsidP="005F32B8">
            <w:pPr>
              <w:jc w:val="both"/>
              <w:rPr>
                <w:sz w:val="20"/>
              </w:rPr>
            </w:pPr>
            <w:r w:rsidRPr="00AF75CE">
              <w:rPr>
                <w:sz w:val="20"/>
              </w:rPr>
              <w:t>(Qc) (Civile) (Autorisation)</w:t>
            </w:r>
          </w:p>
        </w:tc>
      </w:tr>
      <w:tr w:rsidR="00B124FF" w:rsidRPr="00CC0B55" w:rsidTr="005F32B8">
        <w:tc>
          <w:tcPr>
            <w:tcW w:w="5000" w:type="pct"/>
            <w:gridSpan w:val="4"/>
          </w:tcPr>
          <w:p w:rsidR="00B124FF" w:rsidRDefault="00B124FF" w:rsidP="005F32B8">
            <w:pPr>
              <w:jc w:val="both"/>
              <w:rPr>
                <w:sz w:val="20"/>
                <w:lang w:val="fr-CA"/>
              </w:rPr>
            </w:pPr>
            <w:r w:rsidRPr="00C11FF6">
              <w:rPr>
                <w:sz w:val="20"/>
                <w:lang w:val="fr-CA"/>
              </w:rPr>
              <w:t>La demande d’autorisation d’appel de l’arrêt de la Cour d’appel du Québec (Montréal), numéro 500-09-027274-182, 2018 QCCA 578, daté du 10 avril 2018, est rejetée avec dépens en faveur de l’intimée, Société de l’assurance automobile du Québec.</w:t>
            </w:r>
          </w:p>
          <w:p w:rsidR="00B124FF" w:rsidRPr="00AF75CE" w:rsidRDefault="00B124FF" w:rsidP="005F32B8">
            <w:pPr>
              <w:jc w:val="both"/>
              <w:rPr>
                <w:sz w:val="20"/>
                <w:lang w:val="fr-CA"/>
              </w:rPr>
            </w:pPr>
          </w:p>
        </w:tc>
      </w:tr>
      <w:tr w:rsidR="00B124FF" w:rsidRPr="00CC0B55" w:rsidTr="005F32B8">
        <w:tc>
          <w:tcPr>
            <w:tcW w:w="5000" w:type="pct"/>
            <w:gridSpan w:val="4"/>
          </w:tcPr>
          <w:p w:rsidR="00B124FF" w:rsidRPr="00AF75CE" w:rsidRDefault="00B124FF" w:rsidP="005F32B8">
            <w:pPr>
              <w:jc w:val="both"/>
              <w:rPr>
                <w:sz w:val="20"/>
                <w:lang w:val="fr-CA"/>
              </w:rPr>
            </w:pPr>
            <w:r w:rsidRPr="00AF75CE">
              <w:rPr>
                <w:sz w:val="20"/>
                <w:lang w:val="fr-CA"/>
              </w:rPr>
              <w:t>Assurances – Assurance automobile</w:t>
            </w:r>
            <w:r w:rsidRPr="00AF75CE">
              <w:rPr>
                <w:i/>
                <w:sz w:val="20"/>
                <w:lang w:val="fr-CA"/>
              </w:rPr>
              <w:t xml:space="preserve"> – </w:t>
            </w:r>
            <w:r w:rsidRPr="00AF75CE">
              <w:rPr>
                <w:sz w:val="20"/>
                <w:lang w:val="fr-CA"/>
              </w:rPr>
              <w:t xml:space="preserve">Contrôle judiciaire </w:t>
            </w:r>
            <w:r w:rsidRPr="00AF75CE">
              <w:rPr>
                <w:i/>
                <w:sz w:val="20"/>
                <w:lang w:val="fr-CA"/>
              </w:rPr>
              <w:t xml:space="preserve">– </w:t>
            </w:r>
            <w:r w:rsidRPr="00AF75CE">
              <w:rPr>
                <w:sz w:val="20"/>
                <w:lang w:val="fr-CA"/>
              </w:rPr>
              <w:t xml:space="preserve">Quels sont les critères minimaux qui militent en faveur de l’octroi d’une permission d’appel dans les cas de principe et/ou d’injustice flagrante? </w:t>
            </w:r>
            <w:r w:rsidRPr="00AF75CE">
              <w:rPr>
                <w:i/>
                <w:sz w:val="20"/>
                <w:lang w:val="fr-CA"/>
              </w:rPr>
              <w:t xml:space="preserve">– </w:t>
            </w:r>
            <w:r w:rsidRPr="00AF75CE">
              <w:rPr>
                <w:sz w:val="20"/>
                <w:lang w:val="fr-CA"/>
              </w:rPr>
              <w:t xml:space="preserve">Quels sont les critères minimaux qu’un tribunal de première instance, notamment la Cour supérieure, devrait appliquer lors d’un contrôle judiciaire (évocation)? </w:t>
            </w:r>
            <w:r w:rsidRPr="00AF75CE">
              <w:rPr>
                <w:i/>
                <w:sz w:val="20"/>
                <w:lang w:val="fr-CA"/>
              </w:rPr>
              <w:t xml:space="preserve">– </w:t>
            </w:r>
            <w:r w:rsidRPr="00AF75CE">
              <w:rPr>
                <w:sz w:val="20"/>
                <w:lang w:val="fr-CA"/>
              </w:rPr>
              <w:t xml:space="preserve">Un assureur peut-il retirer des droits de façon totalement rétroactive à un assuré? </w:t>
            </w:r>
            <w:r w:rsidRPr="00AF75CE">
              <w:rPr>
                <w:i/>
                <w:sz w:val="20"/>
                <w:lang w:val="fr-CA"/>
              </w:rPr>
              <w:t xml:space="preserve">– </w:t>
            </w:r>
            <w:r w:rsidRPr="00AF75CE">
              <w:rPr>
                <w:sz w:val="20"/>
                <w:lang w:val="fr-CA"/>
              </w:rPr>
              <w:t xml:space="preserve">En contrôle judiciaire, un tribunal peut-il ignorer le débat soumis devant lui? </w:t>
            </w:r>
            <w:r w:rsidRPr="00AF75CE">
              <w:rPr>
                <w:i/>
                <w:sz w:val="20"/>
                <w:lang w:val="fr-CA"/>
              </w:rPr>
              <w:t xml:space="preserve">– </w:t>
            </w:r>
            <w:r w:rsidRPr="00AF75CE">
              <w:rPr>
                <w:sz w:val="20"/>
                <w:lang w:val="fr-CA"/>
              </w:rPr>
              <w:t>Un tribunal de dernière instance peut-il refuser une permission d’appeler lorsqu’en révision judiciaire, le tribunal de première instance viole son propre Code de procédure et tranche en dehors du débat qui est devant lui, refuse sa compétence à trancher le débat ou encore refuse de retourner le dossier devant l’instance antérieure, alors qu’il reconnaît que cette dernière a erré en droit?</w:t>
            </w:r>
          </w:p>
        </w:tc>
      </w:tr>
      <w:tr w:rsidR="00B124FF" w:rsidRPr="00CC0B55" w:rsidTr="005F32B8">
        <w:tc>
          <w:tcPr>
            <w:tcW w:w="5000" w:type="pct"/>
            <w:gridSpan w:val="4"/>
          </w:tcPr>
          <w:p w:rsidR="00B124FF" w:rsidRPr="00AF75CE" w:rsidRDefault="00B124FF" w:rsidP="005F32B8">
            <w:pPr>
              <w:jc w:val="both"/>
              <w:rPr>
                <w:sz w:val="20"/>
                <w:lang w:val="fr-CA"/>
              </w:rPr>
            </w:pPr>
          </w:p>
          <w:p w:rsidR="00B124FF" w:rsidRPr="00AF75CE" w:rsidRDefault="00B124FF" w:rsidP="005F32B8">
            <w:pPr>
              <w:jc w:val="both"/>
              <w:rPr>
                <w:sz w:val="20"/>
                <w:lang w:val="fr-CA"/>
              </w:rPr>
            </w:pPr>
            <w:r w:rsidRPr="00AF75CE">
              <w:rPr>
                <w:sz w:val="20"/>
                <w:lang w:val="fr-CA"/>
              </w:rPr>
              <w:t xml:space="preserve">La demanderesse D.M. a subi un accident de la route en décembre 1987, pour lequel elle a reçu une indemnité de remplacement du revenu de l’intimée, la Société de l’assurance automobile du Québec (SAAQ), jusqu’en février 1988. D.M. est victime d’un autre accident de la route en novembre 1989. En 1990 elle demande une indemnité de remplacement du revenu. Cette demande est refusée par la SAAQ. Le Tribunal administratif du Québec (TAQ) rejette le recours de D.M. à l’encontre des décisions de la SAAQ. </w:t>
            </w:r>
          </w:p>
          <w:p w:rsidR="00B124FF" w:rsidRPr="00AF75CE" w:rsidRDefault="00B124FF" w:rsidP="005F32B8">
            <w:pPr>
              <w:jc w:val="both"/>
              <w:rPr>
                <w:sz w:val="20"/>
                <w:lang w:val="fr-CA"/>
              </w:rPr>
            </w:pPr>
          </w:p>
          <w:p w:rsidR="00B124FF" w:rsidRPr="00AF75CE" w:rsidRDefault="00B124FF" w:rsidP="005F32B8">
            <w:pPr>
              <w:jc w:val="both"/>
              <w:rPr>
                <w:sz w:val="20"/>
                <w:lang w:val="fr-CA"/>
              </w:rPr>
            </w:pPr>
            <w:r w:rsidRPr="00AF75CE">
              <w:rPr>
                <w:sz w:val="20"/>
                <w:lang w:val="fr-CA"/>
              </w:rPr>
              <w:t xml:space="preserve">D.M. demande le contrôle judiciaire de la décision du Tribunal administratif du Québec en Cour supérieure. Sa demande est rejetée. Le juge conclut que toute irrégularité ayant été commise n’a pas eu d’incidence sur le résultat et qu’il ne serait donc pas approprié de retourner le dossier au TAQ. La Cour d’appel rejette la requête pour permission d’appeler de la demanderesse. Elle estime que les conditions pour qu’une telle permission soit accordée ne sont pas satisfaites.  </w:t>
            </w:r>
          </w:p>
        </w:tc>
      </w:tr>
      <w:tr w:rsidR="00B124FF" w:rsidRPr="00CC0B55" w:rsidTr="005F32B8">
        <w:tc>
          <w:tcPr>
            <w:tcW w:w="5000" w:type="pct"/>
            <w:gridSpan w:val="4"/>
          </w:tcPr>
          <w:p w:rsidR="00B124FF" w:rsidRPr="00AF75CE" w:rsidRDefault="00B124FF" w:rsidP="005F32B8">
            <w:pPr>
              <w:jc w:val="both"/>
              <w:rPr>
                <w:sz w:val="20"/>
                <w:lang w:val="fr-CA"/>
              </w:rPr>
            </w:pPr>
          </w:p>
        </w:tc>
      </w:tr>
      <w:tr w:rsidR="00B124FF" w:rsidRPr="00CC0B55" w:rsidTr="005F32B8">
        <w:tc>
          <w:tcPr>
            <w:tcW w:w="2427" w:type="pct"/>
            <w:gridSpan w:val="2"/>
          </w:tcPr>
          <w:p w:rsidR="00B124FF" w:rsidRPr="00AF75CE" w:rsidRDefault="00B124FF" w:rsidP="005F32B8">
            <w:pPr>
              <w:jc w:val="both"/>
              <w:rPr>
                <w:sz w:val="20"/>
                <w:lang w:val="fr-CA"/>
              </w:rPr>
            </w:pPr>
            <w:r w:rsidRPr="00AF75CE">
              <w:rPr>
                <w:sz w:val="20"/>
                <w:lang w:val="fr-CA"/>
              </w:rPr>
              <w:t>Le 13 décembre 2017</w:t>
            </w:r>
          </w:p>
          <w:p w:rsidR="00B124FF" w:rsidRPr="00AF75CE" w:rsidRDefault="00B124FF" w:rsidP="005F32B8">
            <w:pPr>
              <w:jc w:val="both"/>
              <w:rPr>
                <w:sz w:val="20"/>
                <w:lang w:val="fr-CA"/>
              </w:rPr>
            </w:pPr>
            <w:r w:rsidRPr="00AF75CE">
              <w:rPr>
                <w:sz w:val="20"/>
                <w:lang w:val="fr-CA"/>
              </w:rPr>
              <w:t>Cour supérieure du Québec</w:t>
            </w:r>
          </w:p>
          <w:p w:rsidR="00B124FF" w:rsidRPr="00AF75CE" w:rsidRDefault="00B124FF" w:rsidP="005F32B8">
            <w:pPr>
              <w:jc w:val="both"/>
              <w:rPr>
                <w:sz w:val="20"/>
                <w:lang w:val="fr-CA"/>
              </w:rPr>
            </w:pPr>
            <w:r w:rsidRPr="00AF75CE">
              <w:rPr>
                <w:sz w:val="20"/>
                <w:lang w:val="fr-CA"/>
              </w:rPr>
              <w:t>(le juge St-Pierre)</w:t>
            </w:r>
          </w:p>
          <w:p w:rsidR="00B124FF" w:rsidRPr="00AF75CE" w:rsidRDefault="00A24D5C" w:rsidP="005F32B8">
            <w:pPr>
              <w:jc w:val="both"/>
              <w:rPr>
                <w:sz w:val="20"/>
                <w:lang w:val="fr-CA"/>
              </w:rPr>
            </w:pPr>
            <w:hyperlink r:id="rId95" w:history="1">
              <w:r w:rsidR="00B124FF" w:rsidRPr="00AF75CE">
                <w:rPr>
                  <w:rStyle w:val="Hyperlink"/>
                  <w:sz w:val="20"/>
                  <w:lang w:val="fr-CA"/>
                </w:rPr>
                <w:t>2017 QCCS 5833</w:t>
              </w:r>
            </w:hyperlink>
          </w:p>
          <w:p w:rsidR="00B124FF" w:rsidRPr="00AF75CE" w:rsidRDefault="00B124FF" w:rsidP="005F32B8">
            <w:pPr>
              <w:jc w:val="both"/>
              <w:rPr>
                <w:sz w:val="20"/>
                <w:lang w:val="fr-CA"/>
              </w:rPr>
            </w:pPr>
          </w:p>
        </w:tc>
        <w:tc>
          <w:tcPr>
            <w:tcW w:w="243" w:type="pct"/>
          </w:tcPr>
          <w:p w:rsidR="00B124FF" w:rsidRPr="00AF75CE" w:rsidRDefault="00B124FF" w:rsidP="005F32B8">
            <w:pPr>
              <w:jc w:val="both"/>
              <w:rPr>
                <w:sz w:val="20"/>
                <w:lang w:val="fr-CA"/>
              </w:rPr>
            </w:pPr>
          </w:p>
        </w:tc>
        <w:tc>
          <w:tcPr>
            <w:tcW w:w="2330" w:type="pct"/>
          </w:tcPr>
          <w:p w:rsidR="00B124FF" w:rsidRPr="00AF75CE" w:rsidRDefault="00B124FF" w:rsidP="005F32B8">
            <w:pPr>
              <w:jc w:val="both"/>
              <w:rPr>
                <w:sz w:val="20"/>
                <w:lang w:val="fr-CA"/>
              </w:rPr>
            </w:pPr>
            <w:r w:rsidRPr="00AF75CE">
              <w:rPr>
                <w:sz w:val="20"/>
                <w:lang w:val="fr-CA"/>
              </w:rPr>
              <w:t>Requête en révision judiciaire de la demanderesse rejetée</w:t>
            </w:r>
          </w:p>
          <w:p w:rsidR="00B124FF" w:rsidRPr="00AF75CE" w:rsidRDefault="00B124FF" w:rsidP="005F32B8">
            <w:pPr>
              <w:jc w:val="both"/>
              <w:rPr>
                <w:sz w:val="20"/>
                <w:lang w:val="fr-CA"/>
              </w:rPr>
            </w:pPr>
          </w:p>
        </w:tc>
      </w:tr>
      <w:tr w:rsidR="00B124FF" w:rsidRPr="00AF75CE" w:rsidTr="005F32B8">
        <w:tc>
          <w:tcPr>
            <w:tcW w:w="2427" w:type="pct"/>
            <w:gridSpan w:val="2"/>
          </w:tcPr>
          <w:p w:rsidR="00B124FF" w:rsidRPr="00AF75CE" w:rsidRDefault="00B124FF" w:rsidP="005F32B8">
            <w:pPr>
              <w:jc w:val="both"/>
              <w:rPr>
                <w:sz w:val="20"/>
                <w:lang w:val="fr-CA"/>
              </w:rPr>
            </w:pPr>
            <w:r w:rsidRPr="00AF75CE">
              <w:rPr>
                <w:sz w:val="20"/>
                <w:lang w:val="fr-CA"/>
              </w:rPr>
              <w:t>Le 10 avril 2018</w:t>
            </w:r>
          </w:p>
          <w:p w:rsidR="00B124FF" w:rsidRPr="00AF75CE" w:rsidRDefault="00B124FF" w:rsidP="005F32B8">
            <w:pPr>
              <w:jc w:val="both"/>
              <w:rPr>
                <w:sz w:val="20"/>
                <w:lang w:val="fr-CA"/>
              </w:rPr>
            </w:pPr>
            <w:r w:rsidRPr="00AF75CE">
              <w:rPr>
                <w:sz w:val="20"/>
                <w:lang w:val="fr-CA"/>
              </w:rPr>
              <w:t>Cour d’appel du Québec (Montréal)</w:t>
            </w:r>
          </w:p>
          <w:p w:rsidR="00B124FF" w:rsidRPr="00AF75CE" w:rsidRDefault="00B124FF" w:rsidP="005F32B8">
            <w:pPr>
              <w:jc w:val="both"/>
              <w:rPr>
                <w:sz w:val="20"/>
              </w:rPr>
            </w:pPr>
            <w:r w:rsidRPr="00AF75CE">
              <w:rPr>
                <w:sz w:val="20"/>
              </w:rPr>
              <w:t>(la juge Hogue)</w:t>
            </w:r>
          </w:p>
          <w:p w:rsidR="00B124FF" w:rsidRPr="00AF75CE" w:rsidRDefault="00A24D5C" w:rsidP="005F32B8">
            <w:pPr>
              <w:jc w:val="both"/>
              <w:rPr>
                <w:sz w:val="20"/>
              </w:rPr>
            </w:pPr>
            <w:hyperlink r:id="rId96" w:history="1">
              <w:r w:rsidR="00B124FF" w:rsidRPr="00AF75CE">
                <w:rPr>
                  <w:rStyle w:val="Hyperlink"/>
                  <w:sz w:val="20"/>
                </w:rPr>
                <w:t>2018 QCCA 578</w:t>
              </w:r>
            </w:hyperlink>
          </w:p>
          <w:p w:rsidR="00B124FF" w:rsidRPr="00AF75CE" w:rsidRDefault="00B124FF" w:rsidP="005F32B8">
            <w:pPr>
              <w:jc w:val="both"/>
              <w:rPr>
                <w:sz w:val="20"/>
              </w:rPr>
            </w:pPr>
          </w:p>
        </w:tc>
        <w:tc>
          <w:tcPr>
            <w:tcW w:w="243" w:type="pct"/>
          </w:tcPr>
          <w:p w:rsidR="00B124FF" w:rsidRPr="00AF75CE" w:rsidRDefault="00B124FF" w:rsidP="005F32B8">
            <w:pPr>
              <w:jc w:val="both"/>
              <w:rPr>
                <w:sz w:val="20"/>
              </w:rPr>
            </w:pPr>
          </w:p>
        </w:tc>
        <w:tc>
          <w:tcPr>
            <w:tcW w:w="2330" w:type="pct"/>
          </w:tcPr>
          <w:p w:rsidR="00B124FF" w:rsidRPr="00AF75CE" w:rsidRDefault="00B124FF" w:rsidP="005F32B8">
            <w:pPr>
              <w:jc w:val="both"/>
              <w:rPr>
                <w:sz w:val="20"/>
              </w:rPr>
            </w:pPr>
            <w:r w:rsidRPr="00AF75CE">
              <w:rPr>
                <w:sz w:val="20"/>
              </w:rPr>
              <w:t>Requête pour permission d’appeler rejetée</w:t>
            </w:r>
          </w:p>
          <w:p w:rsidR="00B124FF" w:rsidRPr="00AF75CE" w:rsidRDefault="00B124FF" w:rsidP="005F32B8">
            <w:pPr>
              <w:jc w:val="both"/>
              <w:rPr>
                <w:sz w:val="20"/>
              </w:rPr>
            </w:pPr>
          </w:p>
        </w:tc>
      </w:tr>
      <w:tr w:rsidR="00B124FF" w:rsidRPr="00AF75CE" w:rsidTr="005F32B8">
        <w:tc>
          <w:tcPr>
            <w:tcW w:w="2427" w:type="pct"/>
            <w:gridSpan w:val="2"/>
          </w:tcPr>
          <w:p w:rsidR="00B124FF" w:rsidRPr="00AF75CE" w:rsidRDefault="00B124FF" w:rsidP="005F32B8">
            <w:pPr>
              <w:jc w:val="both"/>
              <w:rPr>
                <w:sz w:val="20"/>
                <w:lang w:val="fr-CA"/>
              </w:rPr>
            </w:pPr>
            <w:r w:rsidRPr="00AF75CE">
              <w:rPr>
                <w:sz w:val="20"/>
                <w:lang w:val="fr-CA"/>
              </w:rPr>
              <w:t>Le 11 juin 2018</w:t>
            </w:r>
          </w:p>
          <w:p w:rsidR="00B124FF" w:rsidRPr="00AF75CE" w:rsidRDefault="00B124FF" w:rsidP="005F32B8">
            <w:pPr>
              <w:jc w:val="both"/>
              <w:rPr>
                <w:sz w:val="20"/>
                <w:lang w:val="fr-CA"/>
              </w:rPr>
            </w:pPr>
            <w:r w:rsidRPr="00AF75CE">
              <w:rPr>
                <w:sz w:val="20"/>
                <w:lang w:val="fr-CA"/>
              </w:rPr>
              <w:t>Cour suprême du Canada</w:t>
            </w:r>
          </w:p>
        </w:tc>
        <w:tc>
          <w:tcPr>
            <w:tcW w:w="243" w:type="pct"/>
          </w:tcPr>
          <w:p w:rsidR="00B124FF" w:rsidRPr="00AF75CE" w:rsidRDefault="00B124FF" w:rsidP="005F32B8">
            <w:pPr>
              <w:jc w:val="both"/>
              <w:rPr>
                <w:sz w:val="20"/>
                <w:lang w:val="fr-CA"/>
              </w:rPr>
            </w:pPr>
          </w:p>
        </w:tc>
        <w:tc>
          <w:tcPr>
            <w:tcW w:w="2330" w:type="pct"/>
          </w:tcPr>
          <w:p w:rsidR="00B124FF" w:rsidRPr="00AF75CE" w:rsidRDefault="00B124FF" w:rsidP="005F32B8">
            <w:pPr>
              <w:jc w:val="both"/>
              <w:rPr>
                <w:sz w:val="20"/>
              </w:rPr>
            </w:pPr>
            <w:r w:rsidRPr="00AF75CE">
              <w:rPr>
                <w:sz w:val="20"/>
              </w:rPr>
              <w:t>Demande d’autorisation d’appel déposée</w:t>
            </w:r>
          </w:p>
          <w:p w:rsidR="00B124FF" w:rsidRPr="00AF75CE" w:rsidRDefault="00B124FF" w:rsidP="005F32B8">
            <w:pPr>
              <w:jc w:val="both"/>
              <w:rPr>
                <w:sz w:val="20"/>
              </w:rPr>
            </w:pPr>
          </w:p>
        </w:tc>
      </w:tr>
    </w:tbl>
    <w:p w:rsidR="00B124FF" w:rsidRDefault="00B124FF" w:rsidP="00B124FF">
      <w:pPr>
        <w:jc w:val="both"/>
        <w:rPr>
          <w:sz w:val="20"/>
        </w:rPr>
      </w:pPr>
    </w:p>
    <w:p w:rsidR="00B124FF" w:rsidRPr="00AF75CE" w:rsidRDefault="00A24D5C" w:rsidP="00B124FF">
      <w:pPr>
        <w:jc w:val="both"/>
        <w:rPr>
          <w:sz w:val="20"/>
        </w:rPr>
      </w:pPr>
      <w:r>
        <w:rPr>
          <w:sz w:val="20"/>
          <w:szCs w:val="20"/>
        </w:rPr>
        <w:pict>
          <v:rect id="_x0000_i1054" style="width:2in;height:1pt" o:hrpct="0" o:hralign="center" o:hrstd="t" o:hrnoshade="t" o:hr="t" fillcolor="black [3213]" stroked="f"/>
        </w:pict>
      </w:r>
    </w:p>
    <w:p w:rsidR="00B124FF" w:rsidRDefault="00B124FF" w:rsidP="00B124FF">
      <w:pPr>
        <w:rPr>
          <w:sz w:val="20"/>
          <w:lang w:val="fr-CA"/>
        </w:rPr>
      </w:pPr>
      <w:r>
        <w:rPr>
          <w:sz w:val="20"/>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124FF" w:rsidRPr="00AF75CE" w:rsidTr="005F32B8">
        <w:tc>
          <w:tcPr>
            <w:tcW w:w="543" w:type="pct"/>
          </w:tcPr>
          <w:p w:rsidR="00B124FF" w:rsidRPr="00AF75CE" w:rsidRDefault="00B124FF" w:rsidP="005F32B8">
            <w:pPr>
              <w:jc w:val="both"/>
              <w:rPr>
                <w:sz w:val="20"/>
              </w:rPr>
            </w:pPr>
            <w:r w:rsidRPr="00AF75CE">
              <w:rPr>
                <w:rStyle w:val="SCCFileNumberChar"/>
                <w:sz w:val="20"/>
                <w:szCs w:val="20"/>
              </w:rPr>
              <w:lastRenderedPageBreak/>
              <w:t>38371</w:t>
            </w:r>
          </w:p>
        </w:tc>
        <w:tc>
          <w:tcPr>
            <w:tcW w:w="4457" w:type="pct"/>
            <w:gridSpan w:val="3"/>
          </w:tcPr>
          <w:p w:rsidR="00B124FF" w:rsidRPr="000B5C89" w:rsidRDefault="00B124FF" w:rsidP="005F32B8">
            <w:pPr>
              <w:pStyle w:val="SCCLsocParty"/>
              <w:jc w:val="both"/>
              <w:rPr>
                <w:b/>
                <w:sz w:val="20"/>
                <w:szCs w:val="20"/>
                <w:lang w:val="en-US"/>
              </w:rPr>
            </w:pPr>
            <w:r w:rsidRPr="000B5C89">
              <w:rPr>
                <w:b/>
                <w:sz w:val="20"/>
                <w:szCs w:val="20"/>
                <w:lang w:val="en-US"/>
              </w:rPr>
              <w:t>Jake Blacksmith v. Her Majesty the Queen</w:t>
            </w:r>
          </w:p>
          <w:p w:rsidR="00B124FF" w:rsidRPr="00AF75CE" w:rsidRDefault="00B124FF" w:rsidP="005F32B8">
            <w:pPr>
              <w:jc w:val="both"/>
              <w:rPr>
                <w:sz w:val="20"/>
              </w:rPr>
            </w:pPr>
            <w:r w:rsidRPr="00AF75CE">
              <w:rPr>
                <w:sz w:val="20"/>
              </w:rPr>
              <w:t>(Man.) (Criminal) (By Leave)</w:t>
            </w:r>
          </w:p>
        </w:tc>
      </w:tr>
      <w:tr w:rsidR="00B124FF" w:rsidRPr="00AF75CE" w:rsidTr="005F32B8">
        <w:tc>
          <w:tcPr>
            <w:tcW w:w="5000" w:type="pct"/>
            <w:gridSpan w:val="4"/>
          </w:tcPr>
          <w:p w:rsidR="00B124FF" w:rsidRDefault="00B124FF" w:rsidP="005F32B8">
            <w:pPr>
              <w:jc w:val="both"/>
              <w:rPr>
                <w:sz w:val="20"/>
              </w:rPr>
            </w:pPr>
            <w:r w:rsidRPr="00C11FF6">
              <w:rPr>
                <w:sz w:val="20"/>
              </w:rPr>
              <w:t>The application for leave to appeal from the judgment of the Court of Appeal of Manitoba, Number AR17-30-08890, 2018 MBCA 81, dated August 30, 2018, is dismissed.</w:t>
            </w:r>
          </w:p>
          <w:p w:rsidR="00B124FF" w:rsidRPr="00AF75CE" w:rsidRDefault="00B124FF" w:rsidP="005F32B8">
            <w:pPr>
              <w:jc w:val="both"/>
              <w:rPr>
                <w:sz w:val="20"/>
              </w:rPr>
            </w:pPr>
          </w:p>
        </w:tc>
      </w:tr>
      <w:tr w:rsidR="00B124FF" w:rsidRPr="00AF75CE" w:rsidTr="005F32B8">
        <w:tc>
          <w:tcPr>
            <w:tcW w:w="5000" w:type="pct"/>
            <w:gridSpan w:val="4"/>
          </w:tcPr>
          <w:p w:rsidR="00B124FF" w:rsidRPr="00AF75CE" w:rsidRDefault="00B124FF" w:rsidP="005F32B8">
            <w:pPr>
              <w:jc w:val="both"/>
              <w:rPr>
                <w:sz w:val="20"/>
              </w:rPr>
            </w:pPr>
            <w:r w:rsidRPr="00AF75CE">
              <w:rPr>
                <w:sz w:val="20"/>
              </w:rPr>
              <w:t>Criminal law – Sentencing – Appeal – Whether majority of Court of Appeal erred in finding sentence failed to adequately address denunciation and deterrence and was demonstrably unfit?</w:t>
            </w:r>
          </w:p>
          <w:p w:rsidR="00B124FF" w:rsidRPr="00AF75CE" w:rsidRDefault="00B124FF" w:rsidP="005F32B8">
            <w:pPr>
              <w:jc w:val="both"/>
              <w:rPr>
                <w:sz w:val="20"/>
              </w:rPr>
            </w:pPr>
          </w:p>
        </w:tc>
      </w:tr>
      <w:tr w:rsidR="00B124FF" w:rsidRPr="00AF75CE" w:rsidTr="005F32B8">
        <w:tc>
          <w:tcPr>
            <w:tcW w:w="5000" w:type="pct"/>
            <w:gridSpan w:val="4"/>
          </w:tcPr>
          <w:p w:rsidR="00B124FF" w:rsidRPr="00AF75CE" w:rsidRDefault="00B124FF" w:rsidP="005F32B8">
            <w:pPr>
              <w:jc w:val="both"/>
              <w:rPr>
                <w:sz w:val="20"/>
              </w:rPr>
            </w:pPr>
            <w:r w:rsidRPr="00AF75CE">
              <w:rPr>
                <w:sz w:val="20"/>
              </w:rPr>
              <w:t>Mr. Blacksmith was convicted for breaking and entering a dwelling-house, stealing a television and stealing firearms. He had no memory of the offences. The firearms were not recovered. Crown counsel sought a sentence of two years less one day plus two years of probation. Mr. Blacksmith was sentenced to two years of probation. A majority of the Court of Appeal varied the sentence to 15 months imprisonment plus 12 months of probation. Monnin J.A., dissenting, would have imposed a two year term served on probation.</w:t>
            </w:r>
          </w:p>
        </w:tc>
      </w:tr>
      <w:tr w:rsidR="00B124FF" w:rsidRPr="00AF75CE" w:rsidTr="005F32B8">
        <w:tc>
          <w:tcPr>
            <w:tcW w:w="5000" w:type="pct"/>
            <w:gridSpan w:val="4"/>
          </w:tcPr>
          <w:p w:rsidR="00B124FF" w:rsidRPr="00AF75CE" w:rsidRDefault="00B124FF" w:rsidP="005F32B8">
            <w:pPr>
              <w:jc w:val="both"/>
              <w:rPr>
                <w:sz w:val="20"/>
              </w:rPr>
            </w:pPr>
          </w:p>
        </w:tc>
      </w:tr>
      <w:tr w:rsidR="00B124FF" w:rsidRPr="00AF75CE" w:rsidTr="005F32B8">
        <w:tc>
          <w:tcPr>
            <w:tcW w:w="2427" w:type="pct"/>
            <w:gridSpan w:val="2"/>
          </w:tcPr>
          <w:p w:rsidR="00B124FF" w:rsidRPr="00AF75CE" w:rsidRDefault="00B124FF" w:rsidP="005F32B8">
            <w:pPr>
              <w:jc w:val="both"/>
              <w:rPr>
                <w:sz w:val="20"/>
              </w:rPr>
            </w:pPr>
            <w:r w:rsidRPr="00AF75CE">
              <w:rPr>
                <w:sz w:val="20"/>
              </w:rPr>
              <w:t>June 14, 2017</w:t>
            </w:r>
          </w:p>
          <w:p w:rsidR="00B124FF" w:rsidRPr="00AF75CE" w:rsidRDefault="00B124FF" w:rsidP="005F32B8">
            <w:pPr>
              <w:jc w:val="both"/>
              <w:rPr>
                <w:sz w:val="20"/>
              </w:rPr>
            </w:pPr>
            <w:r w:rsidRPr="00AF75CE">
              <w:rPr>
                <w:sz w:val="20"/>
              </w:rPr>
              <w:t>Provincial Court of Manitoba</w:t>
            </w:r>
          </w:p>
          <w:p w:rsidR="00B124FF" w:rsidRPr="00AF75CE" w:rsidRDefault="00B124FF" w:rsidP="005F32B8">
            <w:pPr>
              <w:jc w:val="both"/>
              <w:rPr>
                <w:sz w:val="20"/>
              </w:rPr>
            </w:pPr>
            <w:r w:rsidRPr="00AF75CE">
              <w:rPr>
                <w:sz w:val="20"/>
              </w:rPr>
              <w:t>(Dvorak J.)</w:t>
            </w:r>
          </w:p>
          <w:p w:rsidR="00B124FF" w:rsidRPr="00AF75CE" w:rsidRDefault="00B124FF" w:rsidP="005F32B8">
            <w:pPr>
              <w:jc w:val="both"/>
              <w:rPr>
                <w:sz w:val="20"/>
              </w:rPr>
            </w:pPr>
          </w:p>
        </w:tc>
        <w:tc>
          <w:tcPr>
            <w:tcW w:w="243" w:type="pct"/>
          </w:tcPr>
          <w:p w:rsidR="00B124FF" w:rsidRPr="00AF75CE" w:rsidRDefault="00B124FF" w:rsidP="005F32B8">
            <w:pPr>
              <w:jc w:val="both"/>
              <w:rPr>
                <w:sz w:val="20"/>
              </w:rPr>
            </w:pPr>
          </w:p>
        </w:tc>
        <w:tc>
          <w:tcPr>
            <w:tcW w:w="2330" w:type="pct"/>
          </w:tcPr>
          <w:p w:rsidR="00B124FF" w:rsidRPr="00AF75CE" w:rsidRDefault="00B124FF" w:rsidP="005F32B8">
            <w:pPr>
              <w:jc w:val="both"/>
              <w:rPr>
                <w:sz w:val="20"/>
              </w:rPr>
            </w:pPr>
            <w:r w:rsidRPr="00AF75CE">
              <w:rPr>
                <w:sz w:val="20"/>
              </w:rPr>
              <w:t xml:space="preserve">Sentenced to two years of probation </w:t>
            </w:r>
          </w:p>
        </w:tc>
      </w:tr>
      <w:tr w:rsidR="00B124FF" w:rsidRPr="00AF75CE" w:rsidTr="005F32B8">
        <w:tc>
          <w:tcPr>
            <w:tcW w:w="2427" w:type="pct"/>
            <w:gridSpan w:val="2"/>
          </w:tcPr>
          <w:p w:rsidR="00B124FF" w:rsidRPr="00AF75CE" w:rsidRDefault="00B124FF" w:rsidP="005F32B8">
            <w:pPr>
              <w:jc w:val="both"/>
              <w:rPr>
                <w:sz w:val="20"/>
              </w:rPr>
            </w:pPr>
            <w:r w:rsidRPr="00AF75CE">
              <w:rPr>
                <w:sz w:val="20"/>
              </w:rPr>
              <w:t>August 30, 2018</w:t>
            </w:r>
          </w:p>
          <w:p w:rsidR="00B124FF" w:rsidRPr="00AF75CE" w:rsidRDefault="00B124FF" w:rsidP="005F32B8">
            <w:pPr>
              <w:jc w:val="both"/>
              <w:rPr>
                <w:sz w:val="20"/>
              </w:rPr>
            </w:pPr>
            <w:r w:rsidRPr="00AF75CE">
              <w:rPr>
                <w:sz w:val="20"/>
              </w:rPr>
              <w:t>Court of Appeal of Manitoba</w:t>
            </w:r>
          </w:p>
          <w:p w:rsidR="00B124FF" w:rsidRPr="00AF75CE" w:rsidRDefault="00B124FF" w:rsidP="005F32B8">
            <w:pPr>
              <w:jc w:val="both"/>
              <w:rPr>
                <w:sz w:val="20"/>
                <w:lang w:val="fr-CA"/>
              </w:rPr>
            </w:pPr>
            <w:r w:rsidRPr="00AF75CE">
              <w:rPr>
                <w:sz w:val="20"/>
                <w:lang w:val="fr-CA"/>
              </w:rPr>
              <w:t xml:space="preserve">(Chartier, Monnin [dissenting], leMaistre </w:t>
            </w:r>
          </w:p>
          <w:p w:rsidR="00B124FF" w:rsidRPr="00AF75CE" w:rsidRDefault="00B124FF" w:rsidP="005F32B8">
            <w:pPr>
              <w:jc w:val="both"/>
              <w:rPr>
                <w:sz w:val="20"/>
                <w:lang w:val="fr-CA"/>
              </w:rPr>
            </w:pPr>
            <w:r w:rsidRPr="00AF75CE">
              <w:rPr>
                <w:sz w:val="20"/>
                <w:lang w:val="fr-CA"/>
              </w:rPr>
              <w:t>JJ.A.)</w:t>
            </w:r>
          </w:p>
          <w:p w:rsidR="00B124FF" w:rsidRPr="00AF75CE" w:rsidRDefault="00B124FF" w:rsidP="005F32B8">
            <w:pPr>
              <w:jc w:val="both"/>
              <w:rPr>
                <w:sz w:val="20"/>
                <w:lang w:val="fr-CA"/>
              </w:rPr>
            </w:pPr>
            <w:r w:rsidRPr="00AF75CE">
              <w:rPr>
                <w:sz w:val="20"/>
                <w:lang w:val="en"/>
              </w:rPr>
              <w:t>AR17-30-08890</w:t>
            </w:r>
            <w:r w:rsidRPr="00AF75CE">
              <w:rPr>
                <w:sz w:val="20"/>
                <w:lang w:val="fr-CA"/>
              </w:rPr>
              <w:t xml:space="preserve">; </w:t>
            </w:r>
            <w:hyperlink r:id="rId97" w:history="1">
              <w:r w:rsidRPr="00AF75CE">
                <w:rPr>
                  <w:rStyle w:val="Hyperlink"/>
                  <w:sz w:val="20"/>
                  <w:lang w:val="fr-CA"/>
                </w:rPr>
                <w:t>2018 MBCA 81</w:t>
              </w:r>
            </w:hyperlink>
          </w:p>
          <w:p w:rsidR="00B124FF" w:rsidRPr="00AF75CE" w:rsidRDefault="00B124FF" w:rsidP="005F32B8">
            <w:pPr>
              <w:jc w:val="both"/>
              <w:rPr>
                <w:sz w:val="20"/>
              </w:rPr>
            </w:pPr>
          </w:p>
        </w:tc>
        <w:tc>
          <w:tcPr>
            <w:tcW w:w="243" w:type="pct"/>
          </w:tcPr>
          <w:p w:rsidR="00B124FF" w:rsidRPr="00AF75CE" w:rsidRDefault="00B124FF" w:rsidP="005F32B8">
            <w:pPr>
              <w:jc w:val="both"/>
              <w:rPr>
                <w:sz w:val="20"/>
              </w:rPr>
            </w:pPr>
          </w:p>
        </w:tc>
        <w:tc>
          <w:tcPr>
            <w:tcW w:w="2330" w:type="pct"/>
          </w:tcPr>
          <w:p w:rsidR="00B124FF" w:rsidRPr="00AF75CE" w:rsidRDefault="00B124FF" w:rsidP="005F32B8">
            <w:pPr>
              <w:jc w:val="both"/>
              <w:rPr>
                <w:sz w:val="20"/>
              </w:rPr>
            </w:pPr>
            <w:r w:rsidRPr="00AF75CE">
              <w:rPr>
                <w:sz w:val="20"/>
              </w:rPr>
              <w:t>Appeal granted, Sentence varied to 15 months imprisonment and 12 months of probation</w:t>
            </w:r>
          </w:p>
          <w:p w:rsidR="00B124FF" w:rsidRPr="00AF75CE" w:rsidRDefault="00B124FF" w:rsidP="005F32B8">
            <w:pPr>
              <w:jc w:val="both"/>
              <w:rPr>
                <w:sz w:val="20"/>
              </w:rPr>
            </w:pPr>
          </w:p>
        </w:tc>
      </w:tr>
      <w:tr w:rsidR="00B124FF" w:rsidRPr="00AF75CE" w:rsidTr="005F32B8">
        <w:tc>
          <w:tcPr>
            <w:tcW w:w="2427" w:type="pct"/>
            <w:gridSpan w:val="2"/>
          </w:tcPr>
          <w:p w:rsidR="00B124FF" w:rsidRPr="00AF75CE" w:rsidRDefault="00B124FF" w:rsidP="005F32B8">
            <w:pPr>
              <w:jc w:val="both"/>
              <w:rPr>
                <w:sz w:val="20"/>
              </w:rPr>
            </w:pPr>
            <w:r w:rsidRPr="00AF75CE">
              <w:rPr>
                <w:sz w:val="20"/>
              </w:rPr>
              <w:t>October 29, 2018</w:t>
            </w:r>
          </w:p>
          <w:p w:rsidR="00B124FF" w:rsidRPr="00AF75CE" w:rsidRDefault="00B124FF" w:rsidP="005F32B8">
            <w:pPr>
              <w:jc w:val="both"/>
              <w:rPr>
                <w:sz w:val="20"/>
              </w:rPr>
            </w:pPr>
            <w:r w:rsidRPr="00AF75CE">
              <w:rPr>
                <w:sz w:val="20"/>
              </w:rPr>
              <w:t>Supreme Court of Canada</w:t>
            </w:r>
          </w:p>
        </w:tc>
        <w:tc>
          <w:tcPr>
            <w:tcW w:w="243" w:type="pct"/>
          </w:tcPr>
          <w:p w:rsidR="00B124FF" w:rsidRPr="00AF75CE" w:rsidRDefault="00B124FF" w:rsidP="005F32B8">
            <w:pPr>
              <w:jc w:val="both"/>
              <w:rPr>
                <w:sz w:val="20"/>
              </w:rPr>
            </w:pPr>
          </w:p>
        </w:tc>
        <w:tc>
          <w:tcPr>
            <w:tcW w:w="2330" w:type="pct"/>
          </w:tcPr>
          <w:p w:rsidR="00B124FF" w:rsidRPr="00AF75CE" w:rsidRDefault="00B124FF" w:rsidP="005F32B8">
            <w:pPr>
              <w:jc w:val="both"/>
              <w:rPr>
                <w:sz w:val="20"/>
              </w:rPr>
            </w:pPr>
            <w:r w:rsidRPr="00AF75CE">
              <w:rPr>
                <w:sz w:val="20"/>
              </w:rPr>
              <w:t>Application for leave to appeal filed</w:t>
            </w:r>
          </w:p>
          <w:p w:rsidR="00B124FF" w:rsidRPr="00AF75CE" w:rsidRDefault="00B124FF" w:rsidP="005F32B8">
            <w:pPr>
              <w:jc w:val="both"/>
              <w:rPr>
                <w:sz w:val="20"/>
              </w:rPr>
            </w:pPr>
          </w:p>
        </w:tc>
      </w:tr>
    </w:tbl>
    <w:p w:rsidR="00B124FF" w:rsidRDefault="00B124FF" w:rsidP="00B124FF">
      <w:pPr>
        <w:jc w:val="both"/>
        <w:rPr>
          <w:sz w:val="20"/>
        </w:rPr>
      </w:pPr>
    </w:p>
    <w:p w:rsidR="00B124FF" w:rsidRPr="00AF75CE" w:rsidRDefault="00B124FF" w:rsidP="00B124F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124FF" w:rsidRPr="00AF75CE" w:rsidTr="005F32B8">
        <w:tc>
          <w:tcPr>
            <w:tcW w:w="543" w:type="pct"/>
          </w:tcPr>
          <w:p w:rsidR="00B124FF" w:rsidRPr="00AF75CE" w:rsidRDefault="00B124FF" w:rsidP="005F32B8">
            <w:pPr>
              <w:jc w:val="both"/>
              <w:rPr>
                <w:sz w:val="20"/>
                <w:lang w:val="fr-CA"/>
              </w:rPr>
            </w:pPr>
            <w:r w:rsidRPr="00AF75CE">
              <w:rPr>
                <w:rStyle w:val="SCCFileNumberChar"/>
                <w:sz w:val="20"/>
                <w:szCs w:val="20"/>
                <w:lang w:val="fr-CA"/>
              </w:rPr>
              <w:t>38371</w:t>
            </w:r>
          </w:p>
        </w:tc>
        <w:tc>
          <w:tcPr>
            <w:tcW w:w="4457" w:type="pct"/>
            <w:gridSpan w:val="3"/>
          </w:tcPr>
          <w:p w:rsidR="00B124FF" w:rsidRPr="000B5C89" w:rsidRDefault="00B124FF" w:rsidP="005F32B8">
            <w:pPr>
              <w:pStyle w:val="SCCLsocParty"/>
              <w:jc w:val="both"/>
              <w:rPr>
                <w:b/>
                <w:sz w:val="20"/>
                <w:szCs w:val="20"/>
              </w:rPr>
            </w:pPr>
            <w:r w:rsidRPr="000B5C89">
              <w:rPr>
                <w:b/>
                <w:sz w:val="20"/>
                <w:szCs w:val="20"/>
              </w:rPr>
              <w:t>Jake Blacksmith c. Sa Majesté la Reine</w:t>
            </w:r>
          </w:p>
          <w:p w:rsidR="00B124FF" w:rsidRPr="00AF75CE" w:rsidRDefault="00B124FF" w:rsidP="005F32B8">
            <w:pPr>
              <w:jc w:val="both"/>
              <w:rPr>
                <w:sz w:val="20"/>
                <w:lang w:val="fr-CA"/>
              </w:rPr>
            </w:pPr>
            <w:r w:rsidRPr="00AF75CE">
              <w:rPr>
                <w:sz w:val="20"/>
                <w:lang w:val="fr-CA"/>
              </w:rPr>
              <w:t>(Man.) (Criminelle) (Autorisation)</w:t>
            </w:r>
          </w:p>
        </w:tc>
      </w:tr>
      <w:tr w:rsidR="00B124FF" w:rsidRPr="00CC0B55" w:rsidTr="005F32B8">
        <w:tc>
          <w:tcPr>
            <w:tcW w:w="5000" w:type="pct"/>
            <w:gridSpan w:val="4"/>
          </w:tcPr>
          <w:p w:rsidR="00B124FF" w:rsidRDefault="00B124FF" w:rsidP="005F32B8">
            <w:pPr>
              <w:jc w:val="both"/>
              <w:rPr>
                <w:sz w:val="20"/>
                <w:lang w:val="fr-CA"/>
              </w:rPr>
            </w:pPr>
            <w:r w:rsidRPr="00C11FF6">
              <w:rPr>
                <w:sz w:val="20"/>
                <w:lang w:val="fr-CA"/>
              </w:rPr>
              <w:t>La demande d’autorisation d’appel de l’arrêt de la Cour d’appel du Manitoba, numéro AR17-30-08890, 2018 MBCA 81, daté du 30 août 2018, est rejetée.</w:t>
            </w:r>
          </w:p>
          <w:p w:rsidR="00B124FF" w:rsidRPr="00AF75CE" w:rsidRDefault="00B124FF" w:rsidP="005F32B8">
            <w:pPr>
              <w:jc w:val="both"/>
              <w:rPr>
                <w:sz w:val="20"/>
                <w:lang w:val="fr-CA"/>
              </w:rPr>
            </w:pPr>
          </w:p>
        </w:tc>
      </w:tr>
      <w:tr w:rsidR="00B124FF" w:rsidRPr="00CC0B55" w:rsidTr="005F32B8">
        <w:tc>
          <w:tcPr>
            <w:tcW w:w="5000" w:type="pct"/>
            <w:gridSpan w:val="4"/>
          </w:tcPr>
          <w:p w:rsidR="00B124FF" w:rsidRPr="00AF75CE" w:rsidRDefault="00B124FF" w:rsidP="005F32B8">
            <w:pPr>
              <w:jc w:val="both"/>
              <w:rPr>
                <w:sz w:val="20"/>
                <w:lang w:val="fr-CA"/>
              </w:rPr>
            </w:pPr>
            <w:r w:rsidRPr="00AF75CE">
              <w:rPr>
                <w:sz w:val="20"/>
                <w:lang w:val="fr-CA"/>
              </w:rPr>
              <w:t>Droit criminel – Détermination de la peine – Appel – Les juges majoritaires de la Cour d’appel ont-ils eu tort de conclure que la peine ne prenait pas suffisamment en compte la dénonciation et la dissuasion et qu’elle était manifestement non indiquée?</w:t>
            </w:r>
          </w:p>
          <w:p w:rsidR="00B124FF" w:rsidRPr="00AF75CE" w:rsidRDefault="00B124FF" w:rsidP="005F32B8">
            <w:pPr>
              <w:jc w:val="both"/>
              <w:rPr>
                <w:sz w:val="20"/>
                <w:lang w:val="fr-CA"/>
              </w:rPr>
            </w:pPr>
          </w:p>
        </w:tc>
      </w:tr>
      <w:tr w:rsidR="00B124FF" w:rsidRPr="00CC0B55" w:rsidTr="005F32B8">
        <w:tc>
          <w:tcPr>
            <w:tcW w:w="5000" w:type="pct"/>
            <w:gridSpan w:val="4"/>
          </w:tcPr>
          <w:p w:rsidR="00B124FF" w:rsidRPr="00AF75CE" w:rsidRDefault="00B124FF" w:rsidP="005F32B8">
            <w:pPr>
              <w:jc w:val="both"/>
              <w:rPr>
                <w:sz w:val="20"/>
                <w:lang w:val="fr-CA"/>
              </w:rPr>
            </w:pPr>
            <w:r w:rsidRPr="00AF75CE">
              <w:rPr>
                <w:sz w:val="20"/>
                <w:lang w:val="fr-CA"/>
              </w:rPr>
              <w:t>Monsieur Blacksmith a été déclaré coupable de s’être introduit par effraction dans une maison d’habitation, d’avoir volé un téléviseur et d’avoir volé des armes à feu. Il n’a gardé aucun souvenir des infractions. Les armes à feu n’ont pas été retrouvées. L’avocat de la Couronne a réclamé une peine de deux ans moins un jour assortie d’une période de probation de deux ans. Monsieur Blacksmith a été condamné à une période de probation de deux ans. Les juges majoritaires de la Cour d’appel ont modifié la peine, imposant un emprisonnement de quinze mois assorti d’une période de probation de douze mois. Le juge Monnin, dissident, aurait imposé une peine de deux ans purgée en probation.</w:t>
            </w:r>
          </w:p>
        </w:tc>
      </w:tr>
      <w:tr w:rsidR="00B124FF" w:rsidRPr="00CC0B55" w:rsidTr="005F32B8">
        <w:tc>
          <w:tcPr>
            <w:tcW w:w="5000" w:type="pct"/>
            <w:gridSpan w:val="4"/>
          </w:tcPr>
          <w:p w:rsidR="00B124FF" w:rsidRPr="00AF75CE" w:rsidRDefault="00B124FF" w:rsidP="005F32B8">
            <w:pPr>
              <w:jc w:val="both"/>
              <w:rPr>
                <w:sz w:val="20"/>
                <w:lang w:val="fr-CA"/>
              </w:rPr>
            </w:pPr>
          </w:p>
        </w:tc>
      </w:tr>
      <w:tr w:rsidR="00B124FF" w:rsidRPr="00CC0B55" w:rsidTr="005F32B8">
        <w:tc>
          <w:tcPr>
            <w:tcW w:w="2427" w:type="pct"/>
            <w:gridSpan w:val="2"/>
          </w:tcPr>
          <w:p w:rsidR="00B124FF" w:rsidRPr="00AF75CE" w:rsidRDefault="00B124FF" w:rsidP="005F32B8">
            <w:pPr>
              <w:jc w:val="both"/>
              <w:rPr>
                <w:sz w:val="20"/>
                <w:lang w:val="fr-CA"/>
              </w:rPr>
            </w:pPr>
            <w:r w:rsidRPr="00AF75CE">
              <w:rPr>
                <w:sz w:val="20"/>
                <w:lang w:val="fr-CA"/>
              </w:rPr>
              <w:t>14 juin 2017</w:t>
            </w:r>
          </w:p>
          <w:p w:rsidR="00B124FF" w:rsidRPr="00AF75CE" w:rsidRDefault="00B124FF" w:rsidP="005F32B8">
            <w:pPr>
              <w:jc w:val="both"/>
              <w:rPr>
                <w:sz w:val="20"/>
                <w:lang w:val="fr-CA"/>
              </w:rPr>
            </w:pPr>
            <w:r w:rsidRPr="00AF75CE">
              <w:rPr>
                <w:sz w:val="20"/>
                <w:lang w:val="fr-CA"/>
              </w:rPr>
              <w:t>Cour provinciale du Manitoba</w:t>
            </w:r>
          </w:p>
          <w:p w:rsidR="00B124FF" w:rsidRPr="00AF75CE" w:rsidRDefault="00B124FF" w:rsidP="005F32B8">
            <w:pPr>
              <w:jc w:val="both"/>
              <w:rPr>
                <w:sz w:val="20"/>
                <w:lang w:val="fr-CA"/>
              </w:rPr>
            </w:pPr>
            <w:r w:rsidRPr="00AF75CE">
              <w:rPr>
                <w:sz w:val="20"/>
                <w:lang w:val="fr-CA"/>
              </w:rPr>
              <w:t>(Juge Dvorak)</w:t>
            </w:r>
          </w:p>
          <w:p w:rsidR="00B124FF" w:rsidRPr="00AF75CE" w:rsidRDefault="00B124FF" w:rsidP="005F32B8">
            <w:pPr>
              <w:jc w:val="both"/>
              <w:rPr>
                <w:sz w:val="20"/>
                <w:lang w:val="fr-CA"/>
              </w:rPr>
            </w:pPr>
          </w:p>
        </w:tc>
        <w:tc>
          <w:tcPr>
            <w:tcW w:w="243" w:type="pct"/>
          </w:tcPr>
          <w:p w:rsidR="00B124FF" w:rsidRPr="00AF75CE" w:rsidRDefault="00B124FF" w:rsidP="005F32B8">
            <w:pPr>
              <w:jc w:val="both"/>
              <w:rPr>
                <w:sz w:val="20"/>
                <w:lang w:val="fr-CA"/>
              </w:rPr>
            </w:pPr>
          </w:p>
        </w:tc>
        <w:tc>
          <w:tcPr>
            <w:tcW w:w="2330" w:type="pct"/>
          </w:tcPr>
          <w:p w:rsidR="00B124FF" w:rsidRPr="00AF75CE" w:rsidRDefault="00B124FF" w:rsidP="005F32B8">
            <w:pPr>
              <w:jc w:val="both"/>
              <w:rPr>
                <w:sz w:val="20"/>
                <w:lang w:val="fr-CA"/>
              </w:rPr>
            </w:pPr>
            <w:r w:rsidRPr="00AF75CE">
              <w:rPr>
                <w:sz w:val="20"/>
                <w:lang w:val="fr-CA"/>
              </w:rPr>
              <w:t xml:space="preserve">Condamnation à une probation de deux ans </w:t>
            </w:r>
          </w:p>
        </w:tc>
      </w:tr>
      <w:tr w:rsidR="00B124FF" w:rsidRPr="00CC0B55" w:rsidTr="005F32B8">
        <w:tc>
          <w:tcPr>
            <w:tcW w:w="2427" w:type="pct"/>
            <w:gridSpan w:val="2"/>
          </w:tcPr>
          <w:p w:rsidR="00B124FF" w:rsidRPr="00AF75CE" w:rsidRDefault="00B124FF" w:rsidP="005F32B8">
            <w:pPr>
              <w:jc w:val="both"/>
              <w:rPr>
                <w:sz w:val="20"/>
                <w:lang w:val="fr-CA"/>
              </w:rPr>
            </w:pPr>
            <w:r w:rsidRPr="00AF75CE">
              <w:rPr>
                <w:sz w:val="20"/>
                <w:lang w:val="fr-CA"/>
              </w:rPr>
              <w:lastRenderedPageBreak/>
              <w:t>30 août 2018</w:t>
            </w:r>
          </w:p>
          <w:p w:rsidR="00B124FF" w:rsidRPr="00AF75CE" w:rsidRDefault="00B124FF" w:rsidP="005F32B8">
            <w:pPr>
              <w:jc w:val="both"/>
              <w:rPr>
                <w:sz w:val="20"/>
                <w:lang w:val="fr-CA"/>
              </w:rPr>
            </w:pPr>
            <w:r w:rsidRPr="00AF75CE">
              <w:rPr>
                <w:sz w:val="20"/>
                <w:lang w:val="fr-CA"/>
              </w:rPr>
              <w:t>Cour d’appel du Manitoba</w:t>
            </w:r>
          </w:p>
          <w:p w:rsidR="00B124FF" w:rsidRPr="00AF75CE" w:rsidRDefault="00B124FF" w:rsidP="005F32B8">
            <w:pPr>
              <w:jc w:val="both"/>
              <w:rPr>
                <w:sz w:val="20"/>
                <w:lang w:val="fr-CA"/>
              </w:rPr>
            </w:pPr>
            <w:r w:rsidRPr="00AF75CE">
              <w:rPr>
                <w:sz w:val="20"/>
                <w:lang w:val="fr-CA"/>
              </w:rPr>
              <w:t>(Juges Chartier, Monnin [dissident] et leMaistre)</w:t>
            </w:r>
          </w:p>
          <w:p w:rsidR="00B124FF" w:rsidRPr="00AF75CE" w:rsidRDefault="00B124FF" w:rsidP="005F32B8">
            <w:pPr>
              <w:jc w:val="both"/>
              <w:rPr>
                <w:sz w:val="20"/>
                <w:lang w:val="fr-CA"/>
              </w:rPr>
            </w:pPr>
            <w:r w:rsidRPr="00AF75CE">
              <w:rPr>
                <w:sz w:val="20"/>
                <w:lang w:val="fr-CA"/>
              </w:rPr>
              <w:t xml:space="preserve">AR17-30-08890; </w:t>
            </w:r>
            <w:hyperlink r:id="rId98" w:history="1">
              <w:r w:rsidRPr="00AF75CE">
                <w:rPr>
                  <w:rStyle w:val="Hyperlink"/>
                  <w:sz w:val="20"/>
                  <w:lang w:val="fr-CA"/>
                </w:rPr>
                <w:t>2018 MBCA 81</w:t>
              </w:r>
            </w:hyperlink>
          </w:p>
          <w:p w:rsidR="00B124FF" w:rsidRPr="00AF75CE" w:rsidRDefault="00B124FF" w:rsidP="005F32B8">
            <w:pPr>
              <w:jc w:val="both"/>
              <w:rPr>
                <w:sz w:val="20"/>
                <w:lang w:val="fr-CA"/>
              </w:rPr>
            </w:pPr>
          </w:p>
        </w:tc>
        <w:tc>
          <w:tcPr>
            <w:tcW w:w="243" w:type="pct"/>
          </w:tcPr>
          <w:p w:rsidR="00B124FF" w:rsidRPr="00AF75CE" w:rsidRDefault="00B124FF" w:rsidP="005F32B8">
            <w:pPr>
              <w:jc w:val="both"/>
              <w:rPr>
                <w:sz w:val="20"/>
                <w:lang w:val="fr-CA"/>
              </w:rPr>
            </w:pPr>
          </w:p>
        </w:tc>
        <w:tc>
          <w:tcPr>
            <w:tcW w:w="2330" w:type="pct"/>
          </w:tcPr>
          <w:p w:rsidR="00B124FF" w:rsidRPr="00AF75CE" w:rsidRDefault="00B124FF" w:rsidP="005F32B8">
            <w:pPr>
              <w:jc w:val="both"/>
              <w:rPr>
                <w:sz w:val="20"/>
                <w:lang w:val="fr-CA"/>
              </w:rPr>
            </w:pPr>
            <w:r w:rsidRPr="00AF75CE">
              <w:rPr>
                <w:sz w:val="20"/>
                <w:lang w:val="fr-CA"/>
              </w:rPr>
              <w:t>Arrêt accueillant l’appel et modifiant la peine à un emprisonnement de quinze mois assorti d’une période de probation de douze mois</w:t>
            </w:r>
          </w:p>
          <w:p w:rsidR="00B124FF" w:rsidRPr="00AF75CE" w:rsidRDefault="00B124FF" w:rsidP="005F32B8">
            <w:pPr>
              <w:jc w:val="both"/>
              <w:rPr>
                <w:sz w:val="20"/>
                <w:lang w:val="fr-CA"/>
              </w:rPr>
            </w:pPr>
          </w:p>
        </w:tc>
      </w:tr>
      <w:tr w:rsidR="00B124FF" w:rsidRPr="00CC0B55" w:rsidTr="005F32B8">
        <w:tc>
          <w:tcPr>
            <w:tcW w:w="2427" w:type="pct"/>
            <w:gridSpan w:val="2"/>
          </w:tcPr>
          <w:p w:rsidR="00B124FF" w:rsidRPr="00AF75CE" w:rsidRDefault="00B124FF" w:rsidP="005F32B8">
            <w:pPr>
              <w:jc w:val="both"/>
              <w:rPr>
                <w:sz w:val="20"/>
                <w:lang w:val="fr-CA"/>
              </w:rPr>
            </w:pPr>
            <w:r w:rsidRPr="00AF75CE">
              <w:rPr>
                <w:sz w:val="20"/>
                <w:lang w:val="fr-CA"/>
              </w:rPr>
              <w:t>29 octobre 2018</w:t>
            </w:r>
          </w:p>
          <w:p w:rsidR="00B124FF" w:rsidRPr="00AF75CE" w:rsidRDefault="00B124FF" w:rsidP="005F32B8">
            <w:pPr>
              <w:jc w:val="both"/>
              <w:rPr>
                <w:sz w:val="20"/>
                <w:lang w:val="fr-CA"/>
              </w:rPr>
            </w:pPr>
            <w:r w:rsidRPr="00AF75CE">
              <w:rPr>
                <w:sz w:val="20"/>
                <w:lang w:val="fr-CA"/>
              </w:rPr>
              <w:t>Cour suprême du Canada</w:t>
            </w:r>
          </w:p>
        </w:tc>
        <w:tc>
          <w:tcPr>
            <w:tcW w:w="243" w:type="pct"/>
          </w:tcPr>
          <w:p w:rsidR="00B124FF" w:rsidRPr="00AF75CE" w:rsidRDefault="00B124FF" w:rsidP="005F32B8">
            <w:pPr>
              <w:jc w:val="both"/>
              <w:rPr>
                <w:sz w:val="20"/>
                <w:lang w:val="fr-CA"/>
              </w:rPr>
            </w:pPr>
          </w:p>
        </w:tc>
        <w:tc>
          <w:tcPr>
            <w:tcW w:w="2330" w:type="pct"/>
          </w:tcPr>
          <w:p w:rsidR="00B124FF" w:rsidRPr="00AF75CE" w:rsidRDefault="00B124FF" w:rsidP="005F32B8">
            <w:pPr>
              <w:jc w:val="both"/>
              <w:rPr>
                <w:sz w:val="20"/>
                <w:lang w:val="fr-CA"/>
              </w:rPr>
            </w:pPr>
            <w:r w:rsidRPr="00AF75CE">
              <w:rPr>
                <w:sz w:val="20"/>
                <w:lang w:val="fr-CA"/>
              </w:rPr>
              <w:t>Dépôt de la demande d’autorisation d’appel</w:t>
            </w:r>
          </w:p>
          <w:p w:rsidR="00B124FF" w:rsidRPr="00AF75CE" w:rsidRDefault="00B124FF" w:rsidP="005F32B8">
            <w:pPr>
              <w:jc w:val="both"/>
              <w:rPr>
                <w:sz w:val="20"/>
                <w:lang w:val="fr-CA"/>
              </w:rPr>
            </w:pPr>
          </w:p>
        </w:tc>
      </w:tr>
    </w:tbl>
    <w:p w:rsidR="00B124FF" w:rsidRDefault="00B124FF" w:rsidP="00B124FF">
      <w:pPr>
        <w:jc w:val="both"/>
        <w:rPr>
          <w:sz w:val="20"/>
          <w:lang w:val="fr-CA"/>
        </w:rPr>
      </w:pPr>
    </w:p>
    <w:p w:rsidR="00B124FF" w:rsidRPr="00AF75CE" w:rsidRDefault="00A24D5C" w:rsidP="00B124FF">
      <w:pPr>
        <w:jc w:val="both"/>
        <w:rPr>
          <w:sz w:val="20"/>
          <w:lang w:val="fr-CA"/>
        </w:rPr>
      </w:pPr>
      <w:r>
        <w:rPr>
          <w:sz w:val="20"/>
          <w:szCs w:val="20"/>
        </w:rPr>
        <w:pict>
          <v:rect id="_x0000_i1055" style="width:2in;height:1pt" o:hrpct="0" o:hralign="center" o:hrstd="t" o:hrnoshade="t" o:hr="t" fillcolor="black [3213]" stroked="f"/>
        </w:pict>
      </w:r>
    </w:p>
    <w:p w:rsidR="00B124FF" w:rsidRPr="00AF75CE" w:rsidRDefault="00B124FF" w:rsidP="00B124FF">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124FF" w:rsidRPr="00AF75CE" w:rsidTr="005F32B8">
        <w:tc>
          <w:tcPr>
            <w:tcW w:w="543" w:type="pct"/>
          </w:tcPr>
          <w:p w:rsidR="00B124FF" w:rsidRPr="00AF75CE" w:rsidRDefault="00B124FF" w:rsidP="005F32B8">
            <w:pPr>
              <w:jc w:val="both"/>
              <w:rPr>
                <w:sz w:val="20"/>
              </w:rPr>
            </w:pPr>
            <w:r w:rsidRPr="00AF75CE">
              <w:rPr>
                <w:rStyle w:val="SCCFileNumberChar"/>
                <w:sz w:val="20"/>
                <w:szCs w:val="20"/>
              </w:rPr>
              <w:t>38266</w:t>
            </w:r>
          </w:p>
        </w:tc>
        <w:tc>
          <w:tcPr>
            <w:tcW w:w="4457" w:type="pct"/>
            <w:gridSpan w:val="3"/>
          </w:tcPr>
          <w:p w:rsidR="00B124FF" w:rsidRPr="000B5C89" w:rsidRDefault="00B124FF" w:rsidP="005F32B8">
            <w:pPr>
              <w:pStyle w:val="SCCLsocParty"/>
              <w:jc w:val="both"/>
              <w:rPr>
                <w:b/>
                <w:sz w:val="20"/>
                <w:szCs w:val="20"/>
                <w:lang w:val="en-US"/>
              </w:rPr>
            </w:pPr>
            <w:r w:rsidRPr="000B5C89">
              <w:rPr>
                <w:b/>
                <w:sz w:val="20"/>
                <w:szCs w:val="20"/>
                <w:lang w:val="en-US"/>
              </w:rPr>
              <w:t>Derek Thompson</w:t>
            </w:r>
          </w:p>
          <w:p w:rsidR="00B124FF" w:rsidRPr="00AF75CE" w:rsidRDefault="00B124FF" w:rsidP="005F32B8">
            <w:pPr>
              <w:jc w:val="both"/>
              <w:rPr>
                <w:sz w:val="20"/>
              </w:rPr>
            </w:pPr>
            <w:r w:rsidRPr="00AF75CE">
              <w:rPr>
                <w:sz w:val="20"/>
              </w:rPr>
              <w:t>(Alta.) (Civil) (By Leave)</w:t>
            </w:r>
          </w:p>
        </w:tc>
      </w:tr>
      <w:tr w:rsidR="00B124FF" w:rsidRPr="00AF75CE" w:rsidTr="005F32B8">
        <w:tc>
          <w:tcPr>
            <w:tcW w:w="5000" w:type="pct"/>
            <w:gridSpan w:val="4"/>
          </w:tcPr>
          <w:p w:rsidR="00B124FF" w:rsidRDefault="00B124FF" w:rsidP="005F32B8">
            <w:pPr>
              <w:jc w:val="both"/>
              <w:rPr>
                <w:sz w:val="20"/>
              </w:rPr>
            </w:pPr>
            <w:r w:rsidRPr="00C11FF6">
              <w:rPr>
                <w:sz w:val="20"/>
              </w:rPr>
              <w:t>The application for leave to appeal from the judgment of the Court of Queen’s Bench of Alberta, Number 1803 08657, 2018 ABQB 355, dated May 1, 2018, is dismissed with no order as to costs.</w:t>
            </w:r>
          </w:p>
          <w:p w:rsidR="00B124FF" w:rsidRPr="00C11FF6" w:rsidRDefault="00B124FF" w:rsidP="005F32B8">
            <w:pPr>
              <w:jc w:val="both"/>
              <w:rPr>
                <w:sz w:val="20"/>
              </w:rPr>
            </w:pPr>
          </w:p>
        </w:tc>
      </w:tr>
      <w:tr w:rsidR="00B124FF" w:rsidRPr="00AF75CE" w:rsidTr="005F32B8">
        <w:tc>
          <w:tcPr>
            <w:tcW w:w="5000" w:type="pct"/>
            <w:gridSpan w:val="4"/>
          </w:tcPr>
          <w:p w:rsidR="00B124FF" w:rsidRPr="00AF75CE" w:rsidRDefault="00B124FF" w:rsidP="005F32B8">
            <w:pPr>
              <w:jc w:val="both"/>
              <w:rPr>
                <w:sz w:val="20"/>
              </w:rPr>
            </w:pPr>
            <w:r w:rsidRPr="00AF75CE">
              <w:rPr>
                <w:i/>
                <w:sz w:val="20"/>
              </w:rPr>
              <w:t>Charter of Rights</w:t>
            </w:r>
            <w:r w:rsidRPr="00AF75CE">
              <w:rPr>
                <w:sz w:val="20"/>
              </w:rPr>
              <w:t xml:space="preserve"> – Fundamental justice – Judgment and orders – Declaratory judgments – Vexatious litigation – Applicant subject to vexatious litigant order seeking leave of court to file new statement of claim – Court declining to grant leave – Whether applicant’s </w:t>
            </w:r>
            <w:r w:rsidRPr="00AF75CE">
              <w:rPr>
                <w:i/>
                <w:sz w:val="20"/>
              </w:rPr>
              <w:t xml:space="preserve">Charter </w:t>
            </w:r>
            <w:r w:rsidRPr="00AF75CE">
              <w:rPr>
                <w:sz w:val="20"/>
              </w:rPr>
              <w:t>rights and right to procedural fairness violated.</w:t>
            </w:r>
          </w:p>
          <w:p w:rsidR="00B124FF" w:rsidRPr="00AF75CE" w:rsidRDefault="00B124FF" w:rsidP="005F32B8">
            <w:pPr>
              <w:jc w:val="both"/>
              <w:rPr>
                <w:sz w:val="20"/>
              </w:rPr>
            </w:pPr>
          </w:p>
        </w:tc>
      </w:tr>
      <w:tr w:rsidR="00B124FF" w:rsidRPr="00AF75CE" w:rsidTr="005F32B8">
        <w:tc>
          <w:tcPr>
            <w:tcW w:w="5000" w:type="pct"/>
            <w:gridSpan w:val="4"/>
          </w:tcPr>
          <w:p w:rsidR="00B124FF" w:rsidRPr="00AF75CE" w:rsidRDefault="00B124FF" w:rsidP="005F32B8">
            <w:pPr>
              <w:jc w:val="both"/>
              <w:rPr>
                <w:sz w:val="20"/>
              </w:rPr>
            </w:pPr>
            <w:r w:rsidRPr="00AF75CE">
              <w:rPr>
                <w:sz w:val="20"/>
              </w:rPr>
              <w:t>Mr. Thompson was subject to strict court access restrictions as a result of an order declaring him to be a vexatious litigant. He wrote a letter to the court requesting permission to file a new statement of claim. His application was dismissed. His application for leave to appeal that order was also dismissed.</w:t>
            </w:r>
          </w:p>
        </w:tc>
      </w:tr>
      <w:tr w:rsidR="00B124FF" w:rsidRPr="00AF75CE" w:rsidTr="005F32B8">
        <w:tc>
          <w:tcPr>
            <w:tcW w:w="5000" w:type="pct"/>
            <w:gridSpan w:val="4"/>
          </w:tcPr>
          <w:p w:rsidR="00B124FF" w:rsidRPr="00AF75CE" w:rsidRDefault="00B124FF" w:rsidP="005F32B8">
            <w:pPr>
              <w:jc w:val="both"/>
              <w:rPr>
                <w:sz w:val="20"/>
              </w:rPr>
            </w:pPr>
          </w:p>
        </w:tc>
      </w:tr>
      <w:tr w:rsidR="00B124FF" w:rsidRPr="00AF75CE" w:rsidTr="005F32B8">
        <w:tc>
          <w:tcPr>
            <w:tcW w:w="2427" w:type="pct"/>
            <w:gridSpan w:val="2"/>
          </w:tcPr>
          <w:p w:rsidR="00B124FF" w:rsidRPr="00AF75CE" w:rsidRDefault="00B124FF" w:rsidP="005F32B8">
            <w:pPr>
              <w:jc w:val="both"/>
              <w:rPr>
                <w:sz w:val="20"/>
              </w:rPr>
            </w:pPr>
            <w:r w:rsidRPr="00AF75CE">
              <w:rPr>
                <w:sz w:val="20"/>
              </w:rPr>
              <w:t>May 1, 2018</w:t>
            </w:r>
          </w:p>
          <w:p w:rsidR="00B124FF" w:rsidRPr="00AF75CE" w:rsidRDefault="00B124FF" w:rsidP="005F32B8">
            <w:pPr>
              <w:jc w:val="both"/>
              <w:rPr>
                <w:sz w:val="20"/>
              </w:rPr>
            </w:pPr>
            <w:r w:rsidRPr="00AF75CE">
              <w:rPr>
                <w:sz w:val="20"/>
              </w:rPr>
              <w:t>Court of Queen’s Bench of Alberta</w:t>
            </w:r>
          </w:p>
          <w:p w:rsidR="00B124FF" w:rsidRPr="00AF75CE" w:rsidRDefault="00B124FF" w:rsidP="005F32B8">
            <w:pPr>
              <w:jc w:val="both"/>
              <w:rPr>
                <w:sz w:val="20"/>
              </w:rPr>
            </w:pPr>
            <w:r w:rsidRPr="00AF75CE">
              <w:rPr>
                <w:sz w:val="20"/>
              </w:rPr>
              <w:t>(Nielsen J.)</w:t>
            </w:r>
          </w:p>
          <w:p w:rsidR="00B124FF" w:rsidRPr="00AF75CE" w:rsidRDefault="00A24D5C" w:rsidP="005F32B8">
            <w:pPr>
              <w:jc w:val="both"/>
              <w:rPr>
                <w:sz w:val="20"/>
              </w:rPr>
            </w:pPr>
            <w:hyperlink r:id="rId99" w:history="1">
              <w:r w:rsidR="00B124FF" w:rsidRPr="00AF75CE">
                <w:rPr>
                  <w:rStyle w:val="Hyperlink"/>
                  <w:sz w:val="20"/>
                </w:rPr>
                <w:t>2018 ABQB 355</w:t>
              </w:r>
            </w:hyperlink>
          </w:p>
          <w:p w:rsidR="00B124FF" w:rsidRPr="00AF75CE" w:rsidRDefault="00B124FF" w:rsidP="005F32B8">
            <w:pPr>
              <w:jc w:val="both"/>
              <w:rPr>
                <w:sz w:val="20"/>
              </w:rPr>
            </w:pPr>
          </w:p>
        </w:tc>
        <w:tc>
          <w:tcPr>
            <w:tcW w:w="243" w:type="pct"/>
          </w:tcPr>
          <w:p w:rsidR="00B124FF" w:rsidRPr="00AF75CE" w:rsidRDefault="00B124FF" w:rsidP="005F32B8">
            <w:pPr>
              <w:jc w:val="both"/>
              <w:rPr>
                <w:sz w:val="20"/>
              </w:rPr>
            </w:pPr>
          </w:p>
        </w:tc>
        <w:tc>
          <w:tcPr>
            <w:tcW w:w="2330" w:type="pct"/>
          </w:tcPr>
          <w:p w:rsidR="00B124FF" w:rsidRPr="00AF75CE" w:rsidRDefault="00B124FF" w:rsidP="005F32B8">
            <w:pPr>
              <w:jc w:val="both"/>
              <w:rPr>
                <w:sz w:val="20"/>
              </w:rPr>
            </w:pPr>
            <w:r w:rsidRPr="00AF75CE">
              <w:rPr>
                <w:sz w:val="20"/>
              </w:rPr>
              <w:t>Applicant’s application for leave to file statement of claim dismissed</w:t>
            </w:r>
          </w:p>
          <w:p w:rsidR="00B124FF" w:rsidRPr="00AF75CE" w:rsidRDefault="00B124FF" w:rsidP="005F32B8">
            <w:pPr>
              <w:jc w:val="both"/>
              <w:rPr>
                <w:sz w:val="20"/>
              </w:rPr>
            </w:pPr>
          </w:p>
        </w:tc>
      </w:tr>
      <w:tr w:rsidR="00B124FF" w:rsidRPr="00AF75CE" w:rsidTr="005F32B8">
        <w:tc>
          <w:tcPr>
            <w:tcW w:w="2427" w:type="pct"/>
            <w:gridSpan w:val="2"/>
          </w:tcPr>
          <w:p w:rsidR="00B124FF" w:rsidRPr="00AF75CE" w:rsidRDefault="00B124FF" w:rsidP="005F32B8">
            <w:pPr>
              <w:jc w:val="both"/>
              <w:rPr>
                <w:sz w:val="20"/>
              </w:rPr>
            </w:pPr>
            <w:r w:rsidRPr="00AF75CE">
              <w:rPr>
                <w:sz w:val="20"/>
              </w:rPr>
              <w:t>March 21, 2018</w:t>
            </w:r>
          </w:p>
          <w:p w:rsidR="00B124FF" w:rsidRPr="00AF75CE" w:rsidRDefault="00B124FF" w:rsidP="005F32B8">
            <w:pPr>
              <w:jc w:val="both"/>
              <w:rPr>
                <w:sz w:val="20"/>
              </w:rPr>
            </w:pPr>
            <w:r w:rsidRPr="00AF75CE">
              <w:rPr>
                <w:sz w:val="20"/>
              </w:rPr>
              <w:t>Court of Appeal of Alberta</w:t>
            </w:r>
          </w:p>
          <w:p w:rsidR="00B124FF" w:rsidRPr="00AF75CE" w:rsidRDefault="00B124FF" w:rsidP="005F32B8">
            <w:pPr>
              <w:jc w:val="both"/>
              <w:rPr>
                <w:sz w:val="20"/>
              </w:rPr>
            </w:pPr>
            <w:r w:rsidRPr="00AF75CE">
              <w:rPr>
                <w:sz w:val="20"/>
              </w:rPr>
              <w:t>(Wakeling J.A.)</w:t>
            </w:r>
          </w:p>
          <w:p w:rsidR="00B124FF" w:rsidRPr="00AF75CE" w:rsidRDefault="00A24D5C" w:rsidP="005F32B8">
            <w:pPr>
              <w:jc w:val="both"/>
              <w:rPr>
                <w:sz w:val="20"/>
              </w:rPr>
            </w:pPr>
            <w:hyperlink r:id="rId100" w:history="1">
              <w:r w:rsidR="00B124FF" w:rsidRPr="00AF75CE">
                <w:rPr>
                  <w:rStyle w:val="Hyperlink"/>
                  <w:sz w:val="20"/>
                </w:rPr>
                <w:t>2018 ABCA 111</w:t>
              </w:r>
            </w:hyperlink>
          </w:p>
          <w:p w:rsidR="00B124FF" w:rsidRPr="00AF75CE" w:rsidRDefault="00B124FF" w:rsidP="005F32B8">
            <w:pPr>
              <w:jc w:val="both"/>
              <w:rPr>
                <w:sz w:val="20"/>
              </w:rPr>
            </w:pPr>
          </w:p>
        </w:tc>
        <w:tc>
          <w:tcPr>
            <w:tcW w:w="243" w:type="pct"/>
          </w:tcPr>
          <w:p w:rsidR="00B124FF" w:rsidRPr="00AF75CE" w:rsidRDefault="00B124FF" w:rsidP="005F32B8">
            <w:pPr>
              <w:jc w:val="both"/>
              <w:rPr>
                <w:sz w:val="20"/>
              </w:rPr>
            </w:pPr>
          </w:p>
        </w:tc>
        <w:tc>
          <w:tcPr>
            <w:tcW w:w="2330" w:type="pct"/>
          </w:tcPr>
          <w:p w:rsidR="00B124FF" w:rsidRPr="00AF75CE" w:rsidRDefault="00B124FF" w:rsidP="005F32B8">
            <w:pPr>
              <w:jc w:val="both"/>
              <w:rPr>
                <w:sz w:val="20"/>
              </w:rPr>
            </w:pPr>
            <w:r w:rsidRPr="00AF75CE">
              <w:rPr>
                <w:sz w:val="20"/>
              </w:rPr>
              <w:t>Applicant’s application for permission to appeal dismissed</w:t>
            </w:r>
          </w:p>
          <w:p w:rsidR="00B124FF" w:rsidRPr="00AF75CE" w:rsidRDefault="00B124FF" w:rsidP="005F32B8">
            <w:pPr>
              <w:jc w:val="both"/>
              <w:rPr>
                <w:sz w:val="20"/>
              </w:rPr>
            </w:pPr>
          </w:p>
        </w:tc>
      </w:tr>
      <w:tr w:rsidR="00B124FF" w:rsidRPr="00AF75CE" w:rsidTr="005F32B8">
        <w:tc>
          <w:tcPr>
            <w:tcW w:w="2427" w:type="pct"/>
            <w:gridSpan w:val="2"/>
          </w:tcPr>
          <w:p w:rsidR="00B124FF" w:rsidRPr="00AF75CE" w:rsidRDefault="00B124FF" w:rsidP="005F32B8">
            <w:pPr>
              <w:jc w:val="both"/>
              <w:rPr>
                <w:sz w:val="20"/>
              </w:rPr>
            </w:pPr>
            <w:r w:rsidRPr="00AF75CE">
              <w:rPr>
                <w:sz w:val="20"/>
              </w:rPr>
              <w:t>June 28, 2018</w:t>
            </w:r>
          </w:p>
          <w:p w:rsidR="00B124FF" w:rsidRPr="00AF75CE" w:rsidRDefault="00B124FF" w:rsidP="005F32B8">
            <w:pPr>
              <w:jc w:val="both"/>
              <w:rPr>
                <w:sz w:val="20"/>
              </w:rPr>
            </w:pPr>
            <w:r w:rsidRPr="00AF75CE">
              <w:rPr>
                <w:sz w:val="20"/>
              </w:rPr>
              <w:t>Supreme Court of Canada</w:t>
            </w:r>
          </w:p>
        </w:tc>
        <w:tc>
          <w:tcPr>
            <w:tcW w:w="243" w:type="pct"/>
          </w:tcPr>
          <w:p w:rsidR="00B124FF" w:rsidRPr="00AF75CE" w:rsidRDefault="00B124FF" w:rsidP="005F32B8">
            <w:pPr>
              <w:jc w:val="both"/>
              <w:rPr>
                <w:sz w:val="20"/>
              </w:rPr>
            </w:pPr>
          </w:p>
        </w:tc>
        <w:tc>
          <w:tcPr>
            <w:tcW w:w="2330" w:type="pct"/>
          </w:tcPr>
          <w:p w:rsidR="00B124FF" w:rsidRPr="00AF75CE" w:rsidRDefault="00B124FF" w:rsidP="005F32B8">
            <w:pPr>
              <w:jc w:val="both"/>
              <w:rPr>
                <w:sz w:val="20"/>
              </w:rPr>
            </w:pPr>
            <w:r w:rsidRPr="00AF75CE">
              <w:rPr>
                <w:sz w:val="20"/>
              </w:rPr>
              <w:t>Application for leave to appeal filed</w:t>
            </w:r>
          </w:p>
          <w:p w:rsidR="00B124FF" w:rsidRPr="00AF75CE" w:rsidRDefault="00B124FF" w:rsidP="005F32B8">
            <w:pPr>
              <w:jc w:val="both"/>
              <w:rPr>
                <w:sz w:val="20"/>
              </w:rPr>
            </w:pPr>
          </w:p>
        </w:tc>
      </w:tr>
    </w:tbl>
    <w:p w:rsidR="00B124FF" w:rsidRDefault="00B124FF" w:rsidP="00B124FF">
      <w:pPr>
        <w:jc w:val="both"/>
        <w:rPr>
          <w:sz w:val="20"/>
        </w:rPr>
      </w:pPr>
    </w:p>
    <w:p w:rsidR="00B124FF" w:rsidRPr="00AF75CE" w:rsidRDefault="00B124FF" w:rsidP="00B124F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124FF" w:rsidRPr="00AF75CE" w:rsidTr="005F32B8">
        <w:tc>
          <w:tcPr>
            <w:tcW w:w="543" w:type="pct"/>
          </w:tcPr>
          <w:p w:rsidR="00B124FF" w:rsidRPr="00AF75CE" w:rsidRDefault="00B124FF" w:rsidP="005F32B8">
            <w:pPr>
              <w:jc w:val="both"/>
              <w:rPr>
                <w:sz w:val="20"/>
                <w:lang w:val="fr-CA"/>
              </w:rPr>
            </w:pPr>
            <w:r w:rsidRPr="00AF75CE">
              <w:rPr>
                <w:rStyle w:val="SCCFileNumberChar"/>
                <w:sz w:val="20"/>
                <w:szCs w:val="20"/>
                <w:lang w:val="fr-CA"/>
              </w:rPr>
              <w:t>38266</w:t>
            </w:r>
          </w:p>
        </w:tc>
        <w:tc>
          <w:tcPr>
            <w:tcW w:w="4457" w:type="pct"/>
            <w:gridSpan w:val="3"/>
          </w:tcPr>
          <w:p w:rsidR="00B124FF" w:rsidRPr="000B5C89" w:rsidRDefault="00B124FF" w:rsidP="005F32B8">
            <w:pPr>
              <w:pStyle w:val="SCCLsocParty"/>
              <w:jc w:val="both"/>
              <w:rPr>
                <w:b/>
                <w:sz w:val="20"/>
                <w:szCs w:val="20"/>
              </w:rPr>
            </w:pPr>
            <w:r w:rsidRPr="000B5C89">
              <w:rPr>
                <w:b/>
                <w:sz w:val="20"/>
                <w:szCs w:val="20"/>
              </w:rPr>
              <w:t>Derek Thompson</w:t>
            </w:r>
          </w:p>
          <w:p w:rsidR="00B124FF" w:rsidRPr="00AF75CE" w:rsidRDefault="00B124FF" w:rsidP="005F32B8">
            <w:pPr>
              <w:jc w:val="both"/>
              <w:rPr>
                <w:sz w:val="20"/>
                <w:lang w:val="fr-CA"/>
              </w:rPr>
            </w:pPr>
            <w:r w:rsidRPr="00AF75CE">
              <w:rPr>
                <w:sz w:val="20"/>
                <w:lang w:val="fr-CA"/>
              </w:rPr>
              <w:t>(Alb.) (Civile) (Autorisation)</w:t>
            </w:r>
          </w:p>
        </w:tc>
      </w:tr>
      <w:tr w:rsidR="00B124FF" w:rsidRPr="00CC0B55" w:rsidTr="005F32B8">
        <w:tc>
          <w:tcPr>
            <w:tcW w:w="5000" w:type="pct"/>
            <w:gridSpan w:val="4"/>
          </w:tcPr>
          <w:p w:rsidR="00B124FF" w:rsidRDefault="00B124FF" w:rsidP="005F32B8">
            <w:pPr>
              <w:jc w:val="both"/>
              <w:rPr>
                <w:sz w:val="20"/>
                <w:lang w:val="fr-CA"/>
              </w:rPr>
            </w:pPr>
            <w:r w:rsidRPr="00C11FF6">
              <w:rPr>
                <w:sz w:val="20"/>
                <w:lang w:val="fr-CA"/>
              </w:rPr>
              <w:t>La demande d’autorisation d’appel de l’arrêt de la Cour du Banc de la Reine de l’Alberta, numéro 1803 08657, 2018 ABQB 355, daté du 1er mai 2018, est rejetée sans ordonnance quant aux dépens.</w:t>
            </w:r>
          </w:p>
          <w:p w:rsidR="00B124FF" w:rsidRPr="00C11FF6" w:rsidRDefault="00B124FF" w:rsidP="005F32B8">
            <w:pPr>
              <w:jc w:val="both"/>
              <w:rPr>
                <w:sz w:val="20"/>
                <w:lang w:val="fr-CA"/>
              </w:rPr>
            </w:pPr>
          </w:p>
        </w:tc>
      </w:tr>
      <w:tr w:rsidR="00B124FF" w:rsidRPr="00CC0B55" w:rsidTr="005F32B8">
        <w:tc>
          <w:tcPr>
            <w:tcW w:w="5000" w:type="pct"/>
            <w:gridSpan w:val="4"/>
          </w:tcPr>
          <w:p w:rsidR="00B124FF" w:rsidRPr="00AF75CE" w:rsidRDefault="00B124FF" w:rsidP="005F32B8">
            <w:pPr>
              <w:jc w:val="both"/>
              <w:rPr>
                <w:sz w:val="20"/>
                <w:lang w:val="fr-CA"/>
              </w:rPr>
            </w:pPr>
            <w:r w:rsidRPr="00AF75CE">
              <w:rPr>
                <w:i/>
                <w:sz w:val="20"/>
                <w:lang w:val="fr-CA"/>
              </w:rPr>
              <w:t>Charte des droits</w:t>
            </w:r>
            <w:r w:rsidRPr="00AF75CE">
              <w:rPr>
                <w:sz w:val="20"/>
                <w:lang w:val="fr-CA"/>
              </w:rPr>
              <w:t xml:space="preserve"> – Justice fondamentale – Jugements et ordonnances – Jugements déclaratoires – Poursuite vexatoire – Le demandeur déclaré plaideur quérulent sollicite l’autorisation du tribunal pour déposer une nouvelle déclaration – Le tribunal a refusé d’accorder l’autorisation – Les droits que la </w:t>
            </w:r>
            <w:r w:rsidRPr="00AF75CE">
              <w:rPr>
                <w:i/>
                <w:sz w:val="20"/>
                <w:lang w:val="fr-CA"/>
              </w:rPr>
              <w:t xml:space="preserve">Charte </w:t>
            </w:r>
            <w:r w:rsidRPr="00AF75CE">
              <w:rPr>
                <w:sz w:val="20"/>
                <w:lang w:val="fr-CA"/>
              </w:rPr>
              <w:t>garantit au demandeur et son droit à l’équité procédurale ont-ils été violés?</w:t>
            </w:r>
          </w:p>
          <w:p w:rsidR="00B124FF" w:rsidRPr="00AF75CE" w:rsidRDefault="00B124FF" w:rsidP="005F32B8">
            <w:pPr>
              <w:jc w:val="both"/>
              <w:rPr>
                <w:sz w:val="20"/>
                <w:lang w:val="fr-CA"/>
              </w:rPr>
            </w:pPr>
          </w:p>
        </w:tc>
      </w:tr>
      <w:tr w:rsidR="00B124FF" w:rsidRPr="00CC0B55" w:rsidTr="005F32B8">
        <w:tc>
          <w:tcPr>
            <w:tcW w:w="5000" w:type="pct"/>
            <w:gridSpan w:val="4"/>
          </w:tcPr>
          <w:p w:rsidR="00B124FF" w:rsidRPr="00AF75CE" w:rsidRDefault="00B124FF" w:rsidP="005F32B8">
            <w:pPr>
              <w:jc w:val="both"/>
              <w:rPr>
                <w:sz w:val="20"/>
                <w:lang w:val="fr-CA"/>
              </w:rPr>
            </w:pPr>
            <w:r w:rsidRPr="00AF75CE">
              <w:rPr>
                <w:sz w:val="20"/>
                <w:lang w:val="fr-CA"/>
              </w:rPr>
              <w:lastRenderedPageBreak/>
              <w:t>Après avoir été déclaré plaideur quérulent, M. Thompson a été l’objet de restrictions strictes touchant son accès aux tribunaux. Il a écrit une lettre au tribunal demandant la permission de déposer une nouvelle déclaration. Sa demande a été rejetée. Sa demande d’autorisation d’interjeter appel de cette ordonnance a été rejetée elle aussi.</w:t>
            </w:r>
          </w:p>
        </w:tc>
      </w:tr>
      <w:tr w:rsidR="00B124FF" w:rsidRPr="00CC0B55" w:rsidTr="005F32B8">
        <w:tc>
          <w:tcPr>
            <w:tcW w:w="5000" w:type="pct"/>
            <w:gridSpan w:val="4"/>
          </w:tcPr>
          <w:p w:rsidR="00B124FF" w:rsidRPr="00AF75CE" w:rsidRDefault="00B124FF" w:rsidP="005F32B8">
            <w:pPr>
              <w:jc w:val="both"/>
              <w:rPr>
                <w:sz w:val="20"/>
                <w:lang w:val="fr-CA"/>
              </w:rPr>
            </w:pPr>
          </w:p>
        </w:tc>
      </w:tr>
      <w:tr w:rsidR="00B124FF" w:rsidRPr="00CC0B55" w:rsidTr="005F32B8">
        <w:tc>
          <w:tcPr>
            <w:tcW w:w="2427" w:type="pct"/>
            <w:gridSpan w:val="2"/>
          </w:tcPr>
          <w:p w:rsidR="00B124FF" w:rsidRPr="00AF75CE" w:rsidRDefault="00B124FF" w:rsidP="005F32B8">
            <w:pPr>
              <w:jc w:val="both"/>
              <w:rPr>
                <w:sz w:val="20"/>
                <w:lang w:val="fr-CA"/>
              </w:rPr>
            </w:pPr>
            <w:r w:rsidRPr="00AF75CE">
              <w:rPr>
                <w:sz w:val="20"/>
                <w:lang w:val="fr-CA"/>
              </w:rPr>
              <w:t>1</w:t>
            </w:r>
            <w:r w:rsidRPr="00AF75CE">
              <w:rPr>
                <w:sz w:val="20"/>
                <w:vertAlign w:val="superscript"/>
                <w:lang w:val="fr-CA"/>
              </w:rPr>
              <w:t>er</w:t>
            </w:r>
            <w:r w:rsidRPr="00AF75CE">
              <w:rPr>
                <w:sz w:val="20"/>
                <w:lang w:val="fr-CA"/>
              </w:rPr>
              <w:t xml:space="preserve"> mai 2018</w:t>
            </w:r>
          </w:p>
          <w:p w:rsidR="00B124FF" w:rsidRPr="00AF75CE" w:rsidRDefault="00B124FF" w:rsidP="005F32B8">
            <w:pPr>
              <w:jc w:val="both"/>
              <w:rPr>
                <w:sz w:val="20"/>
                <w:lang w:val="fr-CA"/>
              </w:rPr>
            </w:pPr>
            <w:r w:rsidRPr="00AF75CE">
              <w:rPr>
                <w:sz w:val="20"/>
                <w:lang w:val="fr-CA"/>
              </w:rPr>
              <w:t>Cour du Banc de la Reine de l’Alberta</w:t>
            </w:r>
          </w:p>
          <w:p w:rsidR="00B124FF" w:rsidRPr="00AF75CE" w:rsidRDefault="00B124FF" w:rsidP="005F32B8">
            <w:pPr>
              <w:jc w:val="both"/>
              <w:rPr>
                <w:sz w:val="20"/>
                <w:lang w:val="fr-CA"/>
              </w:rPr>
            </w:pPr>
            <w:r w:rsidRPr="00AF75CE">
              <w:rPr>
                <w:sz w:val="20"/>
                <w:lang w:val="fr-CA"/>
              </w:rPr>
              <w:t>(Juge Nielsen)</w:t>
            </w:r>
          </w:p>
          <w:p w:rsidR="00B124FF" w:rsidRPr="00AF75CE" w:rsidRDefault="00A24D5C" w:rsidP="005F32B8">
            <w:pPr>
              <w:jc w:val="both"/>
              <w:rPr>
                <w:sz w:val="20"/>
                <w:lang w:val="fr-CA"/>
              </w:rPr>
            </w:pPr>
            <w:hyperlink r:id="rId101" w:history="1">
              <w:r w:rsidR="00B124FF" w:rsidRPr="00AF75CE">
                <w:rPr>
                  <w:rStyle w:val="Hyperlink"/>
                  <w:sz w:val="20"/>
                  <w:lang w:val="fr-CA"/>
                </w:rPr>
                <w:t>2018 ABQB 355</w:t>
              </w:r>
            </w:hyperlink>
          </w:p>
          <w:p w:rsidR="00B124FF" w:rsidRPr="00AF75CE" w:rsidRDefault="00B124FF" w:rsidP="005F32B8">
            <w:pPr>
              <w:jc w:val="both"/>
              <w:rPr>
                <w:sz w:val="20"/>
                <w:lang w:val="fr-CA"/>
              </w:rPr>
            </w:pPr>
          </w:p>
        </w:tc>
        <w:tc>
          <w:tcPr>
            <w:tcW w:w="243" w:type="pct"/>
          </w:tcPr>
          <w:p w:rsidR="00B124FF" w:rsidRPr="00AF75CE" w:rsidRDefault="00B124FF" w:rsidP="005F32B8">
            <w:pPr>
              <w:jc w:val="both"/>
              <w:rPr>
                <w:sz w:val="20"/>
                <w:lang w:val="fr-CA"/>
              </w:rPr>
            </w:pPr>
          </w:p>
        </w:tc>
        <w:tc>
          <w:tcPr>
            <w:tcW w:w="2330" w:type="pct"/>
          </w:tcPr>
          <w:p w:rsidR="00B124FF" w:rsidRPr="00AF75CE" w:rsidRDefault="00B124FF" w:rsidP="005F32B8">
            <w:pPr>
              <w:jc w:val="both"/>
              <w:rPr>
                <w:sz w:val="20"/>
                <w:lang w:val="fr-CA"/>
              </w:rPr>
            </w:pPr>
            <w:r w:rsidRPr="00AF75CE">
              <w:rPr>
                <w:sz w:val="20"/>
                <w:lang w:val="fr-CA"/>
              </w:rPr>
              <w:t>Rejet de la demande du demandeur en autorisation de déposer une déclaration</w:t>
            </w:r>
          </w:p>
          <w:p w:rsidR="00B124FF" w:rsidRPr="00AF75CE" w:rsidRDefault="00B124FF" w:rsidP="005F32B8">
            <w:pPr>
              <w:jc w:val="both"/>
              <w:rPr>
                <w:sz w:val="20"/>
                <w:lang w:val="fr-CA"/>
              </w:rPr>
            </w:pPr>
          </w:p>
        </w:tc>
      </w:tr>
      <w:tr w:rsidR="00B124FF" w:rsidRPr="00CC0B55" w:rsidTr="005F32B8">
        <w:tc>
          <w:tcPr>
            <w:tcW w:w="2427" w:type="pct"/>
            <w:gridSpan w:val="2"/>
          </w:tcPr>
          <w:p w:rsidR="00B124FF" w:rsidRPr="00AF75CE" w:rsidRDefault="00B124FF" w:rsidP="005F32B8">
            <w:pPr>
              <w:jc w:val="both"/>
              <w:rPr>
                <w:sz w:val="20"/>
                <w:lang w:val="fr-CA"/>
              </w:rPr>
            </w:pPr>
            <w:r w:rsidRPr="00AF75CE">
              <w:rPr>
                <w:sz w:val="20"/>
                <w:lang w:val="fr-CA"/>
              </w:rPr>
              <w:t>21 mars 2018</w:t>
            </w:r>
          </w:p>
          <w:p w:rsidR="00B124FF" w:rsidRPr="00AF75CE" w:rsidRDefault="00B124FF" w:rsidP="005F32B8">
            <w:pPr>
              <w:jc w:val="both"/>
              <w:rPr>
                <w:sz w:val="20"/>
                <w:lang w:val="fr-CA"/>
              </w:rPr>
            </w:pPr>
            <w:r w:rsidRPr="00AF75CE">
              <w:rPr>
                <w:sz w:val="20"/>
                <w:lang w:val="fr-CA"/>
              </w:rPr>
              <w:t>Cour d’appel de l’Alberta</w:t>
            </w:r>
          </w:p>
          <w:p w:rsidR="00B124FF" w:rsidRPr="00AF75CE" w:rsidRDefault="00B124FF" w:rsidP="005F32B8">
            <w:pPr>
              <w:jc w:val="both"/>
              <w:rPr>
                <w:sz w:val="20"/>
                <w:lang w:val="fr-CA"/>
              </w:rPr>
            </w:pPr>
            <w:r w:rsidRPr="00AF75CE">
              <w:rPr>
                <w:sz w:val="20"/>
                <w:lang w:val="fr-CA"/>
              </w:rPr>
              <w:t>(Juge Wakeling)</w:t>
            </w:r>
          </w:p>
          <w:p w:rsidR="00B124FF" w:rsidRPr="00AF75CE" w:rsidRDefault="00A24D5C" w:rsidP="005F32B8">
            <w:pPr>
              <w:jc w:val="both"/>
              <w:rPr>
                <w:sz w:val="20"/>
                <w:lang w:val="fr-CA"/>
              </w:rPr>
            </w:pPr>
            <w:hyperlink r:id="rId102" w:history="1">
              <w:r w:rsidR="00B124FF" w:rsidRPr="00AF75CE">
                <w:rPr>
                  <w:rStyle w:val="Hyperlink"/>
                  <w:sz w:val="20"/>
                  <w:lang w:val="fr-CA"/>
                </w:rPr>
                <w:t>2018 ABCA 111</w:t>
              </w:r>
            </w:hyperlink>
          </w:p>
          <w:p w:rsidR="00B124FF" w:rsidRPr="00AF75CE" w:rsidRDefault="00B124FF" w:rsidP="005F32B8">
            <w:pPr>
              <w:jc w:val="both"/>
              <w:rPr>
                <w:sz w:val="20"/>
                <w:lang w:val="fr-CA"/>
              </w:rPr>
            </w:pPr>
          </w:p>
        </w:tc>
        <w:tc>
          <w:tcPr>
            <w:tcW w:w="243" w:type="pct"/>
          </w:tcPr>
          <w:p w:rsidR="00B124FF" w:rsidRPr="00AF75CE" w:rsidRDefault="00B124FF" w:rsidP="005F32B8">
            <w:pPr>
              <w:jc w:val="both"/>
              <w:rPr>
                <w:sz w:val="20"/>
                <w:lang w:val="fr-CA"/>
              </w:rPr>
            </w:pPr>
          </w:p>
        </w:tc>
        <w:tc>
          <w:tcPr>
            <w:tcW w:w="2330" w:type="pct"/>
          </w:tcPr>
          <w:p w:rsidR="00B124FF" w:rsidRPr="00AF75CE" w:rsidRDefault="00B124FF" w:rsidP="005F32B8">
            <w:pPr>
              <w:jc w:val="both"/>
              <w:rPr>
                <w:sz w:val="20"/>
                <w:lang w:val="fr-CA"/>
              </w:rPr>
            </w:pPr>
            <w:r w:rsidRPr="00AF75CE">
              <w:rPr>
                <w:sz w:val="20"/>
                <w:lang w:val="fr-CA"/>
              </w:rPr>
              <w:t>Rejet de la demande du demandeur en permission d’interjeter appel</w:t>
            </w:r>
          </w:p>
          <w:p w:rsidR="00B124FF" w:rsidRPr="00AF75CE" w:rsidRDefault="00B124FF" w:rsidP="005F32B8">
            <w:pPr>
              <w:jc w:val="both"/>
              <w:rPr>
                <w:sz w:val="20"/>
                <w:lang w:val="fr-CA"/>
              </w:rPr>
            </w:pPr>
          </w:p>
        </w:tc>
      </w:tr>
      <w:tr w:rsidR="00B124FF" w:rsidRPr="00CC0B55" w:rsidTr="005F32B8">
        <w:tc>
          <w:tcPr>
            <w:tcW w:w="2427" w:type="pct"/>
            <w:gridSpan w:val="2"/>
          </w:tcPr>
          <w:p w:rsidR="00B124FF" w:rsidRPr="00AF75CE" w:rsidRDefault="00B124FF" w:rsidP="005F32B8">
            <w:pPr>
              <w:jc w:val="both"/>
              <w:rPr>
                <w:sz w:val="20"/>
                <w:lang w:val="fr-CA"/>
              </w:rPr>
            </w:pPr>
            <w:r w:rsidRPr="00AF75CE">
              <w:rPr>
                <w:sz w:val="20"/>
                <w:lang w:val="fr-CA"/>
              </w:rPr>
              <w:t>28 juin 2018</w:t>
            </w:r>
          </w:p>
          <w:p w:rsidR="00B124FF" w:rsidRPr="00AF75CE" w:rsidRDefault="00B124FF" w:rsidP="005F32B8">
            <w:pPr>
              <w:jc w:val="both"/>
              <w:rPr>
                <w:sz w:val="20"/>
                <w:lang w:val="fr-CA"/>
              </w:rPr>
            </w:pPr>
            <w:r w:rsidRPr="00AF75CE">
              <w:rPr>
                <w:sz w:val="20"/>
                <w:lang w:val="fr-CA"/>
              </w:rPr>
              <w:t>Cour suprême du Canada</w:t>
            </w:r>
          </w:p>
        </w:tc>
        <w:tc>
          <w:tcPr>
            <w:tcW w:w="243" w:type="pct"/>
          </w:tcPr>
          <w:p w:rsidR="00B124FF" w:rsidRPr="00AF75CE" w:rsidRDefault="00B124FF" w:rsidP="005F32B8">
            <w:pPr>
              <w:jc w:val="both"/>
              <w:rPr>
                <w:sz w:val="20"/>
                <w:lang w:val="fr-CA"/>
              </w:rPr>
            </w:pPr>
          </w:p>
        </w:tc>
        <w:tc>
          <w:tcPr>
            <w:tcW w:w="2330" w:type="pct"/>
          </w:tcPr>
          <w:p w:rsidR="00B124FF" w:rsidRPr="00AF75CE" w:rsidRDefault="00B124FF" w:rsidP="005F32B8">
            <w:pPr>
              <w:jc w:val="both"/>
              <w:rPr>
                <w:sz w:val="20"/>
                <w:lang w:val="fr-CA"/>
              </w:rPr>
            </w:pPr>
            <w:r w:rsidRPr="00AF75CE">
              <w:rPr>
                <w:sz w:val="20"/>
                <w:lang w:val="fr-CA"/>
              </w:rPr>
              <w:t>Dépôt de la demande d’autorisation d’appel</w:t>
            </w:r>
          </w:p>
          <w:p w:rsidR="00B124FF" w:rsidRPr="00AF75CE" w:rsidRDefault="00B124FF" w:rsidP="005F32B8">
            <w:pPr>
              <w:jc w:val="both"/>
              <w:rPr>
                <w:sz w:val="20"/>
                <w:lang w:val="fr-CA"/>
              </w:rPr>
            </w:pPr>
          </w:p>
        </w:tc>
      </w:tr>
    </w:tbl>
    <w:p w:rsidR="00B124FF" w:rsidRPr="00AF75CE" w:rsidRDefault="00B124FF" w:rsidP="00B124FF">
      <w:pPr>
        <w:jc w:val="both"/>
        <w:rPr>
          <w:sz w:val="20"/>
          <w:lang w:val="fr-CA"/>
        </w:rPr>
      </w:pPr>
    </w:p>
    <w:p w:rsidR="00B124FF" w:rsidRDefault="00A24D5C" w:rsidP="00B124FF">
      <w:pPr>
        <w:ind w:left="142" w:hanging="142"/>
        <w:jc w:val="both"/>
        <w:rPr>
          <w:sz w:val="20"/>
          <w:lang w:val="fr-CA"/>
        </w:rPr>
      </w:pPr>
      <w:r>
        <w:rPr>
          <w:sz w:val="20"/>
          <w:szCs w:val="20"/>
        </w:rPr>
        <w:pict>
          <v:rect id="_x0000_i1056" style="width:2in;height:1pt" o:hrpct="0" o:hralign="center" o:hrstd="t" o:hrnoshade="t" o:hr="t" fillcolor="black [3213]" stroked="f"/>
        </w:pict>
      </w:r>
    </w:p>
    <w:p w:rsidR="00B124FF" w:rsidRPr="00AF75CE" w:rsidRDefault="00B124FF" w:rsidP="00B124FF">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124FF" w:rsidRPr="00AF75CE" w:rsidTr="005F32B8">
        <w:tc>
          <w:tcPr>
            <w:tcW w:w="543" w:type="pct"/>
          </w:tcPr>
          <w:p w:rsidR="00B124FF" w:rsidRPr="00AF75CE" w:rsidRDefault="00B124FF" w:rsidP="005F32B8">
            <w:pPr>
              <w:jc w:val="both"/>
              <w:rPr>
                <w:sz w:val="20"/>
              </w:rPr>
            </w:pPr>
            <w:r w:rsidRPr="00AF75CE">
              <w:rPr>
                <w:rStyle w:val="SCCFileNumberChar"/>
                <w:sz w:val="20"/>
                <w:szCs w:val="20"/>
              </w:rPr>
              <w:t>38267</w:t>
            </w:r>
          </w:p>
        </w:tc>
        <w:tc>
          <w:tcPr>
            <w:tcW w:w="4457" w:type="pct"/>
            <w:gridSpan w:val="3"/>
          </w:tcPr>
          <w:p w:rsidR="00B124FF" w:rsidRPr="000B5C89" w:rsidRDefault="00B124FF" w:rsidP="005F32B8">
            <w:pPr>
              <w:pStyle w:val="SCCLsocParty"/>
              <w:jc w:val="both"/>
              <w:rPr>
                <w:b/>
                <w:sz w:val="20"/>
                <w:szCs w:val="20"/>
                <w:lang w:val="en-US"/>
              </w:rPr>
            </w:pPr>
            <w:r w:rsidRPr="000B5C89">
              <w:rPr>
                <w:b/>
                <w:sz w:val="20"/>
                <w:szCs w:val="20"/>
                <w:lang w:val="en-US"/>
              </w:rPr>
              <w:t>Derek Thompson v. Justice K.G. Nielsen</w:t>
            </w:r>
          </w:p>
          <w:p w:rsidR="00B124FF" w:rsidRPr="00AF75CE" w:rsidRDefault="00B124FF" w:rsidP="005F32B8">
            <w:pPr>
              <w:jc w:val="both"/>
              <w:rPr>
                <w:sz w:val="20"/>
              </w:rPr>
            </w:pPr>
            <w:r w:rsidRPr="00AF75CE">
              <w:rPr>
                <w:sz w:val="20"/>
              </w:rPr>
              <w:t>(Alta.) (Civil) (By Leave)</w:t>
            </w:r>
          </w:p>
        </w:tc>
      </w:tr>
      <w:tr w:rsidR="00B124FF" w:rsidRPr="00AF75CE" w:rsidTr="005F32B8">
        <w:tc>
          <w:tcPr>
            <w:tcW w:w="5000" w:type="pct"/>
            <w:gridSpan w:val="4"/>
          </w:tcPr>
          <w:p w:rsidR="00B124FF" w:rsidRDefault="00B124FF" w:rsidP="005F32B8">
            <w:pPr>
              <w:jc w:val="both"/>
              <w:rPr>
                <w:sz w:val="20"/>
              </w:rPr>
            </w:pPr>
            <w:r w:rsidRPr="00C11FF6">
              <w:rPr>
                <w:sz w:val="20"/>
              </w:rPr>
              <w:t>The application for leave to appeal from the judgment of the Court of Queen’s Bench of Alberta, Number 1603 21741, 2018 ABQB 220, dated March 23, 2018, is dismissed with no order as to costs.</w:t>
            </w:r>
          </w:p>
          <w:p w:rsidR="00B124FF" w:rsidRPr="00C11FF6" w:rsidRDefault="00B124FF" w:rsidP="005F32B8">
            <w:pPr>
              <w:jc w:val="both"/>
              <w:rPr>
                <w:sz w:val="20"/>
              </w:rPr>
            </w:pPr>
          </w:p>
        </w:tc>
      </w:tr>
      <w:tr w:rsidR="00B124FF" w:rsidRPr="00AF75CE" w:rsidTr="005F32B8">
        <w:tc>
          <w:tcPr>
            <w:tcW w:w="5000" w:type="pct"/>
            <w:gridSpan w:val="4"/>
          </w:tcPr>
          <w:p w:rsidR="00B124FF" w:rsidRPr="009C5D82" w:rsidRDefault="00B124FF" w:rsidP="005F32B8">
            <w:pPr>
              <w:jc w:val="both"/>
              <w:rPr>
                <w:rFonts w:eastAsia="Times New Roman" w:cs="Times New Roman"/>
                <w:sz w:val="20"/>
                <w:szCs w:val="20"/>
              </w:rPr>
            </w:pPr>
            <w:r w:rsidRPr="009C5D82">
              <w:rPr>
                <w:i/>
                <w:sz w:val="20"/>
                <w:szCs w:val="20"/>
              </w:rPr>
              <w:t>Charter of Rights</w:t>
            </w:r>
            <w:r w:rsidRPr="009C5D82">
              <w:rPr>
                <w:sz w:val="20"/>
                <w:szCs w:val="20"/>
              </w:rPr>
              <w:t xml:space="preserve"> – Fundamental justice – Judgments and orders – Declaratory judgments – Applicant declared to be vexatious litigant seeking leave to file documentation in litigation with the Alberta Labour Relations Board – Whether </w:t>
            </w:r>
            <w:r w:rsidRPr="009C5D82">
              <w:rPr>
                <w:i/>
                <w:sz w:val="20"/>
                <w:szCs w:val="20"/>
              </w:rPr>
              <w:t xml:space="preserve">Charter </w:t>
            </w:r>
            <w:r w:rsidRPr="009C5D82">
              <w:rPr>
                <w:sz w:val="20"/>
                <w:szCs w:val="20"/>
              </w:rPr>
              <w:t>rights of vexatious litigants have been violated.</w:t>
            </w:r>
          </w:p>
          <w:p w:rsidR="00B124FF" w:rsidRPr="00AF75CE" w:rsidRDefault="00B124FF" w:rsidP="005F32B8">
            <w:pPr>
              <w:jc w:val="both"/>
              <w:rPr>
                <w:sz w:val="20"/>
              </w:rPr>
            </w:pPr>
          </w:p>
        </w:tc>
      </w:tr>
      <w:tr w:rsidR="00B124FF" w:rsidRPr="00AF75CE" w:rsidTr="005F32B8">
        <w:tc>
          <w:tcPr>
            <w:tcW w:w="5000" w:type="pct"/>
            <w:gridSpan w:val="4"/>
          </w:tcPr>
          <w:p w:rsidR="00B124FF" w:rsidRPr="00AF75CE" w:rsidRDefault="00B124FF" w:rsidP="005F32B8">
            <w:pPr>
              <w:jc w:val="both"/>
              <w:rPr>
                <w:sz w:val="20"/>
              </w:rPr>
            </w:pPr>
            <w:r w:rsidRPr="00AF75CE">
              <w:rPr>
                <w:sz w:val="20"/>
              </w:rPr>
              <w:t>Mr. Thompson was declared to be a vexatious litigant with court access restrictions in March, 2017. He was required to obtain leave prior to initiating or continuing any litigation. He sought leave to file documentation in litigation with the Alberta Labour Relations Board that was refused.</w:t>
            </w:r>
          </w:p>
        </w:tc>
      </w:tr>
      <w:tr w:rsidR="00B124FF" w:rsidRPr="00AF75CE" w:rsidTr="005F32B8">
        <w:tc>
          <w:tcPr>
            <w:tcW w:w="5000" w:type="pct"/>
            <w:gridSpan w:val="4"/>
          </w:tcPr>
          <w:p w:rsidR="00B124FF" w:rsidRPr="00AF75CE" w:rsidRDefault="00B124FF" w:rsidP="005F32B8">
            <w:pPr>
              <w:jc w:val="both"/>
              <w:rPr>
                <w:sz w:val="20"/>
              </w:rPr>
            </w:pPr>
          </w:p>
        </w:tc>
      </w:tr>
      <w:tr w:rsidR="00B124FF" w:rsidRPr="00AF75CE" w:rsidTr="005F32B8">
        <w:tc>
          <w:tcPr>
            <w:tcW w:w="2427" w:type="pct"/>
            <w:gridSpan w:val="2"/>
          </w:tcPr>
          <w:p w:rsidR="00B124FF" w:rsidRPr="00AF75CE" w:rsidRDefault="00B124FF" w:rsidP="005F32B8">
            <w:pPr>
              <w:jc w:val="both"/>
              <w:rPr>
                <w:sz w:val="20"/>
              </w:rPr>
            </w:pPr>
            <w:r w:rsidRPr="00AF75CE">
              <w:rPr>
                <w:sz w:val="20"/>
              </w:rPr>
              <w:t>March 23, 2018</w:t>
            </w:r>
          </w:p>
          <w:p w:rsidR="00B124FF" w:rsidRPr="00AF75CE" w:rsidRDefault="00B124FF" w:rsidP="005F32B8">
            <w:pPr>
              <w:jc w:val="both"/>
              <w:rPr>
                <w:sz w:val="20"/>
              </w:rPr>
            </w:pPr>
            <w:r w:rsidRPr="00AF75CE">
              <w:rPr>
                <w:sz w:val="20"/>
              </w:rPr>
              <w:t>Court of Queen’s Bench of Alberta</w:t>
            </w:r>
          </w:p>
          <w:p w:rsidR="00B124FF" w:rsidRPr="00AF75CE" w:rsidRDefault="00B124FF" w:rsidP="005F32B8">
            <w:pPr>
              <w:jc w:val="both"/>
              <w:rPr>
                <w:sz w:val="20"/>
              </w:rPr>
            </w:pPr>
            <w:r w:rsidRPr="00AF75CE">
              <w:rPr>
                <w:sz w:val="20"/>
              </w:rPr>
              <w:t>(Nielsen J.)</w:t>
            </w:r>
          </w:p>
          <w:p w:rsidR="00B124FF" w:rsidRPr="00AF75CE" w:rsidRDefault="00A24D5C" w:rsidP="005F32B8">
            <w:pPr>
              <w:jc w:val="both"/>
              <w:rPr>
                <w:sz w:val="20"/>
              </w:rPr>
            </w:pPr>
            <w:hyperlink r:id="rId103" w:history="1">
              <w:r w:rsidR="00B124FF" w:rsidRPr="00AF75CE">
                <w:rPr>
                  <w:rStyle w:val="Hyperlink"/>
                  <w:sz w:val="20"/>
                </w:rPr>
                <w:t>2018 ABQB 220</w:t>
              </w:r>
            </w:hyperlink>
          </w:p>
          <w:p w:rsidR="00B124FF" w:rsidRPr="00AF75CE" w:rsidRDefault="00B124FF" w:rsidP="005F32B8">
            <w:pPr>
              <w:jc w:val="both"/>
              <w:rPr>
                <w:sz w:val="20"/>
              </w:rPr>
            </w:pPr>
          </w:p>
        </w:tc>
        <w:tc>
          <w:tcPr>
            <w:tcW w:w="243" w:type="pct"/>
          </w:tcPr>
          <w:p w:rsidR="00B124FF" w:rsidRPr="00AF75CE" w:rsidRDefault="00B124FF" w:rsidP="005F32B8">
            <w:pPr>
              <w:jc w:val="both"/>
              <w:rPr>
                <w:sz w:val="20"/>
              </w:rPr>
            </w:pPr>
          </w:p>
        </w:tc>
        <w:tc>
          <w:tcPr>
            <w:tcW w:w="2330" w:type="pct"/>
          </w:tcPr>
          <w:p w:rsidR="00B124FF" w:rsidRPr="00AF75CE" w:rsidRDefault="00B124FF" w:rsidP="005F32B8">
            <w:pPr>
              <w:jc w:val="both"/>
              <w:rPr>
                <w:sz w:val="20"/>
              </w:rPr>
            </w:pPr>
            <w:r w:rsidRPr="00AF75CE">
              <w:rPr>
                <w:sz w:val="20"/>
              </w:rPr>
              <w:t>Order declaring applicant to be vexatious litigant and prohibiting him from commencing further proceedings without leave of court</w:t>
            </w:r>
          </w:p>
          <w:p w:rsidR="00B124FF" w:rsidRPr="00AF75CE" w:rsidRDefault="00B124FF" w:rsidP="005F32B8">
            <w:pPr>
              <w:jc w:val="both"/>
              <w:rPr>
                <w:sz w:val="20"/>
              </w:rPr>
            </w:pPr>
          </w:p>
        </w:tc>
      </w:tr>
      <w:tr w:rsidR="00B124FF" w:rsidRPr="00AF75CE" w:rsidTr="005F32B8">
        <w:tc>
          <w:tcPr>
            <w:tcW w:w="2427" w:type="pct"/>
            <w:gridSpan w:val="2"/>
          </w:tcPr>
          <w:p w:rsidR="00B124FF" w:rsidRPr="00AF75CE" w:rsidRDefault="00B124FF" w:rsidP="005F32B8">
            <w:pPr>
              <w:jc w:val="both"/>
              <w:rPr>
                <w:sz w:val="20"/>
              </w:rPr>
            </w:pPr>
            <w:r w:rsidRPr="00AF75CE">
              <w:rPr>
                <w:sz w:val="20"/>
              </w:rPr>
              <w:t>May 22, 2018</w:t>
            </w:r>
          </w:p>
          <w:p w:rsidR="00B124FF" w:rsidRPr="00AF75CE" w:rsidRDefault="00B124FF" w:rsidP="005F32B8">
            <w:pPr>
              <w:jc w:val="both"/>
              <w:rPr>
                <w:sz w:val="20"/>
              </w:rPr>
            </w:pPr>
            <w:r w:rsidRPr="00AF75CE">
              <w:rPr>
                <w:sz w:val="20"/>
              </w:rPr>
              <w:t>Supreme Court of Canada</w:t>
            </w:r>
          </w:p>
        </w:tc>
        <w:tc>
          <w:tcPr>
            <w:tcW w:w="243" w:type="pct"/>
          </w:tcPr>
          <w:p w:rsidR="00B124FF" w:rsidRPr="00AF75CE" w:rsidRDefault="00B124FF" w:rsidP="005F32B8">
            <w:pPr>
              <w:jc w:val="both"/>
              <w:rPr>
                <w:sz w:val="20"/>
              </w:rPr>
            </w:pPr>
          </w:p>
        </w:tc>
        <w:tc>
          <w:tcPr>
            <w:tcW w:w="2330" w:type="pct"/>
          </w:tcPr>
          <w:p w:rsidR="00B124FF" w:rsidRPr="00AF75CE" w:rsidRDefault="00B124FF" w:rsidP="005F32B8">
            <w:pPr>
              <w:jc w:val="both"/>
              <w:rPr>
                <w:sz w:val="20"/>
              </w:rPr>
            </w:pPr>
            <w:r w:rsidRPr="00AF75CE">
              <w:rPr>
                <w:sz w:val="20"/>
              </w:rPr>
              <w:t>Application for leave to appeal filed</w:t>
            </w:r>
          </w:p>
          <w:p w:rsidR="00B124FF" w:rsidRPr="00AF75CE" w:rsidRDefault="00B124FF" w:rsidP="005F32B8">
            <w:pPr>
              <w:jc w:val="both"/>
              <w:rPr>
                <w:sz w:val="20"/>
              </w:rPr>
            </w:pPr>
          </w:p>
        </w:tc>
      </w:tr>
    </w:tbl>
    <w:p w:rsidR="00B124FF" w:rsidRDefault="00B124FF" w:rsidP="00B124FF">
      <w:pPr>
        <w:jc w:val="both"/>
        <w:rPr>
          <w:sz w:val="20"/>
        </w:rPr>
      </w:pPr>
    </w:p>
    <w:p w:rsidR="00B124FF" w:rsidRPr="00AF75CE" w:rsidRDefault="00B124FF" w:rsidP="00B124F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124FF" w:rsidRPr="00CC0B55" w:rsidTr="005F32B8">
        <w:tc>
          <w:tcPr>
            <w:tcW w:w="543" w:type="pct"/>
          </w:tcPr>
          <w:p w:rsidR="00B124FF" w:rsidRPr="00AF75CE" w:rsidRDefault="00B124FF" w:rsidP="005F32B8">
            <w:pPr>
              <w:jc w:val="both"/>
              <w:rPr>
                <w:sz w:val="20"/>
                <w:lang w:val="fr-CA"/>
              </w:rPr>
            </w:pPr>
            <w:r w:rsidRPr="00AF75CE">
              <w:rPr>
                <w:rStyle w:val="SCCFileNumberChar"/>
                <w:sz w:val="20"/>
                <w:szCs w:val="20"/>
                <w:lang w:val="fr-CA"/>
              </w:rPr>
              <w:t>38267</w:t>
            </w:r>
          </w:p>
        </w:tc>
        <w:tc>
          <w:tcPr>
            <w:tcW w:w="4457" w:type="pct"/>
            <w:gridSpan w:val="3"/>
          </w:tcPr>
          <w:p w:rsidR="00B124FF" w:rsidRPr="000B5C89" w:rsidRDefault="00B124FF" w:rsidP="005F32B8">
            <w:pPr>
              <w:pStyle w:val="SCCLsocParty"/>
              <w:jc w:val="both"/>
              <w:rPr>
                <w:b/>
                <w:sz w:val="20"/>
                <w:szCs w:val="20"/>
              </w:rPr>
            </w:pPr>
            <w:r w:rsidRPr="000B5C89">
              <w:rPr>
                <w:b/>
                <w:sz w:val="20"/>
                <w:szCs w:val="20"/>
              </w:rPr>
              <w:t>Derek Thompson c. Le juge K.G. Nielsen</w:t>
            </w:r>
          </w:p>
          <w:p w:rsidR="00B124FF" w:rsidRPr="00AF75CE" w:rsidRDefault="00B124FF" w:rsidP="005F32B8">
            <w:pPr>
              <w:jc w:val="both"/>
              <w:rPr>
                <w:sz w:val="20"/>
                <w:lang w:val="fr-CA"/>
              </w:rPr>
            </w:pPr>
            <w:r w:rsidRPr="00AF75CE">
              <w:rPr>
                <w:sz w:val="20"/>
                <w:lang w:val="fr-CA"/>
              </w:rPr>
              <w:t>(Alb.) (Civile) (Autorisation)</w:t>
            </w:r>
          </w:p>
        </w:tc>
      </w:tr>
      <w:tr w:rsidR="00B124FF" w:rsidRPr="00CC0B55" w:rsidTr="005F32B8">
        <w:tc>
          <w:tcPr>
            <w:tcW w:w="5000" w:type="pct"/>
            <w:gridSpan w:val="4"/>
          </w:tcPr>
          <w:p w:rsidR="00B124FF" w:rsidRDefault="00B124FF" w:rsidP="005F32B8">
            <w:pPr>
              <w:jc w:val="both"/>
              <w:rPr>
                <w:sz w:val="20"/>
                <w:lang w:val="fr-CA"/>
              </w:rPr>
            </w:pPr>
            <w:r w:rsidRPr="00C11FF6">
              <w:rPr>
                <w:sz w:val="20"/>
                <w:lang w:val="fr-CA"/>
              </w:rPr>
              <w:t>La demande d’autorisation d’appel de l’arrêt de la Cour du Banc de la Reine de l’Alberta, numéro 1603 21741, 2018 ABQB 220, daté du 23 mars 2018, est rejetée sans ordonnance quant aux dépens.</w:t>
            </w:r>
          </w:p>
          <w:p w:rsidR="00B124FF" w:rsidRPr="00C11FF6" w:rsidRDefault="00B124FF" w:rsidP="005F32B8">
            <w:pPr>
              <w:jc w:val="both"/>
              <w:rPr>
                <w:sz w:val="20"/>
                <w:lang w:val="fr-CA"/>
              </w:rPr>
            </w:pPr>
          </w:p>
        </w:tc>
      </w:tr>
      <w:tr w:rsidR="00B124FF" w:rsidRPr="00CC0B55" w:rsidTr="005F32B8">
        <w:tc>
          <w:tcPr>
            <w:tcW w:w="5000" w:type="pct"/>
            <w:gridSpan w:val="4"/>
          </w:tcPr>
          <w:p w:rsidR="00B124FF" w:rsidRPr="009C5D82" w:rsidRDefault="00B124FF" w:rsidP="005F32B8">
            <w:pPr>
              <w:jc w:val="both"/>
              <w:rPr>
                <w:rFonts w:eastAsia="Times New Roman" w:cs="Times New Roman"/>
                <w:sz w:val="20"/>
                <w:szCs w:val="20"/>
                <w:lang w:val="fr-CA"/>
              </w:rPr>
            </w:pPr>
            <w:r w:rsidRPr="009C5D82">
              <w:rPr>
                <w:rFonts w:eastAsia="Times New Roman" w:cs="Times New Roman"/>
                <w:i/>
                <w:sz w:val="20"/>
                <w:szCs w:val="20"/>
                <w:lang w:val="fr-CA"/>
              </w:rPr>
              <w:lastRenderedPageBreak/>
              <w:t>Charte des droits</w:t>
            </w:r>
            <w:r w:rsidRPr="009C5D82">
              <w:rPr>
                <w:rFonts w:eastAsia="Times New Roman" w:cs="Times New Roman"/>
                <w:sz w:val="20"/>
                <w:szCs w:val="20"/>
                <w:lang w:val="fr-CA"/>
              </w:rPr>
              <w:t xml:space="preserve"> – Justice fondamentale – Jugements et ordonnances – Jugements déclaratoires – Le demandeur déclaré plaideur quérulent sollicite l’autorisation pour déposer des documents dans le cadre d’un litige avec l’Alberta Labour Relations Board – Les droits que la </w:t>
            </w:r>
            <w:r w:rsidRPr="009C5D82">
              <w:rPr>
                <w:rFonts w:eastAsia="Times New Roman" w:cs="Times New Roman"/>
                <w:i/>
                <w:sz w:val="20"/>
                <w:szCs w:val="20"/>
                <w:lang w:val="fr-CA"/>
              </w:rPr>
              <w:t xml:space="preserve">Charte </w:t>
            </w:r>
            <w:r w:rsidRPr="009C5D82">
              <w:rPr>
                <w:rFonts w:eastAsia="Times New Roman" w:cs="Times New Roman"/>
                <w:sz w:val="20"/>
                <w:szCs w:val="20"/>
                <w:lang w:val="fr-CA"/>
              </w:rPr>
              <w:t>garantit aux plaideurs quérulents ont-ils été violés?</w:t>
            </w:r>
          </w:p>
          <w:p w:rsidR="00B124FF" w:rsidRPr="00AF75CE" w:rsidRDefault="00B124FF" w:rsidP="005F32B8">
            <w:pPr>
              <w:jc w:val="both"/>
              <w:rPr>
                <w:sz w:val="20"/>
                <w:lang w:val="fr-CA"/>
              </w:rPr>
            </w:pPr>
          </w:p>
        </w:tc>
      </w:tr>
      <w:tr w:rsidR="00B124FF" w:rsidRPr="00CC0B55" w:rsidTr="005F32B8">
        <w:tc>
          <w:tcPr>
            <w:tcW w:w="5000" w:type="pct"/>
            <w:gridSpan w:val="4"/>
          </w:tcPr>
          <w:p w:rsidR="00B124FF" w:rsidRPr="00AF75CE" w:rsidRDefault="00B124FF" w:rsidP="005F32B8">
            <w:pPr>
              <w:jc w:val="both"/>
              <w:rPr>
                <w:sz w:val="20"/>
                <w:lang w:val="fr-CA"/>
              </w:rPr>
            </w:pPr>
            <w:r w:rsidRPr="00AF75CE">
              <w:rPr>
                <w:sz w:val="20"/>
                <w:lang w:val="fr-CA"/>
              </w:rPr>
              <w:t>En mars 2017, M. Thompson a été déclaré plaideur quérulent et son accès aux tribunaux a été l’objet de restrictions. Il était tenu d’obtenir l’autorisation avant d’intenter ou de poursuivre une poursuite. Il a demandé d’autorisation de déposer des documents dans le cadre d’un litige avec l’Alberta Labour Relations Board, autorisation qui lui a été refusée.</w:t>
            </w:r>
          </w:p>
        </w:tc>
      </w:tr>
      <w:tr w:rsidR="00B124FF" w:rsidRPr="00CC0B55" w:rsidTr="005F32B8">
        <w:tc>
          <w:tcPr>
            <w:tcW w:w="5000" w:type="pct"/>
            <w:gridSpan w:val="4"/>
          </w:tcPr>
          <w:p w:rsidR="00B124FF" w:rsidRPr="00AF75CE" w:rsidRDefault="00B124FF" w:rsidP="005F32B8">
            <w:pPr>
              <w:jc w:val="both"/>
              <w:rPr>
                <w:sz w:val="20"/>
                <w:lang w:val="fr-CA"/>
              </w:rPr>
            </w:pPr>
          </w:p>
        </w:tc>
      </w:tr>
      <w:tr w:rsidR="00B124FF" w:rsidRPr="00CC0B55" w:rsidTr="005F32B8">
        <w:tc>
          <w:tcPr>
            <w:tcW w:w="2427" w:type="pct"/>
            <w:gridSpan w:val="2"/>
          </w:tcPr>
          <w:p w:rsidR="00B124FF" w:rsidRPr="00AF75CE" w:rsidRDefault="00B124FF" w:rsidP="005F32B8">
            <w:pPr>
              <w:jc w:val="both"/>
              <w:rPr>
                <w:sz w:val="20"/>
                <w:lang w:val="fr-CA"/>
              </w:rPr>
            </w:pPr>
            <w:r w:rsidRPr="00AF75CE">
              <w:rPr>
                <w:sz w:val="20"/>
                <w:lang w:val="fr-CA"/>
              </w:rPr>
              <w:t>23 mars 2018</w:t>
            </w:r>
          </w:p>
          <w:p w:rsidR="00B124FF" w:rsidRPr="00AF75CE" w:rsidRDefault="00B124FF" w:rsidP="005F32B8">
            <w:pPr>
              <w:jc w:val="both"/>
              <w:rPr>
                <w:sz w:val="20"/>
                <w:lang w:val="fr-CA"/>
              </w:rPr>
            </w:pPr>
            <w:r w:rsidRPr="00AF75CE">
              <w:rPr>
                <w:sz w:val="20"/>
                <w:lang w:val="fr-CA"/>
              </w:rPr>
              <w:t>Cour du Banc de la Reine de l’Alberta</w:t>
            </w:r>
          </w:p>
          <w:p w:rsidR="00B124FF" w:rsidRPr="00AF75CE" w:rsidRDefault="00B124FF" w:rsidP="005F32B8">
            <w:pPr>
              <w:jc w:val="both"/>
              <w:rPr>
                <w:sz w:val="20"/>
                <w:lang w:val="fr-CA"/>
              </w:rPr>
            </w:pPr>
            <w:r w:rsidRPr="00AF75CE">
              <w:rPr>
                <w:sz w:val="20"/>
                <w:lang w:val="fr-CA"/>
              </w:rPr>
              <w:t>(Juge Nielsen)</w:t>
            </w:r>
          </w:p>
          <w:p w:rsidR="00B124FF" w:rsidRPr="00AF75CE" w:rsidRDefault="00A24D5C" w:rsidP="005F32B8">
            <w:pPr>
              <w:jc w:val="both"/>
              <w:rPr>
                <w:sz w:val="20"/>
                <w:lang w:val="fr-CA"/>
              </w:rPr>
            </w:pPr>
            <w:hyperlink r:id="rId104" w:history="1">
              <w:r w:rsidR="00B124FF" w:rsidRPr="00AF75CE">
                <w:rPr>
                  <w:rStyle w:val="Hyperlink"/>
                  <w:sz w:val="20"/>
                  <w:lang w:val="fr-CA"/>
                </w:rPr>
                <w:t>2018 ABQB 220</w:t>
              </w:r>
            </w:hyperlink>
          </w:p>
          <w:p w:rsidR="00B124FF" w:rsidRPr="00AF75CE" w:rsidRDefault="00B124FF" w:rsidP="005F32B8">
            <w:pPr>
              <w:jc w:val="both"/>
              <w:rPr>
                <w:sz w:val="20"/>
                <w:lang w:val="fr-CA"/>
              </w:rPr>
            </w:pPr>
          </w:p>
        </w:tc>
        <w:tc>
          <w:tcPr>
            <w:tcW w:w="243" w:type="pct"/>
          </w:tcPr>
          <w:p w:rsidR="00B124FF" w:rsidRPr="00AF75CE" w:rsidRDefault="00B124FF" w:rsidP="005F32B8">
            <w:pPr>
              <w:jc w:val="both"/>
              <w:rPr>
                <w:sz w:val="20"/>
                <w:lang w:val="fr-CA"/>
              </w:rPr>
            </w:pPr>
          </w:p>
        </w:tc>
        <w:tc>
          <w:tcPr>
            <w:tcW w:w="2330" w:type="pct"/>
          </w:tcPr>
          <w:p w:rsidR="00B124FF" w:rsidRPr="00AF75CE" w:rsidRDefault="00B124FF" w:rsidP="005F32B8">
            <w:pPr>
              <w:jc w:val="both"/>
              <w:rPr>
                <w:sz w:val="20"/>
                <w:lang w:val="fr-CA"/>
              </w:rPr>
            </w:pPr>
            <w:r w:rsidRPr="00AF75CE">
              <w:rPr>
                <w:sz w:val="20"/>
                <w:lang w:val="fr-CA"/>
              </w:rPr>
              <w:t>Ordonnance déclarant le demandeur plaideur quérulent et lui interdisant d’introduire une nouvelle instance sans l’autorisation du tribunal</w:t>
            </w:r>
          </w:p>
          <w:p w:rsidR="00B124FF" w:rsidRPr="00AF75CE" w:rsidRDefault="00B124FF" w:rsidP="005F32B8">
            <w:pPr>
              <w:jc w:val="both"/>
              <w:rPr>
                <w:sz w:val="20"/>
                <w:lang w:val="fr-CA"/>
              </w:rPr>
            </w:pPr>
          </w:p>
        </w:tc>
      </w:tr>
      <w:tr w:rsidR="00B124FF" w:rsidRPr="00CC0B55" w:rsidTr="005F32B8">
        <w:tc>
          <w:tcPr>
            <w:tcW w:w="2427" w:type="pct"/>
            <w:gridSpan w:val="2"/>
          </w:tcPr>
          <w:p w:rsidR="00B124FF" w:rsidRPr="00AF75CE" w:rsidRDefault="00B124FF" w:rsidP="005F32B8">
            <w:pPr>
              <w:jc w:val="both"/>
              <w:rPr>
                <w:sz w:val="20"/>
                <w:lang w:val="fr-CA"/>
              </w:rPr>
            </w:pPr>
            <w:r w:rsidRPr="00AF75CE">
              <w:rPr>
                <w:sz w:val="20"/>
                <w:lang w:val="fr-CA"/>
              </w:rPr>
              <w:t>22 mai 2018</w:t>
            </w:r>
          </w:p>
          <w:p w:rsidR="00B124FF" w:rsidRPr="00AF75CE" w:rsidRDefault="00B124FF" w:rsidP="005F32B8">
            <w:pPr>
              <w:jc w:val="both"/>
              <w:rPr>
                <w:sz w:val="20"/>
                <w:lang w:val="fr-CA"/>
              </w:rPr>
            </w:pPr>
            <w:r w:rsidRPr="00AF75CE">
              <w:rPr>
                <w:sz w:val="20"/>
                <w:lang w:val="fr-CA"/>
              </w:rPr>
              <w:t>Cour suprême du Canada</w:t>
            </w:r>
          </w:p>
        </w:tc>
        <w:tc>
          <w:tcPr>
            <w:tcW w:w="243" w:type="pct"/>
          </w:tcPr>
          <w:p w:rsidR="00B124FF" w:rsidRPr="00AF75CE" w:rsidRDefault="00B124FF" w:rsidP="005F32B8">
            <w:pPr>
              <w:jc w:val="both"/>
              <w:rPr>
                <w:sz w:val="20"/>
                <w:lang w:val="fr-CA"/>
              </w:rPr>
            </w:pPr>
          </w:p>
        </w:tc>
        <w:tc>
          <w:tcPr>
            <w:tcW w:w="2330" w:type="pct"/>
          </w:tcPr>
          <w:p w:rsidR="00B124FF" w:rsidRPr="00AF75CE" w:rsidRDefault="00B124FF" w:rsidP="005F32B8">
            <w:pPr>
              <w:jc w:val="both"/>
              <w:rPr>
                <w:sz w:val="20"/>
                <w:lang w:val="fr-CA"/>
              </w:rPr>
            </w:pPr>
            <w:r w:rsidRPr="00AF75CE">
              <w:rPr>
                <w:sz w:val="20"/>
                <w:lang w:val="fr-CA"/>
              </w:rPr>
              <w:t>Dépôt de la demande d’autorisation d’appel</w:t>
            </w:r>
          </w:p>
          <w:p w:rsidR="00B124FF" w:rsidRPr="00AF75CE" w:rsidRDefault="00B124FF" w:rsidP="005F32B8">
            <w:pPr>
              <w:jc w:val="both"/>
              <w:rPr>
                <w:sz w:val="20"/>
                <w:lang w:val="fr-CA"/>
              </w:rPr>
            </w:pPr>
          </w:p>
        </w:tc>
      </w:tr>
      <w:tr w:rsidR="00B124FF" w:rsidRPr="00CC0B55" w:rsidTr="005F32B8">
        <w:tc>
          <w:tcPr>
            <w:tcW w:w="2427" w:type="pct"/>
            <w:gridSpan w:val="2"/>
          </w:tcPr>
          <w:p w:rsidR="00B124FF" w:rsidRPr="00AF75CE" w:rsidRDefault="00B124FF" w:rsidP="005F32B8">
            <w:pPr>
              <w:jc w:val="both"/>
              <w:rPr>
                <w:sz w:val="20"/>
                <w:lang w:val="fr-CA"/>
              </w:rPr>
            </w:pPr>
          </w:p>
        </w:tc>
        <w:tc>
          <w:tcPr>
            <w:tcW w:w="243" w:type="pct"/>
          </w:tcPr>
          <w:p w:rsidR="00B124FF" w:rsidRPr="00AF75CE" w:rsidRDefault="00B124FF" w:rsidP="005F32B8">
            <w:pPr>
              <w:jc w:val="both"/>
              <w:rPr>
                <w:sz w:val="20"/>
                <w:lang w:val="fr-CA"/>
              </w:rPr>
            </w:pPr>
          </w:p>
        </w:tc>
        <w:tc>
          <w:tcPr>
            <w:tcW w:w="2330" w:type="pct"/>
          </w:tcPr>
          <w:p w:rsidR="00B124FF" w:rsidRPr="00AF75CE" w:rsidRDefault="00B124FF" w:rsidP="005F32B8">
            <w:pPr>
              <w:jc w:val="both"/>
              <w:rPr>
                <w:sz w:val="20"/>
                <w:lang w:val="fr-CA"/>
              </w:rPr>
            </w:pPr>
          </w:p>
        </w:tc>
      </w:tr>
    </w:tbl>
    <w:p w:rsidR="00B124FF" w:rsidRDefault="00B124FF" w:rsidP="00B124FF">
      <w:pPr>
        <w:jc w:val="both"/>
        <w:rPr>
          <w:sz w:val="20"/>
          <w:lang w:val="fr-CA"/>
        </w:rPr>
      </w:pPr>
    </w:p>
    <w:p w:rsidR="00B124FF" w:rsidRPr="00AF75CE" w:rsidRDefault="00A24D5C" w:rsidP="00B124FF">
      <w:pPr>
        <w:jc w:val="both"/>
        <w:rPr>
          <w:sz w:val="20"/>
          <w:lang w:val="fr-CA"/>
        </w:rPr>
      </w:pPr>
      <w:r>
        <w:rPr>
          <w:sz w:val="20"/>
          <w:szCs w:val="20"/>
        </w:rPr>
        <w:pict>
          <v:rect id="_x0000_i1057" style="width:2in;height:1pt" o:hrpct="0" o:hralign="center" o:hrstd="t" o:hrnoshade="t" o:hr="t" fillcolor="black [3213]" stroked="f"/>
        </w:pict>
      </w:r>
    </w:p>
    <w:p w:rsidR="00B124FF" w:rsidRPr="00AF75CE" w:rsidRDefault="00B124FF" w:rsidP="00B124FF">
      <w:pPr>
        <w:ind w:left="142" w:hanging="142"/>
        <w:jc w:val="both"/>
        <w:rPr>
          <w:sz w:val="20"/>
          <w:lang w:val="fr-CA"/>
        </w:rPr>
      </w:pPr>
    </w:p>
    <w:tbl>
      <w:tblPr>
        <w:tblW w:w="5000" w:type="pct"/>
        <w:tblLayout w:type="fixed"/>
        <w:tblCellMar>
          <w:left w:w="0" w:type="dxa"/>
          <w:bottom w:w="99" w:type="dxa"/>
          <w:right w:w="0" w:type="dxa"/>
        </w:tblCellMar>
        <w:tblLook w:val="04A0" w:firstRow="1" w:lastRow="0" w:firstColumn="1" w:lastColumn="0" w:noHBand="0" w:noVBand="1"/>
      </w:tblPr>
      <w:tblGrid>
        <w:gridCol w:w="1033"/>
        <w:gridCol w:w="3521"/>
        <w:gridCol w:w="514"/>
        <w:gridCol w:w="4459"/>
        <w:gridCol w:w="92"/>
      </w:tblGrid>
      <w:tr w:rsidR="00B124FF" w:rsidRPr="00AF75CE" w:rsidTr="005F32B8">
        <w:trPr>
          <w:gridAfter w:val="1"/>
          <w:wAfter w:w="48" w:type="pct"/>
        </w:trPr>
        <w:tc>
          <w:tcPr>
            <w:tcW w:w="537" w:type="pct"/>
          </w:tcPr>
          <w:p w:rsidR="00B124FF" w:rsidRPr="00AF75CE" w:rsidRDefault="00B124FF" w:rsidP="005F32B8">
            <w:pPr>
              <w:jc w:val="both"/>
              <w:rPr>
                <w:sz w:val="20"/>
              </w:rPr>
            </w:pPr>
            <w:r w:rsidRPr="00AF75CE">
              <w:rPr>
                <w:rStyle w:val="SCCFileNumberChar"/>
                <w:sz w:val="20"/>
                <w:szCs w:val="20"/>
              </w:rPr>
              <w:t>38252</w:t>
            </w:r>
          </w:p>
        </w:tc>
        <w:tc>
          <w:tcPr>
            <w:tcW w:w="4415" w:type="pct"/>
            <w:gridSpan w:val="3"/>
          </w:tcPr>
          <w:p w:rsidR="00B124FF" w:rsidRPr="000B5C89" w:rsidRDefault="00B124FF" w:rsidP="005F32B8">
            <w:pPr>
              <w:pStyle w:val="SCCLsocParty"/>
              <w:jc w:val="both"/>
              <w:rPr>
                <w:b/>
                <w:sz w:val="20"/>
                <w:szCs w:val="20"/>
                <w:lang w:val="en-US"/>
              </w:rPr>
            </w:pPr>
            <w:r w:rsidRPr="000B5C89">
              <w:rPr>
                <w:b/>
                <w:sz w:val="20"/>
                <w:szCs w:val="20"/>
                <w:lang w:val="en-US"/>
              </w:rPr>
              <w:t>David Matthews v. Ocean Nutrition Canada Limited</w:t>
            </w:r>
          </w:p>
          <w:p w:rsidR="00B124FF" w:rsidRPr="00AF75CE" w:rsidRDefault="00B124FF" w:rsidP="005F32B8">
            <w:pPr>
              <w:jc w:val="both"/>
              <w:rPr>
                <w:sz w:val="20"/>
              </w:rPr>
            </w:pPr>
            <w:r w:rsidRPr="00AF75CE">
              <w:rPr>
                <w:sz w:val="20"/>
              </w:rPr>
              <w:t>(N.S.) (Civil) (By Leave)</w:t>
            </w:r>
          </w:p>
        </w:tc>
      </w:tr>
      <w:tr w:rsidR="00B124FF" w:rsidRPr="00AF75CE" w:rsidTr="005F32B8">
        <w:trPr>
          <w:gridAfter w:val="1"/>
          <w:wAfter w:w="48" w:type="pct"/>
        </w:trPr>
        <w:tc>
          <w:tcPr>
            <w:tcW w:w="4952" w:type="pct"/>
            <w:gridSpan w:val="4"/>
          </w:tcPr>
          <w:p w:rsidR="00B124FF" w:rsidRDefault="00B124FF" w:rsidP="005F32B8">
            <w:pPr>
              <w:jc w:val="both"/>
              <w:rPr>
                <w:sz w:val="20"/>
              </w:rPr>
            </w:pPr>
            <w:r w:rsidRPr="00C11FF6">
              <w:rPr>
                <w:sz w:val="20"/>
              </w:rPr>
              <w:t>The application for leave to appeal from the judgment of the Nova Scotia Court of Appeal, Number CA 460556, 2018 NSCA 44, dated May 24, 2018, is granted with costs in the cause.</w:t>
            </w:r>
          </w:p>
          <w:p w:rsidR="00B124FF" w:rsidRPr="00AF75CE" w:rsidRDefault="00B124FF" w:rsidP="005F32B8">
            <w:pPr>
              <w:jc w:val="both"/>
              <w:rPr>
                <w:sz w:val="20"/>
              </w:rPr>
            </w:pPr>
          </w:p>
        </w:tc>
      </w:tr>
      <w:tr w:rsidR="00B124FF" w:rsidRPr="00AF75CE" w:rsidTr="005F32B8">
        <w:trPr>
          <w:gridAfter w:val="1"/>
          <w:wAfter w:w="48" w:type="pct"/>
        </w:trPr>
        <w:tc>
          <w:tcPr>
            <w:tcW w:w="4952" w:type="pct"/>
            <w:gridSpan w:val="4"/>
          </w:tcPr>
          <w:p w:rsidR="00B124FF" w:rsidRPr="00AF75CE" w:rsidRDefault="00B124FF" w:rsidP="005F32B8">
            <w:pPr>
              <w:jc w:val="both"/>
              <w:rPr>
                <w:sz w:val="20"/>
              </w:rPr>
            </w:pPr>
            <w:r w:rsidRPr="00AF75CE">
              <w:rPr>
                <w:sz w:val="20"/>
              </w:rPr>
              <w:t xml:space="preserve">Employment law — Constructive dismissal — Application of good faith principle in employment — Employee worked for employer for approximately 14 years — Employee resigned and sued employer for wrongful dismissal and for oppression remedy — Trial judge found that employee had been constructively dismissed, found appropriate notice period to be 15 months and awarded damages of approximately $1.085 million — Employer’s appeal granted in part — Damages awarded under employer’s long term incentive plan (LTIP) — Whether </w:t>
            </w:r>
            <w:r w:rsidRPr="00AF75CE">
              <w:rPr>
                <w:i/>
                <w:sz w:val="20"/>
              </w:rPr>
              <w:t>Bhasin v. Hrynew</w:t>
            </w:r>
            <w:r w:rsidRPr="00AF75CE">
              <w:rPr>
                <w:sz w:val="20"/>
              </w:rPr>
              <w:t xml:space="preserve">, 2014 SCC 71, widens or changes the good faith principle as set out in </w:t>
            </w:r>
            <w:r w:rsidRPr="00AF75CE">
              <w:rPr>
                <w:i/>
                <w:sz w:val="20"/>
              </w:rPr>
              <w:t>Keays v. Honda Canada Inc.</w:t>
            </w:r>
            <w:r w:rsidRPr="00AF75CE">
              <w:rPr>
                <w:sz w:val="20"/>
              </w:rPr>
              <w:t>, 2008 SCC 39, currently understood to be limited to termination — Whether employers can deliberately constructively dismiss then use exclusion clauses to deny/limit liability and damages — Whether appropriate standard of review, regarding interpreting remuneration contracts and employment contracts has been applied — Whether conflicting appellate decisions in Canada can be resolved.</w:t>
            </w:r>
          </w:p>
        </w:tc>
      </w:tr>
      <w:tr w:rsidR="00B124FF" w:rsidRPr="00AF75CE" w:rsidTr="005F32B8">
        <w:trPr>
          <w:gridAfter w:val="1"/>
          <w:wAfter w:w="48" w:type="pct"/>
        </w:trPr>
        <w:tc>
          <w:tcPr>
            <w:tcW w:w="4952" w:type="pct"/>
            <w:gridSpan w:val="4"/>
          </w:tcPr>
          <w:p w:rsidR="00B124FF" w:rsidRPr="00AF75CE" w:rsidRDefault="00B124FF" w:rsidP="005F32B8">
            <w:pPr>
              <w:jc w:val="both"/>
              <w:rPr>
                <w:sz w:val="20"/>
              </w:rPr>
            </w:pPr>
          </w:p>
          <w:p w:rsidR="00B124FF" w:rsidRPr="00AF75CE" w:rsidRDefault="00B124FF" w:rsidP="005F32B8">
            <w:pPr>
              <w:jc w:val="both"/>
              <w:rPr>
                <w:sz w:val="20"/>
              </w:rPr>
            </w:pPr>
            <w:r w:rsidRPr="00AF75CE">
              <w:rPr>
                <w:sz w:val="20"/>
              </w:rPr>
              <w:t xml:space="preserve">The applicant, Mr. Matthews, worked for the respondent, Ocean Nutrition Canada Limited, or its predecessors from January 1997 to June 2011. In June 2011, he resigned and sued Ocean Nutrition for wrongful dismissal, seeking damages for breach of his employment contract and the loss of a Long Term Incentive Plan (“LTIP”, or the “plan”). The LTIP provided for a portion of the proceeds of the sale of the company, if it occurs during Mr. Matthews’ period of employment, be paid to him based on a formula provided in the plan. The LTIP further indicated that if Mr. Matthews was not employed by the company at the time of the sale, he would not be entitled to share in the proceeds, whether the end of employment was via resignation or wrongful dismissal. Ocean Nutrition was sold to Royal DSM N.V. on July 18, 2012, at which time Mr. Matthews portion of the proceeds of the sale would have been valued at approximately at $1.1M. The trial judge found that Mr. Matthews had been constructively dismissed, found the appropriate notice period to be 15 months and awarded him damages of approximately $1.085M. Most of the damages were related to the LTIP, which plan the judge found would have crystalized if Mr. Matthews had remained employed throughout the notice period. A majority of the Court of Appeal allowed Ocean Nutrition’s appeal, in part. According to the panel, the trial judge did not err in finding that Mr. Matthews had been constructively dismissed, nor did he err in finding that the reasonable notice period was 15 months. However, the majority found that he erred in awarding damages pursuant to the LTIP where that plan, by its plain wording, precluded any such payment. </w:t>
            </w:r>
          </w:p>
        </w:tc>
      </w:tr>
      <w:tr w:rsidR="00B124FF" w:rsidRPr="00AF75CE" w:rsidTr="005F32B8">
        <w:trPr>
          <w:gridAfter w:val="1"/>
          <w:wAfter w:w="48" w:type="pct"/>
        </w:trPr>
        <w:tc>
          <w:tcPr>
            <w:tcW w:w="4952" w:type="pct"/>
            <w:gridSpan w:val="4"/>
          </w:tcPr>
          <w:p w:rsidR="00B124FF" w:rsidRPr="00AF75CE" w:rsidRDefault="00B124FF" w:rsidP="005F32B8">
            <w:pPr>
              <w:jc w:val="both"/>
              <w:rPr>
                <w:sz w:val="20"/>
              </w:rPr>
            </w:pPr>
          </w:p>
        </w:tc>
      </w:tr>
      <w:tr w:rsidR="00B124FF" w:rsidRPr="00AF75CE" w:rsidTr="005F32B8">
        <w:tblPrEx>
          <w:tblCellMar>
            <w:bottom w:w="0" w:type="dxa"/>
          </w:tblCellMar>
        </w:tblPrEx>
        <w:tc>
          <w:tcPr>
            <w:tcW w:w="2367" w:type="pct"/>
            <w:gridSpan w:val="2"/>
          </w:tcPr>
          <w:p w:rsidR="00B124FF" w:rsidRPr="00AF75CE" w:rsidRDefault="00B124FF" w:rsidP="005F32B8">
            <w:pPr>
              <w:jc w:val="both"/>
              <w:rPr>
                <w:sz w:val="20"/>
              </w:rPr>
            </w:pPr>
            <w:r w:rsidRPr="00AF75CE">
              <w:rPr>
                <w:sz w:val="20"/>
              </w:rPr>
              <w:t>January 30, 2017</w:t>
            </w:r>
          </w:p>
          <w:p w:rsidR="00B124FF" w:rsidRPr="00AF75CE" w:rsidRDefault="00B124FF" w:rsidP="005F32B8">
            <w:pPr>
              <w:jc w:val="both"/>
              <w:rPr>
                <w:sz w:val="20"/>
              </w:rPr>
            </w:pPr>
            <w:r w:rsidRPr="00AF75CE">
              <w:rPr>
                <w:sz w:val="20"/>
              </w:rPr>
              <w:t>Supreme Court of Nova Scotia, Trial Division</w:t>
            </w:r>
          </w:p>
          <w:p w:rsidR="00B124FF" w:rsidRPr="00AF75CE" w:rsidRDefault="00B124FF" w:rsidP="005F32B8">
            <w:pPr>
              <w:jc w:val="both"/>
              <w:rPr>
                <w:sz w:val="20"/>
              </w:rPr>
            </w:pPr>
            <w:r w:rsidRPr="00AF75CE">
              <w:rPr>
                <w:sz w:val="20"/>
              </w:rPr>
              <w:t>(LeBlanc J.)</w:t>
            </w:r>
          </w:p>
          <w:p w:rsidR="00B124FF" w:rsidRPr="00AF75CE" w:rsidRDefault="00A24D5C" w:rsidP="005F32B8">
            <w:pPr>
              <w:jc w:val="both"/>
              <w:rPr>
                <w:sz w:val="20"/>
              </w:rPr>
            </w:pPr>
            <w:hyperlink r:id="rId105" w:history="1">
              <w:r w:rsidR="00B124FF" w:rsidRPr="00AF75CE">
                <w:rPr>
                  <w:rStyle w:val="Hyperlink"/>
                  <w:sz w:val="20"/>
                </w:rPr>
                <w:t>2017 NSSC 16</w:t>
              </w:r>
            </w:hyperlink>
          </w:p>
          <w:p w:rsidR="00B124FF" w:rsidRPr="00AF75CE" w:rsidRDefault="00B124FF" w:rsidP="005F32B8">
            <w:pPr>
              <w:jc w:val="both"/>
              <w:rPr>
                <w:sz w:val="20"/>
              </w:rPr>
            </w:pPr>
          </w:p>
        </w:tc>
        <w:tc>
          <w:tcPr>
            <w:tcW w:w="267" w:type="pct"/>
          </w:tcPr>
          <w:p w:rsidR="00B124FF" w:rsidRPr="00AF75CE" w:rsidRDefault="00B124FF" w:rsidP="005F32B8">
            <w:pPr>
              <w:jc w:val="both"/>
              <w:rPr>
                <w:sz w:val="20"/>
              </w:rPr>
            </w:pPr>
          </w:p>
        </w:tc>
        <w:tc>
          <w:tcPr>
            <w:tcW w:w="2366" w:type="pct"/>
            <w:gridSpan w:val="2"/>
          </w:tcPr>
          <w:p w:rsidR="00B124FF" w:rsidRPr="00AF75CE" w:rsidRDefault="00B124FF" w:rsidP="005F32B8">
            <w:pPr>
              <w:jc w:val="both"/>
              <w:rPr>
                <w:sz w:val="20"/>
              </w:rPr>
            </w:pPr>
            <w:r w:rsidRPr="00AF75CE">
              <w:rPr>
                <w:sz w:val="20"/>
              </w:rPr>
              <w:t>The applicant was found to have been constructively dismissed by the respondent. His damages included compensation for the loss of payouts under the respondent’s long term incentive plan. The claim for punitive damages was dismissed.</w:t>
            </w:r>
          </w:p>
          <w:p w:rsidR="00B124FF" w:rsidRPr="00AF75CE" w:rsidRDefault="00B124FF" w:rsidP="005F32B8">
            <w:pPr>
              <w:jc w:val="both"/>
              <w:rPr>
                <w:sz w:val="20"/>
              </w:rPr>
            </w:pPr>
          </w:p>
        </w:tc>
      </w:tr>
      <w:tr w:rsidR="00B124FF" w:rsidRPr="00AF75CE" w:rsidTr="005F32B8">
        <w:tblPrEx>
          <w:tblCellMar>
            <w:bottom w:w="0" w:type="dxa"/>
          </w:tblCellMar>
        </w:tblPrEx>
        <w:tc>
          <w:tcPr>
            <w:tcW w:w="2367" w:type="pct"/>
            <w:gridSpan w:val="2"/>
          </w:tcPr>
          <w:p w:rsidR="00B124FF" w:rsidRPr="00AF75CE" w:rsidRDefault="00B124FF" w:rsidP="005F32B8">
            <w:pPr>
              <w:jc w:val="both"/>
              <w:rPr>
                <w:sz w:val="20"/>
              </w:rPr>
            </w:pPr>
            <w:r w:rsidRPr="00AF75CE">
              <w:rPr>
                <w:sz w:val="20"/>
              </w:rPr>
              <w:t>May 12, 2017</w:t>
            </w:r>
          </w:p>
          <w:p w:rsidR="00B124FF" w:rsidRPr="00AF75CE" w:rsidRDefault="00B124FF" w:rsidP="005F32B8">
            <w:pPr>
              <w:jc w:val="both"/>
              <w:rPr>
                <w:sz w:val="20"/>
              </w:rPr>
            </w:pPr>
            <w:r w:rsidRPr="00AF75CE">
              <w:rPr>
                <w:sz w:val="20"/>
              </w:rPr>
              <w:t>Supreme Court of Nova Scotia, Trial Division</w:t>
            </w:r>
          </w:p>
          <w:p w:rsidR="00B124FF" w:rsidRPr="00AF75CE" w:rsidRDefault="00B124FF" w:rsidP="005F32B8">
            <w:pPr>
              <w:jc w:val="both"/>
              <w:rPr>
                <w:sz w:val="20"/>
              </w:rPr>
            </w:pPr>
            <w:r w:rsidRPr="00AF75CE">
              <w:rPr>
                <w:sz w:val="20"/>
              </w:rPr>
              <w:t>(Leblanc J.)</w:t>
            </w:r>
          </w:p>
          <w:p w:rsidR="00B124FF" w:rsidRPr="00AF75CE" w:rsidRDefault="00A24D5C" w:rsidP="005F32B8">
            <w:pPr>
              <w:jc w:val="both"/>
              <w:rPr>
                <w:sz w:val="20"/>
              </w:rPr>
            </w:pPr>
            <w:hyperlink r:id="rId106" w:history="1">
              <w:r w:rsidR="00B124FF" w:rsidRPr="00AF75CE">
                <w:rPr>
                  <w:rStyle w:val="Hyperlink"/>
                  <w:sz w:val="20"/>
                </w:rPr>
                <w:t>2017 NSSC 123</w:t>
              </w:r>
            </w:hyperlink>
          </w:p>
          <w:p w:rsidR="00B124FF" w:rsidRPr="00AF75CE" w:rsidRDefault="00B124FF" w:rsidP="005F32B8">
            <w:pPr>
              <w:jc w:val="both"/>
              <w:rPr>
                <w:sz w:val="20"/>
              </w:rPr>
            </w:pPr>
          </w:p>
        </w:tc>
        <w:tc>
          <w:tcPr>
            <w:tcW w:w="267" w:type="pct"/>
          </w:tcPr>
          <w:p w:rsidR="00B124FF" w:rsidRPr="00AF75CE" w:rsidRDefault="00B124FF" w:rsidP="005F32B8">
            <w:pPr>
              <w:jc w:val="both"/>
              <w:rPr>
                <w:sz w:val="20"/>
              </w:rPr>
            </w:pPr>
          </w:p>
        </w:tc>
        <w:tc>
          <w:tcPr>
            <w:tcW w:w="2366" w:type="pct"/>
            <w:gridSpan w:val="2"/>
          </w:tcPr>
          <w:p w:rsidR="00B124FF" w:rsidRPr="00AF75CE" w:rsidRDefault="00B124FF" w:rsidP="005F32B8">
            <w:pPr>
              <w:jc w:val="both"/>
              <w:rPr>
                <w:sz w:val="20"/>
              </w:rPr>
            </w:pPr>
            <w:r w:rsidRPr="00AF75CE">
              <w:rPr>
                <w:sz w:val="20"/>
              </w:rPr>
              <w:t xml:space="preserve">The respondent was ordered to pay $1,084,851.36, with 50% remittance to the Canada Revenue Agency. </w:t>
            </w:r>
          </w:p>
        </w:tc>
      </w:tr>
      <w:tr w:rsidR="00B124FF" w:rsidRPr="00AF75CE" w:rsidTr="005F32B8">
        <w:tblPrEx>
          <w:tblCellMar>
            <w:bottom w:w="0" w:type="dxa"/>
          </w:tblCellMar>
        </w:tblPrEx>
        <w:tc>
          <w:tcPr>
            <w:tcW w:w="2367" w:type="pct"/>
            <w:gridSpan w:val="2"/>
          </w:tcPr>
          <w:p w:rsidR="00B124FF" w:rsidRPr="00AF75CE" w:rsidRDefault="00B124FF" w:rsidP="005F32B8">
            <w:pPr>
              <w:jc w:val="both"/>
              <w:rPr>
                <w:sz w:val="20"/>
              </w:rPr>
            </w:pPr>
            <w:r w:rsidRPr="00AF75CE">
              <w:rPr>
                <w:sz w:val="20"/>
              </w:rPr>
              <w:t>May 24, 2018</w:t>
            </w:r>
          </w:p>
          <w:p w:rsidR="00B124FF" w:rsidRPr="00AF75CE" w:rsidRDefault="00B124FF" w:rsidP="005F32B8">
            <w:pPr>
              <w:jc w:val="both"/>
              <w:rPr>
                <w:sz w:val="20"/>
              </w:rPr>
            </w:pPr>
            <w:r w:rsidRPr="00AF75CE">
              <w:rPr>
                <w:sz w:val="20"/>
              </w:rPr>
              <w:t>Nova Scotia Court of Appeal</w:t>
            </w:r>
          </w:p>
          <w:p w:rsidR="00B124FF" w:rsidRPr="00AF75CE" w:rsidRDefault="00B124FF" w:rsidP="005F32B8">
            <w:pPr>
              <w:jc w:val="both"/>
              <w:rPr>
                <w:sz w:val="20"/>
              </w:rPr>
            </w:pPr>
            <w:r w:rsidRPr="00AF75CE">
              <w:rPr>
                <w:sz w:val="20"/>
              </w:rPr>
              <w:t xml:space="preserve">(Farrar and Bryson JJ.A., Scanlan J.A. </w:t>
            </w:r>
          </w:p>
          <w:p w:rsidR="00B124FF" w:rsidRPr="00AF75CE" w:rsidRDefault="00B124FF" w:rsidP="005F32B8">
            <w:pPr>
              <w:jc w:val="both"/>
              <w:rPr>
                <w:sz w:val="20"/>
              </w:rPr>
            </w:pPr>
            <w:r w:rsidRPr="00AF75CE">
              <w:rPr>
                <w:sz w:val="20"/>
              </w:rPr>
              <w:t>dissenting)</w:t>
            </w:r>
          </w:p>
          <w:p w:rsidR="00B124FF" w:rsidRPr="00AF75CE" w:rsidRDefault="00A24D5C" w:rsidP="005F32B8">
            <w:pPr>
              <w:jc w:val="both"/>
              <w:rPr>
                <w:sz w:val="20"/>
              </w:rPr>
            </w:pPr>
            <w:hyperlink r:id="rId107" w:history="1">
              <w:r w:rsidR="00B124FF" w:rsidRPr="00AF75CE">
                <w:rPr>
                  <w:rStyle w:val="Hyperlink"/>
                  <w:sz w:val="20"/>
                </w:rPr>
                <w:t>2018 NSCA 44</w:t>
              </w:r>
            </w:hyperlink>
          </w:p>
          <w:p w:rsidR="00B124FF" w:rsidRPr="00AF75CE" w:rsidRDefault="00B124FF" w:rsidP="005F32B8">
            <w:pPr>
              <w:jc w:val="both"/>
              <w:rPr>
                <w:sz w:val="20"/>
              </w:rPr>
            </w:pPr>
          </w:p>
        </w:tc>
        <w:tc>
          <w:tcPr>
            <w:tcW w:w="267" w:type="pct"/>
          </w:tcPr>
          <w:p w:rsidR="00B124FF" w:rsidRPr="00AF75CE" w:rsidRDefault="00B124FF" w:rsidP="005F32B8">
            <w:pPr>
              <w:jc w:val="both"/>
              <w:rPr>
                <w:sz w:val="20"/>
              </w:rPr>
            </w:pPr>
          </w:p>
        </w:tc>
        <w:tc>
          <w:tcPr>
            <w:tcW w:w="2366" w:type="pct"/>
            <w:gridSpan w:val="2"/>
          </w:tcPr>
          <w:p w:rsidR="00B124FF" w:rsidRPr="00AF75CE" w:rsidRDefault="00B124FF" w:rsidP="005F32B8">
            <w:pPr>
              <w:jc w:val="both"/>
              <w:rPr>
                <w:sz w:val="20"/>
              </w:rPr>
            </w:pPr>
            <w:r w:rsidRPr="00AF75CE">
              <w:rPr>
                <w:sz w:val="20"/>
              </w:rPr>
              <w:t xml:space="preserve">Appeal allowed, in part. The finding of constructive dismissal was maintained with a reasonable notice period of 15 months; however, the damages pursuant to the long term incentive plan were set aside. </w:t>
            </w:r>
          </w:p>
          <w:p w:rsidR="00B124FF" w:rsidRPr="00AF75CE" w:rsidRDefault="00B124FF" w:rsidP="005F32B8">
            <w:pPr>
              <w:jc w:val="both"/>
              <w:rPr>
                <w:sz w:val="20"/>
              </w:rPr>
            </w:pPr>
          </w:p>
        </w:tc>
      </w:tr>
      <w:tr w:rsidR="00B124FF" w:rsidRPr="00AF75CE" w:rsidTr="005F32B8">
        <w:tblPrEx>
          <w:tblCellMar>
            <w:bottom w:w="0" w:type="dxa"/>
          </w:tblCellMar>
        </w:tblPrEx>
        <w:tc>
          <w:tcPr>
            <w:tcW w:w="2367" w:type="pct"/>
            <w:gridSpan w:val="2"/>
          </w:tcPr>
          <w:p w:rsidR="00B124FF" w:rsidRPr="00AF75CE" w:rsidRDefault="00B124FF" w:rsidP="005F32B8">
            <w:pPr>
              <w:jc w:val="both"/>
              <w:rPr>
                <w:sz w:val="20"/>
              </w:rPr>
            </w:pPr>
            <w:r w:rsidRPr="00AF75CE">
              <w:rPr>
                <w:sz w:val="20"/>
              </w:rPr>
              <w:t>August 22, 2018</w:t>
            </w:r>
          </w:p>
          <w:p w:rsidR="00B124FF" w:rsidRPr="00AF75CE" w:rsidRDefault="00B124FF" w:rsidP="005F32B8">
            <w:pPr>
              <w:jc w:val="both"/>
              <w:rPr>
                <w:sz w:val="20"/>
              </w:rPr>
            </w:pPr>
            <w:r w:rsidRPr="00AF75CE">
              <w:rPr>
                <w:sz w:val="20"/>
              </w:rPr>
              <w:t>Supreme Court of Canada</w:t>
            </w:r>
          </w:p>
        </w:tc>
        <w:tc>
          <w:tcPr>
            <w:tcW w:w="267" w:type="pct"/>
          </w:tcPr>
          <w:p w:rsidR="00B124FF" w:rsidRPr="00AF75CE" w:rsidRDefault="00B124FF" w:rsidP="005F32B8">
            <w:pPr>
              <w:jc w:val="both"/>
              <w:rPr>
                <w:sz w:val="20"/>
              </w:rPr>
            </w:pPr>
          </w:p>
        </w:tc>
        <w:tc>
          <w:tcPr>
            <w:tcW w:w="2366" w:type="pct"/>
            <w:gridSpan w:val="2"/>
          </w:tcPr>
          <w:p w:rsidR="00B124FF" w:rsidRPr="00AF75CE" w:rsidRDefault="00B124FF" w:rsidP="005F32B8">
            <w:pPr>
              <w:jc w:val="both"/>
              <w:rPr>
                <w:sz w:val="20"/>
              </w:rPr>
            </w:pPr>
            <w:r w:rsidRPr="00AF75CE">
              <w:rPr>
                <w:sz w:val="20"/>
              </w:rPr>
              <w:t>Application for leave to appeal filed.</w:t>
            </w:r>
          </w:p>
          <w:p w:rsidR="00B124FF" w:rsidRPr="00AF75CE" w:rsidRDefault="00B124FF" w:rsidP="005F32B8">
            <w:pPr>
              <w:jc w:val="both"/>
              <w:rPr>
                <w:sz w:val="20"/>
              </w:rPr>
            </w:pPr>
          </w:p>
        </w:tc>
      </w:tr>
    </w:tbl>
    <w:p w:rsidR="00B124FF" w:rsidRDefault="00B124FF" w:rsidP="00B124FF">
      <w:pPr>
        <w:jc w:val="both"/>
        <w:rPr>
          <w:sz w:val="20"/>
        </w:rPr>
      </w:pPr>
    </w:p>
    <w:p w:rsidR="00B124FF" w:rsidRPr="00AF75CE" w:rsidRDefault="00B124FF" w:rsidP="00B124FF">
      <w:pPr>
        <w:jc w:val="both"/>
        <w:rPr>
          <w:sz w:val="20"/>
        </w:rPr>
      </w:pPr>
    </w:p>
    <w:tbl>
      <w:tblPr>
        <w:tblW w:w="5000" w:type="pct"/>
        <w:tblLayout w:type="fixed"/>
        <w:tblCellMar>
          <w:left w:w="0" w:type="dxa"/>
          <w:bottom w:w="99" w:type="dxa"/>
          <w:right w:w="0" w:type="dxa"/>
        </w:tblCellMar>
        <w:tblLook w:val="04A0" w:firstRow="1" w:lastRow="0" w:firstColumn="1" w:lastColumn="0" w:noHBand="0" w:noVBand="1"/>
      </w:tblPr>
      <w:tblGrid>
        <w:gridCol w:w="1033"/>
        <w:gridCol w:w="3521"/>
        <w:gridCol w:w="514"/>
        <w:gridCol w:w="4459"/>
        <w:gridCol w:w="92"/>
      </w:tblGrid>
      <w:tr w:rsidR="00B124FF" w:rsidRPr="00AF75CE" w:rsidTr="005F32B8">
        <w:trPr>
          <w:gridAfter w:val="1"/>
          <w:wAfter w:w="48" w:type="pct"/>
        </w:trPr>
        <w:tc>
          <w:tcPr>
            <w:tcW w:w="537" w:type="pct"/>
          </w:tcPr>
          <w:p w:rsidR="00B124FF" w:rsidRPr="00AF75CE" w:rsidRDefault="00B124FF" w:rsidP="005F32B8">
            <w:pPr>
              <w:jc w:val="both"/>
              <w:rPr>
                <w:sz w:val="20"/>
                <w:lang w:val="fr-CA"/>
              </w:rPr>
            </w:pPr>
            <w:r w:rsidRPr="00AF75CE">
              <w:rPr>
                <w:rStyle w:val="SCCFileNumberChar"/>
                <w:sz w:val="20"/>
                <w:szCs w:val="20"/>
                <w:lang w:val="fr-CA"/>
              </w:rPr>
              <w:t>38252</w:t>
            </w:r>
          </w:p>
        </w:tc>
        <w:tc>
          <w:tcPr>
            <w:tcW w:w="4415" w:type="pct"/>
            <w:gridSpan w:val="3"/>
          </w:tcPr>
          <w:p w:rsidR="00B124FF" w:rsidRPr="000B5C89" w:rsidRDefault="00B124FF" w:rsidP="005F32B8">
            <w:pPr>
              <w:pStyle w:val="SCCLsocParty"/>
              <w:jc w:val="both"/>
              <w:rPr>
                <w:b/>
                <w:sz w:val="20"/>
                <w:szCs w:val="20"/>
                <w:lang w:val="en-US"/>
              </w:rPr>
            </w:pPr>
            <w:r w:rsidRPr="000B5C89">
              <w:rPr>
                <w:b/>
                <w:sz w:val="20"/>
                <w:szCs w:val="20"/>
                <w:lang w:val="en-US"/>
              </w:rPr>
              <w:t>David Matthews c. Ocean Nutrition Canada Limited</w:t>
            </w:r>
          </w:p>
          <w:p w:rsidR="00B124FF" w:rsidRPr="00AF75CE" w:rsidRDefault="00B124FF" w:rsidP="005F32B8">
            <w:pPr>
              <w:jc w:val="both"/>
              <w:rPr>
                <w:sz w:val="20"/>
                <w:lang w:val="fr-CA"/>
              </w:rPr>
            </w:pPr>
            <w:r w:rsidRPr="00AF75CE">
              <w:rPr>
                <w:sz w:val="20"/>
                <w:lang w:val="fr-CA"/>
              </w:rPr>
              <w:t>(N.-É.) (Civile) (Autorisation)</w:t>
            </w:r>
          </w:p>
        </w:tc>
      </w:tr>
      <w:tr w:rsidR="00B124FF" w:rsidRPr="00CC0B55" w:rsidTr="005F32B8">
        <w:trPr>
          <w:gridAfter w:val="1"/>
          <w:wAfter w:w="48" w:type="pct"/>
        </w:trPr>
        <w:tc>
          <w:tcPr>
            <w:tcW w:w="4952" w:type="pct"/>
            <w:gridSpan w:val="4"/>
          </w:tcPr>
          <w:p w:rsidR="00B124FF" w:rsidRDefault="00B124FF" w:rsidP="005F32B8">
            <w:pPr>
              <w:jc w:val="both"/>
              <w:rPr>
                <w:sz w:val="20"/>
                <w:lang w:val="fr-CA"/>
              </w:rPr>
            </w:pPr>
            <w:r w:rsidRPr="00C11FF6">
              <w:rPr>
                <w:sz w:val="20"/>
                <w:lang w:val="fr-CA"/>
              </w:rPr>
              <w:t>La demande d’autorisation d’appel de l’arrêt de la Cour d’appel de la Nouvelle-Écosse, numéro CA 460556, 2018 NSCA 44, daté du 24 mai 2018, est accueillie avec dépens suivant l’issue de la cause.</w:t>
            </w:r>
          </w:p>
          <w:p w:rsidR="00B124FF" w:rsidRPr="00AF75CE" w:rsidRDefault="00B124FF" w:rsidP="005F32B8">
            <w:pPr>
              <w:jc w:val="both"/>
              <w:rPr>
                <w:sz w:val="20"/>
                <w:lang w:val="fr-CA"/>
              </w:rPr>
            </w:pPr>
          </w:p>
        </w:tc>
      </w:tr>
      <w:tr w:rsidR="00B124FF" w:rsidRPr="00CC0B55" w:rsidTr="005F32B8">
        <w:trPr>
          <w:gridAfter w:val="1"/>
          <w:wAfter w:w="48" w:type="pct"/>
        </w:trPr>
        <w:tc>
          <w:tcPr>
            <w:tcW w:w="4952" w:type="pct"/>
            <w:gridSpan w:val="4"/>
          </w:tcPr>
          <w:p w:rsidR="00B124FF" w:rsidRPr="00AF75CE" w:rsidRDefault="00B124FF" w:rsidP="005F32B8">
            <w:pPr>
              <w:jc w:val="both"/>
              <w:rPr>
                <w:sz w:val="20"/>
                <w:lang w:val="fr-CA"/>
              </w:rPr>
            </w:pPr>
            <w:r w:rsidRPr="00AF75CE">
              <w:rPr>
                <w:sz w:val="20"/>
                <w:lang w:val="fr-CA"/>
              </w:rPr>
              <w:t xml:space="preserve">Droit de l’emploi — Congédiement déguisé — Application du principe de la bonne foi dans l’emploi — L’employé a travaillé pour l’employeur pendant environ quatorze ans — L’employé a démissionné et poursuivi l’employeur pour congédiement injustifié et pour obtenir un redressement pour abus — Le juge de première instance a conclu que l’employé avait été l’objet d’un congédiement injustifié, que le préavis approprié était de quinze mois et a accordé des dommages-intérêts d’environ 1,085 million de dollars — L’appel de l’employeur a été accueilli en partie — Dommages-intérêts accordés en application du régime d’intéressement de longue durée (RILD) de l’employeur — L’arrêt </w:t>
            </w:r>
            <w:r w:rsidRPr="00AF75CE">
              <w:rPr>
                <w:i/>
                <w:sz w:val="20"/>
                <w:lang w:val="fr-CA"/>
              </w:rPr>
              <w:t>Bhasin c. Hrynew</w:t>
            </w:r>
            <w:r w:rsidRPr="00AF75CE">
              <w:rPr>
                <w:sz w:val="20"/>
                <w:lang w:val="fr-CA"/>
              </w:rPr>
              <w:t xml:space="preserve">, 2014 CSC 71, a-t-il pour effet d’élargir ou de changer le principe de bonne foi énoncé dans l’arrêt </w:t>
            </w:r>
            <w:r w:rsidRPr="00AF75CE">
              <w:rPr>
                <w:i/>
                <w:sz w:val="20"/>
                <w:lang w:val="fr-CA"/>
              </w:rPr>
              <w:t>Keays c. Honda Canada Inc.</w:t>
            </w:r>
            <w:r w:rsidRPr="00AF75CE">
              <w:rPr>
                <w:sz w:val="20"/>
                <w:lang w:val="fr-CA"/>
              </w:rPr>
              <w:t>, 2008 CSC 39, actuellement interprété comme se limitant au congédiement? — Les employeurs peuvent-ils délibérément congédier quelqu’un de façon déguisée, puis avoir recours à des clauses d’exclusion pour décliner ou limiter la responsabilité et les dommages? — La bonne norme de contrôle a-t-elle été appliquée relativement à l’interprétation des contrats de rémunération et des contrats d’emploi? — Peut-on harmoniser les décisions contradictoires des cours d’appel au Canada?</w:t>
            </w:r>
          </w:p>
        </w:tc>
      </w:tr>
      <w:tr w:rsidR="00B124FF" w:rsidRPr="00CC0B55" w:rsidTr="005F32B8">
        <w:trPr>
          <w:gridAfter w:val="1"/>
          <w:wAfter w:w="48" w:type="pct"/>
        </w:trPr>
        <w:tc>
          <w:tcPr>
            <w:tcW w:w="4952" w:type="pct"/>
            <w:gridSpan w:val="4"/>
          </w:tcPr>
          <w:p w:rsidR="00B124FF" w:rsidRPr="00AF75CE" w:rsidRDefault="00B124FF" w:rsidP="005F32B8">
            <w:pPr>
              <w:jc w:val="both"/>
              <w:rPr>
                <w:sz w:val="20"/>
                <w:lang w:val="fr-CA"/>
              </w:rPr>
            </w:pPr>
          </w:p>
          <w:p w:rsidR="00B124FF" w:rsidRPr="00AF75CE" w:rsidRDefault="00B124FF" w:rsidP="005F32B8">
            <w:pPr>
              <w:jc w:val="both"/>
              <w:rPr>
                <w:sz w:val="20"/>
                <w:lang w:val="fr-CA"/>
              </w:rPr>
            </w:pPr>
            <w:r w:rsidRPr="00AF75CE">
              <w:rPr>
                <w:sz w:val="20"/>
                <w:lang w:val="fr-CA"/>
              </w:rPr>
              <w:t xml:space="preserve">Le demandeur, M. Matthews, a travaillé pour l’intimé, Ocean Nutrition Canada Limited, où les sociétés qu’elle remplace, de janvier 1997 à juin 2011. En juin 2011, il a démissionné et poursuivi Ocean Nutrition pour congédiement déguisé, sollicitant des dommages-intérêts pour violation de son contrat d’emploi et la perte d’un régime d’intéressement de longue durée (« RILD » ou « régime »). Le RILD prévoyait qu’en cas de vente de l’entreprise, si elle avait lieu pendant la période d’emploi de M. Matthews, une partie du produit de la vente lui serait versée selon une formule prévue dans le régime. Le RILD stipulait en outre que si M. Matthews n’était pas au service de l’entreprise au moment de la vente, il n’aurait pas droit de participer au produit, que la cessation d’emploi soit sous forme de démission ou de congédiement injustifié. Le 18 juillet 2012, Ocean Nutrition a été vendue à Royal DSM N.V., à une époque où la partie de M. Matthews du produit de la vente aurait été évaluée à environ 1,1 million de dollars. Le juge de première instance a conclu que M. Matthews avait été l’objet d’un congédiement déguisé, que le préavis approprié était d’environ quinze mois 15 et lui a accordé des dommages-intérêts d’environ 1,085 million de dollars. La plus grande partie des dommages-intérêts était liée au RILD qui, selon le juge, se serait cristallisé si M. Matthews était demeuré employé pendant toute la </w:t>
            </w:r>
            <w:r w:rsidRPr="00AF75CE">
              <w:rPr>
                <w:sz w:val="20"/>
                <w:lang w:val="fr-CA"/>
              </w:rPr>
              <w:lastRenderedPageBreak/>
              <w:t xml:space="preserve">période de préavis. Les juges majoritaires ont accueilli en partie l’appel d’Ocean Nutrition. Selon ces juges, le juge de première instance ne s’est pas trompé en concluant que M. Matthews avait été l’objet d’un congédiement déguisé ou que le préavis raisonnable était de quinze mois. Toutefois, les juges majoritaires ont conclu que le juge de première instance avait eu tort d’accorder des dommages-intérêts en application du RILD alors que le régime, par ses termes exprès, empêchait un tel paiement. </w:t>
            </w:r>
          </w:p>
        </w:tc>
      </w:tr>
      <w:tr w:rsidR="00B124FF" w:rsidRPr="00CC0B55" w:rsidTr="005F32B8">
        <w:trPr>
          <w:gridAfter w:val="1"/>
          <w:wAfter w:w="48" w:type="pct"/>
        </w:trPr>
        <w:tc>
          <w:tcPr>
            <w:tcW w:w="4952" w:type="pct"/>
            <w:gridSpan w:val="4"/>
          </w:tcPr>
          <w:p w:rsidR="00B124FF" w:rsidRPr="00AF75CE" w:rsidRDefault="00B124FF" w:rsidP="005F32B8">
            <w:pPr>
              <w:jc w:val="both"/>
              <w:rPr>
                <w:sz w:val="20"/>
                <w:lang w:val="fr-CA"/>
              </w:rPr>
            </w:pPr>
          </w:p>
        </w:tc>
      </w:tr>
      <w:tr w:rsidR="00B124FF" w:rsidRPr="00CC0B55" w:rsidTr="005F32B8">
        <w:tblPrEx>
          <w:tblCellMar>
            <w:bottom w:w="0" w:type="dxa"/>
          </w:tblCellMar>
        </w:tblPrEx>
        <w:tc>
          <w:tcPr>
            <w:tcW w:w="2367" w:type="pct"/>
            <w:gridSpan w:val="2"/>
          </w:tcPr>
          <w:p w:rsidR="00B124FF" w:rsidRPr="00AF75CE" w:rsidRDefault="00B124FF" w:rsidP="005F32B8">
            <w:pPr>
              <w:jc w:val="both"/>
              <w:rPr>
                <w:sz w:val="20"/>
                <w:lang w:val="fr-CA"/>
              </w:rPr>
            </w:pPr>
            <w:r w:rsidRPr="00AF75CE">
              <w:rPr>
                <w:sz w:val="20"/>
                <w:lang w:val="fr-CA"/>
              </w:rPr>
              <w:t>30 janvier 2017</w:t>
            </w:r>
          </w:p>
          <w:p w:rsidR="00B124FF" w:rsidRPr="00AF75CE" w:rsidRDefault="00B124FF" w:rsidP="005F32B8">
            <w:pPr>
              <w:jc w:val="both"/>
              <w:rPr>
                <w:sz w:val="20"/>
                <w:lang w:val="fr-CA"/>
              </w:rPr>
            </w:pPr>
            <w:r w:rsidRPr="00AF75CE">
              <w:rPr>
                <w:sz w:val="20"/>
                <w:lang w:val="fr-CA"/>
              </w:rPr>
              <w:t>Cour suprême de la Nouvelle-Écosse, Section de première instance</w:t>
            </w:r>
          </w:p>
          <w:p w:rsidR="00B124FF" w:rsidRPr="00AF75CE" w:rsidRDefault="00B124FF" w:rsidP="005F32B8">
            <w:pPr>
              <w:jc w:val="both"/>
              <w:rPr>
                <w:sz w:val="20"/>
                <w:lang w:val="fr-CA"/>
              </w:rPr>
            </w:pPr>
            <w:r w:rsidRPr="00AF75CE">
              <w:rPr>
                <w:sz w:val="20"/>
                <w:lang w:val="fr-CA"/>
              </w:rPr>
              <w:t>(Juge LeBlanc)</w:t>
            </w:r>
          </w:p>
          <w:p w:rsidR="00B124FF" w:rsidRPr="00AF75CE" w:rsidRDefault="00A24D5C" w:rsidP="005F32B8">
            <w:pPr>
              <w:jc w:val="both"/>
              <w:rPr>
                <w:sz w:val="20"/>
                <w:lang w:val="fr-CA"/>
              </w:rPr>
            </w:pPr>
            <w:hyperlink r:id="rId108" w:history="1">
              <w:r w:rsidR="00B124FF" w:rsidRPr="00AF75CE">
                <w:rPr>
                  <w:rStyle w:val="Hyperlink"/>
                  <w:sz w:val="20"/>
                  <w:lang w:val="fr-CA"/>
                </w:rPr>
                <w:t>2017 NSSC 16</w:t>
              </w:r>
            </w:hyperlink>
          </w:p>
          <w:p w:rsidR="00B124FF" w:rsidRPr="00AF75CE" w:rsidRDefault="00B124FF" w:rsidP="005F32B8">
            <w:pPr>
              <w:jc w:val="both"/>
              <w:rPr>
                <w:sz w:val="20"/>
                <w:lang w:val="fr-CA"/>
              </w:rPr>
            </w:pPr>
          </w:p>
        </w:tc>
        <w:tc>
          <w:tcPr>
            <w:tcW w:w="267" w:type="pct"/>
          </w:tcPr>
          <w:p w:rsidR="00B124FF" w:rsidRPr="00AF75CE" w:rsidRDefault="00B124FF" w:rsidP="005F32B8">
            <w:pPr>
              <w:jc w:val="both"/>
              <w:rPr>
                <w:sz w:val="20"/>
                <w:lang w:val="fr-CA"/>
              </w:rPr>
            </w:pPr>
          </w:p>
        </w:tc>
        <w:tc>
          <w:tcPr>
            <w:tcW w:w="2366" w:type="pct"/>
            <w:gridSpan w:val="2"/>
          </w:tcPr>
          <w:p w:rsidR="00B124FF" w:rsidRPr="00AF75CE" w:rsidRDefault="00B124FF" w:rsidP="005F32B8">
            <w:pPr>
              <w:jc w:val="both"/>
              <w:rPr>
                <w:sz w:val="20"/>
                <w:lang w:val="fr-CA"/>
              </w:rPr>
            </w:pPr>
            <w:r w:rsidRPr="00AF75CE">
              <w:rPr>
                <w:sz w:val="20"/>
                <w:lang w:val="fr-CA"/>
              </w:rPr>
              <w:t>Jugement concluant que le demandeur avait été l’objet d’un congédiement déguisé par l’intimée, fixant les dommages-intérêts comme comprenant une indemnisation de la perte de paiements en application du régime d’encouragement de longue durée de l’intimée et rejetant la demande de dommages-intérêts punitifs.</w:t>
            </w:r>
          </w:p>
          <w:p w:rsidR="00B124FF" w:rsidRPr="00AF75CE" w:rsidRDefault="00B124FF" w:rsidP="005F32B8">
            <w:pPr>
              <w:jc w:val="both"/>
              <w:rPr>
                <w:sz w:val="20"/>
                <w:lang w:val="fr-CA"/>
              </w:rPr>
            </w:pPr>
          </w:p>
        </w:tc>
      </w:tr>
      <w:tr w:rsidR="00B124FF" w:rsidRPr="00CC0B55" w:rsidTr="005F32B8">
        <w:tblPrEx>
          <w:tblCellMar>
            <w:bottom w:w="0" w:type="dxa"/>
          </w:tblCellMar>
        </w:tblPrEx>
        <w:tc>
          <w:tcPr>
            <w:tcW w:w="2367" w:type="pct"/>
            <w:gridSpan w:val="2"/>
          </w:tcPr>
          <w:p w:rsidR="00B124FF" w:rsidRPr="00AF75CE" w:rsidRDefault="00B124FF" w:rsidP="005F32B8">
            <w:pPr>
              <w:jc w:val="both"/>
              <w:rPr>
                <w:sz w:val="20"/>
                <w:lang w:val="fr-CA"/>
              </w:rPr>
            </w:pPr>
            <w:r w:rsidRPr="00AF75CE">
              <w:rPr>
                <w:sz w:val="20"/>
                <w:lang w:val="fr-CA"/>
              </w:rPr>
              <w:t>12 mai 2017</w:t>
            </w:r>
          </w:p>
          <w:p w:rsidR="00B124FF" w:rsidRPr="00AF75CE" w:rsidRDefault="00B124FF" w:rsidP="005F32B8">
            <w:pPr>
              <w:jc w:val="both"/>
              <w:rPr>
                <w:sz w:val="20"/>
                <w:lang w:val="fr-CA"/>
              </w:rPr>
            </w:pPr>
            <w:r w:rsidRPr="00AF75CE">
              <w:rPr>
                <w:sz w:val="20"/>
                <w:lang w:val="fr-CA"/>
              </w:rPr>
              <w:t>Cour suprême de la Nouvelle-Écosse, Section de première instance</w:t>
            </w:r>
          </w:p>
          <w:p w:rsidR="00B124FF" w:rsidRPr="00AF75CE" w:rsidRDefault="00B124FF" w:rsidP="005F32B8">
            <w:pPr>
              <w:jc w:val="both"/>
              <w:rPr>
                <w:sz w:val="20"/>
                <w:lang w:val="fr-CA"/>
              </w:rPr>
            </w:pPr>
            <w:r w:rsidRPr="00AF75CE">
              <w:rPr>
                <w:sz w:val="20"/>
                <w:lang w:val="fr-CA"/>
              </w:rPr>
              <w:t>(Juge Leblanc)</w:t>
            </w:r>
          </w:p>
          <w:p w:rsidR="00B124FF" w:rsidRPr="00AF75CE" w:rsidRDefault="00A24D5C" w:rsidP="005F32B8">
            <w:pPr>
              <w:jc w:val="both"/>
              <w:rPr>
                <w:sz w:val="20"/>
                <w:lang w:val="fr-CA"/>
              </w:rPr>
            </w:pPr>
            <w:hyperlink r:id="rId109" w:history="1">
              <w:r w:rsidR="00B124FF" w:rsidRPr="00AF75CE">
                <w:rPr>
                  <w:rStyle w:val="Hyperlink"/>
                  <w:sz w:val="20"/>
                  <w:lang w:val="fr-CA"/>
                </w:rPr>
                <w:t>2017 NSSC 123</w:t>
              </w:r>
            </w:hyperlink>
          </w:p>
          <w:p w:rsidR="00B124FF" w:rsidRPr="00AF75CE" w:rsidRDefault="00B124FF" w:rsidP="005F32B8">
            <w:pPr>
              <w:jc w:val="both"/>
              <w:rPr>
                <w:sz w:val="20"/>
                <w:lang w:val="fr-CA"/>
              </w:rPr>
            </w:pPr>
          </w:p>
        </w:tc>
        <w:tc>
          <w:tcPr>
            <w:tcW w:w="267" w:type="pct"/>
          </w:tcPr>
          <w:p w:rsidR="00B124FF" w:rsidRPr="00AF75CE" w:rsidRDefault="00B124FF" w:rsidP="005F32B8">
            <w:pPr>
              <w:jc w:val="both"/>
              <w:rPr>
                <w:sz w:val="20"/>
                <w:lang w:val="fr-CA"/>
              </w:rPr>
            </w:pPr>
          </w:p>
        </w:tc>
        <w:tc>
          <w:tcPr>
            <w:tcW w:w="2366" w:type="pct"/>
            <w:gridSpan w:val="2"/>
          </w:tcPr>
          <w:p w:rsidR="00B124FF" w:rsidRPr="00AF75CE" w:rsidRDefault="00B124FF" w:rsidP="005F32B8">
            <w:pPr>
              <w:jc w:val="both"/>
              <w:rPr>
                <w:sz w:val="20"/>
                <w:lang w:val="fr-CA"/>
              </w:rPr>
            </w:pPr>
            <w:r w:rsidRPr="00AF75CE">
              <w:rPr>
                <w:sz w:val="20"/>
                <w:lang w:val="fr-CA"/>
              </w:rPr>
              <w:t xml:space="preserve">Jugement condamnant l’intimée à payer la somme de 1 084 851,36 $, avec une remise de 50 % à l’Agence du Revenu du Canada. </w:t>
            </w:r>
          </w:p>
        </w:tc>
      </w:tr>
      <w:tr w:rsidR="00B124FF" w:rsidRPr="00CC0B55" w:rsidTr="005F32B8">
        <w:tblPrEx>
          <w:tblCellMar>
            <w:bottom w:w="0" w:type="dxa"/>
          </w:tblCellMar>
        </w:tblPrEx>
        <w:tc>
          <w:tcPr>
            <w:tcW w:w="2367" w:type="pct"/>
            <w:gridSpan w:val="2"/>
          </w:tcPr>
          <w:p w:rsidR="00B124FF" w:rsidRPr="00AF75CE" w:rsidRDefault="00B124FF" w:rsidP="005F32B8">
            <w:pPr>
              <w:jc w:val="both"/>
              <w:rPr>
                <w:sz w:val="20"/>
                <w:lang w:val="fr-CA"/>
              </w:rPr>
            </w:pPr>
            <w:r w:rsidRPr="00AF75CE">
              <w:rPr>
                <w:sz w:val="20"/>
                <w:lang w:val="fr-CA"/>
              </w:rPr>
              <w:t>24 mai 2018</w:t>
            </w:r>
          </w:p>
          <w:p w:rsidR="00B124FF" w:rsidRPr="00AF75CE" w:rsidRDefault="00B124FF" w:rsidP="005F32B8">
            <w:pPr>
              <w:jc w:val="both"/>
              <w:rPr>
                <w:sz w:val="20"/>
                <w:lang w:val="fr-CA"/>
              </w:rPr>
            </w:pPr>
            <w:r w:rsidRPr="00AF75CE">
              <w:rPr>
                <w:sz w:val="20"/>
                <w:lang w:val="fr-CA"/>
              </w:rPr>
              <w:t>Cour d’appel de la Nouvelle-Écosse</w:t>
            </w:r>
          </w:p>
          <w:p w:rsidR="00B124FF" w:rsidRPr="00AF75CE" w:rsidRDefault="00B124FF" w:rsidP="005F32B8">
            <w:pPr>
              <w:jc w:val="both"/>
              <w:rPr>
                <w:sz w:val="20"/>
                <w:lang w:val="fr-CA"/>
              </w:rPr>
            </w:pPr>
            <w:r w:rsidRPr="00AF75CE">
              <w:rPr>
                <w:sz w:val="20"/>
                <w:lang w:val="fr-CA"/>
              </w:rPr>
              <w:t>(Juges Farrar, Bryson et Scanlan (dissident))</w:t>
            </w:r>
          </w:p>
          <w:p w:rsidR="00B124FF" w:rsidRPr="00AF75CE" w:rsidRDefault="00A24D5C" w:rsidP="005F32B8">
            <w:pPr>
              <w:jc w:val="both"/>
              <w:rPr>
                <w:sz w:val="20"/>
                <w:lang w:val="fr-CA"/>
              </w:rPr>
            </w:pPr>
            <w:hyperlink r:id="rId110" w:history="1">
              <w:r w:rsidR="00B124FF" w:rsidRPr="00AF75CE">
                <w:rPr>
                  <w:rStyle w:val="Hyperlink"/>
                  <w:sz w:val="20"/>
                  <w:lang w:val="fr-CA"/>
                </w:rPr>
                <w:t>2018 NSCA 44</w:t>
              </w:r>
            </w:hyperlink>
          </w:p>
          <w:p w:rsidR="00B124FF" w:rsidRPr="00AF75CE" w:rsidRDefault="00B124FF" w:rsidP="005F32B8">
            <w:pPr>
              <w:jc w:val="both"/>
              <w:rPr>
                <w:sz w:val="20"/>
                <w:lang w:val="fr-CA"/>
              </w:rPr>
            </w:pPr>
          </w:p>
        </w:tc>
        <w:tc>
          <w:tcPr>
            <w:tcW w:w="267" w:type="pct"/>
          </w:tcPr>
          <w:p w:rsidR="00B124FF" w:rsidRPr="00AF75CE" w:rsidRDefault="00B124FF" w:rsidP="005F32B8">
            <w:pPr>
              <w:jc w:val="both"/>
              <w:rPr>
                <w:sz w:val="20"/>
                <w:lang w:val="fr-CA"/>
              </w:rPr>
            </w:pPr>
          </w:p>
        </w:tc>
        <w:tc>
          <w:tcPr>
            <w:tcW w:w="2366" w:type="pct"/>
            <w:gridSpan w:val="2"/>
          </w:tcPr>
          <w:p w:rsidR="00B124FF" w:rsidRPr="00AF75CE" w:rsidRDefault="00B124FF" w:rsidP="005F32B8">
            <w:pPr>
              <w:jc w:val="both"/>
              <w:rPr>
                <w:sz w:val="20"/>
                <w:lang w:val="fr-CA"/>
              </w:rPr>
            </w:pPr>
            <w:r w:rsidRPr="00AF75CE">
              <w:rPr>
                <w:sz w:val="20"/>
                <w:lang w:val="fr-CA"/>
              </w:rPr>
              <w:t xml:space="preserve">Arrêt accueillant l’appel en partie, confirmant la conclusion de congédiement déguisé et d’un préavis raisonnable de quinze mois, mais annulant les dommages-intérêts en application du régime d’intéressement de longue durée. </w:t>
            </w:r>
          </w:p>
          <w:p w:rsidR="00B124FF" w:rsidRPr="00AF75CE" w:rsidRDefault="00B124FF" w:rsidP="005F32B8">
            <w:pPr>
              <w:jc w:val="both"/>
              <w:rPr>
                <w:sz w:val="20"/>
                <w:lang w:val="fr-CA"/>
              </w:rPr>
            </w:pPr>
          </w:p>
        </w:tc>
      </w:tr>
      <w:tr w:rsidR="00B124FF" w:rsidRPr="00CC0B55" w:rsidTr="005F32B8">
        <w:tblPrEx>
          <w:tblCellMar>
            <w:bottom w:w="0" w:type="dxa"/>
          </w:tblCellMar>
        </w:tblPrEx>
        <w:tc>
          <w:tcPr>
            <w:tcW w:w="2367" w:type="pct"/>
            <w:gridSpan w:val="2"/>
          </w:tcPr>
          <w:p w:rsidR="00B124FF" w:rsidRPr="00AF75CE" w:rsidRDefault="00B124FF" w:rsidP="005F32B8">
            <w:pPr>
              <w:jc w:val="both"/>
              <w:rPr>
                <w:sz w:val="20"/>
                <w:lang w:val="fr-CA"/>
              </w:rPr>
            </w:pPr>
            <w:r w:rsidRPr="00AF75CE">
              <w:rPr>
                <w:sz w:val="20"/>
                <w:lang w:val="fr-CA"/>
              </w:rPr>
              <w:t>22 août 2018</w:t>
            </w:r>
          </w:p>
          <w:p w:rsidR="00B124FF" w:rsidRPr="00AF75CE" w:rsidRDefault="00B124FF" w:rsidP="005F32B8">
            <w:pPr>
              <w:jc w:val="both"/>
              <w:rPr>
                <w:sz w:val="20"/>
                <w:lang w:val="fr-CA"/>
              </w:rPr>
            </w:pPr>
            <w:r w:rsidRPr="00AF75CE">
              <w:rPr>
                <w:sz w:val="20"/>
                <w:lang w:val="fr-CA"/>
              </w:rPr>
              <w:t>Cour suprême du Canada</w:t>
            </w:r>
          </w:p>
        </w:tc>
        <w:tc>
          <w:tcPr>
            <w:tcW w:w="267" w:type="pct"/>
          </w:tcPr>
          <w:p w:rsidR="00B124FF" w:rsidRPr="00AF75CE" w:rsidRDefault="00B124FF" w:rsidP="005F32B8">
            <w:pPr>
              <w:jc w:val="both"/>
              <w:rPr>
                <w:sz w:val="20"/>
                <w:lang w:val="fr-CA"/>
              </w:rPr>
            </w:pPr>
          </w:p>
        </w:tc>
        <w:tc>
          <w:tcPr>
            <w:tcW w:w="2366" w:type="pct"/>
            <w:gridSpan w:val="2"/>
          </w:tcPr>
          <w:p w:rsidR="00B124FF" w:rsidRPr="00AF75CE" w:rsidRDefault="00B124FF" w:rsidP="005F32B8">
            <w:pPr>
              <w:jc w:val="both"/>
              <w:rPr>
                <w:sz w:val="20"/>
                <w:lang w:val="fr-CA"/>
              </w:rPr>
            </w:pPr>
            <w:r w:rsidRPr="00AF75CE">
              <w:rPr>
                <w:sz w:val="20"/>
                <w:lang w:val="fr-CA"/>
              </w:rPr>
              <w:t>Dépôt de la demande d’autorisation d’appel.</w:t>
            </w:r>
          </w:p>
          <w:p w:rsidR="00B124FF" w:rsidRPr="00AF75CE" w:rsidRDefault="00B124FF" w:rsidP="005F32B8">
            <w:pPr>
              <w:jc w:val="both"/>
              <w:rPr>
                <w:sz w:val="20"/>
                <w:lang w:val="fr-CA"/>
              </w:rPr>
            </w:pPr>
          </w:p>
        </w:tc>
      </w:tr>
    </w:tbl>
    <w:p w:rsidR="00B124FF" w:rsidRPr="00AF75CE" w:rsidRDefault="00B124FF" w:rsidP="00B124FF">
      <w:pPr>
        <w:jc w:val="both"/>
        <w:rPr>
          <w:sz w:val="20"/>
          <w:lang w:val="fr-CA"/>
        </w:rPr>
      </w:pPr>
    </w:p>
    <w:p w:rsidR="00B124FF" w:rsidRDefault="00A24D5C" w:rsidP="00B124FF">
      <w:pPr>
        <w:ind w:left="142" w:hanging="142"/>
        <w:jc w:val="both"/>
        <w:rPr>
          <w:sz w:val="20"/>
          <w:lang w:val="fr-CA"/>
        </w:rPr>
      </w:pPr>
      <w:r>
        <w:rPr>
          <w:sz w:val="20"/>
          <w:szCs w:val="20"/>
        </w:rPr>
        <w:pict>
          <v:rect id="_x0000_i1058" style="width:2in;height:1pt" o:hrpct="0" o:hralign="center" o:hrstd="t" o:hrnoshade="t" o:hr="t" fillcolor="black [3213]" stroked="f"/>
        </w:pict>
      </w:r>
    </w:p>
    <w:p w:rsidR="00B124FF" w:rsidRPr="00AF75CE" w:rsidRDefault="00B124FF" w:rsidP="00B124FF">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124FF" w:rsidRPr="00AF75CE" w:rsidTr="005F32B8">
        <w:tc>
          <w:tcPr>
            <w:tcW w:w="543" w:type="pct"/>
          </w:tcPr>
          <w:p w:rsidR="00B124FF" w:rsidRPr="00AF75CE" w:rsidRDefault="00B124FF" w:rsidP="005F32B8">
            <w:pPr>
              <w:jc w:val="both"/>
              <w:rPr>
                <w:sz w:val="20"/>
              </w:rPr>
            </w:pPr>
            <w:r w:rsidRPr="00AF75CE">
              <w:rPr>
                <w:rStyle w:val="SCCFileNumberChar"/>
                <w:sz w:val="20"/>
                <w:szCs w:val="20"/>
              </w:rPr>
              <w:t>38215</w:t>
            </w:r>
          </w:p>
        </w:tc>
        <w:tc>
          <w:tcPr>
            <w:tcW w:w="4457" w:type="pct"/>
            <w:gridSpan w:val="3"/>
          </w:tcPr>
          <w:p w:rsidR="00B124FF" w:rsidRPr="000B5C89" w:rsidRDefault="00B124FF" w:rsidP="005F32B8">
            <w:pPr>
              <w:pStyle w:val="SCCLsocParty"/>
              <w:jc w:val="both"/>
              <w:rPr>
                <w:b/>
                <w:sz w:val="20"/>
                <w:szCs w:val="20"/>
                <w:lang w:val="en-US"/>
              </w:rPr>
            </w:pPr>
            <w:r>
              <w:rPr>
                <w:b/>
                <w:sz w:val="20"/>
                <w:szCs w:val="20"/>
                <w:lang w:val="en-US"/>
              </w:rPr>
              <w:t>Aline J. Robert and</w:t>
            </w:r>
            <w:r w:rsidRPr="000B5C89">
              <w:rPr>
                <w:b/>
                <w:sz w:val="20"/>
                <w:szCs w:val="20"/>
                <w:lang w:val="en-US"/>
              </w:rPr>
              <w:t xml:space="preserve"> David E. Guthrie v. Tania Assis</w:t>
            </w:r>
            <w:r>
              <w:rPr>
                <w:b/>
                <w:sz w:val="20"/>
                <w:szCs w:val="20"/>
                <w:lang w:val="en-US"/>
              </w:rPr>
              <w:t xml:space="preserve"> and</w:t>
            </w:r>
            <w:r w:rsidRPr="000B5C89">
              <w:rPr>
                <w:b/>
                <w:sz w:val="20"/>
                <w:szCs w:val="20"/>
                <w:lang w:val="en-US"/>
              </w:rPr>
              <w:t xml:space="preserve"> Richard Buitendyk</w:t>
            </w:r>
          </w:p>
          <w:p w:rsidR="00B124FF" w:rsidRPr="00AF75CE" w:rsidRDefault="00B124FF" w:rsidP="005F32B8">
            <w:pPr>
              <w:jc w:val="both"/>
              <w:rPr>
                <w:sz w:val="20"/>
              </w:rPr>
            </w:pPr>
            <w:r w:rsidRPr="00AF75CE">
              <w:rPr>
                <w:sz w:val="20"/>
              </w:rPr>
              <w:t>(Ont.) (Civil) (By Leave)</w:t>
            </w:r>
          </w:p>
        </w:tc>
      </w:tr>
      <w:tr w:rsidR="00B124FF" w:rsidRPr="00AF75CE" w:rsidTr="005F32B8">
        <w:tc>
          <w:tcPr>
            <w:tcW w:w="5000" w:type="pct"/>
            <w:gridSpan w:val="4"/>
          </w:tcPr>
          <w:p w:rsidR="00B124FF" w:rsidRDefault="00B124FF" w:rsidP="005F32B8">
            <w:pPr>
              <w:jc w:val="both"/>
              <w:rPr>
                <w:sz w:val="20"/>
              </w:rPr>
            </w:pPr>
            <w:r w:rsidRPr="00C11FF6">
              <w:rPr>
                <w:sz w:val="20"/>
              </w:rPr>
              <w:t>The application for leave to appeal from the judgment of the Court of Appeal for Ontario, Number C63627, 2018 ONCA 442, dated May 3, 2018, is dismissed with costs.</w:t>
            </w:r>
          </w:p>
          <w:p w:rsidR="00B124FF" w:rsidRPr="00AF75CE" w:rsidRDefault="00B124FF" w:rsidP="005F32B8">
            <w:pPr>
              <w:jc w:val="both"/>
              <w:rPr>
                <w:sz w:val="20"/>
              </w:rPr>
            </w:pPr>
          </w:p>
        </w:tc>
      </w:tr>
      <w:tr w:rsidR="00B124FF" w:rsidRPr="00AF75CE" w:rsidTr="005F32B8">
        <w:tc>
          <w:tcPr>
            <w:tcW w:w="5000" w:type="pct"/>
            <w:gridSpan w:val="4"/>
          </w:tcPr>
          <w:p w:rsidR="00B124FF" w:rsidRPr="00AF75CE" w:rsidRDefault="00B124FF" w:rsidP="005F32B8">
            <w:pPr>
              <w:jc w:val="both"/>
              <w:rPr>
                <w:sz w:val="20"/>
              </w:rPr>
            </w:pPr>
            <w:r w:rsidRPr="00AF75CE">
              <w:rPr>
                <w:sz w:val="20"/>
              </w:rPr>
              <w:t>Civil procedure – Reasons – Bias – Whether a civil court may consider settlement discussions and/or the willingness of one or more parties to attempt private mediation prior to trial, in determining the court’s substantive judgment? – What is the proper test for adequate reasons for judgment in the civil context and was that test met in this case?</w:t>
            </w:r>
          </w:p>
          <w:p w:rsidR="00B124FF" w:rsidRPr="00AF75CE" w:rsidRDefault="00B124FF" w:rsidP="005F32B8">
            <w:pPr>
              <w:jc w:val="both"/>
              <w:rPr>
                <w:sz w:val="20"/>
              </w:rPr>
            </w:pPr>
          </w:p>
        </w:tc>
      </w:tr>
      <w:tr w:rsidR="00B124FF" w:rsidRPr="00AF75CE" w:rsidTr="005F32B8">
        <w:tc>
          <w:tcPr>
            <w:tcW w:w="5000" w:type="pct"/>
            <w:gridSpan w:val="4"/>
          </w:tcPr>
          <w:p w:rsidR="00B124FF" w:rsidRPr="00AF75CE" w:rsidRDefault="00B124FF" w:rsidP="005F32B8">
            <w:pPr>
              <w:jc w:val="both"/>
              <w:rPr>
                <w:sz w:val="20"/>
              </w:rPr>
            </w:pPr>
            <w:r w:rsidRPr="00AF75CE">
              <w:rPr>
                <w:sz w:val="20"/>
              </w:rPr>
              <w:t xml:space="preserve">A dispute developed between neighbours, leading to a lawsuit for damages for invasion of privacy, nuisance, trespass and the tort of abuse of process. The action was dismissed, as was an appeal.  </w:t>
            </w:r>
          </w:p>
          <w:p w:rsidR="00B124FF" w:rsidRPr="00AF75CE" w:rsidRDefault="00B124FF" w:rsidP="005F32B8">
            <w:pPr>
              <w:jc w:val="both"/>
              <w:rPr>
                <w:sz w:val="20"/>
              </w:rPr>
            </w:pPr>
          </w:p>
        </w:tc>
      </w:tr>
      <w:tr w:rsidR="00B124FF" w:rsidRPr="00AF75CE" w:rsidTr="005F32B8">
        <w:tc>
          <w:tcPr>
            <w:tcW w:w="2427" w:type="pct"/>
            <w:gridSpan w:val="2"/>
          </w:tcPr>
          <w:p w:rsidR="00B124FF" w:rsidRPr="00AF75CE" w:rsidRDefault="00B124FF" w:rsidP="005F32B8">
            <w:pPr>
              <w:jc w:val="both"/>
              <w:rPr>
                <w:sz w:val="20"/>
              </w:rPr>
            </w:pPr>
            <w:r w:rsidRPr="00AF75CE">
              <w:rPr>
                <w:sz w:val="20"/>
              </w:rPr>
              <w:t>March 20, 2017</w:t>
            </w:r>
          </w:p>
          <w:p w:rsidR="00B124FF" w:rsidRPr="00AF75CE" w:rsidRDefault="00B124FF" w:rsidP="005F32B8">
            <w:pPr>
              <w:jc w:val="both"/>
              <w:rPr>
                <w:sz w:val="20"/>
              </w:rPr>
            </w:pPr>
            <w:r w:rsidRPr="00AF75CE">
              <w:rPr>
                <w:sz w:val="20"/>
              </w:rPr>
              <w:t>Ontario Superior Court of Justice</w:t>
            </w:r>
          </w:p>
          <w:p w:rsidR="00B124FF" w:rsidRPr="00AF75CE" w:rsidRDefault="00B124FF" w:rsidP="005F32B8">
            <w:pPr>
              <w:jc w:val="both"/>
              <w:rPr>
                <w:sz w:val="20"/>
              </w:rPr>
            </w:pPr>
            <w:r w:rsidRPr="00AF75CE">
              <w:rPr>
                <w:sz w:val="20"/>
              </w:rPr>
              <w:t>(Sloan J.)</w:t>
            </w:r>
          </w:p>
          <w:p w:rsidR="00B124FF" w:rsidRPr="00AF75CE" w:rsidRDefault="00B124FF" w:rsidP="005F32B8">
            <w:pPr>
              <w:jc w:val="both"/>
              <w:rPr>
                <w:sz w:val="20"/>
              </w:rPr>
            </w:pPr>
            <w:r w:rsidRPr="00AF75CE">
              <w:rPr>
                <w:sz w:val="20"/>
              </w:rPr>
              <w:t xml:space="preserve">Neutral citation: </w:t>
            </w:r>
            <w:hyperlink r:id="rId111" w:history="1">
              <w:r w:rsidRPr="00AF75CE">
                <w:rPr>
                  <w:rStyle w:val="Hyperlink"/>
                  <w:sz w:val="20"/>
                </w:rPr>
                <w:t>2017 ONSC 1685</w:t>
              </w:r>
            </w:hyperlink>
          </w:p>
          <w:p w:rsidR="00B124FF" w:rsidRPr="00AF75CE" w:rsidRDefault="00B124FF" w:rsidP="005F32B8">
            <w:pPr>
              <w:jc w:val="both"/>
              <w:rPr>
                <w:sz w:val="20"/>
              </w:rPr>
            </w:pPr>
          </w:p>
        </w:tc>
        <w:tc>
          <w:tcPr>
            <w:tcW w:w="243" w:type="pct"/>
          </w:tcPr>
          <w:p w:rsidR="00B124FF" w:rsidRPr="00AF75CE" w:rsidRDefault="00B124FF" w:rsidP="005F32B8">
            <w:pPr>
              <w:jc w:val="both"/>
              <w:rPr>
                <w:sz w:val="20"/>
              </w:rPr>
            </w:pPr>
          </w:p>
        </w:tc>
        <w:tc>
          <w:tcPr>
            <w:tcW w:w="2330" w:type="pct"/>
          </w:tcPr>
          <w:p w:rsidR="00B124FF" w:rsidRPr="00AF75CE" w:rsidRDefault="00B124FF" w:rsidP="005F32B8">
            <w:pPr>
              <w:jc w:val="both"/>
              <w:rPr>
                <w:sz w:val="20"/>
              </w:rPr>
            </w:pPr>
            <w:r w:rsidRPr="00AF75CE">
              <w:rPr>
                <w:sz w:val="20"/>
              </w:rPr>
              <w:t>Action dismissed</w:t>
            </w:r>
          </w:p>
          <w:p w:rsidR="00B124FF" w:rsidRPr="00AF75CE" w:rsidRDefault="00B124FF" w:rsidP="005F32B8">
            <w:pPr>
              <w:jc w:val="both"/>
              <w:rPr>
                <w:sz w:val="20"/>
              </w:rPr>
            </w:pPr>
          </w:p>
        </w:tc>
      </w:tr>
      <w:tr w:rsidR="00B124FF" w:rsidRPr="00AF75CE" w:rsidTr="005F32B8">
        <w:tc>
          <w:tcPr>
            <w:tcW w:w="2427" w:type="pct"/>
            <w:gridSpan w:val="2"/>
          </w:tcPr>
          <w:p w:rsidR="00B124FF" w:rsidRPr="00AF75CE" w:rsidRDefault="00B124FF" w:rsidP="005F32B8">
            <w:pPr>
              <w:jc w:val="both"/>
              <w:rPr>
                <w:sz w:val="20"/>
              </w:rPr>
            </w:pPr>
            <w:r w:rsidRPr="00AF75CE">
              <w:rPr>
                <w:sz w:val="20"/>
              </w:rPr>
              <w:t>May 3, 2018</w:t>
            </w:r>
          </w:p>
          <w:p w:rsidR="00B124FF" w:rsidRPr="00AF75CE" w:rsidRDefault="00B124FF" w:rsidP="005F32B8">
            <w:pPr>
              <w:jc w:val="both"/>
              <w:rPr>
                <w:sz w:val="20"/>
              </w:rPr>
            </w:pPr>
            <w:r w:rsidRPr="00AF75CE">
              <w:rPr>
                <w:sz w:val="20"/>
              </w:rPr>
              <w:t>Court of Appeal for Ontario</w:t>
            </w:r>
          </w:p>
          <w:p w:rsidR="00B124FF" w:rsidRPr="00AF75CE" w:rsidRDefault="00B124FF" w:rsidP="005F32B8">
            <w:pPr>
              <w:jc w:val="both"/>
              <w:rPr>
                <w:sz w:val="20"/>
              </w:rPr>
            </w:pPr>
            <w:r w:rsidRPr="00AF75CE">
              <w:rPr>
                <w:sz w:val="20"/>
              </w:rPr>
              <w:t>(Hourigan, Benotto, and Fairburn JJ.A.)</w:t>
            </w:r>
          </w:p>
          <w:p w:rsidR="00B124FF" w:rsidRPr="00AF75CE" w:rsidRDefault="00B124FF" w:rsidP="005F32B8">
            <w:pPr>
              <w:jc w:val="both"/>
              <w:rPr>
                <w:sz w:val="20"/>
              </w:rPr>
            </w:pPr>
            <w:r w:rsidRPr="00AF75CE">
              <w:rPr>
                <w:sz w:val="20"/>
              </w:rPr>
              <w:t xml:space="preserve">Neutral citation: </w:t>
            </w:r>
            <w:hyperlink r:id="rId112" w:history="1">
              <w:r w:rsidRPr="00AF75CE">
                <w:rPr>
                  <w:rStyle w:val="Hyperlink"/>
                  <w:sz w:val="20"/>
                </w:rPr>
                <w:t>2018 ONCA 448</w:t>
              </w:r>
            </w:hyperlink>
          </w:p>
          <w:p w:rsidR="00B124FF" w:rsidRPr="00AF75CE" w:rsidRDefault="00B124FF" w:rsidP="005F32B8">
            <w:pPr>
              <w:jc w:val="both"/>
              <w:rPr>
                <w:sz w:val="20"/>
              </w:rPr>
            </w:pPr>
          </w:p>
        </w:tc>
        <w:tc>
          <w:tcPr>
            <w:tcW w:w="243" w:type="pct"/>
          </w:tcPr>
          <w:p w:rsidR="00B124FF" w:rsidRPr="00AF75CE" w:rsidRDefault="00B124FF" w:rsidP="005F32B8">
            <w:pPr>
              <w:jc w:val="both"/>
              <w:rPr>
                <w:sz w:val="20"/>
              </w:rPr>
            </w:pPr>
          </w:p>
        </w:tc>
        <w:tc>
          <w:tcPr>
            <w:tcW w:w="2330" w:type="pct"/>
          </w:tcPr>
          <w:p w:rsidR="00B124FF" w:rsidRPr="00AF75CE" w:rsidRDefault="00B124FF" w:rsidP="005F32B8">
            <w:pPr>
              <w:jc w:val="both"/>
              <w:rPr>
                <w:sz w:val="20"/>
              </w:rPr>
            </w:pPr>
            <w:r w:rsidRPr="00AF75CE">
              <w:rPr>
                <w:sz w:val="20"/>
              </w:rPr>
              <w:t>Appeal dismissed</w:t>
            </w:r>
          </w:p>
          <w:p w:rsidR="00B124FF" w:rsidRPr="00AF75CE" w:rsidRDefault="00B124FF" w:rsidP="005F32B8">
            <w:pPr>
              <w:jc w:val="both"/>
              <w:rPr>
                <w:sz w:val="20"/>
              </w:rPr>
            </w:pPr>
          </w:p>
        </w:tc>
      </w:tr>
      <w:tr w:rsidR="00B124FF" w:rsidRPr="00AF75CE" w:rsidTr="005F32B8">
        <w:tc>
          <w:tcPr>
            <w:tcW w:w="2427" w:type="pct"/>
            <w:gridSpan w:val="2"/>
          </w:tcPr>
          <w:p w:rsidR="00B124FF" w:rsidRPr="00AF75CE" w:rsidRDefault="00B124FF" w:rsidP="005F32B8">
            <w:pPr>
              <w:jc w:val="both"/>
              <w:rPr>
                <w:sz w:val="20"/>
              </w:rPr>
            </w:pPr>
            <w:r w:rsidRPr="00AF75CE">
              <w:rPr>
                <w:sz w:val="20"/>
              </w:rPr>
              <w:t>August 2, 2018</w:t>
            </w:r>
          </w:p>
          <w:p w:rsidR="00B124FF" w:rsidRPr="00AF75CE" w:rsidRDefault="00B124FF" w:rsidP="005F32B8">
            <w:pPr>
              <w:jc w:val="both"/>
              <w:rPr>
                <w:sz w:val="20"/>
              </w:rPr>
            </w:pPr>
            <w:r w:rsidRPr="00AF75CE">
              <w:rPr>
                <w:sz w:val="20"/>
              </w:rPr>
              <w:t>Supreme Court of Canada</w:t>
            </w:r>
          </w:p>
        </w:tc>
        <w:tc>
          <w:tcPr>
            <w:tcW w:w="243" w:type="pct"/>
          </w:tcPr>
          <w:p w:rsidR="00B124FF" w:rsidRPr="00AF75CE" w:rsidRDefault="00B124FF" w:rsidP="005F32B8">
            <w:pPr>
              <w:jc w:val="both"/>
              <w:rPr>
                <w:sz w:val="20"/>
              </w:rPr>
            </w:pPr>
          </w:p>
        </w:tc>
        <w:tc>
          <w:tcPr>
            <w:tcW w:w="2330" w:type="pct"/>
          </w:tcPr>
          <w:p w:rsidR="00B124FF" w:rsidRPr="00AF75CE" w:rsidRDefault="00B124FF" w:rsidP="005F32B8">
            <w:pPr>
              <w:jc w:val="both"/>
              <w:rPr>
                <w:sz w:val="20"/>
              </w:rPr>
            </w:pPr>
            <w:r w:rsidRPr="00AF75CE">
              <w:rPr>
                <w:sz w:val="20"/>
              </w:rPr>
              <w:t>Application for leave to appeal filed</w:t>
            </w:r>
          </w:p>
          <w:p w:rsidR="00B124FF" w:rsidRPr="00AF75CE" w:rsidRDefault="00B124FF" w:rsidP="005F32B8">
            <w:pPr>
              <w:jc w:val="both"/>
              <w:rPr>
                <w:sz w:val="20"/>
              </w:rPr>
            </w:pPr>
          </w:p>
        </w:tc>
      </w:tr>
    </w:tbl>
    <w:p w:rsidR="00B124FF" w:rsidRDefault="00B124FF" w:rsidP="00B124FF">
      <w:pPr>
        <w:jc w:val="both"/>
        <w:rPr>
          <w:sz w:val="20"/>
        </w:rPr>
      </w:pPr>
    </w:p>
    <w:p w:rsidR="00B124FF" w:rsidRPr="00AF75CE" w:rsidRDefault="00B124FF" w:rsidP="00B124F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124FF" w:rsidRPr="00D46C76" w:rsidTr="005F32B8">
        <w:tc>
          <w:tcPr>
            <w:tcW w:w="543" w:type="pct"/>
          </w:tcPr>
          <w:p w:rsidR="00B124FF" w:rsidRPr="00AF75CE" w:rsidRDefault="00B124FF" w:rsidP="005F32B8">
            <w:pPr>
              <w:jc w:val="both"/>
              <w:rPr>
                <w:sz w:val="20"/>
                <w:lang w:val="fr-CA"/>
              </w:rPr>
            </w:pPr>
            <w:r w:rsidRPr="00AF75CE">
              <w:rPr>
                <w:rStyle w:val="SCCFileNumberChar"/>
                <w:sz w:val="20"/>
                <w:szCs w:val="20"/>
                <w:lang w:val="fr-CA"/>
              </w:rPr>
              <w:t>38215</w:t>
            </w:r>
          </w:p>
        </w:tc>
        <w:tc>
          <w:tcPr>
            <w:tcW w:w="4457" w:type="pct"/>
            <w:gridSpan w:val="3"/>
          </w:tcPr>
          <w:p w:rsidR="00B124FF" w:rsidRPr="000B5C89" w:rsidRDefault="00B124FF" w:rsidP="005F32B8">
            <w:pPr>
              <w:pStyle w:val="SCCLsocParty"/>
              <w:jc w:val="both"/>
              <w:rPr>
                <w:b/>
                <w:sz w:val="20"/>
                <w:szCs w:val="20"/>
              </w:rPr>
            </w:pPr>
            <w:r>
              <w:rPr>
                <w:b/>
                <w:sz w:val="20"/>
                <w:szCs w:val="20"/>
              </w:rPr>
              <w:t xml:space="preserve">Aline J. Robert et </w:t>
            </w:r>
            <w:r w:rsidRPr="000B5C89">
              <w:rPr>
                <w:b/>
                <w:sz w:val="20"/>
                <w:szCs w:val="20"/>
              </w:rPr>
              <w:t>David E. Guthrie c. Tania Assis</w:t>
            </w:r>
            <w:r>
              <w:rPr>
                <w:b/>
                <w:sz w:val="20"/>
                <w:szCs w:val="20"/>
              </w:rPr>
              <w:t xml:space="preserve"> et</w:t>
            </w:r>
            <w:r w:rsidRPr="000B5C89">
              <w:rPr>
                <w:b/>
                <w:sz w:val="20"/>
                <w:szCs w:val="20"/>
              </w:rPr>
              <w:t xml:space="preserve"> Richard Buitendyk</w:t>
            </w:r>
          </w:p>
          <w:p w:rsidR="00B124FF" w:rsidRPr="00AF75CE" w:rsidRDefault="00B124FF" w:rsidP="005F32B8">
            <w:pPr>
              <w:jc w:val="both"/>
              <w:rPr>
                <w:sz w:val="20"/>
                <w:lang w:val="fr-CA"/>
              </w:rPr>
            </w:pPr>
            <w:r w:rsidRPr="00AF75CE">
              <w:rPr>
                <w:sz w:val="20"/>
                <w:lang w:val="fr-CA"/>
              </w:rPr>
              <w:t>(Ont.) (Civile) (Autorisation)</w:t>
            </w:r>
          </w:p>
        </w:tc>
      </w:tr>
      <w:tr w:rsidR="00B124FF" w:rsidRPr="00CC0B55" w:rsidTr="005F32B8">
        <w:tc>
          <w:tcPr>
            <w:tcW w:w="5000" w:type="pct"/>
            <w:gridSpan w:val="4"/>
          </w:tcPr>
          <w:p w:rsidR="00B124FF" w:rsidRDefault="00B124FF" w:rsidP="005F32B8">
            <w:pPr>
              <w:jc w:val="both"/>
              <w:rPr>
                <w:sz w:val="20"/>
                <w:lang w:val="fr-CA"/>
              </w:rPr>
            </w:pPr>
            <w:r w:rsidRPr="00C11FF6">
              <w:rPr>
                <w:sz w:val="20"/>
                <w:lang w:val="fr-CA"/>
              </w:rPr>
              <w:t>La demande d’autorisation d’appel de l’arrêt de la Cour d’appel de l’Ontario, numéro C63627, 2018 ONCA 442, daté du 3 mai 2018, est rejetée avec dépens.</w:t>
            </w:r>
          </w:p>
          <w:p w:rsidR="00B124FF" w:rsidRPr="00AF75CE" w:rsidRDefault="00B124FF" w:rsidP="005F32B8">
            <w:pPr>
              <w:jc w:val="both"/>
              <w:rPr>
                <w:sz w:val="20"/>
                <w:lang w:val="fr-CA"/>
              </w:rPr>
            </w:pPr>
          </w:p>
        </w:tc>
      </w:tr>
      <w:tr w:rsidR="00B124FF" w:rsidRPr="00CC0B55" w:rsidTr="005F32B8">
        <w:tc>
          <w:tcPr>
            <w:tcW w:w="5000" w:type="pct"/>
            <w:gridSpan w:val="4"/>
          </w:tcPr>
          <w:p w:rsidR="00B124FF" w:rsidRPr="00AF75CE" w:rsidRDefault="00B124FF" w:rsidP="005F32B8">
            <w:pPr>
              <w:jc w:val="both"/>
              <w:rPr>
                <w:sz w:val="20"/>
                <w:lang w:val="fr-CA"/>
              </w:rPr>
            </w:pPr>
            <w:r w:rsidRPr="00AF75CE">
              <w:rPr>
                <w:sz w:val="20"/>
                <w:lang w:val="fr-CA"/>
              </w:rPr>
              <w:t>Procédure civile – Motifs – Partialité – Pour rendre son jugement sur le fond, un tribunal civil peut-il prendre en compte des discussions en vue d’un règlement ou la volonté d’une des parties de tenter une médiation privée avant le procès? – Quel est le critère d’appréciation de la suffisance des motifs d’un jugement en matière civile et ce critère a-t-il été satisfait en l’espèce?</w:t>
            </w:r>
          </w:p>
          <w:p w:rsidR="00B124FF" w:rsidRPr="00AF75CE" w:rsidRDefault="00B124FF" w:rsidP="005F32B8">
            <w:pPr>
              <w:jc w:val="both"/>
              <w:rPr>
                <w:sz w:val="20"/>
                <w:lang w:val="fr-CA"/>
              </w:rPr>
            </w:pPr>
          </w:p>
        </w:tc>
      </w:tr>
      <w:tr w:rsidR="00B124FF" w:rsidRPr="00AF75CE" w:rsidTr="005F32B8">
        <w:tc>
          <w:tcPr>
            <w:tcW w:w="5000" w:type="pct"/>
            <w:gridSpan w:val="4"/>
          </w:tcPr>
          <w:p w:rsidR="00B124FF" w:rsidRPr="00AF75CE" w:rsidRDefault="00B124FF" w:rsidP="005F32B8">
            <w:pPr>
              <w:jc w:val="both"/>
              <w:rPr>
                <w:sz w:val="20"/>
                <w:lang w:val="fr-CA"/>
              </w:rPr>
            </w:pPr>
            <w:r w:rsidRPr="00AF75CE">
              <w:rPr>
                <w:sz w:val="20"/>
                <w:lang w:val="fr-CA"/>
              </w:rPr>
              <w:t xml:space="preserve">Un litige entre voisins a mené à une poursuite en dommages-intérêts pour atteinte à la vie privée, nuisance, intrusion et le délit civil d’abus de procédure. L’action a été rejetée, tout comme l’appel.  </w:t>
            </w:r>
          </w:p>
          <w:p w:rsidR="00B124FF" w:rsidRPr="00AF75CE" w:rsidRDefault="00B124FF" w:rsidP="005F32B8">
            <w:pPr>
              <w:jc w:val="both"/>
              <w:rPr>
                <w:sz w:val="20"/>
                <w:lang w:val="fr-CA"/>
              </w:rPr>
            </w:pPr>
          </w:p>
        </w:tc>
      </w:tr>
      <w:tr w:rsidR="00B124FF" w:rsidRPr="00AF75CE" w:rsidTr="005F32B8">
        <w:tc>
          <w:tcPr>
            <w:tcW w:w="2427" w:type="pct"/>
            <w:gridSpan w:val="2"/>
          </w:tcPr>
          <w:p w:rsidR="00B124FF" w:rsidRPr="00AF75CE" w:rsidRDefault="00B124FF" w:rsidP="005F32B8">
            <w:pPr>
              <w:jc w:val="both"/>
              <w:rPr>
                <w:sz w:val="20"/>
                <w:lang w:val="fr-CA"/>
              </w:rPr>
            </w:pPr>
            <w:r w:rsidRPr="00AF75CE">
              <w:rPr>
                <w:sz w:val="20"/>
                <w:lang w:val="fr-CA"/>
              </w:rPr>
              <w:t>20 mars 2017</w:t>
            </w:r>
          </w:p>
          <w:p w:rsidR="00B124FF" w:rsidRPr="00AF75CE" w:rsidRDefault="00B124FF" w:rsidP="005F32B8">
            <w:pPr>
              <w:jc w:val="both"/>
              <w:rPr>
                <w:sz w:val="20"/>
                <w:lang w:val="fr-CA"/>
              </w:rPr>
            </w:pPr>
            <w:r w:rsidRPr="00AF75CE">
              <w:rPr>
                <w:sz w:val="20"/>
                <w:lang w:val="fr-CA"/>
              </w:rPr>
              <w:t>Cour supérieure de justice de l’Ontario</w:t>
            </w:r>
          </w:p>
          <w:p w:rsidR="00B124FF" w:rsidRPr="00AF75CE" w:rsidRDefault="00B124FF" w:rsidP="005F32B8">
            <w:pPr>
              <w:jc w:val="both"/>
              <w:rPr>
                <w:sz w:val="20"/>
                <w:lang w:val="fr-CA"/>
              </w:rPr>
            </w:pPr>
            <w:r w:rsidRPr="00AF75CE">
              <w:rPr>
                <w:sz w:val="20"/>
                <w:lang w:val="fr-CA"/>
              </w:rPr>
              <w:t>(Juge Sloan)</w:t>
            </w:r>
          </w:p>
          <w:p w:rsidR="00B124FF" w:rsidRPr="00AF75CE" w:rsidRDefault="00B124FF" w:rsidP="005F32B8">
            <w:pPr>
              <w:jc w:val="both"/>
              <w:rPr>
                <w:sz w:val="20"/>
                <w:lang w:val="fr-CA"/>
              </w:rPr>
            </w:pPr>
            <w:r w:rsidRPr="00AF75CE">
              <w:rPr>
                <w:sz w:val="20"/>
                <w:lang w:val="fr-CA"/>
              </w:rPr>
              <w:t xml:space="preserve">Référence neutre : </w:t>
            </w:r>
            <w:hyperlink r:id="rId113" w:history="1">
              <w:r w:rsidRPr="00AF75CE">
                <w:rPr>
                  <w:rStyle w:val="Hyperlink"/>
                  <w:sz w:val="20"/>
                  <w:lang w:val="fr-CA"/>
                </w:rPr>
                <w:t>2017 ONSC 1685</w:t>
              </w:r>
            </w:hyperlink>
          </w:p>
          <w:p w:rsidR="00B124FF" w:rsidRPr="00AF75CE" w:rsidRDefault="00B124FF" w:rsidP="005F32B8">
            <w:pPr>
              <w:jc w:val="both"/>
              <w:rPr>
                <w:sz w:val="20"/>
                <w:lang w:val="fr-CA"/>
              </w:rPr>
            </w:pPr>
          </w:p>
        </w:tc>
        <w:tc>
          <w:tcPr>
            <w:tcW w:w="243" w:type="pct"/>
          </w:tcPr>
          <w:p w:rsidR="00B124FF" w:rsidRPr="00AF75CE" w:rsidRDefault="00B124FF" w:rsidP="005F32B8">
            <w:pPr>
              <w:jc w:val="both"/>
              <w:rPr>
                <w:sz w:val="20"/>
                <w:lang w:val="fr-CA"/>
              </w:rPr>
            </w:pPr>
          </w:p>
        </w:tc>
        <w:tc>
          <w:tcPr>
            <w:tcW w:w="2330" w:type="pct"/>
          </w:tcPr>
          <w:p w:rsidR="00B124FF" w:rsidRPr="00AF75CE" w:rsidRDefault="00B124FF" w:rsidP="005F32B8">
            <w:pPr>
              <w:jc w:val="both"/>
              <w:rPr>
                <w:sz w:val="20"/>
                <w:lang w:val="fr-CA"/>
              </w:rPr>
            </w:pPr>
            <w:r w:rsidRPr="00AF75CE">
              <w:rPr>
                <w:sz w:val="20"/>
                <w:lang w:val="fr-CA"/>
              </w:rPr>
              <w:t>Rejet de l’action</w:t>
            </w:r>
          </w:p>
          <w:p w:rsidR="00B124FF" w:rsidRPr="00AF75CE" w:rsidRDefault="00B124FF" w:rsidP="005F32B8">
            <w:pPr>
              <w:jc w:val="both"/>
              <w:rPr>
                <w:sz w:val="20"/>
                <w:lang w:val="fr-CA"/>
              </w:rPr>
            </w:pPr>
          </w:p>
        </w:tc>
      </w:tr>
      <w:tr w:rsidR="00B124FF" w:rsidRPr="00AF75CE" w:rsidTr="005F32B8">
        <w:tc>
          <w:tcPr>
            <w:tcW w:w="2427" w:type="pct"/>
            <w:gridSpan w:val="2"/>
          </w:tcPr>
          <w:p w:rsidR="00B124FF" w:rsidRPr="00AF75CE" w:rsidRDefault="00B124FF" w:rsidP="005F32B8">
            <w:pPr>
              <w:jc w:val="both"/>
              <w:rPr>
                <w:sz w:val="20"/>
                <w:lang w:val="fr-CA"/>
              </w:rPr>
            </w:pPr>
            <w:r w:rsidRPr="00AF75CE">
              <w:rPr>
                <w:sz w:val="20"/>
                <w:lang w:val="fr-CA"/>
              </w:rPr>
              <w:t>3 mai 2018</w:t>
            </w:r>
          </w:p>
          <w:p w:rsidR="00B124FF" w:rsidRPr="00AF75CE" w:rsidRDefault="00B124FF" w:rsidP="005F32B8">
            <w:pPr>
              <w:jc w:val="both"/>
              <w:rPr>
                <w:sz w:val="20"/>
                <w:lang w:val="fr-CA"/>
              </w:rPr>
            </w:pPr>
            <w:r w:rsidRPr="00AF75CE">
              <w:rPr>
                <w:sz w:val="20"/>
                <w:lang w:val="fr-CA"/>
              </w:rPr>
              <w:t>Cour d’appel de l’Ontario</w:t>
            </w:r>
          </w:p>
          <w:p w:rsidR="00B124FF" w:rsidRPr="00AF75CE" w:rsidRDefault="00B124FF" w:rsidP="005F32B8">
            <w:pPr>
              <w:jc w:val="both"/>
              <w:rPr>
                <w:sz w:val="20"/>
                <w:lang w:val="fr-CA"/>
              </w:rPr>
            </w:pPr>
            <w:r w:rsidRPr="00AF75CE">
              <w:rPr>
                <w:sz w:val="20"/>
                <w:lang w:val="fr-CA"/>
              </w:rPr>
              <w:t>(Juges Hourigan, Benotto et Fairburn)</w:t>
            </w:r>
          </w:p>
          <w:p w:rsidR="00B124FF" w:rsidRPr="00AF75CE" w:rsidRDefault="00B124FF" w:rsidP="005F32B8">
            <w:pPr>
              <w:jc w:val="both"/>
              <w:rPr>
                <w:sz w:val="20"/>
                <w:lang w:val="fr-CA"/>
              </w:rPr>
            </w:pPr>
            <w:r w:rsidRPr="00AF75CE">
              <w:rPr>
                <w:sz w:val="20"/>
                <w:lang w:val="fr-CA"/>
              </w:rPr>
              <w:t xml:space="preserve">Référence neutre : </w:t>
            </w:r>
            <w:hyperlink r:id="rId114" w:history="1">
              <w:r w:rsidRPr="00AF75CE">
                <w:rPr>
                  <w:rStyle w:val="Hyperlink"/>
                  <w:sz w:val="20"/>
                  <w:lang w:val="fr-CA"/>
                </w:rPr>
                <w:t>2018 ONCA 448</w:t>
              </w:r>
            </w:hyperlink>
          </w:p>
          <w:p w:rsidR="00B124FF" w:rsidRPr="00AF75CE" w:rsidRDefault="00B124FF" w:rsidP="005F32B8">
            <w:pPr>
              <w:jc w:val="both"/>
              <w:rPr>
                <w:sz w:val="20"/>
                <w:lang w:val="fr-CA"/>
              </w:rPr>
            </w:pPr>
          </w:p>
        </w:tc>
        <w:tc>
          <w:tcPr>
            <w:tcW w:w="243" w:type="pct"/>
          </w:tcPr>
          <w:p w:rsidR="00B124FF" w:rsidRPr="00AF75CE" w:rsidRDefault="00B124FF" w:rsidP="005F32B8">
            <w:pPr>
              <w:jc w:val="both"/>
              <w:rPr>
                <w:sz w:val="20"/>
                <w:lang w:val="fr-CA"/>
              </w:rPr>
            </w:pPr>
          </w:p>
        </w:tc>
        <w:tc>
          <w:tcPr>
            <w:tcW w:w="2330" w:type="pct"/>
          </w:tcPr>
          <w:p w:rsidR="00B124FF" w:rsidRPr="00AF75CE" w:rsidRDefault="00B124FF" w:rsidP="005F32B8">
            <w:pPr>
              <w:jc w:val="both"/>
              <w:rPr>
                <w:sz w:val="20"/>
                <w:lang w:val="fr-CA"/>
              </w:rPr>
            </w:pPr>
            <w:r w:rsidRPr="00AF75CE">
              <w:rPr>
                <w:sz w:val="20"/>
                <w:lang w:val="fr-CA"/>
              </w:rPr>
              <w:t>Rejet de l’appel</w:t>
            </w:r>
          </w:p>
          <w:p w:rsidR="00B124FF" w:rsidRPr="00AF75CE" w:rsidRDefault="00B124FF" w:rsidP="005F32B8">
            <w:pPr>
              <w:jc w:val="both"/>
              <w:rPr>
                <w:sz w:val="20"/>
                <w:lang w:val="fr-CA"/>
              </w:rPr>
            </w:pPr>
          </w:p>
        </w:tc>
      </w:tr>
      <w:tr w:rsidR="00B124FF" w:rsidRPr="00CC0B55" w:rsidTr="005F32B8">
        <w:tc>
          <w:tcPr>
            <w:tcW w:w="2427" w:type="pct"/>
            <w:gridSpan w:val="2"/>
          </w:tcPr>
          <w:p w:rsidR="00B124FF" w:rsidRPr="00AF75CE" w:rsidRDefault="00B124FF" w:rsidP="005F32B8">
            <w:pPr>
              <w:jc w:val="both"/>
              <w:rPr>
                <w:sz w:val="20"/>
                <w:lang w:val="fr-CA"/>
              </w:rPr>
            </w:pPr>
            <w:r w:rsidRPr="00AF75CE">
              <w:rPr>
                <w:sz w:val="20"/>
                <w:lang w:val="fr-CA"/>
              </w:rPr>
              <w:t>2 août 2018</w:t>
            </w:r>
          </w:p>
          <w:p w:rsidR="00B124FF" w:rsidRPr="00AF75CE" w:rsidRDefault="00B124FF" w:rsidP="005F32B8">
            <w:pPr>
              <w:jc w:val="both"/>
              <w:rPr>
                <w:sz w:val="20"/>
                <w:lang w:val="fr-CA"/>
              </w:rPr>
            </w:pPr>
            <w:r w:rsidRPr="00AF75CE">
              <w:rPr>
                <w:sz w:val="20"/>
                <w:lang w:val="fr-CA"/>
              </w:rPr>
              <w:t>Cour suprême du Canada</w:t>
            </w:r>
          </w:p>
        </w:tc>
        <w:tc>
          <w:tcPr>
            <w:tcW w:w="243" w:type="pct"/>
          </w:tcPr>
          <w:p w:rsidR="00B124FF" w:rsidRPr="00AF75CE" w:rsidRDefault="00B124FF" w:rsidP="005F32B8">
            <w:pPr>
              <w:jc w:val="both"/>
              <w:rPr>
                <w:sz w:val="20"/>
                <w:lang w:val="fr-CA"/>
              </w:rPr>
            </w:pPr>
          </w:p>
        </w:tc>
        <w:tc>
          <w:tcPr>
            <w:tcW w:w="2330" w:type="pct"/>
          </w:tcPr>
          <w:p w:rsidR="00B124FF" w:rsidRPr="00AF75CE" w:rsidRDefault="00B124FF" w:rsidP="005F32B8">
            <w:pPr>
              <w:jc w:val="both"/>
              <w:rPr>
                <w:sz w:val="20"/>
                <w:lang w:val="fr-CA"/>
              </w:rPr>
            </w:pPr>
            <w:r w:rsidRPr="00AF75CE">
              <w:rPr>
                <w:sz w:val="20"/>
                <w:lang w:val="fr-CA"/>
              </w:rPr>
              <w:t>Dépôt de la demande d’autorisation d’appel</w:t>
            </w:r>
          </w:p>
          <w:p w:rsidR="00B124FF" w:rsidRPr="00AF75CE" w:rsidRDefault="00B124FF" w:rsidP="005F32B8">
            <w:pPr>
              <w:jc w:val="both"/>
              <w:rPr>
                <w:sz w:val="20"/>
                <w:lang w:val="fr-CA"/>
              </w:rPr>
            </w:pPr>
          </w:p>
        </w:tc>
      </w:tr>
    </w:tbl>
    <w:p w:rsidR="00B124FF" w:rsidRDefault="00B124FF" w:rsidP="00B124FF">
      <w:pPr>
        <w:jc w:val="both"/>
        <w:rPr>
          <w:sz w:val="20"/>
          <w:lang w:val="fr-CA"/>
        </w:rPr>
      </w:pPr>
    </w:p>
    <w:p w:rsidR="00B124FF" w:rsidRPr="00AF75CE" w:rsidRDefault="00A24D5C" w:rsidP="00B124FF">
      <w:pPr>
        <w:jc w:val="both"/>
        <w:rPr>
          <w:sz w:val="20"/>
          <w:lang w:val="fr-CA"/>
        </w:rPr>
      </w:pPr>
      <w:r>
        <w:rPr>
          <w:sz w:val="20"/>
          <w:szCs w:val="20"/>
        </w:rPr>
        <w:pict>
          <v:rect id="_x0000_i1059" style="width:2in;height:1pt" o:hrpct="0" o:hralign="center" o:hrstd="t" o:hrnoshade="t" o:hr="t" fillcolor="black [3213]" stroked="f"/>
        </w:pict>
      </w:r>
    </w:p>
    <w:p w:rsidR="00B124FF" w:rsidRPr="00AF75CE" w:rsidRDefault="00B124FF" w:rsidP="00B124FF">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124FF" w:rsidRPr="00AF75CE" w:rsidTr="005F32B8">
        <w:tc>
          <w:tcPr>
            <w:tcW w:w="543" w:type="pct"/>
          </w:tcPr>
          <w:p w:rsidR="00B124FF" w:rsidRPr="00AF75CE" w:rsidRDefault="00B124FF" w:rsidP="005F32B8">
            <w:pPr>
              <w:jc w:val="both"/>
              <w:rPr>
                <w:sz w:val="20"/>
              </w:rPr>
            </w:pPr>
            <w:r w:rsidRPr="00AF75CE">
              <w:rPr>
                <w:rStyle w:val="SCCFileNumberChar"/>
                <w:sz w:val="20"/>
                <w:szCs w:val="20"/>
              </w:rPr>
              <w:t>38133</w:t>
            </w:r>
          </w:p>
        </w:tc>
        <w:tc>
          <w:tcPr>
            <w:tcW w:w="4457" w:type="pct"/>
            <w:gridSpan w:val="3"/>
          </w:tcPr>
          <w:p w:rsidR="00B124FF" w:rsidRPr="000B5C89" w:rsidRDefault="00B124FF" w:rsidP="005F32B8">
            <w:pPr>
              <w:pStyle w:val="SCCLsocParty"/>
              <w:jc w:val="both"/>
              <w:rPr>
                <w:b/>
                <w:sz w:val="20"/>
                <w:szCs w:val="20"/>
                <w:lang w:val="en-US"/>
              </w:rPr>
            </w:pPr>
            <w:r w:rsidRPr="000B5C89">
              <w:rPr>
                <w:b/>
                <w:sz w:val="20"/>
                <w:szCs w:val="20"/>
                <w:lang w:val="en-US"/>
              </w:rPr>
              <w:t>Joint Venture formed of Bouygues Building Canada Inc. and Kenaidan Contracting Ltd. v. Iannitello &amp; Associés Inc.</w:t>
            </w:r>
            <w:r>
              <w:rPr>
                <w:b/>
                <w:sz w:val="20"/>
                <w:szCs w:val="20"/>
                <w:lang w:val="en-US"/>
              </w:rPr>
              <w:t xml:space="preserve"> and</w:t>
            </w:r>
            <w:r w:rsidRPr="000B5C89">
              <w:rPr>
                <w:b/>
                <w:sz w:val="20"/>
                <w:szCs w:val="20"/>
                <w:lang w:val="en-US"/>
              </w:rPr>
              <w:t xml:space="preserve"> Les Sols Sportica </w:t>
            </w:r>
            <w:r>
              <w:rPr>
                <w:b/>
                <w:sz w:val="20"/>
                <w:szCs w:val="20"/>
                <w:lang w:val="en-US"/>
              </w:rPr>
              <w:t>i</w:t>
            </w:r>
            <w:r w:rsidRPr="000B5C89">
              <w:rPr>
                <w:b/>
                <w:sz w:val="20"/>
                <w:szCs w:val="20"/>
                <w:lang w:val="en-US"/>
              </w:rPr>
              <w:t>nc.</w:t>
            </w:r>
          </w:p>
          <w:p w:rsidR="00B124FF" w:rsidRPr="00AF75CE" w:rsidRDefault="00B124FF" w:rsidP="005F32B8">
            <w:pPr>
              <w:jc w:val="both"/>
              <w:rPr>
                <w:sz w:val="20"/>
              </w:rPr>
            </w:pPr>
            <w:r w:rsidRPr="00AF75CE">
              <w:rPr>
                <w:sz w:val="20"/>
              </w:rPr>
              <w:t>(Que.) (Civil) (By Leave)</w:t>
            </w:r>
          </w:p>
        </w:tc>
      </w:tr>
      <w:tr w:rsidR="00B124FF" w:rsidRPr="00AF75CE" w:rsidTr="005F32B8">
        <w:tc>
          <w:tcPr>
            <w:tcW w:w="5000" w:type="pct"/>
            <w:gridSpan w:val="4"/>
          </w:tcPr>
          <w:p w:rsidR="00B124FF" w:rsidRDefault="00B124FF" w:rsidP="005F32B8">
            <w:pPr>
              <w:jc w:val="both"/>
              <w:rPr>
                <w:sz w:val="20"/>
              </w:rPr>
            </w:pPr>
            <w:r w:rsidRPr="00C11FF6">
              <w:rPr>
                <w:sz w:val="20"/>
              </w:rPr>
              <w:t>The application for leave to appeal from the judgment of the Court of Appeal of Quebec (Montréal), Number  500-09-026213-165, 2018 QCCA 504,  dated March 29, 2018, is dismissed with costs to the Respondent, Iannitello &amp; Associés inc.</w:t>
            </w:r>
          </w:p>
          <w:p w:rsidR="00B124FF" w:rsidRPr="00AF75CE" w:rsidRDefault="00B124FF" w:rsidP="005F32B8">
            <w:pPr>
              <w:jc w:val="both"/>
              <w:rPr>
                <w:sz w:val="20"/>
              </w:rPr>
            </w:pPr>
          </w:p>
        </w:tc>
      </w:tr>
      <w:tr w:rsidR="00B124FF" w:rsidRPr="00AF75CE" w:rsidTr="005F32B8">
        <w:tc>
          <w:tcPr>
            <w:tcW w:w="5000" w:type="pct"/>
            <w:gridSpan w:val="4"/>
          </w:tcPr>
          <w:p w:rsidR="00B124FF" w:rsidRPr="00AF75CE" w:rsidRDefault="00B124FF" w:rsidP="005F32B8">
            <w:pPr>
              <w:jc w:val="both"/>
              <w:rPr>
                <w:sz w:val="20"/>
              </w:rPr>
            </w:pPr>
            <w:r w:rsidRPr="00AF75CE">
              <w:rPr>
                <w:sz w:val="20"/>
              </w:rPr>
              <w:t xml:space="preserve">Bankruptcy and insolvency – Procedure – </w:t>
            </w:r>
            <w:r w:rsidRPr="00AF75CE">
              <w:rPr>
                <w:sz w:val="20"/>
                <w:lang w:val="en"/>
              </w:rPr>
              <w:t xml:space="preserve">Admission and Disallowance of Proofs of Claim and Proofs of Security – Natural justice – Whether </w:t>
            </w:r>
            <w:r w:rsidRPr="00AF75CE">
              <w:rPr>
                <w:sz w:val="20"/>
              </w:rPr>
              <w:t xml:space="preserve">discussing the relevant facts with just one party and obtaining the opinion of counsel satisfy the requirements of procedural fairness – Whether the “command center” in this case lies with a bankruptcy court in Quebec or a court located in the jurisdiction stipulated by the contract, namely Ontario – What does it mean for the claims adjudication process under the </w:t>
            </w:r>
            <w:r w:rsidRPr="00AF75CE">
              <w:rPr>
                <w:i/>
                <w:sz w:val="20"/>
              </w:rPr>
              <w:t>Bankruptcy and Insolvency Act</w:t>
            </w:r>
            <w:r w:rsidRPr="00AF75CE">
              <w:rPr>
                <w:sz w:val="20"/>
              </w:rPr>
              <w:t>, R.S.C. 1985, c. B-3, to be conducted and applied in a “commercially reasonable manner” and who decides what is “commercially reasonable”?</w:t>
            </w:r>
          </w:p>
        </w:tc>
      </w:tr>
      <w:tr w:rsidR="00B124FF" w:rsidRPr="00AF75CE" w:rsidTr="005F32B8">
        <w:tc>
          <w:tcPr>
            <w:tcW w:w="5000" w:type="pct"/>
            <w:gridSpan w:val="4"/>
          </w:tcPr>
          <w:p w:rsidR="00B124FF" w:rsidRPr="00AF75CE" w:rsidRDefault="00B124FF" w:rsidP="005F32B8">
            <w:pPr>
              <w:jc w:val="both"/>
              <w:rPr>
                <w:sz w:val="20"/>
              </w:rPr>
            </w:pPr>
          </w:p>
          <w:p w:rsidR="00B124FF" w:rsidRPr="00AF75CE" w:rsidRDefault="00B124FF" w:rsidP="005F32B8">
            <w:pPr>
              <w:jc w:val="both"/>
              <w:rPr>
                <w:sz w:val="20"/>
              </w:rPr>
            </w:pPr>
            <w:r w:rsidRPr="00AF75CE">
              <w:rPr>
                <w:sz w:val="20"/>
              </w:rPr>
              <w:t xml:space="preserve">The applicant challenged in the Quebec courts the respondent trustee’s disallowance of its 3.7 million dollar claim, following the acceptance of a proposal to creditors made by the respondent debtor under the </w:t>
            </w:r>
            <w:r w:rsidRPr="00AF75CE">
              <w:rPr>
                <w:i/>
                <w:sz w:val="20"/>
              </w:rPr>
              <w:t xml:space="preserve">Bankruptcy and Insolvency </w:t>
            </w:r>
            <w:r w:rsidRPr="00AF75CE">
              <w:rPr>
                <w:i/>
                <w:sz w:val="20"/>
              </w:rPr>
              <w:lastRenderedPageBreak/>
              <w:t>Act</w:t>
            </w:r>
            <w:r w:rsidRPr="00AF75CE">
              <w:rPr>
                <w:sz w:val="20"/>
              </w:rPr>
              <w:t xml:space="preserve">, R.S.C. 1985, c. B-3. The claim arose from an agreement between the applicant and the debtor for the installation of track surfacing for three competition sites for the 2015 Pan Am Games. The Superior Court dismissed the motion, finding among other things that the legal review relied on by the trustee was thorough and substantiated, that the debtor had had sufficient grounds to terminate the agreement with the applicant, and that the trustee had considered the evidence and its supporting documentation with adequate seriousness. In coming to this conclusion the Superior Court relied on the evidence before the trustee. In its view, adjudicating </w:t>
            </w:r>
            <w:r w:rsidRPr="00AF75CE">
              <w:rPr>
                <w:i/>
                <w:sz w:val="20"/>
              </w:rPr>
              <w:t>de novo</w:t>
            </w:r>
            <w:r w:rsidRPr="00AF75CE">
              <w:rPr>
                <w:sz w:val="20"/>
              </w:rPr>
              <w:t xml:space="preserve"> the claim would run contrary to the necessary efficiency of the claims adjudication process set up in the </w:t>
            </w:r>
            <w:r w:rsidRPr="00AF75CE">
              <w:rPr>
                <w:i/>
                <w:sz w:val="20"/>
              </w:rPr>
              <w:t>Act</w:t>
            </w:r>
            <w:r w:rsidRPr="00AF75CE">
              <w:rPr>
                <w:sz w:val="20"/>
              </w:rPr>
              <w:t xml:space="preserve"> and would defeat the underlying principles of the legislation. The Court of Appeal dismissed the appeal. </w:t>
            </w:r>
          </w:p>
        </w:tc>
      </w:tr>
      <w:tr w:rsidR="00B124FF" w:rsidRPr="00AF75CE" w:rsidTr="005F32B8">
        <w:tc>
          <w:tcPr>
            <w:tcW w:w="5000" w:type="pct"/>
            <w:gridSpan w:val="4"/>
          </w:tcPr>
          <w:p w:rsidR="00B124FF" w:rsidRPr="00AF75CE" w:rsidRDefault="00B124FF" w:rsidP="005F32B8">
            <w:pPr>
              <w:jc w:val="both"/>
              <w:rPr>
                <w:sz w:val="20"/>
              </w:rPr>
            </w:pPr>
          </w:p>
        </w:tc>
      </w:tr>
      <w:tr w:rsidR="00B124FF" w:rsidRPr="00AF75CE" w:rsidTr="005F32B8">
        <w:tc>
          <w:tcPr>
            <w:tcW w:w="2427" w:type="pct"/>
            <w:gridSpan w:val="2"/>
          </w:tcPr>
          <w:p w:rsidR="00B124FF" w:rsidRPr="00AF75CE" w:rsidRDefault="00B124FF" w:rsidP="005F32B8">
            <w:pPr>
              <w:jc w:val="both"/>
              <w:rPr>
                <w:sz w:val="20"/>
              </w:rPr>
            </w:pPr>
            <w:r w:rsidRPr="00AF75CE">
              <w:rPr>
                <w:sz w:val="20"/>
              </w:rPr>
              <w:t>May 3, 2016</w:t>
            </w:r>
          </w:p>
          <w:p w:rsidR="00B124FF" w:rsidRPr="00AF75CE" w:rsidRDefault="00B124FF" w:rsidP="005F32B8">
            <w:pPr>
              <w:jc w:val="both"/>
              <w:rPr>
                <w:sz w:val="20"/>
              </w:rPr>
            </w:pPr>
            <w:r w:rsidRPr="00AF75CE">
              <w:rPr>
                <w:sz w:val="20"/>
              </w:rPr>
              <w:t>Superior Court of Quebec</w:t>
            </w:r>
          </w:p>
          <w:p w:rsidR="00B124FF" w:rsidRPr="00AF75CE" w:rsidRDefault="00B124FF" w:rsidP="005F32B8">
            <w:pPr>
              <w:jc w:val="both"/>
              <w:rPr>
                <w:sz w:val="20"/>
              </w:rPr>
            </w:pPr>
            <w:r w:rsidRPr="00AF75CE">
              <w:rPr>
                <w:sz w:val="20"/>
              </w:rPr>
              <w:t>(Paquette J.)</w:t>
            </w:r>
          </w:p>
          <w:p w:rsidR="00B124FF" w:rsidRPr="00AF75CE" w:rsidRDefault="00A24D5C" w:rsidP="005F32B8">
            <w:pPr>
              <w:jc w:val="both"/>
              <w:rPr>
                <w:sz w:val="20"/>
              </w:rPr>
            </w:pPr>
            <w:hyperlink r:id="rId115" w:history="1">
              <w:r w:rsidR="00B124FF" w:rsidRPr="00AF75CE">
                <w:rPr>
                  <w:rStyle w:val="Hyperlink"/>
                  <w:sz w:val="20"/>
                </w:rPr>
                <w:t>2016 QCCS 2109</w:t>
              </w:r>
            </w:hyperlink>
          </w:p>
          <w:p w:rsidR="00B124FF" w:rsidRPr="00AF75CE" w:rsidRDefault="00B124FF" w:rsidP="005F32B8">
            <w:pPr>
              <w:jc w:val="both"/>
              <w:rPr>
                <w:sz w:val="20"/>
              </w:rPr>
            </w:pPr>
          </w:p>
        </w:tc>
        <w:tc>
          <w:tcPr>
            <w:tcW w:w="243" w:type="pct"/>
          </w:tcPr>
          <w:p w:rsidR="00B124FF" w:rsidRPr="00AF75CE" w:rsidRDefault="00B124FF" w:rsidP="005F32B8">
            <w:pPr>
              <w:jc w:val="both"/>
              <w:rPr>
                <w:sz w:val="20"/>
              </w:rPr>
            </w:pPr>
          </w:p>
        </w:tc>
        <w:tc>
          <w:tcPr>
            <w:tcW w:w="2330" w:type="pct"/>
          </w:tcPr>
          <w:p w:rsidR="00B124FF" w:rsidRPr="00AF75CE" w:rsidRDefault="00B124FF" w:rsidP="005F32B8">
            <w:pPr>
              <w:jc w:val="both"/>
              <w:rPr>
                <w:sz w:val="20"/>
              </w:rPr>
            </w:pPr>
            <w:r w:rsidRPr="00AF75CE">
              <w:rPr>
                <w:sz w:val="20"/>
              </w:rPr>
              <w:t>Motion to contest trustee’s disallowance of applicant’s claim dismissed</w:t>
            </w:r>
          </w:p>
          <w:p w:rsidR="00B124FF" w:rsidRPr="00AF75CE" w:rsidRDefault="00B124FF" w:rsidP="005F32B8">
            <w:pPr>
              <w:jc w:val="both"/>
              <w:rPr>
                <w:sz w:val="20"/>
              </w:rPr>
            </w:pPr>
          </w:p>
        </w:tc>
      </w:tr>
      <w:tr w:rsidR="00B124FF" w:rsidRPr="00AF75CE" w:rsidTr="005F32B8">
        <w:tc>
          <w:tcPr>
            <w:tcW w:w="2427" w:type="pct"/>
            <w:gridSpan w:val="2"/>
          </w:tcPr>
          <w:p w:rsidR="00B124FF" w:rsidRPr="00AF75CE" w:rsidRDefault="00B124FF" w:rsidP="005F32B8">
            <w:pPr>
              <w:jc w:val="both"/>
              <w:rPr>
                <w:sz w:val="20"/>
              </w:rPr>
            </w:pPr>
            <w:r w:rsidRPr="00AF75CE">
              <w:rPr>
                <w:sz w:val="20"/>
              </w:rPr>
              <w:t>March 29, 2018</w:t>
            </w:r>
          </w:p>
          <w:p w:rsidR="00B124FF" w:rsidRPr="00AF75CE" w:rsidRDefault="00B124FF" w:rsidP="005F32B8">
            <w:pPr>
              <w:jc w:val="both"/>
              <w:rPr>
                <w:sz w:val="20"/>
              </w:rPr>
            </w:pPr>
            <w:r w:rsidRPr="00AF75CE">
              <w:rPr>
                <w:sz w:val="20"/>
              </w:rPr>
              <w:t>Court of Appeal of Quebec</w:t>
            </w:r>
          </w:p>
          <w:p w:rsidR="00B124FF" w:rsidRPr="00AF75CE" w:rsidRDefault="00B124FF" w:rsidP="005F32B8">
            <w:pPr>
              <w:jc w:val="both"/>
              <w:rPr>
                <w:sz w:val="20"/>
              </w:rPr>
            </w:pPr>
            <w:r w:rsidRPr="00AF75CE">
              <w:rPr>
                <w:sz w:val="20"/>
              </w:rPr>
              <w:t>(Marcotte, Hogue and Rancourt JJ.A.)</w:t>
            </w:r>
          </w:p>
          <w:p w:rsidR="00B124FF" w:rsidRPr="00AF75CE" w:rsidRDefault="00A24D5C" w:rsidP="005F32B8">
            <w:pPr>
              <w:jc w:val="both"/>
              <w:rPr>
                <w:sz w:val="20"/>
              </w:rPr>
            </w:pPr>
            <w:hyperlink r:id="rId116" w:history="1">
              <w:r w:rsidR="00B124FF" w:rsidRPr="00AF75CE">
                <w:rPr>
                  <w:rStyle w:val="Hyperlink"/>
                  <w:sz w:val="20"/>
                </w:rPr>
                <w:t>2018 QCCA 504</w:t>
              </w:r>
            </w:hyperlink>
          </w:p>
          <w:p w:rsidR="00B124FF" w:rsidRPr="00AF75CE" w:rsidRDefault="00B124FF" w:rsidP="005F32B8">
            <w:pPr>
              <w:jc w:val="both"/>
              <w:rPr>
                <w:sz w:val="20"/>
              </w:rPr>
            </w:pPr>
          </w:p>
        </w:tc>
        <w:tc>
          <w:tcPr>
            <w:tcW w:w="243" w:type="pct"/>
          </w:tcPr>
          <w:p w:rsidR="00B124FF" w:rsidRPr="00AF75CE" w:rsidRDefault="00B124FF" w:rsidP="005F32B8">
            <w:pPr>
              <w:jc w:val="both"/>
              <w:rPr>
                <w:sz w:val="20"/>
              </w:rPr>
            </w:pPr>
          </w:p>
        </w:tc>
        <w:tc>
          <w:tcPr>
            <w:tcW w:w="2330" w:type="pct"/>
          </w:tcPr>
          <w:p w:rsidR="00B124FF" w:rsidRPr="00AF75CE" w:rsidRDefault="00B124FF" w:rsidP="005F32B8">
            <w:pPr>
              <w:jc w:val="both"/>
              <w:rPr>
                <w:sz w:val="20"/>
              </w:rPr>
            </w:pPr>
            <w:r w:rsidRPr="00AF75CE">
              <w:rPr>
                <w:sz w:val="20"/>
              </w:rPr>
              <w:t>Appeal dismissed</w:t>
            </w:r>
          </w:p>
        </w:tc>
      </w:tr>
      <w:tr w:rsidR="00B124FF" w:rsidRPr="00AF75CE" w:rsidTr="005F32B8">
        <w:tc>
          <w:tcPr>
            <w:tcW w:w="2427" w:type="pct"/>
            <w:gridSpan w:val="2"/>
          </w:tcPr>
          <w:p w:rsidR="00B124FF" w:rsidRPr="00AF75CE" w:rsidRDefault="00B124FF" w:rsidP="005F32B8">
            <w:pPr>
              <w:jc w:val="both"/>
              <w:rPr>
                <w:sz w:val="20"/>
              </w:rPr>
            </w:pPr>
            <w:r w:rsidRPr="00AF75CE">
              <w:rPr>
                <w:sz w:val="20"/>
              </w:rPr>
              <w:t>May 28, 2018</w:t>
            </w:r>
          </w:p>
          <w:p w:rsidR="00B124FF" w:rsidRPr="00AF75CE" w:rsidRDefault="00B124FF" w:rsidP="005F32B8">
            <w:pPr>
              <w:jc w:val="both"/>
              <w:rPr>
                <w:sz w:val="20"/>
              </w:rPr>
            </w:pPr>
            <w:r w:rsidRPr="00AF75CE">
              <w:rPr>
                <w:sz w:val="20"/>
              </w:rPr>
              <w:t>Supreme Court of Canada</w:t>
            </w:r>
          </w:p>
        </w:tc>
        <w:tc>
          <w:tcPr>
            <w:tcW w:w="243" w:type="pct"/>
          </w:tcPr>
          <w:p w:rsidR="00B124FF" w:rsidRPr="00AF75CE" w:rsidRDefault="00B124FF" w:rsidP="005F32B8">
            <w:pPr>
              <w:jc w:val="both"/>
              <w:rPr>
                <w:sz w:val="20"/>
              </w:rPr>
            </w:pPr>
          </w:p>
        </w:tc>
        <w:tc>
          <w:tcPr>
            <w:tcW w:w="2330" w:type="pct"/>
          </w:tcPr>
          <w:p w:rsidR="00B124FF" w:rsidRPr="00AF75CE" w:rsidRDefault="00B124FF" w:rsidP="005F32B8">
            <w:pPr>
              <w:jc w:val="both"/>
              <w:rPr>
                <w:sz w:val="20"/>
              </w:rPr>
            </w:pPr>
            <w:r w:rsidRPr="00AF75CE">
              <w:rPr>
                <w:sz w:val="20"/>
              </w:rPr>
              <w:t>Application for leave to appeal filed</w:t>
            </w:r>
          </w:p>
          <w:p w:rsidR="00B124FF" w:rsidRPr="00AF75CE" w:rsidRDefault="00B124FF" w:rsidP="005F32B8">
            <w:pPr>
              <w:jc w:val="both"/>
              <w:rPr>
                <w:sz w:val="20"/>
              </w:rPr>
            </w:pPr>
          </w:p>
        </w:tc>
      </w:tr>
    </w:tbl>
    <w:p w:rsidR="00B124FF" w:rsidRDefault="00B124FF" w:rsidP="00B124FF">
      <w:pPr>
        <w:jc w:val="both"/>
        <w:rPr>
          <w:sz w:val="20"/>
        </w:rPr>
      </w:pPr>
    </w:p>
    <w:p w:rsidR="00B124FF" w:rsidRPr="00AF75CE" w:rsidRDefault="00B124FF" w:rsidP="00B124F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124FF" w:rsidRPr="007A1E5F" w:rsidTr="005F32B8">
        <w:tc>
          <w:tcPr>
            <w:tcW w:w="543" w:type="pct"/>
          </w:tcPr>
          <w:p w:rsidR="00B124FF" w:rsidRPr="00AF75CE" w:rsidRDefault="00B124FF" w:rsidP="005F32B8">
            <w:pPr>
              <w:jc w:val="both"/>
              <w:rPr>
                <w:sz w:val="20"/>
                <w:lang w:val="fr-CA"/>
              </w:rPr>
            </w:pPr>
            <w:r w:rsidRPr="00AF75CE">
              <w:rPr>
                <w:rStyle w:val="SCCFileNumberChar"/>
                <w:sz w:val="20"/>
                <w:szCs w:val="20"/>
                <w:lang w:val="fr-CA"/>
              </w:rPr>
              <w:t>38133</w:t>
            </w:r>
          </w:p>
        </w:tc>
        <w:tc>
          <w:tcPr>
            <w:tcW w:w="4457" w:type="pct"/>
            <w:gridSpan w:val="3"/>
          </w:tcPr>
          <w:p w:rsidR="00B124FF" w:rsidRPr="007A1E5F" w:rsidRDefault="00B124FF" w:rsidP="005F32B8">
            <w:pPr>
              <w:pStyle w:val="SCCLsocParty"/>
              <w:jc w:val="both"/>
              <w:rPr>
                <w:b/>
                <w:sz w:val="20"/>
                <w:szCs w:val="20"/>
                <w:lang w:val="en-US"/>
              </w:rPr>
            </w:pPr>
            <w:r w:rsidRPr="007A1E5F">
              <w:rPr>
                <w:b/>
                <w:sz w:val="20"/>
                <w:szCs w:val="20"/>
                <w:lang w:val="en-US"/>
              </w:rPr>
              <w:t xml:space="preserve">Joint Venture formed of Bouygues Building Canada Inc. and Kenaidan Contracting Ltd. c. Iannitello &amp; Associés Inc. et Les Sols Sportica </w:t>
            </w:r>
            <w:r>
              <w:rPr>
                <w:b/>
                <w:sz w:val="20"/>
                <w:szCs w:val="20"/>
                <w:lang w:val="en-US"/>
              </w:rPr>
              <w:t>i</w:t>
            </w:r>
            <w:r w:rsidRPr="007A1E5F">
              <w:rPr>
                <w:b/>
                <w:sz w:val="20"/>
                <w:szCs w:val="20"/>
                <w:lang w:val="en-US"/>
              </w:rPr>
              <w:t>nc.</w:t>
            </w:r>
          </w:p>
          <w:p w:rsidR="00B124FF" w:rsidRPr="00AF75CE" w:rsidRDefault="00B124FF" w:rsidP="005F32B8">
            <w:pPr>
              <w:jc w:val="both"/>
              <w:rPr>
                <w:sz w:val="20"/>
                <w:lang w:val="fr-CA"/>
              </w:rPr>
            </w:pPr>
            <w:r w:rsidRPr="00AF75CE">
              <w:rPr>
                <w:sz w:val="20"/>
                <w:lang w:val="fr-CA"/>
              </w:rPr>
              <w:t>(Q</w:t>
            </w:r>
            <w:r>
              <w:rPr>
                <w:sz w:val="20"/>
                <w:lang w:val="fr-CA"/>
              </w:rPr>
              <w:t>c</w:t>
            </w:r>
            <w:r w:rsidRPr="00AF75CE">
              <w:rPr>
                <w:sz w:val="20"/>
                <w:lang w:val="fr-CA"/>
              </w:rPr>
              <w:t>) (Civile) (Autorisation)</w:t>
            </w:r>
          </w:p>
        </w:tc>
      </w:tr>
      <w:tr w:rsidR="00B124FF" w:rsidRPr="00523D1E" w:rsidTr="005F32B8">
        <w:tc>
          <w:tcPr>
            <w:tcW w:w="5000" w:type="pct"/>
            <w:gridSpan w:val="4"/>
          </w:tcPr>
          <w:p w:rsidR="00B124FF" w:rsidRDefault="00B124FF" w:rsidP="005F32B8">
            <w:pPr>
              <w:jc w:val="both"/>
              <w:rPr>
                <w:sz w:val="20"/>
                <w:lang w:val="fr-CA"/>
              </w:rPr>
            </w:pPr>
            <w:r w:rsidRPr="00C11FF6">
              <w:rPr>
                <w:sz w:val="20"/>
                <w:lang w:val="fr-CA"/>
              </w:rPr>
              <w:t>La demande d’autorisation d’appel de l’arrêt de la Cour d’appel du Québec (Montréal), numéro 500-09-026213-165, 2018 QCCA 504,  daté du 29 mars 2018, est rejetée avec dépens en faveur de l’intimée, Iannitello &amp; Associés inc.</w:t>
            </w:r>
          </w:p>
          <w:p w:rsidR="00B124FF" w:rsidRPr="00AF75CE" w:rsidRDefault="00B124FF" w:rsidP="005F32B8">
            <w:pPr>
              <w:jc w:val="both"/>
              <w:rPr>
                <w:sz w:val="20"/>
                <w:lang w:val="fr-CA"/>
              </w:rPr>
            </w:pPr>
          </w:p>
        </w:tc>
      </w:tr>
      <w:tr w:rsidR="00B124FF" w:rsidRPr="00523D1E" w:rsidTr="005F32B8">
        <w:tc>
          <w:tcPr>
            <w:tcW w:w="5000" w:type="pct"/>
            <w:gridSpan w:val="4"/>
          </w:tcPr>
          <w:p w:rsidR="00B124FF" w:rsidRPr="00AF75CE" w:rsidRDefault="00B124FF" w:rsidP="005F32B8">
            <w:pPr>
              <w:jc w:val="both"/>
              <w:rPr>
                <w:sz w:val="20"/>
                <w:lang w:val="fr-CA"/>
              </w:rPr>
            </w:pPr>
            <w:r w:rsidRPr="00AF75CE">
              <w:rPr>
                <w:sz w:val="20"/>
                <w:lang w:val="fr-CA"/>
              </w:rPr>
              <w:t xml:space="preserve">Faillite et insolvabilité – Procédure – Admission et rejet de preuves de réclamation et de garantie – Justice naturelle – Le fait de discuter des faits pertinents avec une partie seulement et le fait d’obtenir l’avis d’un juriste répondent-ils aux exigences de la procédure équitable? – Le « centre de commandement » en l’espèce relève-t-il d’un tribunal de faillite au Québec ou d’un tribunal situé dans le ressort stipulé par contrat, à savoir l’Ontario? – Qu’entend-on lorsqu’on affirme que le processus juridictionnel applicable aux demandes sous le régime de la </w:t>
            </w:r>
            <w:r w:rsidRPr="00AF75CE">
              <w:rPr>
                <w:i/>
                <w:sz w:val="20"/>
                <w:lang w:val="fr-CA"/>
              </w:rPr>
              <w:t>Loi sur la faillite et l’insolvabilité</w:t>
            </w:r>
            <w:r w:rsidRPr="00AF75CE">
              <w:rPr>
                <w:sz w:val="20"/>
                <w:lang w:val="fr-CA"/>
              </w:rPr>
              <w:t>, L.R.C. 1985, ch. B-3, doit être mené et appliqué « selon des pratiques commerciales raisonnables » et qui décide ce que constitue « une pratique commerciale raisonnable »?</w:t>
            </w:r>
          </w:p>
        </w:tc>
      </w:tr>
      <w:tr w:rsidR="00B124FF" w:rsidRPr="00AF75CE" w:rsidTr="005F32B8">
        <w:tc>
          <w:tcPr>
            <w:tcW w:w="5000" w:type="pct"/>
            <w:gridSpan w:val="4"/>
          </w:tcPr>
          <w:p w:rsidR="00B124FF" w:rsidRPr="00AF75CE" w:rsidRDefault="00B124FF" w:rsidP="005F32B8">
            <w:pPr>
              <w:jc w:val="both"/>
              <w:rPr>
                <w:sz w:val="20"/>
                <w:lang w:val="fr-CA"/>
              </w:rPr>
            </w:pPr>
          </w:p>
          <w:p w:rsidR="00B124FF" w:rsidRPr="00AF75CE" w:rsidRDefault="00B124FF" w:rsidP="005F32B8">
            <w:pPr>
              <w:jc w:val="both"/>
              <w:rPr>
                <w:sz w:val="20"/>
                <w:lang w:val="fr-CA"/>
              </w:rPr>
            </w:pPr>
            <w:r w:rsidRPr="00AF75CE">
              <w:rPr>
                <w:sz w:val="20"/>
                <w:lang w:val="fr-CA"/>
              </w:rPr>
              <w:t xml:space="preserve">La demanderesse a contesté devant les tribunaux du Québec le rejet, par le syndic intimé, de sa réclamation de 3,7 millions de dollars à la suite de l’acceptation d’une proposition aux créanciers faite par la débitrice intimée sous le régime de la </w:t>
            </w:r>
            <w:r w:rsidRPr="00AF75CE">
              <w:rPr>
                <w:i/>
                <w:sz w:val="20"/>
                <w:lang w:val="fr-CA"/>
              </w:rPr>
              <w:t>Loi sur la faillite et l’insolvabilité</w:t>
            </w:r>
            <w:r w:rsidRPr="00AF75CE">
              <w:rPr>
                <w:sz w:val="20"/>
                <w:lang w:val="fr-CA"/>
              </w:rPr>
              <w:t xml:space="preserve">, L.R.C. 1985, ch. B-3. La réclamation a pour origine un contrat entre la demanderesse et la débitrice pour l’installation d’un revêtement de piste pour trois sites de compétition aux Jeux panaméricains de 2015. La Cour supérieure a rejeté la requête, concluant notamment que l’examen du droit sur lequel le syndic s’était appuyé était exhaustif et fondé, que la débitrice avait des motifs suffisants pour résilier le contrat conclu avec la demanderesse et que le syndic avait examiné la preuve et ses documents justificatifs avec le sérieux qui s’imposait. En tirant cette conclusion, la Cour supérieure s’est appuyée sur la preuve devant le syndic. À son avis, trancher la demande de nouveau irait à l’encontre de l’efficience nécessaire du processus juridictionnel applicable aux demandes établi dans la </w:t>
            </w:r>
            <w:r w:rsidRPr="00AF75CE">
              <w:rPr>
                <w:i/>
                <w:sz w:val="20"/>
                <w:lang w:val="fr-CA"/>
              </w:rPr>
              <w:t>Loi</w:t>
            </w:r>
            <w:r w:rsidRPr="00AF75CE">
              <w:rPr>
                <w:sz w:val="20"/>
                <w:lang w:val="fr-CA"/>
              </w:rPr>
              <w:t xml:space="preserve"> et irait à l’encontre des principes sous-jacents de la loi. La Cour d’appel a rejeté l’appel. </w:t>
            </w:r>
          </w:p>
        </w:tc>
      </w:tr>
      <w:tr w:rsidR="00B124FF" w:rsidRPr="00AF75CE" w:rsidTr="005F32B8">
        <w:tc>
          <w:tcPr>
            <w:tcW w:w="5000" w:type="pct"/>
            <w:gridSpan w:val="4"/>
          </w:tcPr>
          <w:p w:rsidR="00B124FF" w:rsidRPr="00AF75CE" w:rsidRDefault="00B124FF" w:rsidP="005F32B8">
            <w:pPr>
              <w:jc w:val="both"/>
              <w:rPr>
                <w:sz w:val="20"/>
                <w:lang w:val="fr-CA"/>
              </w:rPr>
            </w:pPr>
          </w:p>
        </w:tc>
      </w:tr>
      <w:tr w:rsidR="00B124FF" w:rsidRPr="00523D1E" w:rsidTr="005F32B8">
        <w:tc>
          <w:tcPr>
            <w:tcW w:w="2427" w:type="pct"/>
            <w:gridSpan w:val="2"/>
          </w:tcPr>
          <w:p w:rsidR="00B124FF" w:rsidRPr="00AF75CE" w:rsidRDefault="00B124FF" w:rsidP="005F32B8">
            <w:pPr>
              <w:jc w:val="both"/>
              <w:rPr>
                <w:sz w:val="20"/>
                <w:lang w:val="fr-CA"/>
              </w:rPr>
            </w:pPr>
            <w:r w:rsidRPr="00AF75CE">
              <w:rPr>
                <w:sz w:val="20"/>
                <w:lang w:val="fr-CA"/>
              </w:rPr>
              <w:t>3 mai 2016</w:t>
            </w:r>
          </w:p>
          <w:p w:rsidR="00B124FF" w:rsidRPr="00AF75CE" w:rsidRDefault="00B124FF" w:rsidP="005F32B8">
            <w:pPr>
              <w:jc w:val="both"/>
              <w:rPr>
                <w:sz w:val="20"/>
                <w:lang w:val="fr-CA"/>
              </w:rPr>
            </w:pPr>
            <w:r w:rsidRPr="00AF75CE">
              <w:rPr>
                <w:sz w:val="20"/>
                <w:lang w:val="fr-CA"/>
              </w:rPr>
              <w:t>Cour supérieure du Québec</w:t>
            </w:r>
          </w:p>
          <w:p w:rsidR="00B124FF" w:rsidRPr="00AF75CE" w:rsidRDefault="00B124FF" w:rsidP="005F32B8">
            <w:pPr>
              <w:jc w:val="both"/>
              <w:rPr>
                <w:sz w:val="20"/>
                <w:lang w:val="fr-CA"/>
              </w:rPr>
            </w:pPr>
            <w:r w:rsidRPr="00AF75CE">
              <w:rPr>
                <w:sz w:val="20"/>
                <w:lang w:val="fr-CA"/>
              </w:rPr>
              <w:lastRenderedPageBreak/>
              <w:t>(Juge Paquette)</w:t>
            </w:r>
          </w:p>
          <w:p w:rsidR="00B124FF" w:rsidRPr="00AF75CE" w:rsidRDefault="00A24D5C" w:rsidP="005F32B8">
            <w:pPr>
              <w:jc w:val="both"/>
              <w:rPr>
                <w:sz w:val="20"/>
                <w:lang w:val="fr-CA"/>
              </w:rPr>
            </w:pPr>
            <w:hyperlink r:id="rId117" w:history="1">
              <w:r w:rsidR="00B124FF" w:rsidRPr="00AF75CE">
                <w:rPr>
                  <w:rStyle w:val="Hyperlink"/>
                  <w:sz w:val="20"/>
                  <w:lang w:val="fr-CA"/>
                </w:rPr>
                <w:t>2016 QCCS 2109</w:t>
              </w:r>
            </w:hyperlink>
          </w:p>
          <w:p w:rsidR="00B124FF" w:rsidRPr="00AF75CE" w:rsidRDefault="00B124FF" w:rsidP="005F32B8">
            <w:pPr>
              <w:jc w:val="both"/>
              <w:rPr>
                <w:sz w:val="20"/>
                <w:lang w:val="fr-CA"/>
              </w:rPr>
            </w:pPr>
          </w:p>
        </w:tc>
        <w:tc>
          <w:tcPr>
            <w:tcW w:w="243" w:type="pct"/>
          </w:tcPr>
          <w:p w:rsidR="00B124FF" w:rsidRPr="00AF75CE" w:rsidRDefault="00B124FF" w:rsidP="005F32B8">
            <w:pPr>
              <w:jc w:val="both"/>
              <w:rPr>
                <w:sz w:val="20"/>
                <w:lang w:val="fr-CA"/>
              </w:rPr>
            </w:pPr>
          </w:p>
        </w:tc>
        <w:tc>
          <w:tcPr>
            <w:tcW w:w="2330" w:type="pct"/>
          </w:tcPr>
          <w:p w:rsidR="00B124FF" w:rsidRPr="00AF75CE" w:rsidRDefault="00B124FF" w:rsidP="005F32B8">
            <w:pPr>
              <w:jc w:val="both"/>
              <w:rPr>
                <w:sz w:val="20"/>
                <w:lang w:val="fr-CA"/>
              </w:rPr>
            </w:pPr>
            <w:r w:rsidRPr="00AF75CE">
              <w:rPr>
                <w:sz w:val="20"/>
                <w:lang w:val="fr-CA"/>
              </w:rPr>
              <w:t>Rejet de la requête en contestation du rejet par le syndic de la réclamation de la demanderesse</w:t>
            </w:r>
          </w:p>
          <w:p w:rsidR="00B124FF" w:rsidRPr="00AF75CE" w:rsidRDefault="00B124FF" w:rsidP="005F32B8">
            <w:pPr>
              <w:jc w:val="both"/>
              <w:rPr>
                <w:sz w:val="20"/>
                <w:lang w:val="fr-CA"/>
              </w:rPr>
            </w:pPr>
          </w:p>
        </w:tc>
      </w:tr>
      <w:tr w:rsidR="00B124FF" w:rsidRPr="00AF75CE" w:rsidTr="005F32B8">
        <w:tc>
          <w:tcPr>
            <w:tcW w:w="2427" w:type="pct"/>
            <w:gridSpan w:val="2"/>
          </w:tcPr>
          <w:p w:rsidR="00B124FF" w:rsidRPr="00AF75CE" w:rsidRDefault="00B124FF" w:rsidP="005F32B8">
            <w:pPr>
              <w:jc w:val="both"/>
              <w:rPr>
                <w:sz w:val="20"/>
                <w:lang w:val="fr-CA"/>
              </w:rPr>
            </w:pPr>
            <w:r w:rsidRPr="00AF75CE">
              <w:rPr>
                <w:sz w:val="20"/>
                <w:lang w:val="fr-CA"/>
              </w:rPr>
              <w:lastRenderedPageBreak/>
              <w:t>29 mars 2018</w:t>
            </w:r>
          </w:p>
          <w:p w:rsidR="00B124FF" w:rsidRPr="00AF75CE" w:rsidRDefault="00B124FF" w:rsidP="005F32B8">
            <w:pPr>
              <w:jc w:val="both"/>
              <w:rPr>
                <w:sz w:val="20"/>
                <w:lang w:val="fr-CA"/>
              </w:rPr>
            </w:pPr>
            <w:r w:rsidRPr="00AF75CE">
              <w:rPr>
                <w:sz w:val="20"/>
                <w:lang w:val="fr-CA"/>
              </w:rPr>
              <w:t>Cour d’appel du Québec</w:t>
            </w:r>
          </w:p>
          <w:p w:rsidR="00B124FF" w:rsidRPr="00AF75CE" w:rsidRDefault="00B124FF" w:rsidP="005F32B8">
            <w:pPr>
              <w:jc w:val="both"/>
              <w:rPr>
                <w:sz w:val="20"/>
                <w:lang w:val="fr-CA"/>
              </w:rPr>
            </w:pPr>
            <w:r w:rsidRPr="00AF75CE">
              <w:rPr>
                <w:sz w:val="20"/>
                <w:lang w:val="fr-CA"/>
              </w:rPr>
              <w:t>(Juges Marcotte, Hogue et Rancourt)</w:t>
            </w:r>
          </w:p>
          <w:p w:rsidR="00B124FF" w:rsidRPr="00AF75CE" w:rsidRDefault="00A24D5C" w:rsidP="005F32B8">
            <w:pPr>
              <w:jc w:val="both"/>
              <w:rPr>
                <w:sz w:val="20"/>
                <w:lang w:val="fr-CA"/>
              </w:rPr>
            </w:pPr>
            <w:hyperlink r:id="rId118" w:history="1">
              <w:r w:rsidR="00B124FF" w:rsidRPr="00AF75CE">
                <w:rPr>
                  <w:rStyle w:val="Hyperlink"/>
                  <w:sz w:val="20"/>
                  <w:lang w:val="fr-CA"/>
                </w:rPr>
                <w:t>2018 QCCA 504</w:t>
              </w:r>
            </w:hyperlink>
          </w:p>
          <w:p w:rsidR="00B124FF" w:rsidRPr="00AF75CE" w:rsidRDefault="00B124FF" w:rsidP="005F32B8">
            <w:pPr>
              <w:jc w:val="both"/>
              <w:rPr>
                <w:sz w:val="20"/>
                <w:lang w:val="fr-CA"/>
              </w:rPr>
            </w:pPr>
          </w:p>
        </w:tc>
        <w:tc>
          <w:tcPr>
            <w:tcW w:w="243" w:type="pct"/>
          </w:tcPr>
          <w:p w:rsidR="00B124FF" w:rsidRPr="00AF75CE" w:rsidRDefault="00B124FF" w:rsidP="005F32B8">
            <w:pPr>
              <w:jc w:val="both"/>
              <w:rPr>
                <w:sz w:val="20"/>
                <w:lang w:val="fr-CA"/>
              </w:rPr>
            </w:pPr>
          </w:p>
        </w:tc>
        <w:tc>
          <w:tcPr>
            <w:tcW w:w="2330" w:type="pct"/>
          </w:tcPr>
          <w:p w:rsidR="00B124FF" w:rsidRPr="00AF75CE" w:rsidRDefault="00B124FF" w:rsidP="005F32B8">
            <w:pPr>
              <w:jc w:val="both"/>
              <w:rPr>
                <w:sz w:val="20"/>
                <w:lang w:val="fr-CA"/>
              </w:rPr>
            </w:pPr>
            <w:r w:rsidRPr="00AF75CE">
              <w:rPr>
                <w:sz w:val="20"/>
                <w:lang w:val="fr-CA"/>
              </w:rPr>
              <w:t>Rejet de l’appel</w:t>
            </w:r>
          </w:p>
        </w:tc>
      </w:tr>
      <w:tr w:rsidR="00B124FF" w:rsidRPr="00523D1E" w:rsidTr="005F32B8">
        <w:tc>
          <w:tcPr>
            <w:tcW w:w="2427" w:type="pct"/>
            <w:gridSpan w:val="2"/>
          </w:tcPr>
          <w:p w:rsidR="00B124FF" w:rsidRPr="00AF75CE" w:rsidRDefault="00B124FF" w:rsidP="005F32B8">
            <w:pPr>
              <w:jc w:val="both"/>
              <w:rPr>
                <w:sz w:val="20"/>
                <w:lang w:val="fr-CA"/>
              </w:rPr>
            </w:pPr>
            <w:r w:rsidRPr="00AF75CE">
              <w:rPr>
                <w:sz w:val="20"/>
                <w:lang w:val="fr-CA"/>
              </w:rPr>
              <w:t>28 mai 2018</w:t>
            </w:r>
          </w:p>
          <w:p w:rsidR="00B124FF" w:rsidRPr="00AF75CE" w:rsidRDefault="00B124FF" w:rsidP="005F32B8">
            <w:pPr>
              <w:jc w:val="both"/>
              <w:rPr>
                <w:sz w:val="20"/>
                <w:lang w:val="fr-CA"/>
              </w:rPr>
            </w:pPr>
            <w:r w:rsidRPr="00AF75CE">
              <w:rPr>
                <w:sz w:val="20"/>
                <w:lang w:val="fr-CA"/>
              </w:rPr>
              <w:t>Cour suprême du Canada</w:t>
            </w:r>
          </w:p>
        </w:tc>
        <w:tc>
          <w:tcPr>
            <w:tcW w:w="243" w:type="pct"/>
          </w:tcPr>
          <w:p w:rsidR="00B124FF" w:rsidRPr="00AF75CE" w:rsidRDefault="00B124FF" w:rsidP="005F32B8">
            <w:pPr>
              <w:jc w:val="both"/>
              <w:rPr>
                <w:sz w:val="20"/>
                <w:lang w:val="fr-CA"/>
              </w:rPr>
            </w:pPr>
          </w:p>
        </w:tc>
        <w:tc>
          <w:tcPr>
            <w:tcW w:w="2330" w:type="pct"/>
          </w:tcPr>
          <w:p w:rsidR="00B124FF" w:rsidRPr="00AF75CE" w:rsidRDefault="00B124FF" w:rsidP="005F32B8">
            <w:pPr>
              <w:jc w:val="both"/>
              <w:rPr>
                <w:sz w:val="20"/>
                <w:lang w:val="fr-CA"/>
              </w:rPr>
            </w:pPr>
            <w:r w:rsidRPr="00AF75CE">
              <w:rPr>
                <w:sz w:val="20"/>
                <w:lang w:val="fr-CA"/>
              </w:rPr>
              <w:t>Dépôt de la demande d’autorisation d’appel</w:t>
            </w:r>
          </w:p>
          <w:p w:rsidR="00B124FF" w:rsidRPr="00AF75CE" w:rsidRDefault="00B124FF" w:rsidP="005F32B8">
            <w:pPr>
              <w:jc w:val="both"/>
              <w:rPr>
                <w:sz w:val="20"/>
                <w:lang w:val="fr-CA"/>
              </w:rPr>
            </w:pPr>
          </w:p>
        </w:tc>
      </w:tr>
    </w:tbl>
    <w:p w:rsidR="00B124FF" w:rsidRDefault="00B124FF" w:rsidP="00B124FF">
      <w:pPr>
        <w:jc w:val="both"/>
        <w:rPr>
          <w:sz w:val="20"/>
          <w:lang w:val="fr-CA"/>
        </w:rPr>
      </w:pPr>
    </w:p>
    <w:p w:rsidR="00B124FF" w:rsidRPr="00AF75CE" w:rsidRDefault="00A24D5C" w:rsidP="00B124FF">
      <w:pPr>
        <w:jc w:val="both"/>
        <w:rPr>
          <w:sz w:val="20"/>
          <w:lang w:val="fr-CA"/>
        </w:rPr>
      </w:pPr>
      <w:r>
        <w:rPr>
          <w:sz w:val="20"/>
          <w:szCs w:val="20"/>
        </w:rPr>
        <w:pict>
          <v:rect id="_x0000_i1060" style="width:2in;height:1pt" o:hrpct="0" o:hralign="center" o:hrstd="t" o:hrnoshade="t" o:hr="t" fillcolor="black [3213]" stroked="f"/>
        </w:pict>
      </w:r>
    </w:p>
    <w:p w:rsidR="00B124FF" w:rsidRDefault="00B124FF" w:rsidP="00B124FF">
      <w:pPr>
        <w:rPr>
          <w:sz w:val="20"/>
          <w:lang w:val="fr-CA"/>
        </w:rPr>
      </w:pPr>
      <w:r>
        <w:rPr>
          <w:sz w:val="20"/>
          <w:lang w:val="fr-CA"/>
        </w:rPr>
        <w:br w:type="page"/>
      </w:r>
    </w:p>
    <w:p w:rsidR="00B124FF" w:rsidRPr="00F57F37" w:rsidRDefault="005B448B" w:rsidP="00B124FF">
      <w:pPr>
        <w:jc w:val="both"/>
        <w:rPr>
          <w:b/>
          <w:sz w:val="20"/>
          <w:lang w:val="en-US"/>
        </w:rPr>
      </w:pPr>
      <w:r>
        <w:rPr>
          <w:b/>
          <w:sz w:val="20"/>
          <w:lang w:val="en-US"/>
        </w:rPr>
        <w:lastRenderedPageBreak/>
        <w:t xml:space="preserve">Her Majesty the Queen </w:t>
      </w:r>
      <w:r w:rsidR="00B124FF" w:rsidRPr="00F57F37">
        <w:rPr>
          <w:b/>
          <w:sz w:val="20"/>
          <w:lang w:val="en-US"/>
        </w:rPr>
        <w:t>v. R.V. (38286)</w:t>
      </w:r>
    </w:p>
    <w:p w:rsidR="00B124FF" w:rsidRDefault="00B124FF" w:rsidP="00B124FF">
      <w:pPr>
        <w:jc w:val="both"/>
        <w:rPr>
          <w:sz w:val="20"/>
          <w:lang w:val="en-US"/>
        </w:rPr>
      </w:pPr>
    </w:p>
    <w:p w:rsidR="00B124FF" w:rsidRDefault="00B124FF" w:rsidP="00B124FF">
      <w:pPr>
        <w:jc w:val="both"/>
        <w:rPr>
          <w:sz w:val="20"/>
          <w:lang w:val="en-US"/>
        </w:rPr>
      </w:pPr>
      <w:r w:rsidRPr="00F57F37">
        <w:rPr>
          <w:sz w:val="20"/>
          <w:lang w:val="en-US"/>
        </w:rPr>
        <w:t xml:space="preserve">The schedule for serving and filing the material and any application for leave to intervene in the appeal of </w:t>
      </w:r>
      <w:r w:rsidRPr="00F57F37">
        <w:rPr>
          <w:i/>
          <w:sz w:val="20"/>
          <w:lang w:val="en-US"/>
        </w:rPr>
        <w:t>Her Majesty the Queen v. R.V</w:t>
      </w:r>
      <w:r w:rsidRPr="00F57F37">
        <w:rPr>
          <w:sz w:val="20"/>
          <w:lang w:val="en-US"/>
        </w:rPr>
        <w:t>. (38286) to be heard on March 20, 2019, was revised as follows by the Registrar:</w:t>
      </w:r>
    </w:p>
    <w:p w:rsidR="00B124FF" w:rsidRPr="00F57F37" w:rsidRDefault="00B124FF" w:rsidP="00B124FF">
      <w:pPr>
        <w:jc w:val="both"/>
        <w:rPr>
          <w:sz w:val="20"/>
          <w:lang w:val="en-US"/>
        </w:rPr>
      </w:pPr>
    </w:p>
    <w:p w:rsidR="00B124FF" w:rsidRPr="00F57F37" w:rsidRDefault="00B124FF" w:rsidP="00B124FF">
      <w:pPr>
        <w:jc w:val="both"/>
        <w:rPr>
          <w:sz w:val="20"/>
          <w:lang w:val="en-US"/>
        </w:rPr>
      </w:pPr>
      <w:r w:rsidRPr="00F57F37">
        <w:rPr>
          <w:sz w:val="20"/>
          <w:lang w:val="en-US"/>
        </w:rPr>
        <w:t>a)</w:t>
      </w:r>
      <w:r w:rsidRPr="00F57F37">
        <w:rPr>
          <w:sz w:val="20"/>
          <w:lang w:val="en-US"/>
        </w:rPr>
        <w:tab/>
        <w:t>The notice of appeal shall be served and filed on or before January 21, 2019.</w:t>
      </w:r>
    </w:p>
    <w:p w:rsidR="00B124FF" w:rsidRPr="00F57F37" w:rsidRDefault="00B124FF" w:rsidP="00B124FF">
      <w:pPr>
        <w:jc w:val="both"/>
        <w:rPr>
          <w:sz w:val="20"/>
          <w:lang w:val="en-US"/>
        </w:rPr>
      </w:pPr>
    </w:p>
    <w:p w:rsidR="00B124FF" w:rsidRPr="00F57F37" w:rsidRDefault="00B124FF" w:rsidP="00B124FF">
      <w:pPr>
        <w:jc w:val="both"/>
        <w:rPr>
          <w:sz w:val="20"/>
          <w:lang w:val="en-US"/>
        </w:rPr>
      </w:pPr>
      <w:r w:rsidRPr="00F57F37">
        <w:rPr>
          <w:sz w:val="20"/>
          <w:lang w:val="en-US"/>
        </w:rPr>
        <w:t>b)</w:t>
      </w:r>
      <w:r w:rsidRPr="00F57F37">
        <w:rPr>
          <w:sz w:val="20"/>
          <w:lang w:val="en-US"/>
        </w:rPr>
        <w:tab/>
        <w:t>The appellant’s record, factum and book of authorities, if any, shall be served and filed on or before February 11, 2019.</w:t>
      </w:r>
    </w:p>
    <w:p w:rsidR="00B124FF" w:rsidRPr="00F57F37" w:rsidRDefault="00B124FF" w:rsidP="00B124FF">
      <w:pPr>
        <w:jc w:val="both"/>
        <w:rPr>
          <w:sz w:val="20"/>
          <w:lang w:val="en-US"/>
        </w:rPr>
      </w:pPr>
    </w:p>
    <w:p w:rsidR="00B124FF" w:rsidRPr="00F57F37" w:rsidRDefault="00B124FF" w:rsidP="00B124FF">
      <w:pPr>
        <w:jc w:val="both"/>
        <w:rPr>
          <w:sz w:val="20"/>
          <w:lang w:val="en-US"/>
        </w:rPr>
      </w:pPr>
      <w:r w:rsidRPr="00F57F37">
        <w:rPr>
          <w:sz w:val="20"/>
          <w:lang w:val="en-US"/>
        </w:rPr>
        <w:t>c)</w:t>
      </w:r>
      <w:r w:rsidRPr="00F57F37">
        <w:rPr>
          <w:sz w:val="20"/>
          <w:lang w:val="en-US"/>
        </w:rPr>
        <w:tab/>
        <w:t>Any person wishing to intervene in this appeal under Rule 55 of the Rules of the Supreme Court of Canada shall serve and file a motion for leave to intervene on or before February 19, 2019.</w:t>
      </w:r>
    </w:p>
    <w:p w:rsidR="00B124FF" w:rsidRPr="00F57F37" w:rsidRDefault="00B124FF" w:rsidP="00B124FF">
      <w:pPr>
        <w:jc w:val="both"/>
        <w:rPr>
          <w:sz w:val="20"/>
          <w:lang w:val="en-US"/>
        </w:rPr>
      </w:pPr>
    </w:p>
    <w:p w:rsidR="00B124FF" w:rsidRPr="00F57F37" w:rsidRDefault="00B124FF" w:rsidP="00B124FF">
      <w:pPr>
        <w:jc w:val="both"/>
        <w:rPr>
          <w:sz w:val="20"/>
          <w:lang w:val="en-US"/>
        </w:rPr>
      </w:pPr>
      <w:r w:rsidRPr="00F57F37">
        <w:rPr>
          <w:sz w:val="20"/>
          <w:lang w:val="en-US"/>
        </w:rPr>
        <w:t>d)</w:t>
      </w:r>
      <w:r w:rsidRPr="00F57F37">
        <w:rPr>
          <w:sz w:val="20"/>
          <w:lang w:val="en-US"/>
        </w:rPr>
        <w:tab/>
        <w:t>The appellant and respondent shall serve and file their responses, if any, to the motions for leave to intervene on or before February 21, 2019.</w:t>
      </w:r>
    </w:p>
    <w:p w:rsidR="00B124FF" w:rsidRPr="00F57F37" w:rsidRDefault="00B124FF" w:rsidP="00B124FF">
      <w:pPr>
        <w:jc w:val="both"/>
        <w:rPr>
          <w:sz w:val="20"/>
          <w:lang w:val="en-US"/>
        </w:rPr>
      </w:pPr>
    </w:p>
    <w:p w:rsidR="00B124FF" w:rsidRPr="00F57F37" w:rsidRDefault="00B124FF" w:rsidP="00B124FF">
      <w:pPr>
        <w:jc w:val="both"/>
        <w:rPr>
          <w:sz w:val="20"/>
          <w:lang w:val="en-US"/>
        </w:rPr>
      </w:pPr>
      <w:r w:rsidRPr="00F57F37">
        <w:rPr>
          <w:sz w:val="20"/>
          <w:lang w:val="en-US"/>
        </w:rPr>
        <w:t>e)</w:t>
      </w:r>
      <w:r w:rsidRPr="00F57F37">
        <w:rPr>
          <w:sz w:val="20"/>
          <w:lang w:val="en-US"/>
        </w:rPr>
        <w:tab/>
        <w:t>Replies to any responses to the motions for leave to intervene shall be served and filed on or before February 22, 2019.</w:t>
      </w:r>
    </w:p>
    <w:p w:rsidR="00B124FF" w:rsidRPr="00F57F37" w:rsidRDefault="00B124FF" w:rsidP="00B124FF">
      <w:pPr>
        <w:jc w:val="both"/>
        <w:rPr>
          <w:sz w:val="20"/>
          <w:lang w:val="en-US"/>
        </w:rPr>
      </w:pPr>
    </w:p>
    <w:p w:rsidR="00B124FF" w:rsidRPr="00F57F37" w:rsidRDefault="00B124FF" w:rsidP="00B124FF">
      <w:pPr>
        <w:jc w:val="both"/>
        <w:rPr>
          <w:sz w:val="20"/>
          <w:lang w:val="en-US"/>
        </w:rPr>
      </w:pPr>
      <w:r w:rsidRPr="00F57F37">
        <w:rPr>
          <w:sz w:val="20"/>
          <w:lang w:val="en-US"/>
        </w:rPr>
        <w:t>f)</w:t>
      </w:r>
      <w:r w:rsidRPr="00F57F37">
        <w:rPr>
          <w:sz w:val="20"/>
          <w:lang w:val="en-US"/>
        </w:rPr>
        <w:tab/>
        <w:t>Any intervener granted leave to intervene under Rule 59 of the Rules of the Supreme Court of Canada shall serve and file its respective factum and book of authorities, if any, on or before March 13, 2019.</w:t>
      </w:r>
    </w:p>
    <w:p w:rsidR="00B124FF" w:rsidRPr="00F57F37" w:rsidRDefault="00B124FF" w:rsidP="00B124FF">
      <w:pPr>
        <w:jc w:val="both"/>
        <w:rPr>
          <w:sz w:val="20"/>
          <w:lang w:val="en-US"/>
        </w:rPr>
      </w:pPr>
    </w:p>
    <w:p w:rsidR="00B124FF" w:rsidRPr="00F57F37" w:rsidRDefault="00B124FF" w:rsidP="00B124FF">
      <w:pPr>
        <w:jc w:val="both"/>
        <w:rPr>
          <w:sz w:val="20"/>
          <w:lang w:val="en-US"/>
        </w:rPr>
      </w:pPr>
      <w:r w:rsidRPr="00F57F37">
        <w:rPr>
          <w:sz w:val="20"/>
          <w:lang w:val="en-US"/>
        </w:rPr>
        <w:t>g)</w:t>
      </w:r>
      <w:r w:rsidRPr="00F57F37">
        <w:rPr>
          <w:sz w:val="20"/>
          <w:lang w:val="en-US"/>
        </w:rPr>
        <w:tab/>
        <w:t>The respondent’s record, factum and book of authorities, if any, shall be served and filed on or before March 4, 2019.</w:t>
      </w:r>
    </w:p>
    <w:p w:rsidR="00B124FF" w:rsidRPr="00F57F37" w:rsidRDefault="00B124FF" w:rsidP="00B124FF">
      <w:pPr>
        <w:jc w:val="both"/>
        <w:rPr>
          <w:sz w:val="20"/>
          <w:lang w:val="en-US"/>
        </w:rPr>
      </w:pPr>
    </w:p>
    <w:p w:rsidR="00B124FF" w:rsidRPr="00F57F37" w:rsidRDefault="005B448B" w:rsidP="00B124FF">
      <w:pPr>
        <w:jc w:val="both"/>
        <w:rPr>
          <w:b/>
          <w:sz w:val="20"/>
          <w:lang w:val="fr-CA"/>
        </w:rPr>
      </w:pPr>
      <w:r>
        <w:rPr>
          <w:b/>
          <w:sz w:val="20"/>
          <w:lang w:val="fr-CA"/>
        </w:rPr>
        <w:t>Sa Majesté la Reine c.</w:t>
      </w:r>
      <w:r w:rsidR="00B124FF" w:rsidRPr="00F57F37">
        <w:rPr>
          <w:b/>
          <w:sz w:val="20"/>
          <w:lang w:val="fr-CA"/>
        </w:rPr>
        <w:t xml:space="preserve"> R.V. (38286) </w:t>
      </w:r>
    </w:p>
    <w:p w:rsidR="00B124FF" w:rsidRPr="00F57F37" w:rsidRDefault="00B124FF" w:rsidP="00B124FF">
      <w:pPr>
        <w:jc w:val="both"/>
        <w:rPr>
          <w:sz w:val="20"/>
          <w:lang w:val="fr-CA"/>
        </w:rPr>
      </w:pPr>
    </w:p>
    <w:p w:rsidR="00B124FF" w:rsidRPr="00F57F37" w:rsidRDefault="00B124FF" w:rsidP="00B124FF">
      <w:pPr>
        <w:jc w:val="both"/>
        <w:rPr>
          <w:sz w:val="20"/>
          <w:lang w:val="fr-CA"/>
        </w:rPr>
      </w:pPr>
      <w:r w:rsidRPr="00F57F37">
        <w:rPr>
          <w:sz w:val="20"/>
          <w:lang w:val="fr-CA"/>
        </w:rPr>
        <w:t xml:space="preserve">Le registraire a révisé l’échéancier suivant pour la signification et le dépôt des documents et pour toute requête en intervention dans l’appel </w:t>
      </w:r>
      <w:r w:rsidRPr="00F57F37">
        <w:rPr>
          <w:i/>
          <w:sz w:val="20"/>
          <w:lang w:val="fr-CA"/>
        </w:rPr>
        <w:t>Sa Majesté la Reine c. R.V.</w:t>
      </w:r>
      <w:r w:rsidRPr="00F57F37">
        <w:rPr>
          <w:sz w:val="20"/>
          <w:lang w:val="fr-CA"/>
        </w:rPr>
        <w:t xml:space="preserve"> (38286)  qui sera entendu le 20 mars 2019 :</w:t>
      </w:r>
    </w:p>
    <w:p w:rsidR="00B124FF" w:rsidRPr="00F57F37" w:rsidRDefault="00B124FF" w:rsidP="00B124FF">
      <w:pPr>
        <w:jc w:val="both"/>
        <w:rPr>
          <w:sz w:val="20"/>
          <w:lang w:val="fr-CA"/>
        </w:rPr>
      </w:pPr>
    </w:p>
    <w:p w:rsidR="00B124FF" w:rsidRPr="00F57F37" w:rsidRDefault="00B124FF" w:rsidP="00B124FF">
      <w:pPr>
        <w:jc w:val="both"/>
        <w:rPr>
          <w:sz w:val="20"/>
          <w:lang w:val="fr-CA"/>
        </w:rPr>
      </w:pPr>
      <w:r w:rsidRPr="00F57F37">
        <w:rPr>
          <w:sz w:val="20"/>
          <w:lang w:val="fr-CA"/>
        </w:rPr>
        <w:t>a)</w:t>
      </w:r>
      <w:r w:rsidRPr="00F57F37">
        <w:rPr>
          <w:sz w:val="20"/>
          <w:lang w:val="fr-CA"/>
        </w:rPr>
        <w:tab/>
        <w:t>L’avis d’appel sera signifié et déposé au plus tard le 21 janvier 2019.</w:t>
      </w:r>
    </w:p>
    <w:p w:rsidR="00B124FF" w:rsidRPr="00F57F37" w:rsidRDefault="00B124FF" w:rsidP="00B124FF">
      <w:pPr>
        <w:jc w:val="both"/>
        <w:rPr>
          <w:sz w:val="20"/>
          <w:lang w:val="fr-CA"/>
        </w:rPr>
      </w:pPr>
    </w:p>
    <w:p w:rsidR="00B124FF" w:rsidRPr="00F57F37" w:rsidRDefault="00B124FF" w:rsidP="00B124FF">
      <w:pPr>
        <w:jc w:val="both"/>
        <w:rPr>
          <w:sz w:val="20"/>
          <w:lang w:val="fr-CA"/>
        </w:rPr>
      </w:pPr>
      <w:r w:rsidRPr="00F57F37">
        <w:rPr>
          <w:sz w:val="20"/>
          <w:lang w:val="fr-CA"/>
        </w:rPr>
        <w:t>b)</w:t>
      </w:r>
      <w:r w:rsidRPr="00F57F37">
        <w:rPr>
          <w:sz w:val="20"/>
          <w:lang w:val="fr-CA"/>
        </w:rPr>
        <w:tab/>
        <w:t>Les dossier, mémoire et recueil de sources, le cas échéant, de l’appelante seront signifiés et déposés au plus tard le 11 février 2019.</w:t>
      </w:r>
    </w:p>
    <w:p w:rsidR="00B124FF" w:rsidRPr="00F57F37" w:rsidRDefault="00B124FF" w:rsidP="00B124FF">
      <w:pPr>
        <w:jc w:val="both"/>
        <w:rPr>
          <w:sz w:val="20"/>
          <w:lang w:val="fr-CA"/>
        </w:rPr>
      </w:pPr>
    </w:p>
    <w:p w:rsidR="00B124FF" w:rsidRPr="00F57F37" w:rsidRDefault="00B124FF" w:rsidP="00B124FF">
      <w:pPr>
        <w:jc w:val="both"/>
        <w:rPr>
          <w:sz w:val="20"/>
          <w:lang w:val="fr-CA"/>
        </w:rPr>
      </w:pPr>
      <w:r w:rsidRPr="00F57F37">
        <w:rPr>
          <w:sz w:val="20"/>
          <w:lang w:val="fr-CA"/>
        </w:rPr>
        <w:t>c)</w:t>
      </w:r>
      <w:r w:rsidRPr="00F57F37">
        <w:rPr>
          <w:sz w:val="20"/>
          <w:lang w:val="fr-CA"/>
        </w:rPr>
        <w:tab/>
        <w:t>Toute personne qui souhaite intervenir dans le présent appel en vertu de la règle 55 des Règles de la Cour suprême du Canada signifiera et déposera une requête en autorisation d’intervenir au plus tard le 19 février 2019.</w:t>
      </w:r>
    </w:p>
    <w:p w:rsidR="00B124FF" w:rsidRPr="00F57F37" w:rsidRDefault="00B124FF" w:rsidP="00B124FF">
      <w:pPr>
        <w:jc w:val="both"/>
        <w:rPr>
          <w:sz w:val="20"/>
          <w:lang w:val="fr-CA"/>
        </w:rPr>
      </w:pPr>
    </w:p>
    <w:p w:rsidR="00B124FF" w:rsidRPr="00F57F37" w:rsidRDefault="00B124FF" w:rsidP="00B124FF">
      <w:pPr>
        <w:jc w:val="both"/>
        <w:rPr>
          <w:sz w:val="20"/>
          <w:lang w:val="fr-CA"/>
        </w:rPr>
      </w:pPr>
      <w:r w:rsidRPr="00F57F37">
        <w:rPr>
          <w:sz w:val="20"/>
          <w:lang w:val="fr-CA"/>
        </w:rPr>
        <w:t>d)</w:t>
      </w:r>
      <w:r w:rsidRPr="00F57F37">
        <w:rPr>
          <w:sz w:val="20"/>
          <w:lang w:val="fr-CA"/>
        </w:rPr>
        <w:tab/>
        <w:t>L appelante et l’intimé signifieront et déposeront leur réponse aux demandes d’autorisation d’intervenir, le cas échéant, au plus tard le 21 février 2019.</w:t>
      </w:r>
    </w:p>
    <w:p w:rsidR="00B124FF" w:rsidRPr="00F57F37" w:rsidRDefault="00B124FF" w:rsidP="00B124FF">
      <w:pPr>
        <w:jc w:val="both"/>
        <w:rPr>
          <w:sz w:val="20"/>
          <w:lang w:val="fr-CA"/>
        </w:rPr>
      </w:pPr>
    </w:p>
    <w:p w:rsidR="00B124FF" w:rsidRPr="00F57F37" w:rsidRDefault="00B124FF" w:rsidP="00B124FF">
      <w:pPr>
        <w:jc w:val="both"/>
        <w:rPr>
          <w:sz w:val="20"/>
          <w:lang w:val="fr-CA"/>
        </w:rPr>
      </w:pPr>
    </w:p>
    <w:p w:rsidR="00B124FF" w:rsidRPr="00F57F37" w:rsidRDefault="00B124FF" w:rsidP="00B124FF">
      <w:pPr>
        <w:jc w:val="both"/>
        <w:rPr>
          <w:sz w:val="20"/>
          <w:lang w:val="fr-CA"/>
        </w:rPr>
      </w:pPr>
      <w:r w:rsidRPr="00F57F37">
        <w:rPr>
          <w:sz w:val="20"/>
          <w:lang w:val="fr-CA"/>
        </w:rPr>
        <w:t>e)</w:t>
      </w:r>
      <w:r w:rsidRPr="00F57F37">
        <w:rPr>
          <w:sz w:val="20"/>
          <w:lang w:val="fr-CA"/>
        </w:rPr>
        <w:tab/>
        <w:t>Les répliques à toute réponse aux demandes d’autorisation d’intervenir seront signifiées et déposées au plus tard le 22 février 2019.</w:t>
      </w:r>
    </w:p>
    <w:p w:rsidR="00B124FF" w:rsidRPr="00F57F37" w:rsidRDefault="00B124FF" w:rsidP="00B124FF">
      <w:pPr>
        <w:jc w:val="both"/>
        <w:rPr>
          <w:sz w:val="20"/>
          <w:lang w:val="fr-CA"/>
        </w:rPr>
      </w:pPr>
    </w:p>
    <w:p w:rsidR="00B124FF" w:rsidRPr="00F57F37" w:rsidRDefault="00B124FF" w:rsidP="00B124FF">
      <w:pPr>
        <w:jc w:val="both"/>
        <w:rPr>
          <w:sz w:val="20"/>
          <w:lang w:val="fr-CA"/>
        </w:rPr>
      </w:pPr>
      <w:r w:rsidRPr="00F57F37">
        <w:rPr>
          <w:sz w:val="20"/>
          <w:lang w:val="fr-CA"/>
        </w:rPr>
        <w:t>f)</w:t>
      </w:r>
      <w:r w:rsidRPr="00F57F37">
        <w:rPr>
          <w:sz w:val="20"/>
          <w:lang w:val="fr-CA"/>
        </w:rPr>
        <w:tab/>
        <w:t>Tout intervenant qui sera autorisé à intervenir en application de la règle 59 des Règles de la Cour suprême du Canada devra signifier et déposer leur mémoire et recueil de sources, le cas échéant, au plus tard le 13 mars 2019.</w:t>
      </w:r>
    </w:p>
    <w:p w:rsidR="00B124FF" w:rsidRPr="00F57F37" w:rsidRDefault="00B124FF" w:rsidP="00B124FF">
      <w:pPr>
        <w:jc w:val="both"/>
        <w:rPr>
          <w:sz w:val="20"/>
          <w:lang w:val="fr-CA"/>
        </w:rPr>
      </w:pPr>
    </w:p>
    <w:p w:rsidR="00B124FF" w:rsidRPr="00F57F37" w:rsidRDefault="00B124FF" w:rsidP="00B124FF">
      <w:pPr>
        <w:jc w:val="both"/>
        <w:rPr>
          <w:sz w:val="20"/>
          <w:lang w:val="fr-CA"/>
        </w:rPr>
      </w:pPr>
      <w:r w:rsidRPr="00F57F37">
        <w:rPr>
          <w:sz w:val="20"/>
          <w:lang w:val="fr-CA"/>
        </w:rPr>
        <w:t>g)</w:t>
      </w:r>
      <w:r w:rsidRPr="00F57F37">
        <w:rPr>
          <w:sz w:val="20"/>
          <w:lang w:val="fr-CA"/>
        </w:rPr>
        <w:tab/>
        <w:t>Les dossier, mémoire et recueil de sources, le cas échéant, de l’intimé seront signifiés et déposés au plus tard le 4 mars 2019.</w:t>
      </w:r>
    </w:p>
    <w:p w:rsidR="00B124FF" w:rsidRDefault="00B124FF" w:rsidP="00B124FF">
      <w:pPr>
        <w:jc w:val="both"/>
        <w:rPr>
          <w:b/>
          <w:sz w:val="20"/>
          <w:lang w:val="fr-CA"/>
        </w:rPr>
      </w:pPr>
    </w:p>
    <w:p w:rsidR="00B124FF" w:rsidRPr="00F57F37" w:rsidRDefault="00B124FF" w:rsidP="00B124FF">
      <w:pPr>
        <w:jc w:val="both"/>
        <w:rPr>
          <w:b/>
          <w:sz w:val="20"/>
          <w:lang w:val="fr-CA"/>
        </w:rPr>
      </w:pPr>
    </w:p>
    <w:p w:rsidR="00B124FF" w:rsidRDefault="00A24D5C" w:rsidP="00B124FF">
      <w:pPr>
        <w:jc w:val="both"/>
        <w:rPr>
          <w:b/>
          <w:sz w:val="20"/>
          <w:lang w:val="en-US"/>
        </w:rPr>
      </w:pPr>
      <w:r>
        <w:rPr>
          <w:sz w:val="20"/>
          <w:szCs w:val="20"/>
        </w:rPr>
        <w:pict>
          <v:rect id="_x0000_i1061" style="width:2in;height:1pt" o:hrpct="0" o:hralign="center" o:hrstd="t" o:hrnoshade="t" o:hr="t" fillcolor="black [3213]" stroked="f"/>
        </w:pict>
      </w:r>
    </w:p>
    <w:p w:rsidR="00B124FF" w:rsidRDefault="00B124FF" w:rsidP="00B124FF">
      <w:pPr>
        <w:jc w:val="both"/>
        <w:rPr>
          <w:b/>
          <w:sz w:val="20"/>
          <w:lang w:val="en-US"/>
        </w:rPr>
      </w:pPr>
    </w:p>
    <w:p w:rsidR="00B124FF" w:rsidRDefault="00B124FF" w:rsidP="00B124FF">
      <w:pPr>
        <w:jc w:val="both"/>
        <w:rPr>
          <w:b/>
          <w:sz w:val="20"/>
          <w:lang w:val="en-US"/>
        </w:rPr>
      </w:pPr>
    </w:p>
    <w:p w:rsidR="00B124FF" w:rsidRPr="00F57F37" w:rsidRDefault="005B448B" w:rsidP="00B124FF">
      <w:pPr>
        <w:jc w:val="both"/>
        <w:rPr>
          <w:b/>
          <w:sz w:val="20"/>
          <w:lang w:val="en-US"/>
        </w:rPr>
      </w:pPr>
      <w:r>
        <w:rPr>
          <w:b/>
          <w:sz w:val="20"/>
          <w:lang w:val="en-US"/>
        </w:rPr>
        <w:t>Attorney General of Canada</w:t>
      </w:r>
      <w:r w:rsidR="00B124FF" w:rsidRPr="00F57F37">
        <w:rPr>
          <w:b/>
          <w:sz w:val="20"/>
          <w:lang w:val="en-US"/>
        </w:rPr>
        <w:t xml:space="preserve"> v. British Columbia In</w:t>
      </w:r>
      <w:r w:rsidR="00B124FF">
        <w:rPr>
          <w:b/>
          <w:sz w:val="20"/>
          <w:lang w:val="en-US"/>
        </w:rPr>
        <w:t>vestment Management Corporation</w:t>
      </w:r>
      <w:r w:rsidR="00B124FF" w:rsidRPr="00F57F37">
        <w:rPr>
          <w:b/>
          <w:sz w:val="20"/>
          <w:lang w:val="en-US"/>
        </w:rPr>
        <w:t xml:space="preserve"> et al. (38059)</w:t>
      </w:r>
    </w:p>
    <w:p w:rsidR="00B124FF" w:rsidRDefault="00B124FF" w:rsidP="00B124FF">
      <w:pPr>
        <w:jc w:val="both"/>
        <w:rPr>
          <w:sz w:val="20"/>
          <w:lang w:val="en-US"/>
        </w:rPr>
      </w:pPr>
    </w:p>
    <w:p w:rsidR="00B124FF" w:rsidRDefault="00B124FF" w:rsidP="00B124FF">
      <w:pPr>
        <w:jc w:val="both"/>
        <w:rPr>
          <w:sz w:val="20"/>
          <w:lang w:val="en-US"/>
        </w:rPr>
      </w:pPr>
      <w:r w:rsidRPr="00F57F37">
        <w:rPr>
          <w:sz w:val="20"/>
          <w:lang w:val="en-US"/>
        </w:rPr>
        <w:t xml:space="preserve">The schedule for serving and filing the material and any application for leave to intervene in the appeal of </w:t>
      </w:r>
      <w:r w:rsidRPr="00F57F37">
        <w:rPr>
          <w:i/>
          <w:sz w:val="20"/>
          <w:lang w:val="en-US"/>
        </w:rPr>
        <w:t>Attorney General of Canada – v. – British Columbia Investment Management Corporation, et al.</w:t>
      </w:r>
      <w:r w:rsidRPr="00F57F37">
        <w:rPr>
          <w:sz w:val="20"/>
          <w:lang w:val="en-US"/>
        </w:rPr>
        <w:t xml:space="preserve"> (38059) to be heard on May 17, 2019, was revised as follows by the Registrar:</w:t>
      </w:r>
    </w:p>
    <w:p w:rsidR="00B124FF" w:rsidRPr="00F57F37" w:rsidRDefault="00B124FF" w:rsidP="00B124FF">
      <w:pPr>
        <w:jc w:val="both"/>
        <w:rPr>
          <w:sz w:val="20"/>
          <w:lang w:val="en-US"/>
        </w:rPr>
      </w:pPr>
    </w:p>
    <w:p w:rsidR="00B124FF" w:rsidRPr="00F57F37" w:rsidRDefault="00B124FF" w:rsidP="00B124FF">
      <w:pPr>
        <w:jc w:val="both"/>
        <w:rPr>
          <w:sz w:val="20"/>
          <w:lang w:val="en-US"/>
        </w:rPr>
      </w:pPr>
      <w:r w:rsidRPr="00F57F37">
        <w:rPr>
          <w:sz w:val="20"/>
          <w:lang w:val="en-US"/>
        </w:rPr>
        <w:t>a)</w:t>
      </w:r>
      <w:r w:rsidRPr="00F57F37">
        <w:rPr>
          <w:sz w:val="20"/>
          <w:lang w:val="en-US"/>
        </w:rPr>
        <w:tab/>
        <w:t>Any person wishing to intervene in this appeal under Rule 55 of the Rules of the Supreme Court of Canada shall serve and file a motion for leave to intervene on or before January 29, 2019.</w:t>
      </w:r>
    </w:p>
    <w:p w:rsidR="00B124FF" w:rsidRPr="00F57F37" w:rsidRDefault="00B124FF" w:rsidP="00B124FF">
      <w:pPr>
        <w:jc w:val="both"/>
        <w:rPr>
          <w:sz w:val="20"/>
          <w:lang w:val="en-US"/>
        </w:rPr>
      </w:pPr>
    </w:p>
    <w:p w:rsidR="00B124FF" w:rsidRPr="00F57F37" w:rsidRDefault="00B124FF" w:rsidP="00B124FF">
      <w:pPr>
        <w:jc w:val="both"/>
        <w:rPr>
          <w:sz w:val="20"/>
          <w:lang w:val="en-US"/>
        </w:rPr>
      </w:pPr>
      <w:r w:rsidRPr="00F57F37">
        <w:rPr>
          <w:sz w:val="20"/>
          <w:lang w:val="en-US"/>
        </w:rPr>
        <w:t>b)</w:t>
      </w:r>
      <w:r w:rsidRPr="00F57F37">
        <w:rPr>
          <w:sz w:val="20"/>
          <w:lang w:val="en-US"/>
        </w:rPr>
        <w:tab/>
        <w:t>The appellant/respondent on cross-appeal, the respondent/appellant on cross-appeal and the respondent /respondent on cross-appeal shall serve and file their responses, if any, to the motions for leave to intervene on or before February 4, 2019.</w:t>
      </w:r>
    </w:p>
    <w:p w:rsidR="00B124FF" w:rsidRPr="00F57F37" w:rsidRDefault="00B124FF" w:rsidP="00B124FF">
      <w:pPr>
        <w:jc w:val="both"/>
        <w:rPr>
          <w:sz w:val="20"/>
          <w:lang w:val="en-US"/>
        </w:rPr>
      </w:pPr>
    </w:p>
    <w:p w:rsidR="00B124FF" w:rsidRPr="00F57F37" w:rsidRDefault="00B124FF" w:rsidP="00B124FF">
      <w:pPr>
        <w:jc w:val="both"/>
        <w:rPr>
          <w:sz w:val="20"/>
          <w:lang w:val="en-US"/>
        </w:rPr>
      </w:pPr>
      <w:r w:rsidRPr="00F57F37">
        <w:rPr>
          <w:sz w:val="20"/>
          <w:lang w:val="en-US"/>
        </w:rPr>
        <w:t>c)</w:t>
      </w:r>
      <w:r w:rsidRPr="00F57F37">
        <w:rPr>
          <w:sz w:val="20"/>
          <w:lang w:val="en-US"/>
        </w:rPr>
        <w:tab/>
        <w:t>Replies to any responses to the motions for leave to intervene shall be served and filed on or before February 6, 2019.</w:t>
      </w:r>
    </w:p>
    <w:p w:rsidR="00B124FF" w:rsidRPr="00F57F37" w:rsidRDefault="00B124FF" w:rsidP="00B124FF">
      <w:pPr>
        <w:jc w:val="both"/>
        <w:rPr>
          <w:sz w:val="20"/>
          <w:lang w:val="en-US"/>
        </w:rPr>
      </w:pPr>
    </w:p>
    <w:p w:rsidR="00B124FF" w:rsidRPr="00F57F37" w:rsidRDefault="00B124FF" w:rsidP="00B124FF">
      <w:pPr>
        <w:jc w:val="both"/>
        <w:rPr>
          <w:sz w:val="20"/>
          <w:lang w:val="en-US"/>
        </w:rPr>
      </w:pPr>
      <w:r w:rsidRPr="00F57F37">
        <w:rPr>
          <w:sz w:val="20"/>
          <w:lang w:val="en-US"/>
        </w:rPr>
        <w:t>d)</w:t>
      </w:r>
      <w:r w:rsidRPr="00F57F37">
        <w:rPr>
          <w:sz w:val="20"/>
          <w:lang w:val="en-US"/>
        </w:rPr>
        <w:tab/>
        <w:t>Any intervener granted leave to intervene under Rule 59 of the Rules of the Supreme Court of Canada shall serve and file its respective factum and book of authorities, if any, on or before March 22, 2019.</w:t>
      </w:r>
    </w:p>
    <w:p w:rsidR="00B124FF" w:rsidRPr="00F57F37" w:rsidRDefault="00B124FF" w:rsidP="00B124FF">
      <w:pPr>
        <w:jc w:val="both"/>
        <w:rPr>
          <w:sz w:val="20"/>
          <w:lang w:val="en-US"/>
        </w:rPr>
      </w:pPr>
    </w:p>
    <w:p w:rsidR="00B124FF" w:rsidRPr="00F57F37" w:rsidRDefault="00B124FF" w:rsidP="00B124FF">
      <w:pPr>
        <w:jc w:val="both"/>
        <w:rPr>
          <w:sz w:val="20"/>
          <w:lang w:val="en-US"/>
        </w:rPr>
      </w:pPr>
      <w:r w:rsidRPr="00F57F37">
        <w:rPr>
          <w:sz w:val="20"/>
          <w:lang w:val="en-US"/>
        </w:rPr>
        <w:t>e)</w:t>
      </w:r>
      <w:r w:rsidRPr="00F57F37">
        <w:rPr>
          <w:sz w:val="20"/>
          <w:lang w:val="en-US"/>
        </w:rPr>
        <w:tab/>
        <w:t>Any attorney general intervening in the appeal under Rule 33(4) of the Rules of the Supreme Court of Canada shall serve and file their factum and book of authorities, if any, on or before March 22, 2019.</w:t>
      </w:r>
    </w:p>
    <w:p w:rsidR="00B124FF" w:rsidRPr="00F57F37" w:rsidRDefault="00B124FF" w:rsidP="00B124FF">
      <w:pPr>
        <w:jc w:val="both"/>
        <w:rPr>
          <w:sz w:val="20"/>
          <w:lang w:val="en-US"/>
        </w:rPr>
      </w:pPr>
    </w:p>
    <w:p w:rsidR="00B124FF" w:rsidRPr="00F57F37" w:rsidRDefault="00B124FF" w:rsidP="00B124FF">
      <w:pPr>
        <w:jc w:val="both"/>
        <w:rPr>
          <w:sz w:val="20"/>
          <w:lang w:val="en-US"/>
        </w:rPr>
      </w:pPr>
      <w:r w:rsidRPr="00F57F37">
        <w:rPr>
          <w:sz w:val="20"/>
          <w:lang w:val="en-US"/>
        </w:rPr>
        <w:t>f)</w:t>
      </w:r>
      <w:r w:rsidRPr="00F57F37">
        <w:rPr>
          <w:sz w:val="20"/>
          <w:lang w:val="en-US"/>
        </w:rPr>
        <w:tab/>
        <w:t>The respondent/appellant on cross-appeal’s record, factum and book of authorities, if any, shall be served and filed on or before March 5, 2019.</w:t>
      </w:r>
    </w:p>
    <w:p w:rsidR="00B124FF" w:rsidRPr="00F57F37" w:rsidRDefault="00B124FF" w:rsidP="00B124FF">
      <w:pPr>
        <w:jc w:val="both"/>
        <w:rPr>
          <w:sz w:val="20"/>
          <w:lang w:val="en-US"/>
        </w:rPr>
      </w:pPr>
    </w:p>
    <w:p w:rsidR="00B124FF" w:rsidRPr="00F57F37" w:rsidRDefault="00B124FF" w:rsidP="00B124FF">
      <w:pPr>
        <w:jc w:val="both"/>
        <w:rPr>
          <w:sz w:val="20"/>
          <w:lang w:val="en-US"/>
        </w:rPr>
      </w:pPr>
      <w:r w:rsidRPr="00F57F37">
        <w:rPr>
          <w:sz w:val="20"/>
          <w:lang w:val="en-US"/>
        </w:rPr>
        <w:t>g)</w:t>
      </w:r>
      <w:r w:rsidRPr="00F57F37">
        <w:rPr>
          <w:sz w:val="20"/>
          <w:lang w:val="en-US"/>
        </w:rPr>
        <w:tab/>
        <w:t>The respondent/respondent on cross-appeal’s record, factum and book of authorities, if any, shall be served and filed on or before March 5, 2019.</w:t>
      </w:r>
    </w:p>
    <w:p w:rsidR="00B124FF" w:rsidRPr="00F57F37" w:rsidRDefault="00B124FF" w:rsidP="00B124FF">
      <w:pPr>
        <w:jc w:val="both"/>
        <w:rPr>
          <w:sz w:val="20"/>
          <w:lang w:val="en-US"/>
        </w:rPr>
      </w:pPr>
    </w:p>
    <w:p w:rsidR="00B124FF" w:rsidRPr="00F57F37" w:rsidRDefault="00B124FF" w:rsidP="00B124FF">
      <w:pPr>
        <w:jc w:val="both"/>
        <w:rPr>
          <w:sz w:val="20"/>
          <w:lang w:val="en-US"/>
        </w:rPr>
      </w:pPr>
      <w:r w:rsidRPr="00F57F37">
        <w:rPr>
          <w:sz w:val="20"/>
          <w:lang w:val="en-US"/>
        </w:rPr>
        <w:t>h)</w:t>
      </w:r>
      <w:r w:rsidRPr="00F57F37">
        <w:rPr>
          <w:sz w:val="20"/>
          <w:lang w:val="en-US"/>
        </w:rPr>
        <w:tab/>
        <w:t>The appellant/respondent on cross-appeal’s factum on cross-appeal shall be served and filed on or before March 15, 2019.</w:t>
      </w:r>
    </w:p>
    <w:p w:rsidR="00B124FF" w:rsidRPr="00F57F37" w:rsidRDefault="00B124FF" w:rsidP="00B124FF">
      <w:pPr>
        <w:jc w:val="both"/>
        <w:rPr>
          <w:sz w:val="20"/>
          <w:lang w:val="en-US"/>
        </w:rPr>
      </w:pPr>
    </w:p>
    <w:p w:rsidR="00B124FF" w:rsidRPr="00F57F37" w:rsidRDefault="00B124FF" w:rsidP="00B124FF">
      <w:pPr>
        <w:jc w:val="both"/>
        <w:rPr>
          <w:sz w:val="20"/>
          <w:lang w:val="en-US"/>
        </w:rPr>
      </w:pPr>
      <w:r w:rsidRPr="00F57F37">
        <w:rPr>
          <w:sz w:val="20"/>
          <w:lang w:val="en-US"/>
        </w:rPr>
        <w:t>i)</w:t>
      </w:r>
      <w:r w:rsidRPr="00F57F37">
        <w:rPr>
          <w:sz w:val="20"/>
          <w:lang w:val="en-US"/>
        </w:rPr>
        <w:tab/>
        <w:t>The respondent/respondent on cross-appeal’s factum on cross-appeal shall be served and filed on or before March 15, 2019.</w:t>
      </w:r>
    </w:p>
    <w:p w:rsidR="00B124FF" w:rsidRPr="00F57F37" w:rsidRDefault="00B124FF" w:rsidP="00B124FF">
      <w:pPr>
        <w:jc w:val="both"/>
        <w:rPr>
          <w:sz w:val="20"/>
          <w:lang w:val="en-US"/>
        </w:rPr>
      </w:pPr>
    </w:p>
    <w:p w:rsidR="00B124FF" w:rsidRPr="00E825BB" w:rsidRDefault="00B124FF" w:rsidP="00B124FF">
      <w:pPr>
        <w:jc w:val="both"/>
        <w:rPr>
          <w:b/>
          <w:sz w:val="20"/>
          <w:lang w:val="fr-CA"/>
        </w:rPr>
      </w:pPr>
      <w:r w:rsidRPr="00F57F37">
        <w:rPr>
          <w:b/>
          <w:sz w:val="20"/>
          <w:lang w:val="fr-CA"/>
        </w:rPr>
        <w:t xml:space="preserve">Procureur général du Canada c. British Columbia Investment Management </w:t>
      </w:r>
      <w:r w:rsidR="005B448B">
        <w:rPr>
          <w:b/>
          <w:sz w:val="20"/>
          <w:lang w:val="fr-CA"/>
        </w:rPr>
        <w:t>Corporation</w:t>
      </w:r>
      <w:r w:rsidRPr="00F57F37">
        <w:rPr>
          <w:b/>
          <w:sz w:val="20"/>
          <w:lang w:val="fr-CA"/>
        </w:rPr>
        <w:t xml:space="preserve"> et al. (38059)</w:t>
      </w:r>
    </w:p>
    <w:p w:rsidR="00B124FF" w:rsidRPr="00E825BB" w:rsidRDefault="00B124FF" w:rsidP="00B124FF">
      <w:pPr>
        <w:jc w:val="both"/>
        <w:rPr>
          <w:sz w:val="20"/>
          <w:lang w:val="fr-CA"/>
        </w:rPr>
      </w:pPr>
    </w:p>
    <w:p w:rsidR="00B124FF" w:rsidRPr="00F57F37" w:rsidRDefault="00B124FF" w:rsidP="00B124FF">
      <w:pPr>
        <w:jc w:val="both"/>
        <w:rPr>
          <w:sz w:val="20"/>
          <w:lang w:val="fr-CA"/>
        </w:rPr>
      </w:pPr>
      <w:r w:rsidRPr="00F57F37">
        <w:rPr>
          <w:sz w:val="20"/>
          <w:lang w:val="fr-CA"/>
        </w:rPr>
        <w:t xml:space="preserve">Le registraire a établi l’échéancier révisé suivant pour la signification et le dépôt des documents et pour toute requête en intervention dans l’appel </w:t>
      </w:r>
      <w:r w:rsidRPr="00F57F37">
        <w:rPr>
          <w:i/>
          <w:sz w:val="20"/>
          <w:lang w:val="fr-CA"/>
        </w:rPr>
        <w:t>Procureur général du Canada – c. – British Columbia Investment Management Corporation, et al.</w:t>
      </w:r>
      <w:r w:rsidRPr="00F57F37">
        <w:rPr>
          <w:sz w:val="20"/>
          <w:lang w:val="fr-CA"/>
        </w:rPr>
        <w:t xml:space="preserve"> (38059) qui sera entendu le 17 mai 2019:</w:t>
      </w:r>
    </w:p>
    <w:p w:rsidR="00B124FF" w:rsidRPr="00F57F37" w:rsidRDefault="00B124FF" w:rsidP="00B124FF">
      <w:pPr>
        <w:jc w:val="both"/>
        <w:rPr>
          <w:sz w:val="20"/>
          <w:lang w:val="fr-CA"/>
        </w:rPr>
      </w:pPr>
    </w:p>
    <w:p w:rsidR="00B124FF" w:rsidRPr="00F57F37" w:rsidRDefault="00B124FF" w:rsidP="00B124FF">
      <w:pPr>
        <w:jc w:val="both"/>
        <w:rPr>
          <w:sz w:val="20"/>
          <w:lang w:val="fr-CA"/>
        </w:rPr>
      </w:pPr>
      <w:r w:rsidRPr="00F57F37">
        <w:rPr>
          <w:sz w:val="20"/>
          <w:lang w:val="fr-CA"/>
        </w:rPr>
        <w:t>a)</w:t>
      </w:r>
      <w:r w:rsidRPr="00F57F37">
        <w:rPr>
          <w:sz w:val="20"/>
          <w:lang w:val="fr-CA"/>
        </w:rPr>
        <w:tab/>
        <w:t>Toute personne qui souhaite intervenir dans le présent appel en vertu de la règle 55 des Règles de la Cour suprême du Canada signifiera et déposera une requête en autorisation d’intervenir au plus tard le 29 janvier 2019.</w:t>
      </w:r>
    </w:p>
    <w:p w:rsidR="00B124FF" w:rsidRPr="00F57F37" w:rsidRDefault="00B124FF" w:rsidP="00B124FF">
      <w:pPr>
        <w:jc w:val="both"/>
        <w:rPr>
          <w:sz w:val="20"/>
          <w:lang w:val="fr-CA"/>
        </w:rPr>
      </w:pPr>
    </w:p>
    <w:p w:rsidR="00B124FF" w:rsidRPr="00F57F37" w:rsidRDefault="00B124FF" w:rsidP="00B124FF">
      <w:pPr>
        <w:jc w:val="both"/>
        <w:rPr>
          <w:sz w:val="20"/>
          <w:lang w:val="fr-CA"/>
        </w:rPr>
      </w:pPr>
      <w:r w:rsidRPr="00F57F37">
        <w:rPr>
          <w:sz w:val="20"/>
          <w:lang w:val="fr-CA"/>
        </w:rPr>
        <w:t>b)</w:t>
      </w:r>
      <w:r w:rsidRPr="00F57F37">
        <w:rPr>
          <w:sz w:val="20"/>
          <w:lang w:val="fr-CA"/>
        </w:rPr>
        <w:tab/>
        <w:t>L’appelant/intimé à l’appel incident, l’intimée/appelante à l’appel incident et l’intimée/intimée à l’appel incident signifieront et déposeront leur réponse aux demandes d’autorisation d’intervenir, le cas échéant, au plus tard le 4 février 2019.</w:t>
      </w:r>
    </w:p>
    <w:p w:rsidR="00B124FF" w:rsidRPr="00F57F37" w:rsidRDefault="00B124FF" w:rsidP="00B124FF">
      <w:pPr>
        <w:jc w:val="both"/>
        <w:rPr>
          <w:sz w:val="20"/>
          <w:lang w:val="fr-CA"/>
        </w:rPr>
      </w:pPr>
    </w:p>
    <w:p w:rsidR="00B124FF" w:rsidRPr="00F57F37" w:rsidRDefault="00B124FF" w:rsidP="00B124FF">
      <w:pPr>
        <w:jc w:val="both"/>
        <w:rPr>
          <w:sz w:val="20"/>
          <w:lang w:val="fr-CA"/>
        </w:rPr>
      </w:pPr>
      <w:r w:rsidRPr="00F57F37">
        <w:rPr>
          <w:sz w:val="20"/>
          <w:lang w:val="fr-CA"/>
        </w:rPr>
        <w:t>c)</w:t>
      </w:r>
      <w:r w:rsidRPr="00F57F37">
        <w:rPr>
          <w:sz w:val="20"/>
          <w:lang w:val="fr-CA"/>
        </w:rPr>
        <w:tab/>
        <w:t>Les répliques à toute réponse aux demandes d’autorisation d’intervenir seront signifiées et déposées au plus tard le 6 février 2019.</w:t>
      </w:r>
    </w:p>
    <w:p w:rsidR="00B124FF" w:rsidRPr="00F57F37" w:rsidRDefault="00B124FF" w:rsidP="00B124FF">
      <w:pPr>
        <w:jc w:val="both"/>
        <w:rPr>
          <w:sz w:val="20"/>
          <w:lang w:val="fr-CA"/>
        </w:rPr>
      </w:pPr>
    </w:p>
    <w:p w:rsidR="00B124FF" w:rsidRPr="00F57F37" w:rsidRDefault="00B124FF" w:rsidP="00B124FF">
      <w:pPr>
        <w:jc w:val="both"/>
        <w:rPr>
          <w:sz w:val="20"/>
          <w:lang w:val="fr-CA"/>
        </w:rPr>
      </w:pPr>
      <w:r w:rsidRPr="00F57F37">
        <w:rPr>
          <w:sz w:val="20"/>
          <w:lang w:val="fr-CA"/>
        </w:rPr>
        <w:t>d)</w:t>
      </w:r>
      <w:r w:rsidRPr="00F57F37">
        <w:rPr>
          <w:sz w:val="20"/>
          <w:lang w:val="fr-CA"/>
        </w:rPr>
        <w:tab/>
        <w:t>Tout intervenant qui sera autorisé à intervenir en application de la règle 59 des Règles de la Cour suprême du Canada devra signifier et déposer leur mémoire et recueil de sources, le cas échéant, au plus tard le 22 mars 2019.</w:t>
      </w:r>
    </w:p>
    <w:p w:rsidR="00B124FF" w:rsidRPr="00F57F37" w:rsidRDefault="00B124FF" w:rsidP="00B124FF">
      <w:pPr>
        <w:jc w:val="both"/>
        <w:rPr>
          <w:sz w:val="20"/>
          <w:lang w:val="fr-CA"/>
        </w:rPr>
      </w:pPr>
    </w:p>
    <w:p w:rsidR="00B124FF" w:rsidRPr="00F57F37" w:rsidRDefault="00B124FF" w:rsidP="00B124FF">
      <w:pPr>
        <w:jc w:val="both"/>
        <w:rPr>
          <w:sz w:val="20"/>
          <w:lang w:val="fr-CA"/>
        </w:rPr>
      </w:pPr>
      <w:r w:rsidRPr="00F57F37">
        <w:rPr>
          <w:sz w:val="20"/>
          <w:lang w:val="fr-CA"/>
        </w:rPr>
        <w:lastRenderedPageBreak/>
        <w:t>e)</w:t>
      </w:r>
      <w:r w:rsidRPr="00F57F37">
        <w:rPr>
          <w:sz w:val="20"/>
          <w:lang w:val="fr-CA"/>
        </w:rPr>
        <w:tab/>
        <w:t>Tout procureur général intervenant dans l’appel en vertu de la règle 33(4) des Règles de la Cour suprême du Canada devront signifier et déposer leur mémoire et recueil de sources, le cas échéant, au plus tard le 22 mars 2019.</w:t>
      </w:r>
    </w:p>
    <w:p w:rsidR="00B124FF" w:rsidRPr="00F57F37" w:rsidRDefault="00B124FF" w:rsidP="00B124FF">
      <w:pPr>
        <w:jc w:val="both"/>
        <w:rPr>
          <w:sz w:val="20"/>
          <w:lang w:val="fr-CA"/>
        </w:rPr>
      </w:pPr>
    </w:p>
    <w:p w:rsidR="00B124FF" w:rsidRPr="00F57F37" w:rsidRDefault="00B124FF" w:rsidP="00B124FF">
      <w:pPr>
        <w:jc w:val="both"/>
        <w:rPr>
          <w:sz w:val="20"/>
          <w:lang w:val="fr-CA"/>
        </w:rPr>
      </w:pPr>
      <w:r w:rsidRPr="00F57F37">
        <w:rPr>
          <w:sz w:val="20"/>
          <w:lang w:val="fr-CA"/>
        </w:rPr>
        <w:t>f)</w:t>
      </w:r>
      <w:r w:rsidRPr="00F57F37">
        <w:rPr>
          <w:sz w:val="20"/>
          <w:lang w:val="fr-CA"/>
        </w:rPr>
        <w:tab/>
        <w:t>Les dossier, mémoire et recueil de sources, le cas échéant, de l’intimée/appelante à  l’appel incident seront signifiés et déposés au plus tard le 5 mars 2019.</w:t>
      </w:r>
    </w:p>
    <w:p w:rsidR="00B124FF" w:rsidRPr="00F57F37" w:rsidRDefault="00B124FF" w:rsidP="00B124FF">
      <w:pPr>
        <w:jc w:val="both"/>
        <w:rPr>
          <w:sz w:val="20"/>
          <w:lang w:val="fr-CA"/>
        </w:rPr>
      </w:pPr>
    </w:p>
    <w:p w:rsidR="00B124FF" w:rsidRPr="00F57F37" w:rsidRDefault="00B124FF" w:rsidP="00B124FF">
      <w:pPr>
        <w:jc w:val="both"/>
        <w:rPr>
          <w:sz w:val="20"/>
          <w:lang w:val="fr-CA"/>
        </w:rPr>
      </w:pPr>
      <w:r w:rsidRPr="00F57F37">
        <w:rPr>
          <w:sz w:val="20"/>
          <w:lang w:val="fr-CA"/>
        </w:rPr>
        <w:t>g)</w:t>
      </w:r>
      <w:r w:rsidRPr="00F57F37">
        <w:rPr>
          <w:sz w:val="20"/>
          <w:lang w:val="fr-CA"/>
        </w:rPr>
        <w:tab/>
        <w:t>Les dossier, mémoire et recueil de sources, le cas échéant, de l’intimée/intimée à  l’appel incident seront signifiés et déposés au plus tard le 5 mars 2019.</w:t>
      </w:r>
    </w:p>
    <w:p w:rsidR="00B124FF" w:rsidRPr="00F57F37" w:rsidRDefault="00B124FF" w:rsidP="00B124FF">
      <w:pPr>
        <w:jc w:val="both"/>
        <w:rPr>
          <w:sz w:val="20"/>
          <w:lang w:val="fr-CA"/>
        </w:rPr>
      </w:pPr>
    </w:p>
    <w:p w:rsidR="00B124FF" w:rsidRPr="00F57F37" w:rsidRDefault="00B124FF" w:rsidP="00B124FF">
      <w:pPr>
        <w:jc w:val="both"/>
        <w:rPr>
          <w:sz w:val="20"/>
          <w:lang w:val="fr-CA"/>
        </w:rPr>
      </w:pPr>
      <w:r w:rsidRPr="00F57F37">
        <w:rPr>
          <w:sz w:val="20"/>
          <w:lang w:val="fr-CA"/>
        </w:rPr>
        <w:t>h)</w:t>
      </w:r>
      <w:r w:rsidRPr="00F57F37">
        <w:rPr>
          <w:sz w:val="20"/>
          <w:lang w:val="fr-CA"/>
        </w:rPr>
        <w:tab/>
        <w:t>Le mémoire à l’appel incident de l’appelant/intimé à l’appel incident sera signifié et déposé au plus tard le 15 mars 2019.</w:t>
      </w:r>
    </w:p>
    <w:p w:rsidR="00B124FF" w:rsidRPr="00F57F37" w:rsidRDefault="00B124FF" w:rsidP="00B124FF">
      <w:pPr>
        <w:jc w:val="both"/>
        <w:rPr>
          <w:sz w:val="20"/>
          <w:lang w:val="fr-CA"/>
        </w:rPr>
      </w:pPr>
    </w:p>
    <w:p w:rsidR="00B124FF" w:rsidRPr="00F57F37" w:rsidRDefault="00B124FF" w:rsidP="00B124FF">
      <w:pPr>
        <w:jc w:val="both"/>
        <w:rPr>
          <w:sz w:val="20"/>
          <w:lang w:val="fr-CA"/>
        </w:rPr>
      </w:pPr>
      <w:r w:rsidRPr="00F57F37">
        <w:rPr>
          <w:sz w:val="20"/>
          <w:lang w:val="fr-CA"/>
        </w:rPr>
        <w:t>i)</w:t>
      </w:r>
      <w:r w:rsidRPr="00F57F37">
        <w:rPr>
          <w:sz w:val="20"/>
          <w:lang w:val="fr-CA"/>
        </w:rPr>
        <w:tab/>
        <w:t>Le mémoire à l’appel incident de l’intimée/intimée à l’appel incident sera signifié et déposé au plus tard le 15 mars 2019.</w:t>
      </w:r>
    </w:p>
    <w:p w:rsidR="00B124FF" w:rsidRDefault="00B124FF" w:rsidP="00B124FF">
      <w:pPr>
        <w:jc w:val="both"/>
        <w:rPr>
          <w:sz w:val="20"/>
          <w:lang w:val="fr-CA"/>
        </w:rPr>
      </w:pPr>
    </w:p>
    <w:p w:rsidR="00B124FF" w:rsidRDefault="00A24D5C" w:rsidP="00B124FF">
      <w:pPr>
        <w:jc w:val="both"/>
        <w:rPr>
          <w:sz w:val="20"/>
          <w:lang w:val="fr-CA"/>
        </w:rPr>
      </w:pPr>
      <w:r>
        <w:rPr>
          <w:sz w:val="20"/>
          <w:szCs w:val="20"/>
        </w:rPr>
        <w:pict>
          <v:rect id="_x0000_i1062" style="width:2in;height:1pt" o:hrpct="0" o:hralign="center" o:hrstd="t" o:hrnoshade="t" o:hr="t" fillcolor="black [3213]" stroked="f"/>
        </w:pict>
      </w:r>
    </w:p>
    <w:p w:rsidR="00B124FF" w:rsidRDefault="00B124FF" w:rsidP="00B124FF">
      <w:pPr>
        <w:jc w:val="both"/>
        <w:rPr>
          <w:sz w:val="20"/>
          <w:lang w:val="fr-CA"/>
        </w:rPr>
      </w:pPr>
    </w:p>
    <w:p w:rsidR="00B124FF" w:rsidRDefault="00B124FF" w:rsidP="00B124FF">
      <w:pPr>
        <w:jc w:val="both"/>
        <w:rPr>
          <w:sz w:val="20"/>
          <w:lang w:val="fr-CA"/>
        </w:rPr>
      </w:pPr>
    </w:p>
    <w:p w:rsidR="00B124FF" w:rsidRPr="004A62A7" w:rsidRDefault="005B448B" w:rsidP="00B124FF">
      <w:pPr>
        <w:jc w:val="both"/>
        <w:rPr>
          <w:b/>
          <w:sz w:val="20"/>
          <w:lang w:val="fr-CA"/>
        </w:rPr>
      </w:pPr>
      <w:r>
        <w:rPr>
          <w:b/>
          <w:sz w:val="20"/>
          <w:szCs w:val="20"/>
          <w:lang w:val="fr-CA"/>
        </w:rPr>
        <w:t>Landon Williams</w:t>
      </w:r>
      <w:r w:rsidR="00B124FF" w:rsidRPr="004A62A7">
        <w:rPr>
          <w:b/>
          <w:sz w:val="20"/>
          <w:szCs w:val="20"/>
          <w:lang w:val="fr-CA"/>
        </w:rPr>
        <w:t xml:space="preserve"> c. Sa Majesté la Reine (38304)</w:t>
      </w:r>
    </w:p>
    <w:p w:rsidR="00B124FF" w:rsidRDefault="00B124FF" w:rsidP="00B124FF">
      <w:pPr>
        <w:jc w:val="both"/>
        <w:rPr>
          <w:sz w:val="20"/>
          <w:lang w:val="fr-CA"/>
        </w:rPr>
      </w:pPr>
    </w:p>
    <w:p w:rsidR="00B124FF" w:rsidRDefault="00B124FF" w:rsidP="00B124FF">
      <w:pPr>
        <w:jc w:val="both"/>
        <w:rPr>
          <w:sz w:val="20"/>
          <w:szCs w:val="20"/>
        </w:rPr>
      </w:pPr>
      <w:r w:rsidRPr="004A62A7">
        <w:rPr>
          <w:i/>
          <w:sz w:val="20"/>
          <w:szCs w:val="20"/>
        </w:rPr>
        <w:fldChar w:fldCharType="begin"/>
      </w:r>
      <w:r w:rsidRPr="004A62A7">
        <w:rPr>
          <w:sz w:val="20"/>
          <w:szCs w:val="20"/>
        </w:rPr>
        <w:instrText xml:space="preserve"> SEQ CHAPTER \h \r 1</w:instrText>
      </w:r>
      <w:r w:rsidRPr="004A62A7">
        <w:rPr>
          <w:sz w:val="20"/>
          <w:szCs w:val="20"/>
          <w:lang w:val="fr-CA"/>
        </w:rPr>
        <w:fldChar w:fldCharType="end"/>
      </w:r>
      <w:r w:rsidRPr="004A62A7">
        <w:rPr>
          <w:sz w:val="20"/>
          <w:szCs w:val="20"/>
        </w:rPr>
        <w:t xml:space="preserve">The schedule for serving and filing the material and any application for leave to intervene in the appeal of </w:t>
      </w:r>
      <w:r w:rsidRPr="004A62A7">
        <w:rPr>
          <w:i/>
          <w:sz w:val="20"/>
          <w:szCs w:val="20"/>
        </w:rPr>
        <w:t>Landon Williams</w:t>
      </w:r>
      <w:r w:rsidRPr="004A62A7">
        <w:rPr>
          <w:i/>
          <w:sz w:val="20"/>
          <w:szCs w:val="20"/>
          <w:lang w:val="en-US"/>
        </w:rPr>
        <w:t xml:space="preserve"> – v. – </w:t>
      </w:r>
      <w:r w:rsidRPr="004A62A7">
        <w:rPr>
          <w:i/>
          <w:sz w:val="20"/>
          <w:szCs w:val="20"/>
        </w:rPr>
        <w:t xml:space="preserve">Her Majesty the Queen </w:t>
      </w:r>
      <w:r w:rsidRPr="004A62A7">
        <w:rPr>
          <w:sz w:val="20"/>
          <w:szCs w:val="20"/>
          <w:lang w:val="en-US"/>
        </w:rPr>
        <w:t xml:space="preserve">(38304) </w:t>
      </w:r>
      <w:r w:rsidRPr="004A62A7">
        <w:rPr>
          <w:sz w:val="20"/>
          <w:szCs w:val="20"/>
        </w:rPr>
        <w:t>to be heard on May 23, 2019</w:t>
      </w:r>
      <w:r w:rsidRPr="004A62A7">
        <w:rPr>
          <w:sz w:val="20"/>
          <w:szCs w:val="20"/>
          <w:lang w:val="en-US"/>
        </w:rPr>
        <w:t xml:space="preserve">, </w:t>
      </w:r>
      <w:r w:rsidRPr="004A62A7">
        <w:rPr>
          <w:sz w:val="20"/>
          <w:szCs w:val="20"/>
        </w:rPr>
        <w:t>was set as follows by the Registrar:</w:t>
      </w:r>
    </w:p>
    <w:p w:rsidR="00B124FF" w:rsidRPr="004A62A7" w:rsidRDefault="00B124FF" w:rsidP="00B124FF">
      <w:pPr>
        <w:jc w:val="both"/>
        <w:rPr>
          <w:i/>
          <w:sz w:val="20"/>
          <w:szCs w:val="20"/>
        </w:rPr>
      </w:pPr>
    </w:p>
    <w:tbl>
      <w:tblPr>
        <w:tblStyle w:val="TableGrid"/>
        <w:tblW w:w="9054"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4"/>
      </w:tblGrid>
      <w:tr w:rsidR="00B124FF" w:rsidRPr="004A62A7" w:rsidTr="005F32B8">
        <w:tc>
          <w:tcPr>
            <w:tcW w:w="9054" w:type="dxa"/>
          </w:tcPr>
          <w:p w:rsidR="00B124FF" w:rsidRPr="004A62A7" w:rsidRDefault="00B124FF" w:rsidP="005F32B8">
            <w:pPr>
              <w:numPr>
                <w:ilvl w:val="0"/>
                <w:numId w:val="11"/>
              </w:numPr>
              <w:jc w:val="both"/>
              <w:rPr>
                <w:sz w:val="20"/>
                <w:szCs w:val="20"/>
                <w:lang w:val="en-US"/>
              </w:rPr>
            </w:pPr>
            <w:r w:rsidRPr="004A62A7">
              <w:rPr>
                <w:sz w:val="20"/>
                <w:szCs w:val="20"/>
                <w:lang w:val="en-US"/>
              </w:rPr>
              <w:t xml:space="preserve">The </w:t>
            </w:r>
            <w:r w:rsidRPr="004A62A7">
              <w:rPr>
                <w:sz w:val="20"/>
                <w:szCs w:val="20"/>
                <w:lang w:val="en-GB"/>
              </w:rPr>
              <w:t xml:space="preserve">appellant’s record, factum and book of authorities, if any, shall be served and filed </w:t>
            </w:r>
            <w:r w:rsidRPr="004A62A7">
              <w:rPr>
                <w:sz w:val="20"/>
                <w:szCs w:val="20"/>
                <w:lang w:val="en-US"/>
              </w:rPr>
              <w:t>on or before</w:t>
            </w:r>
            <w:r w:rsidRPr="004A62A7">
              <w:rPr>
                <w:sz w:val="20"/>
                <w:szCs w:val="20"/>
                <w:lang w:val="en-GB"/>
              </w:rPr>
              <w:t xml:space="preserve"> March 7, 2019.</w:t>
            </w:r>
          </w:p>
          <w:p w:rsidR="00B124FF" w:rsidRPr="004A62A7" w:rsidRDefault="00B124FF" w:rsidP="005F32B8">
            <w:pPr>
              <w:jc w:val="both"/>
              <w:rPr>
                <w:sz w:val="20"/>
                <w:szCs w:val="20"/>
                <w:lang w:val="en-US"/>
              </w:rPr>
            </w:pPr>
          </w:p>
        </w:tc>
      </w:tr>
      <w:tr w:rsidR="00B124FF" w:rsidRPr="004A62A7" w:rsidTr="005F32B8">
        <w:tc>
          <w:tcPr>
            <w:tcW w:w="9054" w:type="dxa"/>
          </w:tcPr>
          <w:p w:rsidR="00B124FF" w:rsidRPr="004A62A7" w:rsidRDefault="00B124FF" w:rsidP="005F32B8">
            <w:pPr>
              <w:numPr>
                <w:ilvl w:val="0"/>
                <w:numId w:val="11"/>
              </w:numPr>
              <w:jc w:val="both"/>
              <w:rPr>
                <w:sz w:val="20"/>
                <w:szCs w:val="20"/>
                <w:lang w:val="en-US"/>
              </w:rPr>
            </w:pPr>
            <w:r w:rsidRPr="004A62A7">
              <w:rPr>
                <w:sz w:val="20"/>
                <w:szCs w:val="20"/>
                <w:lang w:val="en-US"/>
              </w:rPr>
              <w:t xml:space="preserve">Any person wishing to intervene in this appeal under Rule 55 of the </w:t>
            </w:r>
            <w:r w:rsidRPr="004A62A7">
              <w:rPr>
                <w:i/>
                <w:sz w:val="20"/>
                <w:szCs w:val="20"/>
                <w:lang w:val="en-US"/>
              </w:rPr>
              <w:t>Rules of the Supreme Court of Canada</w:t>
            </w:r>
            <w:r w:rsidRPr="004A62A7">
              <w:rPr>
                <w:sz w:val="20"/>
                <w:szCs w:val="20"/>
                <w:lang w:val="en-US"/>
              </w:rPr>
              <w:t xml:space="preserve"> shall serve and file a motion for leave to intervene on or before March 28, 2019.</w:t>
            </w:r>
          </w:p>
          <w:p w:rsidR="00B124FF" w:rsidRPr="004A62A7" w:rsidRDefault="00B124FF" w:rsidP="005F32B8">
            <w:pPr>
              <w:jc w:val="both"/>
              <w:rPr>
                <w:sz w:val="20"/>
                <w:szCs w:val="20"/>
              </w:rPr>
            </w:pPr>
          </w:p>
          <w:p w:rsidR="00B124FF" w:rsidRPr="004A62A7" w:rsidRDefault="00B124FF" w:rsidP="005F32B8">
            <w:pPr>
              <w:numPr>
                <w:ilvl w:val="0"/>
                <w:numId w:val="11"/>
              </w:numPr>
              <w:jc w:val="both"/>
              <w:rPr>
                <w:sz w:val="20"/>
                <w:szCs w:val="20"/>
                <w:lang w:val="en-US"/>
              </w:rPr>
            </w:pPr>
            <w:r w:rsidRPr="004A62A7">
              <w:rPr>
                <w:sz w:val="20"/>
                <w:szCs w:val="20"/>
                <w:lang w:val="en-US"/>
              </w:rPr>
              <w:t>The appellant and respondent shall serve and file their responses, if any, to the motions for leave to intervene on or before April 4, 2019.</w:t>
            </w:r>
          </w:p>
          <w:p w:rsidR="00B124FF" w:rsidRPr="004A62A7" w:rsidRDefault="00B124FF" w:rsidP="005F32B8">
            <w:pPr>
              <w:jc w:val="both"/>
              <w:rPr>
                <w:sz w:val="20"/>
                <w:szCs w:val="20"/>
              </w:rPr>
            </w:pPr>
          </w:p>
        </w:tc>
      </w:tr>
      <w:tr w:rsidR="00B124FF" w:rsidRPr="004A62A7" w:rsidTr="005F32B8">
        <w:trPr>
          <w:trHeight w:val="2160"/>
        </w:trPr>
        <w:tc>
          <w:tcPr>
            <w:tcW w:w="9054" w:type="dxa"/>
            <w:shd w:val="clear" w:color="auto" w:fill="auto"/>
          </w:tcPr>
          <w:p w:rsidR="00B124FF" w:rsidRPr="004A62A7" w:rsidRDefault="00B124FF" w:rsidP="005F32B8">
            <w:pPr>
              <w:numPr>
                <w:ilvl w:val="0"/>
                <w:numId w:val="11"/>
              </w:numPr>
              <w:jc w:val="both"/>
              <w:rPr>
                <w:sz w:val="20"/>
                <w:szCs w:val="20"/>
                <w:lang w:val="en-US"/>
              </w:rPr>
            </w:pPr>
            <w:r w:rsidRPr="004A62A7">
              <w:rPr>
                <w:sz w:val="20"/>
                <w:szCs w:val="20"/>
                <w:lang w:val="en-US"/>
              </w:rPr>
              <w:t>Replies to any responses to the motions for leave to intervene shall be served and filed on or before April 9, 2019.</w:t>
            </w:r>
          </w:p>
          <w:p w:rsidR="00B124FF" w:rsidRPr="004A62A7" w:rsidRDefault="00B124FF" w:rsidP="005F32B8">
            <w:pPr>
              <w:jc w:val="both"/>
              <w:rPr>
                <w:sz w:val="20"/>
                <w:szCs w:val="20"/>
              </w:rPr>
            </w:pPr>
          </w:p>
          <w:p w:rsidR="00B124FF" w:rsidRPr="004A62A7" w:rsidRDefault="00B124FF" w:rsidP="005F32B8">
            <w:pPr>
              <w:numPr>
                <w:ilvl w:val="0"/>
                <w:numId w:val="11"/>
              </w:numPr>
              <w:jc w:val="both"/>
              <w:rPr>
                <w:sz w:val="20"/>
                <w:szCs w:val="20"/>
                <w:lang w:val="en-US"/>
              </w:rPr>
            </w:pPr>
            <w:r w:rsidRPr="004A62A7">
              <w:rPr>
                <w:sz w:val="20"/>
                <w:szCs w:val="20"/>
                <w:lang w:val="en-GB"/>
              </w:rPr>
              <w:t xml:space="preserve">Any intervener granted leave to intervene under Rule 59 of the </w:t>
            </w:r>
            <w:r w:rsidRPr="004A62A7">
              <w:rPr>
                <w:i/>
                <w:sz w:val="20"/>
                <w:szCs w:val="20"/>
                <w:lang w:val="en-GB"/>
              </w:rPr>
              <w:t>Rules of the Supreme Court of Canada</w:t>
            </w:r>
            <w:r w:rsidRPr="004A62A7">
              <w:rPr>
                <w:sz w:val="20"/>
                <w:szCs w:val="20"/>
                <w:lang w:val="en-GB"/>
              </w:rPr>
              <w:t xml:space="preserve"> shall serve and file its respective factum and book of authorities, if any, on or before May 9, 2019.</w:t>
            </w:r>
          </w:p>
          <w:p w:rsidR="00B124FF" w:rsidRPr="004A62A7" w:rsidRDefault="00B124FF" w:rsidP="005F32B8">
            <w:pPr>
              <w:jc w:val="both"/>
              <w:rPr>
                <w:sz w:val="20"/>
                <w:szCs w:val="20"/>
                <w:lang w:val="en-US"/>
              </w:rPr>
            </w:pPr>
          </w:p>
          <w:p w:rsidR="00B124FF" w:rsidRPr="004A62A7" w:rsidRDefault="00B124FF" w:rsidP="005F32B8">
            <w:pPr>
              <w:numPr>
                <w:ilvl w:val="0"/>
                <w:numId w:val="11"/>
              </w:numPr>
              <w:jc w:val="both"/>
              <w:rPr>
                <w:sz w:val="20"/>
                <w:szCs w:val="20"/>
                <w:lang w:val="en-US"/>
              </w:rPr>
            </w:pPr>
            <w:r w:rsidRPr="004A62A7">
              <w:rPr>
                <w:sz w:val="20"/>
                <w:szCs w:val="20"/>
                <w:lang w:val="en-US"/>
              </w:rPr>
              <w:t>The respondent’s record, factum and book of authorities, if any, shall be served and filed on or before May 3, 2019.</w:t>
            </w:r>
          </w:p>
          <w:p w:rsidR="00B124FF" w:rsidRPr="004A62A7" w:rsidRDefault="00B124FF" w:rsidP="005F32B8">
            <w:pPr>
              <w:jc w:val="both"/>
              <w:rPr>
                <w:sz w:val="20"/>
                <w:szCs w:val="20"/>
                <w:lang w:val="en-US"/>
              </w:rPr>
            </w:pPr>
          </w:p>
        </w:tc>
      </w:tr>
    </w:tbl>
    <w:p w:rsidR="00B124FF" w:rsidRPr="00E825BB" w:rsidRDefault="00B124FF" w:rsidP="00B124FF">
      <w:pPr>
        <w:jc w:val="both"/>
        <w:rPr>
          <w:sz w:val="20"/>
          <w:szCs w:val="20"/>
          <w:lang w:val="en-US"/>
        </w:rPr>
      </w:pPr>
    </w:p>
    <w:p w:rsidR="00B124FF" w:rsidRPr="004A62A7" w:rsidRDefault="005B448B" w:rsidP="00B124FF">
      <w:pPr>
        <w:jc w:val="both"/>
        <w:rPr>
          <w:b/>
          <w:sz w:val="20"/>
          <w:szCs w:val="20"/>
          <w:lang w:val="fr-CA"/>
        </w:rPr>
      </w:pPr>
      <w:r>
        <w:rPr>
          <w:b/>
          <w:sz w:val="20"/>
          <w:szCs w:val="20"/>
          <w:lang w:val="fr-CA"/>
        </w:rPr>
        <w:t>Landon Williams</w:t>
      </w:r>
      <w:r w:rsidR="00B124FF" w:rsidRPr="004A62A7">
        <w:rPr>
          <w:b/>
          <w:sz w:val="20"/>
          <w:szCs w:val="20"/>
          <w:lang w:val="fr-CA"/>
        </w:rPr>
        <w:t xml:space="preserve"> c. Sa Majesté la Reine (38304)</w:t>
      </w:r>
    </w:p>
    <w:p w:rsidR="00B124FF" w:rsidRDefault="00B124FF" w:rsidP="00B124FF">
      <w:pPr>
        <w:jc w:val="both"/>
        <w:rPr>
          <w:sz w:val="20"/>
          <w:szCs w:val="20"/>
          <w:lang w:val="fr-CA"/>
        </w:rPr>
      </w:pPr>
    </w:p>
    <w:p w:rsidR="00B124FF" w:rsidRDefault="00B124FF" w:rsidP="00B124FF">
      <w:pPr>
        <w:jc w:val="both"/>
        <w:rPr>
          <w:sz w:val="20"/>
          <w:szCs w:val="20"/>
          <w:lang w:val="fr-CA"/>
        </w:rPr>
      </w:pPr>
      <w:r w:rsidRPr="004A62A7">
        <w:rPr>
          <w:sz w:val="20"/>
          <w:szCs w:val="20"/>
          <w:lang w:val="fr-CA"/>
        </w:rPr>
        <w:t xml:space="preserve">Le registraire a établi l’échéancier suivant pour la signification et le dépôt des documents et pour toute requête en intervention dans l’appel </w:t>
      </w:r>
      <w:r w:rsidRPr="004A62A7">
        <w:rPr>
          <w:i/>
          <w:sz w:val="20"/>
          <w:szCs w:val="20"/>
          <w:lang w:val="fr-CA"/>
        </w:rPr>
        <w:t>Landon Williams – c. – Sa Majesté la Reine</w:t>
      </w:r>
      <w:r w:rsidRPr="004A62A7">
        <w:rPr>
          <w:sz w:val="20"/>
          <w:szCs w:val="20"/>
          <w:lang w:val="fr-CA"/>
        </w:rPr>
        <w:t xml:space="preserve"> (38304) qui sera entendu le 23 mai 2019 :</w:t>
      </w:r>
    </w:p>
    <w:p w:rsidR="00B124FF" w:rsidRPr="004A62A7" w:rsidRDefault="00B124FF" w:rsidP="00B124FF">
      <w:pPr>
        <w:jc w:val="both"/>
        <w:rPr>
          <w:i/>
          <w:sz w:val="20"/>
          <w:szCs w:val="20"/>
          <w:lang w:val="fr-CA"/>
        </w:rPr>
      </w:pPr>
    </w:p>
    <w:tbl>
      <w:tblPr>
        <w:tblStyle w:val="TableGrid"/>
        <w:tblW w:w="9054"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4"/>
      </w:tblGrid>
      <w:tr w:rsidR="00B124FF" w:rsidRPr="00523D1E" w:rsidTr="005F32B8">
        <w:tc>
          <w:tcPr>
            <w:tcW w:w="9054" w:type="dxa"/>
          </w:tcPr>
          <w:p w:rsidR="00B124FF" w:rsidRPr="004A62A7" w:rsidRDefault="00B124FF" w:rsidP="005F32B8">
            <w:pPr>
              <w:jc w:val="both"/>
              <w:rPr>
                <w:sz w:val="20"/>
                <w:szCs w:val="20"/>
                <w:lang w:val="fr-CA"/>
              </w:rPr>
            </w:pPr>
          </w:p>
          <w:p w:rsidR="00B124FF" w:rsidRPr="004A62A7" w:rsidRDefault="00B124FF" w:rsidP="005F32B8">
            <w:pPr>
              <w:numPr>
                <w:ilvl w:val="0"/>
                <w:numId w:val="12"/>
              </w:numPr>
              <w:jc w:val="both"/>
              <w:rPr>
                <w:sz w:val="20"/>
                <w:szCs w:val="20"/>
                <w:lang w:val="fr-CA"/>
              </w:rPr>
            </w:pPr>
            <w:r w:rsidRPr="004A62A7">
              <w:rPr>
                <w:sz w:val="20"/>
                <w:szCs w:val="20"/>
                <w:lang w:val="fr-CA"/>
              </w:rPr>
              <w:t>Les dossier, mémoire et recueil de sources, le cas échéant, de l’appelant seront signifiés et déposés au plus tard le 7 mars 2019.</w:t>
            </w:r>
          </w:p>
          <w:p w:rsidR="00B124FF" w:rsidRPr="004A62A7" w:rsidRDefault="00B124FF" w:rsidP="005F32B8">
            <w:pPr>
              <w:jc w:val="both"/>
              <w:rPr>
                <w:sz w:val="20"/>
                <w:szCs w:val="20"/>
                <w:lang w:val="fr-CA"/>
              </w:rPr>
            </w:pPr>
          </w:p>
        </w:tc>
      </w:tr>
      <w:tr w:rsidR="00B124FF" w:rsidRPr="00523D1E" w:rsidTr="005F32B8">
        <w:tc>
          <w:tcPr>
            <w:tcW w:w="9054" w:type="dxa"/>
          </w:tcPr>
          <w:p w:rsidR="00B124FF" w:rsidRPr="004A62A7" w:rsidRDefault="00B124FF" w:rsidP="005F32B8">
            <w:pPr>
              <w:numPr>
                <w:ilvl w:val="0"/>
                <w:numId w:val="12"/>
              </w:numPr>
              <w:jc w:val="both"/>
              <w:rPr>
                <w:sz w:val="20"/>
                <w:szCs w:val="20"/>
                <w:lang w:val="fr-CA"/>
              </w:rPr>
            </w:pPr>
            <w:r w:rsidRPr="004A62A7">
              <w:rPr>
                <w:sz w:val="20"/>
                <w:szCs w:val="20"/>
                <w:lang w:val="fr-CA"/>
              </w:rPr>
              <w:t xml:space="preserve">Toute personne qui souhaite intervenir dans le présent appel en vertu de la règle 55 </w:t>
            </w:r>
            <w:r w:rsidRPr="004A62A7">
              <w:rPr>
                <w:i/>
                <w:sz w:val="20"/>
                <w:szCs w:val="20"/>
                <w:lang w:val="fr-CA"/>
              </w:rPr>
              <w:t>des Règles de la Cour suprême du Canada</w:t>
            </w:r>
            <w:r w:rsidRPr="004A62A7">
              <w:rPr>
                <w:sz w:val="20"/>
                <w:szCs w:val="20"/>
                <w:lang w:val="fr-CA"/>
              </w:rPr>
              <w:t xml:space="preserve"> signifiera et déposera une requête en autorisation d’intervenir au plus tard le 28 mars 2019.</w:t>
            </w:r>
          </w:p>
          <w:p w:rsidR="00B124FF" w:rsidRPr="004A62A7" w:rsidRDefault="00B124FF" w:rsidP="005F32B8">
            <w:pPr>
              <w:jc w:val="both"/>
              <w:rPr>
                <w:sz w:val="20"/>
                <w:szCs w:val="20"/>
                <w:lang w:val="fr-CA"/>
              </w:rPr>
            </w:pPr>
          </w:p>
          <w:p w:rsidR="00B124FF" w:rsidRPr="004A62A7" w:rsidRDefault="00B124FF" w:rsidP="005F32B8">
            <w:pPr>
              <w:numPr>
                <w:ilvl w:val="0"/>
                <w:numId w:val="12"/>
              </w:numPr>
              <w:jc w:val="both"/>
              <w:rPr>
                <w:sz w:val="20"/>
                <w:szCs w:val="20"/>
                <w:lang w:val="fr-CA"/>
              </w:rPr>
            </w:pPr>
            <w:r w:rsidRPr="004A62A7">
              <w:rPr>
                <w:sz w:val="20"/>
                <w:szCs w:val="20"/>
                <w:lang w:val="fr-CA"/>
              </w:rPr>
              <w:t>L’appelant et l’intimée signifieront et déposeront leur réponse aux demandes d’autorisation d’intervenir, le cas échéant, au plus tard le 4 avril 2019.</w:t>
            </w:r>
          </w:p>
          <w:p w:rsidR="00B124FF" w:rsidRPr="004A62A7" w:rsidRDefault="00B124FF" w:rsidP="005F32B8">
            <w:pPr>
              <w:jc w:val="both"/>
              <w:rPr>
                <w:sz w:val="20"/>
                <w:szCs w:val="20"/>
                <w:lang w:val="fr-CA"/>
              </w:rPr>
            </w:pPr>
          </w:p>
        </w:tc>
      </w:tr>
      <w:tr w:rsidR="00B124FF" w:rsidRPr="00523D1E" w:rsidTr="005F32B8">
        <w:tc>
          <w:tcPr>
            <w:tcW w:w="9054" w:type="dxa"/>
            <w:shd w:val="clear" w:color="auto" w:fill="auto"/>
          </w:tcPr>
          <w:p w:rsidR="00B124FF" w:rsidRPr="004A62A7" w:rsidRDefault="00B124FF" w:rsidP="005F32B8">
            <w:pPr>
              <w:numPr>
                <w:ilvl w:val="0"/>
                <w:numId w:val="12"/>
              </w:numPr>
              <w:jc w:val="both"/>
              <w:rPr>
                <w:sz w:val="20"/>
                <w:szCs w:val="20"/>
                <w:lang w:val="fr-CA"/>
              </w:rPr>
            </w:pPr>
            <w:r w:rsidRPr="004A62A7">
              <w:rPr>
                <w:sz w:val="20"/>
                <w:szCs w:val="20"/>
                <w:lang w:val="fr-CA"/>
              </w:rPr>
              <w:lastRenderedPageBreak/>
              <w:t>Les répliques à toute réponse aux demandes d’autorisation d’intervenir seront signifiées et déposées au plus tard le 9 avril 2019.</w:t>
            </w:r>
          </w:p>
          <w:p w:rsidR="00B124FF" w:rsidRPr="004A62A7" w:rsidRDefault="00B124FF" w:rsidP="005F32B8">
            <w:pPr>
              <w:jc w:val="both"/>
              <w:rPr>
                <w:sz w:val="20"/>
                <w:szCs w:val="20"/>
                <w:lang w:val="fr-CA"/>
              </w:rPr>
            </w:pPr>
          </w:p>
          <w:p w:rsidR="00B124FF" w:rsidRPr="004A62A7" w:rsidRDefault="00B124FF" w:rsidP="005F32B8">
            <w:pPr>
              <w:numPr>
                <w:ilvl w:val="0"/>
                <w:numId w:val="12"/>
              </w:numPr>
              <w:jc w:val="both"/>
              <w:rPr>
                <w:bCs/>
                <w:sz w:val="20"/>
                <w:szCs w:val="20"/>
                <w:lang w:val="fr-CA"/>
              </w:rPr>
            </w:pPr>
            <w:r w:rsidRPr="004A62A7">
              <w:rPr>
                <w:bCs/>
                <w:sz w:val="20"/>
                <w:szCs w:val="20"/>
                <w:lang w:val="fr-CA"/>
              </w:rPr>
              <w:t xml:space="preserve">Tout intervenant qui sera autorisé à intervenir en application de la règle 59 des </w:t>
            </w:r>
            <w:r w:rsidRPr="004A62A7">
              <w:rPr>
                <w:bCs/>
                <w:i/>
                <w:sz w:val="20"/>
                <w:szCs w:val="20"/>
                <w:lang w:val="fr-CA"/>
              </w:rPr>
              <w:t>Règles de la Cour suprême du Canada</w:t>
            </w:r>
            <w:r w:rsidRPr="004A62A7">
              <w:rPr>
                <w:bCs/>
                <w:sz w:val="20"/>
                <w:szCs w:val="20"/>
                <w:lang w:val="fr-CA"/>
              </w:rPr>
              <w:t xml:space="preserve"> devra signifier et déposer leur mémoire et recueil de sources, le cas échéant, au plus tard le 9 mai 2019. </w:t>
            </w:r>
          </w:p>
          <w:p w:rsidR="00B124FF" w:rsidRPr="004A62A7" w:rsidRDefault="00B124FF" w:rsidP="005F32B8">
            <w:pPr>
              <w:jc w:val="both"/>
              <w:rPr>
                <w:bCs/>
                <w:sz w:val="20"/>
                <w:szCs w:val="20"/>
                <w:lang w:val="fr-CA"/>
              </w:rPr>
            </w:pPr>
          </w:p>
          <w:p w:rsidR="00B124FF" w:rsidRPr="004A62A7" w:rsidRDefault="00B124FF" w:rsidP="005F32B8">
            <w:pPr>
              <w:numPr>
                <w:ilvl w:val="0"/>
                <w:numId w:val="12"/>
              </w:numPr>
              <w:jc w:val="both"/>
              <w:rPr>
                <w:bCs/>
                <w:sz w:val="20"/>
                <w:szCs w:val="20"/>
                <w:lang w:val="fr-CA"/>
              </w:rPr>
            </w:pPr>
            <w:r w:rsidRPr="004A62A7">
              <w:rPr>
                <w:sz w:val="20"/>
                <w:szCs w:val="20"/>
                <w:lang w:val="fr-CA"/>
              </w:rPr>
              <w:t>Les dossier, mémoire et recueil de sources, le cas échéant, de l’intimée seront signifiés et déposés au plus tard le 3 mai 2019.</w:t>
            </w:r>
          </w:p>
          <w:p w:rsidR="00B124FF" w:rsidRPr="004A62A7" w:rsidRDefault="00B124FF" w:rsidP="005F32B8">
            <w:pPr>
              <w:jc w:val="both"/>
              <w:rPr>
                <w:sz w:val="20"/>
                <w:szCs w:val="20"/>
                <w:lang w:val="fr-CA"/>
              </w:rPr>
            </w:pPr>
          </w:p>
        </w:tc>
      </w:tr>
      <w:tr w:rsidR="00B124FF" w:rsidRPr="00523D1E" w:rsidTr="005F32B8">
        <w:tc>
          <w:tcPr>
            <w:tcW w:w="9054" w:type="dxa"/>
            <w:shd w:val="clear" w:color="auto" w:fill="auto"/>
          </w:tcPr>
          <w:p w:rsidR="00B124FF" w:rsidRPr="004A62A7" w:rsidRDefault="00B124FF" w:rsidP="005F32B8">
            <w:pPr>
              <w:jc w:val="both"/>
              <w:rPr>
                <w:lang w:val="fr-CA"/>
              </w:rPr>
            </w:pPr>
          </w:p>
        </w:tc>
      </w:tr>
    </w:tbl>
    <w:p w:rsidR="00B124FF" w:rsidRPr="004A62A7" w:rsidRDefault="00B124FF" w:rsidP="00B124FF">
      <w:pPr>
        <w:jc w:val="both"/>
        <w:rPr>
          <w:sz w:val="20"/>
          <w:lang w:val="fr-CA"/>
        </w:rPr>
      </w:pPr>
    </w:p>
    <w:p w:rsidR="00B124FF" w:rsidRDefault="00A24D5C" w:rsidP="00B124FF">
      <w:pPr>
        <w:jc w:val="both"/>
        <w:rPr>
          <w:sz w:val="20"/>
          <w:lang w:val="fr-CA"/>
        </w:rPr>
      </w:pPr>
      <w:r>
        <w:rPr>
          <w:sz w:val="20"/>
          <w:szCs w:val="20"/>
        </w:rPr>
        <w:pict>
          <v:rect id="_x0000_i1063" style="width:2in;height:1pt" o:hrpct="0" o:hralign="center" o:hrstd="t" o:hrnoshade="t" o:hr="t" fillcolor="black [3213]" stroked="f"/>
        </w:pict>
      </w:r>
    </w:p>
    <w:p w:rsidR="00B124FF" w:rsidRDefault="00B124FF" w:rsidP="00B124FF">
      <w:pPr>
        <w:jc w:val="both"/>
        <w:rPr>
          <w:sz w:val="20"/>
          <w:lang w:val="fr-CA"/>
        </w:rPr>
      </w:pPr>
    </w:p>
    <w:p w:rsidR="00B124FF" w:rsidRDefault="00B124FF" w:rsidP="00B124FF">
      <w:pPr>
        <w:jc w:val="both"/>
        <w:rPr>
          <w:sz w:val="20"/>
          <w:lang w:val="fr-CA"/>
        </w:rPr>
      </w:pPr>
    </w:p>
    <w:p w:rsidR="00B124FF" w:rsidRPr="004A62A7" w:rsidRDefault="00B124FF" w:rsidP="00B124FF">
      <w:pPr>
        <w:jc w:val="both"/>
        <w:rPr>
          <w:b/>
          <w:sz w:val="20"/>
          <w:lang w:val="en-US"/>
        </w:rPr>
      </w:pPr>
      <w:r w:rsidRPr="004A62A7">
        <w:rPr>
          <w:b/>
          <w:sz w:val="20"/>
          <w:szCs w:val="20"/>
        </w:rPr>
        <w:t>Javid Ahmad</w:t>
      </w:r>
      <w:r w:rsidRPr="004A62A7">
        <w:rPr>
          <w:b/>
          <w:sz w:val="20"/>
          <w:szCs w:val="20"/>
          <w:lang w:val="en-US"/>
        </w:rPr>
        <w:t xml:space="preserve"> v. </w:t>
      </w:r>
      <w:r w:rsidRPr="004A62A7">
        <w:rPr>
          <w:b/>
          <w:sz w:val="20"/>
          <w:szCs w:val="20"/>
        </w:rPr>
        <w:t xml:space="preserve">Her Majesty the Queen </w:t>
      </w:r>
      <w:r w:rsidRPr="004A62A7">
        <w:rPr>
          <w:b/>
          <w:sz w:val="20"/>
          <w:szCs w:val="20"/>
          <w:lang w:val="en-US"/>
        </w:rPr>
        <w:t>(38165)</w:t>
      </w:r>
    </w:p>
    <w:p w:rsidR="00B124FF" w:rsidRPr="004A62A7" w:rsidRDefault="00B124FF" w:rsidP="00B124FF">
      <w:pPr>
        <w:jc w:val="both"/>
        <w:rPr>
          <w:sz w:val="20"/>
          <w:lang w:val="en-US"/>
        </w:rPr>
      </w:pPr>
    </w:p>
    <w:p w:rsidR="00B124FF" w:rsidRDefault="00B124FF" w:rsidP="00B124FF">
      <w:pPr>
        <w:jc w:val="both"/>
        <w:rPr>
          <w:sz w:val="20"/>
          <w:szCs w:val="20"/>
        </w:rPr>
      </w:pPr>
      <w:r w:rsidRPr="004A62A7">
        <w:rPr>
          <w:i/>
          <w:sz w:val="20"/>
          <w:szCs w:val="20"/>
        </w:rPr>
        <w:fldChar w:fldCharType="begin"/>
      </w:r>
      <w:r w:rsidRPr="004A62A7">
        <w:rPr>
          <w:sz w:val="20"/>
          <w:szCs w:val="20"/>
        </w:rPr>
        <w:instrText xml:space="preserve"> SEQ CHAPTER \h \r 1</w:instrText>
      </w:r>
      <w:r w:rsidRPr="004A62A7">
        <w:rPr>
          <w:sz w:val="20"/>
          <w:szCs w:val="20"/>
          <w:lang w:val="fr-CA"/>
        </w:rPr>
        <w:fldChar w:fldCharType="end"/>
      </w:r>
      <w:r w:rsidRPr="004A62A7">
        <w:rPr>
          <w:sz w:val="20"/>
          <w:szCs w:val="20"/>
        </w:rPr>
        <w:t xml:space="preserve">The schedule for serving and filing the material and any application for leave to intervene in the appeal of </w:t>
      </w:r>
      <w:r w:rsidRPr="004A62A7">
        <w:rPr>
          <w:i/>
          <w:sz w:val="20"/>
          <w:szCs w:val="20"/>
        </w:rPr>
        <w:t>Javid Ahmad</w:t>
      </w:r>
      <w:r w:rsidRPr="004A62A7">
        <w:rPr>
          <w:i/>
          <w:sz w:val="20"/>
          <w:szCs w:val="20"/>
          <w:lang w:val="en-US"/>
        </w:rPr>
        <w:t xml:space="preserve"> – v. – </w:t>
      </w:r>
      <w:r w:rsidRPr="004A62A7">
        <w:rPr>
          <w:i/>
          <w:sz w:val="20"/>
          <w:szCs w:val="20"/>
        </w:rPr>
        <w:t xml:space="preserve">Her Majesty the Queen </w:t>
      </w:r>
      <w:r w:rsidRPr="004A62A7">
        <w:rPr>
          <w:sz w:val="20"/>
          <w:szCs w:val="20"/>
          <w:lang w:val="en-US"/>
        </w:rPr>
        <w:t xml:space="preserve">(38165) </w:t>
      </w:r>
      <w:r w:rsidRPr="004A62A7">
        <w:rPr>
          <w:sz w:val="20"/>
          <w:szCs w:val="20"/>
        </w:rPr>
        <w:t>to be heard on May 23, 2019</w:t>
      </w:r>
      <w:r w:rsidRPr="004A62A7">
        <w:rPr>
          <w:sz w:val="20"/>
          <w:szCs w:val="20"/>
          <w:lang w:val="en-US"/>
        </w:rPr>
        <w:t xml:space="preserve">, </w:t>
      </w:r>
      <w:r w:rsidRPr="004A62A7">
        <w:rPr>
          <w:sz w:val="20"/>
          <w:szCs w:val="20"/>
        </w:rPr>
        <w:t>was set as follows by the Registrar:</w:t>
      </w:r>
    </w:p>
    <w:p w:rsidR="00B124FF" w:rsidRPr="004A62A7" w:rsidRDefault="00B124FF" w:rsidP="00B124FF">
      <w:pPr>
        <w:jc w:val="both"/>
        <w:rPr>
          <w:i/>
          <w:sz w:val="20"/>
          <w:szCs w:val="20"/>
        </w:rPr>
      </w:pPr>
    </w:p>
    <w:tbl>
      <w:tblPr>
        <w:tblStyle w:val="TableGrid"/>
        <w:tblW w:w="9054"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4"/>
      </w:tblGrid>
      <w:tr w:rsidR="00B124FF" w:rsidRPr="004A62A7" w:rsidTr="005F32B8">
        <w:tc>
          <w:tcPr>
            <w:tcW w:w="9054" w:type="dxa"/>
          </w:tcPr>
          <w:p w:rsidR="00B124FF" w:rsidRPr="004A62A7" w:rsidRDefault="00B124FF" w:rsidP="005F32B8">
            <w:pPr>
              <w:jc w:val="both"/>
              <w:rPr>
                <w:sz w:val="20"/>
                <w:szCs w:val="20"/>
                <w:lang w:val="en-US"/>
              </w:rPr>
            </w:pPr>
          </w:p>
          <w:p w:rsidR="00B124FF" w:rsidRPr="004A62A7" w:rsidRDefault="00B124FF" w:rsidP="005F32B8">
            <w:pPr>
              <w:numPr>
                <w:ilvl w:val="0"/>
                <w:numId w:val="13"/>
              </w:numPr>
              <w:jc w:val="both"/>
              <w:rPr>
                <w:sz w:val="20"/>
                <w:szCs w:val="20"/>
                <w:lang w:val="en-US"/>
              </w:rPr>
            </w:pPr>
            <w:r w:rsidRPr="004A62A7">
              <w:rPr>
                <w:sz w:val="20"/>
                <w:szCs w:val="20"/>
                <w:lang w:val="en-GB"/>
              </w:rPr>
              <w:t>The notice of appeal shall be served and filed on or before February 11, 2019.</w:t>
            </w:r>
          </w:p>
          <w:p w:rsidR="00B124FF" w:rsidRPr="004A62A7" w:rsidRDefault="00B124FF" w:rsidP="005F32B8">
            <w:pPr>
              <w:jc w:val="both"/>
              <w:rPr>
                <w:sz w:val="20"/>
                <w:szCs w:val="20"/>
                <w:lang w:val="en-US"/>
              </w:rPr>
            </w:pPr>
          </w:p>
          <w:p w:rsidR="00B124FF" w:rsidRPr="004A62A7" w:rsidRDefault="00B124FF" w:rsidP="005F32B8">
            <w:pPr>
              <w:numPr>
                <w:ilvl w:val="0"/>
                <w:numId w:val="13"/>
              </w:numPr>
              <w:jc w:val="both"/>
              <w:rPr>
                <w:sz w:val="20"/>
                <w:szCs w:val="20"/>
                <w:lang w:val="en-US"/>
              </w:rPr>
            </w:pPr>
            <w:r w:rsidRPr="004A62A7">
              <w:rPr>
                <w:sz w:val="20"/>
                <w:szCs w:val="20"/>
                <w:lang w:val="en-US"/>
              </w:rPr>
              <w:t xml:space="preserve">The </w:t>
            </w:r>
            <w:r w:rsidRPr="004A62A7">
              <w:rPr>
                <w:sz w:val="20"/>
                <w:szCs w:val="20"/>
                <w:lang w:val="en-GB"/>
              </w:rPr>
              <w:t xml:space="preserve">appellant’s record, factum and book of authorities, if any, shall be served and filed </w:t>
            </w:r>
            <w:r w:rsidRPr="004A62A7">
              <w:rPr>
                <w:sz w:val="20"/>
                <w:szCs w:val="20"/>
                <w:lang w:val="en-US"/>
              </w:rPr>
              <w:t>on or before</w:t>
            </w:r>
            <w:r w:rsidRPr="004A62A7">
              <w:rPr>
                <w:sz w:val="20"/>
                <w:szCs w:val="20"/>
                <w:lang w:val="en-GB"/>
              </w:rPr>
              <w:t xml:space="preserve"> March 25, 2019.</w:t>
            </w:r>
          </w:p>
          <w:p w:rsidR="00B124FF" w:rsidRPr="004A62A7" w:rsidRDefault="00B124FF" w:rsidP="005F32B8">
            <w:pPr>
              <w:jc w:val="both"/>
              <w:rPr>
                <w:sz w:val="20"/>
                <w:szCs w:val="20"/>
                <w:lang w:val="en-US"/>
              </w:rPr>
            </w:pPr>
          </w:p>
        </w:tc>
      </w:tr>
      <w:tr w:rsidR="00B124FF" w:rsidRPr="004A62A7" w:rsidTr="005F32B8">
        <w:tc>
          <w:tcPr>
            <w:tcW w:w="9054" w:type="dxa"/>
          </w:tcPr>
          <w:p w:rsidR="00B124FF" w:rsidRPr="004A62A7" w:rsidRDefault="00B124FF" w:rsidP="005F32B8">
            <w:pPr>
              <w:numPr>
                <w:ilvl w:val="0"/>
                <w:numId w:val="13"/>
              </w:numPr>
              <w:jc w:val="both"/>
              <w:rPr>
                <w:sz w:val="20"/>
                <w:szCs w:val="20"/>
                <w:lang w:val="en-US"/>
              </w:rPr>
            </w:pPr>
            <w:r w:rsidRPr="004A62A7">
              <w:rPr>
                <w:sz w:val="20"/>
                <w:szCs w:val="20"/>
                <w:lang w:val="en-US"/>
              </w:rPr>
              <w:t xml:space="preserve">Any person wishing to intervene in this appeal under Rule 55 of the </w:t>
            </w:r>
            <w:r w:rsidRPr="004A62A7">
              <w:rPr>
                <w:i/>
                <w:sz w:val="20"/>
                <w:szCs w:val="20"/>
                <w:lang w:val="en-US"/>
              </w:rPr>
              <w:t>Rules of the Supreme Court of Canada</w:t>
            </w:r>
            <w:r w:rsidRPr="004A62A7">
              <w:rPr>
                <w:sz w:val="20"/>
                <w:szCs w:val="20"/>
                <w:lang w:val="en-US"/>
              </w:rPr>
              <w:t xml:space="preserve"> shall serve and file a motion for leave to intervene on or before April 12, 2019.</w:t>
            </w:r>
          </w:p>
          <w:p w:rsidR="00B124FF" w:rsidRPr="004A62A7" w:rsidRDefault="00B124FF" w:rsidP="005F32B8">
            <w:pPr>
              <w:jc w:val="both"/>
              <w:rPr>
                <w:sz w:val="20"/>
                <w:szCs w:val="20"/>
              </w:rPr>
            </w:pPr>
          </w:p>
          <w:p w:rsidR="00B124FF" w:rsidRPr="004A62A7" w:rsidRDefault="00B124FF" w:rsidP="005F32B8">
            <w:pPr>
              <w:numPr>
                <w:ilvl w:val="0"/>
                <w:numId w:val="13"/>
              </w:numPr>
              <w:jc w:val="both"/>
              <w:rPr>
                <w:sz w:val="20"/>
                <w:szCs w:val="20"/>
                <w:lang w:val="en-US"/>
              </w:rPr>
            </w:pPr>
            <w:r w:rsidRPr="004A62A7">
              <w:rPr>
                <w:sz w:val="20"/>
                <w:szCs w:val="20"/>
                <w:lang w:val="en-US"/>
              </w:rPr>
              <w:t>The appellant and respondent shall serve and file their responses, if any, to the motions for leave to intervene on or before April 16, 2019.</w:t>
            </w:r>
          </w:p>
          <w:p w:rsidR="00B124FF" w:rsidRPr="004A62A7" w:rsidRDefault="00B124FF" w:rsidP="005F32B8">
            <w:pPr>
              <w:jc w:val="both"/>
              <w:rPr>
                <w:sz w:val="20"/>
                <w:szCs w:val="20"/>
              </w:rPr>
            </w:pPr>
          </w:p>
        </w:tc>
      </w:tr>
      <w:tr w:rsidR="00B124FF" w:rsidRPr="004A62A7" w:rsidTr="005F32B8">
        <w:trPr>
          <w:trHeight w:val="1998"/>
        </w:trPr>
        <w:tc>
          <w:tcPr>
            <w:tcW w:w="9054" w:type="dxa"/>
            <w:shd w:val="clear" w:color="auto" w:fill="auto"/>
          </w:tcPr>
          <w:p w:rsidR="00B124FF" w:rsidRPr="004A62A7" w:rsidRDefault="00B124FF" w:rsidP="005F32B8">
            <w:pPr>
              <w:numPr>
                <w:ilvl w:val="0"/>
                <w:numId w:val="13"/>
              </w:numPr>
              <w:jc w:val="both"/>
              <w:rPr>
                <w:sz w:val="20"/>
                <w:szCs w:val="20"/>
                <w:lang w:val="en-US"/>
              </w:rPr>
            </w:pPr>
            <w:r w:rsidRPr="004A62A7">
              <w:rPr>
                <w:sz w:val="20"/>
                <w:szCs w:val="20"/>
                <w:lang w:val="en-US"/>
              </w:rPr>
              <w:t>Replies to any responses to the motions for leave to intervene shall be served and filed on or before April 18, 2019.</w:t>
            </w:r>
          </w:p>
          <w:p w:rsidR="00B124FF" w:rsidRPr="004A62A7" w:rsidRDefault="00B124FF" w:rsidP="005F32B8">
            <w:pPr>
              <w:jc w:val="both"/>
              <w:rPr>
                <w:sz w:val="20"/>
                <w:szCs w:val="20"/>
              </w:rPr>
            </w:pPr>
          </w:p>
          <w:p w:rsidR="00B124FF" w:rsidRPr="004A62A7" w:rsidRDefault="00B124FF" w:rsidP="005F32B8">
            <w:pPr>
              <w:numPr>
                <w:ilvl w:val="0"/>
                <w:numId w:val="13"/>
              </w:numPr>
              <w:jc w:val="both"/>
              <w:rPr>
                <w:sz w:val="20"/>
                <w:szCs w:val="20"/>
                <w:lang w:val="en-US"/>
              </w:rPr>
            </w:pPr>
            <w:r w:rsidRPr="004A62A7">
              <w:rPr>
                <w:sz w:val="20"/>
                <w:szCs w:val="20"/>
                <w:lang w:val="en-GB"/>
              </w:rPr>
              <w:t xml:space="preserve">Any intervener granted leave to intervene under Rule 59 of the </w:t>
            </w:r>
            <w:r w:rsidRPr="004A62A7">
              <w:rPr>
                <w:i/>
                <w:sz w:val="20"/>
                <w:szCs w:val="20"/>
                <w:lang w:val="en-GB"/>
              </w:rPr>
              <w:t>Rules of the Supreme Court of Canada</w:t>
            </w:r>
            <w:r w:rsidRPr="004A62A7">
              <w:rPr>
                <w:sz w:val="20"/>
                <w:szCs w:val="20"/>
                <w:lang w:val="en-GB"/>
              </w:rPr>
              <w:t xml:space="preserve"> shall serve and file its respective factum and book of authorities, if any, on or before May 13, 2019.</w:t>
            </w:r>
          </w:p>
          <w:p w:rsidR="00B124FF" w:rsidRPr="004A62A7" w:rsidRDefault="00B124FF" w:rsidP="005F32B8">
            <w:pPr>
              <w:jc w:val="both"/>
              <w:rPr>
                <w:sz w:val="20"/>
                <w:szCs w:val="20"/>
                <w:lang w:val="en-US"/>
              </w:rPr>
            </w:pPr>
          </w:p>
          <w:p w:rsidR="00B124FF" w:rsidRPr="004A62A7" w:rsidRDefault="00B124FF" w:rsidP="005F32B8">
            <w:pPr>
              <w:numPr>
                <w:ilvl w:val="0"/>
                <w:numId w:val="13"/>
              </w:numPr>
              <w:jc w:val="both"/>
              <w:rPr>
                <w:sz w:val="20"/>
                <w:szCs w:val="20"/>
                <w:lang w:val="en-US"/>
              </w:rPr>
            </w:pPr>
            <w:r w:rsidRPr="004A62A7">
              <w:rPr>
                <w:sz w:val="20"/>
                <w:szCs w:val="20"/>
                <w:lang w:val="en-US"/>
              </w:rPr>
              <w:t>The respondent’s record, factum and book of authorities, if any, shall be served and filed on or before May 3, 2019.</w:t>
            </w:r>
          </w:p>
          <w:p w:rsidR="00B124FF" w:rsidRPr="004A62A7" w:rsidRDefault="00B124FF" w:rsidP="005F32B8">
            <w:pPr>
              <w:jc w:val="both"/>
              <w:rPr>
                <w:sz w:val="20"/>
                <w:szCs w:val="20"/>
                <w:lang w:val="en-US"/>
              </w:rPr>
            </w:pPr>
          </w:p>
        </w:tc>
      </w:tr>
    </w:tbl>
    <w:p w:rsidR="00B124FF" w:rsidRDefault="00B124FF" w:rsidP="00B124FF">
      <w:pPr>
        <w:jc w:val="both"/>
        <w:rPr>
          <w:sz w:val="20"/>
          <w:szCs w:val="20"/>
        </w:rPr>
      </w:pPr>
    </w:p>
    <w:p w:rsidR="00B124FF" w:rsidRPr="004A62A7" w:rsidRDefault="005B448B" w:rsidP="00B124FF">
      <w:pPr>
        <w:jc w:val="both"/>
        <w:rPr>
          <w:b/>
          <w:sz w:val="20"/>
          <w:szCs w:val="20"/>
          <w:lang w:val="fr-CA"/>
        </w:rPr>
      </w:pPr>
      <w:r>
        <w:rPr>
          <w:b/>
          <w:sz w:val="20"/>
          <w:szCs w:val="20"/>
          <w:lang w:val="fr-CA"/>
        </w:rPr>
        <w:t>Javid Ahmad</w:t>
      </w:r>
      <w:r w:rsidR="00B124FF" w:rsidRPr="004A62A7">
        <w:rPr>
          <w:b/>
          <w:sz w:val="20"/>
          <w:szCs w:val="20"/>
          <w:lang w:val="fr-CA"/>
        </w:rPr>
        <w:t xml:space="preserve"> c. Sa Majesté la Reine (38165)</w:t>
      </w:r>
    </w:p>
    <w:p w:rsidR="00B124FF" w:rsidRPr="004A62A7" w:rsidRDefault="00B124FF" w:rsidP="00B124FF">
      <w:pPr>
        <w:jc w:val="both"/>
        <w:rPr>
          <w:sz w:val="20"/>
          <w:szCs w:val="20"/>
          <w:lang w:val="fr-CA"/>
        </w:rPr>
      </w:pPr>
    </w:p>
    <w:p w:rsidR="00B124FF" w:rsidRPr="004A62A7" w:rsidRDefault="00B124FF" w:rsidP="00B124FF">
      <w:pPr>
        <w:jc w:val="both"/>
        <w:rPr>
          <w:i/>
          <w:sz w:val="20"/>
          <w:szCs w:val="20"/>
          <w:lang w:val="fr-CA"/>
        </w:rPr>
      </w:pPr>
      <w:r w:rsidRPr="004A62A7">
        <w:rPr>
          <w:sz w:val="20"/>
          <w:szCs w:val="20"/>
          <w:lang w:val="fr-CA"/>
        </w:rPr>
        <w:t xml:space="preserve">Le registraire a établi l’échéancier suivant pour la signification et le dépôt des documents et pour toute requête en intervention dans l’appel </w:t>
      </w:r>
      <w:r w:rsidRPr="004A62A7">
        <w:rPr>
          <w:i/>
          <w:sz w:val="20"/>
          <w:szCs w:val="20"/>
          <w:lang w:val="fr-CA"/>
        </w:rPr>
        <w:t>Javid Ahmad – c. – Sa Majesté la Reine</w:t>
      </w:r>
      <w:r w:rsidRPr="004A62A7">
        <w:rPr>
          <w:sz w:val="20"/>
          <w:szCs w:val="20"/>
          <w:lang w:val="fr-CA"/>
        </w:rPr>
        <w:t xml:space="preserve"> (38165) qui sera entendu le 23 mai 2019 :</w:t>
      </w:r>
    </w:p>
    <w:tbl>
      <w:tblPr>
        <w:tblStyle w:val="TableGrid"/>
        <w:tblW w:w="9054"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4"/>
      </w:tblGrid>
      <w:tr w:rsidR="00B124FF" w:rsidRPr="00CC0B55" w:rsidTr="005F32B8">
        <w:tc>
          <w:tcPr>
            <w:tcW w:w="9054" w:type="dxa"/>
          </w:tcPr>
          <w:p w:rsidR="00B124FF" w:rsidRPr="004A62A7" w:rsidRDefault="00B124FF" w:rsidP="005F32B8">
            <w:pPr>
              <w:jc w:val="both"/>
              <w:rPr>
                <w:sz w:val="20"/>
                <w:szCs w:val="20"/>
                <w:lang w:val="fr-CA"/>
              </w:rPr>
            </w:pPr>
          </w:p>
          <w:p w:rsidR="00B124FF" w:rsidRPr="004A62A7" w:rsidRDefault="00B124FF" w:rsidP="005F32B8">
            <w:pPr>
              <w:numPr>
                <w:ilvl w:val="0"/>
                <w:numId w:val="14"/>
              </w:numPr>
              <w:jc w:val="both"/>
              <w:rPr>
                <w:sz w:val="20"/>
                <w:szCs w:val="20"/>
                <w:lang w:val="fr-CA"/>
              </w:rPr>
            </w:pPr>
            <w:r w:rsidRPr="004A62A7">
              <w:rPr>
                <w:sz w:val="20"/>
                <w:szCs w:val="20"/>
                <w:lang w:val="fr-CA"/>
              </w:rPr>
              <w:t>L’avis d’appel sera signifié et déposé au plus tard le 11 février 2019.</w:t>
            </w:r>
          </w:p>
          <w:p w:rsidR="00B124FF" w:rsidRPr="004A62A7" w:rsidRDefault="00B124FF" w:rsidP="005F32B8">
            <w:pPr>
              <w:jc w:val="both"/>
              <w:rPr>
                <w:sz w:val="20"/>
                <w:szCs w:val="20"/>
                <w:lang w:val="fr-CA"/>
              </w:rPr>
            </w:pPr>
          </w:p>
          <w:p w:rsidR="00B124FF" w:rsidRPr="004A62A7" w:rsidRDefault="00B124FF" w:rsidP="005F32B8">
            <w:pPr>
              <w:numPr>
                <w:ilvl w:val="0"/>
                <w:numId w:val="14"/>
              </w:numPr>
              <w:jc w:val="both"/>
              <w:rPr>
                <w:sz w:val="20"/>
                <w:szCs w:val="20"/>
                <w:lang w:val="fr-CA"/>
              </w:rPr>
            </w:pPr>
            <w:r w:rsidRPr="004A62A7">
              <w:rPr>
                <w:sz w:val="20"/>
                <w:szCs w:val="20"/>
                <w:lang w:val="fr-CA"/>
              </w:rPr>
              <w:lastRenderedPageBreak/>
              <w:t>Les dossier, mémoire et recueil de sources, le cas échéant, de l’appelant seront signifiés et déposés au plus tard le 25 mars 2019.</w:t>
            </w:r>
          </w:p>
          <w:p w:rsidR="00B124FF" w:rsidRPr="004A62A7" w:rsidRDefault="00B124FF" w:rsidP="005F32B8">
            <w:pPr>
              <w:jc w:val="both"/>
              <w:rPr>
                <w:sz w:val="20"/>
                <w:szCs w:val="20"/>
                <w:lang w:val="fr-CA"/>
              </w:rPr>
            </w:pPr>
          </w:p>
        </w:tc>
      </w:tr>
      <w:tr w:rsidR="00B124FF" w:rsidRPr="00CC0B55" w:rsidTr="005F32B8">
        <w:tc>
          <w:tcPr>
            <w:tcW w:w="9054" w:type="dxa"/>
          </w:tcPr>
          <w:p w:rsidR="00B124FF" w:rsidRPr="004A62A7" w:rsidRDefault="00B124FF" w:rsidP="005F32B8">
            <w:pPr>
              <w:numPr>
                <w:ilvl w:val="0"/>
                <w:numId w:val="14"/>
              </w:numPr>
              <w:jc w:val="both"/>
              <w:rPr>
                <w:sz w:val="20"/>
                <w:szCs w:val="20"/>
                <w:lang w:val="fr-CA"/>
              </w:rPr>
            </w:pPr>
            <w:r w:rsidRPr="004A62A7">
              <w:rPr>
                <w:sz w:val="20"/>
                <w:szCs w:val="20"/>
                <w:lang w:val="fr-CA"/>
              </w:rPr>
              <w:lastRenderedPageBreak/>
              <w:t xml:space="preserve">Toute personne qui souhaite intervenir dans le présent appel en vertu de la règle 55 </w:t>
            </w:r>
            <w:r w:rsidRPr="004A62A7">
              <w:rPr>
                <w:i/>
                <w:sz w:val="20"/>
                <w:szCs w:val="20"/>
                <w:lang w:val="fr-CA"/>
              </w:rPr>
              <w:t>des Règles de la Cour suprême du Canada</w:t>
            </w:r>
            <w:r w:rsidRPr="004A62A7">
              <w:rPr>
                <w:sz w:val="20"/>
                <w:szCs w:val="20"/>
                <w:lang w:val="fr-CA"/>
              </w:rPr>
              <w:t xml:space="preserve"> signifiera et déposera une requête en autorisation d’intervenir au plus tard le 12 avril 2019.</w:t>
            </w:r>
          </w:p>
          <w:p w:rsidR="00B124FF" w:rsidRPr="004A62A7" w:rsidRDefault="00B124FF" w:rsidP="005F32B8">
            <w:pPr>
              <w:jc w:val="both"/>
              <w:rPr>
                <w:sz w:val="20"/>
                <w:szCs w:val="20"/>
                <w:lang w:val="fr-CA"/>
              </w:rPr>
            </w:pPr>
          </w:p>
          <w:p w:rsidR="00B124FF" w:rsidRPr="004A62A7" w:rsidRDefault="00B124FF" w:rsidP="005F32B8">
            <w:pPr>
              <w:numPr>
                <w:ilvl w:val="0"/>
                <w:numId w:val="14"/>
              </w:numPr>
              <w:jc w:val="both"/>
              <w:rPr>
                <w:sz w:val="20"/>
                <w:szCs w:val="20"/>
                <w:lang w:val="fr-CA"/>
              </w:rPr>
            </w:pPr>
            <w:r w:rsidRPr="004A62A7">
              <w:rPr>
                <w:sz w:val="20"/>
                <w:szCs w:val="20"/>
                <w:lang w:val="fr-CA"/>
              </w:rPr>
              <w:t>L’appelant et l’intimée signifieront et déposeront leur réponse aux demandes d’autorisation d’intervenir, le cas échéant, au plus tard le 16 avril 2019.</w:t>
            </w:r>
          </w:p>
          <w:p w:rsidR="00B124FF" w:rsidRPr="004A62A7" w:rsidRDefault="00B124FF" w:rsidP="005F32B8">
            <w:pPr>
              <w:jc w:val="both"/>
              <w:rPr>
                <w:sz w:val="20"/>
                <w:szCs w:val="20"/>
                <w:lang w:val="fr-CA"/>
              </w:rPr>
            </w:pPr>
          </w:p>
        </w:tc>
      </w:tr>
      <w:tr w:rsidR="00B124FF" w:rsidRPr="00CC0B55" w:rsidTr="005F32B8">
        <w:tc>
          <w:tcPr>
            <w:tcW w:w="9054" w:type="dxa"/>
            <w:shd w:val="clear" w:color="auto" w:fill="auto"/>
          </w:tcPr>
          <w:p w:rsidR="00B124FF" w:rsidRPr="004A62A7" w:rsidRDefault="00B124FF" w:rsidP="005F32B8">
            <w:pPr>
              <w:numPr>
                <w:ilvl w:val="0"/>
                <w:numId w:val="14"/>
              </w:numPr>
              <w:jc w:val="both"/>
              <w:rPr>
                <w:sz w:val="20"/>
                <w:szCs w:val="20"/>
                <w:lang w:val="fr-CA"/>
              </w:rPr>
            </w:pPr>
            <w:r w:rsidRPr="004A62A7">
              <w:rPr>
                <w:sz w:val="20"/>
                <w:szCs w:val="20"/>
                <w:lang w:val="fr-CA"/>
              </w:rPr>
              <w:t>Les répliques à toute réponse aux demandes d’autorisation d’intervenir seront signifiées et déposées au plus tard le 18 avril 2019.</w:t>
            </w:r>
          </w:p>
          <w:p w:rsidR="00B124FF" w:rsidRPr="004A62A7" w:rsidRDefault="00B124FF" w:rsidP="005F32B8">
            <w:pPr>
              <w:jc w:val="both"/>
              <w:rPr>
                <w:sz w:val="20"/>
                <w:szCs w:val="20"/>
                <w:lang w:val="fr-CA"/>
              </w:rPr>
            </w:pPr>
          </w:p>
          <w:p w:rsidR="00B124FF" w:rsidRPr="004A62A7" w:rsidRDefault="00B124FF" w:rsidP="005F32B8">
            <w:pPr>
              <w:numPr>
                <w:ilvl w:val="0"/>
                <w:numId w:val="14"/>
              </w:numPr>
              <w:jc w:val="both"/>
              <w:rPr>
                <w:bCs/>
                <w:sz w:val="20"/>
                <w:szCs w:val="20"/>
                <w:lang w:val="fr-CA"/>
              </w:rPr>
            </w:pPr>
            <w:r w:rsidRPr="004A62A7">
              <w:rPr>
                <w:bCs/>
                <w:sz w:val="20"/>
                <w:szCs w:val="20"/>
                <w:lang w:val="fr-CA"/>
              </w:rPr>
              <w:t xml:space="preserve">Tout intervenant qui sera autorisé à intervenir en application de la règle 59 des </w:t>
            </w:r>
            <w:r w:rsidRPr="004A62A7">
              <w:rPr>
                <w:bCs/>
                <w:i/>
                <w:sz w:val="20"/>
                <w:szCs w:val="20"/>
                <w:lang w:val="fr-CA"/>
              </w:rPr>
              <w:t>Règles de la Cour suprême du Canada</w:t>
            </w:r>
            <w:r w:rsidRPr="004A62A7">
              <w:rPr>
                <w:bCs/>
                <w:sz w:val="20"/>
                <w:szCs w:val="20"/>
                <w:lang w:val="fr-CA"/>
              </w:rPr>
              <w:t xml:space="preserve"> devra signifier et déposer leur mémoire et recueil de sources, le cas échéant, au plus tard le 13 mai 2019. </w:t>
            </w:r>
          </w:p>
          <w:p w:rsidR="00B124FF" w:rsidRPr="004A62A7" w:rsidRDefault="00B124FF" w:rsidP="005F32B8">
            <w:pPr>
              <w:jc w:val="both"/>
              <w:rPr>
                <w:bCs/>
                <w:sz w:val="20"/>
                <w:szCs w:val="20"/>
                <w:lang w:val="fr-CA"/>
              </w:rPr>
            </w:pPr>
          </w:p>
          <w:p w:rsidR="00B124FF" w:rsidRPr="004A62A7" w:rsidRDefault="00B124FF" w:rsidP="005F32B8">
            <w:pPr>
              <w:numPr>
                <w:ilvl w:val="0"/>
                <w:numId w:val="14"/>
              </w:numPr>
              <w:jc w:val="both"/>
              <w:rPr>
                <w:bCs/>
                <w:sz w:val="20"/>
                <w:szCs w:val="20"/>
                <w:lang w:val="fr-CA"/>
              </w:rPr>
            </w:pPr>
            <w:r w:rsidRPr="004A62A7">
              <w:rPr>
                <w:sz w:val="20"/>
                <w:szCs w:val="20"/>
                <w:lang w:val="fr-CA"/>
              </w:rPr>
              <w:t>Les dossier, mémoire et recueil de sources, le cas échéant, de l’intimée seront signifiés et déposés au plus tard le 3 mai 2019.</w:t>
            </w:r>
          </w:p>
          <w:p w:rsidR="00B124FF" w:rsidRPr="004A62A7" w:rsidRDefault="00B124FF" w:rsidP="005F32B8">
            <w:pPr>
              <w:jc w:val="both"/>
              <w:rPr>
                <w:sz w:val="20"/>
                <w:szCs w:val="20"/>
                <w:lang w:val="fr-CA"/>
              </w:rPr>
            </w:pPr>
          </w:p>
        </w:tc>
      </w:tr>
      <w:tr w:rsidR="00B124FF" w:rsidRPr="00CC0B55" w:rsidTr="005F32B8">
        <w:tc>
          <w:tcPr>
            <w:tcW w:w="9054" w:type="dxa"/>
            <w:shd w:val="clear" w:color="auto" w:fill="auto"/>
          </w:tcPr>
          <w:p w:rsidR="00B124FF" w:rsidRPr="004A62A7" w:rsidRDefault="00B124FF" w:rsidP="005F32B8">
            <w:pPr>
              <w:jc w:val="both"/>
              <w:rPr>
                <w:lang w:val="fr-CA"/>
              </w:rPr>
            </w:pPr>
          </w:p>
        </w:tc>
      </w:tr>
    </w:tbl>
    <w:p w:rsidR="00CC0B55" w:rsidRPr="00CC0B55" w:rsidRDefault="00CC0B55" w:rsidP="00B124FF">
      <w:pPr>
        <w:jc w:val="both"/>
        <w:rPr>
          <w:sz w:val="20"/>
          <w:szCs w:val="20"/>
          <w:lang w:val="fr-CA"/>
        </w:rPr>
      </w:pPr>
    </w:p>
    <w:p w:rsidR="00B124FF" w:rsidRPr="004A62A7" w:rsidRDefault="00A24D5C" w:rsidP="00B124FF">
      <w:pPr>
        <w:jc w:val="both"/>
        <w:rPr>
          <w:sz w:val="20"/>
          <w:lang w:val="fr-CA"/>
        </w:rPr>
      </w:pPr>
      <w:r>
        <w:rPr>
          <w:sz w:val="20"/>
          <w:szCs w:val="20"/>
        </w:rPr>
        <w:pict>
          <v:rect id="_x0000_i1064" style="width:2in;height:1pt" o:hrpct="0" o:hralign="center" o:hrstd="t" o:hrnoshade="t" o:hr="t" fillcolor="black [3213]" stroked="f"/>
        </w:pict>
      </w:r>
    </w:p>
    <w:p w:rsidR="00890FEB" w:rsidRDefault="00890FEB" w:rsidP="008D292F">
      <w:pPr>
        <w:rPr>
          <w:sz w:val="20"/>
          <w:szCs w:val="20"/>
          <w:lang w:val="fr-CA"/>
        </w:rPr>
      </w:pPr>
    </w:p>
    <w:p w:rsidR="00CC0B55" w:rsidRPr="00C50A5C" w:rsidRDefault="00CC0B55" w:rsidP="008D292F">
      <w:pPr>
        <w:rPr>
          <w:sz w:val="20"/>
          <w:szCs w:val="20"/>
          <w:lang w:val="fr-CA"/>
        </w:rPr>
      </w:pPr>
    </w:p>
    <w:p w:rsidR="00890FEB" w:rsidRPr="00C50A5C" w:rsidRDefault="00890FEB" w:rsidP="008D292F">
      <w:pPr>
        <w:rPr>
          <w:b/>
          <w:sz w:val="20"/>
          <w:szCs w:val="20"/>
          <w:lang w:val="fr-CA"/>
        </w:rPr>
        <w:sectPr w:rsidR="00890FEB" w:rsidRPr="00C50A5C" w:rsidSect="008D292F">
          <w:headerReference w:type="even" r:id="rId119"/>
          <w:headerReference w:type="default" r:id="rId120"/>
          <w:footerReference w:type="even" r:id="rId121"/>
          <w:footerReference w:type="default" r:id="rId122"/>
          <w:headerReference w:type="first" r:id="rId123"/>
          <w:footerReference w:type="first" r:id="rId124"/>
          <w:pgSz w:w="12240" w:h="15840"/>
          <w:pgMar w:top="720" w:right="965" w:bottom="1080" w:left="1656" w:header="720" w:footer="965" w:gutter="0"/>
          <w:cols w:space="720"/>
          <w:titlePg/>
          <w:docGrid w:linePitch="326"/>
        </w:sectPr>
      </w:pPr>
    </w:p>
    <w:p w:rsidR="00693C38" w:rsidRPr="008859F1" w:rsidRDefault="00DD0BDC" w:rsidP="00567602">
      <w:pPr>
        <w:pStyle w:val="Header1StyleE"/>
        <w:pBdr>
          <w:bottom w:val="single" w:sz="12" w:space="1" w:color="auto"/>
        </w:pBdr>
        <w:rPr>
          <w:lang w:val="fr-CA"/>
        </w:rPr>
      </w:pPr>
      <w:bookmarkStart w:id="9" w:name="_Toc532985691"/>
      <w:r w:rsidRPr="008859F1">
        <w:rPr>
          <w:lang w:val="fr-CA"/>
        </w:rPr>
        <w:lastRenderedPageBreak/>
        <w:t>Motions</w:t>
      </w:r>
      <w:r w:rsidR="00271E1E" w:rsidRPr="008859F1">
        <w:rPr>
          <w:lang w:val="fr-CA"/>
        </w:rPr>
        <w:t xml:space="preserve"> / </w:t>
      </w:r>
      <w:r w:rsidR="00693C38" w:rsidRPr="008859F1">
        <w:rPr>
          <w:lang w:val="fr-CA"/>
        </w:rPr>
        <w:br/>
      </w:r>
      <w:r w:rsidRPr="008859F1">
        <w:rPr>
          <w:lang w:val="fr-CA"/>
        </w:rPr>
        <w:t>Requêtes</w:t>
      </w:r>
      <w:bookmarkEnd w:id="9"/>
    </w:p>
    <w:p w:rsidR="00890FEB" w:rsidRPr="008859F1" w:rsidRDefault="00890FEB" w:rsidP="00890FEB">
      <w:pPr>
        <w:rPr>
          <w:sz w:val="20"/>
          <w:szCs w:val="20"/>
          <w:lang w:val="fr-CA"/>
        </w:rPr>
      </w:pPr>
    </w:p>
    <w:p w:rsidR="00B124FF" w:rsidRPr="006F0A72" w:rsidRDefault="00B124FF" w:rsidP="00B124FF">
      <w:pPr>
        <w:rPr>
          <w:b/>
          <w:sz w:val="20"/>
          <w:szCs w:val="20"/>
          <w:lang w:val="fr-CA"/>
        </w:rPr>
      </w:pPr>
      <w:r w:rsidRPr="006F0A72">
        <w:rPr>
          <w:b/>
          <w:sz w:val="20"/>
          <w:szCs w:val="20"/>
          <w:lang w:val="fr-CA"/>
        </w:rPr>
        <w:t>JANUARY 29, 2019 / LE 29 JANVIER 2019</w:t>
      </w:r>
    </w:p>
    <w:p w:rsidR="00B124FF" w:rsidRPr="006F0A72" w:rsidRDefault="00B124FF" w:rsidP="00B124FF">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804"/>
        <w:gridCol w:w="4805"/>
      </w:tblGrid>
      <w:tr w:rsidR="00B124FF" w:rsidRPr="006F0A72" w:rsidTr="005F32B8">
        <w:tc>
          <w:tcPr>
            <w:tcW w:w="4804" w:type="dxa"/>
            <w:tcBorders>
              <w:top w:val="nil"/>
              <w:left w:val="nil"/>
              <w:bottom w:val="nil"/>
              <w:right w:val="nil"/>
            </w:tcBorders>
          </w:tcPr>
          <w:p w:rsidR="00B124FF" w:rsidRPr="006F0A72" w:rsidRDefault="00B124FF" w:rsidP="005F32B8">
            <w:pPr>
              <w:tabs>
                <w:tab w:val="left" w:pos="-1440"/>
                <w:tab w:val="left" w:pos="-720"/>
              </w:tabs>
              <w:jc w:val="both"/>
              <w:rPr>
                <w:rFonts w:eastAsia="Times New Roman" w:cs="Times New Roman"/>
                <w:b/>
                <w:sz w:val="20"/>
                <w:szCs w:val="20"/>
                <w:lang w:val="en-US" w:eastAsia="en-CA"/>
              </w:rPr>
            </w:pPr>
            <w:r w:rsidRPr="006F0A72">
              <w:rPr>
                <w:rFonts w:eastAsia="Times New Roman" w:cs="Times New Roman"/>
                <w:b/>
                <w:sz w:val="20"/>
                <w:szCs w:val="20"/>
                <w:lang w:val="en-US" w:eastAsia="en-CA"/>
              </w:rPr>
              <w:t>Motions for leave to intervene</w:t>
            </w:r>
          </w:p>
        </w:tc>
        <w:tc>
          <w:tcPr>
            <w:tcW w:w="4805" w:type="dxa"/>
            <w:tcBorders>
              <w:top w:val="nil"/>
              <w:left w:val="nil"/>
              <w:bottom w:val="nil"/>
              <w:right w:val="nil"/>
            </w:tcBorders>
          </w:tcPr>
          <w:p w:rsidR="00B124FF" w:rsidRPr="006F0A72" w:rsidRDefault="00B124FF" w:rsidP="005F32B8">
            <w:pPr>
              <w:tabs>
                <w:tab w:val="left" w:pos="-1440"/>
                <w:tab w:val="left" w:pos="-720"/>
              </w:tabs>
              <w:jc w:val="both"/>
              <w:rPr>
                <w:rFonts w:eastAsia="Times New Roman" w:cs="Times New Roman"/>
                <w:b/>
                <w:sz w:val="20"/>
                <w:szCs w:val="20"/>
                <w:lang w:val="fr-CA" w:eastAsia="en-CA"/>
              </w:rPr>
            </w:pPr>
            <w:r w:rsidRPr="006F0A72">
              <w:rPr>
                <w:rFonts w:eastAsia="Times New Roman" w:cs="Times New Roman"/>
                <w:b/>
                <w:sz w:val="20"/>
                <w:szCs w:val="20"/>
                <w:lang w:val="fr-CA" w:eastAsia="en-CA"/>
              </w:rPr>
              <w:t>Requêtes en intervention</w:t>
            </w:r>
          </w:p>
        </w:tc>
      </w:tr>
    </w:tbl>
    <w:p w:rsidR="00B124FF" w:rsidRPr="006F0A72" w:rsidRDefault="00B124FF" w:rsidP="00B124FF">
      <w:pPr>
        <w:tabs>
          <w:tab w:val="left" w:pos="-1440"/>
          <w:tab w:val="left" w:pos="-720"/>
        </w:tabs>
        <w:jc w:val="both"/>
        <w:rPr>
          <w:rFonts w:eastAsia="Times New Roman" w:cs="Times New Roman"/>
          <w:sz w:val="20"/>
          <w:szCs w:val="20"/>
          <w:lang w:val="fr-CA" w:eastAsia="en-CA"/>
        </w:rPr>
      </w:pPr>
    </w:p>
    <w:p w:rsidR="00B124FF" w:rsidRPr="006F0A72" w:rsidRDefault="00B124FF" w:rsidP="00B124FF">
      <w:pPr>
        <w:rPr>
          <w:rFonts w:eastAsiaTheme="minorEastAsia" w:cs="Times New Roman"/>
          <w:b/>
          <w:bCs/>
          <w:sz w:val="20"/>
          <w:szCs w:val="24"/>
          <w:lang w:val="en-US"/>
        </w:rPr>
      </w:pPr>
      <w:r w:rsidRPr="006F0A72">
        <w:rPr>
          <w:rFonts w:eastAsiaTheme="minorEastAsia" w:cs="Times New Roman"/>
          <w:b/>
          <w:bCs/>
          <w:sz w:val="20"/>
          <w:szCs w:val="24"/>
          <w:lang w:val="en-US"/>
        </w:rPr>
        <w:t>MASTER CORPORAL C.J. STILLMAN v. HER MAJESTY THE QUEEN – and between – EX-PETTY OFFICER 2ND CLASS J.K. WILKS v. HER MAJESTY THE QUEEN – and between – WARRANT OFFICER J.G.A. GAGNON v. HER MAJESTY THE QUEEN– and between – LIEUTENANT (NAVY) G.M. KLEIN v. CANADA (MINISTER OF NATIONAL DEFENSE) – and between – CORPORAL CHARLES NADEAU-DION v. HER MAJESTY THE QUEEN – and between – CORPORAL F.P. PFAHL v. CANADA (MINISTER OF NATIONAL DEFENSE) – and between – CORPORAL A.J.R. THIBAULT v. HER MAJESTY THE QUEEN – and between – SECOND LIEUTENANT SOUDRI v. HER MAJESTY THE QUEEN – and between – K39 842 031 PETTY OFFICER 2ND CLASS R.K. BLACKMAN v. HER MAJESTY THE QUEEN</w:t>
      </w:r>
    </w:p>
    <w:p w:rsidR="00B124FF" w:rsidRPr="006F0A72" w:rsidRDefault="00B124FF" w:rsidP="00B124FF">
      <w:pPr>
        <w:rPr>
          <w:rFonts w:cs="Times New Roman"/>
          <w:sz w:val="16"/>
        </w:rPr>
      </w:pPr>
      <w:r w:rsidRPr="006F0A72">
        <w:rPr>
          <w:rFonts w:eastAsiaTheme="minorEastAsia" w:cs="Times New Roman"/>
          <w:bCs/>
          <w:sz w:val="20"/>
          <w:szCs w:val="24"/>
          <w:lang w:val="en-US"/>
        </w:rPr>
        <w:t>(CMAC) (37701)</w:t>
      </w:r>
    </w:p>
    <w:p w:rsidR="00B124FF" w:rsidRDefault="00B124FF" w:rsidP="00B124FF">
      <w:pPr>
        <w:rPr>
          <w:rFonts w:cs="Times New Roman"/>
          <w:sz w:val="16"/>
        </w:rPr>
      </w:pPr>
    </w:p>
    <w:p w:rsidR="00B124FF" w:rsidRDefault="00B124FF" w:rsidP="00B124FF">
      <w:pPr>
        <w:rPr>
          <w:rFonts w:cs="Times New Roman"/>
          <w:sz w:val="20"/>
          <w:szCs w:val="20"/>
        </w:rPr>
      </w:pPr>
      <w:r>
        <w:rPr>
          <w:rFonts w:cs="Times New Roman"/>
          <w:sz w:val="20"/>
          <w:szCs w:val="20"/>
        </w:rPr>
        <w:t>and</w:t>
      </w:r>
    </w:p>
    <w:p w:rsidR="00B124FF" w:rsidRDefault="00B124FF" w:rsidP="00B124FF">
      <w:pPr>
        <w:rPr>
          <w:rFonts w:cs="Times New Roman"/>
          <w:sz w:val="20"/>
          <w:szCs w:val="20"/>
        </w:rPr>
      </w:pPr>
    </w:p>
    <w:p w:rsidR="00B124FF" w:rsidRPr="006F0A72" w:rsidRDefault="00B124FF" w:rsidP="00B124FF">
      <w:pPr>
        <w:rPr>
          <w:rFonts w:cs="Times New Roman"/>
          <w:b/>
          <w:sz w:val="20"/>
          <w:szCs w:val="20"/>
          <w:lang w:val="en-US"/>
        </w:rPr>
      </w:pPr>
      <w:r w:rsidRPr="006F0A72">
        <w:rPr>
          <w:rFonts w:cs="Times New Roman"/>
          <w:b/>
          <w:sz w:val="20"/>
          <w:szCs w:val="20"/>
          <w:lang w:val="en-US"/>
        </w:rPr>
        <w:t>HER MAJESTY THE QUEEN v. CORPORAL R.P. BEAUDRY</w:t>
      </w:r>
    </w:p>
    <w:p w:rsidR="00B124FF" w:rsidRPr="006F0A72" w:rsidRDefault="00B124FF" w:rsidP="00B124FF">
      <w:pPr>
        <w:rPr>
          <w:rFonts w:cs="Times New Roman"/>
          <w:sz w:val="20"/>
          <w:szCs w:val="20"/>
          <w:lang w:val="en-US"/>
        </w:rPr>
      </w:pPr>
      <w:r w:rsidRPr="006F0A72">
        <w:rPr>
          <w:rFonts w:cs="Times New Roman"/>
          <w:sz w:val="20"/>
          <w:szCs w:val="20"/>
          <w:lang w:val="en-US"/>
        </w:rPr>
        <w:t>(CMAC)(38308)</w:t>
      </w:r>
    </w:p>
    <w:p w:rsidR="00B124FF" w:rsidRPr="006F0A72" w:rsidRDefault="00B124FF" w:rsidP="00B124FF">
      <w:pPr>
        <w:rPr>
          <w:rFonts w:cs="Times New Roman"/>
          <w:sz w:val="20"/>
          <w:szCs w:val="20"/>
        </w:rPr>
      </w:pPr>
    </w:p>
    <w:p w:rsidR="00B124FF" w:rsidRPr="006F0A72" w:rsidRDefault="00B124FF" w:rsidP="00B124FF">
      <w:pPr>
        <w:rPr>
          <w:rFonts w:cs="Times New Roman"/>
          <w:sz w:val="16"/>
        </w:rPr>
      </w:pPr>
    </w:p>
    <w:p w:rsidR="00B124FF" w:rsidRPr="006F0A72" w:rsidRDefault="00B124FF" w:rsidP="00B124FF">
      <w:pPr>
        <w:rPr>
          <w:rFonts w:cs="Times New Roman"/>
          <w:sz w:val="20"/>
        </w:rPr>
      </w:pPr>
      <w:r w:rsidRPr="006F0A72">
        <w:rPr>
          <w:rFonts w:cs="Times New Roman"/>
          <w:b/>
          <w:bCs/>
          <w:sz w:val="20"/>
          <w:u w:val="single"/>
        </w:rPr>
        <w:t>MARTIN J.:</w:t>
      </w:r>
    </w:p>
    <w:p w:rsidR="00B124FF" w:rsidRPr="006F0A72" w:rsidRDefault="00B124FF" w:rsidP="00B124FF">
      <w:pPr>
        <w:rPr>
          <w:rFonts w:cs="Times New Roman"/>
          <w:sz w:val="20"/>
        </w:rPr>
      </w:pPr>
    </w:p>
    <w:p w:rsidR="00B124FF" w:rsidRPr="006F0A72" w:rsidRDefault="00B124FF" w:rsidP="00B124FF">
      <w:pPr>
        <w:jc w:val="both"/>
        <w:rPr>
          <w:rFonts w:eastAsia="Times New Roman" w:cs="Times New Roman"/>
          <w:sz w:val="20"/>
          <w:szCs w:val="20"/>
          <w:lang w:val="en-US" w:eastAsia="en-CA"/>
        </w:rPr>
      </w:pPr>
      <w:r w:rsidRPr="006F0A72">
        <w:rPr>
          <w:rFonts w:eastAsia="Times New Roman" w:cs="Times New Roman"/>
          <w:b/>
          <w:bCs/>
          <w:sz w:val="20"/>
          <w:szCs w:val="20"/>
          <w:lang w:val="en-US" w:eastAsia="en-CA"/>
        </w:rPr>
        <w:t xml:space="preserve">UPON APPLICATION </w:t>
      </w:r>
      <w:r w:rsidRPr="006F0A72">
        <w:rPr>
          <w:rFonts w:eastAsia="Times New Roman" w:cs="Times New Roman"/>
          <w:bCs/>
          <w:sz w:val="20"/>
          <w:szCs w:val="20"/>
          <w:lang w:val="en-US" w:eastAsia="en-CA"/>
        </w:rPr>
        <w:t xml:space="preserve">by </w:t>
      </w:r>
      <w:r w:rsidRPr="006F0A72">
        <w:rPr>
          <w:rFonts w:eastAsia="Times New Roman" w:cs="Times New Roman"/>
          <w:sz w:val="20"/>
          <w:szCs w:val="20"/>
          <w:lang w:eastAsia="en-CA"/>
        </w:rPr>
        <w:t>Eugene R. Fidell and the Advocates for the Rule of Law for leave to intervene in the above appeals</w:t>
      </w:r>
      <w:r w:rsidRPr="006F0A72">
        <w:rPr>
          <w:rFonts w:eastAsia="Times New Roman" w:cs="Times New Roman"/>
          <w:sz w:val="20"/>
          <w:szCs w:val="20"/>
          <w:lang w:val="en-US" w:eastAsia="en-CA"/>
        </w:rPr>
        <w:t>;</w:t>
      </w:r>
    </w:p>
    <w:p w:rsidR="00B124FF" w:rsidRPr="006F0A72" w:rsidRDefault="00B124FF" w:rsidP="00B124FF">
      <w:pPr>
        <w:rPr>
          <w:rFonts w:eastAsia="Times New Roman" w:cs="Times New Roman"/>
          <w:color w:val="000000" w:themeColor="text1"/>
          <w:sz w:val="20"/>
          <w:szCs w:val="20"/>
          <w:lang w:val="en-US" w:eastAsia="en-CA"/>
        </w:rPr>
      </w:pPr>
    </w:p>
    <w:p w:rsidR="00B124FF" w:rsidRPr="006F0A72" w:rsidRDefault="00B124FF" w:rsidP="00B124FF">
      <w:pPr>
        <w:jc w:val="both"/>
        <w:rPr>
          <w:rFonts w:eastAsia="Times New Roman" w:cs="Times New Roman"/>
          <w:sz w:val="20"/>
          <w:szCs w:val="20"/>
          <w:lang w:val="en-US" w:eastAsia="en-CA"/>
        </w:rPr>
      </w:pPr>
      <w:r w:rsidRPr="006F0A72">
        <w:rPr>
          <w:rFonts w:eastAsia="Times New Roman" w:cs="Times New Roman"/>
          <w:b/>
          <w:bCs/>
          <w:sz w:val="20"/>
          <w:szCs w:val="20"/>
          <w:lang w:val="en-US" w:eastAsia="en-CA"/>
        </w:rPr>
        <w:t>AND THE MATERIAL FILED</w:t>
      </w:r>
      <w:r w:rsidRPr="006F0A72">
        <w:rPr>
          <w:rFonts w:eastAsia="Times New Roman" w:cs="Times New Roman"/>
          <w:sz w:val="20"/>
          <w:szCs w:val="20"/>
          <w:lang w:val="en-US" w:eastAsia="en-CA"/>
        </w:rPr>
        <w:t xml:space="preserve"> having been read;</w:t>
      </w:r>
    </w:p>
    <w:p w:rsidR="00B124FF" w:rsidRPr="006F0A72" w:rsidRDefault="00B124FF" w:rsidP="00B124FF">
      <w:pPr>
        <w:jc w:val="both"/>
        <w:rPr>
          <w:rFonts w:eastAsia="Times New Roman" w:cs="Times New Roman"/>
          <w:b/>
          <w:bCs/>
          <w:sz w:val="20"/>
          <w:szCs w:val="20"/>
          <w:lang w:val="en-US" w:eastAsia="en-CA"/>
        </w:rPr>
      </w:pPr>
    </w:p>
    <w:p w:rsidR="00B124FF" w:rsidRPr="006F0A72" w:rsidRDefault="00B124FF" w:rsidP="00B124FF">
      <w:pPr>
        <w:jc w:val="both"/>
        <w:rPr>
          <w:rFonts w:eastAsia="Times New Roman" w:cs="Times New Roman"/>
          <w:b/>
          <w:bCs/>
          <w:sz w:val="20"/>
          <w:szCs w:val="20"/>
          <w:lang w:val="en-US" w:eastAsia="en-CA"/>
        </w:rPr>
      </w:pPr>
      <w:r w:rsidRPr="006F0A72">
        <w:rPr>
          <w:rFonts w:eastAsia="Times New Roman" w:cs="Times New Roman"/>
          <w:b/>
          <w:bCs/>
          <w:sz w:val="20"/>
          <w:szCs w:val="20"/>
          <w:lang w:val="en-US" w:eastAsia="en-CA"/>
        </w:rPr>
        <w:t>IT IS HEREBY ORDERED THAT:</w:t>
      </w:r>
    </w:p>
    <w:p w:rsidR="00B124FF" w:rsidRPr="006F0A72" w:rsidRDefault="00B124FF" w:rsidP="00B124FF">
      <w:pPr>
        <w:tabs>
          <w:tab w:val="left" w:pos="6660"/>
        </w:tabs>
        <w:jc w:val="both"/>
        <w:rPr>
          <w:rFonts w:eastAsia="Times New Roman" w:cs="Times New Roman"/>
          <w:sz w:val="20"/>
          <w:szCs w:val="20"/>
          <w:lang w:val="en-US" w:eastAsia="en-CA"/>
        </w:rPr>
      </w:pPr>
    </w:p>
    <w:p w:rsidR="00B124FF" w:rsidRPr="006F0A72" w:rsidRDefault="00B124FF" w:rsidP="00B124FF">
      <w:pPr>
        <w:tabs>
          <w:tab w:val="left" w:pos="6660"/>
        </w:tabs>
        <w:jc w:val="both"/>
        <w:rPr>
          <w:rFonts w:eastAsia="Times New Roman" w:cs="Times New Roman"/>
          <w:sz w:val="20"/>
          <w:szCs w:val="20"/>
          <w:lang w:val="en-US" w:eastAsia="en-CA"/>
        </w:rPr>
      </w:pPr>
      <w:r w:rsidRPr="006F0A72">
        <w:rPr>
          <w:rFonts w:eastAsia="Times New Roman" w:cs="Times New Roman"/>
          <w:sz w:val="20"/>
          <w:szCs w:val="20"/>
          <w:lang w:val="en-US" w:eastAsia="en-CA"/>
        </w:rPr>
        <w:t xml:space="preserve">The motion for leave to intervene by the </w:t>
      </w:r>
      <w:r w:rsidRPr="006F0A72">
        <w:rPr>
          <w:rFonts w:eastAsia="Times New Roman" w:cs="Times New Roman"/>
          <w:sz w:val="20"/>
          <w:szCs w:val="20"/>
          <w:lang w:eastAsia="en-CA"/>
        </w:rPr>
        <w:t>Advocates for the Rule of Law</w:t>
      </w:r>
      <w:r w:rsidRPr="006F0A72">
        <w:rPr>
          <w:rFonts w:eastAsia="Times New Roman" w:cs="Times New Roman"/>
          <w:sz w:val="20"/>
          <w:szCs w:val="20"/>
          <w:lang w:val="en-US" w:eastAsia="en-CA"/>
        </w:rPr>
        <w:t xml:space="preserve"> is</w:t>
      </w:r>
      <w:r w:rsidRPr="006F0A72">
        <w:rPr>
          <w:rFonts w:eastAsia="Times New Roman" w:cs="Times New Roman"/>
          <w:sz w:val="20"/>
          <w:szCs w:val="20"/>
          <w:lang w:eastAsia="en-CA"/>
        </w:rPr>
        <w:t xml:space="preserve"> </w:t>
      </w:r>
      <w:r w:rsidRPr="006F0A72">
        <w:rPr>
          <w:rFonts w:eastAsia="Times New Roman" w:cs="Times New Roman"/>
          <w:sz w:val="20"/>
          <w:szCs w:val="20"/>
          <w:lang w:val="en-US" w:eastAsia="en-CA"/>
        </w:rPr>
        <w:t>granted and the said intervener shall be entitled to serve and file a single factum not exceeding ten (10) pages in these appeals on or before March 8, 2019.</w:t>
      </w:r>
    </w:p>
    <w:p w:rsidR="00B124FF" w:rsidRPr="006F0A72" w:rsidRDefault="00B124FF" w:rsidP="00B124FF">
      <w:pPr>
        <w:jc w:val="both"/>
        <w:rPr>
          <w:rFonts w:eastAsia="Times New Roman" w:cs="Times New Roman"/>
          <w:bCs/>
          <w:sz w:val="20"/>
          <w:szCs w:val="20"/>
          <w:lang w:val="en-US" w:eastAsia="en-CA"/>
        </w:rPr>
      </w:pPr>
    </w:p>
    <w:p w:rsidR="00B124FF" w:rsidRPr="006F0A72" w:rsidRDefault="00B124FF" w:rsidP="00B124FF">
      <w:pPr>
        <w:jc w:val="both"/>
        <w:rPr>
          <w:rFonts w:eastAsia="Times New Roman" w:cs="Times New Roman"/>
          <w:sz w:val="20"/>
          <w:szCs w:val="20"/>
          <w:lang w:val="en-US" w:eastAsia="en-CA"/>
        </w:rPr>
      </w:pPr>
      <w:r w:rsidRPr="006F0A72">
        <w:rPr>
          <w:rFonts w:eastAsia="Times New Roman" w:cs="Times New Roman"/>
          <w:bCs/>
          <w:sz w:val="20"/>
          <w:szCs w:val="20"/>
          <w:lang w:val="en-US" w:eastAsia="en-CA"/>
        </w:rPr>
        <w:t xml:space="preserve">The </w:t>
      </w:r>
      <w:r w:rsidRPr="006F0A72">
        <w:rPr>
          <w:rFonts w:eastAsia="Times New Roman" w:cs="Times New Roman"/>
          <w:sz w:val="20"/>
          <w:szCs w:val="20"/>
          <w:lang w:eastAsia="en-CA"/>
        </w:rPr>
        <w:t>Advocates for the Rule of Law</w:t>
      </w:r>
      <w:r w:rsidRPr="006F0A72">
        <w:rPr>
          <w:rFonts w:eastAsia="Times New Roman" w:cs="Times New Roman"/>
          <w:sz w:val="20"/>
          <w:szCs w:val="20"/>
          <w:lang w:val="en-US" w:eastAsia="en-CA"/>
        </w:rPr>
        <w:t xml:space="preserve"> is</w:t>
      </w:r>
      <w:r w:rsidRPr="006F0A72">
        <w:rPr>
          <w:rFonts w:eastAsia="Times New Roman" w:cs="Times New Roman"/>
          <w:sz w:val="20"/>
          <w:szCs w:val="20"/>
          <w:lang w:eastAsia="en-CA"/>
        </w:rPr>
        <w:t xml:space="preserve"> granted permission to present oral argument not exceeding five (5) minutes at the hearing of the appeals.</w:t>
      </w:r>
    </w:p>
    <w:p w:rsidR="00B124FF" w:rsidRPr="006F0A72" w:rsidRDefault="00B124FF" w:rsidP="00B124FF">
      <w:pPr>
        <w:jc w:val="both"/>
        <w:rPr>
          <w:rFonts w:eastAsia="Times New Roman" w:cs="Times New Roman"/>
          <w:sz w:val="20"/>
          <w:szCs w:val="20"/>
          <w:lang w:val="en-US" w:eastAsia="en-CA"/>
        </w:rPr>
      </w:pPr>
    </w:p>
    <w:p w:rsidR="00B124FF" w:rsidRPr="006F0A72" w:rsidRDefault="00B124FF" w:rsidP="00B124FF">
      <w:pPr>
        <w:jc w:val="both"/>
        <w:rPr>
          <w:rFonts w:eastAsia="Times New Roman" w:cs="Times New Roman"/>
          <w:sz w:val="20"/>
          <w:szCs w:val="20"/>
          <w:lang w:val="en-US" w:eastAsia="en-CA"/>
        </w:rPr>
      </w:pPr>
      <w:r w:rsidRPr="006F0A72">
        <w:rPr>
          <w:rFonts w:eastAsia="Times New Roman" w:cs="Times New Roman"/>
          <w:sz w:val="20"/>
          <w:szCs w:val="20"/>
          <w:lang w:val="en-US" w:eastAsia="en-CA"/>
        </w:rPr>
        <w:t xml:space="preserve">The motion for leave to intervene by </w:t>
      </w:r>
      <w:r w:rsidRPr="006F0A72">
        <w:rPr>
          <w:rFonts w:eastAsia="Times New Roman" w:cs="Times New Roman"/>
          <w:sz w:val="20"/>
          <w:szCs w:val="20"/>
          <w:lang w:eastAsia="en-CA"/>
        </w:rPr>
        <w:t xml:space="preserve">Eugene R. Fidell is dismissed. </w:t>
      </w:r>
    </w:p>
    <w:p w:rsidR="00B124FF" w:rsidRPr="006F0A72" w:rsidRDefault="00B124FF" w:rsidP="00B124FF">
      <w:pPr>
        <w:jc w:val="both"/>
        <w:rPr>
          <w:rFonts w:eastAsia="Times New Roman" w:cs="Times New Roman"/>
          <w:sz w:val="20"/>
          <w:szCs w:val="20"/>
          <w:lang w:val="en-US" w:eastAsia="en-CA"/>
        </w:rPr>
      </w:pPr>
    </w:p>
    <w:p w:rsidR="00B124FF" w:rsidRPr="006F0A72" w:rsidRDefault="00B124FF" w:rsidP="00B124FF">
      <w:pPr>
        <w:jc w:val="both"/>
        <w:rPr>
          <w:rFonts w:eastAsia="Times New Roman" w:cs="Times New Roman"/>
          <w:b/>
          <w:bCs/>
          <w:sz w:val="20"/>
          <w:szCs w:val="20"/>
          <w:lang w:val="en-US" w:eastAsia="en-CA"/>
        </w:rPr>
      </w:pPr>
      <w:r w:rsidRPr="006F0A72">
        <w:rPr>
          <w:rFonts w:eastAsia="Times New Roman" w:cs="Times New Roman"/>
          <w:sz w:val="20"/>
          <w:szCs w:val="20"/>
          <w:lang w:eastAsia="en-CA"/>
        </w:rPr>
        <w:fldChar w:fldCharType="begin"/>
      </w:r>
      <w:r w:rsidRPr="006F0A72">
        <w:rPr>
          <w:rFonts w:eastAsia="Times New Roman" w:cs="Times New Roman"/>
          <w:sz w:val="20"/>
          <w:szCs w:val="20"/>
          <w:lang w:eastAsia="en-CA"/>
        </w:rPr>
        <w:instrText xml:space="preserve"> SEQ CHAPTER \h \r 1</w:instrText>
      </w:r>
      <w:r w:rsidRPr="006F0A72">
        <w:rPr>
          <w:rFonts w:eastAsia="Times New Roman" w:cs="Times New Roman"/>
          <w:sz w:val="20"/>
          <w:szCs w:val="20"/>
          <w:lang w:eastAsia="en-CA"/>
        </w:rPr>
        <w:fldChar w:fldCharType="end"/>
      </w:r>
      <w:r w:rsidRPr="006F0A72">
        <w:rPr>
          <w:rFonts w:eastAsia="Times New Roman" w:cs="Times New Roman"/>
          <w:b/>
          <w:bCs/>
          <w:sz w:val="20"/>
          <w:szCs w:val="20"/>
          <w:lang w:val="en-US" w:eastAsia="en-CA"/>
        </w:rPr>
        <w:t>The intervener is not entitled to raise new issues or to adduce further evidence or otherwise to supplement the record of the parties.</w:t>
      </w:r>
    </w:p>
    <w:p w:rsidR="00B124FF" w:rsidRPr="006F0A72" w:rsidRDefault="00B124FF" w:rsidP="00B124FF">
      <w:pPr>
        <w:jc w:val="both"/>
        <w:rPr>
          <w:rFonts w:eastAsia="Times New Roman" w:cs="Times New Roman"/>
          <w:sz w:val="20"/>
          <w:szCs w:val="20"/>
          <w:lang w:val="en-US" w:eastAsia="en-CA"/>
        </w:rPr>
      </w:pPr>
    </w:p>
    <w:p w:rsidR="00B124FF" w:rsidRPr="006F0A72" w:rsidRDefault="00B124FF" w:rsidP="00B124FF">
      <w:pPr>
        <w:jc w:val="both"/>
        <w:rPr>
          <w:rFonts w:eastAsia="Times New Roman" w:cs="Times New Roman"/>
          <w:sz w:val="20"/>
          <w:szCs w:val="20"/>
          <w:lang w:val="en-US" w:eastAsia="en-CA"/>
        </w:rPr>
      </w:pPr>
      <w:r w:rsidRPr="006F0A72">
        <w:rPr>
          <w:rFonts w:eastAsia="Times New Roman" w:cs="Times New Roman"/>
          <w:sz w:val="20"/>
          <w:szCs w:val="20"/>
          <w:lang w:val="en-US" w:eastAsia="en-CA"/>
        </w:rPr>
        <w:t xml:space="preserve">Pursuant to Rule 59(1)(a) of the </w:t>
      </w:r>
      <w:r w:rsidRPr="006F0A72">
        <w:rPr>
          <w:rFonts w:eastAsia="Times New Roman" w:cs="Times New Roman"/>
          <w:i/>
          <w:sz w:val="20"/>
          <w:szCs w:val="20"/>
          <w:lang w:val="en-US" w:eastAsia="en-CA"/>
        </w:rPr>
        <w:t>Rules of the Supreme Court of Canada</w:t>
      </w:r>
      <w:r w:rsidRPr="006F0A72">
        <w:rPr>
          <w:rFonts w:eastAsia="Times New Roman" w:cs="Times New Roman"/>
          <w:sz w:val="20"/>
          <w:szCs w:val="20"/>
          <w:lang w:val="en-US" w:eastAsia="en-CA"/>
        </w:rPr>
        <w:t>, the intervener shall pay to the appellants and respondents any additional disbursements resulting from its intervention.</w:t>
      </w:r>
    </w:p>
    <w:p w:rsidR="00B124FF" w:rsidRDefault="00B124FF" w:rsidP="00B124FF">
      <w:pPr>
        <w:spacing w:line="228" w:lineRule="auto"/>
        <w:rPr>
          <w:sz w:val="20"/>
          <w:lang w:val="en-US"/>
        </w:rPr>
      </w:pPr>
    </w:p>
    <w:p w:rsidR="00B124FF" w:rsidRDefault="00B124FF" w:rsidP="00B124FF">
      <w:pPr>
        <w:spacing w:line="228" w:lineRule="auto"/>
        <w:rPr>
          <w:sz w:val="20"/>
          <w:lang w:val="en-US"/>
        </w:rPr>
      </w:pPr>
    </w:p>
    <w:p w:rsidR="00B124FF" w:rsidRPr="006F0A72" w:rsidRDefault="00B124FF" w:rsidP="00B124FF">
      <w:pPr>
        <w:spacing w:line="228" w:lineRule="auto"/>
        <w:rPr>
          <w:sz w:val="20"/>
          <w:szCs w:val="20"/>
          <w:lang w:val="en-US"/>
        </w:rPr>
      </w:pPr>
    </w:p>
    <w:p w:rsidR="00B124FF" w:rsidRPr="006F0A72" w:rsidRDefault="00B124FF" w:rsidP="00B124FF">
      <w:pPr>
        <w:jc w:val="both"/>
        <w:rPr>
          <w:rFonts w:eastAsia="Times New Roman" w:cs="Times New Roman"/>
          <w:sz w:val="20"/>
          <w:szCs w:val="20"/>
          <w:lang w:val="fr-CA" w:eastAsia="en-CA"/>
        </w:rPr>
      </w:pPr>
      <w:r w:rsidRPr="006F0A72">
        <w:rPr>
          <w:rFonts w:eastAsia="Times New Roman" w:cs="Times New Roman"/>
          <w:b/>
          <w:bCs/>
          <w:sz w:val="20"/>
          <w:szCs w:val="20"/>
          <w:lang w:val="fr-CA" w:eastAsia="en-CA"/>
        </w:rPr>
        <w:t xml:space="preserve">À LA SUITE DES DEMANDES </w:t>
      </w:r>
      <w:r w:rsidRPr="006F0A72">
        <w:rPr>
          <w:rFonts w:eastAsia="Times New Roman" w:cs="Times New Roman"/>
          <w:sz w:val="20"/>
          <w:szCs w:val="20"/>
          <w:lang w:val="fr-CA" w:eastAsia="en-CA"/>
        </w:rPr>
        <w:t>présentées par Eugene R. Fidell et Advocates for the Rule of Law en vue d’obtenir la permission d’intervenir dans les appels susmentionnés;</w:t>
      </w:r>
    </w:p>
    <w:p w:rsidR="00B124FF" w:rsidRDefault="00B124FF" w:rsidP="00B124FF">
      <w:pPr>
        <w:jc w:val="both"/>
        <w:rPr>
          <w:rFonts w:eastAsia="Times New Roman" w:cs="Times New Roman"/>
          <w:b/>
          <w:bCs/>
          <w:sz w:val="20"/>
          <w:szCs w:val="20"/>
          <w:lang w:val="fr-CA" w:eastAsia="en-CA"/>
        </w:rPr>
      </w:pPr>
    </w:p>
    <w:p w:rsidR="00B124FF" w:rsidRPr="006F0A72" w:rsidRDefault="00B124FF" w:rsidP="00B124FF">
      <w:pPr>
        <w:jc w:val="both"/>
        <w:rPr>
          <w:rFonts w:eastAsia="Times New Roman" w:cs="Times New Roman"/>
          <w:sz w:val="20"/>
          <w:szCs w:val="20"/>
          <w:lang w:val="fr-CA" w:eastAsia="en-CA"/>
        </w:rPr>
      </w:pPr>
      <w:r w:rsidRPr="006F0A72">
        <w:rPr>
          <w:rFonts w:eastAsia="Times New Roman" w:cs="Times New Roman"/>
          <w:b/>
          <w:bCs/>
          <w:sz w:val="20"/>
          <w:szCs w:val="20"/>
          <w:lang w:val="fr-CA" w:eastAsia="en-CA"/>
        </w:rPr>
        <w:t xml:space="preserve">ET APRÈS EXAMEN </w:t>
      </w:r>
      <w:r w:rsidRPr="006F0A72">
        <w:rPr>
          <w:rFonts w:eastAsia="Times New Roman" w:cs="Times New Roman"/>
          <w:bCs/>
          <w:sz w:val="20"/>
          <w:szCs w:val="20"/>
          <w:lang w:val="fr-CA" w:eastAsia="en-CA"/>
        </w:rPr>
        <w:t>des documents déposés</w:t>
      </w:r>
      <w:r w:rsidRPr="006F0A72">
        <w:rPr>
          <w:rFonts w:eastAsia="Times New Roman" w:cs="Times New Roman"/>
          <w:sz w:val="20"/>
          <w:szCs w:val="20"/>
          <w:lang w:val="fr-CA" w:eastAsia="en-CA"/>
        </w:rPr>
        <w:t>;</w:t>
      </w:r>
    </w:p>
    <w:p w:rsidR="00B124FF" w:rsidRPr="006F0A72" w:rsidRDefault="00B124FF" w:rsidP="00B124FF">
      <w:pPr>
        <w:jc w:val="both"/>
        <w:rPr>
          <w:rFonts w:eastAsia="Times New Roman" w:cs="Times New Roman"/>
          <w:sz w:val="20"/>
          <w:szCs w:val="20"/>
          <w:lang w:val="fr-CA" w:eastAsia="en-CA"/>
        </w:rPr>
      </w:pPr>
    </w:p>
    <w:p w:rsidR="00B124FF" w:rsidRPr="006F0A72" w:rsidRDefault="00B124FF" w:rsidP="00B124FF">
      <w:pPr>
        <w:jc w:val="both"/>
        <w:rPr>
          <w:rFonts w:eastAsia="Times New Roman" w:cs="Times New Roman"/>
          <w:sz w:val="20"/>
          <w:szCs w:val="20"/>
          <w:lang w:val="fr-CA" w:eastAsia="en-CA"/>
        </w:rPr>
      </w:pPr>
      <w:r w:rsidRPr="006F0A72">
        <w:rPr>
          <w:rFonts w:eastAsia="Times New Roman" w:cs="Times New Roman"/>
          <w:b/>
          <w:bCs/>
          <w:sz w:val="20"/>
          <w:szCs w:val="20"/>
          <w:lang w:val="fr-CA" w:eastAsia="en-CA"/>
        </w:rPr>
        <w:t>IL EST ORDONNÉ CE QUI SUIT :</w:t>
      </w:r>
    </w:p>
    <w:p w:rsidR="00B124FF" w:rsidRPr="006F0A72" w:rsidRDefault="00B124FF" w:rsidP="00B124FF">
      <w:pPr>
        <w:jc w:val="both"/>
        <w:rPr>
          <w:rFonts w:eastAsia="Times New Roman" w:cs="Times New Roman"/>
          <w:sz w:val="20"/>
          <w:szCs w:val="20"/>
          <w:lang w:val="fr-CA" w:eastAsia="en-CA"/>
        </w:rPr>
      </w:pPr>
    </w:p>
    <w:p w:rsidR="00B124FF" w:rsidRPr="006F0A72" w:rsidRDefault="00B124FF" w:rsidP="00B124FF">
      <w:pPr>
        <w:jc w:val="both"/>
        <w:rPr>
          <w:rFonts w:eastAsia="Times New Roman" w:cs="Times New Roman"/>
          <w:sz w:val="20"/>
          <w:szCs w:val="20"/>
          <w:lang w:val="fr-CA" w:eastAsia="en-CA"/>
        </w:rPr>
      </w:pPr>
      <w:r w:rsidRPr="006F0A72">
        <w:rPr>
          <w:rFonts w:eastAsia="Times New Roman" w:cs="Times New Roman"/>
          <w:sz w:val="20"/>
          <w:szCs w:val="20"/>
          <w:lang w:val="fr-CA" w:eastAsia="en-CA"/>
        </w:rPr>
        <w:t>La requête en autorisation d’intervenir présentée par Advocates for the Rule of Law est accueillie et l’intervenante pourra signifier et déposer un seul mémoire d’au plus dix (10) pages dans ces appels au plus tard le 8 mars 2019.</w:t>
      </w:r>
    </w:p>
    <w:p w:rsidR="00B124FF" w:rsidRPr="006F0A72" w:rsidRDefault="00B124FF" w:rsidP="00B124FF">
      <w:pPr>
        <w:jc w:val="both"/>
        <w:rPr>
          <w:rFonts w:eastAsia="Times New Roman" w:cs="Times New Roman"/>
          <w:sz w:val="20"/>
          <w:szCs w:val="20"/>
          <w:lang w:val="fr-CA" w:eastAsia="en-CA"/>
        </w:rPr>
      </w:pPr>
    </w:p>
    <w:p w:rsidR="00B124FF" w:rsidRPr="006F0A72" w:rsidRDefault="00B124FF" w:rsidP="00B124FF">
      <w:pPr>
        <w:jc w:val="both"/>
        <w:rPr>
          <w:rFonts w:eastAsia="Times New Roman" w:cs="Times New Roman"/>
          <w:sz w:val="20"/>
          <w:szCs w:val="20"/>
          <w:lang w:val="fr-CA" w:eastAsia="en-CA"/>
        </w:rPr>
      </w:pPr>
      <w:r w:rsidRPr="006F0A72">
        <w:rPr>
          <w:rFonts w:eastAsia="Times New Roman" w:cs="Times New Roman"/>
          <w:sz w:val="20"/>
          <w:szCs w:val="20"/>
          <w:lang w:val="fr-CA" w:eastAsia="en-CA"/>
        </w:rPr>
        <w:t>Advocates for the Rule of Law aura le droit de présenter une plaidoirie orale d’au plus cinq (5) minutes lors de l’audition des appels.</w:t>
      </w:r>
    </w:p>
    <w:p w:rsidR="00B124FF" w:rsidRPr="006F0A72" w:rsidRDefault="00B124FF" w:rsidP="00B124FF">
      <w:pPr>
        <w:jc w:val="both"/>
        <w:rPr>
          <w:rFonts w:eastAsia="Times New Roman" w:cs="Times New Roman"/>
          <w:b/>
          <w:sz w:val="20"/>
          <w:szCs w:val="20"/>
          <w:lang w:val="fr-CA" w:eastAsia="en-CA"/>
        </w:rPr>
      </w:pPr>
    </w:p>
    <w:p w:rsidR="00B124FF" w:rsidRPr="006F0A72" w:rsidRDefault="00B124FF" w:rsidP="00B124FF">
      <w:pPr>
        <w:jc w:val="both"/>
        <w:rPr>
          <w:rFonts w:eastAsia="Times New Roman" w:cs="Times New Roman"/>
          <w:bCs/>
          <w:sz w:val="20"/>
          <w:szCs w:val="20"/>
          <w:lang w:val="fr-CA" w:eastAsia="en-CA"/>
        </w:rPr>
      </w:pPr>
      <w:r w:rsidRPr="006F0A72">
        <w:rPr>
          <w:rFonts w:eastAsia="Times New Roman" w:cs="Times New Roman"/>
          <w:sz w:val="20"/>
          <w:szCs w:val="20"/>
          <w:lang w:val="fr-CA" w:eastAsia="en-CA"/>
        </w:rPr>
        <w:t>La requête en autorisation d’intervenir présentée par</w:t>
      </w:r>
      <w:r w:rsidRPr="006F0A72">
        <w:rPr>
          <w:rFonts w:eastAsia="Times New Roman" w:cs="Times New Roman"/>
          <w:bCs/>
          <w:sz w:val="20"/>
          <w:szCs w:val="20"/>
          <w:lang w:val="fr-CA" w:eastAsia="en-CA"/>
        </w:rPr>
        <w:t xml:space="preserve"> </w:t>
      </w:r>
      <w:r w:rsidRPr="006F0A72">
        <w:rPr>
          <w:rFonts w:eastAsia="Times New Roman" w:cs="Times New Roman"/>
          <w:sz w:val="20"/>
          <w:szCs w:val="20"/>
          <w:lang w:val="fr-CA" w:eastAsia="en-CA"/>
        </w:rPr>
        <w:t xml:space="preserve">Eugene R. Fidell est rejetée. </w:t>
      </w:r>
    </w:p>
    <w:p w:rsidR="00B124FF" w:rsidRPr="006F0A72" w:rsidRDefault="00B124FF" w:rsidP="00B124FF">
      <w:pPr>
        <w:jc w:val="both"/>
        <w:rPr>
          <w:rFonts w:eastAsia="Times New Roman" w:cs="Times New Roman"/>
          <w:sz w:val="20"/>
          <w:szCs w:val="20"/>
          <w:lang w:val="fr-CA" w:eastAsia="en-CA"/>
        </w:rPr>
      </w:pPr>
    </w:p>
    <w:p w:rsidR="00B124FF" w:rsidRPr="006F0A72" w:rsidRDefault="00B124FF" w:rsidP="00B124FF">
      <w:pPr>
        <w:jc w:val="both"/>
        <w:rPr>
          <w:rFonts w:eastAsia="Times New Roman" w:cs="Times New Roman"/>
          <w:b/>
          <w:bCs/>
          <w:sz w:val="20"/>
          <w:szCs w:val="20"/>
          <w:lang w:val="fr-CA" w:eastAsia="en-CA"/>
        </w:rPr>
      </w:pPr>
      <w:r w:rsidRPr="006F0A72">
        <w:rPr>
          <w:rFonts w:eastAsia="Times New Roman" w:cs="Times New Roman"/>
          <w:b/>
          <w:sz w:val="20"/>
          <w:szCs w:val="20"/>
          <w:lang w:val="fr-CA" w:eastAsia="en-CA"/>
        </w:rPr>
        <w:t xml:space="preserve">L’intervenante n’a pas le droit de soulever de nouvelles questions, de produire d’autres éléments de preuve ni de compléter de quelque autre façon le dossier des </w:t>
      </w:r>
      <w:r w:rsidRPr="006F0A72">
        <w:rPr>
          <w:rFonts w:eastAsia="Times New Roman" w:cs="Times New Roman"/>
          <w:sz w:val="20"/>
          <w:szCs w:val="20"/>
          <w:lang w:eastAsia="en-CA"/>
        </w:rPr>
        <w:fldChar w:fldCharType="begin"/>
      </w:r>
      <w:r w:rsidRPr="006F0A72">
        <w:rPr>
          <w:rFonts w:eastAsia="Times New Roman" w:cs="Times New Roman"/>
          <w:sz w:val="20"/>
          <w:szCs w:val="20"/>
          <w:lang w:val="fr-CA" w:eastAsia="en-CA"/>
        </w:rPr>
        <w:instrText xml:space="preserve"> SEQ CHAPTER \h \r 1</w:instrText>
      </w:r>
      <w:r w:rsidRPr="006F0A72">
        <w:rPr>
          <w:rFonts w:eastAsia="Times New Roman" w:cs="Times New Roman"/>
          <w:sz w:val="20"/>
          <w:szCs w:val="20"/>
          <w:lang w:eastAsia="en-CA"/>
        </w:rPr>
        <w:fldChar w:fldCharType="end"/>
      </w:r>
      <w:r w:rsidRPr="006F0A72">
        <w:rPr>
          <w:rFonts w:eastAsia="Times New Roman" w:cs="Times New Roman"/>
          <w:b/>
          <w:bCs/>
          <w:sz w:val="20"/>
          <w:szCs w:val="20"/>
          <w:lang w:val="fr-CA" w:eastAsia="en-CA"/>
        </w:rPr>
        <w:t>parties.</w:t>
      </w:r>
    </w:p>
    <w:p w:rsidR="00B124FF" w:rsidRPr="006F0A72" w:rsidRDefault="00B124FF" w:rsidP="00B124FF">
      <w:pPr>
        <w:jc w:val="both"/>
        <w:rPr>
          <w:rFonts w:eastAsia="Times New Roman" w:cs="Times New Roman"/>
          <w:b/>
          <w:bCs/>
          <w:sz w:val="20"/>
          <w:szCs w:val="20"/>
          <w:lang w:val="fr-CA" w:eastAsia="en-CA"/>
        </w:rPr>
      </w:pPr>
    </w:p>
    <w:p w:rsidR="00B124FF" w:rsidRPr="006F0A72" w:rsidRDefault="00B124FF" w:rsidP="00B124FF">
      <w:pPr>
        <w:jc w:val="both"/>
        <w:rPr>
          <w:rFonts w:eastAsia="Times New Roman" w:cs="Times New Roman"/>
          <w:sz w:val="20"/>
          <w:szCs w:val="20"/>
          <w:lang w:val="fr-FR" w:eastAsia="en-CA"/>
        </w:rPr>
      </w:pPr>
      <w:r w:rsidRPr="006F0A72">
        <w:rPr>
          <w:rFonts w:eastAsia="Times New Roman" w:cs="Times New Roman"/>
          <w:sz w:val="20"/>
          <w:szCs w:val="20"/>
          <w:lang w:val="fr-FR" w:eastAsia="en-CA"/>
        </w:rPr>
        <w:t>Conformément à l’alinéa 59(1)</w:t>
      </w:r>
      <w:r w:rsidRPr="006F0A72">
        <w:rPr>
          <w:rFonts w:eastAsia="Times New Roman" w:cs="Times New Roman"/>
          <w:i/>
          <w:sz w:val="20"/>
          <w:szCs w:val="20"/>
          <w:lang w:val="fr-FR" w:eastAsia="en-CA"/>
        </w:rPr>
        <w:t>a</w:t>
      </w:r>
      <w:r w:rsidRPr="006F0A72">
        <w:rPr>
          <w:rFonts w:eastAsia="Times New Roman" w:cs="Times New Roman"/>
          <w:sz w:val="20"/>
          <w:szCs w:val="20"/>
          <w:lang w:val="fr-FR" w:eastAsia="en-CA"/>
        </w:rPr>
        <w:t xml:space="preserve">) des </w:t>
      </w:r>
      <w:r w:rsidRPr="006F0A72">
        <w:rPr>
          <w:rFonts w:eastAsia="Times New Roman" w:cs="Times New Roman"/>
          <w:i/>
          <w:sz w:val="20"/>
          <w:szCs w:val="20"/>
          <w:lang w:val="fr-FR" w:eastAsia="en-CA"/>
        </w:rPr>
        <w:t>Règles de la Cour suprême du Canada</w:t>
      </w:r>
      <w:r w:rsidRPr="006F0A72">
        <w:rPr>
          <w:rFonts w:eastAsia="Times New Roman" w:cs="Times New Roman"/>
          <w:sz w:val="20"/>
          <w:szCs w:val="20"/>
          <w:lang w:val="fr-FR" w:eastAsia="en-CA"/>
        </w:rPr>
        <w:t>, l’intervenante paiera aux appelants et aux intimés tous débours supplémentaires résultant de son intervention.</w:t>
      </w:r>
    </w:p>
    <w:p w:rsidR="00B124FF" w:rsidRPr="006F0A72" w:rsidRDefault="00B124FF" w:rsidP="00B124FF">
      <w:pPr>
        <w:spacing w:line="232" w:lineRule="auto"/>
        <w:rPr>
          <w:rFonts w:cs="Times New Roman"/>
          <w:sz w:val="20"/>
          <w:lang w:val="fr-FR"/>
        </w:rPr>
      </w:pPr>
    </w:p>
    <w:p w:rsidR="00CA2DEA" w:rsidRPr="003B3977" w:rsidRDefault="00A24D5C" w:rsidP="00B124FF">
      <w:pPr>
        <w:tabs>
          <w:tab w:val="left" w:pos="-1440"/>
          <w:tab w:val="left" w:pos="-720"/>
        </w:tabs>
        <w:jc w:val="both"/>
        <w:rPr>
          <w:sz w:val="20"/>
          <w:szCs w:val="20"/>
          <w:lang w:val="fr-CA"/>
        </w:rPr>
      </w:pPr>
      <w:r>
        <w:rPr>
          <w:rFonts w:eastAsia="Times New Roman" w:cs="Times New Roman"/>
          <w:sz w:val="20"/>
          <w:szCs w:val="20"/>
          <w:lang w:val="fr-CA" w:eastAsia="en-CA"/>
        </w:rPr>
        <w:pict>
          <v:rect id="_x0000_i1067" style="width:2in;height:1pt" o:hrpct="0" o:hralign="center" o:hrstd="t" o:hrnoshade="t" o:hr="t" fillcolor="black [3213]" stroked="f"/>
        </w:pict>
      </w:r>
    </w:p>
    <w:p w:rsidR="00890FEB" w:rsidRDefault="00890FEB" w:rsidP="00831CA9">
      <w:pPr>
        <w:jc w:val="both"/>
        <w:rPr>
          <w:sz w:val="20"/>
          <w:szCs w:val="20"/>
          <w:lang w:val="fr-CA"/>
        </w:rPr>
      </w:pPr>
    </w:p>
    <w:p w:rsidR="00523D1E" w:rsidRPr="00C50A5C" w:rsidRDefault="00523D1E" w:rsidP="00831CA9">
      <w:pPr>
        <w:jc w:val="both"/>
        <w:rPr>
          <w:sz w:val="20"/>
          <w:szCs w:val="20"/>
          <w:lang w:val="fr-CA"/>
        </w:rPr>
      </w:pPr>
    </w:p>
    <w:p w:rsidR="00831CA9" w:rsidRPr="00C50A5C" w:rsidRDefault="00831CA9" w:rsidP="00831CA9">
      <w:pPr>
        <w:jc w:val="both"/>
        <w:rPr>
          <w:sz w:val="20"/>
          <w:szCs w:val="20"/>
          <w:lang w:val="fr-CA"/>
        </w:rPr>
        <w:sectPr w:rsidR="00831CA9" w:rsidRPr="00C50A5C" w:rsidSect="00831CA9">
          <w:headerReference w:type="even" r:id="rId125"/>
          <w:headerReference w:type="default" r:id="rId126"/>
          <w:footerReference w:type="even" r:id="rId127"/>
          <w:footerReference w:type="default" r:id="rId128"/>
          <w:headerReference w:type="first" r:id="rId129"/>
          <w:footerReference w:type="first" r:id="rId130"/>
          <w:pgSz w:w="12240" w:h="15840"/>
          <w:pgMar w:top="720" w:right="965" w:bottom="1080" w:left="1656" w:header="720" w:footer="965" w:gutter="0"/>
          <w:cols w:space="720"/>
          <w:titlePg/>
          <w:docGrid w:linePitch="326"/>
        </w:sectPr>
      </w:pPr>
    </w:p>
    <w:p w:rsidR="00567602" w:rsidRPr="00FB1DB6" w:rsidRDefault="001434B9" w:rsidP="00FB1DB6">
      <w:pPr>
        <w:pStyle w:val="Header1StyleE"/>
        <w:pBdr>
          <w:bottom w:val="single" w:sz="12" w:space="1" w:color="auto"/>
        </w:pBdr>
        <w:rPr>
          <w:lang w:val="en-US"/>
        </w:rPr>
      </w:pPr>
      <w:bookmarkStart w:id="10" w:name="_Toc532985692"/>
      <w:r w:rsidRPr="002D72EB">
        <w:lastRenderedPageBreak/>
        <w:t>Taxation of costs</w:t>
      </w:r>
      <w:r w:rsidR="00271E1E">
        <w:t xml:space="preserve"> / </w:t>
      </w:r>
      <w:r w:rsidR="00567602">
        <w:br/>
      </w:r>
      <w:r>
        <w:rPr>
          <w:lang w:val="en-US"/>
        </w:rPr>
        <w:t>T</w:t>
      </w:r>
      <w:r w:rsidRPr="00567602">
        <w:rPr>
          <w:lang w:val="en-US"/>
        </w:rPr>
        <w:t>axation des dépens</w:t>
      </w:r>
      <w:bookmarkEnd w:id="10"/>
    </w:p>
    <w:p w:rsidR="00FB1DB6" w:rsidRPr="00C50A5C" w:rsidRDefault="00FB1DB6" w:rsidP="00831CA9">
      <w:pPr>
        <w:tabs>
          <w:tab w:val="left" w:pos="-1440"/>
          <w:tab w:val="left" w:pos="-720"/>
        </w:tabs>
        <w:jc w:val="both"/>
        <w:rPr>
          <w:sz w:val="20"/>
          <w:szCs w:val="20"/>
        </w:rPr>
      </w:pPr>
    </w:p>
    <w:p w:rsidR="00B124FF" w:rsidRPr="00D94329" w:rsidRDefault="00B124FF" w:rsidP="00B124FF">
      <w:pPr>
        <w:rPr>
          <w:b/>
          <w:sz w:val="20"/>
          <w:szCs w:val="20"/>
          <w:lang w:val="fr-CA"/>
        </w:rPr>
      </w:pPr>
      <w:r>
        <w:rPr>
          <w:b/>
          <w:sz w:val="20"/>
          <w:szCs w:val="20"/>
          <w:lang w:val="fr-CA"/>
        </w:rPr>
        <w:t>JANUARY 29</w:t>
      </w:r>
      <w:r w:rsidRPr="00C42C54">
        <w:rPr>
          <w:b/>
          <w:sz w:val="20"/>
          <w:szCs w:val="20"/>
          <w:lang w:val="fr-CA"/>
        </w:rPr>
        <w:t xml:space="preserve">, </w:t>
      </w:r>
      <w:r>
        <w:rPr>
          <w:b/>
          <w:sz w:val="20"/>
          <w:szCs w:val="20"/>
          <w:lang w:val="fr-CA"/>
        </w:rPr>
        <w:t>2019 / LE 29 JANVIER 2019</w:t>
      </w:r>
    </w:p>
    <w:p w:rsidR="00B124FF" w:rsidRPr="00C50A5C" w:rsidRDefault="00B124FF" w:rsidP="00B124FF">
      <w:pPr>
        <w:tabs>
          <w:tab w:val="left" w:pos="-1440"/>
          <w:tab w:val="left" w:pos="-720"/>
        </w:tabs>
        <w:jc w:val="both"/>
        <w:rPr>
          <w:sz w:val="20"/>
          <w:szCs w:val="20"/>
        </w:rPr>
      </w:pPr>
    </w:p>
    <w:tbl>
      <w:tblPr>
        <w:tblStyle w:val="TableGrid"/>
        <w:tblW w:w="137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7"/>
        <w:gridCol w:w="1160"/>
        <w:gridCol w:w="4152"/>
        <w:gridCol w:w="4152"/>
      </w:tblGrid>
      <w:tr w:rsidR="00F00DDD" w:rsidRPr="00CC0B55" w:rsidTr="00F00DDD">
        <w:tc>
          <w:tcPr>
            <w:tcW w:w="4307" w:type="dxa"/>
            <w:shd w:val="clear" w:color="auto" w:fill="auto"/>
          </w:tcPr>
          <w:p w:rsidR="00F00DDD" w:rsidRPr="00C50A5C" w:rsidRDefault="00F00DDD" w:rsidP="00F00DDD">
            <w:pPr>
              <w:tabs>
                <w:tab w:val="left" w:pos="-1440"/>
                <w:tab w:val="left" w:pos="-720"/>
              </w:tabs>
              <w:jc w:val="both"/>
              <w:rPr>
                <w:sz w:val="20"/>
                <w:szCs w:val="20"/>
              </w:rPr>
            </w:pPr>
            <w:r w:rsidRPr="00C50A5C">
              <w:rPr>
                <w:b/>
                <w:sz w:val="20"/>
                <w:szCs w:val="20"/>
              </w:rPr>
              <w:t>Solicitor-client costs</w:t>
            </w:r>
          </w:p>
          <w:p w:rsidR="00F00DDD" w:rsidRDefault="00F00DDD" w:rsidP="00F00DDD">
            <w:pPr>
              <w:tabs>
                <w:tab w:val="left" w:pos="-1440"/>
                <w:tab w:val="left" w:pos="-720"/>
              </w:tabs>
              <w:jc w:val="both"/>
              <w:rPr>
                <w:b/>
                <w:sz w:val="20"/>
                <w:szCs w:val="20"/>
              </w:rPr>
            </w:pPr>
          </w:p>
          <w:p w:rsidR="00F00DDD" w:rsidRPr="002D72EB" w:rsidRDefault="00F00DDD" w:rsidP="00F00DDD">
            <w:pPr>
              <w:tabs>
                <w:tab w:val="left" w:pos="-1440"/>
                <w:tab w:val="left" w:pos="-720"/>
              </w:tabs>
              <w:jc w:val="both"/>
              <w:rPr>
                <w:b/>
                <w:sz w:val="20"/>
                <w:szCs w:val="20"/>
              </w:rPr>
            </w:pPr>
            <w:r>
              <w:rPr>
                <w:b/>
                <w:sz w:val="20"/>
                <w:szCs w:val="20"/>
              </w:rPr>
              <w:t>Robyrt Regan</w:t>
            </w:r>
          </w:p>
          <w:p w:rsidR="00F00DDD" w:rsidRPr="002D72EB" w:rsidRDefault="00F00DDD" w:rsidP="00F00DDD">
            <w:pPr>
              <w:tabs>
                <w:tab w:val="left" w:pos="-1440"/>
                <w:tab w:val="left" w:pos="-720"/>
              </w:tabs>
              <w:jc w:val="both"/>
              <w:rPr>
                <w:b/>
                <w:sz w:val="20"/>
                <w:szCs w:val="20"/>
              </w:rPr>
            </w:pPr>
          </w:p>
          <w:p w:rsidR="00F00DDD" w:rsidRPr="00D94329" w:rsidRDefault="00F00DDD" w:rsidP="00F00DDD">
            <w:pPr>
              <w:tabs>
                <w:tab w:val="left" w:pos="-1440"/>
                <w:tab w:val="left" w:pos="-720"/>
              </w:tabs>
              <w:jc w:val="both"/>
              <w:rPr>
                <w:b/>
                <w:sz w:val="20"/>
                <w:szCs w:val="20"/>
                <w:lang w:val="en-US"/>
              </w:rPr>
            </w:pPr>
            <w:r w:rsidRPr="002D72EB">
              <w:rPr>
                <w:b/>
                <w:sz w:val="20"/>
                <w:szCs w:val="20"/>
              </w:rPr>
              <w:tab/>
            </w:r>
            <w:r w:rsidRPr="00D94329">
              <w:rPr>
                <w:b/>
                <w:sz w:val="20"/>
                <w:szCs w:val="20"/>
                <w:lang w:val="en-US"/>
              </w:rPr>
              <w:t>v. (37811)</w:t>
            </w:r>
          </w:p>
          <w:p w:rsidR="00F00DDD" w:rsidRPr="00D94329" w:rsidRDefault="00F00DDD" w:rsidP="00F00DDD">
            <w:pPr>
              <w:tabs>
                <w:tab w:val="left" w:pos="-1440"/>
                <w:tab w:val="left" w:pos="-720"/>
              </w:tabs>
              <w:jc w:val="both"/>
              <w:rPr>
                <w:b/>
                <w:sz w:val="20"/>
                <w:szCs w:val="20"/>
                <w:lang w:val="en-US"/>
              </w:rPr>
            </w:pPr>
          </w:p>
          <w:p w:rsidR="00F00DDD" w:rsidRPr="00D94329" w:rsidRDefault="00F00DDD" w:rsidP="00F00DDD">
            <w:pPr>
              <w:tabs>
                <w:tab w:val="left" w:pos="-1440"/>
                <w:tab w:val="left" w:pos="-720"/>
              </w:tabs>
              <w:jc w:val="both"/>
              <w:rPr>
                <w:sz w:val="20"/>
                <w:szCs w:val="20"/>
                <w:lang w:val="en-US"/>
              </w:rPr>
            </w:pPr>
            <w:r>
              <w:rPr>
                <w:b/>
                <w:sz w:val="20"/>
                <w:szCs w:val="20"/>
                <w:lang w:val="en-US"/>
              </w:rPr>
              <w:t>Business Development Bank of Canada</w:t>
            </w:r>
            <w:r w:rsidRPr="00D94329">
              <w:rPr>
                <w:b/>
                <w:sz w:val="20"/>
                <w:szCs w:val="20"/>
                <w:lang w:val="en-US"/>
              </w:rPr>
              <w:t xml:space="preserve"> (</w:t>
            </w:r>
            <w:r>
              <w:rPr>
                <w:b/>
                <w:sz w:val="20"/>
                <w:szCs w:val="20"/>
                <w:lang w:val="en-US"/>
              </w:rPr>
              <w:t>Ont</w:t>
            </w:r>
            <w:r w:rsidRPr="00D94329">
              <w:rPr>
                <w:b/>
                <w:sz w:val="20"/>
                <w:szCs w:val="20"/>
                <w:lang w:val="en-US"/>
              </w:rPr>
              <w:t>.)</w:t>
            </w:r>
          </w:p>
        </w:tc>
        <w:tc>
          <w:tcPr>
            <w:tcW w:w="1160" w:type="dxa"/>
            <w:shd w:val="clear" w:color="auto" w:fill="auto"/>
          </w:tcPr>
          <w:p w:rsidR="00F00DDD" w:rsidRPr="00C50A5C" w:rsidRDefault="00F00DDD" w:rsidP="00F00DDD">
            <w:pPr>
              <w:tabs>
                <w:tab w:val="left" w:pos="-1440"/>
                <w:tab w:val="left" w:pos="-720"/>
              </w:tabs>
              <w:jc w:val="both"/>
              <w:rPr>
                <w:sz w:val="20"/>
                <w:szCs w:val="20"/>
              </w:rPr>
            </w:pPr>
          </w:p>
        </w:tc>
        <w:tc>
          <w:tcPr>
            <w:tcW w:w="4152" w:type="dxa"/>
          </w:tcPr>
          <w:p w:rsidR="00F00DDD" w:rsidRPr="00C50A5C" w:rsidRDefault="00F00DDD" w:rsidP="00F00DDD">
            <w:pPr>
              <w:tabs>
                <w:tab w:val="left" w:pos="-1440"/>
                <w:tab w:val="left" w:pos="-720"/>
              </w:tabs>
              <w:jc w:val="both"/>
              <w:rPr>
                <w:sz w:val="20"/>
                <w:szCs w:val="20"/>
                <w:lang w:val="fr-CA"/>
              </w:rPr>
            </w:pPr>
            <w:r w:rsidRPr="00C50A5C">
              <w:rPr>
                <w:b/>
                <w:sz w:val="20"/>
                <w:szCs w:val="20"/>
                <w:lang w:val="fr-CA"/>
              </w:rPr>
              <w:t>Dépens sur la base avocat-client</w:t>
            </w:r>
          </w:p>
        </w:tc>
        <w:tc>
          <w:tcPr>
            <w:tcW w:w="4152" w:type="dxa"/>
            <w:shd w:val="clear" w:color="auto" w:fill="auto"/>
          </w:tcPr>
          <w:p w:rsidR="00F00DDD" w:rsidRPr="00F00DDD" w:rsidRDefault="00F00DDD" w:rsidP="00F00DDD">
            <w:pPr>
              <w:tabs>
                <w:tab w:val="left" w:pos="1366"/>
              </w:tabs>
              <w:rPr>
                <w:sz w:val="20"/>
                <w:szCs w:val="20"/>
                <w:lang w:val="fr-CA"/>
              </w:rPr>
            </w:pPr>
          </w:p>
        </w:tc>
      </w:tr>
    </w:tbl>
    <w:p w:rsidR="00B124FF" w:rsidRPr="00F00DDD" w:rsidRDefault="00B124FF" w:rsidP="00B124FF">
      <w:pPr>
        <w:tabs>
          <w:tab w:val="left" w:pos="-1440"/>
          <w:tab w:val="left" w:pos="-720"/>
        </w:tabs>
        <w:jc w:val="both"/>
        <w:rPr>
          <w:sz w:val="20"/>
          <w:szCs w:val="20"/>
          <w:lang w:val="fr-CA"/>
        </w:rPr>
      </w:pPr>
    </w:p>
    <w:p w:rsidR="00B124FF" w:rsidRPr="00C50A5C" w:rsidRDefault="00B124FF" w:rsidP="00B124FF">
      <w:pPr>
        <w:tabs>
          <w:tab w:val="left" w:pos="-1440"/>
          <w:tab w:val="left" w:pos="-720"/>
        </w:tabs>
        <w:jc w:val="both"/>
        <w:rPr>
          <w:b/>
          <w:sz w:val="20"/>
          <w:szCs w:val="20"/>
        </w:rPr>
      </w:pPr>
      <w:r w:rsidRPr="00C50A5C">
        <w:rPr>
          <w:sz w:val="20"/>
          <w:szCs w:val="20"/>
          <w:u w:val="single"/>
        </w:rPr>
        <w:t>Background:</w:t>
      </w:r>
    </w:p>
    <w:p w:rsidR="00B124FF" w:rsidRPr="00C50A5C" w:rsidRDefault="00B124FF" w:rsidP="00B124FF">
      <w:pPr>
        <w:tabs>
          <w:tab w:val="left" w:pos="-1440"/>
          <w:tab w:val="left" w:pos="-720"/>
        </w:tabs>
        <w:jc w:val="both"/>
        <w:rPr>
          <w:sz w:val="20"/>
          <w:szCs w:val="20"/>
        </w:rPr>
      </w:pPr>
    </w:p>
    <w:p w:rsidR="00B124FF" w:rsidRPr="00D94329" w:rsidRDefault="00B124FF" w:rsidP="00B124FF">
      <w:pPr>
        <w:tabs>
          <w:tab w:val="left" w:pos="-1440"/>
          <w:tab w:val="left" w:pos="-720"/>
        </w:tabs>
        <w:jc w:val="both"/>
        <w:rPr>
          <w:sz w:val="20"/>
          <w:szCs w:val="20"/>
        </w:rPr>
      </w:pPr>
      <w:r w:rsidRPr="00D94329">
        <w:rPr>
          <w:sz w:val="20"/>
          <w:szCs w:val="20"/>
        </w:rPr>
        <w:t>[1]</w:t>
      </w:r>
      <w:r w:rsidRPr="00D94329">
        <w:rPr>
          <w:sz w:val="20"/>
          <w:szCs w:val="20"/>
        </w:rPr>
        <w:tab/>
        <w:t>On August 2, 2018, this Court dismissed Robyrt Regan’s application for leave to appeal in this case, with solicitor and client costs to the respondent, Business Development Bank of Canada. The application for leave to appeal concerned the dismissal of Mr. Regan’s appeal by the Ontario Court of Appeal in respect of findings for contempt made by the Ontario Superior Court of Justice.</w:t>
      </w:r>
    </w:p>
    <w:p w:rsidR="00B124FF" w:rsidRPr="00D94329" w:rsidRDefault="00B124FF" w:rsidP="00B124FF">
      <w:pPr>
        <w:tabs>
          <w:tab w:val="left" w:pos="-1440"/>
          <w:tab w:val="left" w:pos="-720"/>
        </w:tabs>
        <w:jc w:val="both"/>
        <w:rPr>
          <w:sz w:val="20"/>
          <w:szCs w:val="20"/>
        </w:rPr>
      </w:pPr>
    </w:p>
    <w:p w:rsidR="00B124FF" w:rsidRPr="00D94329" w:rsidRDefault="00B124FF" w:rsidP="00B124FF">
      <w:pPr>
        <w:tabs>
          <w:tab w:val="left" w:pos="-1440"/>
          <w:tab w:val="left" w:pos="-720"/>
        </w:tabs>
        <w:jc w:val="both"/>
        <w:rPr>
          <w:sz w:val="20"/>
          <w:szCs w:val="20"/>
        </w:rPr>
      </w:pPr>
      <w:r w:rsidRPr="00D94329">
        <w:rPr>
          <w:sz w:val="20"/>
          <w:szCs w:val="20"/>
        </w:rPr>
        <w:t>[2]</w:t>
      </w:r>
      <w:r w:rsidRPr="00D94329">
        <w:rPr>
          <w:sz w:val="20"/>
          <w:szCs w:val="20"/>
        </w:rPr>
        <w:tab/>
        <w:t xml:space="preserve">On October 1, 2018, the Bank filed its notice of taxation and bill of costs, claiming a total of $13,063.52; $12,487.57 for counsel fees and $575.95 for disbursements. The Bank’s claim for fees includes $9516.00 for its primary counsel plus $1100.00 for its Ottawa agent. The Bank claims additional fees of $234.95 for the preparation of the first copy of the response to the application for leave and $200.00 for the Ottawa agent, both pursuant to Part 1 of the Schedule B Tariff, Rule 83 of the Rules of the Supreme Court of Canada, SOR 2002-156, as am. Finally, the Bank claims $1436.62 in respect of 13% HST on all fees.  </w:t>
      </w:r>
    </w:p>
    <w:p w:rsidR="00B124FF" w:rsidRPr="00D94329" w:rsidRDefault="00B124FF" w:rsidP="00B124FF">
      <w:pPr>
        <w:tabs>
          <w:tab w:val="left" w:pos="-1440"/>
          <w:tab w:val="left" w:pos="-720"/>
        </w:tabs>
        <w:jc w:val="both"/>
        <w:rPr>
          <w:sz w:val="20"/>
          <w:szCs w:val="20"/>
        </w:rPr>
      </w:pPr>
    </w:p>
    <w:p w:rsidR="00B124FF" w:rsidRPr="00D94329" w:rsidRDefault="00B124FF" w:rsidP="00B124FF">
      <w:pPr>
        <w:tabs>
          <w:tab w:val="left" w:pos="-1440"/>
          <w:tab w:val="left" w:pos="-720"/>
        </w:tabs>
        <w:jc w:val="both"/>
        <w:rPr>
          <w:sz w:val="20"/>
          <w:szCs w:val="20"/>
        </w:rPr>
      </w:pPr>
      <w:r w:rsidRPr="00D94329">
        <w:rPr>
          <w:sz w:val="20"/>
          <w:szCs w:val="20"/>
        </w:rPr>
        <w:t>[3]</w:t>
      </w:r>
      <w:r w:rsidRPr="00D94329">
        <w:rPr>
          <w:sz w:val="20"/>
          <w:szCs w:val="20"/>
        </w:rPr>
        <w:tab/>
        <w:t>The applicant’s primary objection to the Bank’s bill of costs pertains to the claim for counsel fees. In particular, Mr. Regan submits the Bank’s claim for agent fees should be limited to $800.00, which is the amount allowed under the Tariff and, in his view, “roughly equivalent” to solicitor and client costs. He further objects to the $9516.00 claimed for the Bank’s primary counsel on the basis that the Bank seeks its actual fees, or full indemnity, rather than its costs on a solicitor and client scale. He submits solicitor and client costs ought to be assessed on the basis of what is “fair and reasonable” in the circumstances. He also suggests that there is duplication of work reflected in the dockets, as well as some overlap between work on this file and work on another companion application, all of which should be disallowed accordingly.</w:t>
      </w:r>
    </w:p>
    <w:p w:rsidR="00B124FF" w:rsidRPr="00D94329" w:rsidRDefault="00B124FF" w:rsidP="00B124FF">
      <w:pPr>
        <w:tabs>
          <w:tab w:val="left" w:pos="-1440"/>
          <w:tab w:val="left" w:pos="-720"/>
        </w:tabs>
        <w:jc w:val="both"/>
        <w:rPr>
          <w:sz w:val="20"/>
          <w:szCs w:val="20"/>
        </w:rPr>
      </w:pPr>
    </w:p>
    <w:p w:rsidR="00B124FF" w:rsidRPr="00D94329" w:rsidRDefault="00B124FF" w:rsidP="00B124FF">
      <w:pPr>
        <w:tabs>
          <w:tab w:val="left" w:pos="-1440"/>
          <w:tab w:val="left" w:pos="-720"/>
        </w:tabs>
        <w:jc w:val="both"/>
        <w:rPr>
          <w:sz w:val="20"/>
          <w:szCs w:val="20"/>
        </w:rPr>
      </w:pPr>
      <w:r w:rsidRPr="00D94329">
        <w:rPr>
          <w:sz w:val="20"/>
          <w:szCs w:val="20"/>
        </w:rPr>
        <w:t>[4]</w:t>
      </w:r>
      <w:r w:rsidRPr="00D94329">
        <w:rPr>
          <w:sz w:val="20"/>
          <w:szCs w:val="20"/>
        </w:rPr>
        <w:tab/>
        <w:t>The Bank defends its bill of costs. It contends that the dockets which it has provided relate almost exclusively to the leave application in this file, that any entries that concern both this file and the companion file have been pro-rated between the 2 applications, and finally that any entries which are irrelevant to this file have been redacted. The Bank does not, however, refute the applicant’s contention that the amounts claimed are based on full indemnity rather than on a solicitor and client scale.</w:t>
      </w:r>
    </w:p>
    <w:p w:rsidR="00B124FF" w:rsidRPr="00D94329" w:rsidRDefault="00B124FF" w:rsidP="00B124FF">
      <w:pPr>
        <w:tabs>
          <w:tab w:val="left" w:pos="-1440"/>
          <w:tab w:val="left" w:pos="-720"/>
        </w:tabs>
        <w:jc w:val="both"/>
        <w:rPr>
          <w:sz w:val="20"/>
          <w:szCs w:val="20"/>
        </w:rPr>
      </w:pPr>
    </w:p>
    <w:p w:rsidR="00B124FF" w:rsidRPr="00D94329" w:rsidRDefault="00B124FF" w:rsidP="00B124FF">
      <w:pPr>
        <w:tabs>
          <w:tab w:val="left" w:pos="-1440"/>
          <w:tab w:val="left" w:pos="-720"/>
        </w:tabs>
        <w:jc w:val="both"/>
        <w:rPr>
          <w:sz w:val="20"/>
          <w:szCs w:val="20"/>
        </w:rPr>
      </w:pPr>
      <w:r w:rsidRPr="00086EEF">
        <w:rPr>
          <w:sz w:val="20"/>
          <w:szCs w:val="20"/>
          <w:u w:val="single"/>
        </w:rPr>
        <w:t>Application of the law to this case</w:t>
      </w:r>
      <w:r w:rsidRPr="00D94329">
        <w:rPr>
          <w:sz w:val="20"/>
          <w:szCs w:val="20"/>
        </w:rPr>
        <w:t>:</w:t>
      </w:r>
    </w:p>
    <w:p w:rsidR="00B124FF" w:rsidRPr="00D94329" w:rsidRDefault="00B124FF" w:rsidP="00B124FF">
      <w:pPr>
        <w:tabs>
          <w:tab w:val="left" w:pos="-1440"/>
          <w:tab w:val="left" w:pos="-720"/>
        </w:tabs>
        <w:jc w:val="both"/>
        <w:rPr>
          <w:sz w:val="20"/>
          <w:szCs w:val="20"/>
        </w:rPr>
      </w:pPr>
    </w:p>
    <w:p w:rsidR="00B124FF" w:rsidRPr="00D94329" w:rsidRDefault="00B124FF" w:rsidP="00B124FF">
      <w:pPr>
        <w:tabs>
          <w:tab w:val="left" w:pos="-1440"/>
          <w:tab w:val="left" w:pos="-720"/>
        </w:tabs>
        <w:jc w:val="both"/>
        <w:rPr>
          <w:sz w:val="20"/>
          <w:szCs w:val="20"/>
        </w:rPr>
      </w:pPr>
      <w:r w:rsidRPr="00D94329">
        <w:rPr>
          <w:sz w:val="20"/>
          <w:szCs w:val="20"/>
        </w:rPr>
        <w:t>[5]</w:t>
      </w:r>
      <w:r w:rsidRPr="00D94329">
        <w:rPr>
          <w:sz w:val="20"/>
          <w:szCs w:val="20"/>
        </w:rPr>
        <w:tab/>
        <w:t xml:space="preserve">As stated in previous taxation matters, most recently in Ontario Federation of Anglers and Hunters et al. v. Minister of Natural Resources and Forestry et al. (Registrar, reasons for taxation dated December 6, 2018; S.C.C. Bulletin, 2018, p. 1599), solicitor and client costs are “something less” than those awarded on a full indemnity basis. In that case, I emphasized the following, which I again wish to stress in the context of this case: </w:t>
      </w:r>
    </w:p>
    <w:p w:rsidR="00B124FF" w:rsidRPr="00D94329" w:rsidRDefault="00B124FF" w:rsidP="00B124FF">
      <w:pPr>
        <w:tabs>
          <w:tab w:val="left" w:pos="-1440"/>
          <w:tab w:val="left" w:pos="-720"/>
        </w:tabs>
        <w:jc w:val="both"/>
        <w:rPr>
          <w:sz w:val="20"/>
          <w:szCs w:val="20"/>
        </w:rPr>
      </w:pPr>
    </w:p>
    <w:p w:rsidR="00B124FF" w:rsidRPr="00D94329" w:rsidRDefault="00B124FF" w:rsidP="00B124FF">
      <w:pPr>
        <w:tabs>
          <w:tab w:val="left" w:pos="-1440"/>
          <w:tab w:val="left" w:pos="-720"/>
        </w:tabs>
        <w:jc w:val="both"/>
        <w:rPr>
          <w:sz w:val="20"/>
          <w:szCs w:val="20"/>
        </w:rPr>
      </w:pPr>
      <w:r w:rsidRPr="00D94329">
        <w:rPr>
          <w:sz w:val="20"/>
          <w:szCs w:val="20"/>
        </w:rPr>
        <w:t>I note that the WTFN have based their claim on full indemnity. They state that “in taxing the award to them of costs on a solicitor-client basis on each file, the result should be that they be fully indemnified for their proper fees and disbursements”. With respect, that is incorrect. Solicitor and client costs are not equivalent to full indemnification. As the Deputy Registrar noted in Richard:</w:t>
      </w:r>
    </w:p>
    <w:p w:rsidR="00B124FF" w:rsidRPr="00D94329" w:rsidRDefault="00B124FF" w:rsidP="00B124FF">
      <w:pPr>
        <w:tabs>
          <w:tab w:val="left" w:pos="-1440"/>
          <w:tab w:val="left" w:pos="-720"/>
        </w:tabs>
        <w:jc w:val="both"/>
        <w:rPr>
          <w:sz w:val="20"/>
          <w:szCs w:val="20"/>
        </w:rPr>
      </w:pPr>
    </w:p>
    <w:p w:rsidR="00B124FF" w:rsidRPr="00D94329" w:rsidRDefault="00B124FF" w:rsidP="00B124FF">
      <w:pPr>
        <w:tabs>
          <w:tab w:val="left" w:pos="-1440"/>
          <w:tab w:val="left" w:pos="-720"/>
        </w:tabs>
        <w:jc w:val="both"/>
        <w:rPr>
          <w:sz w:val="20"/>
          <w:szCs w:val="20"/>
        </w:rPr>
      </w:pPr>
      <w:r w:rsidRPr="00D94329">
        <w:rPr>
          <w:sz w:val="20"/>
          <w:szCs w:val="20"/>
        </w:rPr>
        <w:t>The awarding of costs on a solicitor and client basis is something less than “solicitor and his own client costs” or full indemnity (see Orkin, at pp. 1-7 to 1-8). It is clear from the appellant’s Bill of Costs, as supported by the time dockets attached as Annex 2, that the appellant’s claim is for full indemnity. This is improper. [Emphasis added.]</w:t>
      </w:r>
    </w:p>
    <w:p w:rsidR="00B124FF" w:rsidRPr="00D94329" w:rsidRDefault="00B124FF" w:rsidP="00B124FF">
      <w:pPr>
        <w:tabs>
          <w:tab w:val="left" w:pos="-1440"/>
          <w:tab w:val="left" w:pos="-720"/>
        </w:tabs>
        <w:jc w:val="both"/>
        <w:rPr>
          <w:sz w:val="20"/>
          <w:szCs w:val="20"/>
        </w:rPr>
      </w:pPr>
    </w:p>
    <w:p w:rsidR="00B124FF" w:rsidRPr="00D94329" w:rsidRDefault="00B124FF" w:rsidP="00B124FF">
      <w:pPr>
        <w:tabs>
          <w:tab w:val="left" w:pos="-1440"/>
          <w:tab w:val="left" w:pos="-720"/>
        </w:tabs>
        <w:jc w:val="both"/>
        <w:rPr>
          <w:sz w:val="20"/>
          <w:szCs w:val="20"/>
        </w:rPr>
      </w:pPr>
      <w:r w:rsidRPr="00D94329">
        <w:rPr>
          <w:sz w:val="20"/>
          <w:szCs w:val="20"/>
        </w:rPr>
        <w:t>The case law is settled that costs awarded on a solicitor and client scale shall be assessed on the basis of quantum meruit: see Mark Orkin, The Law of Costs, loose leaf, Vol. 1, at pp.1-13 to 1-14. See also, Richard, Best, Metzner v. Metzner, (reasons of the Registrar on Taxation dated June 15, 2001; S.C.C. Bulletin, 2001, p. 1159) and Alberta (Human Rights and Citizenship Commission) v. Brewer (reasons of the Registrar on Taxation dated August 25, 2009; S.C.C. Bulletin, 2010, p. 224). A non-exhaustive list of criteria set out in Cohen v. Kealy &amp; Blaney (1985), 26 C.P.C. (2d) 211 (Ont. C.A.), cited with approval by this Court in Bhatnager v. Canada (Minister of Employment and Immigration), [1991] 3 S.C.R. 317, constitutes the framework within which quantum meruit should be gauged: see also, Orkin, Vol. 1, at pp. 3-54.1 to 3-54.2, as well as Brewer, Richard and Best.</w:t>
      </w:r>
    </w:p>
    <w:p w:rsidR="00B124FF" w:rsidRPr="00D94329" w:rsidRDefault="00B124FF" w:rsidP="00B124FF">
      <w:pPr>
        <w:tabs>
          <w:tab w:val="left" w:pos="-1440"/>
          <w:tab w:val="left" w:pos="-720"/>
        </w:tabs>
        <w:jc w:val="both"/>
        <w:rPr>
          <w:sz w:val="20"/>
          <w:szCs w:val="20"/>
        </w:rPr>
      </w:pPr>
    </w:p>
    <w:p w:rsidR="00B124FF" w:rsidRPr="00D94329" w:rsidRDefault="00B124FF" w:rsidP="00B124FF">
      <w:pPr>
        <w:tabs>
          <w:tab w:val="left" w:pos="-1440"/>
          <w:tab w:val="left" w:pos="-720"/>
        </w:tabs>
        <w:jc w:val="both"/>
        <w:rPr>
          <w:sz w:val="20"/>
          <w:szCs w:val="20"/>
        </w:rPr>
      </w:pPr>
      <w:r w:rsidRPr="00D94329">
        <w:rPr>
          <w:sz w:val="20"/>
          <w:szCs w:val="20"/>
        </w:rPr>
        <w:t>The question which I must therefore decide is whether the amounts claimed in this taxation are fair and reasonable in the circumstances. […] [Emphasis added.]</w:t>
      </w:r>
    </w:p>
    <w:p w:rsidR="00B124FF" w:rsidRPr="00D94329" w:rsidRDefault="00B124FF" w:rsidP="00B124FF">
      <w:pPr>
        <w:tabs>
          <w:tab w:val="left" w:pos="-1440"/>
          <w:tab w:val="left" w:pos="-720"/>
        </w:tabs>
        <w:jc w:val="both"/>
        <w:rPr>
          <w:sz w:val="20"/>
          <w:szCs w:val="20"/>
        </w:rPr>
      </w:pPr>
    </w:p>
    <w:p w:rsidR="00B124FF" w:rsidRPr="00D94329" w:rsidRDefault="00B124FF" w:rsidP="00B124FF">
      <w:pPr>
        <w:tabs>
          <w:tab w:val="left" w:pos="-1440"/>
          <w:tab w:val="left" w:pos="-720"/>
        </w:tabs>
        <w:jc w:val="both"/>
        <w:rPr>
          <w:sz w:val="20"/>
          <w:szCs w:val="20"/>
        </w:rPr>
      </w:pPr>
      <w:r w:rsidRPr="00D94329">
        <w:rPr>
          <w:sz w:val="20"/>
          <w:szCs w:val="20"/>
        </w:rPr>
        <w:t>[6]</w:t>
      </w:r>
      <w:r w:rsidRPr="00D94329">
        <w:rPr>
          <w:sz w:val="20"/>
          <w:szCs w:val="20"/>
        </w:rPr>
        <w:tab/>
        <w:t>In this case, while the Bank has appropriately made some deductions to account for time that counsel spent working on a companion application, it is clear from an examination of the dockets that the claim for $9516.00 is for the actual fees charged by counsel (15.6 hours at a rate of $610.00) – in other words, a claim for full indemnification. Similarly, the invoice by the Ottawa agent for $1100.00 and the corresponding claim in the bill of costs demonstrates that it is also based on full indemnity. This is improper and those claims must therefore be reduced. The question to be determined is what is “fair and reasonable” in the circumstances of this case, in application of the Cohen criteria.</w:t>
      </w:r>
    </w:p>
    <w:p w:rsidR="00B124FF" w:rsidRPr="00D94329" w:rsidRDefault="00B124FF" w:rsidP="00B124FF">
      <w:pPr>
        <w:tabs>
          <w:tab w:val="left" w:pos="-1440"/>
          <w:tab w:val="left" w:pos="-720"/>
        </w:tabs>
        <w:jc w:val="both"/>
        <w:rPr>
          <w:sz w:val="20"/>
          <w:szCs w:val="20"/>
        </w:rPr>
      </w:pPr>
    </w:p>
    <w:p w:rsidR="00B124FF" w:rsidRPr="00D94329" w:rsidRDefault="00B124FF" w:rsidP="00B124FF">
      <w:pPr>
        <w:tabs>
          <w:tab w:val="left" w:pos="-1440"/>
          <w:tab w:val="left" w:pos="-720"/>
        </w:tabs>
        <w:jc w:val="both"/>
        <w:rPr>
          <w:sz w:val="20"/>
          <w:szCs w:val="20"/>
        </w:rPr>
      </w:pPr>
      <w:r w:rsidRPr="00D94329">
        <w:rPr>
          <w:sz w:val="20"/>
          <w:szCs w:val="20"/>
        </w:rPr>
        <w:t>[7]</w:t>
      </w:r>
      <w:r w:rsidRPr="00D94329">
        <w:rPr>
          <w:sz w:val="20"/>
          <w:szCs w:val="20"/>
        </w:rPr>
        <w:tab/>
        <w:t>In my view, the time spent responding to the application by the Bank’s counsel and claimed in the bill of costs is largely reasonable. However, despite the reductions made by the Bank, there are several items remaining in the dockets which cannot be allowed. For example, time spent on the companion file for which deductions were inadvertently not made, as well as time spent obtaining and reviewing precedent notices of taxation and bills of costs. Considering thatfactor and the other Cohen criteria, I find that $8000.00 is a fair and reasonable amount for counsel fees in this case. I would make a corresponding deduction to the full indemnity claim for the agent’s fees, reducing it from $1100.00 to $1000.00.</w:t>
      </w:r>
    </w:p>
    <w:p w:rsidR="00B124FF" w:rsidRPr="00D94329" w:rsidRDefault="00B124FF" w:rsidP="00B124FF">
      <w:pPr>
        <w:tabs>
          <w:tab w:val="left" w:pos="-1440"/>
          <w:tab w:val="left" w:pos="-720"/>
        </w:tabs>
        <w:jc w:val="both"/>
        <w:rPr>
          <w:sz w:val="20"/>
          <w:szCs w:val="20"/>
        </w:rPr>
      </w:pPr>
    </w:p>
    <w:p w:rsidR="00B124FF" w:rsidRPr="00D94329" w:rsidRDefault="00B124FF" w:rsidP="00B124FF">
      <w:pPr>
        <w:tabs>
          <w:tab w:val="left" w:pos="-1440"/>
          <w:tab w:val="left" w:pos="-720"/>
        </w:tabs>
        <w:jc w:val="both"/>
        <w:rPr>
          <w:sz w:val="20"/>
          <w:szCs w:val="20"/>
        </w:rPr>
      </w:pPr>
      <w:r w:rsidRPr="00D94329">
        <w:rPr>
          <w:sz w:val="20"/>
          <w:szCs w:val="20"/>
        </w:rPr>
        <w:t>[8]</w:t>
      </w:r>
      <w:r w:rsidRPr="00D94329">
        <w:rPr>
          <w:sz w:val="20"/>
          <w:szCs w:val="20"/>
        </w:rPr>
        <w:tab/>
        <w:t xml:space="preserve">As for the fees claimed under the Tariff for preparation of the first copy of the response ($234.95) and the additional claim made for the Ottawa agent ($200.00), those amounts are both disallowed. The fees set out in the Tariff are applicable to taxations in cases where the Court has ordered the usual party and party costs. Here, as in all cases where solicitor and client costs are awarded, the assessment on taxation is made on the basis of quantum meruit, or what is “fair and reasonable”. As a result, the Tariff does not apply and bills of costs must therefore be based on either what is “fair and reasonable” or the Tariff; not both.  </w:t>
      </w:r>
    </w:p>
    <w:p w:rsidR="00B124FF" w:rsidRPr="00D94329" w:rsidRDefault="00B124FF" w:rsidP="00B124FF">
      <w:pPr>
        <w:tabs>
          <w:tab w:val="left" w:pos="-1440"/>
          <w:tab w:val="left" w:pos="-720"/>
        </w:tabs>
        <w:jc w:val="both"/>
        <w:rPr>
          <w:sz w:val="20"/>
          <w:szCs w:val="20"/>
        </w:rPr>
      </w:pPr>
    </w:p>
    <w:p w:rsidR="00B124FF" w:rsidRPr="00D94329" w:rsidRDefault="00B124FF" w:rsidP="00B124FF">
      <w:pPr>
        <w:tabs>
          <w:tab w:val="left" w:pos="-1440"/>
          <w:tab w:val="left" w:pos="-720"/>
        </w:tabs>
        <w:jc w:val="both"/>
        <w:rPr>
          <w:sz w:val="20"/>
          <w:szCs w:val="20"/>
        </w:rPr>
      </w:pPr>
      <w:r w:rsidRPr="00D94329">
        <w:rPr>
          <w:sz w:val="20"/>
          <w:szCs w:val="20"/>
        </w:rPr>
        <w:t>[9]</w:t>
      </w:r>
      <w:r w:rsidRPr="00D94329">
        <w:rPr>
          <w:sz w:val="20"/>
          <w:szCs w:val="20"/>
        </w:rPr>
        <w:tab/>
        <w:t xml:space="preserve">Finally, the claim for disbursements ($575.95) includes some items that are within the Ottawa agent’s duties and which therefore fall under the claim for agent’s fees which I have already allowed in the amount of $1000.00. Such items include $115.50 claimed for time spent producing, arranging for service and filing the response to the application for leave, described on the agent’s invoice as “litigation support / Court runner”. In addition, some other disbursements are not sufficiently specified to be allowable. For example, the number of photocopies and the rate per copy are not set out in the claim for $57.60, itemized only as “photocopies”, and other charges by the agent are similarly not adequately particularized, i.e. “transportation charge” ($14.82). Accordingly, those amounts are disallowed. Conversely, costs for printing ($247.00) and taxis ($45.00) for which receipts have been provided, as well as courier charges ($36.82) and the fee for filing the notice of taxation ($75.00), are allowed, for a total of $403.82, inclusive of HST. </w:t>
      </w:r>
    </w:p>
    <w:p w:rsidR="00B124FF" w:rsidRPr="00D94329" w:rsidRDefault="00B124FF" w:rsidP="00B124FF">
      <w:pPr>
        <w:tabs>
          <w:tab w:val="left" w:pos="-1440"/>
          <w:tab w:val="left" w:pos="-720"/>
        </w:tabs>
        <w:jc w:val="both"/>
        <w:rPr>
          <w:sz w:val="20"/>
          <w:szCs w:val="20"/>
        </w:rPr>
      </w:pPr>
    </w:p>
    <w:p w:rsidR="00B16315" w:rsidRDefault="00B16315">
      <w:pPr>
        <w:rPr>
          <w:sz w:val="20"/>
          <w:szCs w:val="20"/>
        </w:rPr>
      </w:pPr>
      <w:r>
        <w:rPr>
          <w:sz w:val="20"/>
          <w:szCs w:val="20"/>
        </w:rPr>
        <w:br w:type="page"/>
      </w:r>
    </w:p>
    <w:p w:rsidR="00B124FF" w:rsidRPr="00D94329" w:rsidRDefault="00B124FF" w:rsidP="00B124FF">
      <w:pPr>
        <w:tabs>
          <w:tab w:val="left" w:pos="-1440"/>
          <w:tab w:val="left" w:pos="-720"/>
        </w:tabs>
        <w:jc w:val="both"/>
        <w:rPr>
          <w:sz w:val="20"/>
          <w:szCs w:val="20"/>
        </w:rPr>
      </w:pPr>
      <w:r w:rsidRPr="00086EEF">
        <w:rPr>
          <w:sz w:val="20"/>
          <w:szCs w:val="20"/>
          <w:u w:val="single"/>
        </w:rPr>
        <w:lastRenderedPageBreak/>
        <w:t>Conclusion</w:t>
      </w:r>
      <w:r w:rsidRPr="00D94329">
        <w:rPr>
          <w:sz w:val="20"/>
          <w:szCs w:val="20"/>
        </w:rPr>
        <w:t>:</w:t>
      </w:r>
    </w:p>
    <w:p w:rsidR="00B124FF" w:rsidRPr="00D94329" w:rsidRDefault="00B124FF" w:rsidP="00B124FF">
      <w:pPr>
        <w:tabs>
          <w:tab w:val="left" w:pos="-1440"/>
          <w:tab w:val="left" w:pos="-720"/>
        </w:tabs>
        <w:jc w:val="both"/>
        <w:rPr>
          <w:sz w:val="20"/>
          <w:szCs w:val="20"/>
        </w:rPr>
      </w:pPr>
    </w:p>
    <w:p w:rsidR="00B124FF" w:rsidRPr="00D94329" w:rsidRDefault="00B124FF" w:rsidP="00B124FF">
      <w:pPr>
        <w:tabs>
          <w:tab w:val="left" w:pos="-1440"/>
          <w:tab w:val="left" w:pos="-720"/>
        </w:tabs>
        <w:jc w:val="both"/>
        <w:rPr>
          <w:sz w:val="20"/>
          <w:szCs w:val="20"/>
        </w:rPr>
      </w:pPr>
      <w:r w:rsidRPr="00D94329">
        <w:rPr>
          <w:sz w:val="20"/>
          <w:szCs w:val="20"/>
        </w:rPr>
        <w:t>[10]</w:t>
      </w:r>
      <w:r w:rsidRPr="00D94329">
        <w:rPr>
          <w:sz w:val="20"/>
          <w:szCs w:val="20"/>
        </w:rPr>
        <w:tab/>
        <w:t>In accordance with the above, the respondent’s solicitor and client costs are taxed as follows: counsel fees in the amount of $8000.00, fees for the Ottawa agent in the amount of $1000.00, HST on fees in the amount of $1170.00, and disbursements in the amount of $403.82. A certificate of taxation shall therefore be issued in the amount of $10,573.82.</w:t>
      </w:r>
    </w:p>
    <w:p w:rsidR="00B124FF" w:rsidRPr="00D94329" w:rsidRDefault="00B124FF" w:rsidP="00B124FF">
      <w:pPr>
        <w:tabs>
          <w:tab w:val="left" w:pos="-1440"/>
          <w:tab w:val="left" w:pos="-720"/>
        </w:tabs>
        <w:jc w:val="both"/>
        <w:rPr>
          <w:sz w:val="20"/>
          <w:szCs w:val="20"/>
        </w:rPr>
      </w:pPr>
      <w:r w:rsidRPr="00D94329">
        <w:rPr>
          <w:sz w:val="20"/>
          <w:szCs w:val="20"/>
        </w:rPr>
        <w:t xml:space="preserve"> </w:t>
      </w:r>
    </w:p>
    <w:p w:rsidR="00B124FF" w:rsidRDefault="00B124FF" w:rsidP="00B124FF">
      <w:pPr>
        <w:tabs>
          <w:tab w:val="left" w:pos="-1440"/>
          <w:tab w:val="left" w:pos="-720"/>
        </w:tabs>
        <w:jc w:val="both"/>
        <w:rPr>
          <w:sz w:val="20"/>
          <w:szCs w:val="20"/>
        </w:rPr>
      </w:pPr>
      <w:r w:rsidRPr="00D94329">
        <w:rPr>
          <w:sz w:val="20"/>
          <w:szCs w:val="20"/>
        </w:rPr>
        <w:t>[11]</w:t>
      </w:r>
      <w:r w:rsidRPr="00D94329">
        <w:rPr>
          <w:sz w:val="20"/>
          <w:szCs w:val="20"/>
        </w:rPr>
        <w:tab/>
        <w:t>I wish to thank all counsel for their very helpful submissions in regard to this taxation.</w:t>
      </w:r>
    </w:p>
    <w:p w:rsidR="00B124FF" w:rsidRDefault="00B124FF" w:rsidP="00B124FF">
      <w:pPr>
        <w:tabs>
          <w:tab w:val="left" w:pos="-1440"/>
          <w:tab w:val="left" w:pos="-720"/>
        </w:tabs>
        <w:jc w:val="both"/>
        <w:rPr>
          <w:sz w:val="20"/>
          <w:szCs w:val="20"/>
        </w:rPr>
      </w:pPr>
    </w:p>
    <w:p w:rsidR="00B16315" w:rsidRPr="00B16315" w:rsidRDefault="00B16315" w:rsidP="00B16315">
      <w:pPr>
        <w:contextualSpacing/>
        <w:rPr>
          <w:sz w:val="20"/>
          <w:szCs w:val="20"/>
        </w:rPr>
      </w:pPr>
      <w:r w:rsidRPr="00B16315">
        <w:rPr>
          <w:sz w:val="20"/>
          <w:szCs w:val="20"/>
        </w:rPr>
        <w:t>Ottawa, January 29, 2019.</w:t>
      </w:r>
    </w:p>
    <w:p w:rsidR="00B16315" w:rsidRDefault="00B16315" w:rsidP="00B16315">
      <w:pPr>
        <w:contextualSpacing/>
        <w:rPr>
          <w:sz w:val="20"/>
          <w:szCs w:val="20"/>
        </w:rPr>
      </w:pPr>
    </w:p>
    <w:p w:rsidR="00B16315" w:rsidRPr="00B16315" w:rsidRDefault="00B16315" w:rsidP="00B16315">
      <w:pPr>
        <w:contextualSpacing/>
        <w:rPr>
          <w:sz w:val="20"/>
          <w:szCs w:val="20"/>
        </w:rPr>
      </w:pPr>
    </w:p>
    <w:p w:rsidR="00B16315" w:rsidRPr="00B16315" w:rsidRDefault="00B16315" w:rsidP="00B16315">
      <w:pPr>
        <w:contextualSpacing/>
        <w:rPr>
          <w:sz w:val="20"/>
          <w:szCs w:val="20"/>
        </w:rPr>
      </w:pPr>
      <w:r w:rsidRPr="00B16315">
        <w:rPr>
          <w:sz w:val="20"/>
          <w:szCs w:val="20"/>
        </w:rPr>
        <w:t>Roger Bilodeau, Q.C.</w:t>
      </w:r>
    </w:p>
    <w:p w:rsidR="00B16315" w:rsidRPr="00CC0B55" w:rsidRDefault="00B16315" w:rsidP="00B16315">
      <w:pPr>
        <w:contextualSpacing/>
        <w:rPr>
          <w:sz w:val="20"/>
          <w:szCs w:val="20"/>
          <w:lang w:val="fr-CA"/>
        </w:rPr>
      </w:pPr>
      <w:r w:rsidRPr="00CC0B55">
        <w:rPr>
          <w:sz w:val="20"/>
          <w:szCs w:val="20"/>
          <w:lang w:val="fr-CA"/>
        </w:rPr>
        <w:t>Registrar</w:t>
      </w:r>
    </w:p>
    <w:p w:rsidR="00B16315" w:rsidRPr="00CC0B55" w:rsidRDefault="00B16315" w:rsidP="00B124FF">
      <w:pPr>
        <w:tabs>
          <w:tab w:val="left" w:pos="-1440"/>
          <w:tab w:val="left" w:pos="-720"/>
        </w:tabs>
        <w:jc w:val="both"/>
        <w:rPr>
          <w:sz w:val="20"/>
          <w:szCs w:val="20"/>
          <w:lang w:val="fr-CA"/>
        </w:rPr>
      </w:pPr>
    </w:p>
    <w:p w:rsidR="00B16315" w:rsidRPr="00CC0B55" w:rsidRDefault="00B16315" w:rsidP="00B124FF">
      <w:pPr>
        <w:rPr>
          <w:rFonts w:eastAsia="Times New Roman" w:cs="Times New Roman"/>
          <w:sz w:val="20"/>
          <w:szCs w:val="20"/>
          <w:u w:val="single"/>
          <w:lang w:val="fr-CA" w:eastAsia="en-CA"/>
        </w:rPr>
      </w:pPr>
    </w:p>
    <w:p w:rsidR="00B16315" w:rsidRPr="00CC0B55" w:rsidRDefault="00B16315" w:rsidP="00B124FF">
      <w:pPr>
        <w:rPr>
          <w:rFonts w:eastAsia="Times New Roman" w:cs="Times New Roman"/>
          <w:sz w:val="20"/>
          <w:szCs w:val="20"/>
          <w:u w:val="single"/>
          <w:lang w:val="fr-CA" w:eastAsia="en-CA"/>
        </w:rPr>
      </w:pPr>
    </w:p>
    <w:p w:rsidR="00B124FF" w:rsidRPr="005F32B8" w:rsidRDefault="00B124FF" w:rsidP="00B124FF">
      <w:pPr>
        <w:rPr>
          <w:rFonts w:eastAsia="Times New Roman" w:cs="Times New Roman"/>
          <w:sz w:val="20"/>
          <w:szCs w:val="20"/>
          <w:u w:val="single"/>
          <w:lang w:val="fr-CA" w:eastAsia="en-CA"/>
        </w:rPr>
      </w:pPr>
      <w:r w:rsidRPr="005F32B8">
        <w:rPr>
          <w:rFonts w:eastAsia="Times New Roman" w:cs="Times New Roman"/>
          <w:sz w:val="20"/>
          <w:szCs w:val="20"/>
          <w:u w:val="single"/>
          <w:lang w:val="fr-CA" w:eastAsia="en-CA"/>
        </w:rPr>
        <w:t>Contexte :</w:t>
      </w:r>
    </w:p>
    <w:p w:rsidR="00B124FF" w:rsidRPr="00F57F37" w:rsidRDefault="00B124FF" w:rsidP="00B124FF">
      <w:pPr>
        <w:rPr>
          <w:rFonts w:eastAsia="Times New Roman" w:cs="Times New Roman"/>
          <w:sz w:val="20"/>
          <w:szCs w:val="20"/>
          <w:lang w:val="fr-CA" w:eastAsia="en-CA"/>
        </w:rPr>
      </w:pPr>
    </w:p>
    <w:p w:rsidR="00B124FF" w:rsidRPr="00F57F37" w:rsidRDefault="00B124FF" w:rsidP="00B124FF">
      <w:pPr>
        <w:rPr>
          <w:rFonts w:eastAsia="Times New Roman" w:cs="Times New Roman"/>
          <w:sz w:val="20"/>
          <w:szCs w:val="20"/>
          <w:lang w:val="fr-CA" w:eastAsia="en-CA"/>
        </w:rPr>
      </w:pPr>
      <w:r w:rsidRPr="00F57F37">
        <w:rPr>
          <w:rFonts w:eastAsia="Times New Roman" w:cs="Times New Roman"/>
          <w:sz w:val="20"/>
          <w:szCs w:val="20"/>
          <w:lang w:val="fr-CA" w:eastAsia="en-CA"/>
        </w:rPr>
        <w:t>[1]</w:t>
      </w:r>
      <w:r w:rsidRPr="00F57F37">
        <w:rPr>
          <w:rFonts w:eastAsia="Times New Roman" w:cs="Times New Roman"/>
          <w:sz w:val="20"/>
          <w:szCs w:val="20"/>
          <w:lang w:val="fr-CA" w:eastAsia="en-CA"/>
        </w:rPr>
        <w:tab/>
        <w:t>Le 2 août 2018, la Cour a rejeté la demande d’autorisation d’appel de Robyrt Regan dans la présente affaire, avec dépens avocat-client en faveur de l’intimée, la Banque de développement du Canada. La demande d’autorisation d’appel visait le rejet de l’appel interjeté par M. Regan devant la Cour d’appel de l’Ontario concernant les conclusions d’outrage au tribunal de la Cour supérieure de justice de l’Ontario.</w:t>
      </w:r>
    </w:p>
    <w:p w:rsidR="00B124FF" w:rsidRPr="00F57F37" w:rsidRDefault="00B124FF" w:rsidP="00B124FF">
      <w:pPr>
        <w:rPr>
          <w:rFonts w:eastAsia="Times New Roman" w:cs="Times New Roman"/>
          <w:sz w:val="20"/>
          <w:szCs w:val="20"/>
          <w:lang w:val="fr-CA" w:eastAsia="en-CA"/>
        </w:rPr>
      </w:pPr>
    </w:p>
    <w:p w:rsidR="00B124FF" w:rsidRPr="00F57F37" w:rsidRDefault="00B124FF" w:rsidP="00B124FF">
      <w:pPr>
        <w:rPr>
          <w:rFonts w:eastAsia="Times New Roman" w:cs="Times New Roman"/>
          <w:sz w:val="20"/>
          <w:szCs w:val="20"/>
          <w:lang w:val="fr-CA" w:eastAsia="en-CA"/>
        </w:rPr>
      </w:pPr>
      <w:r w:rsidRPr="00F57F37">
        <w:rPr>
          <w:rFonts w:eastAsia="Times New Roman" w:cs="Times New Roman"/>
          <w:sz w:val="20"/>
          <w:szCs w:val="20"/>
          <w:lang w:val="fr-CA" w:eastAsia="en-CA"/>
        </w:rPr>
        <w:t>[2]</w:t>
      </w:r>
      <w:r w:rsidRPr="00F57F37">
        <w:rPr>
          <w:rFonts w:eastAsia="Times New Roman" w:cs="Times New Roman"/>
          <w:sz w:val="20"/>
          <w:szCs w:val="20"/>
          <w:lang w:val="fr-CA" w:eastAsia="en-CA"/>
        </w:rPr>
        <w:tab/>
        <w:t>Le 1er octobre 2018, la Banque a déposé un avis de taxation des dépens et un mémoire de frais, dans lesquels elle réclamait un total de 13 063,52 $; soit 12 487,57 $ pour les honoraires des avocats et 575,95 $ pour les débours. Les honoraires réclamés par la Banque comprenaient 9516 $ pour son avocat principal et 1100 $ pour son correspondant à Ottawa. La Banque réclame des honoraires supplémentaires de 234,95 $ pour la préparation du premier exemplaire de la réponse à la demande d’autorisation d’appel et 200 $ pour son correspondant à Ottawa, montants réclamés conformément aux tarifs prévus à la partie 1 de l’Annexe B, art. 83 des Règles de la Cour suprême du Canada, DORS/2002-156, dans leur version modifiée. Enfin, la Banque réclame un montant de 1436,62 $ relativement à la TVH de 13 % sur tous les honoraires.</w:t>
      </w:r>
    </w:p>
    <w:p w:rsidR="00B124FF" w:rsidRPr="00F57F37" w:rsidRDefault="00B124FF" w:rsidP="00B124FF">
      <w:pPr>
        <w:rPr>
          <w:rFonts w:eastAsia="Times New Roman" w:cs="Times New Roman"/>
          <w:sz w:val="20"/>
          <w:szCs w:val="20"/>
          <w:lang w:val="fr-CA" w:eastAsia="en-CA"/>
        </w:rPr>
      </w:pPr>
    </w:p>
    <w:p w:rsidR="00B124FF" w:rsidRPr="00F57F37" w:rsidRDefault="00B124FF" w:rsidP="00B124FF">
      <w:pPr>
        <w:rPr>
          <w:rFonts w:eastAsia="Times New Roman" w:cs="Times New Roman"/>
          <w:sz w:val="20"/>
          <w:szCs w:val="20"/>
          <w:lang w:val="fr-CA" w:eastAsia="en-CA"/>
        </w:rPr>
      </w:pPr>
      <w:r w:rsidRPr="00F57F37">
        <w:rPr>
          <w:rFonts w:eastAsia="Times New Roman" w:cs="Times New Roman"/>
          <w:sz w:val="20"/>
          <w:szCs w:val="20"/>
          <w:lang w:val="fr-CA" w:eastAsia="en-CA"/>
        </w:rPr>
        <w:t>[3]</w:t>
      </w:r>
      <w:r w:rsidRPr="00F57F37">
        <w:rPr>
          <w:rFonts w:eastAsia="Times New Roman" w:cs="Times New Roman"/>
          <w:sz w:val="20"/>
          <w:szCs w:val="20"/>
          <w:lang w:val="fr-CA" w:eastAsia="en-CA"/>
        </w:rPr>
        <w:tab/>
        <w:t>La principale objection du demandeur à l’égard du mémoire de frais de la Banque porte sur le montant réclamé pour les honoraires des avocats. Plus particulièrement, M. Regan soutient que le montant réclamé par la Banque pour les honoraires de son correspondant devrait être d’un maximum de 800 $, qui est le montant prévu à la partie 1 de l’Annexe B; à son avis, ce montant est [TRADUCTION] « sensiblement équivalent » aux dépens avocat-client. De plus, il s’oppose au montant de 9516 $ réclamé pour l’avocat principal de la Banque au motif que la Banque cherche à obtenir ses honoraires réels, ou une indemnisation intégrale, plutôt que ses honoraires avocat-client. Il fait valoir que les dépens avocat-client doivent être évalués en fonction de ce qui est « juste et raisonnable » dans les circonstances. Il avance aussi que certaines tâches apparaissent en double dans les registres, et qu’il y a un certain chevauchement entre les tâches dans le présent dossier et celles dans une demande connexe, lesquelles devraient toutes être refusées en conséquence.</w:t>
      </w:r>
    </w:p>
    <w:p w:rsidR="00B124FF" w:rsidRPr="00F57F37" w:rsidRDefault="00B124FF" w:rsidP="00B124FF">
      <w:pPr>
        <w:rPr>
          <w:rFonts w:eastAsia="Times New Roman" w:cs="Times New Roman"/>
          <w:sz w:val="20"/>
          <w:szCs w:val="20"/>
          <w:lang w:val="fr-CA" w:eastAsia="en-CA"/>
        </w:rPr>
      </w:pPr>
    </w:p>
    <w:p w:rsidR="00B124FF" w:rsidRPr="00F57F37" w:rsidRDefault="00B124FF" w:rsidP="00B124FF">
      <w:pPr>
        <w:rPr>
          <w:rFonts w:eastAsia="Times New Roman" w:cs="Times New Roman"/>
          <w:sz w:val="20"/>
          <w:szCs w:val="20"/>
          <w:lang w:val="fr-CA" w:eastAsia="en-CA"/>
        </w:rPr>
      </w:pPr>
      <w:r w:rsidRPr="00F57F37">
        <w:rPr>
          <w:rFonts w:eastAsia="Times New Roman" w:cs="Times New Roman"/>
          <w:sz w:val="20"/>
          <w:szCs w:val="20"/>
          <w:lang w:val="fr-CA" w:eastAsia="en-CA"/>
        </w:rPr>
        <w:t>[4]</w:t>
      </w:r>
      <w:r w:rsidRPr="00F57F37">
        <w:rPr>
          <w:rFonts w:eastAsia="Times New Roman" w:cs="Times New Roman"/>
          <w:sz w:val="20"/>
          <w:szCs w:val="20"/>
          <w:lang w:val="fr-CA" w:eastAsia="en-CA"/>
        </w:rPr>
        <w:tab/>
        <w:t>La Banque défend son mémoire de frais. Elle soutient que les registres qu’elle a fournis se rapportent presque exclusivement à la demande d’autorisation dans le présent dossier, que toute inscription concernant à la fois le présent dossier et le dossier connexe a été établie au pro rata entre les deux demandes, et enfin que toute inscription n’ayant aucun lien avec le présent dossier a été retranchée. Cependant, la Banque ne nie pas l’argument du demandeur selon lequel les montants réclamés sont fondés sur une indemnisation intégrale plutôt que sur les dépens avocat-client.</w:t>
      </w:r>
    </w:p>
    <w:p w:rsidR="00B124FF" w:rsidRPr="00F57F37" w:rsidRDefault="00B124FF" w:rsidP="00B124FF">
      <w:pPr>
        <w:rPr>
          <w:rFonts w:eastAsia="Times New Roman" w:cs="Times New Roman"/>
          <w:sz w:val="20"/>
          <w:szCs w:val="20"/>
          <w:lang w:val="fr-CA" w:eastAsia="en-CA"/>
        </w:rPr>
      </w:pPr>
    </w:p>
    <w:p w:rsidR="00B124FF" w:rsidRPr="00F57F37" w:rsidRDefault="00B124FF" w:rsidP="00B124FF">
      <w:pPr>
        <w:rPr>
          <w:rFonts w:eastAsia="Times New Roman" w:cs="Times New Roman"/>
          <w:sz w:val="20"/>
          <w:szCs w:val="20"/>
          <w:lang w:val="fr-CA" w:eastAsia="en-CA"/>
        </w:rPr>
      </w:pPr>
      <w:r w:rsidRPr="00086EEF">
        <w:rPr>
          <w:rFonts w:eastAsia="Times New Roman" w:cs="Times New Roman"/>
          <w:sz w:val="20"/>
          <w:szCs w:val="20"/>
          <w:u w:val="single"/>
          <w:lang w:val="fr-CA" w:eastAsia="en-CA"/>
        </w:rPr>
        <w:t>Application de la loi à la présente affaire</w:t>
      </w:r>
      <w:r w:rsidRPr="00F57F37">
        <w:rPr>
          <w:rFonts w:eastAsia="Times New Roman" w:cs="Times New Roman"/>
          <w:sz w:val="20"/>
          <w:szCs w:val="20"/>
          <w:lang w:val="fr-CA" w:eastAsia="en-CA"/>
        </w:rPr>
        <w:t xml:space="preserve"> :</w:t>
      </w:r>
    </w:p>
    <w:p w:rsidR="00B124FF" w:rsidRPr="00F57F37" w:rsidRDefault="00B124FF" w:rsidP="00B124FF">
      <w:pPr>
        <w:rPr>
          <w:rFonts w:eastAsia="Times New Roman" w:cs="Times New Roman"/>
          <w:sz w:val="20"/>
          <w:szCs w:val="20"/>
          <w:lang w:val="fr-CA" w:eastAsia="en-CA"/>
        </w:rPr>
      </w:pPr>
    </w:p>
    <w:p w:rsidR="00B124FF" w:rsidRPr="00F57F37" w:rsidRDefault="00B124FF" w:rsidP="00B124FF">
      <w:pPr>
        <w:rPr>
          <w:rFonts w:eastAsia="Times New Roman" w:cs="Times New Roman"/>
          <w:sz w:val="20"/>
          <w:szCs w:val="20"/>
          <w:lang w:val="fr-CA" w:eastAsia="en-CA"/>
        </w:rPr>
      </w:pPr>
      <w:r w:rsidRPr="00F57F37">
        <w:rPr>
          <w:rFonts w:eastAsia="Times New Roman" w:cs="Times New Roman"/>
          <w:sz w:val="20"/>
          <w:szCs w:val="20"/>
          <w:lang w:val="fr-CA" w:eastAsia="en-CA"/>
        </w:rPr>
        <w:t>[5]</w:t>
      </w:r>
      <w:r w:rsidRPr="00F57F37">
        <w:rPr>
          <w:rFonts w:eastAsia="Times New Roman" w:cs="Times New Roman"/>
          <w:sz w:val="20"/>
          <w:szCs w:val="20"/>
          <w:lang w:val="fr-CA" w:eastAsia="en-CA"/>
        </w:rPr>
        <w:tab/>
        <w:t xml:space="preserve">Comme il a été énoncé dans des affaires précédentes en matière de taxation, plus récemment dans Ontario Federation of Anglers and Hunters et al. c. Minister of Natural Resources and Forestry et al. (registraire, motifs de la taxation des dépens énoncés le 6 décembre 2018; Bulletin de la C.S.C. 2018, p. 1599), les dépens octroyés sur la base </w:t>
      </w:r>
      <w:r w:rsidRPr="00F57F37">
        <w:rPr>
          <w:rFonts w:eastAsia="Times New Roman" w:cs="Times New Roman"/>
          <w:sz w:val="20"/>
          <w:szCs w:val="20"/>
          <w:lang w:val="fr-CA" w:eastAsia="en-CA"/>
        </w:rPr>
        <w:lastRenderedPageBreak/>
        <w:t xml:space="preserve">avocat-client sont « inférieurs » à ceux accordés pour une indemnisation intégrale. Dans ce cas, j’ai insisté sur ce qui suit, et je veux aussi le faire dans le contexte du présent dossier : </w:t>
      </w:r>
    </w:p>
    <w:p w:rsidR="00B124FF" w:rsidRPr="00F57F37" w:rsidRDefault="00B124FF" w:rsidP="00B124FF">
      <w:pPr>
        <w:rPr>
          <w:rFonts w:eastAsia="Times New Roman" w:cs="Times New Roman"/>
          <w:sz w:val="20"/>
          <w:szCs w:val="20"/>
          <w:lang w:val="fr-CA" w:eastAsia="en-CA"/>
        </w:rPr>
      </w:pPr>
    </w:p>
    <w:p w:rsidR="00B124FF" w:rsidRPr="00F57F37" w:rsidRDefault="00B124FF" w:rsidP="00B124FF">
      <w:pPr>
        <w:rPr>
          <w:rFonts w:eastAsia="Times New Roman" w:cs="Times New Roman"/>
          <w:sz w:val="20"/>
          <w:szCs w:val="20"/>
          <w:lang w:val="fr-CA" w:eastAsia="en-CA"/>
        </w:rPr>
      </w:pPr>
      <w:r w:rsidRPr="00F57F37">
        <w:rPr>
          <w:rFonts w:eastAsia="Times New Roman" w:cs="Times New Roman"/>
          <w:sz w:val="20"/>
          <w:szCs w:val="20"/>
          <w:lang w:val="fr-CA" w:eastAsia="en-CA"/>
        </w:rPr>
        <w:t>Je constate que les Premières Nations signataires des traités de Williams basent leur réclamation sur le principe de l’indemnisation intégrale. Elles affirment qu’[TRADUCTION] « en taxant les dépens qui leur ont été adjugés sur la base avocat-client dans chaque dossier, elles devraient par conséquent être indemnisées intégralement de leurs honoraires et débours légitimes ». Avec égards, cette assertion est inexacte. Les dépens avocat-client ne donnent pas droit à une indemnisation intégrale. Comme l’a fait observer la registraire adjointe dans l’affaire Richard :</w:t>
      </w:r>
    </w:p>
    <w:p w:rsidR="00B124FF" w:rsidRPr="00F57F37" w:rsidRDefault="00B124FF" w:rsidP="00B124FF">
      <w:pPr>
        <w:rPr>
          <w:rFonts w:eastAsia="Times New Roman" w:cs="Times New Roman"/>
          <w:sz w:val="20"/>
          <w:szCs w:val="20"/>
          <w:lang w:val="fr-CA" w:eastAsia="en-CA"/>
        </w:rPr>
      </w:pPr>
    </w:p>
    <w:p w:rsidR="00B124FF" w:rsidRPr="00F57F37" w:rsidRDefault="00B124FF" w:rsidP="00B124FF">
      <w:pPr>
        <w:rPr>
          <w:rFonts w:eastAsia="Times New Roman" w:cs="Times New Roman"/>
          <w:sz w:val="20"/>
          <w:szCs w:val="20"/>
          <w:lang w:val="fr-CA" w:eastAsia="en-CA"/>
        </w:rPr>
      </w:pPr>
      <w:r w:rsidRPr="00F57F37">
        <w:rPr>
          <w:rFonts w:eastAsia="Times New Roman" w:cs="Times New Roman"/>
          <w:sz w:val="20"/>
          <w:szCs w:val="20"/>
          <w:lang w:val="fr-CA" w:eastAsia="en-CA"/>
        </w:rPr>
        <w:t>Les dépens octroyés sur la base avocat-client sont inférieurs aux [TRADUCTION] « frais de l’avocat et de son client » ou à une indemnisation globale (voir Orkin, p. 1-7 et 1-8). Il ressort clairement de son mémoire de frais, étayé par les feuilles de temps qui y sont jointes en tant qu’annexe 2, que l’appelant demande une indemnisation globale, ce qu’il n’a pas le droit de faire. [Je souligne.]</w:t>
      </w:r>
    </w:p>
    <w:p w:rsidR="00B124FF" w:rsidRPr="00F57F37" w:rsidRDefault="00B124FF" w:rsidP="00B124FF">
      <w:pPr>
        <w:rPr>
          <w:rFonts w:eastAsia="Times New Roman" w:cs="Times New Roman"/>
          <w:sz w:val="20"/>
          <w:szCs w:val="20"/>
          <w:lang w:val="fr-CA" w:eastAsia="en-CA"/>
        </w:rPr>
      </w:pPr>
    </w:p>
    <w:p w:rsidR="00B124FF" w:rsidRPr="00F57F37" w:rsidRDefault="00B124FF" w:rsidP="00B124FF">
      <w:pPr>
        <w:rPr>
          <w:rFonts w:eastAsia="Times New Roman" w:cs="Times New Roman"/>
          <w:sz w:val="20"/>
          <w:szCs w:val="20"/>
          <w:lang w:val="fr-CA" w:eastAsia="en-CA"/>
        </w:rPr>
      </w:pPr>
      <w:r w:rsidRPr="00F57F37">
        <w:rPr>
          <w:rFonts w:eastAsia="Times New Roman" w:cs="Times New Roman"/>
          <w:sz w:val="20"/>
          <w:szCs w:val="20"/>
          <w:lang w:val="fr-CA" w:eastAsia="en-CA"/>
        </w:rPr>
        <w:t>Il est de jurisprudence constante que les dépens adjugés sur la base avocat-client sont taxés sur la base du quantum meruit : voir Mark Orkin, The Law of Costs, édition à feuilles mobiles, vol. 1, p.1-13 à 1-14. Voir également Richard, Best, Metzner c. Metzner, (motifs de la taxation des dépens énoncés par la registraire en date du 15 juin 2001; Bulletin de la C.S.C., 2001, p. 1159) et Alberta (Human Rights and Citizenship Commission) c. Brewer (motifs de la taxation des dépens énoncés par le registraire en date du 25 août 2009; Bulletin de la C.S.C., 2010, p. 224). La liste non exhaustive de critères énoncés dans l’arrêt Cohen c. Kealy &amp; Blaney (1985), 26 C.P.C. (2d) 211 (C.A. Ont.), que cette Cour a cités et approuvés dans l’arrêt Bhatnager c. Canada (Ministre de l’Emploi et de l’Immigration), [1991] 3 R.C.S. 317, constitue le cadre dans lequel le quantum meruit devrait être évalué (voir également Orkin, vol. 1, p. 3-54.1 à 3-54.2, et les affaires Brewer, Richard et Best).</w:t>
      </w:r>
    </w:p>
    <w:p w:rsidR="00B124FF" w:rsidRPr="00F57F37" w:rsidRDefault="00B124FF" w:rsidP="00B124FF">
      <w:pPr>
        <w:rPr>
          <w:rFonts w:eastAsia="Times New Roman" w:cs="Times New Roman"/>
          <w:sz w:val="20"/>
          <w:szCs w:val="20"/>
          <w:lang w:val="fr-CA" w:eastAsia="en-CA"/>
        </w:rPr>
      </w:pPr>
    </w:p>
    <w:p w:rsidR="00B124FF" w:rsidRPr="00F57F37" w:rsidRDefault="00B124FF" w:rsidP="00B124FF">
      <w:pPr>
        <w:rPr>
          <w:rFonts w:eastAsia="Times New Roman" w:cs="Times New Roman"/>
          <w:sz w:val="20"/>
          <w:szCs w:val="20"/>
          <w:lang w:val="fr-CA" w:eastAsia="en-CA"/>
        </w:rPr>
      </w:pPr>
      <w:r w:rsidRPr="00F57F37">
        <w:rPr>
          <w:rFonts w:eastAsia="Times New Roman" w:cs="Times New Roman"/>
          <w:sz w:val="20"/>
          <w:szCs w:val="20"/>
          <w:lang w:val="fr-CA" w:eastAsia="en-CA"/>
        </w:rPr>
        <w:t>La question que je dois par conséquent trancher consiste à décider si les sommes réclamées dans la présente taxation sont justes et raisonnables dans les circonstances. […] [Je souligne.]</w:t>
      </w:r>
    </w:p>
    <w:p w:rsidR="00B124FF" w:rsidRPr="00F57F37" w:rsidRDefault="00B124FF" w:rsidP="00B124FF">
      <w:pPr>
        <w:rPr>
          <w:rFonts w:eastAsia="Times New Roman" w:cs="Times New Roman"/>
          <w:sz w:val="20"/>
          <w:szCs w:val="20"/>
          <w:lang w:val="fr-CA" w:eastAsia="en-CA"/>
        </w:rPr>
      </w:pPr>
    </w:p>
    <w:p w:rsidR="00B124FF" w:rsidRPr="00F57F37" w:rsidRDefault="00B124FF" w:rsidP="00B124FF">
      <w:pPr>
        <w:rPr>
          <w:rFonts w:eastAsia="Times New Roman" w:cs="Times New Roman"/>
          <w:sz w:val="20"/>
          <w:szCs w:val="20"/>
          <w:lang w:val="fr-CA" w:eastAsia="en-CA"/>
        </w:rPr>
      </w:pPr>
      <w:r w:rsidRPr="00F57F37">
        <w:rPr>
          <w:rFonts w:eastAsia="Times New Roman" w:cs="Times New Roman"/>
          <w:sz w:val="20"/>
          <w:szCs w:val="20"/>
          <w:lang w:val="fr-CA" w:eastAsia="en-CA"/>
        </w:rPr>
        <w:t>[6]</w:t>
      </w:r>
      <w:r w:rsidRPr="00F57F37">
        <w:rPr>
          <w:rFonts w:eastAsia="Times New Roman" w:cs="Times New Roman"/>
          <w:sz w:val="20"/>
          <w:szCs w:val="20"/>
          <w:lang w:val="fr-CA" w:eastAsia="en-CA"/>
        </w:rPr>
        <w:tab/>
        <w:t>Dans le présent cas, bien que la Banque ait fait de façon appropriée certaines déductions pour tenir compte du temps que l’avocat a consacré à une demande connexe, il ressort clairement d’un examen des registres que le montant réclamé de 9516 $ vise les honoraires réels facturés par l’avocat (15,6 heures au taux de 610 $) — autrement dit, il s’agit d’une réclamation en vue d’une indemnisation intégrale. De même, la facture du correspondant à Ottawa de 1100 $ et la somme correspondante réclamée dans le mémoire de frais démontrent que la réclamation a aussi été faite en fonction d’une indemnisation intégrale. Cela est inadéquat et ces montants doivent donc être réduits. La question est de savoir ce qui est « juste et raisonnable » dans les circonstances de la présente affaire lors de l’application des critères établis dans l’arrêt Cohen.</w:t>
      </w:r>
    </w:p>
    <w:p w:rsidR="00B124FF" w:rsidRPr="00F57F37" w:rsidRDefault="00B124FF" w:rsidP="00B124FF">
      <w:pPr>
        <w:rPr>
          <w:rFonts w:eastAsia="Times New Roman" w:cs="Times New Roman"/>
          <w:sz w:val="20"/>
          <w:szCs w:val="20"/>
          <w:lang w:val="fr-CA" w:eastAsia="en-CA"/>
        </w:rPr>
      </w:pPr>
    </w:p>
    <w:p w:rsidR="00B124FF" w:rsidRPr="00F57F37" w:rsidRDefault="00B124FF" w:rsidP="00B124FF">
      <w:pPr>
        <w:rPr>
          <w:rFonts w:eastAsia="Times New Roman" w:cs="Times New Roman"/>
          <w:sz w:val="20"/>
          <w:szCs w:val="20"/>
          <w:lang w:val="fr-CA" w:eastAsia="en-CA"/>
        </w:rPr>
      </w:pPr>
      <w:r w:rsidRPr="00F57F37">
        <w:rPr>
          <w:rFonts w:eastAsia="Times New Roman" w:cs="Times New Roman"/>
          <w:sz w:val="20"/>
          <w:szCs w:val="20"/>
          <w:lang w:val="fr-CA" w:eastAsia="en-CA"/>
        </w:rPr>
        <w:t>[7]</w:t>
      </w:r>
      <w:r w:rsidRPr="00F57F37">
        <w:rPr>
          <w:rFonts w:eastAsia="Times New Roman" w:cs="Times New Roman"/>
          <w:sz w:val="20"/>
          <w:szCs w:val="20"/>
          <w:lang w:val="fr-CA" w:eastAsia="en-CA"/>
        </w:rPr>
        <w:tab/>
        <w:t>À mon avis, les heures que l’avocat de la Banque a consacrées à répondre à la demande qui sont réclamées dans le mémoire de frais sont en grande partie raisonnables. Cependant, malgré les réductions apportées par la Banque, plusieurs éléments figurant dans les registres ne peuvent être accordés, par exemple le temps consacré au dossier connexe pour lequel des déductions n’ont par mégarde pas été faites, ainsi que le temps consacré à l’obtention et à l’examen d’avis de taxation et de mémoires de frais antérieurs. Compte tenu de ce facteur et des autres critères établis dans l’arrêt Cohen, j’estime que la somme de 8000 $ est juste et raisonnable pour les honoraires des avocats dans la présente affaire. Je ferais la déduction correspondante à la réclamation d’indemnisation intégrale pour les honoraires du correspondant, la faisant passer de 1100 $ à 1000 $.</w:t>
      </w:r>
    </w:p>
    <w:p w:rsidR="00B124FF" w:rsidRPr="00F57F37" w:rsidRDefault="00B124FF" w:rsidP="00B124FF">
      <w:pPr>
        <w:rPr>
          <w:rFonts w:eastAsia="Times New Roman" w:cs="Times New Roman"/>
          <w:sz w:val="20"/>
          <w:szCs w:val="20"/>
          <w:lang w:val="fr-CA" w:eastAsia="en-CA"/>
        </w:rPr>
      </w:pPr>
    </w:p>
    <w:p w:rsidR="00B124FF" w:rsidRPr="00F57F37" w:rsidRDefault="00B124FF" w:rsidP="00B124FF">
      <w:pPr>
        <w:rPr>
          <w:rFonts w:eastAsia="Times New Roman" w:cs="Times New Roman"/>
          <w:sz w:val="20"/>
          <w:szCs w:val="20"/>
          <w:lang w:val="fr-CA" w:eastAsia="en-CA"/>
        </w:rPr>
      </w:pPr>
      <w:r w:rsidRPr="00F57F37">
        <w:rPr>
          <w:rFonts w:eastAsia="Times New Roman" w:cs="Times New Roman"/>
          <w:sz w:val="20"/>
          <w:szCs w:val="20"/>
          <w:lang w:val="fr-CA" w:eastAsia="en-CA"/>
        </w:rPr>
        <w:t>[8]</w:t>
      </w:r>
      <w:r w:rsidRPr="00F57F37">
        <w:rPr>
          <w:rFonts w:eastAsia="Times New Roman" w:cs="Times New Roman"/>
          <w:sz w:val="20"/>
          <w:szCs w:val="20"/>
          <w:lang w:val="fr-CA" w:eastAsia="en-CA"/>
        </w:rPr>
        <w:tab/>
        <w:t xml:space="preserve">Pour ce qui est des honoraires réclamés conformément à la partie 1 de l’Annexe B pour la préparation du premier exemplaire de la réponse (234,95 $) et la somme additionnelle réclamée par le correspondant à Ottawa (200 $), ces montants sont tous deux refusés. Les honoraires énoncés à la partie 1 de l’Annexe B sont applicables aux taxations dans les cas où la Cour a ordonné des dépens habituels entre parties. En l’espèce, comme dans tous les cas où les dépens avocat-client sont accordés, l’évaluation de la taxation est faite en fonction du quantum meruit, ou de ce qui est « juste et raisonnable ». Les tarifs ne s’appliquent pas et les mémoires de frais doivent donc être fondés soit sur ce qui est « juste et raisonnable », soit sur les tarifs, mais non les deux.   </w:t>
      </w:r>
    </w:p>
    <w:p w:rsidR="00B124FF" w:rsidRPr="00F57F37" w:rsidRDefault="00B124FF" w:rsidP="00B124FF">
      <w:pPr>
        <w:rPr>
          <w:rFonts w:eastAsia="Times New Roman" w:cs="Times New Roman"/>
          <w:sz w:val="20"/>
          <w:szCs w:val="20"/>
          <w:lang w:val="fr-CA" w:eastAsia="en-CA"/>
        </w:rPr>
      </w:pPr>
    </w:p>
    <w:p w:rsidR="00B124FF" w:rsidRPr="00F57F37" w:rsidRDefault="00B124FF" w:rsidP="00B124FF">
      <w:pPr>
        <w:rPr>
          <w:rFonts w:eastAsia="Times New Roman" w:cs="Times New Roman"/>
          <w:sz w:val="20"/>
          <w:szCs w:val="20"/>
          <w:lang w:val="fr-CA" w:eastAsia="en-CA"/>
        </w:rPr>
      </w:pPr>
      <w:r w:rsidRPr="00F57F37">
        <w:rPr>
          <w:rFonts w:eastAsia="Times New Roman" w:cs="Times New Roman"/>
          <w:sz w:val="20"/>
          <w:szCs w:val="20"/>
          <w:lang w:val="fr-CA" w:eastAsia="en-CA"/>
        </w:rPr>
        <w:t>[9]</w:t>
      </w:r>
      <w:r w:rsidRPr="00F57F37">
        <w:rPr>
          <w:rFonts w:eastAsia="Times New Roman" w:cs="Times New Roman"/>
          <w:sz w:val="20"/>
          <w:szCs w:val="20"/>
          <w:lang w:val="fr-CA" w:eastAsia="en-CA"/>
        </w:rPr>
        <w:tab/>
        <w:t xml:space="preserve">Enfin, le montant réclamé pour les débours (575,95 $) comprend certains éléments qui font déjà partie des fonctions du correspondant à Ottawa et qui sont donc visés par le montant réclamé pour les honoraires du </w:t>
      </w:r>
      <w:r w:rsidRPr="00F57F37">
        <w:rPr>
          <w:rFonts w:eastAsia="Times New Roman" w:cs="Times New Roman"/>
          <w:sz w:val="20"/>
          <w:szCs w:val="20"/>
          <w:lang w:val="fr-CA" w:eastAsia="en-CA"/>
        </w:rPr>
        <w:lastRenderedPageBreak/>
        <w:t xml:space="preserve">correspondant, que j’ai déjà accepté pour la somme de 1000 $. Ces éléments comprennent un montant de 115,50 $ réclamé pour le temps consacré à produire, à préparer en vue de la signification et à déposer la réponse à la demande d’autorisation d’appel, et est décrit dans la facture comme « soutien au litige / messager de la Cour ». De plus, d’autres débours ne sont pas suffisamment précisés pour être accordés. Par exemple, le nombre de photocopies et le tarif par copie ne sont pas précisés pour le montant réclamé de 57,60 $, indiqué seulement comme « photocopies ». De même, d’autres frais du correspondant ne sont pas adéquatement précisés, par exemple les « frais de transport » (14,82 $). Par conséquent, ces montants sont refusés. Inversement, les frais d’impression (247 $) et de taxis (45 $), pour lesquels des reçus ont été fournis, ainsi que les frais de messagerie (36,82 $) et les frais de dépôt de l’avis de taxation (75 $) sont accordés, ce qui équivaut à un total de 403,82 $, TVH incluse. </w:t>
      </w:r>
    </w:p>
    <w:p w:rsidR="00B124FF" w:rsidRPr="00F57F37" w:rsidRDefault="00B124FF" w:rsidP="00B124FF">
      <w:pPr>
        <w:rPr>
          <w:rFonts w:eastAsia="Times New Roman" w:cs="Times New Roman"/>
          <w:sz w:val="20"/>
          <w:szCs w:val="20"/>
          <w:lang w:val="fr-CA" w:eastAsia="en-CA"/>
        </w:rPr>
      </w:pPr>
    </w:p>
    <w:p w:rsidR="00B124FF" w:rsidRPr="00F57F37" w:rsidRDefault="00B124FF" w:rsidP="00B124FF">
      <w:pPr>
        <w:rPr>
          <w:rFonts w:eastAsia="Times New Roman" w:cs="Times New Roman"/>
          <w:sz w:val="20"/>
          <w:szCs w:val="20"/>
          <w:lang w:val="fr-CA" w:eastAsia="en-CA"/>
        </w:rPr>
      </w:pPr>
      <w:r w:rsidRPr="00086EEF">
        <w:rPr>
          <w:rFonts w:eastAsia="Times New Roman" w:cs="Times New Roman"/>
          <w:sz w:val="20"/>
          <w:szCs w:val="20"/>
          <w:u w:val="single"/>
          <w:lang w:val="fr-CA" w:eastAsia="en-CA"/>
        </w:rPr>
        <w:t>Conclusion</w:t>
      </w:r>
      <w:r w:rsidRPr="00F57F37">
        <w:rPr>
          <w:rFonts w:eastAsia="Times New Roman" w:cs="Times New Roman"/>
          <w:sz w:val="20"/>
          <w:szCs w:val="20"/>
          <w:lang w:val="fr-CA" w:eastAsia="en-CA"/>
        </w:rPr>
        <w:t xml:space="preserve"> :</w:t>
      </w:r>
    </w:p>
    <w:p w:rsidR="00B124FF" w:rsidRPr="00F57F37" w:rsidRDefault="00B124FF" w:rsidP="00B124FF">
      <w:pPr>
        <w:rPr>
          <w:rFonts w:eastAsia="Times New Roman" w:cs="Times New Roman"/>
          <w:sz w:val="20"/>
          <w:szCs w:val="20"/>
          <w:lang w:val="fr-CA" w:eastAsia="en-CA"/>
        </w:rPr>
      </w:pPr>
    </w:p>
    <w:p w:rsidR="00B124FF" w:rsidRPr="00F57F37" w:rsidRDefault="00B124FF" w:rsidP="00B124FF">
      <w:pPr>
        <w:rPr>
          <w:rFonts w:eastAsia="Times New Roman" w:cs="Times New Roman"/>
          <w:sz w:val="20"/>
          <w:szCs w:val="20"/>
          <w:lang w:val="fr-CA" w:eastAsia="en-CA"/>
        </w:rPr>
      </w:pPr>
      <w:r w:rsidRPr="00F57F37">
        <w:rPr>
          <w:rFonts w:eastAsia="Times New Roman" w:cs="Times New Roman"/>
          <w:sz w:val="20"/>
          <w:szCs w:val="20"/>
          <w:lang w:val="fr-CA" w:eastAsia="en-CA"/>
        </w:rPr>
        <w:t>[10]</w:t>
      </w:r>
      <w:r w:rsidRPr="00F57F37">
        <w:rPr>
          <w:rFonts w:eastAsia="Times New Roman" w:cs="Times New Roman"/>
          <w:sz w:val="20"/>
          <w:szCs w:val="20"/>
          <w:lang w:val="fr-CA" w:eastAsia="en-CA"/>
        </w:rPr>
        <w:tab/>
        <w:t>Conformément à ce qui précède, les dépens avocat-client de l’intimée sont taxés de la façon suivante : honoraires des avocats pour un montant de 8000 $, honoraires du correspondant à Ottawa pour un montant de 1000 $, TVH sur les honoraires pour un montant de 1170 $ et débours pour un montant de 403,82 $. Un certificat de taxation d’un montant de 10 573, 82 $ sera donc délivré.</w:t>
      </w:r>
    </w:p>
    <w:p w:rsidR="00B124FF" w:rsidRPr="00F57F37" w:rsidRDefault="00B124FF" w:rsidP="00B124FF">
      <w:pPr>
        <w:rPr>
          <w:rFonts w:eastAsia="Times New Roman" w:cs="Times New Roman"/>
          <w:sz w:val="20"/>
          <w:szCs w:val="20"/>
          <w:lang w:val="fr-CA" w:eastAsia="en-CA"/>
        </w:rPr>
      </w:pPr>
      <w:r w:rsidRPr="00F57F37">
        <w:rPr>
          <w:rFonts w:eastAsia="Times New Roman" w:cs="Times New Roman"/>
          <w:sz w:val="20"/>
          <w:szCs w:val="20"/>
          <w:lang w:val="fr-CA" w:eastAsia="en-CA"/>
        </w:rPr>
        <w:t xml:space="preserve"> </w:t>
      </w:r>
    </w:p>
    <w:p w:rsidR="00B124FF" w:rsidRDefault="00B124FF" w:rsidP="00B124FF">
      <w:pPr>
        <w:rPr>
          <w:rFonts w:eastAsia="Times New Roman" w:cs="Times New Roman"/>
          <w:sz w:val="20"/>
          <w:szCs w:val="20"/>
          <w:lang w:val="fr-CA" w:eastAsia="en-CA"/>
        </w:rPr>
      </w:pPr>
      <w:r w:rsidRPr="00F57F37">
        <w:rPr>
          <w:rFonts w:eastAsia="Times New Roman" w:cs="Times New Roman"/>
          <w:sz w:val="20"/>
          <w:szCs w:val="20"/>
          <w:lang w:val="fr-CA" w:eastAsia="en-CA"/>
        </w:rPr>
        <w:t>[11]</w:t>
      </w:r>
      <w:r w:rsidRPr="00F57F37">
        <w:rPr>
          <w:rFonts w:eastAsia="Times New Roman" w:cs="Times New Roman"/>
          <w:sz w:val="20"/>
          <w:szCs w:val="20"/>
          <w:lang w:val="fr-CA" w:eastAsia="en-CA"/>
        </w:rPr>
        <w:tab/>
        <w:t>Je tiens à remercier tous les procureurs pour les observations fort utiles qu’ils ont formulées dans le cadre de la présente taxation.</w:t>
      </w:r>
    </w:p>
    <w:p w:rsidR="005B448B" w:rsidRDefault="005B448B" w:rsidP="00B124FF">
      <w:pPr>
        <w:rPr>
          <w:rFonts w:eastAsia="Times New Roman" w:cs="Times New Roman"/>
          <w:sz w:val="20"/>
          <w:szCs w:val="20"/>
          <w:lang w:val="fr-CA" w:eastAsia="en-CA"/>
        </w:rPr>
      </w:pPr>
    </w:p>
    <w:p w:rsidR="00B16315" w:rsidRPr="00B16315" w:rsidRDefault="00B16315" w:rsidP="00B16315">
      <w:pPr>
        <w:contextualSpacing/>
        <w:rPr>
          <w:sz w:val="20"/>
          <w:szCs w:val="20"/>
          <w:lang w:val="fr-CA"/>
        </w:rPr>
      </w:pPr>
      <w:r w:rsidRPr="00B16315">
        <w:rPr>
          <w:sz w:val="20"/>
          <w:szCs w:val="20"/>
          <w:lang w:val="fr-CA"/>
        </w:rPr>
        <w:t>Ottawa, le 29 janvier 2019.</w:t>
      </w:r>
    </w:p>
    <w:p w:rsidR="00B16315" w:rsidRPr="00B16315" w:rsidRDefault="00B16315" w:rsidP="00B16315">
      <w:pPr>
        <w:contextualSpacing/>
        <w:rPr>
          <w:sz w:val="20"/>
          <w:szCs w:val="20"/>
          <w:lang w:val="fr-CA"/>
        </w:rPr>
      </w:pPr>
    </w:p>
    <w:p w:rsidR="00B16315" w:rsidRPr="00B16315" w:rsidRDefault="00B16315" w:rsidP="00B16315">
      <w:pPr>
        <w:contextualSpacing/>
        <w:rPr>
          <w:sz w:val="20"/>
          <w:szCs w:val="20"/>
          <w:lang w:val="fr-CA"/>
        </w:rPr>
      </w:pPr>
    </w:p>
    <w:p w:rsidR="00B16315" w:rsidRPr="00B16315" w:rsidRDefault="00B16315" w:rsidP="00B16315">
      <w:pPr>
        <w:contextualSpacing/>
        <w:rPr>
          <w:sz w:val="20"/>
          <w:szCs w:val="20"/>
          <w:lang w:val="fr-CA"/>
        </w:rPr>
      </w:pPr>
      <w:r w:rsidRPr="00B16315">
        <w:rPr>
          <w:sz w:val="20"/>
          <w:szCs w:val="20"/>
          <w:lang w:val="fr-CA"/>
        </w:rPr>
        <w:t>Roger Bilodeau, c.r.</w:t>
      </w:r>
    </w:p>
    <w:p w:rsidR="00B16315" w:rsidRPr="00B16315" w:rsidRDefault="00B16315" w:rsidP="00B16315">
      <w:pPr>
        <w:contextualSpacing/>
        <w:rPr>
          <w:sz w:val="20"/>
          <w:szCs w:val="20"/>
          <w:lang w:val="fr-CA"/>
        </w:rPr>
      </w:pPr>
      <w:r w:rsidRPr="00B16315">
        <w:rPr>
          <w:sz w:val="20"/>
          <w:szCs w:val="20"/>
          <w:lang w:val="fr-CA"/>
        </w:rPr>
        <w:t>Registraire</w:t>
      </w:r>
    </w:p>
    <w:p w:rsidR="00B16315" w:rsidRDefault="00B16315" w:rsidP="00B124FF">
      <w:pPr>
        <w:rPr>
          <w:rFonts w:eastAsia="Times New Roman" w:cs="Times New Roman"/>
          <w:sz w:val="20"/>
          <w:szCs w:val="20"/>
          <w:lang w:val="fr-CA" w:eastAsia="en-CA"/>
        </w:rPr>
      </w:pPr>
    </w:p>
    <w:p w:rsidR="005B448B" w:rsidRDefault="00A24D5C" w:rsidP="00B124FF">
      <w:pPr>
        <w:rPr>
          <w:rFonts w:eastAsia="Times New Roman" w:cs="Times New Roman"/>
          <w:sz w:val="20"/>
          <w:szCs w:val="20"/>
          <w:lang w:val="fr-CA" w:eastAsia="en-CA"/>
        </w:rPr>
      </w:pPr>
      <w:r>
        <w:rPr>
          <w:rFonts w:eastAsia="Times New Roman" w:cs="Times New Roman"/>
          <w:sz w:val="20"/>
          <w:szCs w:val="20"/>
          <w:lang w:val="fr-CA" w:eastAsia="en-CA"/>
        </w:rPr>
        <w:pict>
          <v:rect id="_x0000_i1070" style="width:2in;height:1pt" o:hrpct="0" o:hralign="center" o:hrstd="t" o:hrnoshade="t" o:hr="t" fillcolor="black [3213]" stroked="f"/>
        </w:pict>
      </w:r>
    </w:p>
    <w:p w:rsidR="00831CA9" w:rsidRDefault="00831CA9" w:rsidP="00831CA9">
      <w:pPr>
        <w:tabs>
          <w:tab w:val="left" w:pos="-1440"/>
          <w:tab w:val="left" w:pos="-720"/>
        </w:tabs>
        <w:spacing w:line="0" w:lineRule="atLeast"/>
        <w:jc w:val="both"/>
        <w:rPr>
          <w:sz w:val="20"/>
          <w:szCs w:val="20"/>
          <w:lang w:val="fr-CA"/>
        </w:rPr>
      </w:pPr>
    </w:p>
    <w:p w:rsidR="00A21247" w:rsidRPr="00C50A5C" w:rsidRDefault="00A21247" w:rsidP="00831CA9">
      <w:pPr>
        <w:tabs>
          <w:tab w:val="left" w:pos="-1440"/>
          <w:tab w:val="left" w:pos="-720"/>
        </w:tabs>
        <w:spacing w:line="0" w:lineRule="atLeast"/>
        <w:jc w:val="both"/>
        <w:rPr>
          <w:sz w:val="20"/>
          <w:szCs w:val="20"/>
          <w:lang w:val="fr-CA"/>
        </w:rPr>
      </w:pPr>
    </w:p>
    <w:p w:rsidR="00831CA9" w:rsidRPr="00C50A5C" w:rsidRDefault="00831CA9" w:rsidP="00831CA9">
      <w:pPr>
        <w:jc w:val="both"/>
        <w:rPr>
          <w:sz w:val="20"/>
          <w:szCs w:val="20"/>
          <w:lang w:val="fr-CA"/>
        </w:rPr>
        <w:sectPr w:rsidR="00831CA9" w:rsidRPr="00C50A5C" w:rsidSect="00831CA9">
          <w:headerReference w:type="even" r:id="rId131"/>
          <w:headerReference w:type="default" r:id="rId132"/>
          <w:footerReference w:type="even" r:id="rId133"/>
          <w:footerReference w:type="default" r:id="rId134"/>
          <w:headerReference w:type="first" r:id="rId135"/>
          <w:footerReference w:type="first" r:id="rId136"/>
          <w:pgSz w:w="12240" w:h="15840"/>
          <w:pgMar w:top="720" w:right="965" w:bottom="1080" w:left="1656" w:header="720" w:footer="965" w:gutter="0"/>
          <w:cols w:space="720"/>
          <w:titlePg/>
          <w:docGrid w:linePitch="326"/>
        </w:sectPr>
      </w:pPr>
    </w:p>
    <w:p w:rsidR="00567602" w:rsidRPr="00567602" w:rsidRDefault="001434B9" w:rsidP="00567602">
      <w:pPr>
        <w:pStyle w:val="Header1StyleE"/>
        <w:pBdr>
          <w:bottom w:val="single" w:sz="12" w:space="1" w:color="auto"/>
        </w:pBdr>
        <w:rPr>
          <w:sz w:val="20"/>
          <w:lang w:val="en-US"/>
        </w:rPr>
      </w:pPr>
      <w:bookmarkStart w:id="11" w:name="_Toc532985694"/>
      <w:r w:rsidRPr="002D72EB">
        <w:lastRenderedPageBreak/>
        <w:t xml:space="preserve">Notices of appeal filed since </w:t>
      </w:r>
      <w:r>
        <w:t xml:space="preserve">the </w:t>
      </w:r>
      <w:r w:rsidRPr="002D72EB">
        <w:t>last issue</w:t>
      </w:r>
      <w:r w:rsidR="00271E1E">
        <w:t xml:space="preserve"> / </w:t>
      </w:r>
      <w:r w:rsidR="00567602">
        <w:br/>
      </w:r>
      <w:r>
        <w:rPr>
          <w:lang w:val="fr-CA"/>
        </w:rPr>
        <w:t>A</w:t>
      </w:r>
      <w:r w:rsidRPr="002D72EB">
        <w:rPr>
          <w:lang w:val="fr-CA"/>
        </w:rPr>
        <w:t>vis d’appel déposés depuis la dernière parution</w:t>
      </w:r>
      <w:bookmarkEnd w:id="11"/>
    </w:p>
    <w:p w:rsidR="00FB1DB6" w:rsidRPr="00567602" w:rsidRDefault="00FB1DB6" w:rsidP="00F40249">
      <w:pPr>
        <w:rPr>
          <w:sz w:val="20"/>
          <w:szCs w:val="20"/>
          <w:lang w:val="en-US"/>
        </w:rPr>
      </w:pPr>
    </w:p>
    <w:tbl>
      <w:tblPr>
        <w:tblW w:w="5000" w:type="pct"/>
        <w:tblCellMar>
          <w:left w:w="0" w:type="dxa"/>
          <w:right w:w="0" w:type="dxa"/>
        </w:tblCellMar>
        <w:tblLook w:val="0000" w:firstRow="0" w:lastRow="0" w:firstColumn="0" w:lastColumn="0" w:noHBand="0" w:noVBand="0"/>
      </w:tblPr>
      <w:tblGrid>
        <w:gridCol w:w="4244"/>
        <w:gridCol w:w="1131"/>
        <w:gridCol w:w="4244"/>
      </w:tblGrid>
      <w:tr w:rsidR="00B124FF" w:rsidRPr="003B3977" w:rsidTr="005F32B8">
        <w:trPr>
          <w:cantSplit/>
        </w:trPr>
        <w:tc>
          <w:tcPr>
            <w:tcW w:w="2206" w:type="pct"/>
            <w:tcMar>
              <w:left w:w="0" w:type="dxa"/>
              <w:right w:w="0" w:type="dxa"/>
            </w:tcMar>
          </w:tcPr>
          <w:p w:rsidR="00B124FF" w:rsidRDefault="00B124FF" w:rsidP="005F32B8">
            <w:pPr>
              <w:rPr>
                <w:sz w:val="20"/>
                <w:szCs w:val="20"/>
              </w:rPr>
            </w:pPr>
            <w:r>
              <w:rPr>
                <w:sz w:val="20"/>
                <w:szCs w:val="20"/>
              </w:rPr>
              <w:t>January 16, 2019</w:t>
            </w:r>
          </w:p>
          <w:p w:rsidR="00B124FF" w:rsidRPr="003B3977" w:rsidRDefault="00B124FF" w:rsidP="005F32B8">
            <w:pPr>
              <w:rPr>
                <w:sz w:val="20"/>
                <w:szCs w:val="20"/>
              </w:rPr>
            </w:pPr>
          </w:p>
          <w:p w:rsidR="00B124FF" w:rsidRDefault="00B124FF" w:rsidP="005F32B8">
            <w:pPr>
              <w:rPr>
                <w:b/>
                <w:bCs/>
                <w:sz w:val="20"/>
                <w:szCs w:val="20"/>
                <w:lang w:val="en"/>
              </w:rPr>
            </w:pPr>
            <w:r w:rsidRPr="0095246D">
              <w:rPr>
                <w:b/>
                <w:bCs/>
                <w:sz w:val="20"/>
                <w:szCs w:val="20"/>
                <w:lang w:val="en"/>
              </w:rPr>
              <w:t xml:space="preserve">Canadian Coalition for Genetic Fairness </w:t>
            </w:r>
          </w:p>
          <w:p w:rsidR="00B124FF" w:rsidRPr="003B3977" w:rsidRDefault="00B124FF" w:rsidP="005F32B8">
            <w:pPr>
              <w:rPr>
                <w:b/>
                <w:sz w:val="20"/>
                <w:szCs w:val="20"/>
              </w:rPr>
            </w:pPr>
          </w:p>
          <w:p w:rsidR="00B124FF" w:rsidRPr="003B3977" w:rsidRDefault="00B124FF" w:rsidP="005F32B8">
            <w:pPr>
              <w:rPr>
                <w:b/>
                <w:sz w:val="20"/>
                <w:szCs w:val="20"/>
              </w:rPr>
            </w:pPr>
            <w:r w:rsidRPr="003B3977">
              <w:rPr>
                <w:b/>
                <w:sz w:val="20"/>
                <w:szCs w:val="20"/>
              </w:rPr>
              <w:tab/>
              <w:t>v. (</w:t>
            </w:r>
            <w:r w:rsidRPr="0095246D">
              <w:rPr>
                <w:b/>
                <w:sz w:val="20"/>
                <w:szCs w:val="20"/>
              </w:rPr>
              <w:t>38478</w:t>
            </w:r>
            <w:r w:rsidRPr="003B3977">
              <w:rPr>
                <w:b/>
                <w:sz w:val="20"/>
                <w:szCs w:val="20"/>
              </w:rPr>
              <w:t>)</w:t>
            </w:r>
          </w:p>
          <w:p w:rsidR="00B124FF" w:rsidRPr="003B3977" w:rsidRDefault="00B124FF" w:rsidP="005F32B8">
            <w:pPr>
              <w:rPr>
                <w:b/>
                <w:sz w:val="20"/>
                <w:szCs w:val="20"/>
              </w:rPr>
            </w:pPr>
          </w:p>
          <w:p w:rsidR="00B124FF" w:rsidRPr="003B3977" w:rsidRDefault="00B124FF" w:rsidP="005F32B8">
            <w:pPr>
              <w:rPr>
                <w:b/>
                <w:sz w:val="20"/>
                <w:szCs w:val="20"/>
              </w:rPr>
            </w:pPr>
            <w:r>
              <w:rPr>
                <w:b/>
                <w:sz w:val="20"/>
                <w:szCs w:val="20"/>
              </w:rPr>
              <w:t>Attorney General of Quebec</w:t>
            </w:r>
            <w:r w:rsidRPr="0095246D">
              <w:rPr>
                <w:b/>
                <w:sz w:val="20"/>
                <w:szCs w:val="20"/>
              </w:rPr>
              <w:t xml:space="preserve"> et al. </w:t>
            </w:r>
            <w:r w:rsidRPr="003B3977">
              <w:rPr>
                <w:b/>
                <w:sz w:val="20"/>
                <w:szCs w:val="20"/>
              </w:rPr>
              <w:t>(</w:t>
            </w:r>
            <w:r>
              <w:rPr>
                <w:b/>
                <w:sz w:val="20"/>
                <w:szCs w:val="20"/>
              </w:rPr>
              <w:t>Que</w:t>
            </w:r>
            <w:r w:rsidRPr="003B3977">
              <w:rPr>
                <w:b/>
                <w:sz w:val="20"/>
                <w:szCs w:val="20"/>
              </w:rPr>
              <w:t>.)</w:t>
            </w:r>
          </w:p>
          <w:p w:rsidR="00B124FF" w:rsidRPr="003B3977" w:rsidRDefault="00B124FF" w:rsidP="005F32B8">
            <w:pPr>
              <w:rPr>
                <w:sz w:val="20"/>
                <w:szCs w:val="20"/>
              </w:rPr>
            </w:pPr>
          </w:p>
          <w:p w:rsidR="00B124FF" w:rsidRPr="003B3977" w:rsidRDefault="00B124FF" w:rsidP="005F32B8">
            <w:pPr>
              <w:rPr>
                <w:sz w:val="20"/>
                <w:szCs w:val="20"/>
              </w:rPr>
            </w:pPr>
            <w:r w:rsidRPr="003B3977">
              <w:rPr>
                <w:sz w:val="20"/>
                <w:szCs w:val="20"/>
              </w:rPr>
              <w:t>(</w:t>
            </w:r>
            <w:r>
              <w:rPr>
                <w:sz w:val="20"/>
                <w:szCs w:val="20"/>
              </w:rPr>
              <w:t>As of Right</w:t>
            </w:r>
            <w:r w:rsidRPr="003B3977">
              <w:rPr>
                <w:sz w:val="20"/>
                <w:szCs w:val="20"/>
              </w:rPr>
              <w:t>)</w:t>
            </w:r>
          </w:p>
          <w:p w:rsidR="00B124FF" w:rsidRPr="003B3977" w:rsidRDefault="00A24D5C" w:rsidP="005F32B8">
            <w:pPr>
              <w:rPr>
                <w:sz w:val="20"/>
                <w:szCs w:val="20"/>
                <w:lang w:val="fr-CA"/>
              </w:rPr>
            </w:pPr>
            <w:r>
              <w:rPr>
                <w:sz w:val="20"/>
                <w:szCs w:val="20"/>
                <w:lang w:val="fr-CA"/>
              </w:rPr>
              <w:pict>
                <v:rect id="_x0000_i1073" style="width:106.1pt;height:1pt" o:hrpct="500" o:hralign="center" o:hrstd="t" o:hrnoshade="t" o:hr="t" fillcolor="black [3213]" stroked="f"/>
              </w:pict>
            </w:r>
          </w:p>
        </w:tc>
        <w:tc>
          <w:tcPr>
            <w:tcW w:w="588" w:type="pct"/>
          </w:tcPr>
          <w:p w:rsidR="00B124FF" w:rsidRPr="003B3977" w:rsidRDefault="00B124FF" w:rsidP="005F32B8">
            <w:pPr>
              <w:jc w:val="center"/>
              <w:rPr>
                <w:sz w:val="20"/>
                <w:szCs w:val="20"/>
              </w:rPr>
            </w:pPr>
          </w:p>
          <w:p w:rsidR="00B124FF" w:rsidRPr="003B3977" w:rsidRDefault="00B124FF" w:rsidP="005F32B8">
            <w:pPr>
              <w:jc w:val="center"/>
              <w:rPr>
                <w:sz w:val="20"/>
                <w:szCs w:val="20"/>
              </w:rPr>
            </w:pPr>
          </w:p>
          <w:p w:rsidR="00B124FF" w:rsidRPr="003B3977" w:rsidRDefault="00B124FF" w:rsidP="005F32B8">
            <w:pPr>
              <w:jc w:val="center"/>
              <w:rPr>
                <w:sz w:val="20"/>
                <w:szCs w:val="20"/>
              </w:rPr>
            </w:pPr>
          </w:p>
          <w:p w:rsidR="00B124FF" w:rsidRPr="003B3977" w:rsidRDefault="00B124FF" w:rsidP="005F32B8">
            <w:pPr>
              <w:jc w:val="center"/>
              <w:rPr>
                <w:sz w:val="20"/>
                <w:szCs w:val="20"/>
              </w:rPr>
            </w:pPr>
          </w:p>
          <w:p w:rsidR="00B124FF" w:rsidRPr="003B3977" w:rsidRDefault="00B124FF" w:rsidP="005F32B8">
            <w:pPr>
              <w:jc w:val="center"/>
              <w:rPr>
                <w:sz w:val="20"/>
                <w:szCs w:val="20"/>
              </w:rPr>
            </w:pPr>
          </w:p>
          <w:p w:rsidR="00B124FF" w:rsidRPr="003B3977" w:rsidRDefault="00B124FF" w:rsidP="005F32B8">
            <w:pPr>
              <w:jc w:val="center"/>
              <w:rPr>
                <w:sz w:val="20"/>
                <w:szCs w:val="20"/>
              </w:rPr>
            </w:pPr>
          </w:p>
          <w:p w:rsidR="00B124FF" w:rsidRPr="003B3977" w:rsidRDefault="00B124FF" w:rsidP="005F32B8">
            <w:pPr>
              <w:jc w:val="center"/>
              <w:rPr>
                <w:sz w:val="20"/>
                <w:szCs w:val="20"/>
              </w:rPr>
            </w:pPr>
          </w:p>
          <w:p w:rsidR="00B124FF" w:rsidRPr="003B3977" w:rsidRDefault="00B124FF" w:rsidP="005F32B8">
            <w:pPr>
              <w:jc w:val="center"/>
              <w:rPr>
                <w:sz w:val="20"/>
                <w:szCs w:val="20"/>
              </w:rPr>
            </w:pPr>
          </w:p>
          <w:p w:rsidR="00B124FF" w:rsidRPr="003B3977" w:rsidRDefault="00B124FF" w:rsidP="005F32B8">
            <w:pPr>
              <w:jc w:val="center"/>
              <w:rPr>
                <w:sz w:val="20"/>
                <w:szCs w:val="20"/>
              </w:rPr>
            </w:pPr>
          </w:p>
          <w:p w:rsidR="00B124FF" w:rsidRDefault="00B124FF" w:rsidP="005F32B8">
            <w:pPr>
              <w:jc w:val="center"/>
              <w:rPr>
                <w:sz w:val="20"/>
                <w:szCs w:val="20"/>
              </w:rPr>
            </w:pPr>
          </w:p>
          <w:p w:rsidR="00B124FF" w:rsidRPr="003B3977" w:rsidRDefault="00B124FF" w:rsidP="005F32B8">
            <w:pPr>
              <w:jc w:val="center"/>
              <w:rPr>
                <w:sz w:val="20"/>
                <w:szCs w:val="20"/>
              </w:rPr>
            </w:pPr>
          </w:p>
        </w:tc>
        <w:tc>
          <w:tcPr>
            <w:tcW w:w="2206" w:type="pct"/>
          </w:tcPr>
          <w:p w:rsidR="00B124FF" w:rsidRPr="003B3977" w:rsidRDefault="00B124FF" w:rsidP="005F32B8">
            <w:pPr>
              <w:rPr>
                <w:sz w:val="20"/>
                <w:szCs w:val="20"/>
              </w:rPr>
            </w:pPr>
          </w:p>
        </w:tc>
      </w:tr>
    </w:tbl>
    <w:p w:rsidR="00B124FF" w:rsidRDefault="00B124FF" w:rsidP="00B124FF">
      <w:pPr>
        <w:rPr>
          <w:sz w:val="20"/>
          <w:szCs w:val="20"/>
        </w:rPr>
      </w:pPr>
    </w:p>
    <w:p w:rsidR="00A21247" w:rsidRDefault="00A21247" w:rsidP="00B124FF">
      <w:pPr>
        <w:rPr>
          <w:sz w:val="20"/>
          <w:szCs w:val="20"/>
        </w:rPr>
      </w:pPr>
    </w:p>
    <w:p w:rsidR="0010587F" w:rsidRPr="00C50A5C" w:rsidRDefault="0010587F" w:rsidP="00F40249">
      <w:pPr>
        <w:rPr>
          <w:sz w:val="20"/>
          <w:szCs w:val="20"/>
        </w:rPr>
      </w:pPr>
    </w:p>
    <w:p w:rsidR="00EB2B90" w:rsidRPr="00C50A5C" w:rsidRDefault="00EB2B90" w:rsidP="00F40249">
      <w:pPr>
        <w:rPr>
          <w:sz w:val="20"/>
          <w:szCs w:val="20"/>
        </w:rPr>
        <w:sectPr w:rsidR="00EB2B90" w:rsidRPr="00C50A5C" w:rsidSect="00F40249">
          <w:headerReference w:type="even" r:id="rId137"/>
          <w:headerReference w:type="default" r:id="rId138"/>
          <w:footerReference w:type="even" r:id="rId139"/>
          <w:footerReference w:type="default" r:id="rId140"/>
          <w:headerReference w:type="first" r:id="rId141"/>
          <w:footerReference w:type="first" r:id="rId142"/>
          <w:pgSz w:w="12240" w:h="15840"/>
          <w:pgMar w:top="720" w:right="965" w:bottom="1080" w:left="1656" w:header="720" w:footer="965" w:gutter="0"/>
          <w:cols w:space="720"/>
          <w:titlePg/>
          <w:docGrid w:linePitch="326"/>
        </w:sectPr>
      </w:pPr>
    </w:p>
    <w:p w:rsidR="00567602" w:rsidRPr="00567602" w:rsidRDefault="001434B9" w:rsidP="00567602">
      <w:pPr>
        <w:pStyle w:val="Header1StyleE"/>
        <w:pBdr>
          <w:bottom w:val="single" w:sz="12" w:space="1" w:color="auto"/>
        </w:pBdr>
        <w:rPr>
          <w:lang w:val="fr-CA"/>
        </w:rPr>
      </w:pPr>
      <w:bookmarkStart w:id="12" w:name="_Toc532985699"/>
      <w:r w:rsidRPr="00567602">
        <w:rPr>
          <w:lang w:val="fr-CA"/>
        </w:rPr>
        <w:lastRenderedPageBreak/>
        <w:t>Pronouncements of reserved</w:t>
      </w:r>
      <w:r w:rsidR="00271E1E">
        <w:rPr>
          <w:lang w:val="fr-CA"/>
        </w:rPr>
        <w:t xml:space="preserve"> appeals / </w:t>
      </w:r>
      <w:r w:rsidR="00567602" w:rsidRPr="00567602">
        <w:rPr>
          <w:lang w:val="fr-CA"/>
        </w:rPr>
        <w:br/>
      </w:r>
      <w:r>
        <w:rPr>
          <w:lang w:val="fr-CA"/>
        </w:rPr>
        <w:t>J</w:t>
      </w:r>
      <w:r w:rsidRPr="00C1697B">
        <w:rPr>
          <w:lang w:val="fr-CA"/>
        </w:rPr>
        <w:t>ugements rendus sur les appels en délibéré</w:t>
      </w:r>
      <w:bookmarkEnd w:id="12"/>
    </w:p>
    <w:p w:rsidR="00567602" w:rsidRDefault="00567602" w:rsidP="00FF6EEC">
      <w:pPr>
        <w:rPr>
          <w:b/>
          <w:sz w:val="20"/>
          <w:szCs w:val="20"/>
          <w:lang w:val="fr-CA"/>
        </w:rPr>
      </w:pPr>
    </w:p>
    <w:p w:rsidR="00FF6EEC" w:rsidRPr="003B3977" w:rsidRDefault="00FF6EEC" w:rsidP="00FF6EEC">
      <w:pPr>
        <w:rPr>
          <w:b/>
          <w:sz w:val="20"/>
          <w:szCs w:val="20"/>
          <w:lang w:val="fr-CA"/>
        </w:rPr>
      </w:pPr>
    </w:p>
    <w:p w:rsidR="00B124FF" w:rsidRPr="00BC15CF" w:rsidRDefault="00B124FF" w:rsidP="00B124FF">
      <w:pPr>
        <w:rPr>
          <w:b/>
          <w:sz w:val="20"/>
          <w:szCs w:val="20"/>
          <w:lang w:val="en-US"/>
        </w:rPr>
      </w:pPr>
      <w:r w:rsidRPr="00BC15CF">
        <w:rPr>
          <w:b/>
          <w:sz w:val="20"/>
          <w:szCs w:val="20"/>
          <w:lang w:val="en-US"/>
        </w:rPr>
        <w:t>JANUARY 31, 2019 / LE 31 JANVIER 2019</w:t>
      </w:r>
    </w:p>
    <w:p w:rsidR="00B124FF" w:rsidRPr="00956081" w:rsidRDefault="00B124FF" w:rsidP="00B124FF">
      <w:pPr>
        <w:rPr>
          <w:sz w:val="20"/>
          <w:szCs w:val="20"/>
          <w:highlight w:val="yellow"/>
          <w:lang w:val="en-US"/>
        </w:rPr>
      </w:pPr>
    </w:p>
    <w:p w:rsidR="00B124FF" w:rsidRPr="002F061F" w:rsidRDefault="00B124FF" w:rsidP="00B124FF">
      <w:pPr>
        <w:ind w:left="1440" w:hanging="1440"/>
        <w:jc w:val="both"/>
        <w:rPr>
          <w:sz w:val="20"/>
          <w:szCs w:val="20"/>
        </w:rPr>
      </w:pPr>
      <w:r w:rsidRPr="000166FF">
        <w:rPr>
          <w:b/>
          <w:bCs/>
          <w:sz w:val="20"/>
          <w:szCs w:val="20"/>
        </w:rPr>
        <w:t>37627</w:t>
      </w:r>
      <w:r w:rsidRPr="000166FF">
        <w:rPr>
          <w:sz w:val="20"/>
          <w:szCs w:val="20"/>
        </w:rPr>
        <w:t xml:space="preserve">                   </w:t>
      </w:r>
      <w:r w:rsidRPr="000166FF">
        <w:rPr>
          <w:b/>
          <w:bCs/>
          <w:sz w:val="20"/>
          <w:szCs w:val="20"/>
        </w:rPr>
        <w:t xml:space="preserve">Orphan </w:t>
      </w:r>
      <w:r>
        <w:rPr>
          <w:b/>
          <w:bCs/>
          <w:sz w:val="20"/>
          <w:szCs w:val="20"/>
        </w:rPr>
        <w:t>Well Association and Alberta Energy Regulator v. Grant Thornton Limited and ATB Financial (formerly known as Alberta Treasury Branches) – and – Attorney General of Ontario, Attorney General of British Columbia, Attorney General of Saskatchewan, Attorney General of Alberta, Ecojustice Canada Society, Canadian Association of Petroleum Producers, Greenpeace Canada, Action Surface Rights Association, Canadian Association of Insolvency and Restructuring Professionals and Canadian Bankers’ Association</w:t>
      </w:r>
      <w:r>
        <w:rPr>
          <w:sz w:val="20"/>
          <w:szCs w:val="20"/>
        </w:rPr>
        <w:t xml:space="preserve"> (Alta</w:t>
      </w:r>
      <w:r w:rsidRPr="002F061F">
        <w:rPr>
          <w:sz w:val="20"/>
          <w:szCs w:val="20"/>
        </w:rPr>
        <w:t>.)</w:t>
      </w:r>
    </w:p>
    <w:p w:rsidR="00B124FF" w:rsidRDefault="00B124FF" w:rsidP="00B124FF">
      <w:pPr>
        <w:ind w:left="1440"/>
        <w:jc w:val="both"/>
        <w:rPr>
          <w:sz w:val="20"/>
          <w:szCs w:val="20"/>
        </w:rPr>
      </w:pPr>
      <w:r>
        <w:rPr>
          <w:b/>
          <w:bCs/>
          <w:sz w:val="20"/>
          <w:szCs w:val="20"/>
        </w:rPr>
        <w:t>2019 SCC 5 / 2019 CSC 5</w:t>
      </w:r>
    </w:p>
    <w:p w:rsidR="00B124FF" w:rsidRPr="00BC15CF" w:rsidRDefault="00B124FF" w:rsidP="00B124FF">
      <w:pPr>
        <w:jc w:val="both"/>
        <w:rPr>
          <w:rFonts w:eastAsia="Times New Roman" w:cs="Times New Roman"/>
          <w:color w:val="000000"/>
          <w:sz w:val="27"/>
          <w:szCs w:val="27"/>
          <w:lang w:val="en-US"/>
        </w:rPr>
      </w:pPr>
      <w:r w:rsidRPr="00BC15CF">
        <w:rPr>
          <w:rFonts w:eastAsia="Times New Roman" w:cs="Times New Roman"/>
          <w:color w:val="000000"/>
          <w:sz w:val="20"/>
          <w:szCs w:val="20"/>
          <w:lang w:val="en-US"/>
        </w:rPr>
        <w:t> </w:t>
      </w:r>
    </w:p>
    <w:p w:rsidR="00B124FF" w:rsidRDefault="00B124FF" w:rsidP="00B124FF">
      <w:pPr>
        <w:ind w:left="1440" w:hanging="1440"/>
        <w:rPr>
          <w:sz w:val="20"/>
          <w:szCs w:val="20"/>
          <w:lang w:val="en-US"/>
        </w:rPr>
      </w:pPr>
      <w:r w:rsidRPr="00BC15CF">
        <w:rPr>
          <w:rFonts w:eastAsia="Times New Roman" w:cs="Times New Roman"/>
          <w:color w:val="000000"/>
          <w:sz w:val="20"/>
          <w:szCs w:val="20"/>
          <w:lang w:val="en-US"/>
        </w:rPr>
        <w:t>Coram:                 </w:t>
      </w:r>
      <w:r>
        <w:rPr>
          <w:sz w:val="20"/>
          <w:szCs w:val="20"/>
        </w:rPr>
        <w:t>Wagner C.J. and Abella, Moldaver, Karakatsanis, Gascon, Côté and Brown JJ.</w:t>
      </w:r>
    </w:p>
    <w:p w:rsidR="00B124FF" w:rsidRPr="00BC15CF" w:rsidRDefault="00B124FF" w:rsidP="00B124FF">
      <w:pPr>
        <w:ind w:left="1440" w:hanging="1440"/>
        <w:rPr>
          <w:rFonts w:eastAsia="Times New Roman" w:cs="Times New Roman"/>
          <w:color w:val="000000"/>
          <w:sz w:val="27"/>
          <w:szCs w:val="27"/>
          <w:lang w:val="en-US"/>
        </w:rPr>
      </w:pPr>
      <w:r w:rsidRPr="00BC15CF">
        <w:rPr>
          <w:rFonts w:eastAsia="Times New Roman" w:cs="Times New Roman"/>
          <w:color w:val="000000"/>
          <w:sz w:val="20"/>
          <w:szCs w:val="20"/>
          <w:lang w:val="en-US"/>
        </w:rPr>
        <w:t> </w:t>
      </w:r>
    </w:p>
    <w:p w:rsidR="00B124FF" w:rsidRPr="009E2C1C" w:rsidRDefault="00B124FF" w:rsidP="00B124FF">
      <w:pPr>
        <w:tabs>
          <w:tab w:val="left" w:pos="1440"/>
        </w:tabs>
        <w:jc w:val="both"/>
        <w:rPr>
          <w:rFonts w:eastAsia="Times New Roman" w:cs="Times New Roman"/>
          <w:color w:val="000000"/>
          <w:sz w:val="20"/>
          <w:szCs w:val="20"/>
          <w:lang w:val="fr-CA"/>
        </w:rPr>
      </w:pPr>
      <w:r w:rsidRPr="00BC15CF">
        <w:rPr>
          <w:rFonts w:eastAsia="Times New Roman" w:cs="Times New Roman"/>
          <w:color w:val="000000"/>
          <w:sz w:val="20"/>
          <w:szCs w:val="20"/>
          <w:lang w:val="en-US"/>
        </w:rPr>
        <w:t xml:space="preserve">The appeal from the judgment of the Court of Appeal of Alberta (Calgary), Numbers 1601-0129-AC and 1601-0130-AC, 2017 ABCA 124, dated April 24, 2017, heard on February 15, 2018, is allowed. The proceeds from the sale of the assets of Redwater Energy Corporation are to be used to address its end-of-life obligations. The declarations in paragraphs 3 and 5 to 16 of the chambers judge’s order are set aside. </w:t>
      </w:r>
      <w:r w:rsidRPr="009E2C1C">
        <w:rPr>
          <w:rFonts w:eastAsia="Times New Roman" w:cs="Times New Roman"/>
          <w:color w:val="000000"/>
          <w:sz w:val="20"/>
          <w:szCs w:val="20"/>
          <w:lang w:val="fr-CA"/>
        </w:rPr>
        <w:t>Moldaver and Côté JJ. dissent.</w:t>
      </w:r>
    </w:p>
    <w:p w:rsidR="00B124FF" w:rsidRPr="00BC15CF" w:rsidRDefault="00B124FF" w:rsidP="00B124FF">
      <w:pPr>
        <w:tabs>
          <w:tab w:val="left" w:pos="1440"/>
        </w:tabs>
        <w:jc w:val="both"/>
        <w:rPr>
          <w:rFonts w:eastAsia="Times New Roman" w:cs="Times New Roman"/>
          <w:color w:val="000000"/>
          <w:sz w:val="27"/>
          <w:szCs w:val="27"/>
          <w:lang w:val="fr-CA"/>
        </w:rPr>
      </w:pPr>
      <w:r w:rsidRPr="00BC15CF">
        <w:rPr>
          <w:rFonts w:eastAsia="Times New Roman" w:cs="Times New Roman"/>
          <w:color w:val="000000"/>
          <w:sz w:val="20"/>
          <w:szCs w:val="20"/>
          <w:lang w:val="fr-CA"/>
        </w:rPr>
        <w:t> </w:t>
      </w:r>
      <w:r w:rsidRPr="00BC15CF">
        <w:rPr>
          <w:rFonts w:eastAsia="Times New Roman" w:cs="Times New Roman"/>
          <w:color w:val="000000"/>
          <w:sz w:val="20"/>
          <w:szCs w:val="20"/>
          <w:lang w:val="fr-CA"/>
        </w:rPr>
        <w:tab/>
      </w:r>
    </w:p>
    <w:p w:rsidR="00B124FF" w:rsidRDefault="00B124FF" w:rsidP="00B124FF">
      <w:pPr>
        <w:rPr>
          <w:rFonts w:eastAsia="Times New Roman" w:cs="Times New Roman"/>
          <w:color w:val="000000"/>
          <w:sz w:val="20"/>
          <w:szCs w:val="20"/>
          <w:lang w:val="fr-CA"/>
        </w:rPr>
      </w:pPr>
      <w:r w:rsidRPr="00BC15CF">
        <w:rPr>
          <w:rFonts w:eastAsia="Times New Roman" w:cs="Times New Roman"/>
          <w:color w:val="000000"/>
          <w:sz w:val="20"/>
          <w:szCs w:val="20"/>
          <w:lang w:val="fr-CA"/>
        </w:rPr>
        <w:t>L’appel interjeté contre l’arrêt de la Cour d’appel de l’Alberta (Calgary), numéros 1601-0129-AC et 1601-0130-AC, 2017 ABCA 124, daté du 24 avril 2017, entendu le 15 février 2018, est accueilli. Le produit de la vente des biens de Redwater Energy Corporation doit être utilisé pour satisfaire à ses obligations de fin de vie. Les déclarations du juge siégeant en cabinet qui figurent aux paragraphes 3 et 5 à 16 de son ordonnance sont annulées. Les juges Moldaver et Côté sont dissidents.</w:t>
      </w:r>
    </w:p>
    <w:p w:rsidR="00B124FF" w:rsidRPr="00BC15CF" w:rsidRDefault="00B124FF" w:rsidP="00B124FF">
      <w:pPr>
        <w:rPr>
          <w:sz w:val="20"/>
          <w:szCs w:val="20"/>
          <w:lang w:val="fr-CA"/>
        </w:rPr>
      </w:pPr>
    </w:p>
    <w:p w:rsidR="00B124FF" w:rsidRDefault="00A24D5C" w:rsidP="00B124FF">
      <w:pPr>
        <w:rPr>
          <w:sz w:val="20"/>
          <w:szCs w:val="20"/>
          <w:lang w:val="fr-CA"/>
        </w:rPr>
      </w:pPr>
      <w:hyperlink r:id="rId143" w:history="1">
        <w:r w:rsidR="00B124FF" w:rsidRPr="00A237B2">
          <w:rPr>
            <w:rStyle w:val="Hyperlink"/>
            <w:color w:val="0000FF"/>
            <w:sz w:val="20"/>
            <w:szCs w:val="20"/>
            <w:lang w:val="fr-CA"/>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16200000" w14:scaled="0"/>
              </w14:gradFill>
            </w14:textFill>
          </w:rPr>
          <w:t>LINK TO REASONS</w:t>
        </w:r>
      </w:hyperlink>
      <w:r w:rsidR="00B124FF" w:rsidRPr="000217AE">
        <w:rPr>
          <w:sz w:val="20"/>
          <w:szCs w:val="20"/>
          <w:lang w:val="fr-CA"/>
        </w:rPr>
        <w:t xml:space="preserve"> / </w:t>
      </w:r>
      <w:hyperlink r:id="rId144" w:history="1">
        <w:r w:rsidR="00B124FF" w:rsidRPr="000217AE">
          <w:rPr>
            <w:rStyle w:val="Hyperlink"/>
            <w:sz w:val="20"/>
            <w:szCs w:val="20"/>
            <w:lang w:val="fr-CA"/>
          </w:rPr>
          <w:t>LIEN VERS LES MOTIFS</w:t>
        </w:r>
      </w:hyperlink>
    </w:p>
    <w:p w:rsidR="00B124FF" w:rsidRPr="00EC5730" w:rsidRDefault="00B124FF" w:rsidP="00B124FF">
      <w:pPr>
        <w:rPr>
          <w:sz w:val="20"/>
          <w:szCs w:val="20"/>
          <w:lang w:val="fr-CA"/>
        </w:rPr>
      </w:pPr>
    </w:p>
    <w:p w:rsidR="00B124FF" w:rsidRDefault="00A24D5C" w:rsidP="00B124FF">
      <w:pPr>
        <w:jc w:val="both"/>
        <w:rPr>
          <w:rFonts w:cs="Times New Roman"/>
          <w:b/>
          <w:sz w:val="20"/>
          <w:szCs w:val="20"/>
        </w:rPr>
      </w:pPr>
      <w:r>
        <w:rPr>
          <w:b/>
          <w:sz w:val="20"/>
          <w:szCs w:val="20"/>
        </w:rPr>
        <w:pict>
          <v:rect id="_x0000_i1076" style="width:144.3pt;height:1pt" o:hrpct="300" o:hralign="center" o:hrstd="t" o:hrnoshade="t" o:hr="t" fillcolor="black [3213]" stroked="f"/>
        </w:pict>
      </w:r>
    </w:p>
    <w:p w:rsidR="00B124FF" w:rsidRDefault="00B124FF" w:rsidP="00B124FF">
      <w:pPr>
        <w:jc w:val="both"/>
        <w:rPr>
          <w:rFonts w:cs="Times New Roman"/>
          <w:sz w:val="20"/>
          <w:szCs w:val="20"/>
        </w:rPr>
      </w:pPr>
    </w:p>
    <w:p w:rsidR="00B124FF" w:rsidRPr="00BC15CF" w:rsidRDefault="00B124FF" w:rsidP="00B124FF">
      <w:pPr>
        <w:rPr>
          <w:b/>
          <w:sz w:val="20"/>
          <w:szCs w:val="20"/>
          <w:lang w:val="en-US"/>
        </w:rPr>
      </w:pPr>
      <w:r>
        <w:rPr>
          <w:b/>
          <w:sz w:val="20"/>
          <w:szCs w:val="20"/>
          <w:lang w:val="en-US"/>
        </w:rPr>
        <w:t xml:space="preserve">FEBRUARY </w:t>
      </w:r>
      <w:r w:rsidRPr="00BC15CF">
        <w:rPr>
          <w:b/>
          <w:sz w:val="20"/>
          <w:szCs w:val="20"/>
          <w:lang w:val="en-US"/>
        </w:rPr>
        <w:t>1, 2019 / LE 1</w:t>
      </w:r>
      <w:r w:rsidR="000166FF" w:rsidRPr="000166FF">
        <w:rPr>
          <w:b/>
          <w:sz w:val="20"/>
          <w:szCs w:val="20"/>
          <w:vertAlign w:val="superscript"/>
          <w:lang w:val="en-US"/>
        </w:rPr>
        <w:t>er</w:t>
      </w:r>
      <w:r w:rsidR="000166FF">
        <w:rPr>
          <w:b/>
          <w:sz w:val="20"/>
          <w:szCs w:val="20"/>
          <w:lang w:val="en-US"/>
        </w:rPr>
        <w:t xml:space="preserve"> </w:t>
      </w:r>
      <w:r>
        <w:rPr>
          <w:b/>
          <w:sz w:val="20"/>
          <w:szCs w:val="20"/>
          <w:lang w:val="en-US"/>
        </w:rPr>
        <w:t>F</w:t>
      </w:r>
      <w:r w:rsidRPr="00BC15CF">
        <w:rPr>
          <w:b/>
          <w:sz w:val="20"/>
          <w:szCs w:val="20"/>
          <w:lang w:val="en-US"/>
        </w:rPr>
        <w:t>ÉVRIER 2019</w:t>
      </w:r>
    </w:p>
    <w:p w:rsidR="00B124FF" w:rsidRPr="00956081" w:rsidRDefault="00B124FF" w:rsidP="00B124FF">
      <w:pPr>
        <w:rPr>
          <w:sz w:val="20"/>
          <w:szCs w:val="20"/>
          <w:highlight w:val="yellow"/>
          <w:lang w:val="en-US"/>
        </w:rPr>
      </w:pPr>
    </w:p>
    <w:p w:rsidR="00B124FF" w:rsidRPr="000166FF" w:rsidRDefault="00B124FF" w:rsidP="00B124FF">
      <w:pPr>
        <w:ind w:left="1440" w:hanging="1440"/>
        <w:jc w:val="both"/>
        <w:rPr>
          <w:sz w:val="20"/>
          <w:szCs w:val="20"/>
          <w:highlight w:val="yellow"/>
        </w:rPr>
      </w:pPr>
      <w:r w:rsidRPr="000166FF">
        <w:rPr>
          <w:b/>
          <w:bCs/>
          <w:sz w:val="20"/>
          <w:szCs w:val="20"/>
        </w:rPr>
        <w:t>37707</w:t>
      </w:r>
      <w:r w:rsidRPr="000166FF">
        <w:rPr>
          <w:sz w:val="20"/>
          <w:szCs w:val="20"/>
        </w:rPr>
        <w:t xml:space="preserve">                   </w:t>
      </w:r>
      <w:r w:rsidRPr="000166FF">
        <w:rPr>
          <w:b/>
          <w:bCs/>
          <w:sz w:val="20"/>
          <w:szCs w:val="20"/>
        </w:rPr>
        <w:t xml:space="preserve">Her Majesty the Queen v. Paul Trevor Calnen </w:t>
      </w:r>
      <w:r w:rsidRPr="000166FF">
        <w:rPr>
          <w:sz w:val="20"/>
          <w:szCs w:val="20"/>
        </w:rPr>
        <w:t>(N.S.)</w:t>
      </w:r>
    </w:p>
    <w:p w:rsidR="00B124FF" w:rsidRDefault="00B124FF" w:rsidP="00B124FF">
      <w:pPr>
        <w:ind w:left="1440"/>
        <w:jc w:val="both"/>
        <w:rPr>
          <w:sz w:val="20"/>
          <w:szCs w:val="20"/>
        </w:rPr>
      </w:pPr>
      <w:r w:rsidRPr="00BC15CF">
        <w:rPr>
          <w:b/>
          <w:bCs/>
          <w:sz w:val="20"/>
          <w:szCs w:val="20"/>
        </w:rPr>
        <w:t>2019 SCC 6 / 2019 CSC 6</w:t>
      </w:r>
    </w:p>
    <w:p w:rsidR="00B124FF" w:rsidRPr="00BC15CF" w:rsidRDefault="00B124FF" w:rsidP="00B124FF">
      <w:pPr>
        <w:jc w:val="both"/>
        <w:rPr>
          <w:rFonts w:eastAsia="Times New Roman" w:cs="Times New Roman"/>
          <w:color w:val="000000"/>
          <w:sz w:val="27"/>
          <w:szCs w:val="27"/>
          <w:lang w:val="en-US"/>
        </w:rPr>
      </w:pPr>
      <w:r w:rsidRPr="00BC15CF">
        <w:rPr>
          <w:rFonts w:eastAsia="Times New Roman" w:cs="Times New Roman"/>
          <w:color w:val="000000"/>
          <w:sz w:val="20"/>
          <w:szCs w:val="20"/>
          <w:lang w:val="en-US"/>
        </w:rPr>
        <w:t> </w:t>
      </w:r>
    </w:p>
    <w:p w:rsidR="00B124FF" w:rsidRDefault="00B124FF" w:rsidP="00B124FF">
      <w:pPr>
        <w:ind w:left="1440" w:hanging="1440"/>
        <w:rPr>
          <w:sz w:val="20"/>
          <w:szCs w:val="20"/>
          <w:lang w:val="en-US"/>
        </w:rPr>
      </w:pPr>
      <w:r w:rsidRPr="00BC15CF">
        <w:rPr>
          <w:rFonts w:eastAsia="Times New Roman" w:cs="Times New Roman"/>
          <w:color w:val="000000"/>
          <w:sz w:val="20"/>
          <w:szCs w:val="20"/>
          <w:lang w:val="en-US"/>
        </w:rPr>
        <w:t>Coram:                 </w:t>
      </w:r>
      <w:r w:rsidRPr="00BC15CF">
        <w:rPr>
          <w:sz w:val="20"/>
          <w:szCs w:val="20"/>
        </w:rPr>
        <w:t>Moldaver, Karakatsanis, Gascon, Rowe and Martin JJ.</w:t>
      </w:r>
    </w:p>
    <w:p w:rsidR="00B124FF" w:rsidRPr="00BC15CF" w:rsidRDefault="00B124FF" w:rsidP="00B124FF">
      <w:pPr>
        <w:ind w:left="1440" w:hanging="1440"/>
        <w:rPr>
          <w:rFonts w:eastAsia="Times New Roman" w:cs="Times New Roman"/>
          <w:color w:val="000000"/>
          <w:sz w:val="27"/>
          <w:szCs w:val="27"/>
          <w:lang w:val="en-US"/>
        </w:rPr>
      </w:pPr>
      <w:r w:rsidRPr="00BC15CF">
        <w:rPr>
          <w:rFonts w:eastAsia="Times New Roman" w:cs="Times New Roman"/>
          <w:color w:val="000000"/>
          <w:sz w:val="20"/>
          <w:szCs w:val="20"/>
          <w:lang w:val="en-US"/>
        </w:rPr>
        <w:t> </w:t>
      </w:r>
    </w:p>
    <w:p w:rsidR="00B124FF" w:rsidRPr="00BC15CF" w:rsidRDefault="00B124FF" w:rsidP="00B124FF">
      <w:pPr>
        <w:jc w:val="both"/>
        <w:rPr>
          <w:sz w:val="20"/>
          <w:szCs w:val="20"/>
        </w:rPr>
      </w:pPr>
      <w:r w:rsidRPr="00BC15CF">
        <w:rPr>
          <w:sz w:val="20"/>
          <w:szCs w:val="20"/>
        </w:rPr>
        <w:t>The appeal from the judgment of the Nova Scotia Court of Appeal, Number CAC 448011, 2017 NSCA 49, dated June 14, 2017, heard on February 12, 2018, is allowed. The conviction for second degree murder is restored. Martin J. dissents in part and Karakatsanis J. dissents.</w:t>
      </w:r>
    </w:p>
    <w:p w:rsidR="00B124FF" w:rsidRPr="00BC15CF" w:rsidRDefault="00B124FF" w:rsidP="00B124FF">
      <w:pPr>
        <w:tabs>
          <w:tab w:val="left" w:pos="1440"/>
        </w:tabs>
        <w:jc w:val="both"/>
        <w:rPr>
          <w:rFonts w:eastAsia="Times New Roman" w:cs="Times New Roman"/>
          <w:color w:val="000000"/>
          <w:sz w:val="27"/>
          <w:szCs w:val="27"/>
          <w:lang w:val="en-US"/>
        </w:rPr>
      </w:pPr>
      <w:r w:rsidRPr="00BC15CF">
        <w:rPr>
          <w:rFonts w:eastAsia="Times New Roman" w:cs="Times New Roman"/>
          <w:color w:val="000000"/>
          <w:sz w:val="20"/>
          <w:szCs w:val="20"/>
          <w:lang w:val="en-US"/>
        </w:rPr>
        <w:t> </w:t>
      </w:r>
      <w:r w:rsidRPr="00BC15CF">
        <w:rPr>
          <w:rFonts w:eastAsia="Times New Roman" w:cs="Times New Roman"/>
          <w:color w:val="000000"/>
          <w:sz w:val="20"/>
          <w:szCs w:val="20"/>
          <w:lang w:val="en-US"/>
        </w:rPr>
        <w:tab/>
      </w:r>
    </w:p>
    <w:p w:rsidR="00B124FF" w:rsidRDefault="00B124FF" w:rsidP="00B124FF">
      <w:pPr>
        <w:rPr>
          <w:rFonts w:eastAsia="Times New Roman" w:cs="Times New Roman"/>
          <w:color w:val="000000"/>
          <w:sz w:val="20"/>
          <w:szCs w:val="20"/>
          <w:lang w:val="fr-CA"/>
        </w:rPr>
      </w:pPr>
      <w:r w:rsidRPr="00BC15CF">
        <w:rPr>
          <w:rFonts w:eastAsia="Times New Roman" w:cs="Times New Roman"/>
          <w:color w:val="000000"/>
          <w:sz w:val="20"/>
          <w:szCs w:val="20"/>
          <w:lang w:val="fr-CA"/>
        </w:rPr>
        <w:t>L’appel interjeté contre l’arrêt de la Cour d’appel de la Nouvelle-Écosse, numéro CAC 448011, 2017 NSCA 49, daté du 14 juin 2017, entendu le 12 février 2018, est accueilli. La déclaration de culpabilité de meurtre au deuxième degré est rétablie. La juge Martin est dissidente en partie et la juge Karakatsanis est dissidente.</w:t>
      </w:r>
    </w:p>
    <w:p w:rsidR="00B124FF" w:rsidRPr="00BC15CF" w:rsidRDefault="00B124FF" w:rsidP="00B124FF">
      <w:pPr>
        <w:rPr>
          <w:sz w:val="20"/>
          <w:szCs w:val="20"/>
          <w:lang w:val="fr-CA"/>
        </w:rPr>
      </w:pPr>
    </w:p>
    <w:p w:rsidR="00B124FF" w:rsidRDefault="00A24D5C" w:rsidP="00B124FF">
      <w:pPr>
        <w:rPr>
          <w:sz w:val="20"/>
          <w:szCs w:val="20"/>
          <w:lang w:val="fr-CA"/>
        </w:rPr>
      </w:pPr>
      <w:hyperlink r:id="rId145" w:history="1">
        <w:r w:rsidR="00B124FF" w:rsidRPr="007E4287">
          <w:rPr>
            <w:rStyle w:val="Hyperlink"/>
            <w:sz w:val="20"/>
            <w:szCs w:val="20"/>
            <w:lang w:val="fr-CA"/>
          </w:rPr>
          <w:t>LINK TO REASONS</w:t>
        </w:r>
      </w:hyperlink>
      <w:r w:rsidR="00B124FF" w:rsidRPr="007E4287">
        <w:rPr>
          <w:sz w:val="20"/>
          <w:szCs w:val="20"/>
          <w:lang w:val="fr-CA"/>
        </w:rPr>
        <w:t xml:space="preserve"> / </w:t>
      </w:r>
      <w:hyperlink r:id="rId146" w:history="1">
        <w:r w:rsidR="00B124FF" w:rsidRPr="007E4287">
          <w:rPr>
            <w:rStyle w:val="Hyperlink"/>
            <w:sz w:val="20"/>
            <w:szCs w:val="20"/>
            <w:lang w:val="fr-CA"/>
          </w:rPr>
          <w:t>LIEN VERS LES MOTIFS</w:t>
        </w:r>
      </w:hyperlink>
    </w:p>
    <w:p w:rsidR="00B124FF" w:rsidRPr="00BC15CF" w:rsidRDefault="00B124FF" w:rsidP="00B124FF">
      <w:pPr>
        <w:jc w:val="both"/>
        <w:rPr>
          <w:rFonts w:cs="Times New Roman"/>
          <w:sz w:val="20"/>
          <w:szCs w:val="20"/>
          <w:lang w:val="fr-CA"/>
        </w:rPr>
      </w:pPr>
    </w:p>
    <w:p w:rsidR="00B124FF" w:rsidRPr="006C5F7A" w:rsidRDefault="00A24D5C" w:rsidP="00B124FF">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r>
        <w:rPr>
          <w:b/>
          <w:sz w:val="20"/>
          <w:szCs w:val="20"/>
        </w:rPr>
        <w:pict>
          <v:rect id="_x0000_i1077" style="width:144.3pt;height:1pt" o:hrpct="300" o:hralign="center" o:hrstd="t" o:hrnoshade="t" o:hr="t" fillcolor="black [3213]" stroked="f"/>
        </w:pict>
      </w:r>
    </w:p>
    <w:p w:rsidR="00B124FF" w:rsidRPr="00BC15CF" w:rsidRDefault="00B124FF" w:rsidP="00B124FF">
      <w:pPr>
        <w:jc w:val="both"/>
        <w:rPr>
          <w:sz w:val="20"/>
          <w:szCs w:val="20"/>
          <w:lang w:val="fr-CA"/>
        </w:rPr>
      </w:pPr>
    </w:p>
    <w:p w:rsidR="00D004FC" w:rsidRPr="006C5F7A" w:rsidRDefault="00D004FC"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p>
    <w:p w:rsidR="0056248C" w:rsidRPr="00091BA6" w:rsidRDefault="0056248C" w:rsidP="00091BA6">
      <w:pPr>
        <w:rPr>
          <w:lang w:val="fr-CA"/>
        </w:rPr>
      </w:pPr>
    </w:p>
    <w:p w:rsidR="00102926" w:rsidRPr="009E2C1C" w:rsidRDefault="00102926" w:rsidP="00782AE4">
      <w:pPr>
        <w:jc w:val="both"/>
        <w:rPr>
          <w:sz w:val="20"/>
          <w:szCs w:val="20"/>
          <w:lang w:val="fr-CA"/>
        </w:rPr>
        <w:sectPr w:rsidR="00102926" w:rsidRPr="009E2C1C" w:rsidSect="00782AE4">
          <w:headerReference w:type="even" r:id="rId147"/>
          <w:headerReference w:type="default" r:id="rId148"/>
          <w:footerReference w:type="even" r:id="rId149"/>
          <w:footerReference w:type="default" r:id="rId150"/>
          <w:headerReference w:type="first" r:id="rId151"/>
          <w:footerReference w:type="first" r:id="rId152"/>
          <w:pgSz w:w="12240" w:h="15840"/>
          <w:pgMar w:top="720" w:right="965" w:bottom="1080" w:left="1656" w:header="576" w:footer="960" w:gutter="0"/>
          <w:cols w:space="720"/>
          <w:titlePg/>
          <w:docGrid w:linePitch="272"/>
        </w:sectPr>
      </w:pPr>
    </w:p>
    <w:p w:rsidR="00567602" w:rsidRPr="00C50A5C" w:rsidRDefault="001434B9" w:rsidP="001434B9">
      <w:pPr>
        <w:pStyle w:val="Header1StyleE"/>
        <w:pBdr>
          <w:bottom w:val="single" w:sz="12" w:space="0" w:color="auto"/>
        </w:pBdr>
        <w:rPr>
          <w:lang w:val="fr-CA"/>
        </w:rPr>
      </w:pPr>
      <w:bookmarkStart w:id="13" w:name="_Toc532985701"/>
      <w:r w:rsidRPr="00567602">
        <w:rPr>
          <w:lang w:val="fr-CA"/>
        </w:rPr>
        <w:lastRenderedPageBreak/>
        <w:t xml:space="preserve">Agenda and case summaries for </w:t>
      </w:r>
      <w:r w:rsidR="00765B14">
        <w:rPr>
          <w:lang w:val="fr-CA"/>
        </w:rPr>
        <w:t>February</w:t>
      </w:r>
      <w:r w:rsidR="00567602" w:rsidRPr="00567602">
        <w:rPr>
          <w:lang w:val="fr-CA"/>
        </w:rPr>
        <w:t xml:space="preserve"> </w:t>
      </w:r>
      <w:r w:rsidR="0034657E">
        <w:rPr>
          <w:lang w:val="fr-CA"/>
        </w:rPr>
        <w:t>2019</w:t>
      </w:r>
      <w:r w:rsidR="00271E1E">
        <w:rPr>
          <w:lang w:val="fr-CA"/>
        </w:rPr>
        <w:t xml:space="preserve"> / </w:t>
      </w:r>
      <w:r w:rsidR="00567602" w:rsidRPr="00567602">
        <w:rPr>
          <w:lang w:val="fr-CA"/>
        </w:rPr>
        <w:br/>
      </w:r>
      <w:r>
        <w:rPr>
          <w:lang w:val="fr-CA"/>
        </w:rPr>
        <w:t>C</w:t>
      </w:r>
      <w:r w:rsidRPr="00C50A5C">
        <w:rPr>
          <w:lang w:val="fr-CA"/>
        </w:rPr>
        <w:t xml:space="preserve">alendrier </w:t>
      </w:r>
      <w:r>
        <w:rPr>
          <w:lang w:val="fr-CA"/>
        </w:rPr>
        <w:t xml:space="preserve">et sommaires des causes </w:t>
      </w:r>
      <w:r w:rsidR="00765B14">
        <w:rPr>
          <w:lang w:val="fr-CA"/>
        </w:rPr>
        <w:t xml:space="preserve">de février </w:t>
      </w:r>
      <w:r w:rsidR="0034657E">
        <w:rPr>
          <w:lang w:val="fr-CA"/>
        </w:rPr>
        <w:t>2019</w:t>
      </w:r>
      <w:bookmarkEnd w:id="13"/>
    </w:p>
    <w:p w:rsidR="00567602" w:rsidRPr="00567602" w:rsidRDefault="00567602" w:rsidP="004B66B4">
      <w:pPr>
        <w:rPr>
          <w:b/>
          <w:sz w:val="20"/>
          <w:szCs w:val="20"/>
          <w:lang w:val="fr-CA"/>
        </w:rPr>
      </w:pPr>
    </w:p>
    <w:p w:rsidR="00B124FF" w:rsidRPr="00102792" w:rsidRDefault="00B124FF" w:rsidP="00B124FF">
      <w:pPr>
        <w:jc w:val="both"/>
        <w:rPr>
          <w:b/>
          <w:sz w:val="20"/>
          <w:szCs w:val="20"/>
          <w:lang w:val="fr-CA"/>
        </w:rPr>
      </w:pPr>
      <w:r>
        <w:rPr>
          <w:b/>
          <w:sz w:val="20"/>
          <w:szCs w:val="20"/>
          <w:lang w:val="fr-CA"/>
        </w:rPr>
        <w:t>FEBRUARY 4, 2019 / LE 4 FÉVRIER 2019</w:t>
      </w:r>
    </w:p>
    <w:p w:rsidR="00B124FF" w:rsidRDefault="00B124FF" w:rsidP="00B124FF">
      <w:pPr>
        <w:tabs>
          <w:tab w:val="center" w:pos="5220"/>
          <w:tab w:val="right" w:pos="10800"/>
        </w:tabs>
        <w:rPr>
          <w:rFonts w:ascii="Arial" w:hAnsi="Arial" w:cs="Arial"/>
          <w:sz w:val="20"/>
          <w:lang w:val="fr-FR"/>
        </w:rPr>
      </w:pPr>
    </w:p>
    <w:tbl>
      <w:tblPr>
        <w:tblStyle w:val="TableGrid3"/>
        <w:tblW w:w="9576" w:type="dxa"/>
        <w:tblBorders>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2398"/>
        <w:gridCol w:w="7178"/>
      </w:tblGrid>
      <w:tr w:rsidR="00B124FF" w:rsidRPr="00CC0B55" w:rsidTr="005F32B8">
        <w:trPr>
          <w:cantSplit/>
        </w:trPr>
        <w:tc>
          <w:tcPr>
            <w:tcW w:w="2398" w:type="dxa"/>
          </w:tcPr>
          <w:p w:rsidR="00B124FF" w:rsidRPr="00E825BB" w:rsidRDefault="00B124FF" w:rsidP="005F32B8">
            <w:pPr>
              <w:rPr>
                <w:rFonts w:eastAsia="Times New Roman"/>
                <w:sz w:val="20"/>
                <w:szCs w:val="20"/>
                <w:lang w:val="en-US"/>
              </w:rPr>
            </w:pPr>
            <w:r w:rsidRPr="00E825BB">
              <w:rPr>
                <w:rFonts w:eastAsia="Times New Roman"/>
                <w:sz w:val="20"/>
                <w:szCs w:val="20"/>
                <w:lang w:val="en-US"/>
              </w:rPr>
              <w:t>DATE OF HEARING /</w:t>
            </w:r>
          </w:p>
          <w:p w:rsidR="00B124FF" w:rsidRPr="00E825BB" w:rsidRDefault="00B124FF" w:rsidP="005F32B8">
            <w:pPr>
              <w:rPr>
                <w:rFonts w:eastAsia="Times New Roman"/>
                <w:sz w:val="20"/>
                <w:szCs w:val="20"/>
                <w:lang w:val="en-US"/>
              </w:rPr>
            </w:pPr>
            <w:r w:rsidRPr="00E825BB">
              <w:rPr>
                <w:rFonts w:eastAsia="Times New Roman"/>
                <w:sz w:val="20"/>
                <w:szCs w:val="20"/>
                <w:lang w:val="en-US"/>
              </w:rPr>
              <w:t>DATE D’AUDITION</w:t>
            </w:r>
          </w:p>
        </w:tc>
        <w:tc>
          <w:tcPr>
            <w:tcW w:w="7178" w:type="dxa"/>
          </w:tcPr>
          <w:p w:rsidR="00B124FF" w:rsidRPr="00E825BB" w:rsidRDefault="00B124FF" w:rsidP="005F32B8">
            <w:pPr>
              <w:rPr>
                <w:rFonts w:eastAsia="Times New Roman"/>
                <w:sz w:val="20"/>
                <w:szCs w:val="20"/>
                <w:lang w:val="fr-CA"/>
              </w:rPr>
            </w:pPr>
            <w:r w:rsidRPr="00E825BB">
              <w:rPr>
                <w:rFonts w:eastAsia="Times New Roman"/>
                <w:sz w:val="20"/>
                <w:szCs w:val="20"/>
                <w:lang w:val="fr-CA"/>
              </w:rPr>
              <w:t>NAME AND CASE NUMBER /</w:t>
            </w:r>
          </w:p>
          <w:p w:rsidR="00B124FF" w:rsidRPr="00E825BB" w:rsidRDefault="00B124FF" w:rsidP="005F32B8">
            <w:pPr>
              <w:rPr>
                <w:rFonts w:eastAsia="Times New Roman"/>
                <w:sz w:val="20"/>
                <w:szCs w:val="20"/>
                <w:lang w:val="fr-CA"/>
              </w:rPr>
            </w:pPr>
            <w:r w:rsidRPr="00E825BB">
              <w:rPr>
                <w:rFonts w:eastAsia="Times New Roman"/>
                <w:sz w:val="20"/>
                <w:szCs w:val="20"/>
                <w:lang w:val="fr-CA"/>
              </w:rPr>
              <w:t>NOM DE LA CAUSE ET NUMÉRO</w:t>
            </w:r>
          </w:p>
        </w:tc>
      </w:tr>
      <w:tr w:rsidR="00B124FF" w:rsidRPr="00E825BB" w:rsidTr="005F32B8">
        <w:trPr>
          <w:cantSplit/>
        </w:trPr>
        <w:tc>
          <w:tcPr>
            <w:tcW w:w="2398" w:type="dxa"/>
          </w:tcPr>
          <w:p w:rsidR="00B124FF" w:rsidRPr="00E825BB" w:rsidRDefault="00B124FF" w:rsidP="005F32B8">
            <w:pPr>
              <w:rPr>
                <w:rFonts w:eastAsia="Times New Roman"/>
                <w:sz w:val="20"/>
                <w:szCs w:val="20"/>
                <w:lang w:val="en-US"/>
              </w:rPr>
            </w:pPr>
            <w:r w:rsidRPr="00E825BB">
              <w:rPr>
                <w:rFonts w:eastAsia="Times New Roman"/>
                <w:sz w:val="20"/>
                <w:szCs w:val="20"/>
                <w:lang w:val="en-US"/>
              </w:rPr>
              <w:t>2019-02-12</w:t>
            </w:r>
          </w:p>
        </w:tc>
        <w:tc>
          <w:tcPr>
            <w:tcW w:w="7178" w:type="dxa"/>
          </w:tcPr>
          <w:p w:rsidR="00B124FF" w:rsidRPr="00E825BB" w:rsidRDefault="00B124FF" w:rsidP="005F32B8">
            <w:pPr>
              <w:rPr>
                <w:rFonts w:eastAsia="Times New Roman"/>
                <w:sz w:val="20"/>
                <w:szCs w:val="20"/>
                <w:lang w:val="en-US"/>
              </w:rPr>
            </w:pPr>
            <w:r w:rsidRPr="00E825BB">
              <w:rPr>
                <w:rFonts w:eastAsia="Times New Roman"/>
                <w:i/>
                <w:sz w:val="20"/>
                <w:szCs w:val="20"/>
                <w:lang w:val="en-US"/>
              </w:rPr>
              <w:t>Her Majesty the Queen v. C.J.</w:t>
            </w:r>
            <w:r w:rsidRPr="00E825BB">
              <w:rPr>
                <w:rFonts w:eastAsia="Times New Roman"/>
                <w:sz w:val="20"/>
                <w:szCs w:val="20"/>
                <w:lang w:val="en-US"/>
              </w:rPr>
              <w:t xml:space="preserve"> (Man.) (Criminal) (As of Right) (</w:t>
            </w:r>
            <w:hyperlink r:id="rId153" w:history="1">
              <w:r w:rsidRPr="00E825BB">
                <w:rPr>
                  <w:rFonts w:eastAsia="Times New Roman"/>
                  <w:color w:val="0000FF"/>
                  <w:sz w:val="20"/>
                  <w:szCs w:val="20"/>
                  <w:u w:val="single"/>
                  <w:lang w:val="en-US"/>
                </w:rPr>
                <w:t>38220</w:t>
              </w:r>
            </w:hyperlink>
            <w:r w:rsidRPr="00E825BB">
              <w:rPr>
                <w:rFonts w:eastAsia="Times New Roman"/>
                <w:sz w:val="20"/>
                <w:szCs w:val="20"/>
                <w:lang w:val="en-US"/>
              </w:rPr>
              <w:t>)</w:t>
            </w:r>
          </w:p>
        </w:tc>
      </w:tr>
      <w:tr w:rsidR="00B124FF" w:rsidRPr="00CC0B55" w:rsidTr="005F32B8">
        <w:trPr>
          <w:cantSplit/>
        </w:trPr>
        <w:tc>
          <w:tcPr>
            <w:tcW w:w="2398" w:type="dxa"/>
          </w:tcPr>
          <w:p w:rsidR="00B124FF" w:rsidRPr="00E825BB" w:rsidRDefault="00B124FF" w:rsidP="005F32B8">
            <w:pPr>
              <w:rPr>
                <w:rFonts w:eastAsia="Times New Roman"/>
                <w:sz w:val="20"/>
                <w:szCs w:val="20"/>
                <w:lang w:val="en-US"/>
              </w:rPr>
            </w:pPr>
            <w:r w:rsidRPr="00E825BB">
              <w:rPr>
                <w:rFonts w:eastAsia="Times New Roman"/>
                <w:sz w:val="20"/>
                <w:szCs w:val="20"/>
                <w:lang w:val="en-US"/>
              </w:rPr>
              <w:t>2019-02-13</w:t>
            </w:r>
          </w:p>
        </w:tc>
        <w:tc>
          <w:tcPr>
            <w:tcW w:w="7178" w:type="dxa"/>
          </w:tcPr>
          <w:p w:rsidR="00B124FF" w:rsidRPr="00E825BB" w:rsidRDefault="00B124FF" w:rsidP="005F32B8">
            <w:pPr>
              <w:rPr>
                <w:rFonts w:eastAsia="Times New Roman"/>
                <w:sz w:val="20"/>
                <w:szCs w:val="20"/>
                <w:lang w:val="fr-CA"/>
              </w:rPr>
            </w:pPr>
            <w:r w:rsidRPr="00E825BB">
              <w:rPr>
                <w:rFonts w:eastAsia="Times New Roman"/>
                <w:i/>
                <w:sz w:val="20"/>
                <w:szCs w:val="20"/>
                <w:lang w:val="fr-CA"/>
              </w:rPr>
              <w:t>Kathleen Blanchard c. Sa Majesté la Reine</w:t>
            </w:r>
            <w:r w:rsidRPr="00E825BB">
              <w:rPr>
                <w:rFonts w:eastAsia="Times New Roman"/>
                <w:sz w:val="20"/>
                <w:szCs w:val="20"/>
                <w:lang w:val="fr-CA"/>
              </w:rPr>
              <w:t xml:space="preserve"> (Qc) (Criminelle) (De plein droit) (</w:t>
            </w:r>
            <w:hyperlink r:id="rId154" w:history="1">
              <w:r w:rsidRPr="00E825BB">
                <w:rPr>
                  <w:rFonts w:eastAsia="Times New Roman"/>
                  <w:color w:val="0000FF"/>
                  <w:sz w:val="20"/>
                  <w:szCs w:val="20"/>
                  <w:u w:val="single"/>
                  <w:lang w:val="fr-CA"/>
                </w:rPr>
                <w:t>38258</w:t>
              </w:r>
            </w:hyperlink>
            <w:r w:rsidRPr="00E825BB">
              <w:rPr>
                <w:rFonts w:eastAsia="Times New Roman"/>
                <w:sz w:val="20"/>
                <w:szCs w:val="20"/>
                <w:lang w:val="fr-CA"/>
              </w:rPr>
              <w:t>)</w:t>
            </w:r>
          </w:p>
        </w:tc>
      </w:tr>
      <w:tr w:rsidR="00B124FF" w:rsidRPr="00E825BB" w:rsidTr="005F32B8">
        <w:trPr>
          <w:cantSplit/>
        </w:trPr>
        <w:tc>
          <w:tcPr>
            <w:tcW w:w="2398" w:type="dxa"/>
          </w:tcPr>
          <w:p w:rsidR="00B124FF" w:rsidRPr="00E825BB" w:rsidRDefault="00B124FF" w:rsidP="005F32B8">
            <w:pPr>
              <w:rPr>
                <w:rFonts w:eastAsia="Times New Roman"/>
                <w:sz w:val="20"/>
                <w:szCs w:val="20"/>
                <w:lang w:val="en-US"/>
              </w:rPr>
            </w:pPr>
            <w:r w:rsidRPr="00E825BB">
              <w:rPr>
                <w:rFonts w:eastAsia="Times New Roman"/>
                <w:sz w:val="20"/>
                <w:szCs w:val="20"/>
                <w:lang w:val="en-US"/>
              </w:rPr>
              <w:t>2019-02-14</w:t>
            </w:r>
          </w:p>
        </w:tc>
        <w:tc>
          <w:tcPr>
            <w:tcW w:w="7178" w:type="dxa"/>
          </w:tcPr>
          <w:p w:rsidR="00B124FF" w:rsidRPr="00E825BB" w:rsidRDefault="00B124FF" w:rsidP="005F32B8">
            <w:pPr>
              <w:rPr>
                <w:rFonts w:eastAsia="Times New Roman"/>
                <w:sz w:val="20"/>
                <w:szCs w:val="20"/>
                <w:lang w:val="en-US"/>
              </w:rPr>
            </w:pPr>
            <w:r w:rsidRPr="00E825BB">
              <w:rPr>
                <w:rFonts w:eastAsia="Times New Roman"/>
                <w:i/>
                <w:sz w:val="20"/>
                <w:szCs w:val="20"/>
                <w:lang w:val="en-US"/>
              </w:rPr>
              <w:t>Nelson Silva Demedeiros v. Her Majesty the Queen</w:t>
            </w:r>
            <w:r w:rsidRPr="00E825BB">
              <w:rPr>
                <w:rFonts w:eastAsia="Times New Roman"/>
                <w:sz w:val="20"/>
                <w:szCs w:val="20"/>
                <w:lang w:val="en-US"/>
              </w:rPr>
              <w:t xml:space="preserve"> (Alta.) (Criminal) (As of Right) (</w:t>
            </w:r>
            <w:hyperlink r:id="rId155" w:history="1">
              <w:r w:rsidRPr="00E825BB">
                <w:rPr>
                  <w:rFonts w:eastAsia="Times New Roman"/>
                  <w:color w:val="0000FF"/>
                  <w:sz w:val="20"/>
                  <w:szCs w:val="20"/>
                  <w:u w:val="single"/>
                  <w:lang w:val="en-US"/>
                </w:rPr>
                <w:t>38269</w:t>
              </w:r>
            </w:hyperlink>
            <w:r w:rsidRPr="00E825BB">
              <w:rPr>
                <w:rFonts w:eastAsia="Times New Roman"/>
                <w:sz w:val="20"/>
                <w:szCs w:val="20"/>
                <w:lang w:val="en-US"/>
              </w:rPr>
              <w:t>)</w:t>
            </w:r>
          </w:p>
        </w:tc>
      </w:tr>
      <w:tr w:rsidR="00B124FF" w:rsidRPr="00E825BB" w:rsidTr="005F32B8">
        <w:trPr>
          <w:cantSplit/>
        </w:trPr>
        <w:tc>
          <w:tcPr>
            <w:tcW w:w="2398" w:type="dxa"/>
          </w:tcPr>
          <w:p w:rsidR="00B124FF" w:rsidRPr="00E825BB" w:rsidRDefault="00B124FF" w:rsidP="005F32B8">
            <w:pPr>
              <w:rPr>
                <w:rFonts w:eastAsia="Times New Roman"/>
                <w:sz w:val="20"/>
                <w:szCs w:val="20"/>
                <w:lang w:val="en-US"/>
              </w:rPr>
            </w:pPr>
            <w:r w:rsidRPr="00E825BB">
              <w:rPr>
                <w:rFonts w:eastAsia="Times New Roman"/>
                <w:sz w:val="20"/>
                <w:szCs w:val="20"/>
                <w:lang w:val="en-US"/>
              </w:rPr>
              <w:t>2019-02-15</w:t>
            </w:r>
          </w:p>
        </w:tc>
        <w:tc>
          <w:tcPr>
            <w:tcW w:w="7178" w:type="dxa"/>
          </w:tcPr>
          <w:p w:rsidR="00B124FF" w:rsidRPr="00E825BB" w:rsidRDefault="00B124FF" w:rsidP="005F32B8">
            <w:pPr>
              <w:rPr>
                <w:rFonts w:eastAsia="Times New Roman"/>
                <w:sz w:val="20"/>
                <w:szCs w:val="20"/>
                <w:lang w:val="en-US"/>
              </w:rPr>
            </w:pPr>
            <w:r w:rsidRPr="00E825BB">
              <w:rPr>
                <w:rFonts w:eastAsia="Times New Roman"/>
                <w:i/>
                <w:sz w:val="20"/>
                <w:szCs w:val="20"/>
                <w:lang w:val="en-US"/>
              </w:rPr>
              <w:t>Devante George-Nurse v. Her Majesty the Queen</w:t>
            </w:r>
            <w:r w:rsidRPr="00E825BB">
              <w:rPr>
                <w:rFonts w:eastAsia="Times New Roman"/>
                <w:sz w:val="20"/>
                <w:szCs w:val="20"/>
                <w:lang w:val="en-US"/>
              </w:rPr>
              <w:t xml:space="preserve"> (Ont.) (Criminal) (As of Right) (</w:t>
            </w:r>
            <w:hyperlink r:id="rId156" w:history="1">
              <w:r w:rsidRPr="00E825BB">
                <w:rPr>
                  <w:rFonts w:eastAsia="Times New Roman"/>
                  <w:color w:val="0000FF"/>
                  <w:sz w:val="20"/>
                  <w:szCs w:val="20"/>
                  <w:u w:val="single"/>
                  <w:lang w:val="en-US"/>
                </w:rPr>
                <w:t>38217</w:t>
              </w:r>
            </w:hyperlink>
            <w:r w:rsidRPr="00E825BB">
              <w:rPr>
                <w:rFonts w:eastAsia="Times New Roman"/>
                <w:sz w:val="20"/>
                <w:szCs w:val="20"/>
                <w:lang w:val="en-US"/>
              </w:rPr>
              <w:t>)</w:t>
            </w:r>
          </w:p>
        </w:tc>
      </w:tr>
      <w:tr w:rsidR="00B124FF" w:rsidRPr="00E825BB" w:rsidTr="005F32B8">
        <w:trPr>
          <w:cantSplit/>
        </w:trPr>
        <w:tc>
          <w:tcPr>
            <w:tcW w:w="2398" w:type="dxa"/>
          </w:tcPr>
          <w:p w:rsidR="00B124FF" w:rsidRPr="00E825BB" w:rsidRDefault="00B124FF" w:rsidP="005F32B8">
            <w:pPr>
              <w:rPr>
                <w:rFonts w:eastAsia="Times New Roman"/>
                <w:sz w:val="20"/>
                <w:szCs w:val="20"/>
                <w:lang w:val="en-US"/>
              </w:rPr>
            </w:pPr>
            <w:r w:rsidRPr="00E825BB">
              <w:rPr>
                <w:rFonts w:eastAsia="Times New Roman"/>
                <w:sz w:val="20"/>
                <w:szCs w:val="20"/>
                <w:lang w:val="en-US"/>
              </w:rPr>
              <w:t>2019-02-19</w:t>
            </w:r>
          </w:p>
        </w:tc>
        <w:tc>
          <w:tcPr>
            <w:tcW w:w="7178" w:type="dxa"/>
          </w:tcPr>
          <w:p w:rsidR="00B124FF" w:rsidRPr="00E825BB" w:rsidRDefault="00B124FF" w:rsidP="005F32B8">
            <w:pPr>
              <w:rPr>
                <w:rFonts w:eastAsia="Times New Roman"/>
                <w:sz w:val="20"/>
                <w:szCs w:val="20"/>
                <w:lang w:val="en-US"/>
              </w:rPr>
            </w:pPr>
            <w:r w:rsidRPr="00E825BB">
              <w:rPr>
                <w:rFonts w:eastAsia="Times New Roman"/>
                <w:i/>
                <w:sz w:val="20"/>
                <w:szCs w:val="20"/>
                <w:lang w:val="en-US"/>
              </w:rPr>
              <w:t>K.J.M. v. Her Majesty the Queen</w:t>
            </w:r>
            <w:r w:rsidRPr="00E825BB">
              <w:rPr>
                <w:rFonts w:eastAsia="Times New Roman"/>
                <w:sz w:val="20"/>
                <w:szCs w:val="20"/>
                <w:lang w:val="en-US"/>
              </w:rPr>
              <w:t xml:space="preserve"> (Alta.) (Criminal) (As of Right) (</w:t>
            </w:r>
            <w:hyperlink r:id="rId157" w:history="1">
              <w:r w:rsidRPr="00E825BB">
                <w:rPr>
                  <w:rFonts w:eastAsia="Times New Roman"/>
                  <w:color w:val="0000FF"/>
                  <w:sz w:val="20"/>
                  <w:szCs w:val="20"/>
                  <w:u w:val="single"/>
                  <w:lang w:val="en-US"/>
                </w:rPr>
                <w:t>38292</w:t>
              </w:r>
            </w:hyperlink>
            <w:r w:rsidRPr="00E825BB">
              <w:rPr>
                <w:rFonts w:eastAsia="Times New Roman"/>
                <w:sz w:val="20"/>
                <w:szCs w:val="20"/>
                <w:lang w:val="en-US"/>
              </w:rPr>
              <w:t>)</w:t>
            </w:r>
          </w:p>
        </w:tc>
      </w:tr>
      <w:tr w:rsidR="00B124FF" w:rsidRPr="00E825BB" w:rsidTr="005F32B8">
        <w:trPr>
          <w:cantSplit/>
        </w:trPr>
        <w:tc>
          <w:tcPr>
            <w:tcW w:w="2398" w:type="dxa"/>
          </w:tcPr>
          <w:p w:rsidR="00B124FF" w:rsidRPr="00E825BB" w:rsidRDefault="00B124FF" w:rsidP="005F32B8">
            <w:pPr>
              <w:rPr>
                <w:rFonts w:eastAsia="Times New Roman"/>
                <w:sz w:val="20"/>
                <w:szCs w:val="20"/>
                <w:lang w:val="en-US"/>
              </w:rPr>
            </w:pPr>
            <w:r w:rsidRPr="00E825BB">
              <w:rPr>
                <w:rFonts w:eastAsia="Times New Roman"/>
                <w:sz w:val="20"/>
                <w:szCs w:val="20"/>
                <w:lang w:val="en-US"/>
              </w:rPr>
              <w:t>2019-02-20</w:t>
            </w:r>
          </w:p>
        </w:tc>
        <w:tc>
          <w:tcPr>
            <w:tcW w:w="7178" w:type="dxa"/>
          </w:tcPr>
          <w:p w:rsidR="00B124FF" w:rsidRPr="00E825BB" w:rsidRDefault="00B124FF" w:rsidP="005F32B8">
            <w:pPr>
              <w:rPr>
                <w:rFonts w:eastAsia="Times New Roman"/>
                <w:sz w:val="20"/>
                <w:szCs w:val="20"/>
                <w:lang w:val="en-US"/>
              </w:rPr>
            </w:pPr>
            <w:r w:rsidRPr="00E825BB">
              <w:rPr>
                <w:rFonts w:eastAsia="Times New Roman"/>
                <w:i/>
                <w:sz w:val="20"/>
                <w:szCs w:val="20"/>
                <w:lang w:val="fr-CA"/>
              </w:rPr>
              <w:t>Ville de Montréal c. Octane Stratégie inc.</w:t>
            </w:r>
            <w:r w:rsidRPr="00E825BB">
              <w:rPr>
                <w:rFonts w:eastAsia="Times New Roman"/>
                <w:sz w:val="20"/>
                <w:szCs w:val="20"/>
                <w:lang w:val="fr-CA"/>
              </w:rPr>
              <w:t xml:space="preserve"> </w:t>
            </w:r>
            <w:r w:rsidRPr="00E825BB">
              <w:rPr>
                <w:rFonts w:eastAsia="Times New Roman"/>
                <w:sz w:val="20"/>
                <w:szCs w:val="20"/>
                <w:lang w:val="en-US"/>
              </w:rPr>
              <w:t>(Qc) (Civile) (Autorisation) (</w:t>
            </w:r>
            <w:hyperlink r:id="rId158" w:history="1">
              <w:r w:rsidRPr="00E825BB">
                <w:rPr>
                  <w:rFonts w:eastAsia="Times New Roman"/>
                  <w:color w:val="0000FF"/>
                  <w:sz w:val="20"/>
                  <w:szCs w:val="20"/>
                  <w:u w:val="single"/>
                  <w:lang w:val="en-US"/>
                </w:rPr>
                <w:t>38066</w:t>
              </w:r>
            </w:hyperlink>
            <w:r w:rsidRPr="00E825BB">
              <w:rPr>
                <w:rFonts w:eastAsia="Times New Roman"/>
                <w:sz w:val="20"/>
                <w:szCs w:val="20"/>
                <w:lang w:val="en-US"/>
              </w:rPr>
              <w:t>)</w:t>
            </w:r>
          </w:p>
        </w:tc>
      </w:tr>
      <w:tr w:rsidR="00B124FF" w:rsidRPr="00CC0B55" w:rsidTr="005F32B8">
        <w:trPr>
          <w:cantSplit/>
        </w:trPr>
        <w:tc>
          <w:tcPr>
            <w:tcW w:w="2398" w:type="dxa"/>
          </w:tcPr>
          <w:p w:rsidR="00B124FF" w:rsidRPr="00E825BB" w:rsidRDefault="00B124FF" w:rsidP="005F32B8">
            <w:pPr>
              <w:rPr>
                <w:rFonts w:eastAsia="Times New Roman"/>
                <w:sz w:val="20"/>
                <w:szCs w:val="20"/>
                <w:lang w:val="en-US"/>
              </w:rPr>
            </w:pPr>
            <w:r w:rsidRPr="00E825BB">
              <w:rPr>
                <w:rFonts w:eastAsia="Times New Roman"/>
                <w:sz w:val="20"/>
                <w:szCs w:val="20"/>
                <w:lang w:val="en-US"/>
              </w:rPr>
              <w:t>2019-02-20</w:t>
            </w:r>
          </w:p>
        </w:tc>
        <w:tc>
          <w:tcPr>
            <w:tcW w:w="7178" w:type="dxa"/>
          </w:tcPr>
          <w:p w:rsidR="00B124FF" w:rsidRPr="00E825BB" w:rsidRDefault="00B124FF" w:rsidP="005F32B8">
            <w:pPr>
              <w:rPr>
                <w:rFonts w:eastAsia="Times New Roman"/>
                <w:sz w:val="20"/>
                <w:szCs w:val="20"/>
                <w:lang w:val="fr-CA"/>
              </w:rPr>
            </w:pPr>
            <w:r w:rsidRPr="00E825BB">
              <w:rPr>
                <w:rFonts w:eastAsia="Times New Roman"/>
                <w:i/>
                <w:sz w:val="20"/>
                <w:szCs w:val="20"/>
                <w:lang w:val="fr-CA"/>
              </w:rPr>
              <w:t>Octane Stratégie inc. c. Richard Thériault et autre</w:t>
            </w:r>
            <w:r w:rsidRPr="00E825BB">
              <w:rPr>
                <w:rFonts w:eastAsia="Times New Roman"/>
                <w:sz w:val="20"/>
                <w:szCs w:val="20"/>
                <w:lang w:val="fr-CA"/>
              </w:rPr>
              <w:t xml:space="preserve"> (Qc) (Civile) (Autorisation) (</w:t>
            </w:r>
            <w:hyperlink r:id="rId159" w:history="1">
              <w:r w:rsidRPr="00E825BB">
                <w:rPr>
                  <w:rFonts w:eastAsia="Times New Roman"/>
                  <w:color w:val="0000FF"/>
                  <w:sz w:val="20"/>
                  <w:szCs w:val="20"/>
                  <w:u w:val="single"/>
                  <w:lang w:val="fr-CA"/>
                </w:rPr>
                <w:t>38073</w:t>
              </w:r>
            </w:hyperlink>
            <w:r w:rsidRPr="00E825BB">
              <w:rPr>
                <w:rFonts w:eastAsia="Times New Roman"/>
                <w:sz w:val="20"/>
                <w:szCs w:val="20"/>
                <w:lang w:val="fr-CA"/>
              </w:rPr>
              <w:t>)</w:t>
            </w:r>
          </w:p>
        </w:tc>
      </w:tr>
      <w:tr w:rsidR="00B124FF" w:rsidRPr="00E825BB" w:rsidTr="005F32B8">
        <w:trPr>
          <w:cantSplit/>
        </w:trPr>
        <w:tc>
          <w:tcPr>
            <w:tcW w:w="2398" w:type="dxa"/>
          </w:tcPr>
          <w:p w:rsidR="00B124FF" w:rsidRPr="00E825BB" w:rsidRDefault="00B124FF" w:rsidP="005F32B8">
            <w:pPr>
              <w:rPr>
                <w:rFonts w:eastAsia="Times New Roman"/>
                <w:sz w:val="20"/>
                <w:szCs w:val="20"/>
                <w:lang w:val="en-US"/>
              </w:rPr>
            </w:pPr>
            <w:r w:rsidRPr="00E825BB">
              <w:rPr>
                <w:rFonts w:eastAsia="Times New Roman"/>
                <w:sz w:val="20"/>
                <w:szCs w:val="20"/>
                <w:lang w:val="en-US"/>
              </w:rPr>
              <w:t>2019-02-21</w:t>
            </w:r>
          </w:p>
        </w:tc>
        <w:tc>
          <w:tcPr>
            <w:tcW w:w="7178" w:type="dxa"/>
          </w:tcPr>
          <w:p w:rsidR="00B124FF" w:rsidRPr="00E825BB" w:rsidRDefault="00B124FF" w:rsidP="005F32B8">
            <w:pPr>
              <w:rPr>
                <w:rFonts w:eastAsia="Times New Roman"/>
                <w:sz w:val="20"/>
                <w:szCs w:val="20"/>
                <w:lang w:val="en-US"/>
              </w:rPr>
            </w:pPr>
            <w:r w:rsidRPr="00E825BB">
              <w:rPr>
                <w:rFonts w:eastAsia="Times New Roman"/>
                <w:i/>
                <w:sz w:val="20"/>
                <w:szCs w:val="20"/>
                <w:lang w:val="en-US"/>
              </w:rPr>
              <w:t>Her Majesty the Queen v. Albert Penunsi</w:t>
            </w:r>
            <w:r w:rsidRPr="00E825BB">
              <w:rPr>
                <w:rFonts w:eastAsia="Times New Roman"/>
                <w:sz w:val="20"/>
                <w:szCs w:val="20"/>
                <w:lang w:val="en-US"/>
              </w:rPr>
              <w:t xml:space="preserve"> (N.L.) (Criminal) (By Leave) (</w:t>
            </w:r>
            <w:hyperlink r:id="rId160" w:history="1">
              <w:r w:rsidRPr="00E825BB">
                <w:rPr>
                  <w:rFonts w:eastAsia="Times New Roman"/>
                  <w:color w:val="0000FF"/>
                  <w:sz w:val="20"/>
                  <w:szCs w:val="20"/>
                  <w:u w:val="single"/>
                  <w:lang w:val="en-US"/>
                </w:rPr>
                <w:t>38004</w:t>
              </w:r>
            </w:hyperlink>
            <w:r w:rsidRPr="00E825BB">
              <w:rPr>
                <w:rFonts w:eastAsia="Times New Roman"/>
                <w:sz w:val="20"/>
                <w:szCs w:val="20"/>
                <w:lang w:val="en-US"/>
              </w:rPr>
              <w:t>)</w:t>
            </w:r>
          </w:p>
        </w:tc>
      </w:tr>
      <w:tr w:rsidR="00B124FF" w:rsidRPr="00E825BB" w:rsidTr="005F32B8">
        <w:trPr>
          <w:cantSplit/>
        </w:trPr>
        <w:tc>
          <w:tcPr>
            <w:tcW w:w="2398" w:type="dxa"/>
          </w:tcPr>
          <w:p w:rsidR="00B124FF" w:rsidRPr="00E825BB" w:rsidRDefault="00B124FF" w:rsidP="005F32B8">
            <w:pPr>
              <w:rPr>
                <w:rFonts w:eastAsia="Times New Roman"/>
                <w:sz w:val="20"/>
                <w:szCs w:val="20"/>
                <w:lang w:val="en-US"/>
              </w:rPr>
            </w:pPr>
            <w:r w:rsidRPr="00E825BB">
              <w:rPr>
                <w:rFonts w:eastAsia="Times New Roman"/>
                <w:sz w:val="20"/>
                <w:szCs w:val="20"/>
                <w:lang w:val="en-US"/>
              </w:rPr>
              <w:t>2019-02-22</w:t>
            </w:r>
          </w:p>
        </w:tc>
        <w:tc>
          <w:tcPr>
            <w:tcW w:w="7178" w:type="dxa"/>
          </w:tcPr>
          <w:p w:rsidR="00B124FF" w:rsidRPr="00E825BB" w:rsidRDefault="00B124FF" w:rsidP="005F32B8">
            <w:pPr>
              <w:rPr>
                <w:rFonts w:eastAsia="Times New Roman"/>
                <w:sz w:val="20"/>
                <w:szCs w:val="20"/>
                <w:lang w:val="en-US"/>
              </w:rPr>
            </w:pPr>
            <w:r w:rsidRPr="00E825BB">
              <w:rPr>
                <w:rFonts w:eastAsia="Times New Roman"/>
                <w:i/>
                <w:sz w:val="20"/>
                <w:szCs w:val="20"/>
                <w:lang w:val="en-US"/>
              </w:rPr>
              <w:t>Lynne Threlfall, personally, in her capacity as liquidator of the succession of George Roseme and as tutor to the absentee George Roseme v. Carleton University</w:t>
            </w:r>
            <w:r w:rsidRPr="00E825BB">
              <w:rPr>
                <w:rFonts w:eastAsia="Times New Roman"/>
                <w:sz w:val="20"/>
                <w:szCs w:val="20"/>
                <w:lang w:val="en-US"/>
              </w:rPr>
              <w:t xml:space="preserve"> (Que.) (Civil) (By Leave) (</w:t>
            </w:r>
            <w:hyperlink r:id="rId161" w:history="1">
              <w:r w:rsidRPr="00E825BB">
                <w:rPr>
                  <w:rFonts w:eastAsia="Times New Roman"/>
                  <w:color w:val="0000FF"/>
                  <w:sz w:val="20"/>
                  <w:szCs w:val="20"/>
                  <w:u w:val="single"/>
                  <w:lang w:val="en-US"/>
                </w:rPr>
                <w:t>37893</w:t>
              </w:r>
            </w:hyperlink>
            <w:r w:rsidRPr="00E825BB">
              <w:rPr>
                <w:rFonts w:eastAsia="Times New Roman"/>
                <w:sz w:val="20"/>
                <w:szCs w:val="20"/>
                <w:lang w:val="en-US"/>
              </w:rPr>
              <w:t>)</w:t>
            </w:r>
          </w:p>
        </w:tc>
      </w:tr>
    </w:tbl>
    <w:p w:rsidR="00B124FF" w:rsidRPr="00E825BB" w:rsidRDefault="00B124FF" w:rsidP="00B124FF">
      <w:pPr>
        <w:widowControl w:val="0"/>
        <w:rPr>
          <w:rFonts w:eastAsia="Times New Roman" w:cs="Times New Roman"/>
          <w:sz w:val="20"/>
          <w:szCs w:val="20"/>
          <w:lang w:val="fr-CA"/>
        </w:rPr>
      </w:pPr>
    </w:p>
    <w:p w:rsidR="00B124FF" w:rsidRPr="00E825BB" w:rsidRDefault="00B124FF" w:rsidP="00B124FF">
      <w:pPr>
        <w:widowControl w:val="0"/>
        <w:rPr>
          <w:rFonts w:eastAsia="Times New Roman" w:cs="Times New Roman"/>
          <w:sz w:val="20"/>
          <w:szCs w:val="20"/>
          <w:lang w:val="fr-CA"/>
        </w:rPr>
      </w:pPr>
    </w:p>
    <w:p w:rsidR="00B124FF" w:rsidRPr="00E825BB" w:rsidRDefault="00B124FF" w:rsidP="00B124FF">
      <w:pPr>
        <w:widowControl w:val="0"/>
        <w:ind w:right="360"/>
        <w:jc w:val="both"/>
        <w:rPr>
          <w:rFonts w:eastAsia="Times New Roman" w:cs="Times New Roman"/>
          <w:sz w:val="20"/>
          <w:szCs w:val="20"/>
          <w:lang w:val="en-US"/>
        </w:rPr>
      </w:pPr>
      <w:r w:rsidRPr="00E825BB">
        <w:rPr>
          <w:rFonts w:eastAsia="Times New Roman" w:cs="Times New Roman"/>
          <w:b/>
          <w:sz w:val="20"/>
          <w:szCs w:val="20"/>
          <w:lang w:val="en-US"/>
        </w:rPr>
        <w:t>NOTE:</w:t>
      </w:r>
      <w:r w:rsidRPr="00E825BB">
        <w:rPr>
          <w:rFonts w:eastAsia="Times New Roman" w:cs="Times New Roman"/>
          <w:sz w:val="20"/>
          <w:szCs w:val="20"/>
          <w:lang w:val="en-US"/>
        </w:rPr>
        <w:t xml:space="preserve"> This agenda is subject to change. Hearings normally commence at 9:30 a.m.; however, cases with multiple parties often commence at 9:00 a.m. Where two cases are scheduled on a given day, the second case may be heard immediately after the first one or at 2:00 p.m.  Hearing dates and times should be confirmed with Registry staff at 613-996-8666.</w:t>
      </w:r>
    </w:p>
    <w:p w:rsidR="00B124FF" w:rsidRPr="00E825BB" w:rsidRDefault="00B124FF" w:rsidP="00B124FF">
      <w:pPr>
        <w:widowControl w:val="0"/>
        <w:ind w:right="360"/>
        <w:jc w:val="both"/>
        <w:rPr>
          <w:rFonts w:eastAsia="Times New Roman" w:cs="Times New Roman"/>
          <w:sz w:val="20"/>
          <w:szCs w:val="20"/>
          <w:lang w:val="en-US"/>
        </w:rPr>
      </w:pPr>
    </w:p>
    <w:p w:rsidR="00B124FF" w:rsidRPr="00E825BB" w:rsidRDefault="00B124FF" w:rsidP="00B124FF">
      <w:pPr>
        <w:ind w:right="360"/>
        <w:jc w:val="both"/>
        <w:rPr>
          <w:rFonts w:eastAsia="Times New Roman" w:cs="Times New Roman"/>
          <w:sz w:val="20"/>
          <w:szCs w:val="20"/>
          <w:lang w:val="fr-CA"/>
        </w:rPr>
      </w:pPr>
      <w:r w:rsidRPr="00E825BB">
        <w:rPr>
          <w:rFonts w:eastAsia="Times New Roman" w:cs="Times New Roman"/>
          <w:sz w:val="20"/>
          <w:szCs w:val="20"/>
          <w:lang w:val="fr-CA"/>
        </w:rPr>
        <w:t>Ce calendrier est sujet à modification. Les audiences débutent normalement à 9h30; toutefois; l’audition des affaires concernant des parties multiples commence souvent à 9 h. Lorsque deux affaires doivent être entendues le même jour, l’audition de la deuxième affaire peut avoir lieu immédiatement après celle de la première ou encore à 14 h. La date et l’heure d’une audience doivent être confirmées auprès du personnel du greffe au 613-996-8666.</w:t>
      </w:r>
    </w:p>
    <w:p w:rsidR="00B124FF" w:rsidRPr="00E825BB" w:rsidRDefault="00B124FF" w:rsidP="00B124FF">
      <w:pPr>
        <w:widowControl w:val="0"/>
        <w:ind w:right="360"/>
        <w:jc w:val="both"/>
        <w:rPr>
          <w:rFonts w:eastAsia="Times New Roman" w:cs="Times New Roman"/>
          <w:sz w:val="20"/>
          <w:szCs w:val="20"/>
          <w:lang w:val="fr-CA"/>
        </w:rPr>
      </w:pPr>
    </w:p>
    <w:p w:rsidR="00B124FF" w:rsidRPr="00E825BB" w:rsidRDefault="00B124FF" w:rsidP="00B124FF">
      <w:pPr>
        <w:widowControl w:val="0"/>
        <w:ind w:right="360"/>
        <w:outlineLvl w:val="0"/>
        <w:rPr>
          <w:rFonts w:eastAsia="Times New Roman" w:cs="Times New Roman"/>
          <w:sz w:val="20"/>
          <w:szCs w:val="20"/>
          <w:lang w:val="fr-CA"/>
        </w:rPr>
      </w:pPr>
    </w:p>
    <w:p w:rsidR="00B124FF" w:rsidRPr="00E825BB" w:rsidRDefault="00B124FF" w:rsidP="00B124FF">
      <w:pPr>
        <w:widowControl w:val="0"/>
        <w:ind w:left="720" w:right="360" w:hanging="720"/>
        <w:jc w:val="both"/>
        <w:rPr>
          <w:rFonts w:eastAsia="Times New Roman" w:cs="Times New Roman"/>
          <w:b/>
          <w:i/>
          <w:sz w:val="20"/>
          <w:szCs w:val="20"/>
        </w:rPr>
      </w:pPr>
      <w:r w:rsidRPr="00E825BB">
        <w:rPr>
          <w:rFonts w:eastAsia="Times New Roman" w:cs="Times New Roman"/>
          <w:b/>
          <w:sz w:val="20"/>
          <w:szCs w:val="20"/>
        </w:rPr>
        <w:fldChar w:fldCharType="begin"/>
      </w:r>
      <w:r w:rsidRPr="00E825BB">
        <w:rPr>
          <w:rFonts w:eastAsia="Times New Roman" w:cs="Times New Roman"/>
          <w:b/>
          <w:sz w:val="20"/>
          <w:szCs w:val="20"/>
          <w:lang w:val="en-US"/>
        </w:rPr>
        <w:instrText xml:space="preserve"> SEQ CHAPTER \h \r 1</w:instrText>
      </w:r>
      <w:r w:rsidRPr="00E825BB">
        <w:rPr>
          <w:rFonts w:eastAsia="Times New Roman" w:cs="Times New Roman"/>
          <w:b/>
          <w:sz w:val="20"/>
          <w:szCs w:val="20"/>
          <w:lang w:val="en-US"/>
        </w:rPr>
        <w:fldChar w:fldCharType="end"/>
      </w:r>
      <w:r w:rsidRPr="00E825BB">
        <w:rPr>
          <w:rFonts w:eastAsia="Times New Roman" w:cs="Times New Roman"/>
          <w:b/>
          <w:sz w:val="20"/>
          <w:szCs w:val="20"/>
        </w:rPr>
        <w:t>38220</w:t>
      </w:r>
      <w:r w:rsidRPr="00E825BB">
        <w:rPr>
          <w:rFonts w:eastAsia="Times New Roman" w:cs="Times New Roman"/>
          <w:sz w:val="20"/>
          <w:szCs w:val="20"/>
        </w:rPr>
        <w:tab/>
      </w:r>
      <w:bookmarkStart w:id="14" w:name="3"/>
      <w:bookmarkEnd w:id="14"/>
      <w:r w:rsidRPr="00E825BB">
        <w:rPr>
          <w:rFonts w:eastAsia="Times New Roman" w:cs="Times New Roman"/>
          <w:b/>
          <w:i/>
          <w:sz w:val="20"/>
          <w:szCs w:val="20"/>
        </w:rPr>
        <w:t>Her Majesty the Queen v. C.J.</w:t>
      </w:r>
    </w:p>
    <w:p w:rsidR="00B124FF" w:rsidRPr="00E825BB" w:rsidRDefault="00B124FF" w:rsidP="00B124FF">
      <w:pPr>
        <w:widowControl w:val="0"/>
        <w:ind w:left="1440" w:right="360" w:hanging="720"/>
        <w:jc w:val="both"/>
        <w:rPr>
          <w:rFonts w:eastAsia="Times New Roman" w:cs="Times New Roman"/>
          <w:sz w:val="20"/>
          <w:szCs w:val="20"/>
        </w:rPr>
      </w:pPr>
      <w:r w:rsidRPr="00E825BB">
        <w:rPr>
          <w:rFonts w:eastAsia="Times New Roman" w:cs="Times New Roman"/>
          <w:sz w:val="20"/>
          <w:szCs w:val="20"/>
        </w:rPr>
        <w:t>(Man.) (Criminal) (As of Right)</w:t>
      </w:r>
    </w:p>
    <w:p w:rsidR="00B124FF" w:rsidRPr="00E825BB" w:rsidRDefault="00B124FF" w:rsidP="00B124FF">
      <w:pPr>
        <w:widowControl w:val="0"/>
        <w:ind w:right="360"/>
        <w:jc w:val="both"/>
        <w:rPr>
          <w:rFonts w:eastAsia="Times New Roman" w:cs="Times New Roman"/>
          <w:sz w:val="20"/>
          <w:szCs w:val="20"/>
        </w:rPr>
      </w:pPr>
    </w:p>
    <w:p w:rsidR="00B124FF" w:rsidRPr="00E825BB" w:rsidRDefault="00B124FF" w:rsidP="00B124FF">
      <w:pPr>
        <w:widowControl w:val="0"/>
        <w:ind w:right="360"/>
        <w:jc w:val="both"/>
        <w:rPr>
          <w:rFonts w:eastAsia="Times New Roman" w:cs="Times New Roman"/>
          <w:smallCaps/>
          <w:sz w:val="20"/>
          <w:szCs w:val="20"/>
        </w:rPr>
      </w:pPr>
      <w:r w:rsidRPr="00E825BB">
        <w:rPr>
          <w:rFonts w:eastAsia="Times New Roman" w:cs="Times New Roman"/>
          <w:smallCaps/>
          <w:sz w:val="20"/>
          <w:szCs w:val="20"/>
        </w:rPr>
        <w:t>(Publication Ban)</w:t>
      </w:r>
    </w:p>
    <w:p w:rsidR="00B124FF" w:rsidRPr="00E825BB" w:rsidRDefault="00B124FF" w:rsidP="00B124FF">
      <w:pPr>
        <w:widowControl w:val="0"/>
        <w:ind w:right="360"/>
        <w:jc w:val="both"/>
        <w:rPr>
          <w:rFonts w:eastAsia="Times New Roman" w:cs="Times New Roman"/>
          <w:sz w:val="20"/>
          <w:szCs w:val="20"/>
        </w:rPr>
      </w:pPr>
    </w:p>
    <w:p w:rsidR="00B124FF" w:rsidRPr="00E825BB" w:rsidRDefault="00B124FF" w:rsidP="00B124FF">
      <w:pPr>
        <w:widowControl w:val="0"/>
        <w:ind w:right="360"/>
        <w:jc w:val="both"/>
        <w:rPr>
          <w:rFonts w:eastAsia="Times New Roman" w:cs="Times New Roman"/>
          <w:sz w:val="20"/>
          <w:szCs w:val="20"/>
        </w:rPr>
      </w:pPr>
      <w:r w:rsidRPr="00E825BB">
        <w:rPr>
          <w:rFonts w:eastAsia="Times New Roman" w:cs="Times New Roman"/>
          <w:sz w:val="20"/>
          <w:szCs w:val="20"/>
          <w:lang w:val="en-US"/>
        </w:rPr>
        <w:t>Criminal law - Evidence - Assessment - Whether the trial judge unfairly required the respondent to support his conclusion that the complainant was angry with him - Whether the Court of Appeal unduly interfered with the trial judge’s assessment of the respondent’s credibility.</w:t>
      </w:r>
    </w:p>
    <w:p w:rsidR="00B124FF" w:rsidRPr="00E825BB" w:rsidRDefault="00B124FF" w:rsidP="00B124FF">
      <w:pPr>
        <w:widowControl w:val="0"/>
        <w:ind w:right="360"/>
        <w:jc w:val="both"/>
        <w:rPr>
          <w:rFonts w:eastAsia="Times New Roman" w:cs="Times New Roman"/>
          <w:sz w:val="20"/>
          <w:szCs w:val="20"/>
        </w:rPr>
      </w:pPr>
    </w:p>
    <w:p w:rsidR="00B124FF" w:rsidRPr="00E825BB" w:rsidRDefault="00B124FF" w:rsidP="00B124FF">
      <w:pPr>
        <w:widowControl w:val="0"/>
        <w:ind w:right="360"/>
        <w:jc w:val="both"/>
        <w:rPr>
          <w:rFonts w:eastAsia="Times New Roman" w:cs="Times New Roman"/>
          <w:sz w:val="20"/>
          <w:szCs w:val="20"/>
        </w:rPr>
      </w:pPr>
      <w:r w:rsidRPr="00E825BB">
        <w:rPr>
          <w:rFonts w:eastAsia="Times New Roman" w:cs="Times New Roman"/>
          <w:sz w:val="20"/>
          <w:szCs w:val="20"/>
        </w:rPr>
        <w:t>C.J., a seventeen-year-old boy, was convicted of one count of sexual interference and one count of invitation to sexual touching. The complainant, a six-year-old girl, alleged that C.J. had invited her to touch him inappropriately and had inappropriately touched her while they were at the park. C.J. appealed his conviction on the basis that the trial judge had misapprehended the evidence. A majority of the Court of Appeal allowed the appeal and ordered a new trial. In its view, the trial judge had made significant errors in assessing C.J.’s credibility. Finding no palpable and overriding error in the trial judge’s assessment, Pfuetzner J.A. would have dismissed the appeal.</w:t>
      </w:r>
    </w:p>
    <w:p w:rsidR="00B124FF" w:rsidRPr="00E825BB" w:rsidRDefault="00B124FF" w:rsidP="00B124FF">
      <w:pPr>
        <w:widowControl w:val="0"/>
        <w:ind w:right="360"/>
        <w:jc w:val="both"/>
        <w:rPr>
          <w:rFonts w:eastAsia="Times New Roman" w:cs="Times New Roman"/>
          <w:sz w:val="20"/>
          <w:szCs w:val="20"/>
        </w:rPr>
      </w:pPr>
    </w:p>
    <w:p w:rsidR="009E2C1C" w:rsidRDefault="009E2C1C">
      <w:pPr>
        <w:rPr>
          <w:rFonts w:eastAsia="Times New Roman" w:cs="Times New Roman"/>
          <w:sz w:val="20"/>
          <w:szCs w:val="20"/>
        </w:rPr>
      </w:pPr>
      <w:r>
        <w:rPr>
          <w:rFonts w:eastAsia="Times New Roman" w:cs="Times New Roman"/>
          <w:sz w:val="20"/>
          <w:szCs w:val="20"/>
        </w:rPr>
        <w:br w:type="page"/>
      </w:r>
    </w:p>
    <w:p w:rsidR="00B124FF" w:rsidRPr="00E825BB" w:rsidRDefault="00B124FF" w:rsidP="00B124FF">
      <w:pPr>
        <w:widowControl w:val="0"/>
        <w:ind w:left="720" w:right="360" w:hanging="720"/>
        <w:jc w:val="both"/>
        <w:rPr>
          <w:rFonts w:eastAsia="Times New Roman" w:cs="Times New Roman"/>
          <w:b/>
          <w:i/>
          <w:sz w:val="20"/>
          <w:szCs w:val="20"/>
          <w:lang w:val="fr-CA"/>
        </w:rPr>
      </w:pPr>
      <w:r w:rsidRPr="00E825BB">
        <w:rPr>
          <w:rFonts w:eastAsia="Times New Roman" w:cs="Times New Roman"/>
          <w:b/>
          <w:sz w:val="20"/>
          <w:szCs w:val="20"/>
          <w:lang w:val="en-US"/>
        </w:rPr>
        <w:lastRenderedPageBreak/>
        <w:fldChar w:fldCharType="begin"/>
      </w:r>
      <w:r w:rsidRPr="00E825BB">
        <w:rPr>
          <w:rFonts w:eastAsia="Times New Roman" w:cs="Times New Roman"/>
          <w:b/>
          <w:sz w:val="20"/>
          <w:szCs w:val="20"/>
          <w:lang w:val="fr-CA"/>
        </w:rPr>
        <w:instrText xml:space="preserve"> SEQ CHAPTER \h \r 1</w:instrText>
      </w:r>
      <w:r w:rsidRPr="00E825BB">
        <w:rPr>
          <w:rFonts w:eastAsia="Times New Roman" w:cs="Times New Roman"/>
          <w:b/>
          <w:sz w:val="20"/>
          <w:szCs w:val="20"/>
          <w:lang w:val="en-US"/>
        </w:rPr>
        <w:fldChar w:fldCharType="end"/>
      </w:r>
      <w:r w:rsidRPr="00E825BB">
        <w:rPr>
          <w:rFonts w:eastAsia="Times New Roman" w:cs="Times New Roman"/>
          <w:b/>
          <w:sz w:val="20"/>
          <w:szCs w:val="20"/>
          <w:lang w:val="fr-CA"/>
        </w:rPr>
        <w:t>38220</w:t>
      </w:r>
      <w:r w:rsidRPr="00E825BB">
        <w:rPr>
          <w:rFonts w:eastAsia="Times New Roman" w:cs="Times New Roman"/>
          <w:sz w:val="20"/>
          <w:szCs w:val="20"/>
          <w:lang w:val="fr-CA"/>
        </w:rPr>
        <w:tab/>
      </w:r>
      <w:r w:rsidRPr="00E825BB">
        <w:rPr>
          <w:rFonts w:eastAsia="Times New Roman" w:cs="Times New Roman"/>
          <w:b/>
          <w:i/>
          <w:sz w:val="20"/>
          <w:szCs w:val="20"/>
          <w:lang w:val="fr-CA"/>
        </w:rPr>
        <w:t>Sa Majesté la Reine c. C.J.</w:t>
      </w:r>
    </w:p>
    <w:p w:rsidR="00B124FF" w:rsidRPr="00E825BB" w:rsidRDefault="00B124FF" w:rsidP="00B124FF">
      <w:pPr>
        <w:widowControl w:val="0"/>
        <w:ind w:left="1440" w:right="360" w:hanging="720"/>
        <w:jc w:val="both"/>
        <w:rPr>
          <w:rFonts w:eastAsia="Times New Roman" w:cs="Times New Roman"/>
          <w:sz w:val="20"/>
          <w:szCs w:val="20"/>
          <w:lang w:val="fr-CA"/>
        </w:rPr>
      </w:pPr>
      <w:r w:rsidRPr="00E825BB">
        <w:rPr>
          <w:rFonts w:eastAsia="Times New Roman" w:cs="Times New Roman"/>
          <w:sz w:val="20"/>
          <w:szCs w:val="20"/>
          <w:lang w:val="fr-CA"/>
        </w:rPr>
        <w:t>(Man.) (Criminelle) (De plein droit)</w:t>
      </w:r>
    </w:p>
    <w:p w:rsidR="00B124FF" w:rsidRPr="00E825BB" w:rsidRDefault="00B124FF" w:rsidP="00B124FF">
      <w:pPr>
        <w:widowControl w:val="0"/>
        <w:ind w:right="360"/>
        <w:jc w:val="both"/>
        <w:rPr>
          <w:rFonts w:eastAsia="Times New Roman" w:cs="Times New Roman"/>
          <w:sz w:val="20"/>
          <w:szCs w:val="20"/>
          <w:lang w:val="fr-CA"/>
        </w:rPr>
      </w:pPr>
    </w:p>
    <w:p w:rsidR="00B124FF" w:rsidRPr="00E825BB" w:rsidRDefault="00B124FF" w:rsidP="00B124FF">
      <w:pPr>
        <w:widowControl w:val="0"/>
        <w:ind w:right="360"/>
        <w:jc w:val="both"/>
        <w:rPr>
          <w:rFonts w:eastAsia="Times New Roman" w:cs="Times New Roman"/>
          <w:smallCaps/>
          <w:sz w:val="20"/>
          <w:szCs w:val="20"/>
          <w:lang w:val="fr-CA"/>
        </w:rPr>
      </w:pPr>
      <w:r w:rsidRPr="00E825BB">
        <w:rPr>
          <w:rFonts w:eastAsia="Times New Roman" w:cs="Times New Roman"/>
          <w:smallCaps/>
          <w:sz w:val="20"/>
          <w:szCs w:val="20"/>
          <w:lang w:val="fr-CA"/>
        </w:rPr>
        <w:t>(Ordonnance de non-publication)</w:t>
      </w:r>
    </w:p>
    <w:p w:rsidR="00B124FF" w:rsidRPr="00E825BB" w:rsidRDefault="00B124FF" w:rsidP="00B124FF">
      <w:pPr>
        <w:widowControl w:val="0"/>
        <w:ind w:right="360"/>
        <w:jc w:val="both"/>
        <w:rPr>
          <w:rFonts w:eastAsia="Times New Roman" w:cs="Times New Roman"/>
          <w:sz w:val="20"/>
          <w:szCs w:val="20"/>
          <w:lang w:val="fr-CA"/>
        </w:rPr>
      </w:pPr>
    </w:p>
    <w:p w:rsidR="00B124FF" w:rsidRPr="00E825BB" w:rsidRDefault="00B124FF" w:rsidP="00B124FF">
      <w:pPr>
        <w:widowControl w:val="0"/>
        <w:ind w:right="360"/>
        <w:jc w:val="both"/>
        <w:rPr>
          <w:rFonts w:eastAsia="Times New Roman" w:cs="Times New Roman"/>
          <w:sz w:val="20"/>
          <w:szCs w:val="20"/>
          <w:lang w:val="fr-CA"/>
        </w:rPr>
      </w:pPr>
      <w:r w:rsidRPr="00E825BB">
        <w:rPr>
          <w:rFonts w:eastAsia="Times New Roman" w:cs="Times New Roman"/>
          <w:sz w:val="20"/>
          <w:szCs w:val="20"/>
          <w:lang w:val="fr-CA"/>
        </w:rPr>
        <w:t xml:space="preserve">Droit criminel - Preuve - Appréciation - Était-il injuste que le juge du procès exige de l’intimé qu’il étaye la conclusion qu’il a tirée que la plaignante était en colère contre lui ? - La Cour d’appel a-t-elle indûment interféré dans l’appréciation par le juge du procès de la crédibilité de l’intimé ? </w:t>
      </w:r>
    </w:p>
    <w:p w:rsidR="00B124FF" w:rsidRPr="00E825BB" w:rsidRDefault="00B124FF" w:rsidP="00B124FF">
      <w:pPr>
        <w:widowControl w:val="0"/>
        <w:ind w:right="360"/>
        <w:jc w:val="both"/>
        <w:rPr>
          <w:rFonts w:eastAsia="Times New Roman" w:cs="Times New Roman"/>
          <w:sz w:val="20"/>
          <w:szCs w:val="20"/>
          <w:lang w:val="fr-CA"/>
        </w:rPr>
      </w:pPr>
    </w:p>
    <w:p w:rsidR="00B124FF" w:rsidRPr="00E825BB" w:rsidRDefault="00B124FF" w:rsidP="00B124FF">
      <w:pPr>
        <w:widowControl w:val="0"/>
        <w:ind w:right="360"/>
        <w:jc w:val="both"/>
        <w:rPr>
          <w:rFonts w:eastAsia="Times New Roman" w:cs="Times New Roman"/>
          <w:sz w:val="20"/>
          <w:szCs w:val="20"/>
          <w:lang w:val="fr-CA"/>
        </w:rPr>
      </w:pPr>
      <w:r w:rsidRPr="00E825BB">
        <w:rPr>
          <w:rFonts w:eastAsia="Times New Roman" w:cs="Times New Roman"/>
          <w:sz w:val="20"/>
          <w:szCs w:val="20"/>
          <w:lang w:val="fr-CA"/>
        </w:rPr>
        <w:t>C.J., un adolescent de 17 ans, a été déclaré coupable d’un chef de contacts sexuels et d’un chef d’incitation à des contacts sexuels. La plaignante, une fillette de 6 ans, a allégué que C.J. l’a incité à poser des gestes inappropriés sur lui et a posé des gestes inappropriés sur elle pendant qu’ils se trouvaient au parc. C.J. a interjeté appel de la condamnation en faisant valoir que le juge du procès avait mal interprété la preuve. Les juges majoritaires de la Cour d’appel ont accueilli l’appel et ordonné la tenue d’un nouveau procès. Selon eux, le juge du procès avait commis des erreurs importantes dans l’appréciation de la crédibilité de C.J. Ne constatant pas la présence d’une erreur manifeste et dominante dans l’appréciation du juge du procès, la juge d’appel Pfuetzner aurait rejeté l’appel.</w:t>
      </w:r>
    </w:p>
    <w:p w:rsidR="00B124FF" w:rsidRPr="00E825BB" w:rsidRDefault="00B124FF" w:rsidP="00B124FF">
      <w:pPr>
        <w:widowControl w:val="0"/>
        <w:ind w:right="360"/>
        <w:outlineLvl w:val="0"/>
        <w:rPr>
          <w:rFonts w:eastAsia="Times New Roman" w:cs="Times New Roman"/>
          <w:sz w:val="20"/>
          <w:szCs w:val="20"/>
          <w:lang w:val="fr-CA"/>
        </w:rPr>
      </w:pPr>
    </w:p>
    <w:p w:rsidR="00B124FF" w:rsidRPr="00E825BB" w:rsidRDefault="00B124FF" w:rsidP="00B124FF">
      <w:pPr>
        <w:widowControl w:val="0"/>
        <w:ind w:right="360"/>
        <w:outlineLvl w:val="0"/>
        <w:rPr>
          <w:rFonts w:eastAsia="Times New Roman" w:cs="Times New Roman"/>
          <w:sz w:val="20"/>
          <w:szCs w:val="20"/>
          <w:lang w:val="fr-CA"/>
        </w:rPr>
      </w:pPr>
    </w:p>
    <w:p w:rsidR="00B124FF" w:rsidRPr="00E825BB" w:rsidRDefault="00B124FF" w:rsidP="00B124FF">
      <w:pPr>
        <w:ind w:right="360"/>
        <w:jc w:val="both"/>
        <w:rPr>
          <w:rFonts w:eastAsia="Calibri" w:cs="Times New Roman"/>
          <w:b/>
          <w:i/>
          <w:sz w:val="20"/>
          <w:szCs w:val="20"/>
          <w:lang w:val="en-US"/>
        </w:rPr>
      </w:pPr>
      <w:r w:rsidRPr="00E825BB">
        <w:rPr>
          <w:rFonts w:eastAsia="Calibri" w:cs="Times New Roman"/>
          <w:b/>
          <w:sz w:val="20"/>
          <w:lang w:val="en-US"/>
        </w:rPr>
        <w:t>38258</w:t>
      </w:r>
      <w:r w:rsidRPr="00E825BB">
        <w:rPr>
          <w:rFonts w:eastAsia="Calibri" w:cs="Times New Roman"/>
          <w:sz w:val="20"/>
          <w:lang w:val="en-US"/>
        </w:rPr>
        <w:tab/>
      </w:r>
      <w:r w:rsidRPr="00E825BB">
        <w:rPr>
          <w:rFonts w:eastAsia="Calibri" w:cs="Times New Roman"/>
          <w:b/>
          <w:i/>
          <w:sz w:val="20"/>
          <w:szCs w:val="20"/>
          <w:lang w:val="en-US"/>
        </w:rPr>
        <w:t>Kathleen Blanchard v. Her Majesty the Queen</w:t>
      </w:r>
    </w:p>
    <w:p w:rsidR="00B124FF" w:rsidRPr="00E825BB" w:rsidRDefault="00B124FF" w:rsidP="00B124FF">
      <w:pPr>
        <w:widowControl w:val="0"/>
        <w:ind w:right="360" w:firstLine="720"/>
        <w:outlineLvl w:val="0"/>
        <w:rPr>
          <w:rFonts w:eastAsia="Times New Roman" w:cs="Times New Roman"/>
          <w:sz w:val="20"/>
          <w:szCs w:val="20"/>
          <w:lang w:val="en-US"/>
        </w:rPr>
      </w:pPr>
      <w:r w:rsidRPr="00E825BB">
        <w:rPr>
          <w:rFonts w:eastAsia="Times New Roman" w:cs="Times New Roman"/>
          <w:sz w:val="20"/>
          <w:szCs w:val="20"/>
          <w:lang w:val="en-US"/>
        </w:rPr>
        <w:t>(Que.) (Criminal) (As of Right)</w:t>
      </w:r>
    </w:p>
    <w:p w:rsidR="00B124FF" w:rsidRPr="00E825BB" w:rsidRDefault="00B124FF" w:rsidP="00B124FF">
      <w:pPr>
        <w:widowControl w:val="0"/>
        <w:ind w:right="360"/>
        <w:outlineLvl w:val="0"/>
        <w:rPr>
          <w:rFonts w:eastAsia="Times New Roman" w:cs="Times New Roman"/>
          <w:sz w:val="20"/>
          <w:szCs w:val="20"/>
          <w:lang w:val="en-US"/>
        </w:rPr>
      </w:pPr>
    </w:p>
    <w:p w:rsidR="00B124FF" w:rsidRPr="00E825BB" w:rsidRDefault="00B124FF" w:rsidP="00B124FF">
      <w:pPr>
        <w:widowControl w:val="0"/>
        <w:ind w:right="360"/>
        <w:outlineLvl w:val="0"/>
        <w:rPr>
          <w:rFonts w:eastAsia="Times New Roman" w:cs="Times New Roman"/>
          <w:sz w:val="20"/>
          <w:szCs w:val="20"/>
          <w:lang w:val="en-US"/>
        </w:rPr>
      </w:pPr>
      <w:r w:rsidRPr="00E825BB">
        <w:rPr>
          <w:rFonts w:eastAsia="Times New Roman" w:cs="Times New Roman"/>
          <w:sz w:val="20"/>
          <w:szCs w:val="20"/>
          <w:lang w:val="en-US"/>
        </w:rPr>
        <w:t>Criminal law - Defences - Automatism - Extreme intoxication - Whether defence of extreme intoxication akin to automatism is available for offence of f</w:t>
      </w:r>
      <w:r w:rsidRPr="00E825BB">
        <w:rPr>
          <w:rFonts w:eastAsia="Times New Roman" w:cs="Times New Roman"/>
          <w:bCs/>
          <w:sz w:val="20"/>
          <w:szCs w:val="20"/>
          <w:lang w:val="en-US"/>
        </w:rPr>
        <w:t xml:space="preserve">ailing to comply with demand </w:t>
      </w:r>
      <w:r w:rsidRPr="00E825BB">
        <w:rPr>
          <w:rFonts w:eastAsia="Times New Roman" w:cs="Times New Roman"/>
          <w:sz w:val="20"/>
          <w:szCs w:val="20"/>
          <w:lang w:val="en-US"/>
        </w:rPr>
        <w:t xml:space="preserve">to provide breath sample described in s. 254(5) of </w:t>
      </w:r>
      <w:r w:rsidRPr="00E825BB">
        <w:rPr>
          <w:rFonts w:eastAsia="Times New Roman" w:cs="Times New Roman"/>
          <w:i/>
          <w:sz w:val="20"/>
          <w:szCs w:val="20"/>
          <w:lang w:val="en-US"/>
        </w:rPr>
        <w:t>Criminal Code</w:t>
      </w:r>
      <w:r w:rsidRPr="00E825BB">
        <w:rPr>
          <w:rFonts w:eastAsia="Times New Roman" w:cs="Times New Roman"/>
          <w:sz w:val="20"/>
          <w:szCs w:val="20"/>
          <w:lang w:val="en-US"/>
        </w:rPr>
        <w:t>, R.S.C. 1985, c. C</w:t>
      </w:r>
      <w:r w:rsidRPr="00E825BB">
        <w:rPr>
          <w:rFonts w:eastAsia="Times New Roman" w:cs="Times New Roman"/>
          <w:sz w:val="20"/>
          <w:szCs w:val="20"/>
          <w:lang w:val="en-US"/>
        </w:rPr>
        <w:noBreakHyphen/>
        <w:t>46 - Whether trial judge erred in law in finding that appellant was in state of extreme intoxication akin to automatism.</w:t>
      </w:r>
    </w:p>
    <w:p w:rsidR="00B124FF" w:rsidRPr="00E825BB" w:rsidRDefault="00B124FF" w:rsidP="00B124FF">
      <w:pPr>
        <w:widowControl w:val="0"/>
        <w:ind w:right="360"/>
        <w:outlineLvl w:val="0"/>
        <w:rPr>
          <w:rFonts w:eastAsia="Times New Roman" w:cs="Times New Roman"/>
          <w:sz w:val="20"/>
          <w:szCs w:val="20"/>
          <w:lang w:val="en-US"/>
        </w:rPr>
      </w:pPr>
    </w:p>
    <w:p w:rsidR="00B124FF" w:rsidRPr="00E825BB" w:rsidRDefault="00B124FF" w:rsidP="00B124FF">
      <w:pPr>
        <w:widowControl w:val="0"/>
        <w:ind w:right="360"/>
        <w:outlineLvl w:val="0"/>
        <w:rPr>
          <w:rFonts w:eastAsia="Times New Roman" w:cs="Times New Roman"/>
          <w:sz w:val="20"/>
          <w:szCs w:val="20"/>
          <w:lang w:val="en-US"/>
        </w:rPr>
      </w:pPr>
      <w:r w:rsidRPr="00E825BB">
        <w:rPr>
          <w:rFonts w:eastAsia="Times New Roman" w:cs="Times New Roman"/>
          <w:sz w:val="20"/>
          <w:szCs w:val="20"/>
          <w:lang w:val="en-US"/>
        </w:rPr>
        <w:t xml:space="preserve">The appellant Kathleen Blanchard was acquitted of refusing to comply with a demand to provide a breath sample (s. 254(5) of the </w:t>
      </w:r>
      <w:r w:rsidRPr="00E825BB">
        <w:rPr>
          <w:rFonts w:eastAsia="Times New Roman" w:cs="Times New Roman"/>
          <w:i/>
          <w:sz w:val="20"/>
          <w:szCs w:val="20"/>
          <w:lang w:val="en-US"/>
        </w:rPr>
        <w:t>Criminal Code</w:t>
      </w:r>
      <w:r w:rsidRPr="00E825BB">
        <w:rPr>
          <w:rFonts w:eastAsia="Times New Roman" w:cs="Times New Roman"/>
          <w:sz w:val="20"/>
          <w:szCs w:val="20"/>
          <w:lang w:val="en-US"/>
        </w:rPr>
        <w:t>). The trial judge accepted her defence of non</w:t>
      </w:r>
      <w:r w:rsidRPr="00E825BB">
        <w:rPr>
          <w:rFonts w:eastAsia="Times New Roman" w:cs="Times New Roman"/>
          <w:sz w:val="20"/>
          <w:szCs w:val="20"/>
          <w:lang w:val="en-US"/>
        </w:rPr>
        <w:noBreakHyphen/>
        <w:t>mental disorder automatism resulting from her advanced state of self</w:t>
      </w:r>
      <w:r w:rsidRPr="00E825BB">
        <w:rPr>
          <w:rFonts w:eastAsia="Times New Roman" w:cs="Times New Roman"/>
          <w:sz w:val="20"/>
          <w:szCs w:val="20"/>
          <w:lang w:val="en-US"/>
        </w:rPr>
        <w:noBreakHyphen/>
        <w:t xml:space="preserve">induced intoxication. The Court of Appeal allowed the appeal and convicted the appellant. Doyon J.A., dissenting, would have dismissed the appeal. In his view, the defence of extreme intoxication was available for all types of offences unless it was excluded by law. In the instant case, s. 33.1 of the </w:t>
      </w:r>
      <w:r w:rsidRPr="00E825BB">
        <w:rPr>
          <w:rFonts w:eastAsia="Times New Roman" w:cs="Times New Roman"/>
          <w:i/>
          <w:sz w:val="20"/>
          <w:szCs w:val="20"/>
          <w:lang w:val="en-US"/>
        </w:rPr>
        <w:t>Criminal Code</w:t>
      </w:r>
      <w:r w:rsidRPr="00E825BB">
        <w:rPr>
          <w:rFonts w:eastAsia="Times New Roman" w:cs="Times New Roman"/>
          <w:sz w:val="20"/>
          <w:szCs w:val="20"/>
          <w:lang w:val="en-US"/>
        </w:rPr>
        <w:t xml:space="preserve"> did not apply to the offence of refusing to provide a breath sample, so the defence was available.</w:t>
      </w:r>
    </w:p>
    <w:p w:rsidR="00B124FF" w:rsidRPr="00E825BB" w:rsidRDefault="00B124FF" w:rsidP="00B124FF">
      <w:pPr>
        <w:widowControl w:val="0"/>
        <w:ind w:right="360"/>
        <w:outlineLvl w:val="0"/>
        <w:rPr>
          <w:rFonts w:eastAsia="Times New Roman" w:cs="Times New Roman"/>
          <w:sz w:val="20"/>
          <w:szCs w:val="20"/>
          <w:lang w:val="en-US"/>
        </w:rPr>
      </w:pPr>
    </w:p>
    <w:p w:rsidR="00B124FF" w:rsidRPr="00E825BB" w:rsidRDefault="00B124FF" w:rsidP="00B124FF">
      <w:pPr>
        <w:widowControl w:val="0"/>
        <w:ind w:right="360"/>
        <w:outlineLvl w:val="0"/>
        <w:rPr>
          <w:rFonts w:eastAsia="Times New Roman" w:cs="Times New Roman"/>
          <w:sz w:val="20"/>
          <w:szCs w:val="20"/>
          <w:lang w:val="en-US"/>
        </w:rPr>
      </w:pPr>
    </w:p>
    <w:p w:rsidR="00B124FF" w:rsidRPr="00E825BB" w:rsidRDefault="00B124FF" w:rsidP="00B124FF">
      <w:pPr>
        <w:ind w:right="360"/>
        <w:jc w:val="both"/>
        <w:rPr>
          <w:rFonts w:eastAsia="Calibri" w:cs="Times New Roman"/>
          <w:b/>
          <w:i/>
          <w:sz w:val="20"/>
          <w:szCs w:val="20"/>
          <w:lang w:val="fr-CA"/>
        </w:rPr>
      </w:pPr>
      <w:r w:rsidRPr="00E825BB">
        <w:rPr>
          <w:rFonts w:eastAsia="Calibri" w:cs="Times New Roman"/>
          <w:b/>
          <w:sz w:val="20"/>
          <w:szCs w:val="20"/>
          <w:lang w:val="fr-CA"/>
        </w:rPr>
        <w:t>38258</w:t>
      </w:r>
      <w:r w:rsidRPr="00E825BB">
        <w:rPr>
          <w:rFonts w:eastAsia="Calibri" w:cs="Times New Roman"/>
          <w:b/>
          <w:sz w:val="20"/>
          <w:szCs w:val="20"/>
          <w:lang w:val="fr-CA"/>
        </w:rPr>
        <w:tab/>
      </w:r>
      <w:r w:rsidRPr="00E825BB">
        <w:rPr>
          <w:rFonts w:eastAsia="Calibri" w:cs="Times New Roman"/>
          <w:b/>
          <w:i/>
          <w:sz w:val="20"/>
          <w:szCs w:val="20"/>
          <w:lang w:val="fr-CA"/>
        </w:rPr>
        <w:t>Kathleen Blanchard c. Sa Majesté la Reine</w:t>
      </w:r>
    </w:p>
    <w:p w:rsidR="00B124FF" w:rsidRPr="00E825BB" w:rsidRDefault="00B124FF" w:rsidP="00B124FF">
      <w:pPr>
        <w:widowControl w:val="0"/>
        <w:ind w:right="360" w:firstLine="720"/>
        <w:outlineLvl w:val="0"/>
        <w:rPr>
          <w:rFonts w:eastAsia="Times New Roman" w:cs="Times New Roman"/>
          <w:sz w:val="20"/>
          <w:szCs w:val="20"/>
          <w:lang w:val="fr-CA"/>
        </w:rPr>
      </w:pPr>
      <w:r w:rsidRPr="00E825BB">
        <w:rPr>
          <w:rFonts w:eastAsia="Times New Roman" w:cs="Times New Roman"/>
          <w:sz w:val="20"/>
          <w:szCs w:val="20"/>
          <w:lang w:val="fr-CA"/>
        </w:rPr>
        <w:t>(Qc) (Criminelle) (De plein droit)</w:t>
      </w:r>
    </w:p>
    <w:p w:rsidR="00B124FF" w:rsidRPr="00E825BB" w:rsidRDefault="00B124FF" w:rsidP="00B124FF">
      <w:pPr>
        <w:widowControl w:val="0"/>
        <w:ind w:right="360"/>
        <w:outlineLvl w:val="0"/>
        <w:rPr>
          <w:rFonts w:eastAsia="Times New Roman" w:cs="Times New Roman"/>
          <w:sz w:val="20"/>
          <w:szCs w:val="20"/>
          <w:lang w:val="fr-CA"/>
        </w:rPr>
      </w:pPr>
    </w:p>
    <w:p w:rsidR="00B124FF" w:rsidRPr="00E825BB" w:rsidRDefault="00B124FF" w:rsidP="00B124FF">
      <w:pPr>
        <w:ind w:right="360"/>
        <w:rPr>
          <w:rFonts w:eastAsia="Times New Roman" w:cs="Times New Roman"/>
          <w:sz w:val="20"/>
          <w:szCs w:val="20"/>
          <w:lang w:val="fr-CA"/>
        </w:rPr>
      </w:pPr>
      <w:r w:rsidRPr="00E825BB">
        <w:rPr>
          <w:rFonts w:eastAsia="Times New Roman" w:cs="Times New Roman"/>
          <w:sz w:val="20"/>
          <w:szCs w:val="20"/>
          <w:lang w:val="fr-CA"/>
        </w:rPr>
        <w:t xml:space="preserve">Droit criminel - Moyens de défense - Automatisme - Intoxication extrême -La défense d’intoxication extrême s’apparentant à l’automatisme est-elle admissible à l’encontre de l’infraction d’avoir omis d’obtempérer à un ordre de fournir un échantillon d’haleine décrite au par. 254(5) du </w:t>
      </w:r>
      <w:r w:rsidRPr="00E825BB">
        <w:rPr>
          <w:rFonts w:eastAsia="Times New Roman" w:cs="Times New Roman"/>
          <w:i/>
          <w:sz w:val="20"/>
          <w:szCs w:val="20"/>
          <w:lang w:val="fr-CA"/>
        </w:rPr>
        <w:t>Code criminel</w:t>
      </w:r>
      <w:r w:rsidRPr="00E825BB">
        <w:rPr>
          <w:rFonts w:eastAsia="Times New Roman" w:cs="Times New Roman"/>
          <w:sz w:val="20"/>
          <w:szCs w:val="20"/>
          <w:lang w:val="fr-CA"/>
        </w:rPr>
        <w:t>, L.R.C. 1985 c. C-46? - La conclusion du juge du procès selon laquelle l’appelante était dans un état d’intoxication extrême s’apparentant à l’automatisme était-elle erronée en droit?</w:t>
      </w:r>
    </w:p>
    <w:p w:rsidR="00B124FF" w:rsidRPr="00E825BB" w:rsidRDefault="00B124FF" w:rsidP="00B124FF">
      <w:pPr>
        <w:ind w:right="360"/>
        <w:rPr>
          <w:rFonts w:eastAsia="Times New Roman" w:cs="Times New Roman"/>
          <w:sz w:val="20"/>
          <w:szCs w:val="20"/>
          <w:lang w:val="fr-CA"/>
        </w:rPr>
      </w:pPr>
    </w:p>
    <w:p w:rsidR="00B124FF" w:rsidRPr="00E825BB" w:rsidRDefault="00B124FF" w:rsidP="00B124FF">
      <w:pPr>
        <w:ind w:right="360"/>
        <w:rPr>
          <w:rFonts w:eastAsia="Times New Roman" w:cs="Times New Roman"/>
          <w:sz w:val="20"/>
          <w:szCs w:val="20"/>
          <w:lang w:val="fr-CA"/>
        </w:rPr>
      </w:pPr>
      <w:r w:rsidRPr="00E825BB">
        <w:rPr>
          <w:rFonts w:eastAsia="Times New Roman" w:cs="Times New Roman"/>
          <w:sz w:val="20"/>
          <w:szCs w:val="20"/>
          <w:lang w:val="fr-CA"/>
        </w:rPr>
        <w:t xml:space="preserve">Kathleen Blanchard, appelante, a été acquittée d’avoir refusé d’obtempérer à un ordre de fournir un échantillon d’haleine (par. 254(5) </w:t>
      </w:r>
      <w:r w:rsidRPr="00E825BB">
        <w:rPr>
          <w:rFonts w:eastAsia="Times New Roman" w:cs="Times New Roman"/>
          <w:i/>
          <w:sz w:val="20"/>
          <w:szCs w:val="20"/>
          <w:lang w:val="fr-CA"/>
        </w:rPr>
        <w:t>Code criminel</w:t>
      </w:r>
      <w:r w:rsidRPr="00E825BB">
        <w:rPr>
          <w:rFonts w:eastAsia="Times New Roman" w:cs="Times New Roman"/>
          <w:sz w:val="20"/>
          <w:szCs w:val="20"/>
          <w:lang w:val="fr-CA"/>
        </w:rPr>
        <w:t xml:space="preserve">). Le premier juge a accueilli sa défense d’automatisme sans troubles mentaux résultant de son état avancé d’intoxication volontaire. La Cour d’appel a accueilli l’appel et a prononcé un verdict de culpabilité. Le juge Doyon, dissident, aurait rejeté l’appel. De l’avis du juge, la défense d’intoxication extrême est recevable pour tous les types d’infractions, sauf si elle est exclue par une règle de droit. En l’espèce, l’art. 33.1 du </w:t>
      </w:r>
      <w:r w:rsidRPr="00E825BB">
        <w:rPr>
          <w:rFonts w:eastAsia="Times New Roman" w:cs="Times New Roman"/>
          <w:i/>
          <w:sz w:val="20"/>
          <w:szCs w:val="20"/>
          <w:lang w:val="fr-CA"/>
        </w:rPr>
        <w:t>Code criminel</w:t>
      </w:r>
      <w:r w:rsidRPr="00E825BB">
        <w:rPr>
          <w:rFonts w:eastAsia="Times New Roman" w:cs="Times New Roman"/>
          <w:sz w:val="20"/>
          <w:szCs w:val="20"/>
          <w:lang w:val="fr-CA"/>
        </w:rPr>
        <w:t xml:space="preserve"> ne vise pas l’infraction de refus de fournir un échantillon d’haleine et la défense était donc recevable.</w:t>
      </w:r>
    </w:p>
    <w:p w:rsidR="00B124FF" w:rsidRPr="00E825BB" w:rsidRDefault="00B124FF" w:rsidP="00B124FF">
      <w:pPr>
        <w:ind w:right="360"/>
        <w:rPr>
          <w:rFonts w:eastAsia="Times New Roman" w:cs="Times New Roman"/>
          <w:sz w:val="20"/>
          <w:szCs w:val="20"/>
          <w:lang w:val="fr-CA"/>
        </w:rPr>
      </w:pPr>
    </w:p>
    <w:p w:rsidR="009E2C1C" w:rsidRDefault="009E2C1C">
      <w:pPr>
        <w:rPr>
          <w:rFonts w:eastAsia="Times New Roman" w:cs="Times New Roman"/>
          <w:sz w:val="20"/>
          <w:szCs w:val="20"/>
          <w:lang w:val="fr-CA"/>
        </w:rPr>
      </w:pPr>
      <w:r>
        <w:rPr>
          <w:rFonts w:eastAsia="Times New Roman" w:cs="Times New Roman"/>
          <w:sz w:val="20"/>
          <w:szCs w:val="20"/>
          <w:lang w:val="fr-CA"/>
        </w:rPr>
        <w:br w:type="page"/>
      </w:r>
    </w:p>
    <w:p w:rsidR="00B124FF" w:rsidRPr="00E825BB" w:rsidRDefault="00B124FF" w:rsidP="00B124FF">
      <w:pPr>
        <w:widowControl w:val="0"/>
        <w:ind w:left="709" w:right="360" w:hanging="709"/>
        <w:jc w:val="both"/>
        <w:rPr>
          <w:rFonts w:eastAsia="Times New Roman" w:cs="Times New Roman"/>
          <w:b/>
          <w:i/>
          <w:sz w:val="20"/>
          <w:szCs w:val="20"/>
        </w:rPr>
      </w:pPr>
      <w:r w:rsidRPr="00E825BB">
        <w:rPr>
          <w:rFonts w:eastAsia="Times New Roman" w:cs="Times New Roman"/>
          <w:b/>
          <w:sz w:val="20"/>
          <w:szCs w:val="20"/>
        </w:rPr>
        <w:lastRenderedPageBreak/>
        <w:fldChar w:fldCharType="begin"/>
      </w:r>
      <w:r w:rsidRPr="00E825BB">
        <w:rPr>
          <w:rFonts w:eastAsia="Times New Roman" w:cs="Times New Roman"/>
          <w:b/>
          <w:sz w:val="20"/>
          <w:szCs w:val="20"/>
          <w:lang w:val="en-US"/>
        </w:rPr>
        <w:instrText xml:space="preserve"> SEQ CHAPTER \h \r 1</w:instrText>
      </w:r>
      <w:r w:rsidRPr="00E825BB">
        <w:rPr>
          <w:rFonts w:eastAsia="Times New Roman" w:cs="Times New Roman"/>
          <w:b/>
          <w:sz w:val="20"/>
          <w:szCs w:val="20"/>
          <w:lang w:val="en-US"/>
        </w:rPr>
        <w:fldChar w:fldCharType="end"/>
      </w:r>
      <w:r w:rsidRPr="00E825BB">
        <w:rPr>
          <w:rFonts w:eastAsia="Times New Roman" w:cs="Times New Roman"/>
          <w:b/>
          <w:sz w:val="20"/>
          <w:szCs w:val="20"/>
        </w:rPr>
        <w:t>38269</w:t>
      </w:r>
      <w:r w:rsidRPr="00E825BB">
        <w:rPr>
          <w:rFonts w:eastAsia="Times New Roman" w:cs="Times New Roman"/>
          <w:sz w:val="20"/>
          <w:szCs w:val="20"/>
        </w:rPr>
        <w:tab/>
      </w:r>
      <w:r w:rsidRPr="00E825BB">
        <w:rPr>
          <w:rFonts w:eastAsia="Times New Roman" w:cs="Times New Roman"/>
          <w:b/>
          <w:i/>
          <w:sz w:val="20"/>
          <w:szCs w:val="20"/>
        </w:rPr>
        <w:t>Nelson Silva Demedeiros v. Her Majesty the Queen</w:t>
      </w:r>
    </w:p>
    <w:p w:rsidR="00B124FF" w:rsidRPr="00E825BB" w:rsidRDefault="00B124FF" w:rsidP="00B124FF">
      <w:pPr>
        <w:widowControl w:val="0"/>
        <w:ind w:left="709" w:right="360" w:hanging="709"/>
        <w:jc w:val="both"/>
        <w:rPr>
          <w:rFonts w:eastAsia="Times New Roman" w:cs="Times New Roman"/>
          <w:sz w:val="20"/>
          <w:szCs w:val="20"/>
          <w:lang w:val="en-US"/>
        </w:rPr>
      </w:pPr>
      <w:r w:rsidRPr="00E825BB">
        <w:rPr>
          <w:rFonts w:eastAsia="Times New Roman" w:cs="Times New Roman"/>
          <w:sz w:val="20"/>
          <w:szCs w:val="20"/>
        </w:rPr>
        <w:tab/>
      </w:r>
      <w:r w:rsidRPr="00E825BB">
        <w:rPr>
          <w:rFonts w:eastAsia="Times New Roman" w:cs="Times New Roman"/>
          <w:sz w:val="20"/>
          <w:szCs w:val="20"/>
          <w:lang w:val="en-US"/>
        </w:rPr>
        <w:t>(Alta.) (Criminal) (As of Right)</w:t>
      </w:r>
    </w:p>
    <w:p w:rsidR="00B124FF" w:rsidRPr="00E825BB" w:rsidRDefault="00B124FF" w:rsidP="00B124FF">
      <w:pPr>
        <w:widowControl w:val="0"/>
        <w:ind w:left="709" w:right="360" w:hanging="709"/>
        <w:jc w:val="both"/>
        <w:rPr>
          <w:rFonts w:eastAsia="Times New Roman" w:cs="Times New Roman"/>
          <w:sz w:val="20"/>
          <w:szCs w:val="20"/>
          <w:lang w:val="en-US"/>
        </w:rPr>
      </w:pPr>
    </w:p>
    <w:p w:rsidR="00B124FF" w:rsidRPr="00E825BB" w:rsidRDefault="00B124FF" w:rsidP="00B124FF">
      <w:pPr>
        <w:ind w:right="360"/>
        <w:jc w:val="both"/>
        <w:rPr>
          <w:rFonts w:eastAsia="Calibri" w:cs="Times New Roman"/>
          <w:smallCaps/>
          <w:sz w:val="20"/>
          <w:szCs w:val="20"/>
        </w:rPr>
      </w:pPr>
      <w:r w:rsidRPr="00E825BB">
        <w:rPr>
          <w:rFonts w:eastAsia="Calibri" w:cs="Times New Roman"/>
          <w:smallCaps/>
          <w:sz w:val="20"/>
          <w:szCs w:val="20"/>
        </w:rPr>
        <w:t>(Publication ban in case)</w:t>
      </w:r>
    </w:p>
    <w:p w:rsidR="00B124FF" w:rsidRPr="00E825BB" w:rsidRDefault="00B124FF" w:rsidP="00B124FF">
      <w:pPr>
        <w:ind w:right="360"/>
        <w:jc w:val="both"/>
        <w:rPr>
          <w:rFonts w:eastAsia="Times New Roman" w:cs="Times New Roman"/>
          <w:sz w:val="20"/>
          <w:szCs w:val="20"/>
          <w:lang w:val="en-US"/>
        </w:rPr>
      </w:pPr>
    </w:p>
    <w:p w:rsidR="00B124FF" w:rsidRPr="00E825BB" w:rsidRDefault="00B124FF" w:rsidP="00B124FF">
      <w:pPr>
        <w:widowControl w:val="0"/>
        <w:ind w:right="360"/>
        <w:jc w:val="both"/>
        <w:rPr>
          <w:rFonts w:eastAsia="Times New Roman" w:cs="Times New Roman"/>
          <w:sz w:val="20"/>
          <w:szCs w:val="20"/>
          <w:lang w:val="en-US"/>
        </w:rPr>
      </w:pPr>
      <w:r w:rsidRPr="00E825BB">
        <w:rPr>
          <w:rFonts w:eastAsia="Times New Roman" w:cs="Times New Roman"/>
          <w:sz w:val="20"/>
          <w:szCs w:val="20"/>
          <w:lang w:val="en-US"/>
        </w:rPr>
        <w:t>Criminal law - Unreasonable verdict - Whether the trial judge erred in law by finding the evidence relied upon was capable of supporting or confirming the complainant’s testimony - Whether the trial judge erred by rendering an unreasonable verdict.</w:t>
      </w:r>
    </w:p>
    <w:p w:rsidR="00B124FF" w:rsidRPr="00E825BB" w:rsidRDefault="00B124FF" w:rsidP="00B124FF">
      <w:pPr>
        <w:widowControl w:val="0"/>
        <w:ind w:left="709" w:right="360" w:hanging="709"/>
        <w:jc w:val="both"/>
        <w:rPr>
          <w:rFonts w:eastAsia="Times New Roman" w:cs="Times New Roman"/>
          <w:sz w:val="20"/>
          <w:szCs w:val="20"/>
          <w:lang w:val="en-US"/>
        </w:rPr>
      </w:pPr>
    </w:p>
    <w:p w:rsidR="00B124FF" w:rsidRPr="00E825BB" w:rsidRDefault="00B124FF" w:rsidP="00B124FF">
      <w:pPr>
        <w:widowControl w:val="0"/>
        <w:ind w:right="360"/>
        <w:jc w:val="both"/>
        <w:rPr>
          <w:rFonts w:eastAsia="Times New Roman" w:cs="Times New Roman"/>
          <w:sz w:val="20"/>
          <w:szCs w:val="20"/>
          <w:lang w:val="en-US"/>
        </w:rPr>
      </w:pPr>
      <w:r w:rsidRPr="00E825BB">
        <w:rPr>
          <w:rFonts w:eastAsia="Times New Roman" w:cs="Times New Roman"/>
          <w:sz w:val="20"/>
          <w:szCs w:val="20"/>
          <w:lang w:val="en-US"/>
        </w:rPr>
        <w:t>Nelson Silva Demedeiros, appellant, appealed his convictions for sexual assault with a weapon and unlawful confinement. He did not testify at trial, and the Crown’s case was largely dependent on the credibility and reliability of the complainant who was severely intoxicated through most of the events. It is alleged that when asked to leave the complainant’s apartment following several sexual acts on his part, Mr. Demedeiros refused. He then would not to let the complainant leave her apartment, threatened her with knives, put a knife to her throat and kissed her forcefully, pushed her onto the sofa and stabbed it and the wall with a knife. Fearing for her life, the complainant then jumped from her balcony. A majority of the Court of Appeal dismissed the appeal. Berger J.A., dissenting, would have allowed the appeal and either ordered a new trial on the basis of the material errors of law he identified in the trial judge’s judgment or substituted acquittals on the basis that the verdict was unreasonable. In his view, all of the complainant’s evidence was disjointed, confusing, and fraught with ambiguity and was not resurrected by independent and material supporting evidence establishing Mr. Demedeiros’ guilt, and as a result, appellate intervention was necessary.</w:t>
      </w:r>
    </w:p>
    <w:p w:rsidR="00B124FF" w:rsidRPr="00E825BB" w:rsidRDefault="00B124FF" w:rsidP="00B124FF">
      <w:pPr>
        <w:widowControl w:val="0"/>
        <w:ind w:left="709" w:right="360" w:hanging="709"/>
        <w:jc w:val="both"/>
        <w:rPr>
          <w:rFonts w:eastAsia="Times New Roman" w:cs="Times New Roman"/>
          <w:sz w:val="20"/>
          <w:szCs w:val="20"/>
          <w:lang w:val="en-US"/>
        </w:rPr>
      </w:pPr>
    </w:p>
    <w:p w:rsidR="00B124FF" w:rsidRPr="00E825BB" w:rsidRDefault="00B124FF" w:rsidP="00B124FF">
      <w:pPr>
        <w:widowControl w:val="0"/>
        <w:ind w:left="709" w:right="360" w:hanging="709"/>
        <w:jc w:val="both"/>
        <w:rPr>
          <w:rFonts w:eastAsia="Times New Roman" w:cs="Times New Roman"/>
          <w:sz w:val="20"/>
          <w:szCs w:val="20"/>
        </w:rPr>
      </w:pPr>
    </w:p>
    <w:p w:rsidR="00B124FF" w:rsidRPr="00E825BB" w:rsidRDefault="00B124FF" w:rsidP="00B124FF">
      <w:pPr>
        <w:widowControl w:val="0"/>
        <w:ind w:left="709" w:right="360" w:hanging="709"/>
        <w:jc w:val="both"/>
        <w:rPr>
          <w:rFonts w:eastAsia="Times New Roman" w:cs="Times New Roman"/>
          <w:b/>
          <w:i/>
          <w:sz w:val="20"/>
          <w:szCs w:val="20"/>
          <w:lang w:val="fr-CA"/>
        </w:rPr>
      </w:pPr>
      <w:r w:rsidRPr="00E825BB">
        <w:rPr>
          <w:rFonts w:eastAsia="Times New Roman" w:cs="Times New Roman"/>
          <w:b/>
          <w:sz w:val="20"/>
          <w:szCs w:val="20"/>
          <w:lang w:val="fr-CA"/>
        </w:rPr>
        <w:fldChar w:fldCharType="begin"/>
      </w:r>
      <w:r w:rsidRPr="00E825BB">
        <w:rPr>
          <w:rFonts w:eastAsia="Times New Roman" w:cs="Times New Roman"/>
          <w:b/>
          <w:sz w:val="20"/>
          <w:szCs w:val="20"/>
          <w:lang w:val="fr-CA"/>
        </w:rPr>
        <w:instrText xml:space="preserve"> SEQ CHAPTER \h \r 1</w:instrText>
      </w:r>
      <w:r w:rsidRPr="00E825BB">
        <w:rPr>
          <w:rFonts w:eastAsia="Times New Roman" w:cs="Times New Roman"/>
          <w:b/>
          <w:sz w:val="20"/>
          <w:szCs w:val="20"/>
          <w:lang w:val="fr-CA"/>
        </w:rPr>
        <w:fldChar w:fldCharType="end"/>
      </w:r>
      <w:r w:rsidRPr="00E825BB">
        <w:rPr>
          <w:rFonts w:eastAsia="Times New Roman" w:cs="Times New Roman"/>
          <w:b/>
          <w:sz w:val="20"/>
          <w:szCs w:val="20"/>
          <w:lang w:val="fr-CA"/>
        </w:rPr>
        <w:t>38269</w:t>
      </w:r>
      <w:r w:rsidRPr="00E825BB">
        <w:rPr>
          <w:rFonts w:eastAsia="Times New Roman" w:cs="Times New Roman"/>
          <w:sz w:val="20"/>
          <w:szCs w:val="20"/>
          <w:lang w:val="fr-CA"/>
        </w:rPr>
        <w:tab/>
      </w:r>
      <w:r w:rsidRPr="00E825BB">
        <w:rPr>
          <w:rFonts w:eastAsia="Times New Roman" w:cs="Times New Roman"/>
          <w:b/>
          <w:i/>
          <w:sz w:val="20"/>
          <w:szCs w:val="20"/>
          <w:lang w:val="fr-CA"/>
        </w:rPr>
        <w:t>Nelson Silva Demedeiros c. Sa Majesté la Reine</w:t>
      </w:r>
    </w:p>
    <w:p w:rsidR="00B124FF" w:rsidRPr="00E825BB" w:rsidRDefault="00B124FF" w:rsidP="00B124FF">
      <w:pPr>
        <w:widowControl w:val="0"/>
        <w:ind w:left="709" w:right="360" w:hanging="709"/>
        <w:jc w:val="both"/>
        <w:rPr>
          <w:rFonts w:eastAsia="Times New Roman" w:cs="Times New Roman"/>
          <w:sz w:val="20"/>
          <w:szCs w:val="20"/>
          <w:lang w:val="fr-CA"/>
        </w:rPr>
      </w:pPr>
      <w:r w:rsidRPr="00E825BB">
        <w:rPr>
          <w:rFonts w:eastAsia="Times New Roman" w:cs="Times New Roman"/>
          <w:sz w:val="20"/>
          <w:szCs w:val="20"/>
          <w:lang w:val="fr-CA"/>
        </w:rPr>
        <w:tab/>
        <w:t>(Alb.) (Criminelle) (De plein droit)</w:t>
      </w:r>
    </w:p>
    <w:p w:rsidR="00B124FF" w:rsidRPr="00E825BB" w:rsidRDefault="00B124FF" w:rsidP="00B124FF">
      <w:pPr>
        <w:widowControl w:val="0"/>
        <w:ind w:left="709" w:right="360" w:hanging="709"/>
        <w:jc w:val="both"/>
        <w:rPr>
          <w:rFonts w:eastAsia="Times New Roman" w:cs="Times New Roman"/>
          <w:sz w:val="20"/>
          <w:szCs w:val="20"/>
          <w:lang w:val="fr-CA"/>
        </w:rPr>
      </w:pPr>
    </w:p>
    <w:p w:rsidR="00B124FF" w:rsidRPr="00E825BB" w:rsidRDefault="00B124FF" w:rsidP="00B124FF">
      <w:pPr>
        <w:ind w:right="360"/>
        <w:jc w:val="both"/>
        <w:rPr>
          <w:rFonts w:eastAsia="Calibri" w:cs="Times New Roman"/>
          <w:smallCaps/>
          <w:sz w:val="20"/>
          <w:szCs w:val="20"/>
          <w:lang w:val="fr-CA"/>
        </w:rPr>
      </w:pPr>
      <w:r w:rsidRPr="00E825BB">
        <w:rPr>
          <w:rFonts w:eastAsia="Calibri" w:cs="Times New Roman"/>
          <w:smallCaps/>
          <w:sz w:val="20"/>
          <w:szCs w:val="20"/>
          <w:lang w:val="fr-CA"/>
        </w:rPr>
        <w:t>(Ordonnance de non-publication dans le dossier)</w:t>
      </w:r>
    </w:p>
    <w:p w:rsidR="00B124FF" w:rsidRPr="00E825BB" w:rsidRDefault="00B124FF" w:rsidP="00B124FF">
      <w:pPr>
        <w:ind w:right="360"/>
        <w:jc w:val="both"/>
        <w:rPr>
          <w:rFonts w:eastAsia="Times New Roman" w:cs="Times New Roman"/>
          <w:sz w:val="20"/>
          <w:szCs w:val="20"/>
          <w:lang w:val="fr-CA"/>
        </w:rPr>
      </w:pPr>
    </w:p>
    <w:p w:rsidR="00B124FF" w:rsidRPr="00E825BB" w:rsidRDefault="00B124FF" w:rsidP="00B124FF">
      <w:pPr>
        <w:widowControl w:val="0"/>
        <w:ind w:right="360"/>
        <w:jc w:val="both"/>
        <w:rPr>
          <w:rFonts w:eastAsia="Times New Roman" w:cs="Times New Roman"/>
          <w:sz w:val="20"/>
          <w:szCs w:val="20"/>
          <w:lang w:val="fr-CA"/>
        </w:rPr>
      </w:pPr>
      <w:r w:rsidRPr="00E825BB">
        <w:rPr>
          <w:rFonts w:eastAsia="Times New Roman" w:cs="Times New Roman"/>
          <w:sz w:val="20"/>
          <w:szCs w:val="20"/>
          <w:lang w:val="fr-CA"/>
        </w:rPr>
        <w:t>Droit criminel - Verdict déraisonnable - Le juge du procès a-t-il commis une erreur de droit en concluant que les éléments de preuve sur lesquels il s’est fondé étaient susceptibles d’appuyer ou de confirmer le témoignage de la plaignante? - Le juge du procès a-t-il commis une erreur en rendant un verdict déraisonnable?</w:t>
      </w:r>
    </w:p>
    <w:p w:rsidR="00B124FF" w:rsidRPr="00E825BB" w:rsidRDefault="00B124FF" w:rsidP="00B124FF">
      <w:pPr>
        <w:widowControl w:val="0"/>
        <w:ind w:left="709" w:right="360" w:hanging="709"/>
        <w:jc w:val="both"/>
        <w:rPr>
          <w:rFonts w:eastAsia="Times New Roman" w:cs="Times New Roman"/>
          <w:sz w:val="20"/>
          <w:szCs w:val="20"/>
          <w:lang w:val="fr-CA"/>
        </w:rPr>
      </w:pPr>
    </w:p>
    <w:p w:rsidR="00B124FF" w:rsidRPr="00E825BB" w:rsidRDefault="00B124FF" w:rsidP="00B124FF">
      <w:pPr>
        <w:widowControl w:val="0"/>
        <w:ind w:right="360"/>
        <w:jc w:val="both"/>
        <w:rPr>
          <w:rFonts w:eastAsia="Times New Roman" w:cs="Times New Roman"/>
          <w:sz w:val="20"/>
          <w:szCs w:val="20"/>
          <w:lang w:val="fr-CA"/>
        </w:rPr>
      </w:pPr>
      <w:r w:rsidRPr="00E825BB">
        <w:rPr>
          <w:rFonts w:eastAsia="Times New Roman" w:cs="Times New Roman"/>
          <w:sz w:val="20"/>
          <w:szCs w:val="20"/>
          <w:lang w:val="fr-CA"/>
        </w:rPr>
        <w:t>Nelson Silva Demedeiros, l’appelant, a interjeté appel des déclarations de culpabilité pour agression sexuelle armée et séquestration prononcées contre lui. Il n’a pas témoigné au procès et la preuve du ministère public dépendait en grande partie de la crédibilité et de la fiabilité de la plaignante qui était complètement ivre pendant la plupart des événements. On allègue que M. Demedeiros aurait refusé de quitter l’appartement de la plaignante après avoir été prié de le faire à la suite de plusieurs actes sexuels de sa part. Il aurait ensuite empêché la plaignante de quitter son appartement, il l’aurait menacée avec des couteaux, il lui aurait placé un couteau à la gorge et embrassée de force, il l’aurait poussée dans le divan et il aurait donné des coups de couteau dans le divan et dans le mur. Craignant pour sa vie, la plaignante aurait alors sauté de son balcon. Les juges majoritaires de la Cour d’appel ont rejeté l’appel. Le juge Berger, dissident, aurait accueilli l’appel et soit ordonné la tenue d’un nouveau procès en raison d’erreurs de droit importantes qu’il avait identifiées dans le jugement du juge du procès, soit prononcé des acquittements parce que le verdict était déraisonnable. À son avis, le témoignage au complet de la plaignante était décousu, déroutant et ambigu et il n’a pas été corroboré par une preuve indépendante et substantielle établissant la culpabilité de M. Demedeiros, si bien qu’une intervention en appel était nécessaire.</w:t>
      </w:r>
    </w:p>
    <w:p w:rsidR="00B124FF" w:rsidRPr="00E825BB" w:rsidRDefault="00B124FF" w:rsidP="00B124FF">
      <w:pPr>
        <w:widowControl w:val="0"/>
        <w:ind w:left="709" w:right="360" w:hanging="709"/>
        <w:jc w:val="both"/>
        <w:rPr>
          <w:rFonts w:eastAsia="Times New Roman" w:cs="Times New Roman"/>
          <w:sz w:val="20"/>
          <w:szCs w:val="20"/>
          <w:lang w:val="fr-CA"/>
        </w:rPr>
      </w:pPr>
    </w:p>
    <w:p w:rsidR="00B124FF" w:rsidRPr="00E825BB" w:rsidRDefault="00B124FF" w:rsidP="00B124FF">
      <w:pPr>
        <w:widowControl w:val="0"/>
        <w:ind w:left="709" w:right="360" w:hanging="709"/>
        <w:jc w:val="both"/>
        <w:rPr>
          <w:rFonts w:eastAsia="Times New Roman" w:cs="Times New Roman"/>
          <w:sz w:val="20"/>
          <w:szCs w:val="20"/>
          <w:lang w:val="fr-CA"/>
        </w:rPr>
      </w:pPr>
    </w:p>
    <w:p w:rsidR="00B124FF" w:rsidRPr="00E825BB" w:rsidRDefault="00B124FF" w:rsidP="00B124FF">
      <w:pPr>
        <w:widowControl w:val="0"/>
        <w:ind w:left="720" w:right="360" w:hanging="720"/>
        <w:jc w:val="both"/>
        <w:rPr>
          <w:rFonts w:eastAsia="Times New Roman" w:cs="Times New Roman"/>
          <w:b/>
          <w:i/>
          <w:sz w:val="20"/>
          <w:szCs w:val="20"/>
        </w:rPr>
      </w:pPr>
      <w:r w:rsidRPr="00E825BB">
        <w:rPr>
          <w:rFonts w:eastAsia="Times New Roman" w:cs="Times New Roman"/>
          <w:b/>
          <w:sz w:val="20"/>
          <w:szCs w:val="20"/>
        </w:rPr>
        <w:fldChar w:fldCharType="begin"/>
      </w:r>
      <w:r w:rsidRPr="00E825BB">
        <w:rPr>
          <w:rFonts w:eastAsia="Times New Roman" w:cs="Times New Roman"/>
          <w:b/>
          <w:sz w:val="20"/>
          <w:szCs w:val="20"/>
          <w:lang w:val="en-US"/>
        </w:rPr>
        <w:instrText xml:space="preserve"> SEQ CHAPTER \h \r 1</w:instrText>
      </w:r>
      <w:r w:rsidRPr="00E825BB">
        <w:rPr>
          <w:rFonts w:eastAsia="Times New Roman" w:cs="Times New Roman"/>
          <w:b/>
          <w:sz w:val="20"/>
          <w:szCs w:val="20"/>
          <w:lang w:val="en-US"/>
        </w:rPr>
        <w:fldChar w:fldCharType="end"/>
      </w:r>
      <w:r w:rsidRPr="00E825BB">
        <w:rPr>
          <w:rFonts w:eastAsia="Times New Roman" w:cs="Times New Roman"/>
          <w:b/>
          <w:sz w:val="20"/>
          <w:szCs w:val="20"/>
        </w:rPr>
        <w:t>38217</w:t>
      </w:r>
      <w:r w:rsidRPr="00E825BB">
        <w:rPr>
          <w:rFonts w:eastAsia="Times New Roman" w:cs="Times New Roman"/>
          <w:sz w:val="20"/>
          <w:szCs w:val="20"/>
        </w:rPr>
        <w:tab/>
      </w:r>
      <w:r w:rsidRPr="00E825BB">
        <w:rPr>
          <w:rFonts w:eastAsia="Times New Roman" w:cs="Times New Roman"/>
          <w:b/>
          <w:i/>
          <w:sz w:val="20"/>
          <w:szCs w:val="20"/>
        </w:rPr>
        <w:t>Devante George-Nurse v. Her Majesty the Queen</w:t>
      </w:r>
    </w:p>
    <w:p w:rsidR="00B124FF" w:rsidRPr="00E825BB" w:rsidRDefault="00B124FF" w:rsidP="00B124FF">
      <w:pPr>
        <w:widowControl w:val="0"/>
        <w:ind w:right="360" w:firstLine="720"/>
        <w:jc w:val="both"/>
        <w:rPr>
          <w:rFonts w:eastAsia="Times New Roman" w:cs="Times New Roman"/>
          <w:sz w:val="20"/>
          <w:szCs w:val="20"/>
        </w:rPr>
      </w:pPr>
      <w:r w:rsidRPr="00E825BB">
        <w:rPr>
          <w:rFonts w:eastAsia="Times New Roman" w:cs="Times New Roman"/>
          <w:sz w:val="20"/>
          <w:szCs w:val="20"/>
        </w:rPr>
        <w:t>(Ont.) (Criminal) (As of Right)</w:t>
      </w:r>
    </w:p>
    <w:p w:rsidR="00B124FF" w:rsidRPr="00E825BB" w:rsidRDefault="00B124FF" w:rsidP="00B124FF">
      <w:pPr>
        <w:widowControl w:val="0"/>
        <w:ind w:right="360"/>
        <w:jc w:val="both"/>
        <w:rPr>
          <w:rFonts w:eastAsia="Times New Roman" w:cs="Times New Roman"/>
          <w:sz w:val="20"/>
          <w:szCs w:val="20"/>
        </w:rPr>
      </w:pPr>
    </w:p>
    <w:p w:rsidR="00B124FF" w:rsidRPr="00E825BB" w:rsidRDefault="00B124FF" w:rsidP="00B124FF">
      <w:pPr>
        <w:widowControl w:val="0"/>
        <w:ind w:right="360"/>
        <w:jc w:val="both"/>
        <w:rPr>
          <w:rFonts w:eastAsia="Times New Roman" w:cs="Times New Roman"/>
          <w:sz w:val="20"/>
          <w:szCs w:val="20"/>
        </w:rPr>
      </w:pPr>
      <w:r w:rsidRPr="00E825BB">
        <w:rPr>
          <w:rFonts w:eastAsia="Times New Roman" w:cs="Times New Roman"/>
          <w:sz w:val="20"/>
          <w:szCs w:val="20"/>
          <w:lang w:val="en-US"/>
        </w:rPr>
        <w:t>Criminal law - Circumstantial evidence - Reasonable verdict - Whether the verdicts were unreasonable - Whether an inference of guilt was the only reasonable inference available - Whether the appellant’s failure to testify allowed an adverse inference to be drawn.</w:t>
      </w:r>
    </w:p>
    <w:p w:rsidR="00B124FF" w:rsidRPr="00E825BB" w:rsidRDefault="00B124FF" w:rsidP="00B124FF">
      <w:pPr>
        <w:widowControl w:val="0"/>
        <w:ind w:right="360"/>
        <w:jc w:val="both"/>
        <w:rPr>
          <w:rFonts w:eastAsia="Times New Roman" w:cs="Times New Roman"/>
          <w:sz w:val="20"/>
          <w:szCs w:val="20"/>
        </w:rPr>
      </w:pPr>
    </w:p>
    <w:p w:rsidR="00B124FF" w:rsidRPr="00E825BB" w:rsidRDefault="00B124FF" w:rsidP="00B124FF">
      <w:pPr>
        <w:widowControl w:val="0"/>
        <w:ind w:right="360"/>
        <w:jc w:val="both"/>
        <w:rPr>
          <w:rFonts w:eastAsia="Times New Roman" w:cs="Times New Roman"/>
          <w:sz w:val="20"/>
          <w:szCs w:val="20"/>
        </w:rPr>
      </w:pPr>
      <w:r w:rsidRPr="00E825BB">
        <w:rPr>
          <w:rFonts w:eastAsia="Times New Roman" w:cs="Times New Roman"/>
          <w:sz w:val="20"/>
          <w:szCs w:val="20"/>
        </w:rPr>
        <w:t xml:space="preserve">Mr. George-Nurse, appellant, was convicted of one count of intentionally discharging a firearm while reckless as to </w:t>
      </w:r>
      <w:r w:rsidRPr="00E825BB">
        <w:rPr>
          <w:rFonts w:eastAsia="Times New Roman" w:cs="Times New Roman"/>
          <w:sz w:val="20"/>
          <w:szCs w:val="20"/>
        </w:rPr>
        <w:lastRenderedPageBreak/>
        <w:t>the life or safety of another person and one count of occupying a motor vehicle while knowing there was a firearm in the vehicle. The Crown alleged that he counselled the driver of the SUV he was in to shoot at or near a particular person as retaliation for damage that had been done to his mother’s car. Mr. George-Nurse argued that the circumstantial evidence was consistent with a number of possibilities other than his having counselled the driver to shoot. On appeal, Mr. George-Nurse argued the verdicts were unreasonable. A majority of the Court of Appeal dismissed the appeal. Hourigan J.A., dissenting, would have allowed the appeal and entered acquittals.</w:t>
      </w:r>
    </w:p>
    <w:p w:rsidR="00B124FF" w:rsidRPr="00E825BB" w:rsidRDefault="00B124FF" w:rsidP="00B124FF">
      <w:pPr>
        <w:widowControl w:val="0"/>
        <w:ind w:right="360"/>
        <w:jc w:val="both"/>
        <w:rPr>
          <w:rFonts w:eastAsia="Times New Roman" w:cs="Times New Roman"/>
          <w:sz w:val="20"/>
          <w:szCs w:val="20"/>
        </w:rPr>
      </w:pPr>
    </w:p>
    <w:p w:rsidR="00B124FF" w:rsidRPr="00E825BB" w:rsidRDefault="00B124FF" w:rsidP="00B124FF">
      <w:pPr>
        <w:widowControl w:val="0"/>
        <w:ind w:right="360"/>
        <w:jc w:val="both"/>
        <w:rPr>
          <w:rFonts w:eastAsia="Times New Roman" w:cs="Times New Roman"/>
          <w:sz w:val="20"/>
          <w:szCs w:val="20"/>
        </w:rPr>
      </w:pPr>
    </w:p>
    <w:p w:rsidR="00B124FF" w:rsidRPr="00E825BB" w:rsidRDefault="00B124FF" w:rsidP="00B124FF">
      <w:pPr>
        <w:widowControl w:val="0"/>
        <w:ind w:left="720" w:right="360" w:hanging="720"/>
        <w:jc w:val="both"/>
        <w:rPr>
          <w:rFonts w:eastAsia="Times New Roman" w:cs="Times New Roman"/>
          <w:b/>
          <w:i/>
          <w:sz w:val="20"/>
          <w:szCs w:val="20"/>
          <w:lang w:val="fr-CA"/>
        </w:rPr>
      </w:pPr>
      <w:r w:rsidRPr="00E825BB">
        <w:rPr>
          <w:rFonts w:eastAsia="Times New Roman" w:cs="Times New Roman"/>
          <w:b/>
          <w:sz w:val="20"/>
          <w:szCs w:val="20"/>
          <w:lang w:val="en-US"/>
        </w:rPr>
        <w:fldChar w:fldCharType="begin"/>
      </w:r>
      <w:r w:rsidRPr="00E825BB">
        <w:rPr>
          <w:rFonts w:eastAsia="Times New Roman" w:cs="Times New Roman"/>
          <w:b/>
          <w:sz w:val="20"/>
          <w:szCs w:val="20"/>
          <w:lang w:val="fr-CA"/>
        </w:rPr>
        <w:instrText xml:space="preserve"> SEQ CHAPTER \h \r 1</w:instrText>
      </w:r>
      <w:r w:rsidRPr="00E825BB">
        <w:rPr>
          <w:rFonts w:eastAsia="Times New Roman" w:cs="Times New Roman"/>
          <w:b/>
          <w:sz w:val="20"/>
          <w:szCs w:val="20"/>
          <w:lang w:val="en-US"/>
        </w:rPr>
        <w:fldChar w:fldCharType="end"/>
      </w:r>
      <w:r w:rsidRPr="00E825BB">
        <w:rPr>
          <w:rFonts w:eastAsia="Times New Roman" w:cs="Times New Roman"/>
          <w:b/>
          <w:sz w:val="20"/>
          <w:szCs w:val="20"/>
          <w:lang w:val="fr-CA"/>
        </w:rPr>
        <w:t>38217</w:t>
      </w:r>
      <w:r w:rsidRPr="00E825BB">
        <w:rPr>
          <w:rFonts w:eastAsia="Times New Roman" w:cs="Times New Roman"/>
          <w:sz w:val="20"/>
          <w:szCs w:val="20"/>
          <w:lang w:val="fr-CA"/>
        </w:rPr>
        <w:tab/>
      </w:r>
      <w:r w:rsidRPr="00E825BB">
        <w:rPr>
          <w:rFonts w:eastAsia="Times New Roman" w:cs="Times New Roman"/>
          <w:b/>
          <w:i/>
          <w:sz w:val="20"/>
          <w:szCs w:val="20"/>
          <w:lang w:val="fr-CA"/>
        </w:rPr>
        <w:t>Devante George-Nurse c. Sa Majesté la Reine</w:t>
      </w:r>
    </w:p>
    <w:p w:rsidR="00B124FF" w:rsidRPr="00E825BB" w:rsidRDefault="00B124FF" w:rsidP="00B124FF">
      <w:pPr>
        <w:widowControl w:val="0"/>
        <w:ind w:right="360" w:firstLine="720"/>
        <w:jc w:val="both"/>
        <w:rPr>
          <w:rFonts w:eastAsia="Times New Roman" w:cs="Times New Roman"/>
          <w:sz w:val="20"/>
          <w:szCs w:val="20"/>
          <w:lang w:val="fr-CA"/>
        </w:rPr>
      </w:pPr>
      <w:r w:rsidRPr="00E825BB">
        <w:rPr>
          <w:rFonts w:eastAsia="Times New Roman" w:cs="Times New Roman"/>
          <w:sz w:val="20"/>
          <w:szCs w:val="20"/>
          <w:lang w:val="fr-CA"/>
        </w:rPr>
        <w:t>(Ont.) (Criminelle) (De plein droit)</w:t>
      </w:r>
    </w:p>
    <w:p w:rsidR="00B124FF" w:rsidRPr="00E825BB" w:rsidRDefault="00B124FF" w:rsidP="00B124FF">
      <w:pPr>
        <w:widowControl w:val="0"/>
        <w:ind w:right="360"/>
        <w:jc w:val="both"/>
        <w:rPr>
          <w:rFonts w:eastAsia="Times New Roman" w:cs="Times New Roman"/>
          <w:sz w:val="20"/>
          <w:szCs w:val="20"/>
          <w:lang w:val="fr-CA"/>
        </w:rPr>
      </w:pPr>
    </w:p>
    <w:p w:rsidR="00B124FF" w:rsidRPr="00E825BB" w:rsidRDefault="00B124FF" w:rsidP="00B124FF">
      <w:pPr>
        <w:widowControl w:val="0"/>
        <w:ind w:right="360"/>
        <w:jc w:val="both"/>
        <w:rPr>
          <w:rFonts w:eastAsia="Times New Roman" w:cs="Times New Roman"/>
          <w:sz w:val="20"/>
          <w:szCs w:val="20"/>
          <w:lang w:val="fr-CA"/>
        </w:rPr>
      </w:pPr>
      <w:r w:rsidRPr="00E825BB">
        <w:rPr>
          <w:rFonts w:eastAsia="Times New Roman" w:cs="Times New Roman"/>
          <w:sz w:val="20"/>
          <w:szCs w:val="20"/>
          <w:lang w:val="fr-CA"/>
        </w:rPr>
        <w:t xml:space="preserve">Droit criminel - Preuve circonstancielle - Verdict raisonnable - Les verdicts étaient-ils déraisonnables ? - L’inférence de culpabilité était-elle la seule inférence raisonnable possible ? - L’absence de témoignage de l’appelant a-t-elle permis de tirer une inférence qui lui a été défavorable ? </w:t>
      </w:r>
    </w:p>
    <w:p w:rsidR="00B124FF" w:rsidRPr="00E825BB" w:rsidRDefault="00B124FF" w:rsidP="00B124FF">
      <w:pPr>
        <w:widowControl w:val="0"/>
        <w:ind w:right="360"/>
        <w:jc w:val="both"/>
        <w:rPr>
          <w:rFonts w:eastAsia="Times New Roman" w:cs="Times New Roman"/>
          <w:sz w:val="20"/>
          <w:szCs w:val="20"/>
          <w:lang w:val="fr-CA"/>
        </w:rPr>
      </w:pPr>
    </w:p>
    <w:p w:rsidR="00B124FF" w:rsidRPr="00E825BB" w:rsidRDefault="00B124FF" w:rsidP="00B124FF">
      <w:pPr>
        <w:widowControl w:val="0"/>
        <w:ind w:right="360"/>
        <w:jc w:val="both"/>
        <w:rPr>
          <w:rFonts w:eastAsia="Times New Roman" w:cs="Times New Roman"/>
          <w:sz w:val="20"/>
          <w:szCs w:val="20"/>
          <w:lang w:val="fr-CA"/>
        </w:rPr>
      </w:pPr>
      <w:r w:rsidRPr="00E825BB">
        <w:rPr>
          <w:rFonts w:eastAsia="Times New Roman" w:cs="Times New Roman"/>
          <w:sz w:val="20"/>
          <w:szCs w:val="20"/>
          <w:lang w:val="fr-CA"/>
        </w:rPr>
        <w:t xml:space="preserve">M. George-Nuse, appelant, a été déclaré coupable d’un chef d’avoir </w:t>
      </w:r>
      <w:r w:rsidRPr="00E825BB">
        <w:rPr>
          <w:rFonts w:eastAsia="Times New Roman" w:cs="Times New Roman"/>
          <w:sz w:val="20"/>
          <w:szCs w:val="20"/>
          <w:lang w:val="fr-FR"/>
        </w:rPr>
        <w:t>déchargé intentionnellement une arme à feu sans se soucier de la vie ou de la sécurité d’autrui</w:t>
      </w:r>
      <w:r w:rsidRPr="00E825BB">
        <w:rPr>
          <w:rFonts w:eastAsia="Times New Roman" w:cs="Times New Roman"/>
          <w:sz w:val="20"/>
          <w:szCs w:val="20"/>
          <w:lang w:val="fr-CA"/>
        </w:rPr>
        <w:t xml:space="preserve"> et d’un chef d’avoir </w:t>
      </w:r>
      <w:r w:rsidRPr="00E825BB">
        <w:rPr>
          <w:rFonts w:eastAsia="Times New Roman" w:cs="Times New Roman"/>
          <w:sz w:val="20"/>
          <w:szCs w:val="20"/>
          <w:lang w:val="fr-FR"/>
        </w:rPr>
        <w:t>occupé un véhicule automobile où il savait que se trouvait une arme à feu. Le ministère public a allégué que M. George-Nurse a conseillé au conducteur du véhicule utilitaire sport dans lequel il se trouvait de tirer sur une personne en particulier ou près d’elle en guise de représailles pour le dommage causé à la voiture de sa mère. M. George-Nurse a soutenu que la preuve circonstancielle était compatible avec un grand nombre de possibilités autres que celle voulant qu’il ait conseillé au conducteur de tirer. En appel, M. George-Nurse a plaidé que les verdicts étaient déraisonnables. Les juges majoritaires de la Cour d’appel ont rejeté son appel. Le juge Hourigan, dissident, aurait accueilli l’appel et prononcé des acquittements.</w:t>
      </w:r>
    </w:p>
    <w:p w:rsidR="00B124FF" w:rsidRPr="00E825BB" w:rsidRDefault="00B124FF" w:rsidP="00B124FF">
      <w:pPr>
        <w:widowControl w:val="0"/>
        <w:ind w:right="360"/>
        <w:outlineLvl w:val="0"/>
        <w:rPr>
          <w:rFonts w:eastAsia="Times New Roman" w:cs="Times New Roman"/>
          <w:sz w:val="20"/>
          <w:szCs w:val="20"/>
          <w:lang w:val="fr-CA"/>
        </w:rPr>
      </w:pPr>
    </w:p>
    <w:p w:rsidR="00B124FF" w:rsidRPr="00E825BB" w:rsidRDefault="00B124FF" w:rsidP="00B124FF">
      <w:pPr>
        <w:widowControl w:val="0"/>
        <w:ind w:right="360"/>
        <w:outlineLvl w:val="0"/>
        <w:rPr>
          <w:rFonts w:eastAsia="Times New Roman" w:cs="Times New Roman"/>
          <w:sz w:val="20"/>
          <w:szCs w:val="20"/>
          <w:lang w:val="fr-CA"/>
        </w:rPr>
      </w:pPr>
    </w:p>
    <w:p w:rsidR="00B124FF" w:rsidRPr="00E825BB" w:rsidRDefault="00B124FF" w:rsidP="00B124FF">
      <w:pPr>
        <w:widowControl w:val="0"/>
        <w:ind w:left="720" w:right="360" w:hanging="720"/>
        <w:jc w:val="both"/>
        <w:rPr>
          <w:rFonts w:eastAsia="Times New Roman" w:cs="Times New Roman"/>
          <w:b/>
          <w:sz w:val="20"/>
          <w:szCs w:val="20"/>
        </w:rPr>
      </w:pPr>
      <w:r w:rsidRPr="00E825BB">
        <w:rPr>
          <w:rFonts w:eastAsia="Times New Roman" w:cs="Times New Roman"/>
          <w:b/>
          <w:sz w:val="20"/>
          <w:szCs w:val="20"/>
        </w:rPr>
        <w:fldChar w:fldCharType="begin"/>
      </w:r>
      <w:r w:rsidRPr="00E825BB">
        <w:rPr>
          <w:rFonts w:eastAsia="Times New Roman" w:cs="Times New Roman"/>
          <w:b/>
          <w:sz w:val="20"/>
          <w:szCs w:val="20"/>
          <w:lang w:val="en-US"/>
        </w:rPr>
        <w:instrText xml:space="preserve"> SEQ CHAPTER \h \r 1</w:instrText>
      </w:r>
      <w:r w:rsidRPr="00E825BB">
        <w:rPr>
          <w:rFonts w:eastAsia="Times New Roman" w:cs="Times New Roman"/>
          <w:b/>
          <w:sz w:val="20"/>
          <w:szCs w:val="20"/>
          <w:lang w:val="en-US"/>
        </w:rPr>
        <w:fldChar w:fldCharType="end"/>
      </w:r>
      <w:r w:rsidRPr="00E825BB">
        <w:rPr>
          <w:rFonts w:eastAsia="Times New Roman" w:cs="Times New Roman"/>
          <w:b/>
          <w:sz w:val="20"/>
          <w:szCs w:val="20"/>
        </w:rPr>
        <w:t>38292</w:t>
      </w:r>
      <w:r w:rsidRPr="00E825BB">
        <w:rPr>
          <w:rFonts w:eastAsia="Times New Roman" w:cs="Times New Roman"/>
          <w:sz w:val="20"/>
          <w:szCs w:val="20"/>
        </w:rPr>
        <w:tab/>
      </w:r>
      <w:r w:rsidRPr="00E825BB">
        <w:rPr>
          <w:rFonts w:eastAsia="Times New Roman" w:cs="Times New Roman"/>
          <w:b/>
          <w:i/>
          <w:sz w:val="20"/>
          <w:szCs w:val="20"/>
        </w:rPr>
        <w:t>K.J.M. v. Her Majesty the Queen</w:t>
      </w:r>
    </w:p>
    <w:p w:rsidR="00B124FF" w:rsidRPr="00E825BB" w:rsidRDefault="00B124FF" w:rsidP="00B124FF">
      <w:pPr>
        <w:widowControl w:val="0"/>
        <w:ind w:right="360" w:firstLine="720"/>
        <w:jc w:val="both"/>
        <w:rPr>
          <w:rFonts w:eastAsia="Times New Roman" w:cs="Times New Roman"/>
          <w:sz w:val="20"/>
          <w:szCs w:val="20"/>
          <w:lang w:val="en-US"/>
        </w:rPr>
      </w:pPr>
      <w:r w:rsidRPr="00E825BB">
        <w:rPr>
          <w:rFonts w:eastAsia="Times New Roman" w:cs="Times New Roman"/>
          <w:sz w:val="20"/>
          <w:szCs w:val="20"/>
          <w:lang w:val="en-US"/>
        </w:rPr>
        <w:t>(Alta.) (Criminal) (As of Right)</w:t>
      </w:r>
    </w:p>
    <w:p w:rsidR="00B124FF" w:rsidRPr="00E825BB" w:rsidRDefault="00B124FF" w:rsidP="00B124FF">
      <w:pPr>
        <w:widowControl w:val="0"/>
        <w:ind w:right="360"/>
        <w:jc w:val="both"/>
        <w:rPr>
          <w:rFonts w:eastAsia="Times New Roman" w:cs="Times New Roman"/>
          <w:sz w:val="20"/>
          <w:szCs w:val="20"/>
        </w:rPr>
      </w:pPr>
    </w:p>
    <w:p w:rsidR="00B124FF" w:rsidRPr="00E825BB" w:rsidRDefault="00B124FF" w:rsidP="00B124FF">
      <w:pPr>
        <w:ind w:right="360"/>
        <w:jc w:val="both"/>
        <w:rPr>
          <w:rFonts w:eastAsia="Calibri" w:cs="Times New Roman"/>
          <w:smallCaps/>
          <w:sz w:val="20"/>
          <w:szCs w:val="20"/>
        </w:rPr>
      </w:pPr>
      <w:r w:rsidRPr="00E825BB">
        <w:rPr>
          <w:rFonts w:eastAsia="Calibri" w:cs="Times New Roman"/>
          <w:smallCaps/>
          <w:sz w:val="20"/>
          <w:szCs w:val="20"/>
        </w:rPr>
        <w:t>(Publication ban in case) (Court file contains information that is not available for inspection by the public)</w:t>
      </w:r>
    </w:p>
    <w:p w:rsidR="00B124FF" w:rsidRPr="00E825BB" w:rsidRDefault="00B124FF" w:rsidP="00B124FF">
      <w:pPr>
        <w:widowControl w:val="0"/>
        <w:ind w:right="360"/>
        <w:jc w:val="both"/>
        <w:rPr>
          <w:rFonts w:eastAsia="Times New Roman" w:cs="Times New Roman"/>
          <w:sz w:val="20"/>
          <w:szCs w:val="20"/>
        </w:rPr>
      </w:pPr>
    </w:p>
    <w:p w:rsidR="00B124FF" w:rsidRPr="00E825BB" w:rsidRDefault="00B124FF" w:rsidP="00B124FF">
      <w:pPr>
        <w:widowControl w:val="0"/>
        <w:ind w:right="360"/>
        <w:jc w:val="both"/>
        <w:rPr>
          <w:rFonts w:eastAsia="Times New Roman" w:cs="Times New Roman"/>
          <w:sz w:val="20"/>
          <w:szCs w:val="20"/>
        </w:rPr>
      </w:pPr>
      <w:r w:rsidRPr="00E825BB">
        <w:rPr>
          <w:rFonts w:eastAsia="Times New Roman" w:cs="Times New Roman"/>
          <w:sz w:val="20"/>
          <w:szCs w:val="20"/>
        </w:rPr>
        <w:t xml:space="preserve">Criminal law - Constitutional law - </w:t>
      </w:r>
      <w:r w:rsidRPr="00E825BB">
        <w:rPr>
          <w:rFonts w:eastAsia="Times New Roman" w:cs="Times New Roman"/>
          <w:i/>
          <w:sz w:val="20"/>
          <w:szCs w:val="20"/>
        </w:rPr>
        <w:t>Charter of Rights</w:t>
      </w:r>
      <w:r w:rsidRPr="00E825BB">
        <w:rPr>
          <w:rFonts w:eastAsia="Times New Roman" w:cs="Times New Roman"/>
          <w:sz w:val="20"/>
          <w:szCs w:val="20"/>
        </w:rPr>
        <w:t xml:space="preserve"> - Right to be tried within reasonable time - Young persons - Delay of 18 ½ months - Whether the majority of the Court of Appeal erred in law in its interpretation of s. 11(b) of the </w:t>
      </w:r>
      <w:r w:rsidRPr="00E825BB">
        <w:rPr>
          <w:rFonts w:eastAsia="Times New Roman" w:cs="Times New Roman"/>
          <w:i/>
          <w:sz w:val="20"/>
          <w:szCs w:val="20"/>
        </w:rPr>
        <w:t>Canadian Charter of Rights and Freedoms</w:t>
      </w:r>
      <w:r w:rsidRPr="00E825BB">
        <w:rPr>
          <w:rFonts w:eastAsia="Times New Roman" w:cs="Times New Roman"/>
          <w:sz w:val="20"/>
          <w:szCs w:val="20"/>
        </w:rPr>
        <w:t xml:space="preserve">, as it applies to </w:t>
      </w:r>
      <w:r w:rsidRPr="00E825BB">
        <w:rPr>
          <w:rFonts w:eastAsia="Times New Roman" w:cs="Times New Roman"/>
          <w:i/>
          <w:sz w:val="20"/>
          <w:szCs w:val="20"/>
        </w:rPr>
        <w:t>Youth Criminal Justice Act</w:t>
      </w:r>
      <w:r w:rsidRPr="00E825BB">
        <w:rPr>
          <w:rFonts w:eastAsia="Times New Roman" w:cs="Times New Roman"/>
          <w:sz w:val="20"/>
          <w:szCs w:val="20"/>
        </w:rPr>
        <w:t xml:space="preserve">, S.C. 2002, c. 1, matters and in failing to find that there is a lower presumptive ceiling for young persons facing single-stage criminal proceedings in provincial court - Whether the majority of the Court of Appeal erred in law in its allocation of responsibility for delay under </w:t>
      </w:r>
      <w:r w:rsidRPr="00E825BB">
        <w:rPr>
          <w:rFonts w:eastAsia="Times New Roman" w:cs="Times New Roman"/>
          <w:i/>
          <w:sz w:val="20"/>
          <w:szCs w:val="20"/>
        </w:rPr>
        <w:t>R. v. Jordan</w:t>
      </w:r>
      <w:r w:rsidRPr="00E825BB">
        <w:rPr>
          <w:rFonts w:eastAsia="Times New Roman" w:cs="Times New Roman"/>
          <w:sz w:val="20"/>
          <w:szCs w:val="20"/>
        </w:rPr>
        <w:t xml:space="preserve">, 2016 SCC 27, [2016] 1 S.C.R. 631 - Whether the majority of the Court of Appeal erred in law in finding that the trial judge correctly applied the transitional exception. </w:t>
      </w:r>
    </w:p>
    <w:p w:rsidR="00B124FF" w:rsidRPr="00E825BB" w:rsidRDefault="00B124FF" w:rsidP="00B124FF">
      <w:pPr>
        <w:widowControl w:val="0"/>
        <w:ind w:right="360"/>
        <w:jc w:val="both"/>
        <w:rPr>
          <w:rFonts w:eastAsia="Times New Roman" w:cs="Times New Roman"/>
          <w:sz w:val="20"/>
          <w:szCs w:val="20"/>
        </w:rPr>
      </w:pPr>
    </w:p>
    <w:p w:rsidR="00B124FF" w:rsidRPr="00E825BB" w:rsidRDefault="00B124FF" w:rsidP="00B124FF">
      <w:pPr>
        <w:widowControl w:val="0"/>
        <w:ind w:right="360"/>
        <w:jc w:val="both"/>
        <w:rPr>
          <w:rFonts w:eastAsia="Times New Roman" w:cs="Times New Roman"/>
          <w:sz w:val="20"/>
          <w:szCs w:val="20"/>
        </w:rPr>
      </w:pPr>
      <w:r w:rsidRPr="00E825BB">
        <w:rPr>
          <w:rFonts w:eastAsia="Times New Roman" w:cs="Times New Roman"/>
          <w:sz w:val="20"/>
          <w:szCs w:val="20"/>
        </w:rPr>
        <w:t xml:space="preserve">The appellant, a young person, was convicted of aggravated assault and possession of a dangerous weapon. He applied for, and was refused, a stay of proceedings on the basis that the 18 ½ months that had elapsed between the time he was charged and the time his trial concluded was unreasonable within the meaning of </w:t>
      </w:r>
      <w:r w:rsidRPr="00E825BB">
        <w:rPr>
          <w:rFonts w:eastAsia="Times New Roman" w:cs="Times New Roman"/>
          <w:i/>
          <w:sz w:val="20"/>
          <w:szCs w:val="20"/>
        </w:rPr>
        <w:t>R. v. Jordan</w:t>
      </w:r>
      <w:r w:rsidRPr="00E825BB">
        <w:rPr>
          <w:rFonts w:eastAsia="Times New Roman" w:cs="Times New Roman"/>
          <w:sz w:val="20"/>
          <w:szCs w:val="20"/>
        </w:rPr>
        <w:t xml:space="preserve">, 2016 SCC 27, [2016] 1 S.C.R. 631, and breached his s. 11(b) </w:t>
      </w:r>
      <w:r w:rsidRPr="00E825BB">
        <w:rPr>
          <w:rFonts w:eastAsia="Times New Roman" w:cs="Times New Roman"/>
          <w:i/>
          <w:sz w:val="20"/>
          <w:szCs w:val="20"/>
        </w:rPr>
        <w:t>Charter</w:t>
      </w:r>
      <w:r w:rsidRPr="00E825BB">
        <w:rPr>
          <w:rFonts w:eastAsia="Times New Roman" w:cs="Times New Roman"/>
          <w:sz w:val="20"/>
          <w:szCs w:val="20"/>
        </w:rPr>
        <w:t xml:space="preserve"> right. The appellant appealed his conviction, arguing that the delay had not been properly assessed under </w:t>
      </w:r>
      <w:r w:rsidRPr="00E825BB">
        <w:rPr>
          <w:rFonts w:eastAsia="Times New Roman" w:cs="Times New Roman"/>
          <w:i/>
          <w:sz w:val="20"/>
          <w:szCs w:val="20"/>
        </w:rPr>
        <w:t>Jordan</w:t>
      </w:r>
      <w:r w:rsidRPr="00E825BB">
        <w:rPr>
          <w:rFonts w:eastAsia="Times New Roman" w:cs="Times New Roman"/>
          <w:sz w:val="20"/>
          <w:szCs w:val="20"/>
        </w:rPr>
        <w:t xml:space="preserve">. A majority of the Court of Appeal dismissed the appeal. Veldhuis J.A., dissenting, would have allowed the appeal and entered a stay of proceedings on the basis that the trial judge erred in (1) her assessment of the presumptive ceiling applicable to young persons facing single-stage criminal proceedings in provincial court, and (2) in relying on the “clearest of cases” principle in her assessment of the transitional exception. In Velhuis J.A.’s view, a lower ceiling for young persons is consistent with </w:t>
      </w:r>
      <w:r w:rsidRPr="00E825BB">
        <w:rPr>
          <w:rFonts w:eastAsia="Times New Roman" w:cs="Times New Roman"/>
          <w:i/>
          <w:sz w:val="20"/>
          <w:szCs w:val="20"/>
        </w:rPr>
        <w:t>Jordan</w:t>
      </w:r>
      <w:r w:rsidRPr="00E825BB">
        <w:rPr>
          <w:rFonts w:eastAsia="Times New Roman" w:cs="Times New Roman"/>
          <w:sz w:val="20"/>
          <w:szCs w:val="20"/>
        </w:rPr>
        <w:t xml:space="preserve">, but also with the case law prior to it which recognized the additional prejudice faced by young persons experiencing long pre-trial delays. She also found that taking into account all the relevant factors, including the appellant’s age, it was likely that a court would have concluded the delay was unreasonable under the law as it stood prior to </w:t>
      </w:r>
      <w:r w:rsidRPr="00E825BB">
        <w:rPr>
          <w:rFonts w:eastAsia="Times New Roman" w:cs="Times New Roman"/>
          <w:i/>
          <w:sz w:val="20"/>
          <w:szCs w:val="20"/>
        </w:rPr>
        <w:t>Jordan</w:t>
      </w:r>
      <w:r w:rsidRPr="00E825BB">
        <w:rPr>
          <w:rFonts w:eastAsia="Times New Roman" w:cs="Times New Roman"/>
          <w:sz w:val="20"/>
          <w:szCs w:val="20"/>
        </w:rPr>
        <w:t xml:space="preserve"> and that the transitional exception could not make the delay reasonable in this case.</w:t>
      </w:r>
    </w:p>
    <w:p w:rsidR="00B124FF" w:rsidRPr="00E825BB" w:rsidRDefault="00B124FF" w:rsidP="00B124FF">
      <w:pPr>
        <w:widowControl w:val="0"/>
        <w:ind w:right="360"/>
        <w:jc w:val="both"/>
        <w:rPr>
          <w:rFonts w:eastAsia="Times New Roman" w:cs="Times New Roman"/>
          <w:sz w:val="20"/>
          <w:szCs w:val="20"/>
        </w:rPr>
      </w:pPr>
    </w:p>
    <w:p w:rsidR="009E2C1C" w:rsidRDefault="009E2C1C">
      <w:pPr>
        <w:rPr>
          <w:rFonts w:eastAsia="Times New Roman" w:cs="Times New Roman"/>
          <w:sz w:val="20"/>
          <w:szCs w:val="20"/>
        </w:rPr>
      </w:pPr>
      <w:r>
        <w:rPr>
          <w:rFonts w:eastAsia="Times New Roman" w:cs="Times New Roman"/>
          <w:sz w:val="20"/>
          <w:szCs w:val="20"/>
        </w:rPr>
        <w:br w:type="page"/>
      </w:r>
    </w:p>
    <w:p w:rsidR="00B124FF" w:rsidRPr="00E825BB" w:rsidRDefault="00B124FF" w:rsidP="00B124FF">
      <w:pPr>
        <w:widowControl w:val="0"/>
        <w:ind w:left="720" w:right="360" w:hanging="720"/>
        <w:jc w:val="both"/>
        <w:rPr>
          <w:rFonts w:eastAsia="Times New Roman" w:cs="Times New Roman"/>
          <w:b/>
          <w:sz w:val="20"/>
          <w:szCs w:val="20"/>
          <w:lang w:val="fr-CA"/>
        </w:rPr>
      </w:pPr>
      <w:r w:rsidRPr="00E825BB">
        <w:rPr>
          <w:rFonts w:eastAsia="Times New Roman" w:cs="Times New Roman"/>
          <w:b/>
          <w:sz w:val="20"/>
          <w:szCs w:val="20"/>
        </w:rPr>
        <w:lastRenderedPageBreak/>
        <w:fldChar w:fldCharType="begin"/>
      </w:r>
      <w:r w:rsidRPr="00E825BB">
        <w:rPr>
          <w:rFonts w:eastAsia="Times New Roman" w:cs="Times New Roman"/>
          <w:b/>
          <w:sz w:val="20"/>
          <w:szCs w:val="20"/>
          <w:lang w:val="fr-CA"/>
        </w:rPr>
        <w:instrText xml:space="preserve"> SEQ CHAPTER \h \r 1</w:instrText>
      </w:r>
      <w:r w:rsidRPr="00E825BB">
        <w:rPr>
          <w:rFonts w:eastAsia="Times New Roman" w:cs="Times New Roman"/>
          <w:b/>
          <w:sz w:val="20"/>
          <w:szCs w:val="20"/>
          <w:lang w:val="en-US"/>
        </w:rPr>
        <w:fldChar w:fldCharType="end"/>
      </w:r>
      <w:r w:rsidRPr="00E825BB">
        <w:rPr>
          <w:rFonts w:eastAsia="Times New Roman" w:cs="Times New Roman"/>
          <w:b/>
          <w:sz w:val="20"/>
          <w:szCs w:val="20"/>
          <w:lang w:val="fr-CA"/>
        </w:rPr>
        <w:t>38292</w:t>
      </w:r>
      <w:r w:rsidRPr="00E825BB">
        <w:rPr>
          <w:rFonts w:eastAsia="Times New Roman" w:cs="Times New Roman"/>
          <w:sz w:val="20"/>
          <w:szCs w:val="20"/>
          <w:lang w:val="fr-CA"/>
        </w:rPr>
        <w:tab/>
      </w:r>
      <w:r w:rsidRPr="00E825BB">
        <w:rPr>
          <w:rFonts w:eastAsia="Times New Roman" w:cs="Times New Roman"/>
          <w:b/>
          <w:i/>
          <w:sz w:val="20"/>
          <w:szCs w:val="20"/>
          <w:lang w:val="fr-CA"/>
        </w:rPr>
        <w:t>K.J.M. c. Sa Majesté la Reine</w:t>
      </w:r>
    </w:p>
    <w:p w:rsidR="00B124FF" w:rsidRPr="00E825BB" w:rsidRDefault="00B124FF" w:rsidP="00B124FF">
      <w:pPr>
        <w:widowControl w:val="0"/>
        <w:ind w:right="360" w:firstLine="720"/>
        <w:jc w:val="both"/>
        <w:rPr>
          <w:rFonts w:eastAsia="Times New Roman" w:cs="Times New Roman"/>
          <w:sz w:val="20"/>
          <w:szCs w:val="20"/>
          <w:lang w:val="fr-CA"/>
        </w:rPr>
      </w:pPr>
      <w:r w:rsidRPr="00E825BB">
        <w:rPr>
          <w:rFonts w:eastAsia="Times New Roman" w:cs="Times New Roman"/>
          <w:sz w:val="20"/>
          <w:szCs w:val="20"/>
          <w:lang w:val="fr-CA"/>
        </w:rPr>
        <w:t>(Alb.) (Criminelle) (De plein droit)</w:t>
      </w:r>
    </w:p>
    <w:p w:rsidR="00B124FF" w:rsidRPr="00E825BB" w:rsidRDefault="00B124FF" w:rsidP="00B124FF">
      <w:pPr>
        <w:widowControl w:val="0"/>
        <w:ind w:right="360"/>
        <w:jc w:val="both"/>
        <w:rPr>
          <w:rFonts w:eastAsia="Times New Roman" w:cs="Times New Roman"/>
          <w:sz w:val="20"/>
          <w:szCs w:val="20"/>
          <w:lang w:val="fr-CA"/>
        </w:rPr>
      </w:pPr>
    </w:p>
    <w:p w:rsidR="00B124FF" w:rsidRPr="00E825BB" w:rsidRDefault="00B124FF" w:rsidP="00B124FF">
      <w:pPr>
        <w:ind w:right="360"/>
        <w:jc w:val="both"/>
        <w:rPr>
          <w:rFonts w:eastAsia="Calibri" w:cs="Times New Roman"/>
          <w:smallCaps/>
          <w:sz w:val="20"/>
          <w:szCs w:val="20"/>
          <w:lang w:val="fr-CA"/>
        </w:rPr>
      </w:pPr>
      <w:r w:rsidRPr="00E825BB">
        <w:rPr>
          <w:rFonts w:eastAsia="Calibri" w:cs="Times New Roman"/>
          <w:smallCaps/>
          <w:sz w:val="20"/>
          <w:szCs w:val="20"/>
          <w:lang w:val="fr-CA"/>
        </w:rPr>
        <w:t>(Ordonnance de non-publication dans le dossier) (Le dossier de la Cour renferme des données que le public n’est pas autorisé à consulter)</w:t>
      </w:r>
    </w:p>
    <w:p w:rsidR="00B124FF" w:rsidRPr="00E825BB" w:rsidRDefault="00B124FF" w:rsidP="00B124FF">
      <w:pPr>
        <w:widowControl w:val="0"/>
        <w:ind w:right="360"/>
        <w:jc w:val="both"/>
        <w:rPr>
          <w:rFonts w:eastAsia="Times New Roman" w:cs="Times New Roman"/>
          <w:sz w:val="20"/>
          <w:szCs w:val="20"/>
          <w:lang w:val="fr-CA"/>
        </w:rPr>
      </w:pPr>
    </w:p>
    <w:p w:rsidR="00B124FF" w:rsidRPr="00E825BB" w:rsidRDefault="00B124FF" w:rsidP="00B124FF">
      <w:pPr>
        <w:widowControl w:val="0"/>
        <w:ind w:right="360"/>
        <w:jc w:val="both"/>
        <w:rPr>
          <w:rFonts w:eastAsia="Times New Roman" w:cs="Times New Roman"/>
          <w:sz w:val="20"/>
          <w:szCs w:val="20"/>
          <w:lang w:val="fr-CA"/>
        </w:rPr>
      </w:pPr>
      <w:r w:rsidRPr="00E825BB">
        <w:rPr>
          <w:rFonts w:eastAsia="Times New Roman" w:cs="Times New Roman"/>
          <w:sz w:val="20"/>
          <w:szCs w:val="20"/>
          <w:lang w:val="fr-CA"/>
        </w:rPr>
        <w:t xml:space="preserve">Droit criminel - Droit constitutionnel - </w:t>
      </w:r>
      <w:r w:rsidRPr="00E825BB">
        <w:rPr>
          <w:rFonts w:eastAsia="Times New Roman" w:cs="Times New Roman"/>
          <w:i/>
          <w:sz w:val="20"/>
          <w:szCs w:val="20"/>
          <w:lang w:val="fr-CA"/>
        </w:rPr>
        <w:t>Charte des droits</w:t>
      </w:r>
      <w:r w:rsidRPr="00E825BB">
        <w:rPr>
          <w:rFonts w:eastAsia="Times New Roman" w:cs="Times New Roman"/>
          <w:sz w:val="20"/>
          <w:szCs w:val="20"/>
          <w:lang w:val="fr-CA"/>
        </w:rPr>
        <w:t xml:space="preserve"> - Procès dans un délai raisonnable - Adolescents - Délai de 18 mois et demi - La majorité de la Cour d’appel a-t-elle commis une erreur de droit dans son interprétation de l’al. 11b) de la </w:t>
      </w:r>
      <w:r w:rsidRPr="00E825BB">
        <w:rPr>
          <w:rFonts w:eastAsia="Times New Roman" w:cs="Times New Roman"/>
          <w:i/>
          <w:sz w:val="20"/>
          <w:szCs w:val="20"/>
          <w:lang w:val="fr-CA"/>
        </w:rPr>
        <w:t>Charte canadienne des droits et libertés</w:t>
      </w:r>
      <w:r w:rsidRPr="00E825BB">
        <w:rPr>
          <w:rFonts w:eastAsia="Times New Roman" w:cs="Times New Roman"/>
          <w:sz w:val="20"/>
          <w:szCs w:val="20"/>
          <w:lang w:val="fr-CA"/>
        </w:rPr>
        <w:t xml:space="preserve">, dans la mesure où il s’applique aux questions concernant la </w:t>
      </w:r>
      <w:r w:rsidRPr="00E825BB">
        <w:rPr>
          <w:rFonts w:eastAsia="Times New Roman" w:cs="Times New Roman"/>
          <w:i/>
          <w:sz w:val="20"/>
          <w:szCs w:val="20"/>
          <w:lang w:val="fr-CA"/>
        </w:rPr>
        <w:t>Loi sur la sur le système de justice pénale pour les adolescents</w:t>
      </w:r>
      <w:r w:rsidRPr="00E825BB">
        <w:rPr>
          <w:rFonts w:eastAsia="Times New Roman" w:cs="Times New Roman"/>
          <w:sz w:val="20"/>
          <w:szCs w:val="20"/>
          <w:lang w:val="fr-CA"/>
        </w:rPr>
        <w:t xml:space="preserve">, L.C. 2002, c. 1, et en ne jugeant pas qu’il y a un plafond présumé plus bas qui s’applique aux adolescents faisant l’objet de poursuites pénales à une phase en cour provinciale? - La majorité de la Cour d’appel a-t-elle commis une erreur de droit dans son imputation des délais suivant l’arrêt </w:t>
      </w:r>
      <w:r w:rsidRPr="00E825BB">
        <w:rPr>
          <w:rFonts w:eastAsia="Times New Roman" w:cs="Times New Roman"/>
          <w:i/>
          <w:sz w:val="20"/>
          <w:szCs w:val="20"/>
          <w:lang w:val="fr-CA"/>
        </w:rPr>
        <w:t>R. c. Jordan</w:t>
      </w:r>
      <w:r w:rsidRPr="00E825BB">
        <w:rPr>
          <w:rFonts w:eastAsia="Times New Roman" w:cs="Times New Roman"/>
          <w:sz w:val="20"/>
          <w:szCs w:val="20"/>
          <w:lang w:val="fr-CA"/>
        </w:rPr>
        <w:t xml:space="preserve">, 2016 CSC 27, [2016] 1 R.C.S. 631? - La majorité de la Cour d’appel a-t-elle commis une erreur de droit en concluant que la juge du procès avait bien appliqué l’exception transitoire?  </w:t>
      </w:r>
    </w:p>
    <w:p w:rsidR="00B124FF" w:rsidRPr="00E825BB" w:rsidRDefault="00B124FF" w:rsidP="00B124FF">
      <w:pPr>
        <w:widowControl w:val="0"/>
        <w:ind w:right="360"/>
        <w:jc w:val="both"/>
        <w:rPr>
          <w:rFonts w:eastAsia="Times New Roman" w:cs="Times New Roman"/>
          <w:sz w:val="20"/>
          <w:szCs w:val="20"/>
          <w:lang w:val="fr-CA"/>
        </w:rPr>
      </w:pPr>
    </w:p>
    <w:p w:rsidR="00B124FF" w:rsidRPr="00E825BB" w:rsidRDefault="00B124FF" w:rsidP="00B124FF">
      <w:pPr>
        <w:widowControl w:val="0"/>
        <w:ind w:right="360"/>
        <w:jc w:val="both"/>
        <w:rPr>
          <w:rFonts w:eastAsia="Times New Roman" w:cs="Times New Roman"/>
          <w:sz w:val="20"/>
          <w:szCs w:val="20"/>
          <w:lang w:val="fr-CA"/>
        </w:rPr>
      </w:pPr>
      <w:r w:rsidRPr="00E825BB">
        <w:rPr>
          <w:rFonts w:eastAsia="Times New Roman" w:cs="Times New Roman"/>
          <w:sz w:val="20"/>
          <w:szCs w:val="20"/>
          <w:lang w:val="fr-CA"/>
        </w:rPr>
        <w:t xml:space="preserve">L’appelant, un adolescent, a été reconnu coupable de voies de fait graves et de possession d’arme dangereuse. Il a demandé en vain l’arrêt des procédures au motif que l’intervalle de 18 mois et demi entre le dépôt des accusations portées contre lui et la clôture de son procès était déraisonnable au sens de l’arrêt </w:t>
      </w:r>
      <w:r w:rsidRPr="00E825BB">
        <w:rPr>
          <w:rFonts w:eastAsia="Times New Roman" w:cs="Times New Roman"/>
          <w:i/>
          <w:sz w:val="20"/>
          <w:szCs w:val="20"/>
          <w:lang w:val="fr-CA"/>
        </w:rPr>
        <w:t>R. c. Jordan</w:t>
      </w:r>
      <w:r w:rsidRPr="00E825BB">
        <w:rPr>
          <w:rFonts w:eastAsia="Times New Roman" w:cs="Times New Roman"/>
          <w:sz w:val="20"/>
          <w:szCs w:val="20"/>
          <w:lang w:val="fr-CA"/>
        </w:rPr>
        <w:t xml:space="preserve">, 2016 CSC 27, [2016] 1 R.C.S. 631, et a porté atteinte au droit que lui garantit l’al. 11b) de la </w:t>
      </w:r>
      <w:r w:rsidRPr="00E825BB">
        <w:rPr>
          <w:rFonts w:eastAsia="Times New Roman" w:cs="Times New Roman"/>
          <w:i/>
          <w:sz w:val="20"/>
          <w:szCs w:val="20"/>
          <w:lang w:val="fr-CA"/>
        </w:rPr>
        <w:t>Charte</w:t>
      </w:r>
      <w:r w:rsidRPr="00E825BB">
        <w:rPr>
          <w:rFonts w:eastAsia="Times New Roman" w:cs="Times New Roman"/>
          <w:sz w:val="20"/>
          <w:szCs w:val="20"/>
          <w:lang w:val="fr-CA"/>
        </w:rPr>
        <w:t xml:space="preserve">. L’appelant a interjeté appel de sa déclaration de culpabilité et soutenu que le délai avait été mal évalué sur le fondement de </w:t>
      </w:r>
      <w:r w:rsidRPr="00E825BB">
        <w:rPr>
          <w:rFonts w:eastAsia="Times New Roman" w:cs="Times New Roman"/>
          <w:i/>
          <w:sz w:val="20"/>
          <w:szCs w:val="20"/>
          <w:lang w:val="fr-CA"/>
        </w:rPr>
        <w:t>Jordan</w:t>
      </w:r>
      <w:r w:rsidRPr="00E825BB">
        <w:rPr>
          <w:rFonts w:eastAsia="Times New Roman" w:cs="Times New Roman"/>
          <w:sz w:val="20"/>
          <w:szCs w:val="20"/>
          <w:lang w:val="fr-CA"/>
        </w:rPr>
        <w:t xml:space="preserve">. Les juges majoritaires de la Cour d’appel ont rejeté l’appel. La juge Veldhuis, dissidente, aurait accueilli l’appel et ordonné l’arrêt des procédures parce que la juge du procès avait fait erreur dans (1) son évaluation du plafond présumé applicable aux adolescents qui font l’objet de poursuites pénales à une phase en cour provinciale, et (2) en se fondant sur le principe des « cas les plus manifestes » lorsqu’elle a étudié l’exception transitoire. D’après la juge Velhuis, un plafond plus bas pour les adolescents est compatible non seulement avec l’arrêt </w:t>
      </w:r>
      <w:r w:rsidRPr="00E825BB">
        <w:rPr>
          <w:rFonts w:eastAsia="Times New Roman" w:cs="Times New Roman"/>
          <w:i/>
          <w:sz w:val="20"/>
          <w:szCs w:val="20"/>
          <w:lang w:val="fr-CA"/>
        </w:rPr>
        <w:t>Jordan</w:t>
      </w:r>
      <w:r w:rsidRPr="00E825BB">
        <w:rPr>
          <w:rFonts w:eastAsia="Times New Roman" w:cs="Times New Roman"/>
          <w:sz w:val="20"/>
          <w:szCs w:val="20"/>
          <w:lang w:val="fr-CA"/>
        </w:rPr>
        <w:t xml:space="preserve">, mais aussi avec la jurisprudence qui l’a précédé et qui reconnaît le préjudice additionnel subi par les adolescents aux prises avec de longs délais avant leur procès. Elle a aussi estimé que, vu tous les facteurs pertinents, dont l’âge de l’appelant, un tribunal aurait probablement conclu que le délai était déraisonnable d’après l’état du droit qui prévalait avant </w:t>
      </w:r>
      <w:r w:rsidRPr="00E825BB">
        <w:rPr>
          <w:rFonts w:eastAsia="Times New Roman" w:cs="Times New Roman"/>
          <w:i/>
          <w:sz w:val="20"/>
          <w:szCs w:val="20"/>
          <w:lang w:val="fr-CA"/>
        </w:rPr>
        <w:t>Jordan</w:t>
      </w:r>
      <w:r w:rsidRPr="00E825BB">
        <w:rPr>
          <w:rFonts w:eastAsia="Times New Roman" w:cs="Times New Roman"/>
          <w:sz w:val="20"/>
          <w:szCs w:val="20"/>
          <w:lang w:val="fr-CA"/>
        </w:rPr>
        <w:t xml:space="preserve"> et que l’exception transitoire ne pouvait rendre le délai raisonnable en l’espèce.</w:t>
      </w:r>
    </w:p>
    <w:p w:rsidR="00B124FF" w:rsidRPr="00E825BB" w:rsidRDefault="00B124FF" w:rsidP="00B124FF">
      <w:pPr>
        <w:widowControl w:val="0"/>
        <w:ind w:right="360"/>
        <w:outlineLvl w:val="0"/>
        <w:rPr>
          <w:rFonts w:eastAsia="Times New Roman" w:cs="Times New Roman"/>
          <w:sz w:val="20"/>
          <w:szCs w:val="20"/>
          <w:lang w:val="fr-CA"/>
        </w:rPr>
      </w:pPr>
    </w:p>
    <w:p w:rsidR="00B124FF" w:rsidRPr="00E825BB" w:rsidRDefault="00B124FF" w:rsidP="00B124FF">
      <w:pPr>
        <w:widowControl w:val="0"/>
        <w:ind w:right="360"/>
        <w:outlineLvl w:val="0"/>
        <w:rPr>
          <w:rFonts w:eastAsia="Times New Roman" w:cs="Times New Roman"/>
          <w:sz w:val="20"/>
          <w:szCs w:val="20"/>
          <w:lang w:val="fr-CA"/>
        </w:rPr>
      </w:pPr>
    </w:p>
    <w:p w:rsidR="00B124FF" w:rsidRPr="00E825BB" w:rsidRDefault="00B124FF" w:rsidP="00B124FF">
      <w:pPr>
        <w:ind w:right="360"/>
        <w:jc w:val="both"/>
        <w:rPr>
          <w:rFonts w:eastAsia="Calibri" w:cs="Times New Roman"/>
          <w:b/>
          <w:i/>
          <w:sz w:val="20"/>
          <w:szCs w:val="20"/>
          <w:lang w:val="fr-CA"/>
        </w:rPr>
      </w:pPr>
      <w:r w:rsidRPr="00E825BB">
        <w:rPr>
          <w:rFonts w:eastAsia="Calibri" w:cs="Times New Roman"/>
          <w:b/>
          <w:sz w:val="20"/>
          <w:lang w:val="fr-CA"/>
        </w:rPr>
        <w:t>38066</w:t>
      </w:r>
      <w:r w:rsidRPr="00E825BB">
        <w:rPr>
          <w:rFonts w:eastAsia="Calibri" w:cs="Times New Roman"/>
          <w:sz w:val="20"/>
          <w:lang w:val="fr-CA"/>
        </w:rPr>
        <w:tab/>
      </w:r>
      <w:r w:rsidRPr="00E825BB">
        <w:rPr>
          <w:rFonts w:eastAsia="Calibri" w:cs="Times New Roman"/>
          <w:b/>
          <w:i/>
          <w:sz w:val="20"/>
          <w:szCs w:val="20"/>
          <w:lang w:val="fr-CA"/>
        </w:rPr>
        <w:t>Ville de Montréal v. Octane Stratégie inc.</w:t>
      </w:r>
    </w:p>
    <w:p w:rsidR="00B124FF" w:rsidRPr="00E825BB" w:rsidRDefault="00B124FF" w:rsidP="00B124FF">
      <w:pPr>
        <w:widowControl w:val="0"/>
        <w:ind w:right="360" w:firstLine="720"/>
        <w:outlineLvl w:val="0"/>
        <w:rPr>
          <w:rFonts w:eastAsia="Times New Roman" w:cs="Times New Roman"/>
          <w:sz w:val="20"/>
          <w:szCs w:val="20"/>
          <w:lang w:val="en-US"/>
        </w:rPr>
      </w:pPr>
      <w:r w:rsidRPr="00E825BB">
        <w:rPr>
          <w:rFonts w:eastAsia="Times New Roman" w:cs="Times New Roman"/>
          <w:sz w:val="20"/>
          <w:szCs w:val="20"/>
        </w:rPr>
        <w:t>(Que.) (Civil) (By Leave)</w:t>
      </w:r>
    </w:p>
    <w:p w:rsidR="00B124FF" w:rsidRPr="00E825BB" w:rsidRDefault="00B124FF" w:rsidP="00B124FF">
      <w:pPr>
        <w:widowControl w:val="0"/>
        <w:ind w:right="360"/>
        <w:outlineLvl w:val="0"/>
        <w:rPr>
          <w:rFonts w:eastAsia="Times New Roman" w:cs="Times New Roman"/>
          <w:sz w:val="20"/>
          <w:szCs w:val="20"/>
          <w:lang w:val="en-US"/>
        </w:rPr>
      </w:pPr>
    </w:p>
    <w:p w:rsidR="00B124FF" w:rsidRPr="00E825BB" w:rsidRDefault="00B124FF" w:rsidP="00B124FF">
      <w:pPr>
        <w:widowControl w:val="0"/>
        <w:ind w:right="360"/>
        <w:outlineLvl w:val="0"/>
        <w:rPr>
          <w:rFonts w:eastAsia="Times New Roman" w:cs="Times New Roman"/>
          <w:sz w:val="20"/>
          <w:szCs w:val="20"/>
          <w:lang w:val="en-US"/>
        </w:rPr>
      </w:pPr>
      <w:r w:rsidRPr="00E825BB">
        <w:rPr>
          <w:rFonts w:eastAsia="Times New Roman" w:cs="Times New Roman"/>
          <w:sz w:val="20"/>
          <w:szCs w:val="20"/>
        </w:rPr>
        <w:t>Municipal law - Contracts for services - Formation and awarding of municipal contracts - Restitution of prestations - Public order - Whether Court of Appeal erred in law in holding that Octane Stratégie inc.’s action was not extracontractual in nature and was not prescribed</w:t>
      </w:r>
      <w:r w:rsidRPr="00E825BB">
        <w:rPr>
          <w:rFonts w:eastAsia="Times New Roman" w:cs="Times New Roman"/>
          <w:spacing w:val="-5"/>
          <w:sz w:val="20"/>
          <w:szCs w:val="20"/>
        </w:rPr>
        <w:t xml:space="preserve"> even though no contract had been entered into between </w:t>
      </w:r>
      <w:r w:rsidRPr="00E825BB">
        <w:rPr>
          <w:rFonts w:eastAsia="Times New Roman" w:cs="Times New Roman"/>
          <w:sz w:val="20"/>
          <w:szCs w:val="20"/>
        </w:rPr>
        <w:t xml:space="preserve">Ville de Montréal and Octane Stratégie inc. - Whether Court of Appeal erred in law in holding that alleged contract was governed by provisions of </w:t>
      </w:r>
      <w:r w:rsidRPr="00E825BB">
        <w:rPr>
          <w:rFonts w:eastAsia="Times New Roman" w:cs="Times New Roman"/>
          <w:i/>
          <w:sz w:val="20"/>
          <w:szCs w:val="20"/>
        </w:rPr>
        <w:t xml:space="preserve">Civil Code of Québec </w:t>
      </w:r>
      <w:r w:rsidRPr="00E825BB">
        <w:rPr>
          <w:rFonts w:eastAsia="Times New Roman" w:cs="Times New Roman"/>
          <w:sz w:val="20"/>
          <w:szCs w:val="20"/>
        </w:rPr>
        <w:t xml:space="preserve">on absolute nullity and restitution of prestations despite fact that certain imperative rules of public order specific to municipal law are incompatible with application of those provisions - Whether, if provisions of </w:t>
      </w:r>
      <w:r w:rsidRPr="00E825BB">
        <w:rPr>
          <w:rFonts w:eastAsia="Times New Roman" w:cs="Times New Roman"/>
          <w:i/>
          <w:sz w:val="20"/>
          <w:szCs w:val="20"/>
        </w:rPr>
        <w:t>Civil Code of Québec</w:t>
      </w:r>
      <w:r w:rsidRPr="00E825BB">
        <w:rPr>
          <w:rFonts w:eastAsia="Times New Roman" w:cs="Times New Roman"/>
          <w:sz w:val="20"/>
          <w:szCs w:val="20"/>
        </w:rPr>
        <w:t xml:space="preserve"> did apply in this case, Court of Appeal erred in declining to exercise its power under para. 2 of art.</w:t>
      </w:r>
      <w:r w:rsidRPr="00E825BB">
        <w:rPr>
          <w:rFonts w:eastAsia="Times New Roman" w:cs="Times New Roman"/>
          <w:spacing w:val="-15"/>
          <w:sz w:val="20"/>
          <w:szCs w:val="20"/>
        </w:rPr>
        <w:t> </w:t>
      </w:r>
      <w:r w:rsidRPr="00E825BB">
        <w:rPr>
          <w:rFonts w:eastAsia="Times New Roman" w:cs="Times New Roman"/>
          <w:sz w:val="20"/>
          <w:szCs w:val="20"/>
        </w:rPr>
        <w:t>1699</w:t>
      </w:r>
      <w:r w:rsidRPr="00E825BB">
        <w:rPr>
          <w:rFonts w:eastAsia="Times New Roman" w:cs="Times New Roman"/>
          <w:spacing w:val="-14"/>
          <w:sz w:val="20"/>
          <w:szCs w:val="20"/>
        </w:rPr>
        <w:t xml:space="preserve"> </w:t>
      </w:r>
      <w:r w:rsidRPr="00E825BB">
        <w:rPr>
          <w:rFonts w:eastAsia="Times New Roman" w:cs="Times New Roman"/>
          <w:sz w:val="20"/>
          <w:szCs w:val="20"/>
        </w:rPr>
        <w:t>C.C.Q.</w:t>
      </w:r>
      <w:r w:rsidRPr="00E825BB">
        <w:rPr>
          <w:rFonts w:eastAsia="Times New Roman" w:cs="Times New Roman"/>
          <w:spacing w:val="-14"/>
          <w:sz w:val="20"/>
          <w:szCs w:val="20"/>
        </w:rPr>
        <w:t xml:space="preserve"> </w:t>
      </w:r>
      <w:r w:rsidRPr="00E825BB">
        <w:rPr>
          <w:rFonts w:eastAsia="Times New Roman" w:cs="Times New Roman"/>
          <w:sz w:val="20"/>
          <w:szCs w:val="20"/>
        </w:rPr>
        <w:t>to</w:t>
      </w:r>
      <w:r w:rsidRPr="00E825BB">
        <w:rPr>
          <w:rFonts w:eastAsia="Times New Roman" w:cs="Times New Roman"/>
          <w:spacing w:val="-13"/>
          <w:sz w:val="20"/>
          <w:szCs w:val="20"/>
        </w:rPr>
        <w:t xml:space="preserve"> </w:t>
      </w:r>
      <w:r w:rsidRPr="00E825BB">
        <w:rPr>
          <w:rFonts w:eastAsia="Times New Roman" w:cs="Times New Roman"/>
          <w:sz w:val="20"/>
          <w:szCs w:val="20"/>
        </w:rPr>
        <w:t xml:space="preserve">refuse Octane Stratégie inc.’s claim for restitution - </w:t>
      </w:r>
      <w:r w:rsidRPr="00E825BB">
        <w:rPr>
          <w:rFonts w:eastAsia="Times New Roman" w:cs="Times New Roman"/>
          <w:i/>
          <w:sz w:val="20"/>
          <w:szCs w:val="20"/>
        </w:rPr>
        <w:t>Civil Code of Québec</w:t>
      </w:r>
      <w:r w:rsidRPr="00E825BB">
        <w:rPr>
          <w:rFonts w:eastAsia="Times New Roman" w:cs="Times New Roman"/>
          <w:sz w:val="20"/>
          <w:szCs w:val="20"/>
        </w:rPr>
        <w:t xml:space="preserve">, arts. 1422, 1699 and 1700 - </w:t>
      </w:r>
      <w:r w:rsidRPr="00E825BB">
        <w:rPr>
          <w:rFonts w:eastAsia="Times New Roman" w:cs="Times New Roman"/>
          <w:i/>
          <w:sz w:val="20"/>
          <w:szCs w:val="20"/>
        </w:rPr>
        <w:t>Cities and Towns Act</w:t>
      </w:r>
      <w:r w:rsidRPr="00E825BB">
        <w:rPr>
          <w:rFonts w:eastAsia="Times New Roman" w:cs="Times New Roman"/>
          <w:sz w:val="20"/>
          <w:szCs w:val="20"/>
        </w:rPr>
        <w:t>, CQLR, c. C</w:t>
      </w:r>
      <w:r w:rsidRPr="00E825BB">
        <w:rPr>
          <w:rFonts w:eastAsia="Times New Roman" w:cs="Times New Roman"/>
          <w:sz w:val="20"/>
          <w:szCs w:val="20"/>
        </w:rPr>
        <w:noBreakHyphen/>
        <w:t>19, ss. 573 and 573.1.</w:t>
      </w:r>
    </w:p>
    <w:p w:rsidR="00B124FF" w:rsidRPr="00E825BB" w:rsidRDefault="00B124FF" w:rsidP="00B124FF">
      <w:pPr>
        <w:widowControl w:val="0"/>
        <w:ind w:right="360"/>
        <w:outlineLvl w:val="0"/>
        <w:rPr>
          <w:rFonts w:eastAsia="Times New Roman" w:cs="Times New Roman"/>
          <w:sz w:val="20"/>
          <w:szCs w:val="20"/>
          <w:lang w:val="en-US"/>
        </w:rPr>
      </w:pPr>
    </w:p>
    <w:p w:rsidR="00B124FF" w:rsidRPr="00E825BB" w:rsidRDefault="00B124FF" w:rsidP="00B124FF">
      <w:pPr>
        <w:widowControl w:val="0"/>
        <w:ind w:right="360"/>
        <w:outlineLvl w:val="0"/>
        <w:rPr>
          <w:rFonts w:eastAsia="Times New Roman" w:cs="Times New Roman"/>
          <w:sz w:val="20"/>
          <w:szCs w:val="20"/>
          <w:lang w:val="en-US"/>
        </w:rPr>
      </w:pPr>
      <w:r w:rsidRPr="00E825BB">
        <w:rPr>
          <w:rFonts w:eastAsia="Times New Roman" w:cs="Times New Roman"/>
          <w:sz w:val="20"/>
          <w:szCs w:val="20"/>
        </w:rPr>
        <w:t xml:space="preserve">To prepare for the launch of its transportation plan, Ville de Montréal (City) retained Octane Stratégie inc. (Octane), a public relations and communications firm, not long before the planned launch date of May 17, 2007. Representatives of Octane attended a meeting at city hall on April 27, 2007 with officials and political representatives from the City. At that meeting, Richard Thériault, the director of communications and administration in the office of the mayor and the executive committee, is alleged to have awarded four mandates to Octane, two of which involved preparing the concept for the launch and organizing the event. To fulfill its mandate to organize the event, Octane hired Productions Gilles Blais. Between April 30 and May 17, Octane sent the City various scenarios and budget estimates relating to the organization of the event. The final estimate dated May 15, 2007 forecast fees, costs and disbursements totalling $123,470. Following the event, Octane sent three invoices on June 4, 2007 that were paid in March and April 2008. A final invoice for $82,898.63 ($72,500 plus taxes), which </w:t>
      </w:r>
      <w:r w:rsidRPr="00E825BB">
        <w:rPr>
          <w:rFonts w:eastAsia="Times New Roman" w:cs="Times New Roman"/>
          <w:sz w:val="20"/>
          <w:szCs w:val="20"/>
        </w:rPr>
        <w:lastRenderedPageBreak/>
        <w:t>corresponded to the services of Productions Gilles Blais, was sent to the City on October 27, 2009. On May 13, 2010, Octane, having not yet been paid, renewed its request for payment by the City. On May 14, it filed a motion to institute proceedings in order to preserve its rights against the City. On July 9, 2010, Octane, still not having been paid, finally served its motion to institute proceedings on the City. On October 6, 2011, Octane sent Mr. Thériault a formal notice to pay it the amount of $82,898.63. Octane amended its motion to institute proceedings on November 22, 2011 to add Mr. Thériault as a defendant. The Superior Court granted Octane’s motion to institute proceedings and ordered the City to pay $82,898.63 plus interest and the additional indemnity. The alternative motion to institute proceedings against Mr. Thériault was dismissed. The Court of Appeal dismissed the appeal. Octane’s appeal against Mr. Thériault was declared to be moot. The reasons for judgment were written by Mainville J.A. Hogue J.A. wrote reasons concurring in the result.</w:t>
      </w:r>
    </w:p>
    <w:p w:rsidR="00B124FF" w:rsidRPr="00E825BB" w:rsidRDefault="00B124FF" w:rsidP="00B124FF">
      <w:pPr>
        <w:widowControl w:val="0"/>
        <w:ind w:right="360"/>
        <w:outlineLvl w:val="0"/>
        <w:rPr>
          <w:rFonts w:eastAsia="Times New Roman" w:cs="Times New Roman"/>
          <w:sz w:val="20"/>
          <w:szCs w:val="20"/>
          <w:lang w:val="en-US"/>
        </w:rPr>
      </w:pPr>
    </w:p>
    <w:p w:rsidR="00B124FF" w:rsidRPr="00E825BB" w:rsidRDefault="00B124FF" w:rsidP="00B124FF">
      <w:pPr>
        <w:widowControl w:val="0"/>
        <w:ind w:right="360"/>
        <w:outlineLvl w:val="0"/>
        <w:rPr>
          <w:rFonts w:eastAsia="Times New Roman" w:cs="Times New Roman"/>
          <w:sz w:val="20"/>
          <w:szCs w:val="20"/>
          <w:lang w:val="en-US"/>
        </w:rPr>
      </w:pPr>
    </w:p>
    <w:p w:rsidR="00B124FF" w:rsidRPr="00E825BB" w:rsidRDefault="00B124FF" w:rsidP="00B124FF">
      <w:pPr>
        <w:ind w:right="360"/>
        <w:jc w:val="both"/>
        <w:rPr>
          <w:rFonts w:eastAsia="Calibri" w:cs="Times New Roman"/>
          <w:b/>
          <w:i/>
          <w:sz w:val="20"/>
          <w:szCs w:val="20"/>
          <w:lang w:val="fr-CA"/>
        </w:rPr>
      </w:pPr>
      <w:r w:rsidRPr="00E825BB">
        <w:rPr>
          <w:rFonts w:eastAsia="Calibri" w:cs="Times New Roman"/>
          <w:b/>
          <w:sz w:val="20"/>
          <w:lang w:val="fr-CA"/>
        </w:rPr>
        <w:t>38066</w:t>
      </w:r>
      <w:r w:rsidRPr="00E825BB">
        <w:rPr>
          <w:rFonts w:eastAsia="Calibri" w:cs="Times New Roman"/>
          <w:sz w:val="20"/>
          <w:lang w:val="fr-CA"/>
        </w:rPr>
        <w:tab/>
      </w:r>
      <w:r w:rsidRPr="00E825BB">
        <w:rPr>
          <w:rFonts w:eastAsia="Calibri" w:cs="Times New Roman"/>
          <w:b/>
          <w:i/>
          <w:sz w:val="20"/>
          <w:szCs w:val="20"/>
          <w:lang w:val="fr-CA"/>
        </w:rPr>
        <w:t>Ville de Montréal c. Octane Stratégie inc.</w:t>
      </w:r>
    </w:p>
    <w:p w:rsidR="00B124FF" w:rsidRPr="00E825BB" w:rsidRDefault="00B124FF" w:rsidP="00B124FF">
      <w:pPr>
        <w:widowControl w:val="0"/>
        <w:ind w:right="360" w:firstLine="720"/>
        <w:outlineLvl w:val="0"/>
        <w:rPr>
          <w:rFonts w:eastAsia="Times New Roman" w:cs="Times New Roman"/>
          <w:sz w:val="20"/>
          <w:szCs w:val="20"/>
          <w:lang w:val="fr-CA"/>
        </w:rPr>
      </w:pPr>
      <w:r w:rsidRPr="00E825BB">
        <w:rPr>
          <w:rFonts w:eastAsia="Times New Roman" w:cs="Times New Roman"/>
          <w:sz w:val="20"/>
          <w:szCs w:val="20"/>
          <w:lang w:val="fr-CA"/>
        </w:rPr>
        <w:t>(Qc) (Civile) (Autorisation)</w:t>
      </w:r>
    </w:p>
    <w:p w:rsidR="00B124FF" w:rsidRPr="00E825BB" w:rsidRDefault="00B124FF" w:rsidP="00B124FF">
      <w:pPr>
        <w:widowControl w:val="0"/>
        <w:ind w:right="360"/>
        <w:outlineLvl w:val="0"/>
        <w:rPr>
          <w:rFonts w:eastAsia="Times New Roman" w:cs="Times New Roman"/>
          <w:sz w:val="20"/>
          <w:szCs w:val="20"/>
          <w:lang w:val="fr-CA"/>
        </w:rPr>
      </w:pPr>
    </w:p>
    <w:p w:rsidR="00B124FF" w:rsidRPr="00E825BB" w:rsidRDefault="00B124FF" w:rsidP="00B124FF">
      <w:pPr>
        <w:widowControl w:val="0"/>
        <w:ind w:right="360"/>
        <w:outlineLvl w:val="0"/>
        <w:rPr>
          <w:rFonts w:eastAsia="Times New Roman" w:cs="Times New Roman"/>
          <w:sz w:val="20"/>
          <w:szCs w:val="20"/>
          <w:lang w:val="fr-CA"/>
        </w:rPr>
      </w:pPr>
      <w:r w:rsidRPr="00E825BB">
        <w:rPr>
          <w:rFonts w:eastAsia="Times New Roman" w:cs="Times New Roman"/>
          <w:sz w:val="20"/>
          <w:szCs w:val="20"/>
          <w:lang w:val="fr-CA"/>
        </w:rPr>
        <w:t>Droit municipal - Contrats de service - Formation et adjudication de contrats municipaux - Restitution des prestations - Ordre public - La Cour d’appel a-t-elle erré en droit en</w:t>
      </w:r>
      <w:r w:rsidRPr="00E825BB">
        <w:rPr>
          <w:rFonts w:eastAsia="Times New Roman" w:cs="Times New Roman"/>
          <w:spacing w:val="-4"/>
          <w:sz w:val="20"/>
          <w:szCs w:val="20"/>
          <w:lang w:val="fr-CA"/>
        </w:rPr>
        <w:t xml:space="preserve"> </w:t>
      </w:r>
      <w:r w:rsidRPr="00E825BB">
        <w:rPr>
          <w:rFonts w:eastAsia="Times New Roman" w:cs="Times New Roman"/>
          <w:sz w:val="20"/>
          <w:szCs w:val="20"/>
          <w:lang w:val="fr-CA"/>
        </w:rPr>
        <w:t>déterminant que</w:t>
      </w:r>
      <w:r w:rsidRPr="00E825BB">
        <w:rPr>
          <w:rFonts w:eastAsia="Times New Roman" w:cs="Times New Roman"/>
          <w:spacing w:val="-5"/>
          <w:sz w:val="20"/>
          <w:szCs w:val="20"/>
          <w:lang w:val="fr-CA"/>
        </w:rPr>
        <w:t xml:space="preserve"> </w:t>
      </w:r>
      <w:r w:rsidRPr="00E825BB">
        <w:rPr>
          <w:rFonts w:eastAsia="Times New Roman" w:cs="Times New Roman"/>
          <w:sz w:val="20"/>
          <w:szCs w:val="20"/>
          <w:lang w:val="fr-CA"/>
        </w:rPr>
        <w:t>le</w:t>
      </w:r>
      <w:r w:rsidRPr="00E825BB">
        <w:rPr>
          <w:rFonts w:eastAsia="Times New Roman" w:cs="Times New Roman"/>
          <w:spacing w:val="-5"/>
          <w:sz w:val="20"/>
          <w:szCs w:val="20"/>
          <w:lang w:val="fr-CA"/>
        </w:rPr>
        <w:t xml:space="preserve"> </w:t>
      </w:r>
      <w:r w:rsidRPr="00E825BB">
        <w:rPr>
          <w:rFonts w:eastAsia="Times New Roman" w:cs="Times New Roman"/>
          <w:sz w:val="20"/>
          <w:szCs w:val="20"/>
          <w:lang w:val="fr-CA"/>
        </w:rPr>
        <w:t>recours</w:t>
      </w:r>
      <w:r w:rsidRPr="00E825BB">
        <w:rPr>
          <w:rFonts w:eastAsia="Times New Roman" w:cs="Times New Roman"/>
          <w:spacing w:val="-4"/>
          <w:sz w:val="20"/>
          <w:szCs w:val="20"/>
          <w:lang w:val="fr-CA"/>
        </w:rPr>
        <w:t xml:space="preserve"> </w:t>
      </w:r>
      <w:r w:rsidRPr="00E825BB">
        <w:rPr>
          <w:rFonts w:eastAsia="Times New Roman" w:cs="Times New Roman"/>
          <w:sz w:val="20"/>
          <w:szCs w:val="20"/>
          <w:lang w:val="fr-CA"/>
        </w:rPr>
        <w:t>d’Octane Stratégie inc.</w:t>
      </w:r>
      <w:r w:rsidRPr="00E825BB">
        <w:rPr>
          <w:rFonts w:eastAsia="Times New Roman" w:cs="Times New Roman"/>
          <w:spacing w:val="-5"/>
          <w:sz w:val="20"/>
          <w:szCs w:val="20"/>
          <w:lang w:val="fr-CA"/>
        </w:rPr>
        <w:t xml:space="preserve"> </w:t>
      </w:r>
      <w:r w:rsidRPr="00E825BB">
        <w:rPr>
          <w:rFonts w:eastAsia="Times New Roman" w:cs="Times New Roman"/>
          <w:sz w:val="20"/>
          <w:szCs w:val="20"/>
          <w:lang w:val="fr-CA"/>
        </w:rPr>
        <w:t>n’était</w:t>
      </w:r>
      <w:r w:rsidRPr="00E825BB">
        <w:rPr>
          <w:rFonts w:eastAsia="Times New Roman" w:cs="Times New Roman"/>
          <w:spacing w:val="-3"/>
          <w:sz w:val="20"/>
          <w:szCs w:val="20"/>
          <w:lang w:val="fr-CA"/>
        </w:rPr>
        <w:t xml:space="preserve"> </w:t>
      </w:r>
      <w:r w:rsidRPr="00E825BB">
        <w:rPr>
          <w:rFonts w:eastAsia="Times New Roman" w:cs="Times New Roman"/>
          <w:sz w:val="20"/>
          <w:szCs w:val="20"/>
          <w:lang w:val="fr-CA"/>
        </w:rPr>
        <w:t>pas</w:t>
      </w:r>
      <w:r w:rsidRPr="00E825BB">
        <w:rPr>
          <w:rFonts w:eastAsia="Times New Roman" w:cs="Times New Roman"/>
          <w:spacing w:val="-1"/>
          <w:sz w:val="20"/>
          <w:szCs w:val="20"/>
          <w:lang w:val="fr-CA"/>
        </w:rPr>
        <w:t xml:space="preserve"> </w:t>
      </w:r>
      <w:r w:rsidRPr="00E825BB">
        <w:rPr>
          <w:rFonts w:eastAsia="Times New Roman" w:cs="Times New Roman"/>
          <w:sz w:val="20"/>
          <w:szCs w:val="20"/>
          <w:lang w:val="fr-CA"/>
        </w:rPr>
        <w:t>de</w:t>
      </w:r>
      <w:r w:rsidRPr="00E825BB">
        <w:rPr>
          <w:rFonts w:eastAsia="Times New Roman" w:cs="Times New Roman"/>
          <w:spacing w:val="-5"/>
          <w:sz w:val="20"/>
          <w:szCs w:val="20"/>
          <w:lang w:val="fr-CA"/>
        </w:rPr>
        <w:t xml:space="preserve"> </w:t>
      </w:r>
      <w:r w:rsidRPr="00E825BB">
        <w:rPr>
          <w:rFonts w:eastAsia="Times New Roman" w:cs="Times New Roman"/>
          <w:sz w:val="20"/>
          <w:szCs w:val="20"/>
          <w:lang w:val="fr-CA"/>
        </w:rPr>
        <w:t>nature</w:t>
      </w:r>
      <w:r w:rsidRPr="00E825BB">
        <w:rPr>
          <w:rFonts w:eastAsia="Times New Roman" w:cs="Times New Roman"/>
          <w:spacing w:val="-2"/>
          <w:sz w:val="20"/>
          <w:szCs w:val="20"/>
          <w:lang w:val="fr-CA"/>
        </w:rPr>
        <w:t xml:space="preserve"> </w:t>
      </w:r>
      <w:r w:rsidRPr="00E825BB">
        <w:rPr>
          <w:rFonts w:eastAsia="Times New Roman" w:cs="Times New Roman"/>
          <w:sz w:val="20"/>
          <w:szCs w:val="20"/>
          <w:lang w:val="fr-CA"/>
        </w:rPr>
        <w:t>extracontractuelle</w:t>
      </w:r>
      <w:r w:rsidRPr="00E825BB">
        <w:rPr>
          <w:rFonts w:eastAsia="Times New Roman" w:cs="Times New Roman"/>
          <w:spacing w:val="-5"/>
          <w:sz w:val="20"/>
          <w:szCs w:val="20"/>
          <w:lang w:val="fr-CA"/>
        </w:rPr>
        <w:t xml:space="preserve"> </w:t>
      </w:r>
      <w:r w:rsidRPr="00E825BB">
        <w:rPr>
          <w:rFonts w:eastAsia="Times New Roman" w:cs="Times New Roman"/>
          <w:sz w:val="20"/>
          <w:szCs w:val="20"/>
          <w:lang w:val="fr-CA"/>
        </w:rPr>
        <w:t>et</w:t>
      </w:r>
      <w:r w:rsidRPr="00E825BB">
        <w:rPr>
          <w:rFonts w:eastAsia="Times New Roman" w:cs="Times New Roman"/>
          <w:spacing w:val="-3"/>
          <w:sz w:val="20"/>
          <w:szCs w:val="20"/>
          <w:lang w:val="fr-CA"/>
        </w:rPr>
        <w:t xml:space="preserve"> </w:t>
      </w:r>
      <w:r w:rsidRPr="00E825BB">
        <w:rPr>
          <w:rFonts w:eastAsia="Times New Roman" w:cs="Times New Roman"/>
          <w:sz w:val="20"/>
          <w:szCs w:val="20"/>
          <w:lang w:val="fr-CA"/>
        </w:rPr>
        <w:t xml:space="preserve">qu’il n’était pas prescrit malgré le fait qu’aucun contrat n’avait été conclu entre la Ville de Montréal et Octane Stratégie inc.? - La Cour d’appel a-t-elle commis une erreur de droit en déterminant que le présumé contrat était régi par les dispositions du </w:t>
      </w:r>
      <w:r w:rsidRPr="00E825BB">
        <w:rPr>
          <w:rFonts w:eastAsia="Times New Roman" w:cs="Times New Roman"/>
          <w:i/>
          <w:sz w:val="20"/>
          <w:szCs w:val="20"/>
          <w:lang w:val="fr-CA"/>
        </w:rPr>
        <w:t xml:space="preserve">Code civil du Québec </w:t>
      </w:r>
      <w:r w:rsidRPr="00E825BB">
        <w:rPr>
          <w:rFonts w:eastAsia="Times New Roman" w:cs="Times New Roman"/>
          <w:sz w:val="20"/>
          <w:szCs w:val="20"/>
          <w:lang w:val="fr-CA"/>
        </w:rPr>
        <w:t>gouvernant la nullité absolue et la restitution des prestations, et ce, malgré le fait que les règles impératives et d’ordre public spécifiques au droit municipal sont incompatibles avec l’application de ces</w:t>
      </w:r>
      <w:r w:rsidRPr="00E825BB">
        <w:rPr>
          <w:rFonts w:eastAsia="Times New Roman" w:cs="Times New Roman"/>
          <w:spacing w:val="-3"/>
          <w:sz w:val="20"/>
          <w:szCs w:val="20"/>
          <w:lang w:val="fr-CA"/>
        </w:rPr>
        <w:t xml:space="preserve"> </w:t>
      </w:r>
      <w:r w:rsidRPr="00E825BB">
        <w:rPr>
          <w:rFonts w:eastAsia="Times New Roman" w:cs="Times New Roman"/>
          <w:sz w:val="20"/>
          <w:szCs w:val="20"/>
          <w:lang w:val="fr-CA"/>
        </w:rPr>
        <w:t xml:space="preserve">dispositions? - Dans la perspective où les dispositions du </w:t>
      </w:r>
      <w:r w:rsidRPr="00E825BB">
        <w:rPr>
          <w:rFonts w:eastAsia="Times New Roman" w:cs="Times New Roman"/>
          <w:i/>
          <w:sz w:val="20"/>
          <w:szCs w:val="20"/>
          <w:lang w:val="fr-CA"/>
        </w:rPr>
        <w:t>Code civil du Québec</w:t>
      </w:r>
      <w:r w:rsidRPr="00E825BB">
        <w:rPr>
          <w:rFonts w:eastAsia="Times New Roman" w:cs="Times New Roman"/>
          <w:sz w:val="20"/>
          <w:szCs w:val="20"/>
          <w:lang w:val="fr-CA"/>
        </w:rPr>
        <w:t xml:space="preserve"> trouveraient application en l’espèce, la Cour d’appel a-t-elle erré en n’utilisant pas le pouvoir qui lui est accordé à l’al. 2 de l’art.</w:t>
      </w:r>
      <w:r w:rsidRPr="00E825BB">
        <w:rPr>
          <w:rFonts w:eastAsia="Times New Roman" w:cs="Times New Roman"/>
          <w:spacing w:val="-15"/>
          <w:sz w:val="20"/>
          <w:szCs w:val="20"/>
          <w:lang w:val="fr-CA"/>
        </w:rPr>
        <w:t xml:space="preserve"> </w:t>
      </w:r>
      <w:r w:rsidRPr="00E825BB">
        <w:rPr>
          <w:rFonts w:eastAsia="Times New Roman" w:cs="Times New Roman"/>
          <w:sz w:val="20"/>
          <w:szCs w:val="20"/>
          <w:lang w:val="fr-CA"/>
        </w:rPr>
        <w:t>1699</w:t>
      </w:r>
      <w:r w:rsidRPr="00E825BB">
        <w:rPr>
          <w:rFonts w:eastAsia="Times New Roman" w:cs="Times New Roman"/>
          <w:spacing w:val="-14"/>
          <w:sz w:val="20"/>
          <w:szCs w:val="20"/>
          <w:lang w:val="fr-CA"/>
        </w:rPr>
        <w:t xml:space="preserve"> </w:t>
      </w:r>
      <w:r w:rsidRPr="00E825BB">
        <w:rPr>
          <w:rFonts w:eastAsia="Times New Roman" w:cs="Times New Roman"/>
          <w:sz w:val="20"/>
          <w:szCs w:val="20"/>
          <w:lang w:val="fr-CA"/>
        </w:rPr>
        <w:t>C.c.Q.</w:t>
      </w:r>
      <w:r w:rsidRPr="00E825BB">
        <w:rPr>
          <w:rFonts w:eastAsia="Times New Roman" w:cs="Times New Roman"/>
          <w:spacing w:val="-14"/>
          <w:sz w:val="20"/>
          <w:szCs w:val="20"/>
          <w:lang w:val="fr-CA"/>
        </w:rPr>
        <w:t xml:space="preserve"> </w:t>
      </w:r>
      <w:r w:rsidRPr="00E825BB">
        <w:rPr>
          <w:rFonts w:eastAsia="Times New Roman" w:cs="Times New Roman"/>
          <w:sz w:val="20"/>
          <w:szCs w:val="20"/>
          <w:lang w:val="fr-CA"/>
        </w:rPr>
        <w:t>pour</w:t>
      </w:r>
      <w:r w:rsidRPr="00E825BB">
        <w:rPr>
          <w:rFonts w:eastAsia="Times New Roman" w:cs="Times New Roman"/>
          <w:spacing w:val="-13"/>
          <w:sz w:val="20"/>
          <w:szCs w:val="20"/>
          <w:lang w:val="fr-CA"/>
        </w:rPr>
        <w:t xml:space="preserve"> </w:t>
      </w:r>
      <w:r w:rsidRPr="00E825BB">
        <w:rPr>
          <w:rFonts w:eastAsia="Times New Roman" w:cs="Times New Roman"/>
          <w:sz w:val="20"/>
          <w:szCs w:val="20"/>
          <w:lang w:val="fr-CA"/>
        </w:rPr>
        <w:t>refuser</w:t>
      </w:r>
      <w:r w:rsidRPr="00E825BB">
        <w:rPr>
          <w:rFonts w:eastAsia="Times New Roman" w:cs="Times New Roman"/>
          <w:spacing w:val="-15"/>
          <w:sz w:val="20"/>
          <w:szCs w:val="20"/>
          <w:lang w:val="fr-CA"/>
        </w:rPr>
        <w:t xml:space="preserve"> </w:t>
      </w:r>
      <w:r w:rsidRPr="00E825BB">
        <w:rPr>
          <w:rFonts w:eastAsia="Times New Roman" w:cs="Times New Roman"/>
          <w:sz w:val="20"/>
          <w:szCs w:val="20"/>
          <w:lang w:val="fr-CA"/>
        </w:rPr>
        <w:t>la</w:t>
      </w:r>
      <w:r w:rsidRPr="00E825BB">
        <w:rPr>
          <w:rFonts w:eastAsia="Times New Roman" w:cs="Times New Roman"/>
          <w:spacing w:val="-15"/>
          <w:sz w:val="20"/>
          <w:szCs w:val="20"/>
          <w:lang w:val="fr-CA"/>
        </w:rPr>
        <w:t xml:space="preserve"> </w:t>
      </w:r>
      <w:r w:rsidRPr="00E825BB">
        <w:rPr>
          <w:rFonts w:eastAsia="Times New Roman" w:cs="Times New Roman"/>
          <w:sz w:val="20"/>
          <w:szCs w:val="20"/>
          <w:lang w:val="fr-CA"/>
        </w:rPr>
        <w:t>demande</w:t>
      </w:r>
      <w:r w:rsidRPr="00E825BB">
        <w:rPr>
          <w:rFonts w:eastAsia="Times New Roman" w:cs="Times New Roman"/>
          <w:spacing w:val="-15"/>
          <w:sz w:val="20"/>
          <w:szCs w:val="20"/>
          <w:lang w:val="fr-CA"/>
        </w:rPr>
        <w:t xml:space="preserve"> </w:t>
      </w:r>
      <w:r w:rsidRPr="00E825BB">
        <w:rPr>
          <w:rFonts w:eastAsia="Times New Roman" w:cs="Times New Roman"/>
          <w:sz w:val="20"/>
          <w:szCs w:val="20"/>
          <w:lang w:val="fr-CA"/>
        </w:rPr>
        <w:t>de</w:t>
      </w:r>
      <w:r w:rsidRPr="00E825BB">
        <w:rPr>
          <w:rFonts w:eastAsia="Times New Roman" w:cs="Times New Roman"/>
          <w:spacing w:val="-13"/>
          <w:sz w:val="20"/>
          <w:szCs w:val="20"/>
          <w:lang w:val="fr-CA"/>
        </w:rPr>
        <w:t xml:space="preserve"> </w:t>
      </w:r>
      <w:r w:rsidRPr="00E825BB">
        <w:rPr>
          <w:rFonts w:eastAsia="Times New Roman" w:cs="Times New Roman"/>
          <w:sz w:val="20"/>
          <w:szCs w:val="20"/>
          <w:lang w:val="fr-CA"/>
        </w:rPr>
        <w:t>restitution</w:t>
      </w:r>
      <w:r w:rsidRPr="00E825BB">
        <w:rPr>
          <w:rFonts w:eastAsia="Times New Roman" w:cs="Times New Roman"/>
          <w:spacing w:val="-14"/>
          <w:sz w:val="20"/>
          <w:szCs w:val="20"/>
          <w:lang w:val="fr-CA"/>
        </w:rPr>
        <w:t xml:space="preserve"> </w:t>
      </w:r>
      <w:r w:rsidRPr="00E825BB">
        <w:rPr>
          <w:rFonts w:eastAsia="Times New Roman" w:cs="Times New Roman"/>
          <w:sz w:val="20"/>
          <w:szCs w:val="20"/>
          <w:lang w:val="fr-CA"/>
        </w:rPr>
        <w:t>des</w:t>
      </w:r>
      <w:r w:rsidRPr="00E825BB">
        <w:rPr>
          <w:rFonts w:eastAsia="Times New Roman" w:cs="Times New Roman"/>
          <w:spacing w:val="-14"/>
          <w:sz w:val="20"/>
          <w:szCs w:val="20"/>
          <w:lang w:val="fr-CA"/>
        </w:rPr>
        <w:t xml:space="preserve"> </w:t>
      </w:r>
      <w:r w:rsidRPr="00E825BB">
        <w:rPr>
          <w:rFonts w:eastAsia="Times New Roman" w:cs="Times New Roman"/>
          <w:sz w:val="20"/>
          <w:szCs w:val="20"/>
          <w:lang w:val="fr-CA"/>
        </w:rPr>
        <w:t>prestations</w:t>
      </w:r>
      <w:r w:rsidRPr="00E825BB">
        <w:rPr>
          <w:rFonts w:eastAsia="Times New Roman" w:cs="Times New Roman"/>
          <w:spacing w:val="-14"/>
          <w:sz w:val="20"/>
          <w:szCs w:val="20"/>
          <w:lang w:val="fr-CA"/>
        </w:rPr>
        <w:t xml:space="preserve"> </w:t>
      </w:r>
      <w:r w:rsidRPr="00E825BB">
        <w:rPr>
          <w:rFonts w:eastAsia="Times New Roman" w:cs="Times New Roman"/>
          <w:sz w:val="20"/>
          <w:szCs w:val="20"/>
          <w:lang w:val="fr-CA"/>
        </w:rPr>
        <w:t xml:space="preserve">d’Octane Stratégie inc.? - </w:t>
      </w:r>
      <w:r w:rsidRPr="00E825BB">
        <w:rPr>
          <w:rFonts w:eastAsia="Times New Roman" w:cs="Times New Roman"/>
          <w:i/>
          <w:sz w:val="20"/>
          <w:szCs w:val="20"/>
          <w:lang w:val="fr-CA"/>
        </w:rPr>
        <w:t>Code civil du Québec</w:t>
      </w:r>
      <w:r w:rsidRPr="00E825BB">
        <w:rPr>
          <w:rFonts w:eastAsia="Times New Roman" w:cs="Times New Roman"/>
          <w:sz w:val="20"/>
          <w:szCs w:val="20"/>
          <w:lang w:val="fr-CA"/>
        </w:rPr>
        <w:t xml:space="preserve">, art. 1422, 1699 et 1700 - </w:t>
      </w:r>
      <w:r w:rsidRPr="00E825BB">
        <w:rPr>
          <w:rFonts w:eastAsia="Times New Roman" w:cs="Times New Roman"/>
          <w:i/>
          <w:sz w:val="20"/>
          <w:szCs w:val="20"/>
          <w:lang w:val="fr-CA"/>
        </w:rPr>
        <w:t>Loi sur les cités et villes</w:t>
      </w:r>
      <w:r w:rsidRPr="00E825BB">
        <w:rPr>
          <w:rFonts w:eastAsia="Times New Roman" w:cs="Times New Roman"/>
          <w:sz w:val="20"/>
          <w:szCs w:val="20"/>
          <w:lang w:val="fr-CA"/>
        </w:rPr>
        <w:t xml:space="preserve">, </w:t>
      </w:r>
      <w:r w:rsidRPr="00E825BB">
        <w:rPr>
          <w:rFonts w:eastAsia="Times New Roman" w:cs="Times New Roman"/>
          <w:sz w:val="20"/>
          <w:szCs w:val="20"/>
          <w:lang w:val="fr-FR"/>
        </w:rPr>
        <w:t>RLRQ c. C-19, art. </w:t>
      </w:r>
      <w:r w:rsidRPr="00E825BB">
        <w:rPr>
          <w:rFonts w:eastAsia="Times New Roman" w:cs="Times New Roman"/>
          <w:sz w:val="20"/>
          <w:szCs w:val="20"/>
          <w:lang w:val="fr-CA"/>
        </w:rPr>
        <w:t>573 et 573. 1.</w:t>
      </w:r>
    </w:p>
    <w:p w:rsidR="00B124FF" w:rsidRPr="00E825BB" w:rsidRDefault="00B124FF" w:rsidP="00B124FF">
      <w:pPr>
        <w:widowControl w:val="0"/>
        <w:ind w:right="360"/>
        <w:outlineLvl w:val="0"/>
        <w:rPr>
          <w:rFonts w:eastAsia="Times New Roman" w:cs="Times New Roman"/>
          <w:sz w:val="20"/>
          <w:szCs w:val="20"/>
          <w:lang w:val="fr-CA"/>
        </w:rPr>
      </w:pPr>
    </w:p>
    <w:p w:rsidR="00B124FF" w:rsidRPr="00E825BB" w:rsidRDefault="00B124FF" w:rsidP="00B124FF">
      <w:pPr>
        <w:widowControl w:val="0"/>
        <w:ind w:right="360"/>
        <w:outlineLvl w:val="0"/>
        <w:rPr>
          <w:rFonts w:eastAsia="Times New Roman" w:cs="Times New Roman"/>
          <w:sz w:val="20"/>
          <w:szCs w:val="20"/>
          <w:lang w:val="fr-CA"/>
        </w:rPr>
      </w:pPr>
      <w:r w:rsidRPr="00E825BB">
        <w:rPr>
          <w:rFonts w:eastAsia="Times New Roman" w:cs="Times New Roman"/>
          <w:sz w:val="20"/>
          <w:szCs w:val="20"/>
          <w:lang w:val="fr-CA"/>
        </w:rPr>
        <w:t>En vue de la préparation du lancement du Plan de transport de la Ville de Montréal (Ville), cette dernière a fait appel aux services d’Octane Stratégie inc. (Octane), une entreprise spécialisée en relations publiques et en communications, peu de temps avant la date du lancement prévu le 17 mai 2007. Le 27 avril 2007 a eu lieu une réunion à l’Hôtel de Ville auquel participaient des représentants d’Octane et du corps administratif et politique de la Ville. Au cours de cette réunion, le directeur des communications et de l’administration au cabinet du maire et du comité exécutif, M. Richard Thériault aurait octroyé à Octane quatre mandats, dont ceux de préparer le concept du lancement et de s’occuper de l’organisation de l’événement. Afin de remplir son mandat quant à l’organisation de l’événement, Octane a fait appel aux services de Productions Gilles Blais. Entre le 30 avril et le 17 mai, Octane a transmis à la Ville divers scénarios et estimations budgétaires entourant l’organisation de l’événement. L’estimation finale en date du 15 mai 2007 prévoyait des honoraires, frais et déboursés d’un montant de 123 470$. Comme suite à la tenue de l’événement, Octane a transmis le 4 juin 2007 trois factures qui seront payées en mars et avril 2008. Quant à la dernière facture d’un montant de 82 898,63$ (72 500$ plus taxes) correspondant aux services de Productions Gilles Blais, elle a été transmise à la Ville le 27 octobre 2009. N’ayant pas été payée, Octane a renouvelé sa demande de paiement auprès de la Ville le 13 mai 2010. Le 14 mai, elle a fait timbrer une requête introductive d’instance afin de protéger ses droits contre la Ville. N’ayant toujours pas été payée, Octane a finalement signifié sa requête introductive d’instance à la Ville le 9 juillet 2010. Le 6 octobre 2011, Octane a mis en demeure M. Thériault de lui rembourser la somme de 82 898,63$. Le 22 novembre 2011, Octane a amendé sa requête introductive d’instance pour ajouter ce dernier comme défendeur. La Cour supérieure a accueilli la requête introductive d’instance d’Octane et a condamné la Ville à payer la somme de 82 898,63$ avec intérêts et indemnité additionnelle. La requête introductive d’instance subsidiaire contre M. Thériault est rejetée. La Cour d’appel a rejeté l’appel. L’appel d’Octane contre M. Thériault est déclaré sans objet. Le juge Mainville a écrit les motifs du jugement. La juge Hogue a écrit des motifs concordants quant au résultat.</w:t>
      </w:r>
    </w:p>
    <w:p w:rsidR="00B124FF" w:rsidRPr="00E825BB" w:rsidRDefault="00B124FF" w:rsidP="00B124FF">
      <w:pPr>
        <w:widowControl w:val="0"/>
        <w:ind w:right="360"/>
        <w:outlineLvl w:val="0"/>
        <w:rPr>
          <w:rFonts w:eastAsia="Times New Roman" w:cs="Times New Roman"/>
          <w:sz w:val="20"/>
          <w:szCs w:val="20"/>
          <w:lang w:val="fr-CA"/>
        </w:rPr>
      </w:pPr>
    </w:p>
    <w:p w:rsidR="00B124FF" w:rsidRPr="00E825BB" w:rsidRDefault="00B124FF" w:rsidP="00B124FF">
      <w:pPr>
        <w:widowControl w:val="0"/>
        <w:ind w:right="360"/>
        <w:outlineLvl w:val="0"/>
        <w:rPr>
          <w:rFonts w:eastAsia="Times New Roman" w:cs="Times New Roman"/>
          <w:sz w:val="20"/>
          <w:szCs w:val="20"/>
          <w:lang w:val="fr-CA"/>
        </w:rPr>
      </w:pPr>
    </w:p>
    <w:p w:rsidR="00B124FF" w:rsidRPr="00E825BB" w:rsidRDefault="00B124FF" w:rsidP="00B124FF">
      <w:pPr>
        <w:ind w:right="360"/>
        <w:jc w:val="both"/>
        <w:rPr>
          <w:rFonts w:eastAsia="Calibri" w:cs="Times New Roman"/>
          <w:b/>
          <w:i/>
          <w:sz w:val="20"/>
          <w:szCs w:val="20"/>
          <w:lang w:val="fr-CA"/>
        </w:rPr>
      </w:pPr>
      <w:r w:rsidRPr="00E825BB">
        <w:rPr>
          <w:rFonts w:eastAsia="Calibri" w:cs="Times New Roman"/>
          <w:b/>
          <w:sz w:val="20"/>
          <w:lang w:val="fr-CA"/>
        </w:rPr>
        <w:t>38073</w:t>
      </w:r>
      <w:r w:rsidRPr="00E825BB">
        <w:rPr>
          <w:rFonts w:eastAsia="Calibri" w:cs="Times New Roman"/>
          <w:b/>
          <w:sz w:val="20"/>
          <w:lang w:val="fr-CA"/>
        </w:rPr>
        <w:tab/>
      </w:r>
      <w:r w:rsidRPr="00E825BB">
        <w:rPr>
          <w:rFonts w:eastAsia="Calibri" w:cs="Times New Roman"/>
          <w:b/>
          <w:i/>
          <w:sz w:val="20"/>
          <w:szCs w:val="20"/>
          <w:lang w:val="fr-CA"/>
        </w:rPr>
        <w:t>Octane Stratégie inc. v. Richard Thériault and Ville de Montréal</w:t>
      </w:r>
    </w:p>
    <w:p w:rsidR="00B124FF" w:rsidRPr="00E825BB" w:rsidRDefault="00B124FF" w:rsidP="00B124FF">
      <w:pPr>
        <w:widowControl w:val="0"/>
        <w:ind w:right="360" w:firstLine="720"/>
        <w:outlineLvl w:val="0"/>
        <w:rPr>
          <w:rFonts w:eastAsia="Times New Roman" w:cs="Times New Roman"/>
          <w:sz w:val="20"/>
          <w:szCs w:val="20"/>
          <w:lang w:val="en-US"/>
        </w:rPr>
      </w:pPr>
      <w:r w:rsidRPr="00E825BB">
        <w:rPr>
          <w:rFonts w:eastAsia="Times New Roman" w:cs="Times New Roman"/>
          <w:sz w:val="20"/>
          <w:szCs w:val="20"/>
        </w:rPr>
        <w:t>(Que.) (Civil) (By Leave)</w:t>
      </w:r>
    </w:p>
    <w:p w:rsidR="00B124FF" w:rsidRPr="00E825BB" w:rsidRDefault="00B124FF" w:rsidP="00B124FF">
      <w:pPr>
        <w:widowControl w:val="0"/>
        <w:ind w:right="360"/>
        <w:outlineLvl w:val="0"/>
        <w:rPr>
          <w:rFonts w:eastAsia="Times New Roman" w:cs="Times New Roman"/>
          <w:sz w:val="20"/>
          <w:szCs w:val="20"/>
          <w:lang w:val="en-US"/>
        </w:rPr>
      </w:pPr>
    </w:p>
    <w:p w:rsidR="00B124FF" w:rsidRPr="00E825BB" w:rsidRDefault="00B124FF" w:rsidP="00B124FF">
      <w:pPr>
        <w:widowControl w:val="0"/>
        <w:ind w:right="360"/>
        <w:outlineLvl w:val="0"/>
        <w:rPr>
          <w:rFonts w:eastAsia="Times New Roman" w:cs="Times New Roman"/>
          <w:sz w:val="20"/>
          <w:szCs w:val="20"/>
          <w:lang w:val="en-US"/>
        </w:rPr>
      </w:pPr>
      <w:r w:rsidRPr="00E825BB">
        <w:rPr>
          <w:rFonts w:eastAsia="Times New Roman" w:cs="Times New Roman"/>
          <w:sz w:val="20"/>
          <w:szCs w:val="20"/>
        </w:rPr>
        <w:t xml:space="preserve">Municipal law - Contracts for services - Formation and awarding of municipal contracts - Restitution of prestations </w:t>
      </w:r>
      <w:r w:rsidRPr="00E825BB">
        <w:rPr>
          <w:rFonts w:eastAsia="Times New Roman" w:cs="Times New Roman"/>
          <w:sz w:val="20"/>
          <w:szCs w:val="20"/>
        </w:rPr>
        <w:lastRenderedPageBreak/>
        <w:t>- Public order - Whether, in event that appeal of Ville de Montréal is allowed in related case No. 38066, judgment at trial should be amended to personally order Richard Thériault to pay Octane Stratégie inc. $82,898.63 plus interest, indemnities and expenses in order to give full effect to trial judge’s reasons.</w:t>
      </w:r>
    </w:p>
    <w:p w:rsidR="00B124FF" w:rsidRPr="00E825BB" w:rsidRDefault="00B124FF" w:rsidP="00B124FF">
      <w:pPr>
        <w:widowControl w:val="0"/>
        <w:ind w:right="360"/>
        <w:outlineLvl w:val="0"/>
        <w:rPr>
          <w:rFonts w:eastAsia="Times New Roman" w:cs="Times New Roman"/>
          <w:sz w:val="20"/>
          <w:szCs w:val="20"/>
          <w:lang w:val="en-US"/>
        </w:rPr>
      </w:pPr>
    </w:p>
    <w:p w:rsidR="00B124FF" w:rsidRPr="00E825BB" w:rsidRDefault="00B124FF" w:rsidP="00B124FF">
      <w:pPr>
        <w:widowControl w:val="0"/>
        <w:ind w:right="360"/>
        <w:outlineLvl w:val="0"/>
        <w:rPr>
          <w:rFonts w:eastAsia="Times New Roman" w:cs="Times New Roman"/>
          <w:sz w:val="20"/>
          <w:szCs w:val="20"/>
          <w:lang w:val="en-US"/>
        </w:rPr>
      </w:pPr>
      <w:r w:rsidRPr="00E825BB">
        <w:rPr>
          <w:rFonts w:eastAsia="Times New Roman" w:cs="Times New Roman"/>
          <w:sz w:val="20"/>
          <w:szCs w:val="20"/>
        </w:rPr>
        <w:t>To prepare for the launch of its transportation plan, Ville de Montréal (City) retained Octane Stratégie inc. (Octane), a public relations and communications firm, not long before the planned launch date of May 17, 2007. Representatives of Octane attended a meeting at city hall on April 27, 2007 with officials and political representatives from the City. At that meeting, Richard Thériault, the director of communications and administration in the office of the mayor and the executive committee, is alleged to have awarded four mandates to Octane, two of which involved preparing the concept for the launch and organizing the event. To fulfill its mandate to organize the event, Octane hired Productions Gilles Blais. Between April 30 and May 17, Octane sent the City various scenarios and budget estimates relating to the organization of the event. The final estimate dated May 15, 2007 forecast fees, costs and disbursements totalling $123,470. Following the event, Octane sent three invoices on June 4, 2007 that were paid in March and April 2008. A final invoice for $82,898.63 ($72,500 plus taxes), which corresponded to the services of Productions Gilles Blais, was sent to the City on October 27, 2009. On May 13, 2010, Octane, having not yet been paid, renewed its request for payment by the City. On May 14, it filed a motion to institute proceedings in order to preserve its rights against the City. On July 9, 2010, Octane, still not having been paid, finally served its motion to institute proceedings on the City. On October 6, 2011, Octane sent Mr. Thériault a formal notice to pay it the amount of $82,898.63. Octane amended its motion to institute proceedings on November 22, 2011 to add Mr. Thériault as a defendant. The Superior Court granted Octane’s motion to institute proceedings and ordered the City to pay $82,898.63 plus interest and the additional indemnity. The alternative motion to institute proceedings against Mr. Thériault was dismissed. The Court of Appeal dismissed the appeal. Octane’s appeal against Mr. Thériault was declared to be moot. The reasons for judgment were written by Mainville J.A. Hogue J.A. wrote reasons concurring in the result.</w:t>
      </w:r>
    </w:p>
    <w:p w:rsidR="00B124FF" w:rsidRPr="00E825BB" w:rsidRDefault="00B124FF" w:rsidP="00B124FF">
      <w:pPr>
        <w:widowControl w:val="0"/>
        <w:ind w:right="360"/>
        <w:outlineLvl w:val="0"/>
        <w:rPr>
          <w:rFonts w:eastAsia="Times New Roman" w:cs="Times New Roman"/>
          <w:sz w:val="20"/>
          <w:szCs w:val="20"/>
          <w:lang w:val="en-US"/>
        </w:rPr>
      </w:pPr>
    </w:p>
    <w:p w:rsidR="00B124FF" w:rsidRPr="00E825BB" w:rsidRDefault="00B124FF" w:rsidP="00B124FF">
      <w:pPr>
        <w:widowControl w:val="0"/>
        <w:ind w:right="360"/>
        <w:outlineLvl w:val="0"/>
        <w:rPr>
          <w:rFonts w:eastAsia="Times New Roman" w:cs="Times New Roman"/>
          <w:sz w:val="20"/>
          <w:szCs w:val="20"/>
          <w:lang w:val="en-US"/>
        </w:rPr>
      </w:pPr>
    </w:p>
    <w:p w:rsidR="00B124FF" w:rsidRPr="00E825BB" w:rsidRDefault="00B124FF" w:rsidP="00B124FF">
      <w:pPr>
        <w:ind w:right="360"/>
        <w:jc w:val="both"/>
        <w:rPr>
          <w:rFonts w:eastAsia="Calibri" w:cs="Times New Roman"/>
          <w:b/>
          <w:i/>
          <w:sz w:val="20"/>
          <w:szCs w:val="20"/>
          <w:lang w:val="fr-CA"/>
        </w:rPr>
      </w:pPr>
      <w:r w:rsidRPr="00E825BB">
        <w:rPr>
          <w:rFonts w:eastAsia="Calibri" w:cs="Times New Roman"/>
          <w:b/>
          <w:sz w:val="20"/>
          <w:lang w:val="fr-CA"/>
        </w:rPr>
        <w:t>38073</w:t>
      </w:r>
      <w:r w:rsidRPr="00E825BB">
        <w:rPr>
          <w:rFonts w:eastAsia="Calibri" w:cs="Times New Roman"/>
          <w:b/>
          <w:sz w:val="20"/>
          <w:lang w:val="fr-CA"/>
        </w:rPr>
        <w:tab/>
      </w:r>
      <w:r w:rsidRPr="00E825BB">
        <w:rPr>
          <w:rFonts w:eastAsia="Calibri" w:cs="Times New Roman"/>
          <w:b/>
          <w:i/>
          <w:sz w:val="20"/>
          <w:szCs w:val="20"/>
          <w:lang w:val="fr-CA"/>
        </w:rPr>
        <w:t>Octane Stratégie inc. c. Richard Thériault et Ville de Montréal</w:t>
      </w:r>
    </w:p>
    <w:p w:rsidR="00B124FF" w:rsidRPr="00E825BB" w:rsidRDefault="00B124FF" w:rsidP="00B124FF">
      <w:pPr>
        <w:ind w:right="360" w:firstLine="720"/>
        <w:rPr>
          <w:rFonts w:eastAsia="Times New Roman" w:cs="Times New Roman"/>
          <w:sz w:val="20"/>
          <w:szCs w:val="20"/>
          <w:lang w:val="fr-CA"/>
        </w:rPr>
      </w:pPr>
      <w:r w:rsidRPr="00E825BB">
        <w:rPr>
          <w:rFonts w:eastAsia="Times New Roman" w:cs="Times New Roman"/>
          <w:sz w:val="20"/>
          <w:szCs w:val="20"/>
          <w:lang w:val="fr-CA"/>
        </w:rPr>
        <w:t>(Qc) (Civile) (Autorisation)</w:t>
      </w:r>
    </w:p>
    <w:p w:rsidR="00B124FF" w:rsidRPr="00E825BB" w:rsidRDefault="00B124FF" w:rsidP="00B124FF">
      <w:pPr>
        <w:ind w:right="360"/>
        <w:rPr>
          <w:rFonts w:eastAsia="Times New Roman" w:cs="Times New Roman"/>
          <w:sz w:val="20"/>
          <w:szCs w:val="20"/>
          <w:lang w:val="fr-CA"/>
        </w:rPr>
      </w:pPr>
    </w:p>
    <w:p w:rsidR="00B124FF" w:rsidRPr="00E825BB" w:rsidRDefault="00B124FF" w:rsidP="00B124FF">
      <w:pPr>
        <w:ind w:right="360"/>
        <w:rPr>
          <w:rFonts w:eastAsia="Times New Roman" w:cs="Times New Roman"/>
          <w:sz w:val="20"/>
          <w:szCs w:val="20"/>
          <w:lang w:val="fr-CA"/>
        </w:rPr>
      </w:pPr>
      <w:r w:rsidRPr="00E825BB">
        <w:rPr>
          <w:rFonts w:eastAsia="Times New Roman" w:cs="Times New Roman"/>
          <w:sz w:val="20"/>
          <w:szCs w:val="20"/>
          <w:lang w:val="fr-CA"/>
        </w:rPr>
        <w:t>Droit municipal - Contrats de services - Formation et adjudication de contrats municipaux - Restitution des prestations - Ordre public - Dans la mesure où l’appel de la Ville de Montréal est accueilli dans le dossier connexe No. 38066, le jugement de première instance devrait-il être modifié afin que M. Richard Thériault soit personnellement condamné à payer à Octane Stratégie inc. la somme de 82 898,63$ plus intérêts, indemnités et frais afin de donner plein effet aux motifs de première instance?</w:t>
      </w:r>
    </w:p>
    <w:p w:rsidR="00B124FF" w:rsidRPr="00E825BB" w:rsidRDefault="00B124FF" w:rsidP="00B124FF">
      <w:pPr>
        <w:ind w:right="360"/>
        <w:rPr>
          <w:rFonts w:eastAsia="Times New Roman" w:cs="Times New Roman"/>
          <w:sz w:val="20"/>
          <w:szCs w:val="20"/>
          <w:lang w:val="fr-CA"/>
        </w:rPr>
      </w:pPr>
    </w:p>
    <w:p w:rsidR="00B124FF" w:rsidRPr="00E825BB" w:rsidRDefault="00B124FF" w:rsidP="00B124FF">
      <w:pPr>
        <w:ind w:right="360"/>
        <w:rPr>
          <w:rFonts w:eastAsia="Times New Roman" w:cs="Times New Roman"/>
          <w:sz w:val="20"/>
          <w:szCs w:val="20"/>
          <w:lang w:val="fr-CA"/>
        </w:rPr>
      </w:pPr>
      <w:r w:rsidRPr="00E825BB">
        <w:rPr>
          <w:rFonts w:eastAsia="Times New Roman" w:cs="Times New Roman"/>
          <w:sz w:val="20"/>
          <w:szCs w:val="20"/>
          <w:lang w:val="fr-CA"/>
        </w:rPr>
        <w:t xml:space="preserve">En vue de la préparation du lancement du Plan de transport de la Ville de Montréal (Ville), cette dernière a fait appel aux services d’Octane Stratégie inc. (Octane), une entreprise spécialisée en relations publiques et en communications, peu de temps avant la date du lancement prévu le 17 mai 2007. Le 27 avril 2007 a eu lieu une réunion à l’Hôtel de Ville auquel participaient des représentants d’Octane et du corps administratif et politique de la Ville. Au cours de cette réunion, le directeur des communications et de l’administration au cabinet du maire et du comité exécutif, M. Richard Thériault aurait octroyé à Octane quatre mandats, dont ceux de préparer le concept du lancement et de s’occuper de l’organisation de l’événement. Afin de remplir son mandat quant à l'organisation de l'événement, Octane a fait appel aux services de Productions Gilles Blais. Entre le 30 avril et le 17 mai, Octane a transmis à la Ville divers scénarios et estimations budgétaires entourant l'organisation de l’événement. L’estimation finale en date du 15 mai 2007 prévoyait des honoraires, frais et déboursés d'un montant de 123 470$. Comme suite à la tenue de l’événement, Octane a transmis le 4 juin 2007 trois factures qui seront payées en mars et avril 2008. Quant à la dernière facture d'un montant de 82 898,63$ (72 500$ plus taxes) correspondant aux services de Productions Gilles Blais, elle a été transmise à la Ville le 27 octobre 2009. N’ayant pas été payée, Octane a renouvelé sa demande de paiement auprès de la Ville le 13 mai 2010. Le 14 mai, elle a fait timbrer une requête introductive d’instance afin de protéger ses droits contre la Ville. N'ayant toujours pas été payée, Octane a finalement signifié sa requête introductive d'instance à la Ville le 9 juillet 2010. Le 6 octobre 2011, Octane a mis en demeure M. Thériault de lui rembourser la somme de 82 898,63$. Le 22 novembre 2011, Octane a amendé sa requête introductive d’instance pour ajouter ce dernier comme défendeur. La Cour supérieure a accueilli la requête introductive d’instance d’Octane et a condamné la Ville à payer la somme de 82 898,63$ avec intérêts et indemnité additionnelle. La requête introductive d’instance subsidiaire contre M. Thériault est rejetée. La Cour d’appel a </w:t>
      </w:r>
      <w:r w:rsidRPr="00E825BB">
        <w:rPr>
          <w:rFonts w:eastAsia="Times New Roman" w:cs="Times New Roman"/>
          <w:sz w:val="20"/>
          <w:szCs w:val="20"/>
          <w:lang w:val="fr-CA"/>
        </w:rPr>
        <w:lastRenderedPageBreak/>
        <w:t>rejeté l’appel. L’appel d’Octane contre M. Thériault est déclaré sans objet. Le juge Mainville a écrit les motifs du jugement. La juge Hogue a écrit des motifs concordants quant au résultat.</w:t>
      </w:r>
    </w:p>
    <w:p w:rsidR="00B124FF" w:rsidRPr="00E825BB" w:rsidRDefault="00B124FF" w:rsidP="00B124FF">
      <w:pPr>
        <w:ind w:right="360"/>
        <w:rPr>
          <w:rFonts w:eastAsia="Times New Roman" w:cs="Times New Roman"/>
          <w:sz w:val="20"/>
          <w:szCs w:val="20"/>
          <w:lang w:val="fr-CA"/>
        </w:rPr>
      </w:pPr>
    </w:p>
    <w:p w:rsidR="00B124FF" w:rsidRPr="00E825BB" w:rsidRDefault="00B124FF" w:rsidP="00B124FF">
      <w:pPr>
        <w:widowControl w:val="0"/>
        <w:ind w:right="360"/>
        <w:outlineLvl w:val="0"/>
        <w:rPr>
          <w:rFonts w:eastAsia="Times New Roman" w:cs="Times New Roman"/>
          <w:sz w:val="20"/>
          <w:szCs w:val="20"/>
          <w:lang w:val="fr-CA"/>
        </w:rPr>
      </w:pPr>
    </w:p>
    <w:p w:rsidR="00B124FF" w:rsidRPr="00E825BB" w:rsidRDefault="00B124FF" w:rsidP="00B124FF">
      <w:pPr>
        <w:ind w:right="360"/>
        <w:rPr>
          <w:rFonts w:eastAsia="Calibri" w:cs="Times New Roman"/>
          <w:b/>
          <w:i/>
          <w:sz w:val="20"/>
          <w:szCs w:val="20"/>
          <w:lang w:val="en-US"/>
        </w:rPr>
      </w:pPr>
      <w:r w:rsidRPr="00E825BB">
        <w:rPr>
          <w:rFonts w:eastAsia="Calibri" w:cs="Times New Roman"/>
          <w:b/>
          <w:sz w:val="20"/>
          <w:szCs w:val="20"/>
          <w:lang w:val="fr-CA"/>
        </w:rPr>
        <w:fldChar w:fldCharType="begin"/>
      </w:r>
      <w:r w:rsidRPr="00E825BB">
        <w:rPr>
          <w:rFonts w:eastAsia="Calibri" w:cs="Times New Roman"/>
          <w:b/>
          <w:sz w:val="20"/>
          <w:szCs w:val="20"/>
          <w:lang w:val="en-US"/>
        </w:rPr>
        <w:instrText xml:space="preserve"> SEQ CHAPTER \h \r 1</w:instrText>
      </w:r>
      <w:r w:rsidRPr="00E825BB">
        <w:rPr>
          <w:rFonts w:eastAsia="Calibri" w:cs="Times New Roman"/>
          <w:b/>
          <w:sz w:val="20"/>
          <w:szCs w:val="20"/>
          <w:lang w:val="fr-CA"/>
        </w:rPr>
        <w:fldChar w:fldCharType="end"/>
      </w:r>
      <w:r w:rsidRPr="00E825BB">
        <w:rPr>
          <w:rFonts w:eastAsia="Calibri" w:cs="Times New Roman"/>
          <w:b/>
          <w:sz w:val="20"/>
          <w:szCs w:val="20"/>
          <w:lang w:val="en-US"/>
        </w:rPr>
        <w:t>38004</w:t>
      </w:r>
      <w:r w:rsidRPr="00E825BB">
        <w:rPr>
          <w:rFonts w:eastAsia="Calibri" w:cs="Times New Roman"/>
          <w:sz w:val="20"/>
          <w:szCs w:val="20"/>
          <w:lang w:val="en-US"/>
        </w:rPr>
        <w:tab/>
      </w:r>
      <w:r w:rsidRPr="00E825BB">
        <w:rPr>
          <w:rFonts w:eastAsia="Calibri" w:cs="Times New Roman"/>
          <w:b/>
          <w:i/>
          <w:sz w:val="20"/>
          <w:szCs w:val="20"/>
          <w:lang w:val="en-US"/>
        </w:rPr>
        <w:t>Her Majesty the Queen v. Albert Penunsi</w:t>
      </w:r>
    </w:p>
    <w:p w:rsidR="00B124FF" w:rsidRPr="00E825BB" w:rsidRDefault="00B124FF" w:rsidP="00B124FF">
      <w:pPr>
        <w:widowControl w:val="0"/>
        <w:ind w:left="1440" w:right="360" w:hanging="720"/>
        <w:jc w:val="both"/>
        <w:rPr>
          <w:rFonts w:eastAsia="Times New Roman" w:cs="Times New Roman"/>
          <w:sz w:val="20"/>
          <w:szCs w:val="20"/>
        </w:rPr>
      </w:pPr>
      <w:r w:rsidRPr="00E825BB">
        <w:rPr>
          <w:rFonts w:eastAsia="Times New Roman" w:cs="Times New Roman"/>
          <w:sz w:val="20"/>
          <w:szCs w:val="20"/>
        </w:rPr>
        <w:t>(N.L.) (Criminal) (By Leave)</w:t>
      </w:r>
    </w:p>
    <w:p w:rsidR="00B124FF" w:rsidRPr="00E825BB" w:rsidRDefault="00B124FF" w:rsidP="00B124FF">
      <w:pPr>
        <w:widowControl w:val="0"/>
        <w:ind w:right="360"/>
        <w:jc w:val="both"/>
        <w:rPr>
          <w:rFonts w:eastAsia="Times New Roman" w:cs="Times New Roman"/>
          <w:sz w:val="20"/>
          <w:szCs w:val="20"/>
        </w:rPr>
      </w:pPr>
    </w:p>
    <w:p w:rsidR="00B124FF" w:rsidRPr="00E825BB" w:rsidRDefault="00B124FF" w:rsidP="00B124FF">
      <w:pPr>
        <w:ind w:right="360"/>
        <w:jc w:val="both"/>
        <w:rPr>
          <w:rFonts w:eastAsia="Times New Roman" w:cs="Times New Roman"/>
          <w:sz w:val="20"/>
          <w:szCs w:val="20"/>
          <w:lang w:val="en-US"/>
        </w:rPr>
      </w:pPr>
      <w:r w:rsidRPr="00E825BB">
        <w:rPr>
          <w:rFonts w:eastAsia="Times New Roman" w:cs="Times New Roman"/>
          <w:sz w:val="20"/>
          <w:szCs w:val="20"/>
          <w:lang w:val="en-US"/>
        </w:rPr>
        <w:t xml:space="preserve">Criminal law - Judicial interim release - Whether the judicial interim release provisions contained in s. 515 of the </w:t>
      </w:r>
      <w:r w:rsidRPr="00E825BB">
        <w:rPr>
          <w:rFonts w:eastAsia="Times New Roman" w:cs="Times New Roman"/>
          <w:i/>
          <w:sz w:val="20"/>
          <w:szCs w:val="20"/>
          <w:lang w:val="en-US"/>
        </w:rPr>
        <w:t>Criminal Code</w:t>
      </w:r>
      <w:r w:rsidRPr="00E825BB">
        <w:rPr>
          <w:rFonts w:eastAsia="Times New Roman" w:cs="Times New Roman"/>
          <w:sz w:val="20"/>
          <w:szCs w:val="20"/>
          <w:lang w:val="en-US"/>
        </w:rPr>
        <w:t xml:space="preserve"> apply to recognizances to keep the peace set out in ss. 810, 810.01, 810.1 and 810.2 of the </w:t>
      </w:r>
      <w:r w:rsidRPr="00E825BB">
        <w:rPr>
          <w:rFonts w:eastAsia="Times New Roman" w:cs="Times New Roman"/>
          <w:i/>
          <w:sz w:val="20"/>
          <w:szCs w:val="20"/>
          <w:lang w:val="en-US"/>
        </w:rPr>
        <w:t>Criminal Code</w:t>
      </w:r>
      <w:r w:rsidRPr="00E825BB">
        <w:rPr>
          <w:rFonts w:eastAsia="Times New Roman" w:cs="Times New Roman"/>
          <w:sz w:val="20"/>
          <w:szCs w:val="20"/>
          <w:lang w:val="en-US"/>
        </w:rPr>
        <w:t xml:space="preserve"> - Whether s. 810.2(2) of the </w:t>
      </w:r>
      <w:r w:rsidRPr="00E825BB">
        <w:rPr>
          <w:rFonts w:eastAsia="Times New Roman" w:cs="Times New Roman"/>
          <w:i/>
          <w:sz w:val="20"/>
          <w:szCs w:val="20"/>
          <w:lang w:val="en-US"/>
        </w:rPr>
        <w:t>Criminal Code</w:t>
      </w:r>
      <w:r w:rsidRPr="00E825BB">
        <w:rPr>
          <w:rFonts w:eastAsia="Times New Roman" w:cs="Times New Roman"/>
          <w:sz w:val="20"/>
          <w:szCs w:val="20"/>
          <w:lang w:val="en-US"/>
        </w:rPr>
        <w:t xml:space="preserve"> empowers a judge to issue a warrant of arrest in order to cause a defendant to a s. 810.2 information to appear - Whether the Court of Appeal erred in law in interpreting the provisions of the </w:t>
      </w:r>
      <w:r w:rsidRPr="00E825BB">
        <w:rPr>
          <w:rFonts w:eastAsia="Times New Roman" w:cs="Times New Roman"/>
          <w:i/>
          <w:sz w:val="20"/>
          <w:szCs w:val="20"/>
          <w:lang w:val="en-US"/>
        </w:rPr>
        <w:t>Criminal Code</w:t>
      </w:r>
      <w:r w:rsidRPr="00E825BB">
        <w:rPr>
          <w:rFonts w:eastAsia="Times New Roman" w:cs="Times New Roman"/>
          <w:sz w:val="20"/>
          <w:szCs w:val="20"/>
          <w:lang w:val="en-US"/>
        </w:rPr>
        <w:t xml:space="preserve"> - Whether the Court of Appeal erred in law in finding that a judge cannot compel the appearance of a defendant to a s. 810.2 </w:t>
      </w:r>
      <w:r w:rsidRPr="00E825BB">
        <w:rPr>
          <w:rFonts w:eastAsia="Times New Roman" w:cs="Times New Roman"/>
          <w:i/>
          <w:sz w:val="20"/>
          <w:szCs w:val="20"/>
          <w:lang w:val="en-US"/>
        </w:rPr>
        <w:t>Criminal Code</w:t>
      </w:r>
      <w:r w:rsidRPr="00E825BB">
        <w:rPr>
          <w:rFonts w:eastAsia="Times New Roman" w:cs="Times New Roman"/>
          <w:sz w:val="20"/>
          <w:szCs w:val="20"/>
          <w:lang w:val="en-US"/>
        </w:rPr>
        <w:t xml:space="preserve"> Information by issuing a warrant of arrest - Whether the Court of Appeal erred in law in finding that a defendant to a s. 810.2 </w:t>
      </w:r>
      <w:r w:rsidRPr="00E825BB">
        <w:rPr>
          <w:rFonts w:eastAsia="Times New Roman" w:cs="Times New Roman"/>
          <w:i/>
          <w:sz w:val="20"/>
          <w:szCs w:val="20"/>
          <w:lang w:val="en-US"/>
        </w:rPr>
        <w:t>Criminal Code</w:t>
      </w:r>
      <w:r w:rsidRPr="00E825BB">
        <w:rPr>
          <w:rFonts w:eastAsia="Times New Roman" w:cs="Times New Roman"/>
          <w:sz w:val="20"/>
          <w:szCs w:val="20"/>
          <w:lang w:val="en-US"/>
        </w:rPr>
        <w:t xml:space="preserve"> Information cannot be subject to a s. 515 </w:t>
      </w:r>
      <w:r w:rsidRPr="00E825BB">
        <w:rPr>
          <w:rFonts w:eastAsia="Times New Roman" w:cs="Times New Roman"/>
          <w:i/>
          <w:sz w:val="20"/>
          <w:szCs w:val="20"/>
          <w:lang w:val="en-US"/>
        </w:rPr>
        <w:t>Criminal Code</w:t>
      </w:r>
      <w:r w:rsidRPr="00E825BB">
        <w:rPr>
          <w:rFonts w:eastAsia="Times New Roman" w:cs="Times New Roman"/>
          <w:sz w:val="20"/>
          <w:szCs w:val="20"/>
          <w:lang w:val="en-US"/>
        </w:rPr>
        <w:t xml:space="preserve"> hearing - </w:t>
      </w:r>
      <w:r w:rsidRPr="00E825BB">
        <w:rPr>
          <w:rFonts w:eastAsia="Times New Roman" w:cs="Times New Roman"/>
          <w:i/>
          <w:sz w:val="20"/>
          <w:szCs w:val="20"/>
          <w:lang w:val="en-US"/>
        </w:rPr>
        <w:t>Criminal Code</w:t>
      </w:r>
      <w:r w:rsidRPr="00E825BB">
        <w:rPr>
          <w:rFonts w:eastAsia="Times New Roman" w:cs="Times New Roman"/>
          <w:sz w:val="20"/>
          <w:szCs w:val="20"/>
          <w:lang w:val="en-US"/>
        </w:rPr>
        <w:t>, R.S.C. 1985, c. C-46.</w:t>
      </w:r>
    </w:p>
    <w:p w:rsidR="00B124FF" w:rsidRPr="00E825BB" w:rsidRDefault="00B124FF" w:rsidP="00B124FF">
      <w:pPr>
        <w:widowControl w:val="0"/>
        <w:ind w:right="360"/>
        <w:jc w:val="both"/>
        <w:rPr>
          <w:rFonts w:eastAsia="Times New Roman" w:cs="Times New Roman"/>
          <w:sz w:val="20"/>
          <w:szCs w:val="20"/>
          <w:lang w:val="en-US"/>
        </w:rPr>
      </w:pPr>
    </w:p>
    <w:p w:rsidR="00B124FF" w:rsidRPr="00E825BB" w:rsidRDefault="00B124FF" w:rsidP="00B124FF">
      <w:pPr>
        <w:ind w:right="360"/>
        <w:jc w:val="both"/>
        <w:rPr>
          <w:rFonts w:eastAsia="Times New Roman" w:cs="Times New Roman"/>
          <w:sz w:val="20"/>
          <w:szCs w:val="20"/>
          <w:lang w:val="en-US"/>
        </w:rPr>
      </w:pPr>
      <w:r w:rsidRPr="00E825BB">
        <w:rPr>
          <w:rFonts w:eastAsia="Times New Roman" w:cs="Times New Roman"/>
          <w:sz w:val="20"/>
          <w:szCs w:val="20"/>
          <w:lang w:val="en-US"/>
        </w:rPr>
        <w:t xml:space="preserve">An RCMP officer laid an information pursuant to s. 810.2 of the </w:t>
      </w:r>
      <w:r w:rsidRPr="00E825BB">
        <w:rPr>
          <w:rFonts w:eastAsia="Times New Roman" w:cs="Times New Roman"/>
          <w:i/>
          <w:sz w:val="20"/>
          <w:szCs w:val="20"/>
          <w:lang w:val="en-US"/>
        </w:rPr>
        <w:t>Criminal Code</w:t>
      </w:r>
      <w:r w:rsidRPr="00E825BB">
        <w:rPr>
          <w:rFonts w:eastAsia="Times New Roman" w:cs="Times New Roman"/>
          <w:sz w:val="20"/>
          <w:szCs w:val="20"/>
          <w:lang w:val="en-US"/>
        </w:rPr>
        <w:t xml:space="preserve">, stating that he had reason to believe that the respondent “will commit a serious personal injury offence.” At the time that this information was laid the respondent was serving a sentence and was expected to be released on December 5, 2014. An arrest warrant was issued, but was never executed. The Provincial Court judge held that s. 515 of the </w:t>
      </w:r>
      <w:r w:rsidRPr="00E825BB">
        <w:rPr>
          <w:rFonts w:eastAsia="Times New Roman" w:cs="Times New Roman"/>
          <w:i/>
          <w:sz w:val="20"/>
          <w:szCs w:val="20"/>
          <w:lang w:val="en-US"/>
        </w:rPr>
        <w:t>Criminal Code</w:t>
      </w:r>
      <w:r w:rsidRPr="00E825BB">
        <w:rPr>
          <w:rFonts w:eastAsia="Times New Roman" w:cs="Times New Roman"/>
          <w:sz w:val="20"/>
          <w:szCs w:val="20"/>
          <w:lang w:val="en-US"/>
        </w:rPr>
        <w:t xml:space="preserve"> (JIR provisions) do not apply to s. 810.2 </w:t>
      </w:r>
      <w:r w:rsidRPr="00E825BB">
        <w:rPr>
          <w:rFonts w:eastAsia="Times New Roman" w:cs="Times New Roman"/>
          <w:i/>
          <w:sz w:val="20"/>
          <w:szCs w:val="20"/>
          <w:lang w:val="en-US"/>
        </w:rPr>
        <w:t>Criminal Code</w:t>
      </w:r>
      <w:r w:rsidRPr="00E825BB">
        <w:rPr>
          <w:rFonts w:eastAsia="Times New Roman" w:cs="Times New Roman"/>
          <w:sz w:val="20"/>
          <w:szCs w:val="20"/>
          <w:lang w:val="en-US"/>
        </w:rPr>
        <w:t xml:space="preserve"> applications and he did not have the jurisdiction to have the respondent arrested or impose conditions on his release. Prior to the conclusion of the hearing in the Supreme Court Trial Division (General), the respondent entered into the s. 810.2 of the </w:t>
      </w:r>
      <w:r w:rsidRPr="00E825BB">
        <w:rPr>
          <w:rFonts w:eastAsia="Times New Roman" w:cs="Times New Roman"/>
          <w:i/>
          <w:sz w:val="20"/>
          <w:szCs w:val="20"/>
          <w:lang w:val="en-US"/>
        </w:rPr>
        <w:t>Code</w:t>
      </w:r>
      <w:r w:rsidRPr="00E825BB">
        <w:rPr>
          <w:rFonts w:eastAsia="Times New Roman" w:cs="Times New Roman"/>
          <w:sz w:val="20"/>
          <w:szCs w:val="20"/>
          <w:lang w:val="en-US"/>
        </w:rPr>
        <w:t xml:space="preserve"> recognizance by consent. Goodridge J. held that s. 515 of the </w:t>
      </w:r>
      <w:r w:rsidRPr="00E825BB">
        <w:rPr>
          <w:rFonts w:eastAsia="Times New Roman" w:cs="Times New Roman"/>
          <w:i/>
          <w:sz w:val="20"/>
          <w:szCs w:val="20"/>
          <w:lang w:val="en-US"/>
        </w:rPr>
        <w:t>Code</w:t>
      </w:r>
      <w:r w:rsidRPr="00E825BB">
        <w:rPr>
          <w:rFonts w:eastAsia="Times New Roman" w:cs="Times New Roman"/>
          <w:sz w:val="20"/>
          <w:szCs w:val="20"/>
          <w:lang w:val="en-US"/>
        </w:rPr>
        <w:t xml:space="preserve"> applied to s. 810.2 of the </w:t>
      </w:r>
      <w:r w:rsidRPr="00E825BB">
        <w:rPr>
          <w:rFonts w:eastAsia="Times New Roman" w:cs="Times New Roman"/>
          <w:i/>
          <w:sz w:val="20"/>
          <w:szCs w:val="20"/>
          <w:lang w:val="en-US"/>
        </w:rPr>
        <w:t>Code</w:t>
      </w:r>
      <w:r w:rsidRPr="00E825BB">
        <w:rPr>
          <w:rFonts w:eastAsia="Times New Roman" w:cs="Times New Roman"/>
          <w:sz w:val="20"/>
          <w:szCs w:val="20"/>
          <w:lang w:val="en-US"/>
        </w:rPr>
        <w:t xml:space="preserve"> applications and that the judge erred by refusing to conduct a show cause hearing on the Crown’s request. The Court of Appeal allowed the respondent’s appeal and held that s. 515 of the </w:t>
      </w:r>
      <w:r w:rsidRPr="00E825BB">
        <w:rPr>
          <w:rFonts w:eastAsia="Times New Roman" w:cs="Times New Roman"/>
          <w:i/>
          <w:sz w:val="20"/>
          <w:szCs w:val="20"/>
          <w:lang w:val="en-US"/>
        </w:rPr>
        <w:t>Code</w:t>
      </w:r>
      <w:r w:rsidRPr="00E825BB">
        <w:rPr>
          <w:rFonts w:eastAsia="Times New Roman" w:cs="Times New Roman"/>
          <w:sz w:val="20"/>
          <w:szCs w:val="20"/>
          <w:lang w:val="en-US"/>
        </w:rPr>
        <w:t xml:space="preserve"> does not apply to s. 810.2 peace bond proceedings.</w:t>
      </w:r>
    </w:p>
    <w:p w:rsidR="00B124FF" w:rsidRPr="00E825BB" w:rsidRDefault="00B124FF" w:rsidP="00B124FF">
      <w:pPr>
        <w:ind w:right="360"/>
        <w:jc w:val="both"/>
        <w:rPr>
          <w:rFonts w:eastAsia="Times New Roman" w:cs="Times New Roman"/>
          <w:sz w:val="20"/>
          <w:szCs w:val="20"/>
          <w:lang w:val="en-US"/>
        </w:rPr>
      </w:pPr>
    </w:p>
    <w:p w:rsidR="00B124FF" w:rsidRPr="00E825BB" w:rsidRDefault="00B124FF" w:rsidP="00B124FF">
      <w:pPr>
        <w:ind w:right="360"/>
        <w:jc w:val="both"/>
        <w:rPr>
          <w:rFonts w:eastAsia="Times New Roman" w:cs="Times New Roman"/>
          <w:sz w:val="20"/>
          <w:szCs w:val="20"/>
          <w:lang w:val="en-US"/>
        </w:rPr>
      </w:pPr>
    </w:p>
    <w:p w:rsidR="00B124FF" w:rsidRPr="00E825BB" w:rsidRDefault="00B124FF" w:rsidP="00B124FF">
      <w:pPr>
        <w:ind w:right="360"/>
        <w:jc w:val="both"/>
        <w:rPr>
          <w:rFonts w:eastAsia="Calibri" w:cs="Times New Roman"/>
          <w:b/>
          <w:i/>
          <w:sz w:val="20"/>
          <w:szCs w:val="20"/>
          <w:lang w:val="fr-CA"/>
        </w:rPr>
      </w:pPr>
      <w:r w:rsidRPr="00E825BB">
        <w:rPr>
          <w:rFonts w:eastAsia="Calibri" w:cs="Times New Roman"/>
          <w:b/>
          <w:sz w:val="20"/>
          <w:lang w:val="fr-CA"/>
        </w:rPr>
        <w:t>38004</w:t>
      </w:r>
      <w:r w:rsidRPr="00E825BB">
        <w:rPr>
          <w:rFonts w:eastAsia="Calibri" w:cs="Times New Roman"/>
          <w:b/>
          <w:sz w:val="20"/>
          <w:lang w:val="fr-CA"/>
        </w:rPr>
        <w:tab/>
      </w:r>
      <w:r w:rsidRPr="00E825BB">
        <w:rPr>
          <w:rFonts w:eastAsia="Calibri" w:cs="Times New Roman"/>
          <w:b/>
          <w:i/>
          <w:sz w:val="20"/>
          <w:szCs w:val="20"/>
          <w:lang w:val="fr-CA"/>
        </w:rPr>
        <w:t>Sa Majesté la Reine c. Albert Penunsi</w:t>
      </w:r>
    </w:p>
    <w:p w:rsidR="00B124FF" w:rsidRPr="00E825BB" w:rsidRDefault="00B124FF" w:rsidP="00B124FF">
      <w:pPr>
        <w:ind w:right="360" w:firstLine="720"/>
        <w:jc w:val="both"/>
        <w:rPr>
          <w:rFonts w:eastAsia="Times New Roman" w:cs="Times New Roman"/>
          <w:sz w:val="20"/>
          <w:szCs w:val="20"/>
          <w:lang w:val="fr-CA"/>
        </w:rPr>
      </w:pPr>
      <w:r w:rsidRPr="00E825BB">
        <w:rPr>
          <w:rFonts w:eastAsia="Times New Roman" w:cs="Times New Roman"/>
          <w:sz w:val="20"/>
          <w:szCs w:val="20"/>
          <w:lang w:val="fr-CA"/>
        </w:rPr>
        <w:t>(T.-N.-L.) (Criminelle) (Sur autorisation)</w:t>
      </w:r>
    </w:p>
    <w:p w:rsidR="00B124FF" w:rsidRPr="00E825BB" w:rsidRDefault="00B124FF" w:rsidP="00B124FF">
      <w:pPr>
        <w:ind w:right="360"/>
        <w:jc w:val="both"/>
        <w:rPr>
          <w:rFonts w:eastAsia="Times New Roman" w:cs="Times New Roman"/>
          <w:sz w:val="20"/>
          <w:szCs w:val="20"/>
          <w:lang w:val="fr-CA"/>
        </w:rPr>
      </w:pPr>
    </w:p>
    <w:p w:rsidR="00B124FF" w:rsidRPr="00E825BB" w:rsidRDefault="00B124FF" w:rsidP="00B124FF">
      <w:pPr>
        <w:ind w:right="360"/>
        <w:jc w:val="both"/>
        <w:rPr>
          <w:rFonts w:eastAsia="Times New Roman" w:cs="Times New Roman"/>
          <w:sz w:val="20"/>
          <w:szCs w:val="20"/>
          <w:lang w:val="fr-CA"/>
        </w:rPr>
      </w:pPr>
      <w:r w:rsidRPr="00E825BB">
        <w:rPr>
          <w:rFonts w:eastAsia="Times New Roman" w:cs="Times New Roman"/>
          <w:sz w:val="20"/>
          <w:szCs w:val="20"/>
          <w:lang w:val="fr-CA"/>
        </w:rPr>
        <w:t xml:space="preserve">Droit criminel - Mise en liberté sous caution - Les dispositions relatives à la mise en liberté provisoire par voie judiciaire de l’art. 515 du </w:t>
      </w:r>
      <w:r w:rsidRPr="00E825BB">
        <w:rPr>
          <w:rFonts w:eastAsia="Times New Roman" w:cs="Times New Roman"/>
          <w:i/>
          <w:sz w:val="20"/>
          <w:szCs w:val="20"/>
          <w:lang w:val="fr-CA"/>
        </w:rPr>
        <w:t>Code criminel</w:t>
      </w:r>
      <w:r w:rsidRPr="00E825BB">
        <w:rPr>
          <w:rFonts w:eastAsia="Times New Roman" w:cs="Times New Roman"/>
          <w:sz w:val="20"/>
          <w:szCs w:val="20"/>
          <w:lang w:val="fr-CA"/>
        </w:rPr>
        <w:t xml:space="preserve"> s’appliquent-elles aux engagements de ne pas troubler l’ordre public énoncés aux art. 810, 810.01, 810.1 et 810.2 du </w:t>
      </w:r>
      <w:r w:rsidRPr="00E825BB">
        <w:rPr>
          <w:rFonts w:eastAsia="Times New Roman" w:cs="Times New Roman"/>
          <w:i/>
          <w:sz w:val="20"/>
          <w:szCs w:val="20"/>
          <w:lang w:val="fr-CA"/>
        </w:rPr>
        <w:t>Code criminel</w:t>
      </w:r>
      <w:r w:rsidRPr="00E825BB">
        <w:rPr>
          <w:rFonts w:eastAsia="Times New Roman" w:cs="Times New Roman"/>
          <w:sz w:val="20"/>
          <w:szCs w:val="20"/>
          <w:lang w:val="fr-CA"/>
        </w:rPr>
        <w:t xml:space="preserve">? - Le par. 810.2(2) du </w:t>
      </w:r>
      <w:r w:rsidRPr="00E825BB">
        <w:rPr>
          <w:rFonts w:eastAsia="Times New Roman" w:cs="Times New Roman"/>
          <w:i/>
          <w:sz w:val="20"/>
          <w:szCs w:val="20"/>
          <w:lang w:val="fr-CA"/>
        </w:rPr>
        <w:t>Code criminel</w:t>
      </w:r>
      <w:r w:rsidRPr="00E825BB">
        <w:rPr>
          <w:rFonts w:eastAsia="Times New Roman" w:cs="Times New Roman"/>
          <w:sz w:val="20"/>
          <w:szCs w:val="20"/>
          <w:lang w:val="fr-CA"/>
        </w:rPr>
        <w:t xml:space="preserve"> habilite-t-il un juge à délivrer un mandat d’arrestation afin que comparaisse un défendeur à une dénonciation fondée sur l’art. 810.2? - La Cour d’appel a-t-elle commis une erreur en droit dans son interprétation des dispositions du </w:t>
      </w:r>
      <w:r w:rsidRPr="00E825BB">
        <w:rPr>
          <w:rFonts w:eastAsia="Times New Roman" w:cs="Times New Roman"/>
          <w:i/>
          <w:sz w:val="20"/>
          <w:szCs w:val="20"/>
          <w:lang w:val="fr-CA"/>
        </w:rPr>
        <w:t>Code criminel</w:t>
      </w:r>
      <w:r w:rsidRPr="00E825BB">
        <w:rPr>
          <w:rFonts w:eastAsia="Times New Roman" w:cs="Times New Roman"/>
          <w:sz w:val="20"/>
          <w:szCs w:val="20"/>
          <w:lang w:val="fr-CA"/>
        </w:rPr>
        <w:t xml:space="preserve">? - La Cour d’appel a-t-elle commis une erreur en droit lorsqu’elle a conclu que le juge ne peut pas forcer la comparution d’un défendeur à une dénonciation fondée sur l’art. 810.2 du </w:t>
      </w:r>
      <w:r w:rsidRPr="00E825BB">
        <w:rPr>
          <w:rFonts w:eastAsia="Times New Roman" w:cs="Times New Roman"/>
          <w:i/>
          <w:sz w:val="20"/>
          <w:szCs w:val="20"/>
          <w:lang w:val="fr-CA"/>
        </w:rPr>
        <w:t>Code criminel</w:t>
      </w:r>
      <w:r w:rsidRPr="00E825BB">
        <w:rPr>
          <w:rFonts w:eastAsia="Times New Roman" w:cs="Times New Roman"/>
          <w:sz w:val="20"/>
          <w:szCs w:val="20"/>
          <w:lang w:val="fr-CA"/>
        </w:rPr>
        <w:t xml:space="preserve"> en délivrant un mandat d’arrestation? - La Cour d’appel a-t-elle commis une erreur en droit en concluant qu’un défendeur à une dénonciation fondée sur l’art. 810.2 du </w:t>
      </w:r>
      <w:r w:rsidRPr="00E825BB">
        <w:rPr>
          <w:rFonts w:eastAsia="Times New Roman" w:cs="Times New Roman"/>
          <w:i/>
          <w:sz w:val="20"/>
          <w:szCs w:val="20"/>
          <w:lang w:val="fr-CA"/>
        </w:rPr>
        <w:t>Code criminel</w:t>
      </w:r>
      <w:r w:rsidRPr="00E825BB">
        <w:rPr>
          <w:rFonts w:eastAsia="Times New Roman" w:cs="Times New Roman"/>
          <w:sz w:val="20"/>
          <w:szCs w:val="20"/>
          <w:lang w:val="fr-CA"/>
        </w:rPr>
        <w:t xml:space="preserve"> ne peut faire l’objet d’une audience prévue à l’art. 515 du </w:t>
      </w:r>
      <w:r w:rsidRPr="00E825BB">
        <w:rPr>
          <w:rFonts w:eastAsia="Times New Roman" w:cs="Times New Roman"/>
          <w:i/>
          <w:sz w:val="20"/>
          <w:szCs w:val="20"/>
          <w:lang w:val="fr-CA"/>
        </w:rPr>
        <w:t>Code criminel</w:t>
      </w:r>
      <w:r w:rsidRPr="00E825BB">
        <w:rPr>
          <w:rFonts w:eastAsia="Times New Roman" w:cs="Times New Roman"/>
          <w:sz w:val="20"/>
          <w:szCs w:val="20"/>
          <w:lang w:val="fr-CA"/>
        </w:rPr>
        <w:t xml:space="preserve">? - </w:t>
      </w:r>
      <w:r w:rsidRPr="00E825BB">
        <w:rPr>
          <w:rFonts w:eastAsia="Times New Roman" w:cs="Times New Roman"/>
          <w:i/>
          <w:sz w:val="20"/>
          <w:szCs w:val="20"/>
          <w:lang w:val="fr-CA"/>
        </w:rPr>
        <w:t>Code criminel</w:t>
      </w:r>
      <w:r w:rsidRPr="00E825BB">
        <w:rPr>
          <w:rFonts w:eastAsia="Times New Roman" w:cs="Times New Roman"/>
          <w:sz w:val="20"/>
          <w:szCs w:val="20"/>
          <w:lang w:val="fr-CA"/>
        </w:rPr>
        <w:t>, L.R.C. 1985, c. C-46.</w:t>
      </w:r>
    </w:p>
    <w:p w:rsidR="00B124FF" w:rsidRPr="00E825BB" w:rsidRDefault="00B124FF" w:rsidP="00B124FF">
      <w:pPr>
        <w:ind w:right="360"/>
        <w:jc w:val="both"/>
        <w:rPr>
          <w:rFonts w:eastAsia="Times New Roman" w:cs="Times New Roman"/>
          <w:sz w:val="20"/>
          <w:szCs w:val="20"/>
          <w:lang w:val="fr-CA"/>
        </w:rPr>
      </w:pPr>
    </w:p>
    <w:p w:rsidR="00B124FF" w:rsidRPr="00E825BB" w:rsidRDefault="00B124FF" w:rsidP="00B124FF">
      <w:pPr>
        <w:ind w:right="360"/>
        <w:jc w:val="both"/>
        <w:rPr>
          <w:rFonts w:eastAsia="Times New Roman" w:cs="Times New Roman"/>
          <w:sz w:val="20"/>
          <w:szCs w:val="20"/>
          <w:lang w:val="fr-CA"/>
        </w:rPr>
      </w:pPr>
      <w:r w:rsidRPr="00E825BB">
        <w:rPr>
          <w:rFonts w:eastAsia="Times New Roman" w:cs="Times New Roman"/>
          <w:sz w:val="20"/>
          <w:szCs w:val="20"/>
          <w:lang w:val="fr-CA"/>
        </w:rPr>
        <w:t xml:space="preserve">Un agent de la GRC a déposé une dénonciation fondée sur l’art. 810.2 du </w:t>
      </w:r>
      <w:r w:rsidRPr="00E825BB">
        <w:rPr>
          <w:rFonts w:eastAsia="Times New Roman" w:cs="Times New Roman"/>
          <w:i/>
          <w:sz w:val="20"/>
          <w:szCs w:val="20"/>
          <w:lang w:val="fr-CA"/>
        </w:rPr>
        <w:t>Code criminel</w:t>
      </w:r>
      <w:r w:rsidRPr="00E825BB">
        <w:rPr>
          <w:rFonts w:eastAsia="Times New Roman" w:cs="Times New Roman"/>
          <w:sz w:val="20"/>
          <w:szCs w:val="20"/>
          <w:lang w:val="fr-CA"/>
        </w:rPr>
        <w:t xml:space="preserve">, dans laquelle il affirme qu’il avait des raisons de croire que des personnes « seront victimes de sévices graves à la personne » commis par l’intimé. Au moment où cette dénonciation a été déposée, l’intimé purgeait une peine et devait être libéré le 5 décembre 2014. Un mandat d’arrestation a été délivré, mais n’a jamais été exécuté. Le juge de la Cour provinciale a conclu que l’art. 515 du </w:t>
      </w:r>
      <w:r w:rsidRPr="00E825BB">
        <w:rPr>
          <w:rFonts w:eastAsia="Times New Roman" w:cs="Times New Roman"/>
          <w:i/>
          <w:sz w:val="20"/>
          <w:szCs w:val="20"/>
          <w:lang w:val="fr-CA"/>
        </w:rPr>
        <w:t>Code criminel</w:t>
      </w:r>
      <w:r w:rsidRPr="00E825BB">
        <w:rPr>
          <w:rFonts w:eastAsia="Times New Roman" w:cs="Times New Roman"/>
          <w:sz w:val="20"/>
          <w:szCs w:val="20"/>
          <w:lang w:val="fr-CA"/>
        </w:rPr>
        <w:t xml:space="preserve"> (dispositions relatives à la mise en liberté provisoire par voie judiciaire) ne s’applique pas aux demandes fondées sur l’art. 810.2 du </w:t>
      </w:r>
      <w:r w:rsidRPr="00E825BB">
        <w:rPr>
          <w:rFonts w:eastAsia="Times New Roman" w:cs="Times New Roman"/>
          <w:i/>
          <w:sz w:val="20"/>
          <w:szCs w:val="20"/>
          <w:lang w:val="fr-CA"/>
        </w:rPr>
        <w:t>Code criminel</w:t>
      </w:r>
      <w:r w:rsidRPr="00E825BB">
        <w:rPr>
          <w:rFonts w:eastAsia="Times New Roman" w:cs="Times New Roman"/>
          <w:sz w:val="20"/>
          <w:szCs w:val="20"/>
          <w:lang w:val="fr-CA"/>
        </w:rPr>
        <w:t xml:space="preserve"> et qu’il n’avait pas compétence pour faire arrêter l’intimé ou pour imposer des conditions à sa libération. Avant la conclusion de l’audience devant la Section de première instance de la Cour suprême (générale), l’intimé a accepté de contracter un engagement conformément à l’art. 810.2 du </w:t>
      </w:r>
      <w:r w:rsidRPr="00E825BB">
        <w:rPr>
          <w:rFonts w:eastAsia="Times New Roman" w:cs="Times New Roman"/>
          <w:i/>
          <w:sz w:val="20"/>
          <w:szCs w:val="20"/>
          <w:lang w:val="fr-CA"/>
        </w:rPr>
        <w:t>Code</w:t>
      </w:r>
      <w:r w:rsidRPr="00E825BB">
        <w:rPr>
          <w:rFonts w:eastAsia="Times New Roman" w:cs="Times New Roman"/>
          <w:sz w:val="20"/>
          <w:szCs w:val="20"/>
          <w:lang w:val="fr-CA"/>
        </w:rPr>
        <w:t xml:space="preserve">. Le juge Goodridge a conclu que l’art. 515 du </w:t>
      </w:r>
      <w:r w:rsidRPr="00E825BB">
        <w:rPr>
          <w:rFonts w:eastAsia="Times New Roman" w:cs="Times New Roman"/>
          <w:i/>
          <w:sz w:val="20"/>
          <w:szCs w:val="20"/>
          <w:lang w:val="fr-CA"/>
        </w:rPr>
        <w:t>Code</w:t>
      </w:r>
      <w:r w:rsidRPr="00E825BB">
        <w:rPr>
          <w:rFonts w:eastAsia="Times New Roman" w:cs="Times New Roman"/>
          <w:sz w:val="20"/>
          <w:szCs w:val="20"/>
          <w:lang w:val="fr-CA"/>
        </w:rPr>
        <w:t xml:space="preserve"> s’applique aux demandes fondées sur l’art. 810.2 du </w:t>
      </w:r>
      <w:r w:rsidRPr="00E825BB">
        <w:rPr>
          <w:rFonts w:eastAsia="Times New Roman" w:cs="Times New Roman"/>
          <w:i/>
          <w:sz w:val="20"/>
          <w:szCs w:val="20"/>
          <w:lang w:val="fr-CA"/>
        </w:rPr>
        <w:t>Code</w:t>
      </w:r>
      <w:r w:rsidRPr="00E825BB">
        <w:rPr>
          <w:rFonts w:eastAsia="Times New Roman" w:cs="Times New Roman"/>
          <w:sz w:val="20"/>
          <w:szCs w:val="20"/>
          <w:lang w:val="fr-CA"/>
        </w:rPr>
        <w:t xml:space="preserve">, et que le juge avait commis une erreur en refusant de tenir une audience de justification à la demande de la Couronne. La Cour d’appel a accueilli l’appel de l’intimé et a conclu que l’art. 515 du </w:t>
      </w:r>
      <w:r w:rsidRPr="00E825BB">
        <w:rPr>
          <w:rFonts w:eastAsia="Times New Roman" w:cs="Times New Roman"/>
          <w:i/>
          <w:sz w:val="20"/>
          <w:szCs w:val="20"/>
          <w:lang w:val="fr-CA"/>
        </w:rPr>
        <w:t>Code</w:t>
      </w:r>
      <w:r w:rsidRPr="00E825BB">
        <w:rPr>
          <w:rFonts w:eastAsia="Times New Roman" w:cs="Times New Roman"/>
          <w:sz w:val="20"/>
          <w:szCs w:val="20"/>
          <w:lang w:val="fr-CA"/>
        </w:rPr>
        <w:t xml:space="preserve"> ne s’applique pas aux instances relatives aux engagements de ne pas troubler l’ordre public aux termes de l’art. 810.2.</w:t>
      </w:r>
    </w:p>
    <w:p w:rsidR="00B124FF" w:rsidRPr="00E825BB" w:rsidRDefault="00B124FF" w:rsidP="00B124FF">
      <w:pPr>
        <w:ind w:right="360"/>
        <w:jc w:val="both"/>
        <w:rPr>
          <w:rFonts w:eastAsia="Times New Roman" w:cs="Times New Roman"/>
          <w:sz w:val="20"/>
          <w:szCs w:val="20"/>
          <w:lang w:val="fr-CA"/>
        </w:rPr>
      </w:pPr>
    </w:p>
    <w:p w:rsidR="00B124FF" w:rsidRPr="00E825BB" w:rsidRDefault="00B124FF" w:rsidP="00B124FF">
      <w:pPr>
        <w:ind w:right="360"/>
        <w:jc w:val="both"/>
        <w:rPr>
          <w:rFonts w:eastAsia="Times New Roman" w:cs="Times New Roman"/>
          <w:sz w:val="20"/>
          <w:szCs w:val="20"/>
          <w:lang w:val="fr-CA"/>
        </w:rPr>
      </w:pPr>
    </w:p>
    <w:p w:rsidR="00B124FF" w:rsidRPr="00E825BB" w:rsidRDefault="00B124FF" w:rsidP="00B124FF">
      <w:pPr>
        <w:widowControl w:val="0"/>
        <w:ind w:left="720" w:right="360" w:hanging="720"/>
        <w:jc w:val="both"/>
        <w:rPr>
          <w:rFonts w:eastAsia="Times New Roman" w:cs="Times New Roman"/>
          <w:sz w:val="20"/>
          <w:szCs w:val="20"/>
          <w:lang w:val="en-US"/>
        </w:rPr>
      </w:pPr>
      <w:r w:rsidRPr="00E825BB">
        <w:rPr>
          <w:rFonts w:eastAsia="Times New Roman" w:cs="Times New Roman"/>
          <w:b/>
          <w:sz w:val="20"/>
          <w:szCs w:val="20"/>
          <w:lang w:val="en-US"/>
        </w:rPr>
        <w:fldChar w:fldCharType="begin"/>
      </w:r>
      <w:r w:rsidRPr="00E825BB">
        <w:rPr>
          <w:rFonts w:eastAsia="Times New Roman" w:cs="Times New Roman"/>
          <w:b/>
          <w:sz w:val="20"/>
          <w:szCs w:val="20"/>
          <w:lang w:val="en-US"/>
        </w:rPr>
        <w:instrText xml:space="preserve"> SEQ CHAPTER \h \r 1</w:instrText>
      </w:r>
      <w:r w:rsidRPr="00E825BB">
        <w:rPr>
          <w:rFonts w:eastAsia="Times New Roman" w:cs="Times New Roman"/>
          <w:b/>
          <w:sz w:val="20"/>
          <w:szCs w:val="20"/>
          <w:lang w:val="en-US"/>
        </w:rPr>
        <w:fldChar w:fldCharType="end"/>
      </w:r>
      <w:r w:rsidRPr="00E825BB">
        <w:rPr>
          <w:rFonts w:eastAsia="Times New Roman" w:cs="Times New Roman"/>
          <w:b/>
          <w:sz w:val="20"/>
          <w:szCs w:val="20"/>
          <w:lang w:val="en-US"/>
        </w:rPr>
        <w:t>37893</w:t>
      </w:r>
      <w:r w:rsidRPr="00E825BB">
        <w:rPr>
          <w:rFonts w:eastAsia="Times New Roman" w:cs="Times New Roman"/>
          <w:sz w:val="20"/>
          <w:szCs w:val="20"/>
          <w:lang w:val="en-US"/>
        </w:rPr>
        <w:tab/>
      </w:r>
      <w:r w:rsidRPr="00E825BB">
        <w:rPr>
          <w:rFonts w:eastAsia="Times New Roman" w:cs="Times New Roman"/>
          <w:b/>
          <w:i/>
          <w:sz w:val="20"/>
          <w:szCs w:val="20"/>
        </w:rPr>
        <w:t>Lynne</w:t>
      </w:r>
      <w:r w:rsidRPr="00E825BB">
        <w:rPr>
          <w:rFonts w:eastAsia="Times New Roman" w:cs="Times New Roman"/>
          <w:b/>
          <w:i/>
          <w:sz w:val="20"/>
          <w:szCs w:val="20"/>
          <w:lang w:val="en-US"/>
        </w:rPr>
        <w:t xml:space="preserve"> Threlfall, personally, in her capacity as liquidator of the succession of George Roseme and as tutor to the absentee George Roseme v. Carleton University</w:t>
      </w:r>
    </w:p>
    <w:p w:rsidR="00B124FF" w:rsidRPr="00E825BB" w:rsidRDefault="00B124FF" w:rsidP="00B124FF">
      <w:pPr>
        <w:ind w:left="720" w:right="360"/>
        <w:rPr>
          <w:rFonts w:eastAsia="Calibri" w:cs="Times New Roman"/>
          <w:sz w:val="20"/>
          <w:szCs w:val="20"/>
          <w:lang w:val="en-US"/>
        </w:rPr>
      </w:pPr>
      <w:r w:rsidRPr="00E825BB">
        <w:rPr>
          <w:rFonts w:eastAsia="Calibri" w:cs="Times New Roman"/>
          <w:sz w:val="20"/>
          <w:szCs w:val="20"/>
          <w:lang w:val="en-US"/>
        </w:rPr>
        <w:t>(Que.) (Civil) (By Leave)</w:t>
      </w:r>
    </w:p>
    <w:p w:rsidR="00B124FF" w:rsidRPr="00E825BB" w:rsidRDefault="00B124FF" w:rsidP="00B124FF">
      <w:pPr>
        <w:ind w:right="360"/>
        <w:rPr>
          <w:rFonts w:eastAsia="Times New Roman" w:cs="Times New Roman"/>
          <w:sz w:val="20"/>
          <w:szCs w:val="20"/>
        </w:rPr>
      </w:pPr>
    </w:p>
    <w:p w:rsidR="00B124FF" w:rsidRPr="00E825BB" w:rsidRDefault="00B124FF" w:rsidP="00B124FF">
      <w:pPr>
        <w:ind w:right="360"/>
        <w:jc w:val="both"/>
        <w:rPr>
          <w:rFonts w:eastAsia="Times New Roman" w:cs="Times New Roman"/>
          <w:sz w:val="20"/>
          <w:szCs w:val="20"/>
          <w:lang w:val="en-US"/>
        </w:rPr>
      </w:pPr>
      <w:r w:rsidRPr="00E825BB">
        <w:rPr>
          <w:rFonts w:eastAsia="Times New Roman" w:cs="Times New Roman"/>
          <w:sz w:val="20"/>
          <w:szCs w:val="20"/>
          <w:lang w:val="en-US"/>
        </w:rPr>
        <w:t xml:space="preserve">Reception of a thing not due - Pensions - Presumption of life of an absentee - Restitution of “life only” pension payments made to an absentee who was presumed alive but in fact dead - Did the Court of Appeal err in its interpretation of the absentee’s entitlement to pension payments, be it under the Retirement Plan or the Absentee provisions of the Code? - Did the Court of Appeal err in its interpretation of the law applicable to the restitution of a thing not due? - </w:t>
      </w:r>
      <w:r w:rsidRPr="00E825BB">
        <w:rPr>
          <w:rFonts w:eastAsia="Times New Roman" w:cs="Times New Roman"/>
          <w:i/>
          <w:sz w:val="20"/>
          <w:szCs w:val="20"/>
          <w:lang w:val="en-US"/>
        </w:rPr>
        <w:t>Civil Code of Québec</w:t>
      </w:r>
      <w:r w:rsidRPr="00E825BB">
        <w:rPr>
          <w:rFonts w:eastAsia="Times New Roman" w:cs="Times New Roman"/>
          <w:sz w:val="20"/>
          <w:szCs w:val="20"/>
          <w:lang w:val="en-US"/>
        </w:rPr>
        <w:t>, Preliminary Provision, arts. 84-85, 94, 96, 1491-1492, 1554, 1699.</w:t>
      </w:r>
    </w:p>
    <w:p w:rsidR="00B124FF" w:rsidRPr="00E825BB" w:rsidRDefault="00B124FF" w:rsidP="00B124FF">
      <w:pPr>
        <w:ind w:right="360"/>
        <w:rPr>
          <w:rFonts w:eastAsia="Times New Roman" w:cs="Times New Roman"/>
          <w:sz w:val="20"/>
          <w:szCs w:val="20"/>
        </w:rPr>
      </w:pPr>
    </w:p>
    <w:p w:rsidR="00B124FF" w:rsidRPr="00E825BB" w:rsidRDefault="00B124FF" w:rsidP="00B124FF">
      <w:pPr>
        <w:ind w:right="360"/>
        <w:jc w:val="both"/>
        <w:rPr>
          <w:rFonts w:eastAsia="Times New Roman" w:cs="Times New Roman"/>
          <w:sz w:val="20"/>
          <w:szCs w:val="20"/>
          <w:lang w:val="en-US"/>
        </w:rPr>
      </w:pPr>
      <w:r w:rsidRPr="00E825BB">
        <w:rPr>
          <w:rFonts w:eastAsia="Times New Roman" w:cs="Times New Roman"/>
          <w:sz w:val="20"/>
          <w:szCs w:val="20"/>
          <w:lang w:val="en-US"/>
        </w:rPr>
        <w:t xml:space="preserve">The case concerns Carleton University’s (“Carleton”) legal entitlement to recover amounts it paid to an absentee under a “life only” pension during a period in which the absentee was presumed alive but in fact dead. In Quebec, absentees are presumed alive for a period of seven years, following which any interested person can apply for a declaratory judgment of death. The presumption of life is however temporary and subject to rebuttal. In this case, death was determined some five years following the disappearance of the absentee, which served to set aside the presumption of life. The Act of Death recorded the absentee’s true date of death as the day following his disappearance, and not the date upon which proof of death was established. Claiming restitution under the “reception of a thing not due” provisions of the </w:t>
      </w:r>
      <w:r w:rsidRPr="00E825BB">
        <w:rPr>
          <w:rFonts w:eastAsia="Times New Roman" w:cs="Times New Roman"/>
          <w:i/>
          <w:sz w:val="20"/>
          <w:szCs w:val="20"/>
          <w:lang w:val="en-US"/>
        </w:rPr>
        <w:t xml:space="preserve">Civil Code of Québec </w:t>
      </w:r>
      <w:r w:rsidRPr="00E825BB">
        <w:rPr>
          <w:rFonts w:eastAsia="Times New Roman" w:cs="Times New Roman"/>
          <w:sz w:val="20"/>
          <w:szCs w:val="20"/>
          <w:lang w:val="en-US"/>
        </w:rPr>
        <w:t>(the “Code”), Carleton sought to recover the amounts it considered to have been paid in error to the absentee. It moved to institute proceedings against the appellant, Ms. Threlfall, who acted as tutor to the absentee and subsequently as liquidator of his estate. The Superior Court of Quebec found that restitution was possible under the “reception of a thing not due” provisions of the Code, because the pension payments, though initially not made by mistake, became an error once the presumption of life had been rebutted. The conditions for ordering restitution were thus met. The Court of Appeal confirmed the Superior Court’s judgment in most respects.</w:t>
      </w:r>
    </w:p>
    <w:p w:rsidR="00B124FF" w:rsidRPr="00E825BB" w:rsidRDefault="00B124FF" w:rsidP="00B124FF">
      <w:pPr>
        <w:ind w:right="360"/>
        <w:jc w:val="both"/>
        <w:rPr>
          <w:rFonts w:eastAsia="Times New Roman" w:cs="Times New Roman"/>
          <w:sz w:val="20"/>
          <w:szCs w:val="20"/>
          <w:lang w:val="en-US"/>
        </w:rPr>
      </w:pPr>
    </w:p>
    <w:p w:rsidR="00B124FF" w:rsidRPr="00E825BB" w:rsidRDefault="00B124FF" w:rsidP="00B124FF">
      <w:pPr>
        <w:ind w:right="360"/>
        <w:jc w:val="both"/>
        <w:rPr>
          <w:rFonts w:eastAsia="Times New Roman" w:cs="Times New Roman"/>
          <w:sz w:val="20"/>
          <w:szCs w:val="20"/>
          <w:lang w:val="en-US"/>
        </w:rPr>
      </w:pPr>
    </w:p>
    <w:p w:rsidR="00B124FF" w:rsidRPr="00E825BB" w:rsidRDefault="00B124FF" w:rsidP="00B124FF">
      <w:pPr>
        <w:ind w:left="720" w:right="360" w:hanging="720"/>
        <w:jc w:val="both"/>
        <w:rPr>
          <w:rFonts w:eastAsia="Calibri" w:cs="Times New Roman"/>
          <w:b/>
          <w:i/>
          <w:sz w:val="20"/>
          <w:szCs w:val="20"/>
          <w:lang w:val="fr-CA"/>
        </w:rPr>
      </w:pPr>
      <w:r w:rsidRPr="00E825BB">
        <w:rPr>
          <w:rFonts w:eastAsia="Calibri" w:cs="Times New Roman"/>
          <w:b/>
          <w:sz w:val="20"/>
          <w:lang w:val="fr-CA"/>
        </w:rPr>
        <w:t>37893</w:t>
      </w:r>
      <w:r w:rsidRPr="00E825BB">
        <w:rPr>
          <w:rFonts w:eastAsia="Calibri" w:cs="Times New Roman"/>
          <w:b/>
          <w:sz w:val="20"/>
          <w:lang w:val="fr-CA"/>
        </w:rPr>
        <w:tab/>
      </w:r>
      <w:r w:rsidRPr="00E825BB">
        <w:rPr>
          <w:rFonts w:eastAsia="Calibri" w:cs="Times New Roman"/>
          <w:b/>
          <w:i/>
          <w:sz w:val="20"/>
          <w:szCs w:val="20"/>
          <w:lang w:val="fr-CA"/>
        </w:rPr>
        <w:t>Lynne Threlfall, personnellement, en sa qualité de liquidatrice de la succession de George Roseme et en sa qualité de tutrice de l’absent George Roseme c. Carleton University</w:t>
      </w:r>
    </w:p>
    <w:p w:rsidR="00B124FF" w:rsidRPr="00E825BB" w:rsidRDefault="00B124FF" w:rsidP="00B124FF">
      <w:pPr>
        <w:ind w:right="360" w:firstLine="720"/>
        <w:jc w:val="both"/>
        <w:rPr>
          <w:rFonts w:eastAsia="Times New Roman" w:cs="Times New Roman"/>
          <w:sz w:val="20"/>
          <w:szCs w:val="20"/>
          <w:lang w:val="fr-CA"/>
        </w:rPr>
      </w:pPr>
      <w:r w:rsidRPr="00E825BB">
        <w:rPr>
          <w:rFonts w:eastAsia="Times New Roman" w:cs="Times New Roman"/>
          <w:sz w:val="20"/>
          <w:szCs w:val="20"/>
          <w:lang w:val="fr-CA"/>
        </w:rPr>
        <w:t>(Qc) (Civile) (Sur autorisation)</w:t>
      </w:r>
    </w:p>
    <w:p w:rsidR="00B124FF" w:rsidRPr="00E825BB" w:rsidRDefault="00B124FF" w:rsidP="00B124FF">
      <w:pPr>
        <w:ind w:right="360"/>
        <w:rPr>
          <w:rFonts w:eastAsia="Times New Roman" w:cs="Times New Roman"/>
          <w:sz w:val="20"/>
          <w:szCs w:val="20"/>
          <w:lang w:val="fr-CA"/>
        </w:rPr>
      </w:pPr>
    </w:p>
    <w:p w:rsidR="00B124FF" w:rsidRPr="00E825BB" w:rsidRDefault="00B124FF" w:rsidP="00B124FF">
      <w:pPr>
        <w:ind w:right="360"/>
        <w:jc w:val="both"/>
        <w:rPr>
          <w:rFonts w:eastAsia="Times New Roman" w:cs="Times New Roman"/>
          <w:sz w:val="20"/>
          <w:szCs w:val="20"/>
          <w:lang w:val="fr-CA"/>
        </w:rPr>
      </w:pPr>
      <w:r w:rsidRPr="00E825BB">
        <w:rPr>
          <w:rFonts w:eastAsia="Times New Roman" w:cs="Times New Roman"/>
          <w:sz w:val="20"/>
          <w:szCs w:val="20"/>
          <w:lang w:val="fr-CA"/>
        </w:rPr>
        <w:t xml:space="preserve">Réception de l’indu - Pensions - Présomption que l’absent est vivant - Restitution des versements de pension « viagère seulement » valablement faits pendant qu’un absent était présumé vivant, mais était en fait décédé - La Cour d’appel a-t-elle mal interprété le droit de l’absent aux versements d’une pension, que ce soit en vertu du régime de retraite ou des dispositions du Code applicables aux absents? - La Cour d’appel a-t-elle mal interprété les règles de droit applicables à la restitution de l’indu? - </w:t>
      </w:r>
      <w:r w:rsidRPr="00E825BB">
        <w:rPr>
          <w:rFonts w:eastAsia="Times New Roman" w:cs="Times New Roman"/>
          <w:i/>
          <w:sz w:val="20"/>
          <w:szCs w:val="20"/>
          <w:lang w:val="fr-CA"/>
        </w:rPr>
        <w:t>Code civil du Québec</w:t>
      </w:r>
      <w:r w:rsidRPr="00E825BB">
        <w:rPr>
          <w:rFonts w:eastAsia="Times New Roman" w:cs="Times New Roman"/>
          <w:sz w:val="20"/>
          <w:szCs w:val="20"/>
          <w:lang w:val="fr-CA"/>
        </w:rPr>
        <w:t>, Disposition préliminaire, arts. 84-85, 1491-1492, 1554, 1699.</w:t>
      </w:r>
    </w:p>
    <w:p w:rsidR="00B124FF" w:rsidRPr="00E825BB" w:rsidRDefault="00B124FF" w:rsidP="00B124FF">
      <w:pPr>
        <w:ind w:right="360"/>
        <w:jc w:val="both"/>
        <w:rPr>
          <w:rFonts w:eastAsia="Times New Roman" w:cs="Times New Roman"/>
          <w:sz w:val="20"/>
          <w:szCs w:val="20"/>
          <w:lang w:val="fr-CA"/>
        </w:rPr>
      </w:pPr>
    </w:p>
    <w:p w:rsidR="00B124FF" w:rsidRDefault="00B124FF" w:rsidP="00B124FF">
      <w:pPr>
        <w:ind w:right="360"/>
        <w:jc w:val="both"/>
        <w:rPr>
          <w:rFonts w:eastAsia="Times New Roman" w:cs="Times New Roman"/>
          <w:sz w:val="20"/>
          <w:szCs w:val="20"/>
          <w:lang w:val="fr-CA"/>
        </w:rPr>
      </w:pPr>
      <w:r w:rsidRPr="00E825BB">
        <w:rPr>
          <w:rFonts w:eastAsia="Times New Roman" w:cs="Times New Roman"/>
          <w:sz w:val="20"/>
          <w:szCs w:val="20"/>
          <w:lang w:val="fr-CA"/>
        </w:rPr>
        <w:t xml:space="preserve">La présente affaire a pour objet le droit de l’Université Carleton (« Carleton ») de recouvrer des montants qu’elle a versés à un absent à titre de pension « viagère seulement » pendant une période durant laquelle il était présumé vivant, mais était en fait décédé. Au Québec, les absents sont présumés vivants pendant une période de sept ans, après quoi tout intéressé peut demander que soit prononcé un jugement déclaratif de décès. Toutefois, la présomption que l’absent est vivant est temporaire et peut être réfutée. En l’espèce, le décès a été constaté environ cinq ans après la disparition de l’absent, ce qui a eu pour effet de mettre fin à la présomption qu’il était vivant. L’acte de décès a inscrit la véritable date de décès de l’absent comme étant le jour qui a suivi sa disparition, et non pas la date à laquelle la preuve de décès a été établie. Invoquant les dispositions du </w:t>
      </w:r>
      <w:r w:rsidRPr="00E825BB">
        <w:rPr>
          <w:rFonts w:eastAsia="Times New Roman" w:cs="Times New Roman"/>
          <w:i/>
          <w:sz w:val="20"/>
          <w:szCs w:val="20"/>
          <w:lang w:val="fr-CA"/>
        </w:rPr>
        <w:t>Code civil du Québec</w:t>
      </w:r>
      <w:r w:rsidRPr="00E825BB">
        <w:rPr>
          <w:rFonts w:eastAsia="Times New Roman" w:cs="Times New Roman"/>
          <w:sz w:val="20"/>
          <w:szCs w:val="20"/>
          <w:lang w:val="fr-CA"/>
        </w:rPr>
        <w:t xml:space="preserve"> (le « Code ») sur la réception de l’indu, Carleton a tenté de recouvrer les montants qu’elle considérait avoir versés par erreur à l’absent. Elle a déposé une requête introductive d’instance contre l’appelante, M</w:t>
      </w:r>
      <w:r w:rsidRPr="00E825BB">
        <w:rPr>
          <w:rFonts w:eastAsia="Times New Roman" w:cs="Times New Roman"/>
          <w:sz w:val="20"/>
          <w:szCs w:val="20"/>
          <w:vertAlign w:val="superscript"/>
          <w:lang w:val="fr-CA"/>
        </w:rPr>
        <w:t>me</w:t>
      </w:r>
      <w:r w:rsidRPr="00E825BB">
        <w:rPr>
          <w:rFonts w:eastAsia="Times New Roman" w:cs="Times New Roman"/>
          <w:sz w:val="20"/>
          <w:szCs w:val="20"/>
          <w:lang w:val="fr-CA"/>
        </w:rPr>
        <w:t> Threlfall, qui a agi comme tutrice de l’absent, puis comme liquidatrice de sa succession. La Cour supérieure du Québec a conclu que la restitution était possible en application des dispositions du Code sur la réception de l’indu, parce que les versements de la pension, bien qu’ils n’aient pas été initialement faits par erreur, sont devenus une erreur une fois réfutée la présomption que l’absent était vivant. Les conditions pour ordonner la restitution étaient donc remplies. La Cour d’appel a confirmé le jugement de la Cour supérieure à la plupart des égards.</w:t>
      </w:r>
    </w:p>
    <w:p w:rsidR="00102792" w:rsidRDefault="00A24D5C" w:rsidP="00782AE4">
      <w:pPr>
        <w:jc w:val="both"/>
        <w:rPr>
          <w:sz w:val="20"/>
          <w:szCs w:val="20"/>
          <w:lang w:val="fr-CA"/>
        </w:rPr>
      </w:pPr>
      <w:r>
        <w:rPr>
          <w:sz w:val="20"/>
          <w:szCs w:val="20"/>
        </w:rPr>
        <w:pict>
          <v:rect id="_x0000_i1080" style="width:2in;height:1pt" o:hrpct="0" o:hralign="center" o:hrstd="t" o:hrnoshade="t" o:hr="t" fillcolor="black [3213]" stroked="f"/>
        </w:pict>
      </w:r>
    </w:p>
    <w:p w:rsidR="00102792" w:rsidRPr="00C50A5C" w:rsidRDefault="00102792" w:rsidP="00782AE4">
      <w:pPr>
        <w:jc w:val="both"/>
        <w:rPr>
          <w:sz w:val="20"/>
          <w:szCs w:val="20"/>
          <w:lang w:val="fr-CA"/>
        </w:rPr>
      </w:pPr>
    </w:p>
    <w:p w:rsidR="0022323B" w:rsidRPr="00C50A5C" w:rsidRDefault="0022323B" w:rsidP="00782AE4">
      <w:pPr>
        <w:jc w:val="both"/>
        <w:rPr>
          <w:sz w:val="20"/>
          <w:szCs w:val="20"/>
          <w:lang w:val="fr-CA"/>
        </w:rPr>
        <w:sectPr w:rsidR="0022323B" w:rsidRPr="00C50A5C" w:rsidSect="0022323B">
          <w:headerReference w:type="even" r:id="rId162"/>
          <w:headerReference w:type="default" r:id="rId163"/>
          <w:footerReference w:type="even" r:id="rId164"/>
          <w:footerReference w:type="default" r:id="rId165"/>
          <w:headerReference w:type="first" r:id="rId166"/>
          <w:footerReference w:type="first" r:id="rId167"/>
          <w:pgSz w:w="12240" w:h="15840"/>
          <w:pgMar w:top="720" w:right="965" w:bottom="1080" w:left="1656" w:header="720" w:footer="965" w:gutter="0"/>
          <w:cols w:space="720"/>
          <w:titlePg/>
          <w:docGrid w:linePitch="326"/>
        </w:sectPr>
      </w:pPr>
    </w:p>
    <w:p w:rsidR="00BE34F7" w:rsidRDefault="0041245B" w:rsidP="00BE34F7">
      <w:pPr>
        <w:tabs>
          <w:tab w:val="center" w:pos="5220"/>
          <w:tab w:val="right" w:pos="10800"/>
        </w:tabs>
        <w:rPr>
          <w:rFonts w:ascii="Arial" w:hAnsi="Arial" w:cs="Arial"/>
          <w:sz w:val="16"/>
          <w:szCs w:val="18"/>
          <w:lang w:val="fr-CA"/>
        </w:rPr>
      </w:pPr>
      <w:bookmarkStart w:id="15" w:name="1"/>
      <w:bookmarkStart w:id="16" w:name="QuickMark"/>
      <w:bookmarkEnd w:id="15"/>
      <w:bookmarkEnd w:id="16"/>
      <w:r>
        <w:rPr>
          <w:rFonts w:ascii="Arial" w:hAnsi="Arial" w:cs="Arial"/>
          <w:sz w:val="20"/>
          <w:lang w:val="fr-FR"/>
        </w:rPr>
        <w:lastRenderedPageBreak/>
        <w:tab/>
      </w:r>
      <w:r w:rsidR="00BE34F7">
        <w:rPr>
          <w:rFonts w:ascii="Arial" w:hAnsi="Arial" w:cs="Arial"/>
          <w:sz w:val="18"/>
          <w:lang w:val="fr-FR"/>
        </w:rPr>
        <w:t xml:space="preserve">   </w:t>
      </w:r>
      <w:r w:rsidR="00BE34F7">
        <w:rPr>
          <w:rFonts w:ascii="Arial" w:hAnsi="Arial" w:cs="Arial"/>
          <w:b/>
          <w:i/>
          <w:szCs w:val="28"/>
          <w:lang w:val="fr-FR"/>
        </w:rPr>
        <w:t>- 2018 -</w:t>
      </w:r>
      <w:r w:rsidR="00BE34F7">
        <w:rPr>
          <w:rFonts w:ascii="Arial" w:hAnsi="Arial" w:cs="Arial"/>
          <w:sz w:val="18"/>
          <w:lang w:val="fr-FR"/>
        </w:rPr>
        <w:t xml:space="preserve"> </w:t>
      </w:r>
      <w:r w:rsidR="00BE34F7">
        <w:rPr>
          <w:rFonts w:ascii="Arial" w:hAnsi="Arial" w:cs="Arial"/>
          <w:sz w:val="18"/>
          <w:lang w:val="fr-FR"/>
        </w:rPr>
        <w:tab/>
      </w:r>
    </w:p>
    <w:tbl>
      <w:tblPr>
        <w:tblStyle w:val="TableGrid"/>
        <w:tblW w:w="5050" w:type="pct"/>
        <w:shd w:val="clear" w:color="auto" w:fill="FFFFFF" w:themeFill="background1"/>
        <w:tblCellMar>
          <w:top w:w="29" w:type="dxa"/>
          <w:left w:w="29" w:type="dxa"/>
          <w:bottom w:w="29" w:type="dxa"/>
          <w:right w:w="29" w:type="dxa"/>
        </w:tblCellMar>
        <w:tblLook w:val="04A0" w:firstRow="1" w:lastRow="0" w:firstColumn="1" w:lastColumn="0" w:noHBand="0" w:noVBand="1"/>
      </w:tblPr>
      <w:tblGrid>
        <w:gridCol w:w="471"/>
        <w:gridCol w:w="471"/>
        <w:gridCol w:w="471"/>
        <w:gridCol w:w="471"/>
        <w:gridCol w:w="473"/>
        <w:gridCol w:w="473"/>
        <w:gridCol w:w="473"/>
        <w:gridCol w:w="293"/>
        <w:gridCol w:w="472"/>
        <w:gridCol w:w="472"/>
        <w:gridCol w:w="472"/>
        <w:gridCol w:w="472"/>
        <w:gridCol w:w="472"/>
        <w:gridCol w:w="472"/>
        <w:gridCol w:w="472"/>
        <w:gridCol w:w="296"/>
        <w:gridCol w:w="472"/>
        <w:gridCol w:w="472"/>
        <w:gridCol w:w="472"/>
        <w:gridCol w:w="472"/>
        <w:gridCol w:w="472"/>
        <w:gridCol w:w="472"/>
        <w:gridCol w:w="470"/>
      </w:tblGrid>
      <w:tr w:rsidR="00BE34F7" w:rsidTr="005F32B8">
        <w:trPr>
          <w:trHeight w:val="176"/>
        </w:trPr>
        <w:tc>
          <w:tcPr>
            <w:tcW w:w="1571"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BE34F7" w:rsidRDefault="00BE34F7" w:rsidP="005F32B8">
            <w:pPr>
              <w:tabs>
                <w:tab w:val="center" w:pos="5220"/>
                <w:tab w:val="right" w:pos="10440"/>
              </w:tabs>
              <w:jc w:val="center"/>
              <w:rPr>
                <w:rFonts w:ascii="Arial" w:hAnsi="Arial" w:cs="Arial"/>
                <w:b/>
                <w:sz w:val="13"/>
                <w:szCs w:val="13"/>
                <w:lang w:val="fr-FR"/>
              </w:rPr>
            </w:pPr>
            <w:r>
              <w:rPr>
                <w:rFonts w:ascii="Arial" w:hAnsi="Arial" w:cs="Arial"/>
                <w:b/>
                <w:sz w:val="13"/>
                <w:szCs w:val="13"/>
                <w:lang w:val="fr-FR"/>
              </w:rPr>
              <w:t>OCTOBER – OCTOBRE</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BE34F7" w:rsidRDefault="00BE34F7" w:rsidP="005F32B8">
            <w:pPr>
              <w:tabs>
                <w:tab w:val="center" w:pos="5220"/>
                <w:tab w:val="right" w:pos="10440"/>
              </w:tabs>
              <w:jc w:val="center"/>
              <w:rPr>
                <w:rFonts w:ascii="Arial" w:hAnsi="Arial" w:cs="Arial"/>
                <w:b/>
                <w:sz w:val="13"/>
                <w:szCs w:val="13"/>
                <w:lang w:val="fr-FR"/>
              </w:rPr>
            </w:pPr>
          </w:p>
        </w:tc>
        <w:tc>
          <w:tcPr>
            <w:tcW w:w="1574"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BE34F7" w:rsidRDefault="00BE34F7" w:rsidP="005F32B8">
            <w:pPr>
              <w:tabs>
                <w:tab w:val="center" w:pos="5220"/>
                <w:tab w:val="right" w:pos="10440"/>
              </w:tabs>
              <w:jc w:val="center"/>
              <w:rPr>
                <w:rFonts w:ascii="Arial" w:hAnsi="Arial" w:cs="Arial"/>
                <w:b/>
                <w:sz w:val="13"/>
                <w:szCs w:val="13"/>
                <w:lang w:val="fr-FR"/>
              </w:rPr>
            </w:pPr>
            <w:r>
              <w:rPr>
                <w:rFonts w:ascii="Arial" w:hAnsi="Arial" w:cs="Arial"/>
                <w:b/>
                <w:sz w:val="13"/>
                <w:szCs w:val="13"/>
                <w:lang w:val="fr-FR"/>
              </w:rPr>
              <w:t>NOVEMBER – NOVEMBRE</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BE34F7" w:rsidRDefault="00BE34F7" w:rsidP="005F32B8">
            <w:pPr>
              <w:tabs>
                <w:tab w:val="center" w:pos="5220"/>
                <w:tab w:val="right" w:pos="10440"/>
              </w:tabs>
              <w:jc w:val="center"/>
              <w:rPr>
                <w:rFonts w:ascii="Arial" w:hAnsi="Arial" w:cs="Arial"/>
                <w:b/>
                <w:sz w:val="13"/>
                <w:szCs w:val="13"/>
                <w:lang w:val="fr-FR"/>
              </w:rPr>
            </w:pPr>
          </w:p>
        </w:tc>
        <w:tc>
          <w:tcPr>
            <w:tcW w:w="1574"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BE34F7" w:rsidRDefault="00BE34F7" w:rsidP="005F32B8">
            <w:pPr>
              <w:tabs>
                <w:tab w:val="center" w:pos="5220"/>
                <w:tab w:val="right" w:pos="10440"/>
              </w:tabs>
              <w:jc w:val="center"/>
              <w:rPr>
                <w:rFonts w:ascii="Arial" w:hAnsi="Arial" w:cs="Arial"/>
                <w:b/>
                <w:sz w:val="13"/>
                <w:szCs w:val="13"/>
                <w:lang w:val="fr-FR"/>
              </w:rPr>
            </w:pPr>
            <w:r>
              <w:rPr>
                <w:rFonts w:ascii="Arial" w:hAnsi="Arial" w:cs="Arial"/>
                <w:b/>
                <w:sz w:val="13"/>
                <w:szCs w:val="13"/>
                <w:lang w:val="fr-FR"/>
              </w:rPr>
              <w:t>DECEMBER – DÉCEMBRE</w:t>
            </w:r>
          </w:p>
        </w:tc>
      </w:tr>
      <w:tr w:rsidR="00BE34F7" w:rsidTr="005F32B8">
        <w:trPr>
          <w:trHeight w:val="331"/>
        </w:trPr>
        <w:tc>
          <w:tcPr>
            <w:tcW w:w="224"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5F32B8">
            <w:pPr>
              <w:tabs>
                <w:tab w:val="center" w:pos="5220"/>
                <w:tab w:val="right" w:pos="10440"/>
              </w:tabs>
              <w:jc w:val="center"/>
              <w:rPr>
                <w:rFonts w:ascii="Arial" w:hAnsi="Arial" w:cs="Arial"/>
                <w:b/>
                <w:sz w:val="14"/>
                <w:szCs w:val="14"/>
                <w:lang w:val="fr-FR"/>
              </w:rPr>
            </w:pPr>
            <w:r>
              <w:rPr>
                <w:rFonts w:ascii="Arial" w:hAnsi="Arial" w:cs="Arial"/>
                <w:b/>
                <w:sz w:val="14"/>
                <w:szCs w:val="14"/>
                <w:lang w:val="fr-FR"/>
              </w:rPr>
              <w:t>S</w:t>
            </w:r>
          </w:p>
          <w:p w:rsidR="00BE34F7" w:rsidRDefault="00BE34F7" w:rsidP="005F32B8">
            <w:pPr>
              <w:tabs>
                <w:tab w:val="center" w:pos="5220"/>
                <w:tab w:val="right" w:pos="10440"/>
              </w:tabs>
              <w:jc w:val="center"/>
              <w:rPr>
                <w:rFonts w:ascii="Arial" w:hAnsi="Arial" w:cs="Arial"/>
                <w:b/>
                <w:sz w:val="14"/>
                <w:szCs w:val="14"/>
                <w:lang w:val="fr-FR"/>
              </w:rPr>
            </w:pPr>
            <w:r>
              <w:rPr>
                <w:rFonts w:ascii="Arial" w:hAnsi="Arial" w:cs="Arial"/>
                <w:b/>
                <w:sz w:val="14"/>
                <w:szCs w:val="14"/>
                <w:lang w:val="fr-FR"/>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5F32B8">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p w:rsidR="00BE34F7" w:rsidRDefault="00BE34F7" w:rsidP="005F32B8">
            <w:pPr>
              <w:tabs>
                <w:tab w:val="center" w:pos="5220"/>
                <w:tab w:val="right" w:pos="10440"/>
              </w:tabs>
              <w:jc w:val="center"/>
              <w:rPr>
                <w:rFonts w:ascii="Arial" w:hAnsi="Arial" w:cs="Arial"/>
                <w:b/>
                <w:sz w:val="13"/>
                <w:szCs w:val="13"/>
                <w:lang w:val="fr-FR"/>
              </w:rPr>
            </w:pPr>
            <w:r>
              <w:rPr>
                <w:rFonts w:ascii="Arial" w:hAnsi="Arial" w:cs="Arial"/>
                <w:b/>
                <w:sz w:val="13"/>
                <w:szCs w:val="13"/>
                <w:lang w:val="fr-FR"/>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5F32B8">
            <w:pPr>
              <w:tabs>
                <w:tab w:val="center" w:pos="5220"/>
                <w:tab w:val="right" w:pos="10440"/>
              </w:tabs>
              <w:jc w:val="center"/>
              <w:rPr>
                <w:rFonts w:ascii="Arial" w:hAnsi="Arial" w:cs="Arial"/>
                <w:b/>
                <w:sz w:val="13"/>
                <w:szCs w:val="13"/>
                <w:lang w:val="fr-FR"/>
              </w:rPr>
            </w:pPr>
            <w:r>
              <w:rPr>
                <w:rFonts w:ascii="Arial" w:hAnsi="Arial" w:cs="Arial"/>
                <w:b/>
                <w:sz w:val="13"/>
                <w:szCs w:val="13"/>
                <w:lang w:val="fr-FR"/>
              </w:rPr>
              <w:t>T</w:t>
            </w:r>
          </w:p>
          <w:p w:rsidR="00BE34F7" w:rsidRDefault="00BE34F7" w:rsidP="005F32B8">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5F32B8">
            <w:pPr>
              <w:tabs>
                <w:tab w:val="center" w:pos="5220"/>
                <w:tab w:val="right" w:pos="10440"/>
              </w:tabs>
              <w:jc w:val="center"/>
              <w:rPr>
                <w:rFonts w:ascii="Arial" w:hAnsi="Arial" w:cs="Arial"/>
                <w:b/>
                <w:sz w:val="13"/>
                <w:szCs w:val="13"/>
                <w:lang w:val="fr-FR"/>
              </w:rPr>
            </w:pPr>
            <w:r>
              <w:rPr>
                <w:rFonts w:ascii="Arial" w:hAnsi="Arial" w:cs="Arial"/>
                <w:b/>
                <w:sz w:val="13"/>
                <w:szCs w:val="13"/>
                <w:lang w:val="fr-FR"/>
              </w:rPr>
              <w:t>W</w:t>
            </w:r>
          </w:p>
          <w:p w:rsidR="00BE34F7" w:rsidRDefault="00BE34F7" w:rsidP="005F32B8">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5F32B8">
            <w:pPr>
              <w:tabs>
                <w:tab w:val="center" w:pos="5220"/>
                <w:tab w:val="right" w:pos="10440"/>
              </w:tabs>
              <w:jc w:val="center"/>
              <w:rPr>
                <w:rFonts w:ascii="Arial" w:hAnsi="Arial" w:cs="Arial"/>
                <w:b/>
                <w:sz w:val="13"/>
                <w:szCs w:val="13"/>
                <w:lang w:val="fr-FR"/>
              </w:rPr>
            </w:pPr>
            <w:r>
              <w:rPr>
                <w:rFonts w:ascii="Arial" w:hAnsi="Arial" w:cs="Arial"/>
                <w:b/>
                <w:sz w:val="13"/>
                <w:szCs w:val="13"/>
                <w:lang w:val="fr-FR"/>
              </w:rPr>
              <w:t>T</w:t>
            </w:r>
          </w:p>
          <w:p w:rsidR="00BE34F7" w:rsidRDefault="00BE34F7" w:rsidP="005F32B8">
            <w:pPr>
              <w:tabs>
                <w:tab w:val="center" w:pos="5220"/>
                <w:tab w:val="right" w:pos="10440"/>
              </w:tabs>
              <w:jc w:val="center"/>
              <w:rPr>
                <w:rFonts w:ascii="Arial" w:hAnsi="Arial" w:cs="Arial"/>
                <w:b/>
                <w:sz w:val="13"/>
                <w:szCs w:val="13"/>
                <w:lang w:val="fr-FR"/>
              </w:rPr>
            </w:pPr>
            <w:r>
              <w:rPr>
                <w:rFonts w:ascii="Arial" w:hAnsi="Arial" w:cs="Arial"/>
                <w:b/>
                <w:sz w:val="13"/>
                <w:szCs w:val="13"/>
                <w:lang w:val="fr-FR"/>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5F32B8">
            <w:pPr>
              <w:tabs>
                <w:tab w:val="center" w:pos="5220"/>
                <w:tab w:val="right" w:pos="10440"/>
              </w:tabs>
              <w:jc w:val="center"/>
              <w:rPr>
                <w:rFonts w:ascii="Arial" w:hAnsi="Arial" w:cs="Arial"/>
                <w:b/>
                <w:sz w:val="13"/>
                <w:szCs w:val="13"/>
                <w:lang w:val="fr-FR"/>
              </w:rPr>
            </w:pPr>
            <w:r>
              <w:rPr>
                <w:rFonts w:ascii="Arial" w:hAnsi="Arial" w:cs="Arial"/>
                <w:b/>
                <w:sz w:val="13"/>
                <w:szCs w:val="13"/>
                <w:lang w:val="fr-FR"/>
              </w:rPr>
              <w:t>F</w:t>
            </w:r>
          </w:p>
          <w:p w:rsidR="00BE34F7" w:rsidRDefault="00BE34F7" w:rsidP="005F32B8">
            <w:pPr>
              <w:tabs>
                <w:tab w:val="center" w:pos="5220"/>
                <w:tab w:val="right" w:pos="10440"/>
              </w:tabs>
              <w:jc w:val="center"/>
              <w:rPr>
                <w:rFonts w:ascii="Arial" w:hAnsi="Arial" w:cs="Arial"/>
                <w:b/>
                <w:sz w:val="13"/>
                <w:szCs w:val="13"/>
                <w:lang w:val="fr-FR"/>
              </w:rPr>
            </w:pPr>
            <w:r>
              <w:rPr>
                <w:rFonts w:ascii="Arial" w:hAnsi="Arial" w:cs="Arial"/>
                <w:b/>
                <w:sz w:val="13"/>
                <w:szCs w:val="13"/>
                <w:lang w:val="fr-FR"/>
              </w:rPr>
              <w:t>V</w:t>
            </w:r>
          </w:p>
        </w:tc>
        <w:tc>
          <w:tcPr>
            <w:tcW w:w="225"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BE34F7" w:rsidRDefault="00BE34F7" w:rsidP="005F32B8">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p w:rsidR="00BE34F7" w:rsidRDefault="00BE34F7" w:rsidP="005F32B8">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BE34F7" w:rsidRDefault="00BE34F7" w:rsidP="005F32B8">
            <w:pPr>
              <w:tabs>
                <w:tab w:val="center" w:pos="5220"/>
                <w:tab w:val="right" w:pos="10440"/>
              </w:tabs>
              <w:jc w:val="center"/>
              <w:rPr>
                <w:rFonts w:ascii="Arial" w:hAnsi="Arial" w:cs="Arial"/>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5F32B8">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p w:rsidR="00BE34F7" w:rsidRDefault="00BE34F7" w:rsidP="005F32B8">
            <w:pPr>
              <w:tabs>
                <w:tab w:val="center" w:pos="5220"/>
                <w:tab w:val="right" w:pos="10440"/>
              </w:tabs>
              <w:jc w:val="center"/>
              <w:rPr>
                <w:rFonts w:ascii="Arial" w:hAnsi="Arial" w:cs="Arial"/>
                <w:b/>
                <w:sz w:val="13"/>
                <w:szCs w:val="13"/>
                <w:lang w:val="fr-FR"/>
              </w:rPr>
            </w:pPr>
            <w:r>
              <w:rPr>
                <w:rFonts w:ascii="Arial" w:hAnsi="Arial" w:cs="Arial"/>
                <w:b/>
                <w:sz w:val="13"/>
                <w:szCs w:val="13"/>
                <w:lang w:val="fr-FR"/>
              </w:rPr>
              <w:t>D</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5F32B8">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p w:rsidR="00BE34F7" w:rsidRDefault="00BE34F7" w:rsidP="005F32B8">
            <w:pPr>
              <w:tabs>
                <w:tab w:val="center" w:pos="5220"/>
                <w:tab w:val="right" w:pos="10440"/>
              </w:tabs>
              <w:jc w:val="center"/>
              <w:rPr>
                <w:rFonts w:ascii="Arial" w:hAnsi="Arial" w:cs="Arial"/>
                <w:b/>
                <w:sz w:val="13"/>
                <w:szCs w:val="13"/>
                <w:lang w:val="fr-FR"/>
              </w:rPr>
            </w:pPr>
            <w:r>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5F32B8">
            <w:pPr>
              <w:tabs>
                <w:tab w:val="center" w:pos="5220"/>
                <w:tab w:val="right" w:pos="10440"/>
              </w:tabs>
              <w:jc w:val="center"/>
              <w:rPr>
                <w:rFonts w:ascii="Arial" w:hAnsi="Arial" w:cs="Arial"/>
                <w:b/>
                <w:sz w:val="13"/>
                <w:szCs w:val="13"/>
                <w:lang w:val="fr-FR"/>
              </w:rPr>
            </w:pPr>
            <w:r>
              <w:rPr>
                <w:rFonts w:ascii="Arial" w:hAnsi="Arial" w:cs="Arial"/>
                <w:b/>
                <w:sz w:val="13"/>
                <w:szCs w:val="13"/>
                <w:lang w:val="fr-FR"/>
              </w:rPr>
              <w:t>T</w:t>
            </w:r>
          </w:p>
          <w:p w:rsidR="00BE34F7" w:rsidRDefault="00BE34F7" w:rsidP="005F32B8">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5F32B8">
            <w:pPr>
              <w:tabs>
                <w:tab w:val="center" w:pos="5220"/>
                <w:tab w:val="right" w:pos="10440"/>
              </w:tabs>
              <w:jc w:val="center"/>
              <w:rPr>
                <w:rFonts w:ascii="Arial" w:hAnsi="Arial" w:cs="Arial"/>
                <w:b/>
                <w:sz w:val="13"/>
                <w:szCs w:val="13"/>
                <w:lang w:val="fr-FR"/>
              </w:rPr>
            </w:pPr>
            <w:r>
              <w:rPr>
                <w:rFonts w:ascii="Arial" w:hAnsi="Arial" w:cs="Arial"/>
                <w:b/>
                <w:sz w:val="13"/>
                <w:szCs w:val="13"/>
                <w:lang w:val="fr-FR"/>
              </w:rPr>
              <w:t>W</w:t>
            </w:r>
          </w:p>
          <w:p w:rsidR="00BE34F7" w:rsidRDefault="00BE34F7" w:rsidP="005F32B8">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5F32B8">
            <w:pPr>
              <w:tabs>
                <w:tab w:val="center" w:pos="5220"/>
                <w:tab w:val="right" w:pos="10440"/>
              </w:tabs>
              <w:jc w:val="center"/>
              <w:rPr>
                <w:rFonts w:ascii="Arial" w:hAnsi="Arial" w:cs="Arial"/>
                <w:b/>
                <w:sz w:val="13"/>
                <w:szCs w:val="13"/>
                <w:lang w:val="fr-FR"/>
              </w:rPr>
            </w:pPr>
            <w:r>
              <w:rPr>
                <w:rFonts w:ascii="Arial" w:hAnsi="Arial" w:cs="Arial"/>
                <w:b/>
                <w:sz w:val="13"/>
                <w:szCs w:val="13"/>
                <w:lang w:val="fr-FR"/>
              </w:rPr>
              <w:t>T</w:t>
            </w:r>
          </w:p>
          <w:p w:rsidR="00BE34F7" w:rsidRDefault="00BE34F7" w:rsidP="005F32B8">
            <w:pPr>
              <w:tabs>
                <w:tab w:val="center" w:pos="5220"/>
                <w:tab w:val="right" w:pos="10440"/>
              </w:tabs>
              <w:jc w:val="center"/>
              <w:rPr>
                <w:rFonts w:ascii="Arial" w:hAnsi="Arial" w:cs="Arial"/>
                <w:b/>
                <w:sz w:val="13"/>
                <w:szCs w:val="13"/>
                <w:lang w:val="fr-FR"/>
              </w:rPr>
            </w:pPr>
            <w:r>
              <w:rPr>
                <w:rFonts w:ascii="Arial" w:hAnsi="Arial" w:cs="Arial"/>
                <w:b/>
                <w:sz w:val="13"/>
                <w:szCs w:val="13"/>
                <w:lang w:val="fr-FR"/>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5F32B8">
            <w:pPr>
              <w:tabs>
                <w:tab w:val="center" w:pos="5220"/>
                <w:tab w:val="right" w:pos="10440"/>
              </w:tabs>
              <w:jc w:val="center"/>
              <w:rPr>
                <w:rFonts w:ascii="Arial" w:hAnsi="Arial" w:cs="Arial"/>
                <w:b/>
                <w:sz w:val="13"/>
                <w:szCs w:val="13"/>
                <w:lang w:val="fr-FR"/>
              </w:rPr>
            </w:pPr>
            <w:r>
              <w:rPr>
                <w:rFonts w:ascii="Arial" w:hAnsi="Arial" w:cs="Arial"/>
                <w:b/>
                <w:sz w:val="13"/>
                <w:szCs w:val="13"/>
                <w:lang w:val="fr-FR"/>
              </w:rPr>
              <w:t>F</w:t>
            </w:r>
          </w:p>
          <w:p w:rsidR="00BE34F7" w:rsidRDefault="00BE34F7" w:rsidP="005F32B8">
            <w:pPr>
              <w:tabs>
                <w:tab w:val="center" w:pos="5220"/>
                <w:tab w:val="right" w:pos="10440"/>
              </w:tabs>
              <w:jc w:val="center"/>
              <w:rPr>
                <w:rFonts w:ascii="Arial" w:hAnsi="Arial" w:cs="Arial"/>
                <w:b/>
                <w:sz w:val="13"/>
                <w:szCs w:val="13"/>
                <w:lang w:val="fr-FR"/>
              </w:rPr>
            </w:pPr>
            <w:r>
              <w:rPr>
                <w:rFonts w:ascii="Arial" w:hAnsi="Arial" w:cs="Arial"/>
                <w:b/>
                <w:sz w:val="13"/>
                <w:szCs w:val="13"/>
                <w:lang w:val="fr-FR"/>
              </w:rPr>
              <w:t>V</w:t>
            </w:r>
          </w:p>
        </w:tc>
        <w:tc>
          <w:tcPr>
            <w:tcW w:w="225"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BE34F7" w:rsidRDefault="00BE34F7" w:rsidP="005F32B8">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p w:rsidR="00BE34F7" w:rsidRDefault="00BE34F7" w:rsidP="005F32B8">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BE34F7" w:rsidRDefault="00BE34F7" w:rsidP="005F32B8">
            <w:pPr>
              <w:tabs>
                <w:tab w:val="center" w:pos="5220"/>
                <w:tab w:val="right" w:pos="10440"/>
              </w:tabs>
              <w:jc w:val="center"/>
              <w:rPr>
                <w:rFonts w:ascii="Arial" w:hAnsi="Arial" w:cs="Arial"/>
                <w:b/>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5F32B8">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p w:rsidR="00BE34F7" w:rsidRDefault="00BE34F7" w:rsidP="005F32B8">
            <w:pPr>
              <w:tabs>
                <w:tab w:val="center" w:pos="5220"/>
                <w:tab w:val="right" w:pos="10440"/>
              </w:tabs>
              <w:jc w:val="center"/>
              <w:rPr>
                <w:rFonts w:ascii="Arial" w:hAnsi="Arial" w:cs="Arial"/>
                <w:b/>
                <w:sz w:val="13"/>
                <w:szCs w:val="13"/>
                <w:lang w:val="fr-FR"/>
              </w:rPr>
            </w:pPr>
            <w:r>
              <w:rPr>
                <w:rFonts w:ascii="Arial" w:hAnsi="Arial" w:cs="Arial"/>
                <w:b/>
                <w:sz w:val="13"/>
                <w:szCs w:val="13"/>
                <w:lang w:val="fr-FR"/>
              </w:rPr>
              <w:t>D</w:t>
            </w:r>
          </w:p>
        </w:tc>
        <w:tc>
          <w:tcPr>
            <w:tcW w:w="225" w:type="pct"/>
            <w:tcBorders>
              <w:top w:val="double" w:sz="6" w:space="0" w:color="auto"/>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5F32B8">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p w:rsidR="00BE34F7" w:rsidRDefault="00BE34F7" w:rsidP="005F32B8">
            <w:pPr>
              <w:tabs>
                <w:tab w:val="center" w:pos="5220"/>
                <w:tab w:val="right" w:pos="10440"/>
              </w:tabs>
              <w:jc w:val="center"/>
              <w:rPr>
                <w:rFonts w:ascii="Arial" w:hAnsi="Arial" w:cs="Arial"/>
                <w:b/>
                <w:sz w:val="13"/>
                <w:szCs w:val="13"/>
                <w:lang w:val="fr-FR"/>
              </w:rPr>
            </w:pPr>
            <w:r>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5F32B8">
            <w:pPr>
              <w:tabs>
                <w:tab w:val="center" w:pos="5220"/>
                <w:tab w:val="right" w:pos="10440"/>
              </w:tabs>
              <w:jc w:val="center"/>
              <w:rPr>
                <w:rFonts w:ascii="Arial" w:hAnsi="Arial" w:cs="Arial"/>
                <w:b/>
                <w:sz w:val="13"/>
                <w:szCs w:val="13"/>
                <w:lang w:val="fr-FR"/>
              </w:rPr>
            </w:pPr>
            <w:r>
              <w:rPr>
                <w:rFonts w:ascii="Arial" w:hAnsi="Arial" w:cs="Arial"/>
                <w:b/>
                <w:sz w:val="13"/>
                <w:szCs w:val="13"/>
                <w:lang w:val="fr-FR"/>
              </w:rPr>
              <w:t>T</w:t>
            </w:r>
          </w:p>
          <w:p w:rsidR="00BE34F7" w:rsidRDefault="00BE34F7" w:rsidP="005F32B8">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5F32B8">
            <w:pPr>
              <w:tabs>
                <w:tab w:val="center" w:pos="5220"/>
                <w:tab w:val="right" w:pos="10440"/>
              </w:tabs>
              <w:jc w:val="center"/>
              <w:rPr>
                <w:rFonts w:ascii="Arial" w:hAnsi="Arial" w:cs="Arial"/>
                <w:b/>
                <w:sz w:val="13"/>
                <w:szCs w:val="13"/>
              </w:rPr>
            </w:pPr>
            <w:r>
              <w:rPr>
                <w:rFonts w:ascii="Arial" w:hAnsi="Arial" w:cs="Arial"/>
                <w:b/>
                <w:sz w:val="13"/>
                <w:szCs w:val="13"/>
              </w:rPr>
              <w:t>W</w:t>
            </w:r>
          </w:p>
          <w:p w:rsidR="00BE34F7" w:rsidRDefault="00BE34F7" w:rsidP="005F32B8">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5F32B8">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5F32B8">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5F32B8">
            <w:pPr>
              <w:tabs>
                <w:tab w:val="center" w:pos="5220"/>
                <w:tab w:val="right" w:pos="10440"/>
              </w:tabs>
              <w:jc w:val="center"/>
              <w:rPr>
                <w:rFonts w:ascii="Arial" w:hAnsi="Arial" w:cs="Arial"/>
                <w:b/>
                <w:sz w:val="13"/>
                <w:szCs w:val="13"/>
              </w:rPr>
            </w:pPr>
            <w:r>
              <w:rPr>
                <w:rFonts w:ascii="Arial" w:hAnsi="Arial" w:cs="Arial"/>
                <w:b/>
                <w:sz w:val="13"/>
                <w:szCs w:val="13"/>
              </w:rPr>
              <w:t>F</w:t>
            </w:r>
          </w:p>
          <w:p w:rsidR="00BE34F7" w:rsidRDefault="00BE34F7" w:rsidP="005F32B8">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5"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BE34F7" w:rsidRDefault="00BE34F7" w:rsidP="005F32B8">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5F32B8">
            <w:pPr>
              <w:tabs>
                <w:tab w:val="center" w:pos="5220"/>
                <w:tab w:val="right" w:pos="10440"/>
              </w:tabs>
              <w:jc w:val="center"/>
              <w:rPr>
                <w:rFonts w:ascii="Arial" w:hAnsi="Arial" w:cs="Arial"/>
                <w:b/>
                <w:sz w:val="13"/>
                <w:szCs w:val="13"/>
              </w:rPr>
            </w:pPr>
            <w:r>
              <w:rPr>
                <w:rFonts w:ascii="Arial" w:hAnsi="Arial" w:cs="Arial"/>
                <w:b/>
                <w:sz w:val="13"/>
                <w:szCs w:val="13"/>
              </w:rPr>
              <w:t>S</w:t>
            </w:r>
          </w:p>
        </w:tc>
      </w:tr>
      <w:tr w:rsidR="00BE34F7" w:rsidTr="005F32B8">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Default="00BE34F7" w:rsidP="005F32B8">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6</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5F32B8">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Default="00BE34F7" w:rsidP="005F32B8">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Default="00BE34F7" w:rsidP="005F32B8">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Default="00BE34F7" w:rsidP="005F32B8">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Default="00BE34F7" w:rsidP="005F32B8">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2</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3</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5F32B8">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BE34F7" w:rsidRDefault="00BE34F7" w:rsidP="005F32B8">
            <w:pPr>
              <w:jc w:val="center"/>
              <w:rPr>
                <w:rFonts w:ascii="Arial" w:hAnsi="Arial" w:cs="Arial"/>
                <w:sz w:val="13"/>
                <w:szCs w:val="13"/>
              </w:rPr>
            </w:pP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Default="00BE34F7" w:rsidP="005F32B8">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Default="00BE34F7" w:rsidP="005F32B8">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Default="00BE34F7" w:rsidP="005F32B8">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Default="00BE34F7" w:rsidP="005F32B8">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Default="00BE34F7" w:rsidP="005F32B8">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1</w:t>
            </w:r>
          </w:p>
        </w:tc>
      </w:tr>
      <w:tr w:rsidR="00BE34F7" w:rsidTr="005F32B8">
        <w:trPr>
          <w:trHeight w:val="331"/>
        </w:trPr>
        <w:tc>
          <w:tcPr>
            <w:tcW w:w="224" w:type="pct"/>
            <w:tcBorders>
              <w:top w:val="single" w:sz="4" w:space="0" w:color="000000" w:themeColor="text1"/>
              <w:left w:val="double" w:sz="6" w:space="0" w:color="auto"/>
              <w:bottom w:val="single" w:sz="4" w:space="0" w:color="000000" w:themeColor="text1"/>
              <w:right w:val="double" w:sz="6" w:space="0" w:color="auto"/>
            </w:tcBorders>
            <w:shd w:val="clear" w:color="auto" w:fill="auto"/>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7</w:t>
            </w:r>
          </w:p>
        </w:tc>
        <w:tc>
          <w:tcPr>
            <w:tcW w:w="224" w:type="pct"/>
            <w:tcBorders>
              <w:top w:val="double" w:sz="6" w:space="0" w:color="auto"/>
              <w:left w:val="double" w:sz="6" w:space="0" w:color="auto"/>
              <w:bottom w:val="double" w:sz="6" w:space="0" w:color="auto"/>
              <w:right w:val="double" w:sz="6" w:space="0" w:color="auto"/>
            </w:tcBorders>
            <w:shd w:val="clear" w:color="auto" w:fill="auto"/>
            <w:tcMar>
              <w:top w:w="29" w:type="dxa"/>
              <w:left w:w="29" w:type="dxa"/>
              <w:bottom w:w="43" w:type="dxa"/>
              <w:right w:w="29" w:type="dxa"/>
            </w:tcMar>
            <w:vAlign w:val="bottom"/>
            <w:hideMark/>
          </w:tcPr>
          <w:p w:rsidR="00BE34F7" w:rsidRDefault="00BE34F7" w:rsidP="005F32B8">
            <w:pPr>
              <w:jc w:val="center"/>
              <w:rPr>
                <w:rFonts w:ascii="Arial" w:hAnsi="Arial" w:cs="Arial"/>
                <w:b/>
                <w:sz w:val="13"/>
                <w:szCs w:val="13"/>
              </w:rPr>
            </w:pPr>
            <w:r>
              <w:rPr>
                <w:rFonts w:ascii="Arial" w:hAnsi="Arial" w:cs="Arial"/>
                <w:b/>
                <w:sz w:val="13"/>
                <w:szCs w:val="13"/>
              </w:rPr>
              <w:t>H</w:t>
            </w:r>
          </w:p>
          <w:p w:rsidR="00BE34F7" w:rsidRDefault="00BE34F7" w:rsidP="005F32B8">
            <w:pPr>
              <w:jc w:val="center"/>
              <w:rPr>
                <w:rFonts w:ascii="Arial" w:hAnsi="Arial" w:cs="Arial"/>
                <w:sz w:val="13"/>
                <w:szCs w:val="13"/>
              </w:rPr>
            </w:pPr>
            <w:r>
              <w:rPr>
                <w:rFonts w:ascii="Arial" w:hAnsi="Arial" w:cs="Arial"/>
                <w:sz w:val="13"/>
                <w:szCs w:val="13"/>
              </w:rPr>
              <w:t>8</w:t>
            </w: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5F32B8">
            <w:pPr>
              <w:jc w:val="center"/>
              <w:rPr>
                <w:rFonts w:ascii="Arial" w:hAnsi="Arial" w:cs="Arial"/>
                <w:b/>
                <w:sz w:val="13"/>
                <w:szCs w:val="13"/>
              </w:rPr>
            </w:pPr>
            <w:r>
              <w:rPr>
                <w:rFonts w:ascii="Arial" w:hAnsi="Arial" w:cs="Arial"/>
                <w:b/>
                <w:sz w:val="13"/>
                <w:szCs w:val="13"/>
              </w:rPr>
              <w:t>CC</w:t>
            </w:r>
          </w:p>
          <w:p w:rsidR="00BE34F7" w:rsidRDefault="00BE34F7" w:rsidP="005F32B8">
            <w:pPr>
              <w:jc w:val="center"/>
              <w:rPr>
                <w:rFonts w:ascii="Arial" w:hAnsi="Arial" w:cs="Arial"/>
                <w:sz w:val="13"/>
                <w:szCs w:val="13"/>
              </w:rPr>
            </w:pPr>
            <w:r>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13</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5F32B8">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5F32B8">
            <w:pPr>
              <w:jc w:val="center"/>
              <w:rPr>
                <w:rFonts w:ascii="Arial" w:hAnsi="Arial" w:cs="Arial"/>
                <w:b/>
                <w:sz w:val="13"/>
                <w:szCs w:val="13"/>
              </w:rPr>
            </w:pPr>
            <w:r>
              <w:rPr>
                <w:rFonts w:ascii="Arial" w:hAnsi="Arial" w:cs="Arial"/>
                <w:b/>
                <w:sz w:val="13"/>
                <w:szCs w:val="13"/>
              </w:rPr>
              <w:t>CC</w:t>
            </w:r>
          </w:p>
          <w:p w:rsidR="00BE34F7" w:rsidRDefault="00BE34F7" w:rsidP="005F32B8">
            <w:pPr>
              <w:jc w:val="center"/>
              <w:rPr>
                <w:rFonts w:ascii="Arial" w:hAnsi="Arial" w:cs="Arial"/>
                <w:sz w:val="13"/>
                <w:szCs w:val="13"/>
              </w:rPr>
            </w:pPr>
            <w:r>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9</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10</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5F32B8">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2</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5F32B8">
            <w:pPr>
              <w:jc w:val="center"/>
              <w:rPr>
                <w:rFonts w:ascii="Arial" w:hAnsi="Arial" w:cs="Arial"/>
                <w:b/>
                <w:sz w:val="13"/>
                <w:szCs w:val="13"/>
              </w:rPr>
            </w:pPr>
            <w:r>
              <w:rPr>
                <w:rFonts w:ascii="Arial" w:hAnsi="Arial" w:cs="Arial"/>
                <w:b/>
                <w:sz w:val="13"/>
                <w:szCs w:val="13"/>
              </w:rPr>
              <w:t>CC</w:t>
            </w:r>
          </w:p>
          <w:p w:rsidR="00BE34F7" w:rsidRDefault="00BE34F7" w:rsidP="005F32B8">
            <w:pPr>
              <w:jc w:val="center"/>
              <w:rPr>
                <w:rFonts w:ascii="Arial" w:hAnsi="Arial" w:cs="Arial"/>
                <w:sz w:val="13"/>
                <w:szCs w:val="13"/>
              </w:rPr>
            </w:pPr>
            <w:r>
              <w:rPr>
                <w:rFonts w:ascii="Arial" w:hAnsi="Arial" w:cs="Arial"/>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8</w:t>
            </w:r>
          </w:p>
        </w:tc>
      </w:tr>
      <w:tr w:rsidR="00BE34F7" w:rsidTr="005F32B8">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14</w:t>
            </w:r>
          </w:p>
        </w:tc>
        <w:tc>
          <w:tcPr>
            <w:tcW w:w="224" w:type="pct"/>
            <w:tcBorders>
              <w:top w:val="double" w:sz="6" w:space="0" w:color="auto"/>
              <w:left w:val="single" w:sz="4" w:space="0" w:color="auto"/>
              <w:bottom w:val="single" w:sz="4" w:space="0" w:color="auto"/>
              <w:right w:val="single" w:sz="4" w:space="0" w:color="auto"/>
            </w:tcBorders>
            <w:shd w:val="clear" w:color="auto" w:fill="BFBFBF" w:themeFill="background1" w:themeFillShade="BF"/>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17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20</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5F32B8">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auto"/>
              <w:right w:val="double" w:sz="6" w:space="0" w:color="auto"/>
            </w:tcBorders>
            <w:shd w:val="clear" w:color="auto" w:fill="auto"/>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11</w:t>
            </w:r>
          </w:p>
        </w:tc>
        <w:tc>
          <w:tcPr>
            <w:tcW w:w="225" w:type="pct"/>
            <w:tcBorders>
              <w:top w:val="double" w:sz="6" w:space="0" w:color="auto"/>
              <w:left w:val="double" w:sz="6" w:space="0" w:color="auto"/>
              <w:bottom w:val="double" w:sz="6" w:space="0" w:color="auto"/>
              <w:right w:val="double" w:sz="6" w:space="0" w:color="auto"/>
            </w:tcBorders>
            <w:shd w:val="clear" w:color="auto" w:fill="auto"/>
            <w:tcMar>
              <w:top w:w="29" w:type="dxa"/>
              <w:left w:w="29" w:type="dxa"/>
              <w:bottom w:w="43" w:type="dxa"/>
              <w:right w:w="29" w:type="dxa"/>
            </w:tcMar>
            <w:vAlign w:val="bottom"/>
            <w:hideMark/>
          </w:tcPr>
          <w:p w:rsidR="00BE34F7" w:rsidRDefault="00BE34F7" w:rsidP="005F32B8">
            <w:pPr>
              <w:jc w:val="center"/>
              <w:rPr>
                <w:rFonts w:ascii="Arial" w:hAnsi="Arial" w:cs="Arial"/>
                <w:b/>
                <w:sz w:val="13"/>
                <w:szCs w:val="13"/>
              </w:rPr>
            </w:pPr>
            <w:r>
              <w:rPr>
                <w:rFonts w:ascii="Arial" w:hAnsi="Arial" w:cs="Arial"/>
                <w:b/>
                <w:sz w:val="13"/>
                <w:szCs w:val="13"/>
              </w:rPr>
              <w:t>H</w:t>
            </w:r>
          </w:p>
          <w:p w:rsidR="00BE34F7" w:rsidRDefault="00BE34F7" w:rsidP="005F32B8">
            <w:pPr>
              <w:jc w:val="center"/>
              <w:rPr>
                <w:rFonts w:ascii="Arial" w:hAnsi="Arial" w:cs="Arial"/>
                <w:sz w:val="13"/>
                <w:szCs w:val="13"/>
              </w:rPr>
            </w:pPr>
            <w:r>
              <w:rPr>
                <w:rFonts w:ascii="Arial" w:hAnsi="Arial" w:cs="Arial"/>
                <w:sz w:val="13"/>
                <w:szCs w:val="13"/>
              </w:rPr>
              <w:t>12</w:t>
            </w:r>
          </w:p>
        </w:tc>
        <w:tc>
          <w:tcPr>
            <w:tcW w:w="225" w:type="pct"/>
            <w:tcBorders>
              <w:top w:val="single" w:sz="4" w:space="0" w:color="000000" w:themeColor="text1"/>
              <w:left w:val="double" w:sz="6" w:space="0" w:color="auto"/>
              <w:bottom w:val="single" w:sz="4" w:space="0" w:color="auto"/>
              <w:right w:val="single" w:sz="4" w:space="0" w:color="auto"/>
            </w:tcBorders>
            <w:shd w:val="clear" w:color="auto" w:fill="BFBFBF" w:themeFill="background1" w:themeFillShade="BF"/>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16</w:t>
            </w:r>
          </w:p>
        </w:tc>
        <w:tc>
          <w:tcPr>
            <w:tcW w:w="225" w:type="pct"/>
            <w:tcBorders>
              <w:top w:val="single" w:sz="4" w:space="0" w:color="auto"/>
              <w:left w:val="single" w:sz="4" w:space="0" w:color="000000" w:themeColor="text1"/>
              <w:bottom w:val="single" w:sz="4" w:space="0" w:color="000000" w:themeColor="text1"/>
              <w:right w:val="double" w:sz="6" w:space="0" w:color="auto"/>
            </w:tcBorders>
            <w:shd w:val="clear" w:color="auto" w:fill="auto"/>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17</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5F32B8">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15</w:t>
            </w:r>
          </w:p>
        </w:tc>
      </w:tr>
      <w:tr w:rsidR="00BE34F7" w:rsidTr="005F32B8">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24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25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26</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27</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5F32B8">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18</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23</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24</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5F32B8">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17</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18</w:t>
            </w:r>
          </w:p>
        </w:tc>
        <w:tc>
          <w:tcPr>
            <w:tcW w:w="225" w:type="pct"/>
            <w:tcBorders>
              <w:top w:val="single" w:sz="4" w:space="0" w:color="000000" w:themeColor="text1"/>
              <w:left w:val="single" w:sz="4" w:space="0" w:color="000000" w:themeColor="text1"/>
              <w:bottom w:val="double" w:sz="6" w:space="0" w:color="auto"/>
              <w:right w:val="single" w:sz="4" w:space="0" w:color="auto"/>
            </w:tcBorders>
            <w:shd w:val="clear" w:color="auto" w:fill="FFFFFF" w:themeFill="background1"/>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19</w:t>
            </w:r>
          </w:p>
        </w:tc>
        <w:tc>
          <w:tcPr>
            <w:tcW w:w="225" w:type="pct"/>
            <w:tcBorders>
              <w:top w:val="single" w:sz="4" w:space="0" w:color="auto"/>
              <w:left w:val="single" w:sz="4" w:space="0" w:color="auto"/>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22</w:t>
            </w:r>
          </w:p>
        </w:tc>
      </w:tr>
      <w:tr w:rsidR="00BE34F7" w:rsidTr="005F32B8">
        <w:trPr>
          <w:trHeight w:val="331"/>
        </w:trPr>
        <w:tc>
          <w:tcPr>
            <w:tcW w:w="224" w:type="pct"/>
            <w:tcBorders>
              <w:top w:val="single" w:sz="4" w:space="0" w:color="000000" w:themeColor="text1"/>
              <w:left w:val="double" w:sz="6"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30</w:t>
            </w:r>
          </w:p>
        </w:tc>
        <w:tc>
          <w:tcPr>
            <w:tcW w:w="224" w:type="pct"/>
            <w:tcBorders>
              <w:top w:val="single" w:sz="4" w:space="0" w:color="000000" w:themeColor="text1"/>
              <w:left w:val="single" w:sz="4" w:space="0" w:color="000000" w:themeColor="text1"/>
              <w:bottom w:val="double" w:sz="6" w:space="0" w:color="auto"/>
              <w:right w:val="single" w:sz="4" w:space="0" w:color="auto"/>
            </w:tcBorders>
            <w:shd w:val="clear" w:color="auto" w:fill="auto"/>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31</w:t>
            </w:r>
          </w:p>
        </w:tc>
        <w:tc>
          <w:tcPr>
            <w:tcW w:w="225" w:type="pct"/>
            <w:tcBorders>
              <w:top w:val="single" w:sz="4" w:space="0" w:color="auto"/>
              <w:left w:val="single" w:sz="4" w:space="0" w:color="auto"/>
              <w:bottom w:val="double" w:sz="6" w:space="0" w:color="auto"/>
              <w:right w:val="single" w:sz="4" w:space="0" w:color="auto"/>
            </w:tcBorders>
            <w:shd w:val="clear" w:color="auto" w:fill="auto"/>
            <w:tcMar>
              <w:top w:w="29" w:type="dxa"/>
              <w:left w:w="29" w:type="dxa"/>
              <w:bottom w:w="43" w:type="dxa"/>
              <w:right w:w="29" w:type="dxa"/>
            </w:tcMar>
            <w:vAlign w:val="bottom"/>
          </w:tcPr>
          <w:p w:rsidR="00BE34F7" w:rsidRDefault="00BE34F7" w:rsidP="005F32B8">
            <w:pPr>
              <w:jc w:val="center"/>
              <w:rPr>
                <w:rFonts w:ascii="Arial" w:hAnsi="Arial" w:cs="Arial"/>
                <w:sz w:val="13"/>
                <w:szCs w:val="13"/>
              </w:rPr>
            </w:pPr>
          </w:p>
        </w:tc>
        <w:tc>
          <w:tcPr>
            <w:tcW w:w="225" w:type="pct"/>
            <w:tcBorders>
              <w:top w:val="single" w:sz="4" w:space="0" w:color="000000" w:themeColor="text1"/>
              <w:left w:val="single" w:sz="4"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tcPr>
          <w:p w:rsidR="00BE34F7" w:rsidRDefault="00BE34F7" w:rsidP="005F32B8">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auto"/>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5F32B8">
            <w:pPr>
              <w:jc w:val="center"/>
              <w:rPr>
                <w:rFonts w:ascii="Arial" w:hAnsi="Arial" w:cs="Arial"/>
                <w:sz w:val="13"/>
                <w:szCs w:val="13"/>
              </w:rPr>
            </w:pP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5F32B8">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25</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26</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27</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28</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29</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30</w:t>
            </w:r>
          </w:p>
        </w:tc>
        <w:tc>
          <w:tcPr>
            <w:tcW w:w="225" w:type="pct"/>
            <w:tcBorders>
              <w:top w:val="single" w:sz="4" w:space="0" w:color="000000" w:themeColor="text1"/>
              <w:left w:val="single" w:sz="4" w:space="0" w:color="000000" w:themeColor="text1"/>
              <w:bottom w:val="double" w:sz="6" w:space="0" w:color="auto"/>
              <w:right w:val="double" w:sz="6" w:space="0" w:color="auto"/>
            </w:tcBorders>
            <w:shd w:val="clear" w:color="auto" w:fill="auto"/>
            <w:tcMar>
              <w:top w:w="29" w:type="dxa"/>
              <w:left w:w="29" w:type="dxa"/>
              <w:bottom w:w="43" w:type="dxa"/>
              <w:right w:w="29" w:type="dxa"/>
            </w:tcMar>
            <w:vAlign w:val="bottom"/>
          </w:tcPr>
          <w:p w:rsidR="00BE34F7" w:rsidRDefault="00BE34F7" w:rsidP="005F32B8">
            <w:pPr>
              <w:jc w:val="center"/>
              <w:rPr>
                <w:rFonts w:ascii="Arial" w:hAnsi="Arial" w:cs="Arial"/>
                <w:sz w:val="13"/>
                <w:szCs w:val="13"/>
              </w:rPr>
            </w:pP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5F32B8">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double" w:sz="6" w:space="0" w:color="auto"/>
              <w:right w:val="single" w:sz="4" w:space="0" w:color="auto"/>
            </w:tcBorders>
            <w:shd w:val="clear" w:color="auto" w:fill="FFFFFF" w:themeFill="background1"/>
            <w:tcMar>
              <w:top w:w="29" w:type="dxa"/>
              <w:left w:w="29" w:type="dxa"/>
              <w:bottom w:w="43" w:type="dxa"/>
              <w:right w:w="29" w:type="dxa"/>
            </w:tcMar>
            <w:vAlign w:val="bottom"/>
            <w:hideMark/>
          </w:tcPr>
          <w:p w:rsidR="00BE34F7" w:rsidRDefault="00BE34F7" w:rsidP="005F32B8">
            <w:pPr>
              <w:rPr>
                <w:rFonts w:ascii="Arial" w:hAnsi="Arial" w:cs="Arial"/>
                <w:sz w:val="13"/>
                <w:szCs w:val="13"/>
              </w:rPr>
            </w:pPr>
            <w:r>
              <w:rPr>
                <w:rFonts w:ascii="Arial" w:hAnsi="Arial" w:cs="Arial"/>
                <w:sz w:val="13"/>
                <w:szCs w:val="13"/>
              </w:rPr>
              <w:t xml:space="preserve"> 23 /</w:t>
            </w:r>
          </w:p>
          <w:p w:rsidR="00BE34F7" w:rsidRDefault="00BE34F7" w:rsidP="005F32B8">
            <w:pPr>
              <w:rPr>
                <w:rFonts w:ascii="Arial" w:hAnsi="Arial" w:cs="Arial"/>
                <w:sz w:val="13"/>
                <w:szCs w:val="13"/>
              </w:rPr>
            </w:pPr>
            <w:r>
              <w:rPr>
                <w:rFonts w:ascii="Arial" w:hAnsi="Arial" w:cs="Arial"/>
                <w:sz w:val="13"/>
                <w:szCs w:val="13"/>
              </w:rPr>
              <w:t xml:space="preserve">       30</w:t>
            </w:r>
          </w:p>
        </w:tc>
        <w:tc>
          <w:tcPr>
            <w:tcW w:w="225" w:type="pct"/>
            <w:tcBorders>
              <w:top w:val="single" w:sz="4" w:space="0" w:color="auto"/>
              <w:left w:val="single" w:sz="4" w:space="0" w:color="auto"/>
              <w:bottom w:val="double" w:sz="6" w:space="0" w:color="auto"/>
              <w:right w:val="double" w:sz="6" w:space="0" w:color="auto"/>
            </w:tcBorders>
            <w:shd w:val="clear" w:color="auto" w:fill="FFFFFF" w:themeFill="background1"/>
            <w:tcMar>
              <w:top w:w="29" w:type="dxa"/>
              <w:left w:w="29" w:type="dxa"/>
              <w:bottom w:w="43" w:type="dxa"/>
              <w:right w:w="29" w:type="dxa"/>
            </w:tcMar>
            <w:vAlign w:val="bottom"/>
            <w:hideMark/>
          </w:tcPr>
          <w:p w:rsidR="00BE34F7" w:rsidRDefault="00BE34F7" w:rsidP="005F32B8">
            <w:pPr>
              <w:rPr>
                <w:rFonts w:ascii="Arial" w:hAnsi="Arial" w:cs="Arial"/>
                <w:sz w:val="13"/>
                <w:szCs w:val="13"/>
              </w:rPr>
            </w:pPr>
            <w:r>
              <w:rPr>
                <w:rFonts w:ascii="Arial" w:hAnsi="Arial" w:cs="Arial"/>
                <w:sz w:val="13"/>
                <w:szCs w:val="13"/>
              </w:rPr>
              <w:t xml:space="preserve"> 24 /</w:t>
            </w:r>
          </w:p>
          <w:p w:rsidR="00BE34F7" w:rsidRDefault="00BE34F7" w:rsidP="005F32B8">
            <w:pPr>
              <w:rPr>
                <w:rFonts w:ascii="Arial" w:hAnsi="Arial" w:cs="Arial"/>
                <w:sz w:val="13"/>
                <w:szCs w:val="13"/>
              </w:rPr>
            </w:pPr>
            <w:r>
              <w:rPr>
                <w:rFonts w:ascii="Arial" w:hAnsi="Arial" w:cs="Arial"/>
                <w:sz w:val="13"/>
                <w:szCs w:val="13"/>
              </w:rPr>
              <w:t xml:space="preserve">       31</w:t>
            </w:r>
          </w:p>
        </w:tc>
        <w:tc>
          <w:tcPr>
            <w:tcW w:w="225" w:type="pct"/>
            <w:tcBorders>
              <w:top w:val="double" w:sz="6" w:space="0" w:color="auto"/>
              <w:left w:val="double" w:sz="6" w:space="0" w:color="auto"/>
              <w:bottom w:val="double" w:sz="6" w:space="0" w:color="auto"/>
              <w:right w:val="double" w:sz="6" w:space="0" w:color="auto"/>
            </w:tcBorders>
            <w:shd w:val="clear" w:color="auto" w:fill="FFFFFF" w:themeFill="background1"/>
            <w:tcMar>
              <w:top w:w="29" w:type="dxa"/>
              <w:left w:w="29" w:type="dxa"/>
              <w:bottom w:w="43" w:type="dxa"/>
              <w:right w:w="29" w:type="dxa"/>
            </w:tcMar>
            <w:vAlign w:val="bottom"/>
            <w:hideMark/>
          </w:tcPr>
          <w:p w:rsidR="00BE34F7" w:rsidRDefault="00BE34F7" w:rsidP="005F32B8">
            <w:pPr>
              <w:jc w:val="center"/>
              <w:rPr>
                <w:rFonts w:ascii="Arial" w:hAnsi="Arial" w:cs="Arial"/>
                <w:b/>
                <w:sz w:val="13"/>
                <w:szCs w:val="13"/>
              </w:rPr>
            </w:pPr>
            <w:r>
              <w:rPr>
                <w:rFonts w:ascii="Arial" w:hAnsi="Arial" w:cs="Arial"/>
                <w:b/>
                <w:sz w:val="13"/>
                <w:szCs w:val="13"/>
              </w:rPr>
              <w:t>H</w:t>
            </w:r>
          </w:p>
          <w:p w:rsidR="00BE34F7" w:rsidRDefault="00BE34F7" w:rsidP="005F32B8">
            <w:pPr>
              <w:jc w:val="center"/>
              <w:rPr>
                <w:rFonts w:ascii="Arial" w:hAnsi="Arial" w:cs="Arial"/>
                <w:sz w:val="13"/>
                <w:szCs w:val="13"/>
              </w:rPr>
            </w:pPr>
            <w:r>
              <w:rPr>
                <w:rFonts w:ascii="Arial" w:hAnsi="Arial" w:cs="Arial"/>
                <w:sz w:val="13"/>
                <w:szCs w:val="13"/>
              </w:rPr>
              <w:t>25</w:t>
            </w:r>
          </w:p>
        </w:tc>
        <w:tc>
          <w:tcPr>
            <w:tcW w:w="225" w:type="pct"/>
            <w:tcBorders>
              <w:top w:val="double" w:sz="6" w:space="0" w:color="auto"/>
              <w:left w:val="double" w:sz="6" w:space="0" w:color="auto"/>
              <w:bottom w:val="double" w:sz="6" w:space="0" w:color="auto"/>
              <w:right w:val="double" w:sz="6" w:space="0" w:color="auto"/>
            </w:tcBorders>
            <w:shd w:val="clear" w:color="auto" w:fill="FFFFFF" w:themeFill="background1"/>
            <w:tcMar>
              <w:top w:w="29" w:type="dxa"/>
              <w:left w:w="29" w:type="dxa"/>
              <w:bottom w:w="43" w:type="dxa"/>
              <w:right w:w="29" w:type="dxa"/>
            </w:tcMar>
            <w:vAlign w:val="bottom"/>
            <w:hideMark/>
          </w:tcPr>
          <w:p w:rsidR="00BE34F7" w:rsidRDefault="00BE34F7" w:rsidP="005F32B8">
            <w:pPr>
              <w:jc w:val="center"/>
              <w:rPr>
                <w:rFonts w:ascii="Arial" w:hAnsi="Arial" w:cs="Arial"/>
                <w:b/>
                <w:sz w:val="13"/>
                <w:szCs w:val="13"/>
              </w:rPr>
            </w:pPr>
            <w:r>
              <w:rPr>
                <w:rFonts w:ascii="Arial" w:hAnsi="Arial" w:cs="Arial"/>
                <w:b/>
                <w:sz w:val="13"/>
                <w:szCs w:val="13"/>
              </w:rPr>
              <w:t>H</w:t>
            </w:r>
          </w:p>
          <w:p w:rsidR="00BE34F7" w:rsidRDefault="00BE34F7" w:rsidP="005F32B8">
            <w:pPr>
              <w:jc w:val="center"/>
              <w:rPr>
                <w:rFonts w:ascii="Arial" w:hAnsi="Arial" w:cs="Arial"/>
                <w:sz w:val="13"/>
                <w:szCs w:val="13"/>
              </w:rPr>
            </w:pPr>
            <w:r>
              <w:rPr>
                <w:rFonts w:ascii="Arial" w:hAnsi="Arial" w:cs="Arial"/>
                <w:sz w:val="13"/>
                <w:szCs w:val="13"/>
              </w:rPr>
              <w:t>26</w:t>
            </w:r>
          </w:p>
        </w:tc>
        <w:tc>
          <w:tcPr>
            <w:tcW w:w="225" w:type="pct"/>
            <w:tcBorders>
              <w:top w:val="single" w:sz="4" w:space="0" w:color="auto"/>
              <w:left w:val="double" w:sz="6" w:space="0" w:color="auto"/>
              <w:bottom w:val="double" w:sz="6" w:space="0" w:color="auto"/>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27</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28</w:t>
            </w:r>
          </w:p>
        </w:tc>
        <w:tc>
          <w:tcPr>
            <w:tcW w:w="225" w:type="pct"/>
            <w:tcBorders>
              <w:top w:val="single" w:sz="4" w:space="0" w:color="000000" w:themeColor="text1"/>
              <w:left w:val="single" w:sz="4" w:space="0" w:color="000000" w:themeColor="text1"/>
              <w:bottom w:val="double" w:sz="6" w:space="0" w:color="auto"/>
              <w:right w:val="double" w:sz="6" w:space="0" w:color="auto"/>
            </w:tcBorders>
            <w:shd w:val="clear" w:color="auto" w:fill="FFFFFF" w:themeFill="background1"/>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29</w:t>
            </w:r>
          </w:p>
        </w:tc>
      </w:tr>
    </w:tbl>
    <w:p w:rsidR="00BE34F7" w:rsidRDefault="00BE34F7" w:rsidP="00BE34F7">
      <w:pPr>
        <w:tabs>
          <w:tab w:val="center" w:pos="5220"/>
          <w:tab w:val="right" w:pos="10440"/>
        </w:tabs>
        <w:jc w:val="center"/>
        <w:rPr>
          <w:rFonts w:ascii="Arial" w:hAnsi="Arial" w:cs="Arial"/>
          <w:szCs w:val="28"/>
        </w:rPr>
      </w:pPr>
      <w:r>
        <w:rPr>
          <w:rFonts w:ascii="Arial" w:hAnsi="Arial" w:cs="Arial"/>
          <w:b/>
          <w:i/>
          <w:szCs w:val="28"/>
        </w:rPr>
        <w:t>- 2019 -</w:t>
      </w:r>
    </w:p>
    <w:tbl>
      <w:tblPr>
        <w:tblStyle w:val="TableGrid"/>
        <w:tblW w:w="5050" w:type="pct"/>
        <w:tblCellMar>
          <w:top w:w="29" w:type="dxa"/>
          <w:left w:w="29" w:type="dxa"/>
          <w:bottom w:w="29" w:type="dxa"/>
          <w:right w:w="29" w:type="dxa"/>
        </w:tblCellMar>
        <w:tblLook w:val="04A0" w:firstRow="1" w:lastRow="0" w:firstColumn="1" w:lastColumn="0" w:noHBand="0" w:noVBand="1"/>
      </w:tblPr>
      <w:tblGrid>
        <w:gridCol w:w="466"/>
        <w:gridCol w:w="466"/>
        <w:gridCol w:w="466"/>
        <w:gridCol w:w="466"/>
        <w:gridCol w:w="466"/>
        <w:gridCol w:w="466"/>
        <w:gridCol w:w="477"/>
        <w:gridCol w:w="286"/>
        <w:gridCol w:w="479"/>
        <w:gridCol w:w="479"/>
        <w:gridCol w:w="479"/>
        <w:gridCol w:w="479"/>
        <w:gridCol w:w="479"/>
        <w:gridCol w:w="479"/>
        <w:gridCol w:w="481"/>
        <w:gridCol w:w="296"/>
        <w:gridCol w:w="470"/>
        <w:gridCol w:w="470"/>
        <w:gridCol w:w="470"/>
        <w:gridCol w:w="470"/>
        <w:gridCol w:w="470"/>
        <w:gridCol w:w="470"/>
        <w:gridCol w:w="468"/>
      </w:tblGrid>
      <w:tr w:rsidR="00BE34F7" w:rsidTr="005F32B8">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BE34F7" w:rsidRDefault="00BE34F7" w:rsidP="005F32B8">
            <w:pPr>
              <w:tabs>
                <w:tab w:val="center" w:pos="5220"/>
                <w:tab w:val="right" w:pos="10440"/>
              </w:tabs>
              <w:jc w:val="center"/>
              <w:rPr>
                <w:rFonts w:ascii="Arial" w:hAnsi="Arial" w:cs="Arial"/>
                <w:b/>
                <w:sz w:val="13"/>
                <w:szCs w:val="13"/>
              </w:rPr>
            </w:pPr>
            <w:r>
              <w:rPr>
                <w:rFonts w:ascii="Arial" w:hAnsi="Arial" w:cs="Arial"/>
                <w:b/>
                <w:sz w:val="13"/>
                <w:szCs w:val="13"/>
              </w:rPr>
              <w:t>JANUARY – JANVIER</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BE34F7" w:rsidRDefault="00BE34F7" w:rsidP="005F32B8">
            <w:pPr>
              <w:tabs>
                <w:tab w:val="center" w:pos="5220"/>
                <w:tab w:val="right" w:pos="10440"/>
              </w:tabs>
              <w:jc w:val="center"/>
              <w:rPr>
                <w:rFonts w:ascii="Arial" w:hAnsi="Arial" w:cs="Arial"/>
                <w:b/>
                <w:sz w:val="13"/>
                <w:szCs w:val="13"/>
              </w:rPr>
            </w:pPr>
          </w:p>
        </w:tc>
        <w:tc>
          <w:tcPr>
            <w:tcW w:w="1596"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BE34F7" w:rsidRDefault="00BE34F7" w:rsidP="005F32B8">
            <w:pPr>
              <w:tabs>
                <w:tab w:val="center" w:pos="5220"/>
                <w:tab w:val="right" w:pos="10440"/>
              </w:tabs>
              <w:jc w:val="center"/>
              <w:rPr>
                <w:rFonts w:ascii="Arial" w:hAnsi="Arial" w:cs="Arial"/>
                <w:b/>
                <w:sz w:val="13"/>
                <w:szCs w:val="13"/>
              </w:rPr>
            </w:pPr>
            <w:r>
              <w:rPr>
                <w:rFonts w:ascii="Arial" w:hAnsi="Arial" w:cs="Arial"/>
                <w:b/>
                <w:sz w:val="13"/>
                <w:szCs w:val="13"/>
              </w:rPr>
              <w:t>FEBRUARY – FÉVRIER</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BE34F7" w:rsidRDefault="00BE34F7" w:rsidP="005F32B8">
            <w:pPr>
              <w:tabs>
                <w:tab w:val="center" w:pos="5220"/>
                <w:tab w:val="right" w:pos="10440"/>
              </w:tabs>
              <w:jc w:val="center"/>
              <w:rPr>
                <w:rFonts w:ascii="Arial" w:hAnsi="Arial" w:cs="Arial"/>
                <w:b/>
                <w:sz w:val="13"/>
                <w:szCs w:val="13"/>
              </w:rPr>
            </w:pPr>
          </w:p>
        </w:tc>
        <w:tc>
          <w:tcPr>
            <w:tcW w:w="1568"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BE34F7" w:rsidRDefault="00BE34F7" w:rsidP="005F32B8">
            <w:pPr>
              <w:tabs>
                <w:tab w:val="center" w:pos="5220"/>
                <w:tab w:val="right" w:pos="10440"/>
              </w:tabs>
              <w:jc w:val="center"/>
              <w:rPr>
                <w:rFonts w:ascii="Arial" w:hAnsi="Arial" w:cs="Arial"/>
                <w:b/>
                <w:sz w:val="13"/>
                <w:szCs w:val="13"/>
              </w:rPr>
            </w:pPr>
            <w:r>
              <w:rPr>
                <w:rFonts w:ascii="Arial" w:hAnsi="Arial" w:cs="Arial"/>
                <w:b/>
                <w:sz w:val="13"/>
                <w:szCs w:val="13"/>
              </w:rPr>
              <w:t>MARCH – MARS</w:t>
            </w:r>
          </w:p>
        </w:tc>
      </w:tr>
      <w:tr w:rsidR="00BE34F7" w:rsidTr="005F32B8">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5F32B8">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5F32B8">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BE34F7" w:rsidRDefault="00BE34F7" w:rsidP="005F32B8">
            <w:pPr>
              <w:tabs>
                <w:tab w:val="center" w:pos="5220"/>
                <w:tab w:val="right" w:pos="10440"/>
              </w:tabs>
              <w:jc w:val="center"/>
              <w:rPr>
                <w:rFonts w:ascii="Arial" w:hAnsi="Arial" w:cs="Arial"/>
                <w:b/>
                <w:sz w:val="13"/>
                <w:szCs w:val="13"/>
              </w:rPr>
            </w:pPr>
            <w:r>
              <w:rPr>
                <w:rFonts w:ascii="Arial" w:hAnsi="Arial" w:cs="Arial"/>
                <w:b/>
                <w:sz w:val="13"/>
                <w:szCs w:val="13"/>
              </w:rPr>
              <w:t>M</w:t>
            </w:r>
          </w:p>
          <w:p w:rsidR="00BE34F7" w:rsidRDefault="00BE34F7" w:rsidP="005F32B8">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2"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BE34F7" w:rsidRDefault="00BE34F7" w:rsidP="005F32B8">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5F32B8">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5F32B8">
            <w:pPr>
              <w:tabs>
                <w:tab w:val="center" w:pos="5220"/>
                <w:tab w:val="right" w:pos="10440"/>
              </w:tabs>
              <w:jc w:val="center"/>
              <w:rPr>
                <w:rFonts w:ascii="Arial" w:hAnsi="Arial" w:cs="Arial"/>
                <w:b/>
                <w:sz w:val="13"/>
                <w:szCs w:val="13"/>
              </w:rPr>
            </w:pPr>
            <w:r>
              <w:rPr>
                <w:rFonts w:ascii="Arial" w:hAnsi="Arial" w:cs="Arial"/>
                <w:b/>
                <w:sz w:val="13"/>
                <w:szCs w:val="13"/>
              </w:rPr>
              <w:t>W</w:t>
            </w:r>
          </w:p>
          <w:p w:rsidR="00BE34F7" w:rsidRDefault="00BE34F7" w:rsidP="005F32B8">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BE34F7" w:rsidRDefault="00BE34F7" w:rsidP="005F32B8">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5F32B8">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5F32B8">
            <w:pPr>
              <w:tabs>
                <w:tab w:val="center" w:pos="5220"/>
                <w:tab w:val="right" w:pos="10440"/>
              </w:tabs>
              <w:jc w:val="center"/>
              <w:rPr>
                <w:rFonts w:ascii="Arial" w:hAnsi="Arial" w:cs="Arial"/>
                <w:b/>
                <w:sz w:val="13"/>
                <w:szCs w:val="13"/>
              </w:rPr>
            </w:pPr>
            <w:r>
              <w:rPr>
                <w:rFonts w:ascii="Arial" w:hAnsi="Arial" w:cs="Arial"/>
                <w:b/>
                <w:sz w:val="13"/>
                <w:szCs w:val="13"/>
              </w:rPr>
              <w:t>F</w:t>
            </w:r>
          </w:p>
          <w:p w:rsidR="00BE34F7" w:rsidRDefault="00BE34F7" w:rsidP="005F32B8">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6"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BE34F7" w:rsidRDefault="00BE34F7" w:rsidP="005F32B8">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5F32B8">
            <w:pPr>
              <w:tabs>
                <w:tab w:val="center" w:pos="5220"/>
                <w:tab w:val="right" w:pos="10440"/>
              </w:tabs>
              <w:jc w:val="center"/>
              <w:rPr>
                <w:rFonts w:ascii="Arial" w:hAnsi="Arial" w:cs="Arial"/>
                <w:b/>
                <w:sz w:val="13"/>
                <w:szCs w:val="13"/>
              </w:rPr>
            </w:pPr>
            <w:r>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BE34F7" w:rsidRDefault="00BE34F7" w:rsidP="005F32B8">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5F32B8">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5F32B8">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5F32B8">
            <w:pPr>
              <w:tabs>
                <w:tab w:val="center" w:pos="5220"/>
                <w:tab w:val="right" w:pos="10440"/>
              </w:tabs>
              <w:jc w:val="center"/>
              <w:rPr>
                <w:rFonts w:ascii="Arial" w:hAnsi="Arial" w:cs="Arial"/>
                <w:b/>
                <w:sz w:val="13"/>
                <w:szCs w:val="13"/>
              </w:rPr>
            </w:pPr>
            <w:r>
              <w:rPr>
                <w:rFonts w:ascii="Arial" w:hAnsi="Arial" w:cs="Arial"/>
                <w:b/>
                <w:sz w:val="13"/>
                <w:szCs w:val="13"/>
              </w:rPr>
              <w:t>M</w:t>
            </w:r>
          </w:p>
          <w:p w:rsidR="00BE34F7" w:rsidRDefault="00BE34F7" w:rsidP="005F32B8">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5F32B8">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5F32B8">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5F32B8">
            <w:pPr>
              <w:tabs>
                <w:tab w:val="center" w:pos="5220"/>
                <w:tab w:val="right" w:pos="10440"/>
              </w:tabs>
              <w:jc w:val="center"/>
              <w:rPr>
                <w:rFonts w:ascii="Arial" w:hAnsi="Arial" w:cs="Arial"/>
                <w:b/>
                <w:sz w:val="13"/>
                <w:szCs w:val="13"/>
              </w:rPr>
            </w:pPr>
            <w:r>
              <w:rPr>
                <w:rFonts w:ascii="Arial" w:hAnsi="Arial" w:cs="Arial"/>
                <w:b/>
                <w:sz w:val="13"/>
                <w:szCs w:val="13"/>
              </w:rPr>
              <w:t>W</w:t>
            </w:r>
          </w:p>
          <w:p w:rsidR="00BE34F7" w:rsidRDefault="00BE34F7" w:rsidP="005F32B8">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5F32B8">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5F32B8">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5F32B8">
            <w:pPr>
              <w:tabs>
                <w:tab w:val="center" w:pos="5220"/>
                <w:tab w:val="right" w:pos="10440"/>
              </w:tabs>
              <w:jc w:val="center"/>
              <w:rPr>
                <w:rFonts w:ascii="Arial" w:hAnsi="Arial" w:cs="Arial"/>
                <w:b/>
                <w:sz w:val="13"/>
                <w:szCs w:val="13"/>
              </w:rPr>
            </w:pPr>
            <w:r>
              <w:rPr>
                <w:rFonts w:ascii="Arial" w:hAnsi="Arial" w:cs="Arial"/>
                <w:b/>
                <w:sz w:val="13"/>
                <w:szCs w:val="13"/>
              </w:rPr>
              <w:t>F</w:t>
            </w:r>
          </w:p>
          <w:p w:rsidR="00BE34F7" w:rsidRDefault="00BE34F7" w:rsidP="005F32B8">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9"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BE34F7" w:rsidRDefault="00BE34F7" w:rsidP="005F32B8">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5F32B8">
            <w:pPr>
              <w:tabs>
                <w:tab w:val="center" w:pos="5220"/>
                <w:tab w:val="right" w:pos="10440"/>
              </w:tabs>
              <w:jc w:val="center"/>
              <w:rPr>
                <w:rFonts w:ascii="Arial" w:hAnsi="Arial" w:cs="Arial"/>
                <w:b/>
                <w:sz w:val="13"/>
                <w:szCs w:val="13"/>
              </w:rPr>
            </w:pPr>
            <w:r>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BE34F7" w:rsidRDefault="00BE34F7" w:rsidP="005F32B8">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5F32B8">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5F32B8">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5F32B8">
            <w:pPr>
              <w:tabs>
                <w:tab w:val="center" w:pos="5220"/>
                <w:tab w:val="right" w:pos="10440"/>
              </w:tabs>
              <w:jc w:val="center"/>
              <w:rPr>
                <w:rFonts w:ascii="Arial" w:hAnsi="Arial" w:cs="Arial"/>
                <w:b/>
                <w:sz w:val="13"/>
                <w:szCs w:val="13"/>
              </w:rPr>
            </w:pPr>
            <w:r>
              <w:rPr>
                <w:rFonts w:ascii="Arial" w:hAnsi="Arial" w:cs="Arial"/>
                <w:b/>
                <w:sz w:val="13"/>
                <w:szCs w:val="13"/>
              </w:rPr>
              <w:t>M</w:t>
            </w:r>
          </w:p>
          <w:p w:rsidR="00BE34F7" w:rsidRDefault="00BE34F7" w:rsidP="005F32B8">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5F32B8">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5F32B8">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5F32B8">
            <w:pPr>
              <w:tabs>
                <w:tab w:val="center" w:pos="5220"/>
                <w:tab w:val="right" w:pos="10440"/>
              </w:tabs>
              <w:jc w:val="center"/>
              <w:rPr>
                <w:rFonts w:ascii="Arial" w:hAnsi="Arial" w:cs="Arial"/>
                <w:b/>
                <w:sz w:val="13"/>
                <w:szCs w:val="13"/>
              </w:rPr>
            </w:pPr>
            <w:r>
              <w:rPr>
                <w:rFonts w:ascii="Arial" w:hAnsi="Arial" w:cs="Arial"/>
                <w:b/>
                <w:sz w:val="13"/>
                <w:szCs w:val="13"/>
              </w:rPr>
              <w:t>W</w:t>
            </w:r>
          </w:p>
          <w:p w:rsidR="00BE34F7" w:rsidRDefault="00BE34F7" w:rsidP="005F32B8">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5F32B8">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5F32B8">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5F32B8">
            <w:pPr>
              <w:tabs>
                <w:tab w:val="center" w:pos="5220"/>
                <w:tab w:val="right" w:pos="10440"/>
              </w:tabs>
              <w:jc w:val="center"/>
              <w:rPr>
                <w:rFonts w:ascii="Arial" w:hAnsi="Arial" w:cs="Arial"/>
                <w:b/>
                <w:sz w:val="13"/>
                <w:szCs w:val="13"/>
              </w:rPr>
            </w:pPr>
            <w:r>
              <w:rPr>
                <w:rFonts w:ascii="Arial" w:hAnsi="Arial" w:cs="Arial"/>
                <w:b/>
                <w:sz w:val="13"/>
                <w:szCs w:val="13"/>
              </w:rPr>
              <w:t>F</w:t>
            </w:r>
          </w:p>
          <w:p w:rsidR="00BE34F7" w:rsidRDefault="00BE34F7" w:rsidP="005F32B8">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4"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BE34F7" w:rsidRDefault="00BE34F7" w:rsidP="005F32B8">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5F32B8">
            <w:pPr>
              <w:tabs>
                <w:tab w:val="center" w:pos="5220"/>
                <w:tab w:val="right" w:pos="10440"/>
              </w:tabs>
              <w:jc w:val="center"/>
              <w:rPr>
                <w:rFonts w:ascii="Arial" w:hAnsi="Arial" w:cs="Arial"/>
                <w:b/>
                <w:sz w:val="13"/>
                <w:szCs w:val="13"/>
              </w:rPr>
            </w:pPr>
            <w:r>
              <w:rPr>
                <w:rFonts w:ascii="Arial" w:hAnsi="Arial" w:cs="Arial"/>
                <w:b/>
                <w:sz w:val="13"/>
                <w:szCs w:val="13"/>
              </w:rPr>
              <w:t>S</w:t>
            </w:r>
          </w:p>
        </w:tc>
      </w:tr>
      <w:tr w:rsidR="00BE34F7" w:rsidTr="005F32B8">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BE34F7" w:rsidRDefault="00BE34F7" w:rsidP="005F32B8">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double" w:sz="4" w:space="0" w:color="auto"/>
            </w:tcBorders>
            <w:tcMar>
              <w:top w:w="29" w:type="dxa"/>
              <w:left w:w="29" w:type="dxa"/>
              <w:bottom w:w="43" w:type="dxa"/>
              <w:right w:w="29" w:type="dxa"/>
            </w:tcMar>
            <w:vAlign w:val="bottom"/>
          </w:tcPr>
          <w:p w:rsidR="00BE34F7" w:rsidRDefault="00BE34F7" w:rsidP="005F32B8">
            <w:pPr>
              <w:jc w:val="center"/>
              <w:rPr>
                <w:rFonts w:ascii="Arial" w:hAnsi="Arial" w:cs="Arial"/>
                <w:sz w:val="13"/>
                <w:szCs w:val="13"/>
              </w:rPr>
            </w:pP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BE34F7" w:rsidRDefault="00BE34F7" w:rsidP="005F32B8">
            <w:pPr>
              <w:jc w:val="center"/>
              <w:rPr>
                <w:rFonts w:ascii="Arial" w:hAnsi="Arial" w:cs="Arial"/>
                <w:b/>
                <w:sz w:val="13"/>
                <w:szCs w:val="13"/>
              </w:rPr>
            </w:pPr>
            <w:r>
              <w:rPr>
                <w:rFonts w:ascii="Arial" w:hAnsi="Arial" w:cs="Arial"/>
                <w:b/>
                <w:sz w:val="13"/>
                <w:szCs w:val="13"/>
              </w:rPr>
              <w:t>H</w:t>
            </w:r>
          </w:p>
          <w:p w:rsidR="00BE34F7" w:rsidRDefault="00BE34F7" w:rsidP="005F32B8">
            <w:pPr>
              <w:jc w:val="center"/>
              <w:rPr>
                <w:rFonts w:ascii="Arial" w:hAnsi="Arial" w:cs="Arial"/>
                <w:sz w:val="13"/>
                <w:szCs w:val="13"/>
              </w:rPr>
            </w:pPr>
            <w:r>
              <w:rPr>
                <w:rFonts w:ascii="Arial" w:hAnsi="Arial" w:cs="Arial"/>
                <w:sz w:val="13"/>
                <w:szCs w:val="13"/>
              </w:rPr>
              <w:t>1</w:t>
            </w:r>
          </w:p>
        </w:tc>
        <w:tc>
          <w:tcPr>
            <w:tcW w:w="222" w:type="pct"/>
            <w:tcBorders>
              <w:top w:val="single" w:sz="4" w:space="0" w:color="000000" w:themeColor="text1"/>
              <w:left w:val="double" w:sz="4" w:space="0" w:color="auto"/>
              <w:bottom w:val="single" w:sz="4" w:space="0" w:color="000000" w:themeColor="text1"/>
              <w:right w:val="single" w:sz="4" w:space="0" w:color="auto"/>
            </w:tcBorders>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2</w:t>
            </w:r>
          </w:p>
        </w:tc>
        <w:tc>
          <w:tcPr>
            <w:tcW w:w="222" w:type="pct"/>
            <w:tcBorders>
              <w:top w:val="single" w:sz="4" w:space="0" w:color="auto"/>
              <w:left w:val="single" w:sz="4" w:space="0" w:color="auto"/>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4</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5</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5F32B8">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5F32B8">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5F32B8">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5F32B8">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5F32B8">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5F32B8">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1</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5F32B8">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5F32B8">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5F32B8">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5F32B8">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5F32B8">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5F32B8">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2</w:t>
            </w:r>
          </w:p>
        </w:tc>
      </w:tr>
      <w:tr w:rsidR="00BE34F7" w:rsidTr="005F32B8">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7</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11</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12</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5F32B8">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3</w:t>
            </w:r>
          </w:p>
        </w:tc>
        <w:tc>
          <w:tcPr>
            <w:tcW w:w="228" w:type="pct"/>
            <w:tcBorders>
              <w:top w:val="single" w:sz="4" w:space="0" w:color="auto"/>
              <w:left w:val="single" w:sz="4" w:space="0" w:color="auto"/>
              <w:bottom w:val="single" w:sz="4" w:space="0" w:color="000000" w:themeColor="text1"/>
              <w:right w:val="single" w:sz="4" w:space="0" w:color="auto"/>
            </w:tcBorders>
            <w:shd w:val="clear" w:color="auto" w:fill="FFFFFF" w:themeFill="background1"/>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8</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5F32B8">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8</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9</w:t>
            </w:r>
          </w:p>
        </w:tc>
      </w:tr>
      <w:tr w:rsidR="00BE34F7" w:rsidTr="005F32B8">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5F32B8">
            <w:pPr>
              <w:jc w:val="center"/>
              <w:rPr>
                <w:rFonts w:ascii="Arial" w:hAnsi="Arial" w:cs="Arial"/>
                <w:b/>
                <w:sz w:val="13"/>
                <w:szCs w:val="13"/>
              </w:rPr>
            </w:pPr>
            <w:r>
              <w:rPr>
                <w:rFonts w:ascii="Arial" w:hAnsi="Arial" w:cs="Arial"/>
                <w:b/>
                <w:sz w:val="13"/>
                <w:szCs w:val="13"/>
              </w:rPr>
              <w:t>CC</w:t>
            </w:r>
          </w:p>
          <w:p w:rsidR="00BE34F7" w:rsidRDefault="00BE34F7" w:rsidP="005F32B8">
            <w:pPr>
              <w:jc w:val="center"/>
              <w:rPr>
                <w:rFonts w:ascii="Arial" w:hAnsi="Arial" w:cs="Arial"/>
                <w:sz w:val="13"/>
                <w:szCs w:val="13"/>
              </w:rPr>
            </w:pPr>
            <w:r>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18</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19</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5F32B8">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5F32B8">
            <w:pPr>
              <w:jc w:val="center"/>
              <w:rPr>
                <w:rFonts w:ascii="Arial" w:hAnsi="Arial" w:cs="Arial"/>
                <w:b/>
                <w:sz w:val="13"/>
                <w:szCs w:val="13"/>
              </w:rPr>
            </w:pPr>
            <w:r>
              <w:rPr>
                <w:rFonts w:ascii="Arial" w:hAnsi="Arial" w:cs="Arial"/>
                <w:b/>
                <w:sz w:val="13"/>
                <w:szCs w:val="13"/>
              </w:rPr>
              <w:t>CC</w:t>
            </w:r>
          </w:p>
          <w:p w:rsidR="00BE34F7" w:rsidRDefault="00BE34F7" w:rsidP="005F32B8">
            <w:pPr>
              <w:jc w:val="center"/>
              <w:rPr>
                <w:rFonts w:ascii="Arial" w:hAnsi="Arial" w:cs="Arial"/>
                <w:sz w:val="13"/>
                <w:szCs w:val="13"/>
              </w:rPr>
            </w:pPr>
            <w:r>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15</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16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5F32B8">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10</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FFFFFF" w:themeFill="background1"/>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16</w:t>
            </w:r>
          </w:p>
        </w:tc>
      </w:tr>
      <w:tr w:rsidR="00BE34F7" w:rsidTr="005F32B8">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24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25</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26</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5F32B8">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22</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23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5F32B8">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5F32B8">
            <w:pPr>
              <w:jc w:val="center"/>
              <w:rPr>
                <w:rFonts w:ascii="Arial" w:hAnsi="Arial" w:cs="Arial"/>
                <w:b/>
                <w:sz w:val="13"/>
                <w:szCs w:val="13"/>
              </w:rPr>
            </w:pPr>
            <w:r>
              <w:rPr>
                <w:rFonts w:ascii="Arial" w:hAnsi="Arial" w:cs="Arial"/>
                <w:b/>
                <w:sz w:val="13"/>
                <w:szCs w:val="13"/>
              </w:rPr>
              <w:t>CC</w:t>
            </w:r>
          </w:p>
          <w:p w:rsidR="00BE34F7" w:rsidRDefault="00BE34F7" w:rsidP="005F32B8">
            <w:pPr>
              <w:jc w:val="center"/>
              <w:rPr>
                <w:rFonts w:ascii="Arial" w:hAnsi="Arial" w:cs="Arial"/>
                <w:sz w:val="13"/>
                <w:szCs w:val="13"/>
              </w:rPr>
            </w:pPr>
            <w:r>
              <w:rPr>
                <w:rFonts w:ascii="Arial" w:hAnsi="Arial" w:cs="Arial"/>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23</w:t>
            </w:r>
          </w:p>
        </w:tc>
      </w:tr>
      <w:tr w:rsidR="00BE34F7" w:rsidTr="005F32B8">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31</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5F32B8">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BE34F7" w:rsidRDefault="00BE34F7" w:rsidP="005F32B8">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5F32B8">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24</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5F32B8">
            <w:pPr>
              <w:jc w:val="center"/>
              <w:rPr>
                <w:rFonts w:ascii="Arial" w:hAnsi="Arial" w:cs="Arial"/>
                <w:sz w:val="13"/>
                <w:szCs w:val="13"/>
              </w:rPr>
            </w:pPr>
          </w:p>
        </w:tc>
        <w:tc>
          <w:tcPr>
            <w:tcW w:w="229"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BE34F7" w:rsidRDefault="00BE34F7" w:rsidP="005F32B8">
            <w:pPr>
              <w:jc w:val="center"/>
              <w:rPr>
                <w:rFonts w:ascii="Arial" w:hAnsi="Arial" w:cs="Arial"/>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5F32B8">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BE34F7" w:rsidRDefault="00BE34F7" w:rsidP="005F32B8">
            <w:pPr>
              <w:rPr>
                <w:rFonts w:ascii="Arial" w:hAnsi="Arial" w:cs="Arial"/>
                <w:sz w:val="13"/>
                <w:szCs w:val="13"/>
              </w:rPr>
            </w:pPr>
            <w:r>
              <w:rPr>
                <w:rFonts w:ascii="Arial" w:hAnsi="Arial" w:cs="Arial"/>
                <w:sz w:val="13"/>
                <w:szCs w:val="13"/>
              </w:rPr>
              <w:t xml:space="preserve"> 24 /</w:t>
            </w:r>
          </w:p>
          <w:p w:rsidR="00BE34F7" w:rsidRDefault="00BE34F7" w:rsidP="005F32B8">
            <w:pPr>
              <w:rPr>
                <w:rFonts w:ascii="Arial" w:hAnsi="Arial" w:cs="Arial"/>
                <w:sz w:val="13"/>
                <w:szCs w:val="13"/>
              </w:rPr>
            </w:pPr>
            <w:r>
              <w:rPr>
                <w:rFonts w:ascii="Arial" w:hAnsi="Arial" w:cs="Arial"/>
                <w:sz w:val="13"/>
                <w:szCs w:val="13"/>
              </w:rPr>
              <w:t xml:space="preserve">       31</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25</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26</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27</w:t>
            </w:r>
          </w:p>
        </w:tc>
        <w:tc>
          <w:tcPr>
            <w:tcW w:w="224" w:type="pct"/>
            <w:tcBorders>
              <w:top w:val="single" w:sz="4" w:space="0" w:color="000000" w:themeColor="text1"/>
              <w:left w:val="single" w:sz="4" w:space="0" w:color="000000" w:themeColor="text1"/>
              <w:bottom w:val="double" w:sz="6" w:space="0" w:color="auto"/>
              <w:right w:val="single" w:sz="4" w:space="0" w:color="auto"/>
            </w:tcBorders>
            <w:shd w:val="clear" w:color="auto" w:fill="BFBFBF" w:themeFill="background1" w:themeFillShade="BF"/>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28</w:t>
            </w:r>
          </w:p>
        </w:tc>
        <w:tc>
          <w:tcPr>
            <w:tcW w:w="224" w:type="pct"/>
            <w:tcBorders>
              <w:top w:val="single" w:sz="4" w:space="0" w:color="auto"/>
              <w:left w:val="single" w:sz="4" w:space="0" w:color="auto"/>
              <w:bottom w:val="nil"/>
              <w:right w:val="single" w:sz="4" w:space="0" w:color="auto"/>
            </w:tcBorders>
            <w:shd w:val="clear" w:color="auto" w:fill="BFBFBF" w:themeFill="background1" w:themeFillShade="BF"/>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29</w:t>
            </w:r>
          </w:p>
        </w:tc>
        <w:tc>
          <w:tcPr>
            <w:tcW w:w="224" w:type="pct"/>
            <w:tcBorders>
              <w:top w:val="single" w:sz="4" w:space="0" w:color="000000" w:themeColor="text1"/>
              <w:left w:val="single" w:sz="4" w:space="0" w:color="auto"/>
              <w:bottom w:val="double" w:sz="6" w:space="0" w:color="auto"/>
              <w:right w:val="double" w:sz="6" w:space="0" w:color="auto"/>
            </w:tcBorders>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30</w:t>
            </w:r>
          </w:p>
        </w:tc>
      </w:tr>
      <w:tr w:rsidR="00BE34F7" w:rsidTr="005F32B8">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BE34F7" w:rsidRDefault="00BE34F7" w:rsidP="005F32B8">
            <w:pPr>
              <w:tabs>
                <w:tab w:val="center" w:pos="5220"/>
                <w:tab w:val="right" w:pos="10440"/>
              </w:tabs>
              <w:jc w:val="center"/>
              <w:rPr>
                <w:rFonts w:ascii="Arial" w:hAnsi="Arial" w:cs="Arial"/>
                <w:b/>
                <w:sz w:val="13"/>
                <w:szCs w:val="13"/>
              </w:rPr>
            </w:pPr>
            <w:r>
              <w:rPr>
                <w:rFonts w:ascii="Arial" w:hAnsi="Arial" w:cs="Arial"/>
                <w:b/>
                <w:sz w:val="13"/>
                <w:szCs w:val="13"/>
              </w:rPr>
              <w:t>APRIL – AVRIL</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BE34F7" w:rsidRDefault="00BE34F7" w:rsidP="005F32B8">
            <w:pPr>
              <w:tabs>
                <w:tab w:val="center" w:pos="5220"/>
                <w:tab w:val="right" w:pos="10440"/>
              </w:tabs>
              <w:jc w:val="center"/>
              <w:rPr>
                <w:rFonts w:ascii="Arial" w:hAnsi="Arial" w:cs="Arial"/>
                <w:b/>
                <w:sz w:val="13"/>
                <w:szCs w:val="13"/>
              </w:rPr>
            </w:pPr>
          </w:p>
        </w:tc>
        <w:tc>
          <w:tcPr>
            <w:tcW w:w="1596"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BE34F7" w:rsidRDefault="00BE34F7" w:rsidP="005F32B8">
            <w:pPr>
              <w:tabs>
                <w:tab w:val="center" w:pos="5220"/>
                <w:tab w:val="right" w:pos="10440"/>
              </w:tabs>
              <w:jc w:val="center"/>
              <w:rPr>
                <w:rFonts w:ascii="Arial" w:hAnsi="Arial" w:cs="Arial"/>
                <w:b/>
                <w:sz w:val="13"/>
                <w:szCs w:val="13"/>
              </w:rPr>
            </w:pPr>
            <w:r>
              <w:rPr>
                <w:rFonts w:ascii="Arial" w:hAnsi="Arial" w:cs="Arial"/>
                <w:b/>
                <w:sz w:val="13"/>
                <w:szCs w:val="13"/>
              </w:rPr>
              <w:t>MAY – MAI</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BE34F7" w:rsidRDefault="00BE34F7" w:rsidP="005F32B8">
            <w:pPr>
              <w:tabs>
                <w:tab w:val="center" w:pos="5220"/>
                <w:tab w:val="right" w:pos="10440"/>
              </w:tabs>
              <w:jc w:val="center"/>
              <w:rPr>
                <w:rFonts w:ascii="Arial" w:hAnsi="Arial" w:cs="Arial"/>
                <w:b/>
                <w:sz w:val="13"/>
                <w:szCs w:val="13"/>
              </w:rPr>
            </w:pPr>
          </w:p>
        </w:tc>
        <w:tc>
          <w:tcPr>
            <w:tcW w:w="1568"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BE34F7" w:rsidRDefault="00BE34F7" w:rsidP="005F32B8">
            <w:pPr>
              <w:tabs>
                <w:tab w:val="center" w:pos="5220"/>
                <w:tab w:val="right" w:pos="10440"/>
              </w:tabs>
              <w:jc w:val="center"/>
              <w:rPr>
                <w:rFonts w:ascii="Arial" w:hAnsi="Arial" w:cs="Arial"/>
                <w:b/>
                <w:sz w:val="13"/>
                <w:szCs w:val="13"/>
              </w:rPr>
            </w:pPr>
            <w:r>
              <w:rPr>
                <w:rFonts w:ascii="Arial" w:hAnsi="Arial" w:cs="Arial"/>
                <w:b/>
                <w:sz w:val="13"/>
                <w:szCs w:val="13"/>
              </w:rPr>
              <w:t>JUNE – JUIN</w:t>
            </w:r>
          </w:p>
        </w:tc>
      </w:tr>
      <w:tr w:rsidR="00BE34F7" w:rsidTr="005F32B8">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5F32B8">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5F32B8">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BE34F7" w:rsidRDefault="00BE34F7" w:rsidP="005F32B8">
            <w:pPr>
              <w:tabs>
                <w:tab w:val="center" w:pos="5220"/>
                <w:tab w:val="right" w:pos="10440"/>
              </w:tabs>
              <w:jc w:val="center"/>
              <w:rPr>
                <w:rFonts w:ascii="Arial" w:hAnsi="Arial" w:cs="Arial"/>
                <w:b/>
                <w:sz w:val="13"/>
                <w:szCs w:val="13"/>
              </w:rPr>
            </w:pPr>
            <w:r>
              <w:rPr>
                <w:rFonts w:ascii="Arial" w:hAnsi="Arial" w:cs="Arial"/>
                <w:b/>
                <w:sz w:val="13"/>
                <w:szCs w:val="13"/>
              </w:rPr>
              <w:t>M</w:t>
            </w:r>
          </w:p>
          <w:p w:rsidR="00BE34F7" w:rsidRDefault="00BE34F7" w:rsidP="005F32B8">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5F32B8">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5F32B8">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5F32B8">
            <w:pPr>
              <w:tabs>
                <w:tab w:val="center" w:pos="5220"/>
                <w:tab w:val="right" w:pos="10440"/>
              </w:tabs>
              <w:jc w:val="center"/>
              <w:rPr>
                <w:rFonts w:ascii="Arial" w:hAnsi="Arial" w:cs="Arial"/>
                <w:b/>
                <w:sz w:val="13"/>
                <w:szCs w:val="13"/>
              </w:rPr>
            </w:pPr>
            <w:r>
              <w:rPr>
                <w:rFonts w:ascii="Arial" w:hAnsi="Arial" w:cs="Arial"/>
                <w:b/>
                <w:sz w:val="13"/>
                <w:szCs w:val="13"/>
              </w:rPr>
              <w:t>W</w:t>
            </w:r>
          </w:p>
          <w:p w:rsidR="00BE34F7" w:rsidRDefault="00BE34F7" w:rsidP="005F32B8">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5F32B8">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5F32B8">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BE34F7" w:rsidRDefault="00BE34F7" w:rsidP="005F32B8">
            <w:pPr>
              <w:tabs>
                <w:tab w:val="center" w:pos="5220"/>
                <w:tab w:val="right" w:pos="10440"/>
              </w:tabs>
              <w:jc w:val="center"/>
              <w:rPr>
                <w:rFonts w:ascii="Arial" w:hAnsi="Arial" w:cs="Arial"/>
                <w:b/>
                <w:sz w:val="13"/>
                <w:szCs w:val="13"/>
              </w:rPr>
            </w:pPr>
            <w:r>
              <w:rPr>
                <w:rFonts w:ascii="Arial" w:hAnsi="Arial" w:cs="Arial"/>
                <w:b/>
                <w:sz w:val="13"/>
                <w:szCs w:val="13"/>
              </w:rPr>
              <w:t>F</w:t>
            </w:r>
          </w:p>
          <w:p w:rsidR="00BE34F7" w:rsidRDefault="00BE34F7" w:rsidP="005F32B8">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6"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BE34F7" w:rsidRDefault="00BE34F7" w:rsidP="005F32B8">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5F32B8">
            <w:pPr>
              <w:tabs>
                <w:tab w:val="center" w:pos="5220"/>
                <w:tab w:val="right" w:pos="10440"/>
              </w:tabs>
              <w:jc w:val="center"/>
              <w:rPr>
                <w:rFonts w:ascii="Arial" w:hAnsi="Arial" w:cs="Arial"/>
                <w:b/>
                <w:sz w:val="13"/>
                <w:szCs w:val="13"/>
              </w:rPr>
            </w:pPr>
            <w:r>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BE34F7" w:rsidRDefault="00BE34F7" w:rsidP="005F32B8">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5F32B8">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5F32B8">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5F32B8">
            <w:pPr>
              <w:tabs>
                <w:tab w:val="center" w:pos="5220"/>
                <w:tab w:val="right" w:pos="10440"/>
              </w:tabs>
              <w:jc w:val="center"/>
              <w:rPr>
                <w:rFonts w:ascii="Arial" w:hAnsi="Arial" w:cs="Arial"/>
                <w:b/>
                <w:sz w:val="13"/>
                <w:szCs w:val="13"/>
              </w:rPr>
            </w:pPr>
            <w:r>
              <w:rPr>
                <w:rFonts w:ascii="Arial" w:hAnsi="Arial" w:cs="Arial"/>
                <w:b/>
                <w:sz w:val="13"/>
                <w:szCs w:val="13"/>
              </w:rPr>
              <w:t>M</w:t>
            </w:r>
          </w:p>
          <w:p w:rsidR="00BE34F7" w:rsidRDefault="00BE34F7" w:rsidP="005F32B8">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5F32B8">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5F32B8">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5F32B8">
            <w:pPr>
              <w:tabs>
                <w:tab w:val="center" w:pos="5220"/>
                <w:tab w:val="right" w:pos="10440"/>
              </w:tabs>
              <w:jc w:val="center"/>
              <w:rPr>
                <w:rFonts w:ascii="Arial" w:hAnsi="Arial" w:cs="Arial"/>
                <w:b/>
                <w:sz w:val="13"/>
                <w:szCs w:val="13"/>
              </w:rPr>
            </w:pPr>
            <w:r>
              <w:rPr>
                <w:rFonts w:ascii="Arial" w:hAnsi="Arial" w:cs="Arial"/>
                <w:b/>
                <w:sz w:val="13"/>
                <w:szCs w:val="13"/>
              </w:rPr>
              <w:t>W</w:t>
            </w:r>
          </w:p>
          <w:p w:rsidR="00BE34F7" w:rsidRDefault="00BE34F7" w:rsidP="005F32B8">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5F32B8">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5F32B8">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5F32B8">
            <w:pPr>
              <w:tabs>
                <w:tab w:val="center" w:pos="5220"/>
                <w:tab w:val="right" w:pos="10440"/>
              </w:tabs>
              <w:jc w:val="center"/>
              <w:rPr>
                <w:rFonts w:ascii="Arial" w:hAnsi="Arial" w:cs="Arial"/>
                <w:b/>
                <w:sz w:val="13"/>
                <w:szCs w:val="13"/>
              </w:rPr>
            </w:pPr>
            <w:r>
              <w:rPr>
                <w:rFonts w:ascii="Arial" w:hAnsi="Arial" w:cs="Arial"/>
                <w:b/>
                <w:sz w:val="13"/>
                <w:szCs w:val="13"/>
              </w:rPr>
              <w:t>F</w:t>
            </w:r>
          </w:p>
          <w:p w:rsidR="00BE34F7" w:rsidRDefault="00BE34F7" w:rsidP="005F32B8">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9"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BE34F7" w:rsidRDefault="00BE34F7" w:rsidP="005F32B8">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5F32B8">
            <w:pPr>
              <w:tabs>
                <w:tab w:val="center" w:pos="5220"/>
                <w:tab w:val="right" w:pos="10440"/>
              </w:tabs>
              <w:jc w:val="center"/>
              <w:rPr>
                <w:rFonts w:ascii="Arial" w:hAnsi="Arial" w:cs="Arial"/>
                <w:b/>
                <w:sz w:val="13"/>
                <w:szCs w:val="13"/>
              </w:rPr>
            </w:pPr>
            <w:r>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BE34F7" w:rsidRDefault="00BE34F7" w:rsidP="005F32B8">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5F32B8">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5F32B8">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5F32B8">
            <w:pPr>
              <w:tabs>
                <w:tab w:val="center" w:pos="5220"/>
                <w:tab w:val="right" w:pos="10440"/>
              </w:tabs>
              <w:jc w:val="center"/>
              <w:rPr>
                <w:rFonts w:ascii="Arial" w:hAnsi="Arial" w:cs="Arial"/>
                <w:b/>
                <w:sz w:val="13"/>
                <w:szCs w:val="13"/>
              </w:rPr>
            </w:pPr>
            <w:r>
              <w:rPr>
                <w:rFonts w:ascii="Arial" w:hAnsi="Arial" w:cs="Arial"/>
                <w:b/>
                <w:sz w:val="13"/>
                <w:szCs w:val="13"/>
              </w:rPr>
              <w:t>M</w:t>
            </w:r>
          </w:p>
          <w:p w:rsidR="00BE34F7" w:rsidRDefault="00BE34F7" w:rsidP="005F32B8">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5F32B8">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5F32B8">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5F32B8">
            <w:pPr>
              <w:tabs>
                <w:tab w:val="center" w:pos="5220"/>
                <w:tab w:val="right" w:pos="10440"/>
              </w:tabs>
              <w:jc w:val="center"/>
              <w:rPr>
                <w:rFonts w:ascii="Arial" w:hAnsi="Arial" w:cs="Arial"/>
                <w:b/>
                <w:sz w:val="13"/>
                <w:szCs w:val="13"/>
              </w:rPr>
            </w:pPr>
            <w:r>
              <w:rPr>
                <w:rFonts w:ascii="Arial" w:hAnsi="Arial" w:cs="Arial"/>
                <w:b/>
                <w:sz w:val="13"/>
                <w:szCs w:val="13"/>
              </w:rPr>
              <w:t>W</w:t>
            </w:r>
          </w:p>
          <w:p w:rsidR="00BE34F7" w:rsidRDefault="00BE34F7" w:rsidP="005F32B8">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5F32B8">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5F32B8">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5F32B8">
            <w:pPr>
              <w:tabs>
                <w:tab w:val="center" w:pos="5220"/>
                <w:tab w:val="right" w:pos="10440"/>
              </w:tabs>
              <w:jc w:val="center"/>
              <w:rPr>
                <w:rFonts w:ascii="Arial" w:hAnsi="Arial" w:cs="Arial"/>
                <w:b/>
                <w:sz w:val="13"/>
                <w:szCs w:val="13"/>
              </w:rPr>
            </w:pPr>
            <w:r>
              <w:rPr>
                <w:rFonts w:ascii="Arial" w:hAnsi="Arial" w:cs="Arial"/>
                <w:b/>
                <w:sz w:val="13"/>
                <w:szCs w:val="13"/>
              </w:rPr>
              <w:t>F</w:t>
            </w:r>
          </w:p>
          <w:p w:rsidR="00BE34F7" w:rsidRDefault="00BE34F7" w:rsidP="005F32B8">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4"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BE34F7" w:rsidRDefault="00BE34F7" w:rsidP="005F32B8">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5F32B8">
            <w:pPr>
              <w:tabs>
                <w:tab w:val="center" w:pos="5220"/>
                <w:tab w:val="right" w:pos="10440"/>
              </w:tabs>
              <w:jc w:val="center"/>
              <w:rPr>
                <w:rFonts w:ascii="Arial" w:hAnsi="Arial" w:cs="Arial"/>
                <w:b/>
                <w:sz w:val="13"/>
                <w:szCs w:val="13"/>
              </w:rPr>
            </w:pPr>
            <w:r>
              <w:rPr>
                <w:rFonts w:ascii="Arial" w:hAnsi="Arial" w:cs="Arial"/>
                <w:b/>
                <w:sz w:val="13"/>
                <w:szCs w:val="13"/>
              </w:rPr>
              <w:t>S</w:t>
            </w:r>
          </w:p>
        </w:tc>
      </w:tr>
      <w:tr w:rsidR="00BE34F7" w:rsidTr="005F32B8">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BE34F7" w:rsidRDefault="00BE34F7" w:rsidP="005F32B8">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4</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5</w:t>
            </w:r>
          </w:p>
        </w:tc>
        <w:tc>
          <w:tcPr>
            <w:tcW w:w="226"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5F32B8">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5F32B8">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5F32B8">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5F32B8">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3</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5F32B8">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5F32B8">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BE34F7" w:rsidRDefault="00BE34F7" w:rsidP="005F32B8">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BE34F7" w:rsidRDefault="00BE34F7" w:rsidP="005F32B8">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BE34F7" w:rsidRDefault="00BE34F7" w:rsidP="005F32B8">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BE34F7" w:rsidRDefault="00BE34F7" w:rsidP="005F32B8">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BE34F7" w:rsidRDefault="00BE34F7" w:rsidP="005F32B8">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1</w:t>
            </w:r>
          </w:p>
        </w:tc>
      </w:tr>
      <w:tr w:rsidR="00BE34F7" w:rsidTr="005F32B8">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7</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11</w:t>
            </w:r>
          </w:p>
        </w:tc>
        <w:tc>
          <w:tcPr>
            <w:tcW w:w="222" w:type="pct"/>
            <w:tcBorders>
              <w:top w:val="single" w:sz="4" w:space="0" w:color="auto"/>
              <w:left w:val="single" w:sz="4" w:space="0" w:color="000000" w:themeColor="text1"/>
              <w:bottom w:val="double" w:sz="4" w:space="0" w:color="auto"/>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12</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13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5F32B8">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10</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11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5F32B8">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2</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FFFFFF" w:themeFill="background1"/>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7</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8</w:t>
            </w:r>
          </w:p>
        </w:tc>
      </w:tr>
      <w:tr w:rsidR="00BE34F7" w:rsidTr="005F32B8">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14</w:t>
            </w:r>
          </w:p>
        </w:tc>
        <w:tc>
          <w:tcPr>
            <w:tcW w:w="222" w:type="pct"/>
            <w:tcBorders>
              <w:top w:val="single" w:sz="4" w:space="0" w:color="auto"/>
              <w:left w:val="single" w:sz="4" w:space="0" w:color="auto"/>
              <w:bottom w:val="double" w:sz="4" w:space="0" w:color="auto"/>
              <w:right w:val="single" w:sz="4" w:space="0" w:color="auto"/>
            </w:tcBorders>
            <w:shd w:val="clear" w:color="auto" w:fill="BFBFBF" w:themeFill="background1" w:themeFillShade="BF"/>
            <w:tcMar>
              <w:top w:w="29" w:type="dxa"/>
              <w:left w:w="29" w:type="dxa"/>
              <w:bottom w:w="43" w:type="dxa"/>
              <w:right w:w="29" w:type="dxa"/>
            </w:tcMar>
            <w:vAlign w:val="bottom"/>
            <w:hideMark/>
          </w:tcPr>
          <w:p w:rsidR="00BE34F7" w:rsidRDefault="00BE34F7" w:rsidP="005F32B8">
            <w:pPr>
              <w:jc w:val="center"/>
              <w:rPr>
                <w:rFonts w:ascii="Arial" w:hAnsi="Arial" w:cs="Arial"/>
                <w:b/>
                <w:sz w:val="13"/>
                <w:szCs w:val="13"/>
              </w:rPr>
            </w:pPr>
            <w:r>
              <w:rPr>
                <w:rFonts w:ascii="Arial" w:hAnsi="Arial" w:cs="Arial"/>
                <w:b/>
                <w:sz w:val="13"/>
                <w:szCs w:val="13"/>
              </w:rPr>
              <w:t>CC</w:t>
            </w:r>
          </w:p>
          <w:p w:rsidR="00BE34F7" w:rsidRDefault="00BE34F7" w:rsidP="005F32B8">
            <w:pPr>
              <w:jc w:val="center"/>
              <w:rPr>
                <w:rFonts w:ascii="Arial" w:hAnsi="Arial" w:cs="Arial"/>
                <w:sz w:val="13"/>
                <w:szCs w:val="13"/>
              </w:rPr>
            </w:pPr>
            <w:r>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18</w:t>
            </w: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BE34F7" w:rsidRDefault="00BE34F7" w:rsidP="005F32B8">
            <w:pPr>
              <w:jc w:val="center"/>
              <w:rPr>
                <w:rFonts w:ascii="Arial" w:hAnsi="Arial" w:cs="Arial"/>
                <w:b/>
                <w:sz w:val="13"/>
                <w:szCs w:val="13"/>
              </w:rPr>
            </w:pPr>
            <w:r>
              <w:rPr>
                <w:rFonts w:ascii="Arial" w:hAnsi="Arial" w:cs="Arial"/>
                <w:b/>
                <w:sz w:val="13"/>
                <w:szCs w:val="13"/>
              </w:rPr>
              <w:t>H</w:t>
            </w:r>
          </w:p>
          <w:p w:rsidR="00BE34F7" w:rsidRDefault="00BE34F7" w:rsidP="005F32B8">
            <w:pPr>
              <w:jc w:val="center"/>
              <w:rPr>
                <w:rFonts w:ascii="Arial" w:hAnsi="Arial" w:cs="Arial"/>
                <w:sz w:val="13"/>
                <w:szCs w:val="13"/>
              </w:rPr>
            </w:pPr>
            <w:r>
              <w:rPr>
                <w:rFonts w:ascii="Arial" w:hAnsi="Arial" w:cs="Arial"/>
                <w:sz w:val="13"/>
                <w:szCs w:val="13"/>
              </w:rPr>
              <w:t>19</w:t>
            </w:r>
          </w:p>
        </w:tc>
        <w:tc>
          <w:tcPr>
            <w:tcW w:w="226" w:type="pct"/>
            <w:tcBorders>
              <w:top w:val="single" w:sz="4" w:space="0" w:color="000000" w:themeColor="text1"/>
              <w:left w:val="double" w:sz="4" w:space="0" w:color="auto"/>
              <w:bottom w:val="single" w:sz="4" w:space="0" w:color="000000" w:themeColor="text1"/>
              <w:right w:val="double" w:sz="6" w:space="0" w:color="auto"/>
            </w:tcBorders>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20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5F32B8">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12</w:t>
            </w: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5F32B8">
            <w:pPr>
              <w:jc w:val="center"/>
              <w:rPr>
                <w:rFonts w:ascii="Arial" w:hAnsi="Arial" w:cs="Arial"/>
                <w:b/>
                <w:sz w:val="13"/>
                <w:szCs w:val="13"/>
              </w:rPr>
            </w:pPr>
            <w:r>
              <w:rPr>
                <w:rFonts w:ascii="Arial" w:hAnsi="Arial" w:cs="Arial"/>
                <w:b/>
                <w:sz w:val="13"/>
                <w:szCs w:val="13"/>
              </w:rPr>
              <w:t>CC</w:t>
            </w:r>
          </w:p>
          <w:p w:rsidR="00BE34F7" w:rsidRDefault="00BE34F7" w:rsidP="005F32B8">
            <w:pPr>
              <w:jc w:val="center"/>
              <w:rPr>
                <w:rFonts w:ascii="Arial" w:hAnsi="Arial" w:cs="Arial"/>
                <w:sz w:val="13"/>
                <w:szCs w:val="13"/>
              </w:rPr>
            </w:pPr>
            <w:r>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17</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18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5F32B8">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5F32B8">
            <w:pPr>
              <w:jc w:val="center"/>
              <w:rPr>
                <w:rFonts w:ascii="Arial" w:hAnsi="Arial" w:cs="Arial"/>
                <w:b/>
                <w:sz w:val="13"/>
                <w:szCs w:val="13"/>
              </w:rPr>
            </w:pPr>
            <w:r>
              <w:rPr>
                <w:rFonts w:ascii="Arial" w:hAnsi="Arial" w:cs="Arial"/>
                <w:b/>
                <w:sz w:val="13"/>
                <w:szCs w:val="13"/>
              </w:rPr>
              <w:t>CC</w:t>
            </w:r>
          </w:p>
          <w:p w:rsidR="00BE34F7" w:rsidRDefault="00BE34F7" w:rsidP="005F32B8">
            <w:pPr>
              <w:jc w:val="center"/>
              <w:rPr>
                <w:rFonts w:ascii="Arial" w:hAnsi="Arial" w:cs="Arial"/>
                <w:sz w:val="13"/>
                <w:szCs w:val="13"/>
              </w:rPr>
            </w:pPr>
            <w:r>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15</w:t>
            </w:r>
          </w:p>
        </w:tc>
      </w:tr>
      <w:tr w:rsidR="00BE34F7" w:rsidTr="005F32B8">
        <w:trPr>
          <w:trHeight w:val="319"/>
        </w:trPr>
        <w:tc>
          <w:tcPr>
            <w:tcW w:w="222"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21</w:t>
            </w: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BE34F7" w:rsidRDefault="00BE34F7" w:rsidP="005F32B8">
            <w:pPr>
              <w:jc w:val="center"/>
              <w:rPr>
                <w:rFonts w:ascii="Arial" w:hAnsi="Arial" w:cs="Arial"/>
                <w:b/>
                <w:sz w:val="13"/>
                <w:szCs w:val="13"/>
              </w:rPr>
            </w:pPr>
            <w:r>
              <w:rPr>
                <w:rFonts w:ascii="Arial" w:hAnsi="Arial" w:cs="Arial"/>
                <w:b/>
                <w:sz w:val="13"/>
                <w:szCs w:val="13"/>
              </w:rPr>
              <w:t>H</w:t>
            </w:r>
          </w:p>
          <w:p w:rsidR="00BE34F7" w:rsidRDefault="00BE34F7" w:rsidP="005F32B8">
            <w:pPr>
              <w:jc w:val="center"/>
              <w:rPr>
                <w:rFonts w:ascii="Arial" w:hAnsi="Arial" w:cs="Arial"/>
                <w:sz w:val="13"/>
                <w:szCs w:val="13"/>
              </w:rPr>
            </w:pPr>
            <w:r>
              <w:rPr>
                <w:rFonts w:ascii="Arial" w:hAnsi="Arial" w:cs="Arial"/>
                <w:sz w:val="13"/>
                <w:szCs w:val="13"/>
              </w:rPr>
              <w:t>22</w:t>
            </w:r>
          </w:p>
        </w:tc>
        <w:tc>
          <w:tcPr>
            <w:tcW w:w="222"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24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25</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26</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27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5F32B8">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19</w:t>
            </w:r>
          </w:p>
        </w:tc>
        <w:tc>
          <w:tcPr>
            <w:tcW w:w="228"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BE34F7" w:rsidRDefault="00BE34F7" w:rsidP="005F32B8">
            <w:pPr>
              <w:jc w:val="center"/>
              <w:rPr>
                <w:rFonts w:ascii="Arial" w:hAnsi="Arial" w:cs="Arial"/>
                <w:b/>
                <w:sz w:val="13"/>
                <w:szCs w:val="13"/>
              </w:rPr>
            </w:pPr>
            <w:r>
              <w:rPr>
                <w:rFonts w:ascii="Arial" w:hAnsi="Arial" w:cs="Arial"/>
                <w:b/>
                <w:sz w:val="13"/>
                <w:szCs w:val="13"/>
              </w:rPr>
              <w:t>H</w:t>
            </w:r>
          </w:p>
          <w:p w:rsidR="00BE34F7" w:rsidRDefault="00BE34F7" w:rsidP="005F32B8">
            <w:pPr>
              <w:jc w:val="center"/>
              <w:rPr>
                <w:rFonts w:ascii="Arial" w:hAnsi="Arial" w:cs="Arial"/>
                <w:sz w:val="13"/>
                <w:szCs w:val="13"/>
              </w:rPr>
            </w:pPr>
            <w:r>
              <w:rPr>
                <w:rFonts w:ascii="Arial" w:hAnsi="Arial" w:cs="Arial"/>
                <w:sz w:val="13"/>
                <w:szCs w:val="13"/>
              </w:rPr>
              <w:t>20</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24</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25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5F32B8">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22</w:t>
            </w:r>
          </w:p>
        </w:tc>
      </w:tr>
      <w:tr w:rsidR="00BE34F7" w:rsidTr="005F32B8">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28</w:t>
            </w:r>
          </w:p>
        </w:tc>
        <w:tc>
          <w:tcPr>
            <w:tcW w:w="222" w:type="pct"/>
            <w:tcBorders>
              <w:top w:val="doub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5F32B8">
            <w:pPr>
              <w:rPr>
                <w:rFonts w:ascii="Arial" w:hAnsi="Arial" w:cs="Arial"/>
                <w:sz w:val="13"/>
                <w:szCs w:val="13"/>
              </w:rPr>
            </w:pP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5F32B8">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5F32B8">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BE34F7" w:rsidRDefault="00BE34F7" w:rsidP="005F32B8">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5F32B8">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26</w:t>
            </w:r>
          </w:p>
        </w:tc>
        <w:tc>
          <w:tcPr>
            <w:tcW w:w="228" w:type="pct"/>
            <w:tcBorders>
              <w:top w:val="doub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31</w:t>
            </w:r>
          </w:p>
        </w:tc>
        <w:tc>
          <w:tcPr>
            <w:tcW w:w="229"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BE34F7" w:rsidRDefault="00BE34F7" w:rsidP="005F32B8">
            <w:pPr>
              <w:jc w:val="center"/>
              <w:rPr>
                <w:rFonts w:ascii="Arial" w:hAnsi="Arial" w:cs="Arial"/>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5F32B8">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BE34F7" w:rsidRDefault="00BE34F7" w:rsidP="005F32B8">
            <w:pPr>
              <w:jc w:val="both"/>
              <w:rPr>
                <w:rFonts w:ascii="Arial" w:hAnsi="Arial" w:cs="Arial"/>
                <w:sz w:val="13"/>
                <w:szCs w:val="13"/>
              </w:rPr>
            </w:pPr>
            <w:r>
              <w:rPr>
                <w:rFonts w:ascii="Arial" w:hAnsi="Arial" w:cs="Arial"/>
                <w:sz w:val="13"/>
                <w:szCs w:val="13"/>
              </w:rPr>
              <w:t xml:space="preserve"> 23 /</w:t>
            </w:r>
          </w:p>
          <w:p w:rsidR="00BE34F7" w:rsidRDefault="00BE34F7" w:rsidP="005F32B8">
            <w:pPr>
              <w:jc w:val="both"/>
              <w:rPr>
                <w:rFonts w:ascii="Arial" w:hAnsi="Arial" w:cs="Arial"/>
                <w:sz w:val="13"/>
                <w:szCs w:val="13"/>
              </w:rPr>
            </w:pPr>
            <w:r>
              <w:rPr>
                <w:rFonts w:ascii="Arial" w:hAnsi="Arial" w:cs="Arial"/>
                <w:sz w:val="13"/>
                <w:szCs w:val="13"/>
              </w:rPr>
              <w:t xml:space="preserve">       30</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24</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25</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26</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27</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28</w:t>
            </w:r>
          </w:p>
        </w:tc>
        <w:tc>
          <w:tcPr>
            <w:tcW w:w="224"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29</w:t>
            </w:r>
          </w:p>
        </w:tc>
      </w:tr>
      <w:tr w:rsidR="00BE34F7" w:rsidTr="005F32B8">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BE34F7" w:rsidRDefault="00BE34F7" w:rsidP="005F32B8">
            <w:pPr>
              <w:tabs>
                <w:tab w:val="center" w:pos="5220"/>
                <w:tab w:val="right" w:pos="10440"/>
              </w:tabs>
              <w:jc w:val="center"/>
              <w:rPr>
                <w:rFonts w:ascii="Arial" w:hAnsi="Arial" w:cs="Arial"/>
                <w:b/>
                <w:sz w:val="13"/>
                <w:szCs w:val="13"/>
              </w:rPr>
            </w:pPr>
            <w:r>
              <w:rPr>
                <w:rFonts w:ascii="Arial" w:hAnsi="Arial" w:cs="Arial"/>
                <w:b/>
                <w:sz w:val="13"/>
                <w:szCs w:val="13"/>
              </w:rPr>
              <w:t>JULY – JUILLET</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BE34F7" w:rsidRDefault="00BE34F7" w:rsidP="005F32B8">
            <w:pPr>
              <w:tabs>
                <w:tab w:val="center" w:pos="5220"/>
                <w:tab w:val="right" w:pos="10440"/>
              </w:tabs>
              <w:jc w:val="center"/>
              <w:rPr>
                <w:rFonts w:ascii="Arial" w:hAnsi="Arial" w:cs="Arial"/>
                <w:b/>
                <w:sz w:val="13"/>
                <w:szCs w:val="13"/>
              </w:rPr>
            </w:pPr>
          </w:p>
        </w:tc>
        <w:tc>
          <w:tcPr>
            <w:tcW w:w="1596"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BE34F7" w:rsidRDefault="00BE34F7" w:rsidP="005F32B8">
            <w:pPr>
              <w:tabs>
                <w:tab w:val="center" w:pos="5220"/>
                <w:tab w:val="right" w:pos="10440"/>
              </w:tabs>
              <w:jc w:val="center"/>
              <w:rPr>
                <w:rFonts w:ascii="Arial" w:hAnsi="Arial" w:cs="Arial"/>
                <w:b/>
                <w:sz w:val="13"/>
                <w:szCs w:val="13"/>
              </w:rPr>
            </w:pPr>
            <w:r>
              <w:rPr>
                <w:rFonts w:ascii="Arial" w:hAnsi="Arial" w:cs="Arial"/>
                <w:b/>
                <w:sz w:val="13"/>
                <w:szCs w:val="13"/>
              </w:rPr>
              <w:t>AUGUST – AOÛT</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BE34F7" w:rsidRDefault="00BE34F7" w:rsidP="005F32B8">
            <w:pPr>
              <w:tabs>
                <w:tab w:val="center" w:pos="5220"/>
                <w:tab w:val="right" w:pos="10440"/>
              </w:tabs>
              <w:jc w:val="center"/>
              <w:rPr>
                <w:rFonts w:ascii="Arial" w:hAnsi="Arial" w:cs="Arial"/>
                <w:b/>
                <w:sz w:val="13"/>
                <w:szCs w:val="13"/>
              </w:rPr>
            </w:pPr>
          </w:p>
        </w:tc>
        <w:tc>
          <w:tcPr>
            <w:tcW w:w="1568"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BE34F7" w:rsidRDefault="00BE34F7" w:rsidP="005F32B8">
            <w:pPr>
              <w:tabs>
                <w:tab w:val="center" w:pos="5220"/>
                <w:tab w:val="right" w:pos="10440"/>
              </w:tabs>
              <w:jc w:val="center"/>
              <w:rPr>
                <w:rFonts w:ascii="Arial" w:hAnsi="Arial" w:cs="Arial"/>
                <w:b/>
                <w:sz w:val="13"/>
                <w:szCs w:val="13"/>
              </w:rPr>
            </w:pPr>
            <w:r>
              <w:rPr>
                <w:rFonts w:ascii="Arial" w:hAnsi="Arial" w:cs="Arial"/>
                <w:b/>
                <w:sz w:val="13"/>
                <w:szCs w:val="13"/>
              </w:rPr>
              <w:t>SEPTEMBER – SEPTEMBRE</w:t>
            </w:r>
          </w:p>
        </w:tc>
      </w:tr>
      <w:tr w:rsidR="00BE34F7" w:rsidTr="005F32B8">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5F32B8">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5F32B8">
            <w:pPr>
              <w:tabs>
                <w:tab w:val="center" w:pos="5220"/>
                <w:tab w:val="right" w:pos="10440"/>
              </w:tabs>
              <w:jc w:val="center"/>
              <w:rPr>
                <w:rFonts w:ascii="Arial" w:hAnsi="Arial" w:cs="Arial"/>
                <w:b/>
                <w:sz w:val="16"/>
                <w:szCs w:val="16"/>
              </w:rPr>
            </w:pPr>
            <w:r>
              <w:rPr>
                <w:rFonts w:ascii="Arial" w:hAnsi="Arial" w:cs="Arial"/>
                <w:b/>
                <w:sz w:val="13"/>
                <w:szCs w:val="13"/>
              </w:rPr>
              <w:t>D</w:t>
            </w:r>
          </w:p>
        </w:tc>
        <w:tc>
          <w:tcPr>
            <w:tcW w:w="222"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BE34F7" w:rsidRDefault="00BE34F7" w:rsidP="005F32B8">
            <w:pPr>
              <w:tabs>
                <w:tab w:val="center" w:pos="5220"/>
                <w:tab w:val="right" w:pos="10440"/>
              </w:tabs>
              <w:jc w:val="center"/>
              <w:rPr>
                <w:rFonts w:ascii="Arial" w:hAnsi="Arial" w:cs="Arial"/>
                <w:b/>
                <w:sz w:val="13"/>
                <w:szCs w:val="13"/>
              </w:rPr>
            </w:pPr>
            <w:r>
              <w:rPr>
                <w:rFonts w:ascii="Arial" w:hAnsi="Arial" w:cs="Arial"/>
                <w:b/>
                <w:sz w:val="13"/>
                <w:szCs w:val="13"/>
              </w:rPr>
              <w:t>M</w:t>
            </w:r>
          </w:p>
          <w:p w:rsidR="00BE34F7" w:rsidRDefault="00BE34F7" w:rsidP="005F32B8">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5F32B8">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5F32B8">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BE34F7" w:rsidRDefault="00BE34F7" w:rsidP="005F32B8">
            <w:pPr>
              <w:tabs>
                <w:tab w:val="center" w:pos="5220"/>
                <w:tab w:val="right" w:pos="10440"/>
              </w:tabs>
              <w:jc w:val="center"/>
              <w:rPr>
                <w:rFonts w:ascii="Arial" w:hAnsi="Arial" w:cs="Arial"/>
                <w:b/>
                <w:sz w:val="13"/>
                <w:szCs w:val="13"/>
              </w:rPr>
            </w:pPr>
            <w:r>
              <w:rPr>
                <w:rFonts w:ascii="Arial" w:hAnsi="Arial" w:cs="Arial"/>
                <w:b/>
                <w:sz w:val="13"/>
                <w:szCs w:val="13"/>
              </w:rPr>
              <w:t>W</w:t>
            </w:r>
          </w:p>
          <w:p w:rsidR="00BE34F7" w:rsidRDefault="00BE34F7" w:rsidP="005F32B8">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5F32B8">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5F32B8">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5F32B8">
            <w:pPr>
              <w:tabs>
                <w:tab w:val="center" w:pos="5220"/>
                <w:tab w:val="right" w:pos="10440"/>
              </w:tabs>
              <w:jc w:val="center"/>
              <w:rPr>
                <w:rFonts w:ascii="Arial" w:hAnsi="Arial" w:cs="Arial"/>
                <w:b/>
                <w:sz w:val="13"/>
                <w:szCs w:val="13"/>
              </w:rPr>
            </w:pPr>
            <w:r>
              <w:rPr>
                <w:rFonts w:ascii="Arial" w:hAnsi="Arial" w:cs="Arial"/>
                <w:b/>
                <w:sz w:val="13"/>
                <w:szCs w:val="13"/>
              </w:rPr>
              <w:t>F</w:t>
            </w:r>
          </w:p>
          <w:p w:rsidR="00BE34F7" w:rsidRDefault="00BE34F7" w:rsidP="005F32B8">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6" w:type="pct"/>
            <w:tcBorders>
              <w:top w:val="double" w:sz="6" w:space="0" w:color="auto"/>
              <w:left w:val="single" w:sz="4" w:space="0" w:color="000000" w:themeColor="text1"/>
              <w:bottom w:val="single" w:sz="4" w:space="0" w:color="auto"/>
              <w:right w:val="double" w:sz="6" w:space="0" w:color="auto"/>
            </w:tcBorders>
            <w:tcMar>
              <w:top w:w="29" w:type="dxa"/>
              <w:left w:w="29" w:type="dxa"/>
              <w:bottom w:w="43" w:type="dxa"/>
              <w:right w:w="29" w:type="dxa"/>
            </w:tcMar>
            <w:vAlign w:val="center"/>
            <w:hideMark/>
          </w:tcPr>
          <w:p w:rsidR="00BE34F7" w:rsidRDefault="00BE34F7" w:rsidP="005F32B8">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5F32B8">
            <w:pPr>
              <w:tabs>
                <w:tab w:val="center" w:pos="5220"/>
                <w:tab w:val="right" w:pos="10440"/>
              </w:tabs>
              <w:jc w:val="center"/>
              <w:rPr>
                <w:rFonts w:ascii="Arial" w:hAnsi="Arial" w:cs="Arial"/>
                <w:b/>
                <w:sz w:val="13"/>
                <w:szCs w:val="13"/>
              </w:rPr>
            </w:pPr>
            <w:r>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BE34F7" w:rsidRDefault="00BE34F7" w:rsidP="005F32B8">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5F32B8">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5F32B8">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5F32B8">
            <w:pPr>
              <w:tabs>
                <w:tab w:val="center" w:pos="5220"/>
                <w:tab w:val="right" w:pos="10440"/>
              </w:tabs>
              <w:jc w:val="center"/>
              <w:rPr>
                <w:rFonts w:ascii="Arial" w:hAnsi="Arial" w:cs="Arial"/>
                <w:b/>
                <w:sz w:val="13"/>
                <w:szCs w:val="13"/>
              </w:rPr>
            </w:pPr>
            <w:r>
              <w:rPr>
                <w:rFonts w:ascii="Arial" w:hAnsi="Arial" w:cs="Arial"/>
                <w:b/>
                <w:sz w:val="13"/>
                <w:szCs w:val="13"/>
              </w:rPr>
              <w:t>M</w:t>
            </w:r>
          </w:p>
          <w:p w:rsidR="00BE34F7" w:rsidRDefault="00BE34F7" w:rsidP="005F32B8">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5F32B8">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5F32B8">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5F32B8">
            <w:pPr>
              <w:tabs>
                <w:tab w:val="center" w:pos="5220"/>
                <w:tab w:val="right" w:pos="10440"/>
              </w:tabs>
              <w:jc w:val="center"/>
              <w:rPr>
                <w:rFonts w:ascii="Arial" w:hAnsi="Arial" w:cs="Arial"/>
                <w:b/>
                <w:sz w:val="13"/>
                <w:szCs w:val="13"/>
              </w:rPr>
            </w:pPr>
            <w:r>
              <w:rPr>
                <w:rFonts w:ascii="Arial" w:hAnsi="Arial" w:cs="Arial"/>
                <w:b/>
                <w:sz w:val="13"/>
                <w:szCs w:val="13"/>
              </w:rPr>
              <w:t>W</w:t>
            </w:r>
          </w:p>
          <w:p w:rsidR="00BE34F7" w:rsidRDefault="00BE34F7" w:rsidP="005F32B8">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5F32B8">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5F32B8">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5F32B8">
            <w:pPr>
              <w:tabs>
                <w:tab w:val="center" w:pos="5220"/>
                <w:tab w:val="right" w:pos="10440"/>
              </w:tabs>
              <w:jc w:val="center"/>
              <w:rPr>
                <w:rFonts w:ascii="Arial" w:hAnsi="Arial" w:cs="Arial"/>
                <w:b/>
                <w:sz w:val="13"/>
                <w:szCs w:val="13"/>
              </w:rPr>
            </w:pPr>
            <w:r>
              <w:rPr>
                <w:rFonts w:ascii="Arial" w:hAnsi="Arial" w:cs="Arial"/>
                <w:b/>
                <w:sz w:val="13"/>
                <w:szCs w:val="13"/>
              </w:rPr>
              <w:t>F</w:t>
            </w:r>
          </w:p>
          <w:p w:rsidR="00BE34F7" w:rsidRDefault="00BE34F7" w:rsidP="005F32B8">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9"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BE34F7" w:rsidRDefault="00BE34F7" w:rsidP="005F32B8">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5F32B8">
            <w:pPr>
              <w:tabs>
                <w:tab w:val="center" w:pos="5220"/>
                <w:tab w:val="right" w:pos="10440"/>
              </w:tabs>
              <w:jc w:val="center"/>
              <w:rPr>
                <w:rFonts w:ascii="Arial" w:hAnsi="Arial" w:cs="Arial"/>
                <w:b/>
                <w:sz w:val="13"/>
                <w:szCs w:val="13"/>
              </w:rPr>
            </w:pPr>
            <w:r>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BE34F7" w:rsidRDefault="00BE34F7" w:rsidP="005F32B8">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5F32B8">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5F32B8">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4"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BE34F7" w:rsidRDefault="00BE34F7" w:rsidP="005F32B8">
            <w:pPr>
              <w:tabs>
                <w:tab w:val="center" w:pos="5220"/>
                <w:tab w:val="right" w:pos="10440"/>
              </w:tabs>
              <w:jc w:val="center"/>
              <w:rPr>
                <w:rFonts w:ascii="Arial" w:hAnsi="Arial" w:cs="Arial"/>
                <w:b/>
                <w:sz w:val="13"/>
                <w:szCs w:val="13"/>
              </w:rPr>
            </w:pPr>
            <w:r>
              <w:rPr>
                <w:rFonts w:ascii="Arial" w:hAnsi="Arial" w:cs="Arial"/>
                <w:b/>
                <w:sz w:val="13"/>
                <w:szCs w:val="13"/>
              </w:rPr>
              <w:t>M</w:t>
            </w:r>
          </w:p>
          <w:p w:rsidR="00BE34F7" w:rsidRDefault="00BE34F7" w:rsidP="005F32B8">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5F32B8">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5F32B8">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5F32B8">
            <w:pPr>
              <w:tabs>
                <w:tab w:val="center" w:pos="5220"/>
                <w:tab w:val="right" w:pos="10440"/>
              </w:tabs>
              <w:jc w:val="center"/>
              <w:rPr>
                <w:rFonts w:ascii="Arial" w:hAnsi="Arial" w:cs="Arial"/>
                <w:b/>
                <w:sz w:val="13"/>
                <w:szCs w:val="13"/>
              </w:rPr>
            </w:pPr>
            <w:r>
              <w:rPr>
                <w:rFonts w:ascii="Arial" w:hAnsi="Arial" w:cs="Arial"/>
                <w:b/>
                <w:sz w:val="13"/>
                <w:szCs w:val="13"/>
              </w:rPr>
              <w:t>W</w:t>
            </w:r>
          </w:p>
          <w:p w:rsidR="00BE34F7" w:rsidRDefault="00BE34F7" w:rsidP="005F32B8">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5F32B8">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5F32B8">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5F32B8">
            <w:pPr>
              <w:tabs>
                <w:tab w:val="center" w:pos="5220"/>
                <w:tab w:val="right" w:pos="10440"/>
              </w:tabs>
              <w:jc w:val="center"/>
              <w:rPr>
                <w:rFonts w:ascii="Arial" w:hAnsi="Arial" w:cs="Arial"/>
                <w:b/>
                <w:sz w:val="13"/>
                <w:szCs w:val="13"/>
              </w:rPr>
            </w:pPr>
            <w:r>
              <w:rPr>
                <w:rFonts w:ascii="Arial" w:hAnsi="Arial" w:cs="Arial"/>
                <w:b/>
                <w:sz w:val="13"/>
                <w:szCs w:val="13"/>
              </w:rPr>
              <w:t>F</w:t>
            </w:r>
          </w:p>
          <w:p w:rsidR="00BE34F7" w:rsidRDefault="00BE34F7" w:rsidP="005F32B8">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4"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BE34F7" w:rsidRDefault="00BE34F7" w:rsidP="005F32B8">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5F32B8">
            <w:pPr>
              <w:tabs>
                <w:tab w:val="center" w:pos="5220"/>
                <w:tab w:val="right" w:pos="10440"/>
              </w:tabs>
              <w:jc w:val="center"/>
              <w:rPr>
                <w:rFonts w:ascii="Arial" w:hAnsi="Arial" w:cs="Arial"/>
                <w:b/>
                <w:sz w:val="13"/>
                <w:szCs w:val="13"/>
              </w:rPr>
            </w:pPr>
            <w:r>
              <w:rPr>
                <w:rFonts w:ascii="Arial" w:hAnsi="Arial" w:cs="Arial"/>
                <w:b/>
                <w:sz w:val="13"/>
                <w:szCs w:val="13"/>
              </w:rPr>
              <w:t>S</w:t>
            </w:r>
          </w:p>
        </w:tc>
      </w:tr>
      <w:tr w:rsidR="00BE34F7" w:rsidTr="005F32B8">
        <w:trPr>
          <w:trHeight w:val="319"/>
        </w:trPr>
        <w:tc>
          <w:tcPr>
            <w:tcW w:w="222"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tcPr>
          <w:p w:rsidR="00BE34F7" w:rsidRDefault="00BE34F7" w:rsidP="005F32B8">
            <w:pPr>
              <w:jc w:val="center"/>
              <w:rPr>
                <w:rFonts w:ascii="Arial" w:hAnsi="Arial" w:cs="Arial"/>
                <w:sz w:val="13"/>
                <w:szCs w:val="13"/>
              </w:rPr>
            </w:pP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BE34F7" w:rsidRDefault="00BE34F7" w:rsidP="005F32B8">
            <w:pPr>
              <w:jc w:val="center"/>
              <w:rPr>
                <w:rFonts w:ascii="Arial" w:hAnsi="Arial" w:cs="Arial"/>
                <w:b/>
                <w:sz w:val="13"/>
                <w:szCs w:val="13"/>
              </w:rPr>
            </w:pPr>
            <w:r>
              <w:rPr>
                <w:rFonts w:ascii="Arial" w:hAnsi="Arial" w:cs="Arial"/>
                <w:b/>
                <w:sz w:val="13"/>
                <w:szCs w:val="13"/>
              </w:rPr>
              <w:t>H</w:t>
            </w:r>
          </w:p>
          <w:p w:rsidR="00BE34F7" w:rsidRDefault="00BE34F7" w:rsidP="005F32B8">
            <w:pPr>
              <w:jc w:val="center"/>
              <w:rPr>
                <w:rFonts w:ascii="Arial" w:hAnsi="Arial" w:cs="Arial"/>
                <w:sz w:val="13"/>
                <w:szCs w:val="13"/>
              </w:rPr>
            </w:pPr>
            <w:r>
              <w:rPr>
                <w:rFonts w:ascii="Arial" w:hAnsi="Arial" w:cs="Arial"/>
                <w:sz w:val="13"/>
                <w:szCs w:val="13"/>
              </w:rPr>
              <w:t>1</w:t>
            </w:r>
          </w:p>
        </w:tc>
        <w:tc>
          <w:tcPr>
            <w:tcW w:w="222" w:type="pct"/>
            <w:tcBorders>
              <w:top w:val="single" w:sz="4" w:space="0" w:color="000000" w:themeColor="text1"/>
              <w:left w:val="double" w:sz="4" w:space="0" w:color="auto"/>
              <w:bottom w:val="single" w:sz="4" w:space="0" w:color="000000" w:themeColor="text1"/>
              <w:right w:val="single" w:sz="4" w:space="0" w:color="auto"/>
            </w:tcBorders>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2</w:t>
            </w: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5</w:t>
            </w:r>
          </w:p>
        </w:tc>
        <w:tc>
          <w:tcPr>
            <w:tcW w:w="226" w:type="pct"/>
            <w:tcBorders>
              <w:top w:val="single" w:sz="4" w:space="0" w:color="auto"/>
              <w:left w:val="single" w:sz="4" w:space="0" w:color="auto"/>
              <w:bottom w:val="single" w:sz="4" w:space="0" w:color="auto"/>
              <w:right w:val="double" w:sz="6" w:space="0" w:color="auto"/>
            </w:tcBorders>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5F32B8">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5F32B8">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5F32B8">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5F32B8">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5F32B8">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2</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5F32B8">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1</w:t>
            </w:r>
          </w:p>
        </w:tc>
        <w:tc>
          <w:tcPr>
            <w:tcW w:w="224"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BE34F7" w:rsidRDefault="00BE34F7" w:rsidP="005F32B8">
            <w:pPr>
              <w:jc w:val="center"/>
              <w:rPr>
                <w:rFonts w:ascii="Arial" w:hAnsi="Arial" w:cs="Arial"/>
                <w:b/>
                <w:sz w:val="13"/>
                <w:szCs w:val="13"/>
              </w:rPr>
            </w:pPr>
            <w:r>
              <w:rPr>
                <w:rFonts w:ascii="Arial" w:hAnsi="Arial" w:cs="Arial"/>
                <w:b/>
                <w:sz w:val="13"/>
                <w:szCs w:val="13"/>
              </w:rPr>
              <w:t>H</w:t>
            </w:r>
          </w:p>
          <w:p w:rsidR="00BE34F7" w:rsidRDefault="00BE34F7" w:rsidP="005F32B8">
            <w:pPr>
              <w:jc w:val="center"/>
              <w:rPr>
                <w:rFonts w:ascii="Arial" w:hAnsi="Arial" w:cs="Arial"/>
                <w:b/>
                <w:sz w:val="13"/>
                <w:szCs w:val="13"/>
              </w:rPr>
            </w:pPr>
            <w:r>
              <w:rPr>
                <w:rFonts w:ascii="Arial" w:hAnsi="Arial" w:cs="Arial"/>
                <w:sz w:val="13"/>
                <w:szCs w:val="13"/>
              </w:rPr>
              <w:t>2</w:t>
            </w:r>
          </w:p>
        </w:tc>
        <w:tc>
          <w:tcPr>
            <w:tcW w:w="224"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6</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7</w:t>
            </w:r>
          </w:p>
        </w:tc>
      </w:tr>
      <w:tr w:rsidR="00BE34F7" w:rsidTr="005F32B8">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7</w:t>
            </w:r>
          </w:p>
        </w:tc>
        <w:tc>
          <w:tcPr>
            <w:tcW w:w="222" w:type="pct"/>
            <w:tcBorders>
              <w:top w:val="doub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11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12</w:t>
            </w:r>
          </w:p>
        </w:tc>
        <w:tc>
          <w:tcPr>
            <w:tcW w:w="226" w:type="pct"/>
            <w:tcBorders>
              <w:top w:val="single" w:sz="4"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13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5F32B8">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4</w:t>
            </w:r>
          </w:p>
        </w:tc>
        <w:tc>
          <w:tcPr>
            <w:tcW w:w="228"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BE34F7" w:rsidRDefault="00BE34F7" w:rsidP="005F32B8">
            <w:pPr>
              <w:jc w:val="center"/>
              <w:rPr>
                <w:rFonts w:ascii="Arial" w:hAnsi="Arial" w:cs="Arial"/>
                <w:b/>
                <w:sz w:val="13"/>
                <w:szCs w:val="13"/>
              </w:rPr>
            </w:pPr>
            <w:r>
              <w:rPr>
                <w:rFonts w:ascii="Arial" w:hAnsi="Arial" w:cs="Arial"/>
                <w:b/>
                <w:sz w:val="13"/>
                <w:szCs w:val="13"/>
              </w:rPr>
              <w:t>H</w:t>
            </w:r>
          </w:p>
          <w:p w:rsidR="00BE34F7" w:rsidRDefault="00BE34F7" w:rsidP="005F32B8">
            <w:pPr>
              <w:jc w:val="center"/>
              <w:rPr>
                <w:rFonts w:ascii="Arial" w:hAnsi="Arial" w:cs="Arial"/>
                <w:sz w:val="13"/>
                <w:szCs w:val="13"/>
              </w:rPr>
            </w:pPr>
            <w:r>
              <w:rPr>
                <w:rFonts w:ascii="Arial" w:hAnsi="Arial" w:cs="Arial"/>
                <w:sz w:val="13"/>
                <w:szCs w:val="13"/>
              </w:rPr>
              <w:t>5</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9</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10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5F32B8">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8</w:t>
            </w:r>
          </w:p>
        </w:tc>
        <w:tc>
          <w:tcPr>
            <w:tcW w:w="224" w:type="pct"/>
            <w:tcBorders>
              <w:top w:val="doub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14</w:t>
            </w:r>
          </w:p>
        </w:tc>
      </w:tr>
      <w:tr w:rsidR="00BE34F7" w:rsidTr="005F32B8">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19</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20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5F32B8">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11</w:t>
            </w:r>
          </w:p>
        </w:tc>
        <w:tc>
          <w:tcPr>
            <w:tcW w:w="228"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16</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17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5F32B8">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21</w:t>
            </w:r>
          </w:p>
        </w:tc>
      </w:tr>
      <w:tr w:rsidR="00BE34F7" w:rsidTr="005F32B8">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24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25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26</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27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5F32B8">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23</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24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5F32B8">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22</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25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26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27</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28</w:t>
            </w:r>
          </w:p>
        </w:tc>
      </w:tr>
      <w:tr w:rsidR="00BE34F7" w:rsidTr="005F32B8">
        <w:trPr>
          <w:trHeight w:val="375"/>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31</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5F32B8">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5F32B8">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BE34F7" w:rsidRDefault="00BE34F7" w:rsidP="005F32B8">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5F32B8">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30</w:t>
            </w:r>
          </w:p>
        </w:tc>
        <w:tc>
          <w:tcPr>
            <w:tcW w:w="229"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31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5F32B8">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double" w:sz="6" w:space="0" w:color="auto"/>
            </w:tcBorders>
            <w:tcMar>
              <w:top w:w="29" w:type="dxa"/>
              <w:left w:w="29" w:type="dxa"/>
              <w:bottom w:w="43" w:type="dxa"/>
              <w:right w:w="29" w:type="dxa"/>
            </w:tcMar>
            <w:vAlign w:val="bottom"/>
            <w:hideMark/>
          </w:tcPr>
          <w:p w:rsidR="00BE34F7" w:rsidRDefault="00BE34F7" w:rsidP="005F32B8">
            <w:pPr>
              <w:jc w:val="center"/>
              <w:rPr>
                <w:rFonts w:ascii="Arial" w:hAnsi="Arial" w:cs="Arial"/>
                <w:sz w:val="13"/>
                <w:szCs w:val="13"/>
              </w:rPr>
            </w:pPr>
            <w:r>
              <w:rPr>
                <w:rFonts w:ascii="Arial" w:hAnsi="Arial" w:cs="Arial"/>
                <w:sz w:val="13"/>
                <w:szCs w:val="13"/>
              </w:rPr>
              <w:t>29</w:t>
            </w:r>
          </w:p>
        </w:tc>
        <w:tc>
          <w:tcPr>
            <w:tcW w:w="224" w:type="pct"/>
            <w:tcBorders>
              <w:top w:val="double" w:sz="6" w:space="0" w:color="auto"/>
              <w:left w:val="double" w:sz="6" w:space="0" w:color="auto"/>
              <w:bottom w:val="double" w:sz="6" w:space="0" w:color="auto"/>
              <w:right w:val="double" w:sz="6" w:space="0" w:color="auto"/>
            </w:tcBorders>
            <w:tcMar>
              <w:top w:w="29" w:type="dxa"/>
              <w:left w:w="29" w:type="dxa"/>
              <w:bottom w:w="43" w:type="dxa"/>
              <w:right w:w="29" w:type="dxa"/>
            </w:tcMar>
            <w:vAlign w:val="bottom"/>
            <w:hideMark/>
          </w:tcPr>
          <w:p w:rsidR="00BE34F7" w:rsidRDefault="00BE34F7" w:rsidP="005F32B8">
            <w:pPr>
              <w:jc w:val="center"/>
              <w:rPr>
                <w:rFonts w:ascii="Arial" w:hAnsi="Arial" w:cs="Arial"/>
                <w:b/>
                <w:sz w:val="13"/>
                <w:szCs w:val="13"/>
              </w:rPr>
            </w:pPr>
            <w:r>
              <w:rPr>
                <w:rFonts w:ascii="Arial" w:hAnsi="Arial" w:cs="Arial"/>
                <w:b/>
                <w:sz w:val="13"/>
                <w:szCs w:val="13"/>
              </w:rPr>
              <w:t>RH</w:t>
            </w:r>
          </w:p>
          <w:p w:rsidR="00BE34F7" w:rsidRDefault="00BE34F7" w:rsidP="005F32B8">
            <w:pPr>
              <w:jc w:val="center"/>
              <w:rPr>
                <w:rFonts w:ascii="Arial" w:hAnsi="Arial" w:cs="Arial"/>
                <w:sz w:val="13"/>
                <w:szCs w:val="13"/>
              </w:rPr>
            </w:pPr>
            <w:r>
              <w:rPr>
                <w:rFonts w:ascii="Arial" w:hAnsi="Arial" w:cs="Arial"/>
                <w:sz w:val="13"/>
                <w:szCs w:val="13"/>
              </w:rPr>
              <w:t>30</w:t>
            </w: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BE34F7" w:rsidRDefault="00BE34F7" w:rsidP="005F32B8">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5F32B8">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5F32B8">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5F32B8">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BE34F7" w:rsidRDefault="00BE34F7" w:rsidP="005F32B8">
            <w:pPr>
              <w:jc w:val="center"/>
              <w:rPr>
                <w:rFonts w:ascii="Arial" w:hAnsi="Arial" w:cs="Arial"/>
                <w:sz w:val="13"/>
                <w:szCs w:val="13"/>
              </w:rPr>
            </w:pPr>
          </w:p>
        </w:tc>
      </w:tr>
    </w:tbl>
    <w:p w:rsidR="00BE34F7" w:rsidRDefault="00BE34F7" w:rsidP="00BE34F7">
      <w:pPr>
        <w:tabs>
          <w:tab w:val="center" w:pos="5220"/>
          <w:tab w:val="right" w:pos="10440"/>
        </w:tabs>
        <w:rPr>
          <w:rFonts w:ascii="Arial" w:hAnsi="Arial" w:cs="Arial"/>
          <w:sz w:val="14"/>
          <w:szCs w:val="14"/>
          <w:lang w:val="fr-CA"/>
        </w:rPr>
      </w:pPr>
    </w:p>
    <w:tbl>
      <w:tblPr>
        <w:tblStyle w:val="TableGrid"/>
        <w:tblW w:w="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82"/>
        <w:gridCol w:w="450"/>
        <w:gridCol w:w="3580"/>
        <w:gridCol w:w="4140"/>
        <w:gridCol w:w="720"/>
      </w:tblGrid>
      <w:tr w:rsidR="00BE34F7" w:rsidTr="005F32B8">
        <w:tc>
          <w:tcPr>
            <w:tcW w:w="1782" w:type="dxa"/>
            <w:tcBorders>
              <w:top w:val="nil"/>
              <w:left w:val="nil"/>
              <w:bottom w:val="nil"/>
              <w:right w:val="single" w:sz="4" w:space="0" w:color="000000" w:themeColor="text1"/>
            </w:tcBorders>
            <w:vAlign w:val="center"/>
            <w:hideMark/>
          </w:tcPr>
          <w:p w:rsidR="00BE34F7" w:rsidRDefault="00BE34F7" w:rsidP="005F32B8">
            <w:pPr>
              <w:rPr>
                <w:rFonts w:ascii="Arial" w:hAnsi="Arial" w:cs="Arial"/>
                <w:b/>
                <w:sz w:val="14"/>
                <w:szCs w:val="14"/>
              </w:rPr>
            </w:pPr>
            <w:r>
              <w:rPr>
                <w:rFonts w:ascii="Arial" w:hAnsi="Arial" w:cs="Arial"/>
                <w:b/>
                <w:sz w:val="14"/>
                <w:szCs w:val="14"/>
              </w:rPr>
              <w:t>Sitting of the Court /</w:t>
            </w:r>
          </w:p>
          <w:p w:rsidR="00BE34F7" w:rsidRDefault="00BE34F7" w:rsidP="005F32B8">
            <w:pPr>
              <w:rPr>
                <w:rFonts w:ascii="Arial" w:hAnsi="Arial" w:cs="Arial"/>
                <w:b/>
                <w:sz w:val="14"/>
                <w:szCs w:val="14"/>
              </w:rPr>
            </w:pPr>
            <w:r>
              <w:rPr>
                <w:rFonts w:ascii="Arial" w:hAnsi="Arial" w:cs="Arial"/>
                <w:b/>
                <w:sz w:val="14"/>
                <w:szCs w:val="14"/>
              </w:rPr>
              <w:t>Séance de la Cour</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BE34F7" w:rsidRDefault="00BE34F7" w:rsidP="005F32B8">
            <w:pPr>
              <w:jc w:val="center"/>
              <w:rPr>
                <w:rFonts w:ascii="Arial" w:hAnsi="Arial" w:cs="Arial"/>
                <w:b/>
                <w:sz w:val="14"/>
                <w:szCs w:val="14"/>
              </w:rPr>
            </w:pPr>
          </w:p>
        </w:tc>
        <w:tc>
          <w:tcPr>
            <w:tcW w:w="3580" w:type="dxa"/>
            <w:tcBorders>
              <w:top w:val="nil"/>
              <w:left w:val="single" w:sz="4" w:space="0" w:color="000000" w:themeColor="text1"/>
              <w:bottom w:val="nil"/>
              <w:right w:val="nil"/>
            </w:tcBorders>
            <w:hideMark/>
          </w:tcPr>
          <w:p w:rsidR="00BE34F7" w:rsidRDefault="00BE34F7" w:rsidP="005F32B8">
            <w:pPr>
              <w:tabs>
                <w:tab w:val="left" w:pos="203"/>
              </w:tabs>
              <w:spacing w:after="120"/>
              <w:rPr>
                <w:rFonts w:ascii="Arial" w:hAnsi="Arial" w:cs="Arial"/>
                <w:b/>
                <w:sz w:val="14"/>
                <w:szCs w:val="14"/>
                <w:lang w:val="fr-CA"/>
              </w:rPr>
            </w:pPr>
            <w:r>
              <w:rPr>
                <w:rFonts w:ascii="Arial" w:hAnsi="Arial" w:cs="Arial"/>
                <w:b/>
                <w:sz w:val="14"/>
                <w:szCs w:val="14"/>
                <w:lang w:val="fr-CA"/>
              </w:rPr>
              <w:t>18</w:t>
            </w:r>
            <w:r>
              <w:rPr>
                <w:rFonts w:ascii="Arial" w:hAnsi="Arial" w:cs="Arial"/>
                <w:b/>
                <w:sz w:val="14"/>
                <w:szCs w:val="14"/>
                <w:lang w:val="fr-CA"/>
              </w:rPr>
              <w:tab/>
              <w:t xml:space="preserve"> sitting weeks / semaines séances de la Cour</w:t>
            </w:r>
          </w:p>
          <w:p w:rsidR="00BE34F7" w:rsidRDefault="00BE34F7" w:rsidP="005F32B8">
            <w:pPr>
              <w:tabs>
                <w:tab w:val="left" w:pos="203"/>
              </w:tabs>
              <w:rPr>
                <w:rFonts w:ascii="Arial" w:hAnsi="Arial" w:cs="Arial"/>
                <w:b/>
                <w:sz w:val="14"/>
                <w:szCs w:val="14"/>
                <w:lang w:val="fr-CA"/>
              </w:rPr>
            </w:pPr>
            <w:r>
              <w:rPr>
                <w:rFonts w:ascii="Arial" w:hAnsi="Arial" w:cs="Arial"/>
                <w:b/>
                <w:sz w:val="14"/>
                <w:szCs w:val="14"/>
                <w:lang w:val="fr-CA"/>
              </w:rPr>
              <w:t>85  sitting days / journées séances de la Cour</w:t>
            </w:r>
          </w:p>
        </w:tc>
        <w:tc>
          <w:tcPr>
            <w:tcW w:w="4140" w:type="dxa"/>
            <w:tcMar>
              <w:top w:w="0" w:type="dxa"/>
              <w:left w:w="58" w:type="dxa"/>
              <w:bottom w:w="0" w:type="dxa"/>
              <w:right w:w="58" w:type="dxa"/>
            </w:tcMar>
            <w:hideMark/>
          </w:tcPr>
          <w:p w:rsidR="00BE34F7" w:rsidRDefault="00BE34F7" w:rsidP="005F32B8">
            <w:pPr>
              <w:spacing w:after="120"/>
              <w:rPr>
                <w:rFonts w:ascii="Arial" w:hAnsi="Arial" w:cs="Arial"/>
                <w:b/>
                <w:sz w:val="14"/>
                <w:szCs w:val="14"/>
              </w:rPr>
            </w:pPr>
            <w:r>
              <w:rPr>
                <w:rFonts w:ascii="Arial" w:hAnsi="Arial" w:cs="Arial"/>
                <w:b/>
                <w:sz w:val="14"/>
                <w:szCs w:val="14"/>
              </w:rPr>
              <w:t>Rosh Hashanah / Nouvel An juif (2019-09-30 &amp; 2019-10-01)</w:t>
            </w:r>
          </w:p>
          <w:p w:rsidR="00BE34F7" w:rsidRDefault="00BE34F7" w:rsidP="005F32B8">
            <w:pPr>
              <w:rPr>
                <w:rFonts w:ascii="Arial" w:hAnsi="Arial" w:cs="Arial"/>
                <w:b/>
                <w:sz w:val="14"/>
                <w:szCs w:val="14"/>
                <w:lang w:val="fr-CA"/>
              </w:rPr>
            </w:pPr>
            <w:r>
              <w:rPr>
                <w:rFonts w:ascii="Arial" w:hAnsi="Arial" w:cs="Arial"/>
                <w:b/>
                <w:sz w:val="14"/>
                <w:szCs w:val="14"/>
              </w:rPr>
              <w:t>Yom Kippur / Yom Kippour (2019-10-09)</w:t>
            </w:r>
          </w:p>
        </w:tc>
        <w:tc>
          <w:tcPr>
            <w:tcW w:w="720" w:type="dxa"/>
            <w:hideMark/>
          </w:tcPr>
          <w:p w:rsidR="00BE34F7" w:rsidRDefault="00BE34F7" w:rsidP="005F32B8">
            <w:pPr>
              <w:spacing w:after="120"/>
              <w:jc w:val="center"/>
              <w:rPr>
                <w:rFonts w:ascii="Arial" w:hAnsi="Arial" w:cs="Arial"/>
                <w:b/>
                <w:sz w:val="14"/>
                <w:szCs w:val="14"/>
                <w:lang w:val="fr-CA"/>
              </w:rPr>
            </w:pPr>
            <w:r>
              <w:rPr>
                <w:rFonts w:ascii="Arial" w:hAnsi="Arial" w:cs="Arial"/>
                <w:b/>
                <w:sz w:val="14"/>
                <w:szCs w:val="14"/>
                <w:lang w:val="fr-CA"/>
              </w:rPr>
              <w:t>RH</w:t>
            </w:r>
          </w:p>
          <w:p w:rsidR="00BE34F7" w:rsidRDefault="00BE34F7" w:rsidP="005F32B8">
            <w:pPr>
              <w:jc w:val="center"/>
              <w:rPr>
                <w:rFonts w:ascii="Arial" w:hAnsi="Arial" w:cs="Arial"/>
                <w:b/>
                <w:sz w:val="14"/>
                <w:szCs w:val="14"/>
                <w:lang w:val="fr-CA"/>
              </w:rPr>
            </w:pPr>
            <w:r>
              <w:rPr>
                <w:rFonts w:ascii="Arial" w:hAnsi="Arial" w:cs="Arial"/>
                <w:b/>
                <w:sz w:val="14"/>
                <w:szCs w:val="14"/>
                <w:lang w:val="fr-CA"/>
              </w:rPr>
              <w:t>YK</w:t>
            </w:r>
          </w:p>
        </w:tc>
      </w:tr>
      <w:tr w:rsidR="00BE34F7" w:rsidRPr="00CC0B55" w:rsidTr="005F32B8">
        <w:tc>
          <w:tcPr>
            <w:tcW w:w="1782" w:type="dxa"/>
            <w:tcBorders>
              <w:top w:val="nil"/>
              <w:left w:val="nil"/>
              <w:bottom w:val="nil"/>
              <w:right w:val="double" w:sz="4" w:space="0" w:color="auto"/>
            </w:tcBorders>
            <w:vAlign w:val="center"/>
            <w:hideMark/>
          </w:tcPr>
          <w:p w:rsidR="00BE34F7" w:rsidRDefault="00BE34F7" w:rsidP="005F32B8">
            <w:pPr>
              <w:spacing w:before="60"/>
              <w:rPr>
                <w:rFonts w:ascii="Arial" w:hAnsi="Arial" w:cs="Arial"/>
                <w:b/>
                <w:sz w:val="14"/>
                <w:szCs w:val="14"/>
                <w:lang w:val="fr-CA"/>
              </w:rPr>
            </w:pPr>
            <w:r>
              <w:rPr>
                <w:rFonts w:ascii="Arial" w:hAnsi="Arial" w:cs="Arial"/>
                <w:b/>
                <w:sz w:val="14"/>
                <w:szCs w:val="14"/>
                <w:lang w:val="fr-CA"/>
              </w:rPr>
              <w:t>Court conference /</w:t>
            </w:r>
          </w:p>
          <w:p w:rsidR="00BE34F7" w:rsidRDefault="00BE34F7" w:rsidP="005F32B8">
            <w:pPr>
              <w:rPr>
                <w:rFonts w:ascii="Arial" w:hAnsi="Arial" w:cs="Arial"/>
                <w:b/>
                <w:sz w:val="14"/>
                <w:szCs w:val="14"/>
                <w:lang w:val="fr-CA"/>
              </w:rPr>
            </w:pPr>
            <w:r>
              <w:rPr>
                <w:rFonts w:ascii="Arial" w:hAnsi="Arial" w:cs="Arial"/>
                <w:b/>
                <w:sz w:val="14"/>
                <w:szCs w:val="14"/>
                <w:lang w:val="fr-CA"/>
              </w:rPr>
              <w:t>Conférence de la Cour</w:t>
            </w:r>
          </w:p>
        </w:tc>
        <w:tc>
          <w:tcPr>
            <w:tcW w:w="450"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hideMark/>
          </w:tcPr>
          <w:p w:rsidR="00BE34F7" w:rsidRDefault="00BE34F7" w:rsidP="005F32B8">
            <w:pPr>
              <w:jc w:val="center"/>
              <w:rPr>
                <w:rFonts w:ascii="Arial" w:hAnsi="Arial" w:cs="Arial"/>
                <w:b/>
                <w:sz w:val="14"/>
                <w:szCs w:val="14"/>
              </w:rPr>
            </w:pPr>
            <w:r>
              <w:rPr>
                <w:rFonts w:ascii="Arial" w:hAnsi="Arial" w:cs="Arial"/>
                <w:b/>
                <w:sz w:val="14"/>
                <w:szCs w:val="14"/>
              </w:rPr>
              <w:t>CC</w:t>
            </w:r>
          </w:p>
        </w:tc>
        <w:tc>
          <w:tcPr>
            <w:tcW w:w="3580" w:type="dxa"/>
            <w:tcBorders>
              <w:top w:val="nil"/>
              <w:left w:val="double" w:sz="4" w:space="0" w:color="auto"/>
              <w:bottom w:val="nil"/>
              <w:right w:val="nil"/>
            </w:tcBorders>
            <w:hideMark/>
          </w:tcPr>
          <w:p w:rsidR="00BE34F7" w:rsidRDefault="00BE34F7" w:rsidP="005F32B8">
            <w:pPr>
              <w:tabs>
                <w:tab w:val="left" w:pos="203"/>
              </w:tabs>
              <w:spacing w:before="120"/>
              <w:rPr>
                <w:rFonts w:ascii="Arial" w:hAnsi="Arial" w:cs="Arial"/>
                <w:b/>
                <w:sz w:val="14"/>
                <w:szCs w:val="14"/>
                <w:lang w:val="fr-CA"/>
              </w:rPr>
            </w:pPr>
            <w:r>
              <w:rPr>
                <w:rFonts w:ascii="Arial" w:hAnsi="Arial" w:cs="Arial"/>
                <w:b/>
                <w:sz w:val="14"/>
                <w:szCs w:val="14"/>
                <w:lang w:val="fr-CA"/>
              </w:rPr>
              <w:t>9</w:t>
            </w:r>
            <w:r>
              <w:rPr>
                <w:rFonts w:ascii="Arial" w:hAnsi="Arial" w:cs="Arial"/>
                <w:b/>
                <w:sz w:val="14"/>
                <w:szCs w:val="14"/>
                <w:lang w:val="fr-CA"/>
              </w:rPr>
              <w:tab/>
              <w:t>Court conference days /</w:t>
            </w:r>
          </w:p>
          <w:p w:rsidR="00BE34F7" w:rsidRDefault="00BE34F7" w:rsidP="005F32B8">
            <w:pPr>
              <w:tabs>
                <w:tab w:val="left" w:pos="203"/>
              </w:tabs>
              <w:rPr>
                <w:rFonts w:ascii="Arial" w:hAnsi="Arial" w:cs="Arial"/>
                <w:b/>
                <w:sz w:val="14"/>
                <w:szCs w:val="14"/>
                <w:lang w:val="fr-CA"/>
              </w:rPr>
            </w:pPr>
            <w:r>
              <w:rPr>
                <w:rFonts w:ascii="Arial" w:hAnsi="Arial" w:cs="Arial"/>
                <w:b/>
                <w:sz w:val="14"/>
                <w:szCs w:val="14"/>
                <w:lang w:val="fr-CA"/>
              </w:rPr>
              <w:tab/>
              <w:t>jours de conférence de la Cour</w:t>
            </w:r>
          </w:p>
        </w:tc>
        <w:tc>
          <w:tcPr>
            <w:tcW w:w="4140" w:type="dxa"/>
            <w:tcMar>
              <w:top w:w="0" w:type="dxa"/>
              <w:left w:w="58" w:type="dxa"/>
              <w:bottom w:w="0" w:type="dxa"/>
              <w:right w:w="58" w:type="dxa"/>
            </w:tcMar>
          </w:tcPr>
          <w:p w:rsidR="00BE34F7" w:rsidRDefault="00BE34F7" w:rsidP="005F32B8">
            <w:pPr>
              <w:rPr>
                <w:rFonts w:ascii="Arial" w:hAnsi="Arial" w:cs="Arial"/>
                <w:b/>
                <w:sz w:val="14"/>
                <w:szCs w:val="14"/>
                <w:lang w:val="fr-FR"/>
              </w:rPr>
            </w:pPr>
          </w:p>
        </w:tc>
        <w:tc>
          <w:tcPr>
            <w:tcW w:w="720" w:type="dxa"/>
          </w:tcPr>
          <w:p w:rsidR="00BE34F7" w:rsidRDefault="00BE34F7" w:rsidP="005F32B8">
            <w:pPr>
              <w:jc w:val="center"/>
              <w:rPr>
                <w:rFonts w:ascii="Arial" w:hAnsi="Arial" w:cs="Arial"/>
                <w:b/>
                <w:sz w:val="14"/>
                <w:szCs w:val="14"/>
                <w:lang w:val="fr-FR"/>
              </w:rPr>
            </w:pPr>
          </w:p>
        </w:tc>
      </w:tr>
      <w:tr w:rsidR="00BE34F7" w:rsidTr="005F32B8">
        <w:trPr>
          <w:trHeight w:val="528"/>
        </w:trPr>
        <w:tc>
          <w:tcPr>
            <w:tcW w:w="1782" w:type="dxa"/>
            <w:tcBorders>
              <w:top w:val="nil"/>
              <w:left w:val="nil"/>
              <w:bottom w:val="nil"/>
              <w:right w:val="double" w:sz="4" w:space="0" w:color="auto"/>
            </w:tcBorders>
            <w:vAlign w:val="center"/>
            <w:hideMark/>
          </w:tcPr>
          <w:p w:rsidR="00BE34F7" w:rsidRDefault="00BE34F7" w:rsidP="005F32B8">
            <w:pPr>
              <w:rPr>
                <w:rFonts w:ascii="Arial" w:hAnsi="Arial" w:cs="Arial"/>
                <w:b/>
                <w:sz w:val="14"/>
                <w:szCs w:val="14"/>
              </w:rPr>
            </w:pPr>
            <w:r>
              <w:rPr>
                <w:rFonts w:ascii="Arial" w:hAnsi="Arial" w:cs="Arial"/>
                <w:b/>
                <w:sz w:val="14"/>
                <w:szCs w:val="14"/>
              </w:rPr>
              <w:t xml:space="preserve">Holiday / </w:t>
            </w:r>
            <w:r>
              <w:rPr>
                <w:rFonts w:ascii="Arial" w:hAnsi="Arial" w:cs="Arial"/>
                <w:b/>
                <w:sz w:val="14"/>
                <w:szCs w:val="14"/>
                <w:lang w:val="fr-CA"/>
              </w:rPr>
              <w:t>Jour férié</w:t>
            </w:r>
          </w:p>
        </w:tc>
        <w:tc>
          <w:tcPr>
            <w:tcW w:w="450" w:type="dxa"/>
            <w:tcBorders>
              <w:top w:val="double" w:sz="4" w:space="0" w:color="auto"/>
              <w:left w:val="double" w:sz="4" w:space="0" w:color="auto"/>
              <w:bottom w:val="double" w:sz="4" w:space="0" w:color="auto"/>
              <w:right w:val="double" w:sz="4" w:space="0" w:color="auto"/>
            </w:tcBorders>
            <w:vAlign w:val="center"/>
            <w:hideMark/>
          </w:tcPr>
          <w:p w:rsidR="00BE34F7" w:rsidRDefault="00BE34F7" w:rsidP="005F32B8">
            <w:pPr>
              <w:jc w:val="center"/>
              <w:rPr>
                <w:rFonts w:ascii="Arial" w:hAnsi="Arial" w:cs="Arial"/>
                <w:b/>
                <w:sz w:val="14"/>
                <w:szCs w:val="14"/>
              </w:rPr>
            </w:pPr>
            <w:r>
              <w:rPr>
                <w:rFonts w:ascii="Arial" w:hAnsi="Arial" w:cs="Arial"/>
                <w:b/>
                <w:sz w:val="14"/>
                <w:szCs w:val="14"/>
              </w:rPr>
              <w:t>H</w:t>
            </w:r>
          </w:p>
        </w:tc>
        <w:tc>
          <w:tcPr>
            <w:tcW w:w="3580" w:type="dxa"/>
            <w:tcBorders>
              <w:top w:val="nil"/>
              <w:left w:val="double" w:sz="4" w:space="0" w:color="auto"/>
              <w:bottom w:val="nil"/>
              <w:right w:val="nil"/>
            </w:tcBorders>
            <w:hideMark/>
          </w:tcPr>
          <w:p w:rsidR="00BE34F7" w:rsidRDefault="00BE34F7" w:rsidP="005F32B8">
            <w:pPr>
              <w:tabs>
                <w:tab w:val="left" w:pos="203"/>
              </w:tabs>
              <w:spacing w:before="120"/>
              <w:rPr>
                <w:rFonts w:ascii="Arial" w:hAnsi="Arial" w:cs="Arial"/>
                <w:b/>
                <w:sz w:val="14"/>
                <w:szCs w:val="14"/>
                <w:lang w:val="fr-CA"/>
              </w:rPr>
            </w:pPr>
            <w:r>
              <w:rPr>
                <w:rFonts w:ascii="Arial" w:hAnsi="Arial" w:cs="Arial"/>
                <w:b/>
                <w:sz w:val="14"/>
                <w:szCs w:val="14"/>
                <w:lang w:val="fr-FR"/>
              </w:rPr>
              <w:t>5</w:t>
            </w:r>
            <w:r>
              <w:rPr>
                <w:rFonts w:ascii="Arial" w:hAnsi="Arial" w:cs="Arial"/>
                <w:b/>
                <w:sz w:val="14"/>
                <w:szCs w:val="14"/>
                <w:lang w:val="fr-FR"/>
              </w:rPr>
              <w:tab/>
              <w:t xml:space="preserve">holidays during sitting days / </w:t>
            </w:r>
          </w:p>
          <w:p w:rsidR="00BE34F7" w:rsidRDefault="00BE34F7" w:rsidP="005F32B8">
            <w:pPr>
              <w:tabs>
                <w:tab w:val="left" w:pos="203"/>
              </w:tabs>
              <w:rPr>
                <w:rFonts w:ascii="Arial" w:hAnsi="Arial" w:cs="Arial"/>
                <w:b/>
                <w:sz w:val="14"/>
                <w:szCs w:val="14"/>
                <w:lang w:val="fr-CA"/>
              </w:rPr>
            </w:pPr>
            <w:r>
              <w:rPr>
                <w:rFonts w:ascii="Arial" w:hAnsi="Arial" w:cs="Arial"/>
                <w:b/>
                <w:sz w:val="14"/>
                <w:szCs w:val="14"/>
                <w:lang w:val="fr-CA"/>
              </w:rPr>
              <w:tab/>
              <w:t>jours fériés durant les séances</w:t>
            </w:r>
          </w:p>
        </w:tc>
        <w:tc>
          <w:tcPr>
            <w:tcW w:w="4140" w:type="dxa"/>
            <w:tcMar>
              <w:top w:w="0" w:type="dxa"/>
              <w:left w:w="58" w:type="dxa"/>
              <w:bottom w:w="0" w:type="dxa"/>
              <w:right w:w="58" w:type="dxa"/>
            </w:tcMar>
          </w:tcPr>
          <w:p w:rsidR="00BE34F7" w:rsidRDefault="00BE34F7" w:rsidP="005F32B8">
            <w:pPr>
              <w:rPr>
                <w:rFonts w:ascii="Arial" w:hAnsi="Arial" w:cs="Arial"/>
                <w:b/>
                <w:sz w:val="14"/>
                <w:szCs w:val="14"/>
                <w:lang w:val="fr-FR"/>
              </w:rPr>
            </w:pPr>
          </w:p>
        </w:tc>
        <w:tc>
          <w:tcPr>
            <w:tcW w:w="720" w:type="dxa"/>
          </w:tcPr>
          <w:p w:rsidR="00BE34F7" w:rsidRDefault="00BE34F7" w:rsidP="005F32B8">
            <w:pPr>
              <w:jc w:val="center"/>
              <w:rPr>
                <w:rFonts w:ascii="Arial" w:hAnsi="Arial" w:cs="Arial"/>
                <w:b/>
                <w:sz w:val="14"/>
                <w:szCs w:val="14"/>
                <w:lang w:val="fr-FR"/>
              </w:rPr>
            </w:pPr>
          </w:p>
        </w:tc>
      </w:tr>
    </w:tbl>
    <w:p w:rsidR="002410B8" w:rsidRPr="0022323B" w:rsidRDefault="002410B8" w:rsidP="00BE34F7">
      <w:pPr>
        <w:tabs>
          <w:tab w:val="center" w:pos="5220"/>
          <w:tab w:val="right" w:pos="10800"/>
        </w:tabs>
        <w:rPr>
          <w:lang w:val="fr-CA"/>
        </w:rPr>
      </w:pPr>
    </w:p>
    <w:sectPr w:rsidR="002410B8" w:rsidRPr="0022323B" w:rsidSect="003008F5">
      <w:headerReference w:type="default" r:id="rId168"/>
      <w:footerReference w:type="default" r:id="rId169"/>
      <w:pgSz w:w="12240" w:h="15840" w:code="1"/>
      <w:pgMar w:top="720" w:right="720" w:bottom="99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32B8" w:rsidRDefault="005F32B8" w:rsidP="00A87207">
      <w:r>
        <w:separator/>
      </w:r>
    </w:p>
  </w:endnote>
  <w:endnote w:type="continuationSeparator" w:id="0">
    <w:p w:rsidR="005F32B8" w:rsidRDefault="005F32B8"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G Times (W1)">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2B8" w:rsidRDefault="00A24D5C" w:rsidP="00A87207">
    <w:pPr>
      <w:pStyle w:val="Footer"/>
    </w:pPr>
    <w:r>
      <w:pict>
        <v:rect id="_x0000_i1027" style="width:480.95pt;height:1pt" o:hralign="center" o:hrstd="t" o:hrnoshade="t" o:hr="t" fillcolor="black [3213]" stroked="f"/>
      </w:pict>
    </w:r>
  </w:p>
  <w:p w:rsidR="005F32B8" w:rsidRPr="00B7374B" w:rsidRDefault="005F32B8"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501</w:t>
    </w:r>
    <w:r w:rsidRPr="00954D22">
      <w:rPr>
        <w:szCs w:val="24"/>
      </w:rPr>
      <w:fldChar w:fldCharType="end"/>
    </w:r>
    <w:r w:rsidRPr="00954D22">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2B8" w:rsidRDefault="00A24D5C" w:rsidP="00EB2B90">
    <w:pPr>
      <w:tabs>
        <w:tab w:val="center" w:pos="4680"/>
      </w:tabs>
    </w:pPr>
    <w:r>
      <w:pict>
        <v:rect id="_x0000_i1069" style="width:480.95pt;height:1pt" o:hralign="center" o:hrstd="t" o:hrnoshade="t" o:hr="t" fillcolor="black [3213]" stroked="f"/>
      </w:pict>
    </w:r>
  </w:p>
  <w:p w:rsidR="005F32B8" w:rsidRPr="0031432F" w:rsidRDefault="005F32B8" w:rsidP="00EB2B90">
    <w:pPr>
      <w:tabs>
        <w:tab w:val="center" w:pos="4680"/>
      </w:tabs>
    </w:pPr>
    <w:r>
      <w:tab/>
      <w:t xml:space="preserve">- </w:t>
    </w:r>
    <w:r>
      <w:fldChar w:fldCharType="begin"/>
    </w:r>
    <w:r>
      <w:instrText xml:space="preserve"> PAGE   \* MERGEFORMAT </w:instrText>
    </w:r>
    <w:r>
      <w:fldChar w:fldCharType="separate"/>
    </w:r>
    <w:r w:rsidR="00A24D5C">
      <w:rPr>
        <w:noProof/>
      </w:rPr>
      <w:t>57</w:t>
    </w:r>
    <w:r>
      <w:rPr>
        <w:noProof/>
      </w:rPr>
      <w:fldChar w:fldCharType="end"/>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2B8" w:rsidRDefault="005F32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5F32B8" w:rsidRDefault="005F32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5F32B8" w:rsidRDefault="005F32B8">
    <w:pPr>
      <w:tabs>
        <w:tab w:val="center" w:pos="4740"/>
      </w:tabs>
    </w:pPr>
    <w:r>
      <w:tab/>
      <w:t xml:space="preserve">- </w:t>
    </w:r>
    <w:r>
      <w:pgNum/>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2B8" w:rsidRDefault="00A24D5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71" style="width:480.95pt;height:1pt" o:hralign="center" o:hrstd="t" o:hrnoshade="t" o:hr="t" fillcolor="black [3213]" stroked="f"/>
      </w:pict>
    </w:r>
  </w:p>
  <w:p w:rsidR="005F32B8" w:rsidRDefault="005F32B8" w:rsidP="00EB2B90">
    <w:pPr>
      <w:tabs>
        <w:tab w:val="center" w:pos="4770"/>
      </w:tabs>
    </w:pPr>
    <w:r>
      <w:tab/>
      <w:t xml:space="preserve">- </w:t>
    </w:r>
    <w:r>
      <w:fldChar w:fldCharType="begin"/>
    </w:r>
    <w:r>
      <w:instrText xml:space="preserve"> PAGE   \* MERGEFORMAT </w:instrText>
    </w:r>
    <w:r>
      <w:fldChar w:fldCharType="separate"/>
    </w:r>
    <w:r w:rsidR="00A24D5C">
      <w:rPr>
        <w:noProof/>
      </w:rPr>
      <w:t>63</w:t>
    </w:r>
    <w:r>
      <w:rPr>
        <w:noProof/>
      </w:rPr>
      <w:fldChar w:fldCharType="end"/>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2B8" w:rsidRDefault="00A24D5C" w:rsidP="00EB2B90">
    <w:pPr>
      <w:tabs>
        <w:tab w:val="center" w:pos="4770"/>
      </w:tabs>
    </w:pPr>
    <w:r>
      <w:pict>
        <v:rect id="_x0000_i1072" style="width:480.95pt;height:1pt" o:hralign="center" o:hrstd="t" o:hrnoshade="t" o:hr="t" fillcolor="black [3213]" stroked="f"/>
      </w:pict>
    </w:r>
  </w:p>
  <w:p w:rsidR="005F32B8" w:rsidRPr="00041AAB" w:rsidRDefault="005F32B8" w:rsidP="00EB2B90">
    <w:pPr>
      <w:tabs>
        <w:tab w:val="center" w:pos="4770"/>
      </w:tabs>
    </w:pPr>
    <w:r>
      <w:tab/>
      <w:t xml:space="preserve">- </w:t>
    </w:r>
    <w:r>
      <w:fldChar w:fldCharType="begin"/>
    </w:r>
    <w:r>
      <w:instrText xml:space="preserve"> PAGE   \* MERGEFORMAT </w:instrText>
    </w:r>
    <w:r>
      <w:fldChar w:fldCharType="separate"/>
    </w:r>
    <w:r w:rsidR="00A24D5C">
      <w:rPr>
        <w:noProof/>
      </w:rPr>
      <w:t>59</w:t>
    </w:r>
    <w:r>
      <w:rPr>
        <w:noProof/>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2B8" w:rsidRDefault="005F32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5F32B8" w:rsidRDefault="005F32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5F32B8" w:rsidRDefault="005F32B8">
    <w:pPr>
      <w:tabs>
        <w:tab w:val="center" w:pos="4740"/>
      </w:tabs>
    </w:pPr>
    <w:r>
      <w:tab/>
      <w:t xml:space="preserve">- </w:t>
    </w:r>
    <w:r>
      <w:pgNum/>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2B8" w:rsidRDefault="00A24D5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74" style="width:480.95pt;height:1pt" o:hralign="center" o:hrstd="t" o:hrnoshade="t" o:hr="t" fillcolor="black [3213]" stroked="f"/>
      </w:pict>
    </w:r>
  </w:p>
  <w:p w:rsidR="005F32B8" w:rsidRDefault="005F32B8" w:rsidP="00EB2B90">
    <w:pPr>
      <w:tabs>
        <w:tab w:val="center" w:pos="4680"/>
      </w:tabs>
    </w:pPr>
    <w:r>
      <w:tab/>
      <w:t xml:space="preserve">- </w:t>
    </w:r>
    <w:r>
      <w:fldChar w:fldCharType="begin"/>
    </w:r>
    <w:r>
      <w:instrText xml:space="preserve"> PAGE   \* MERGEFORMAT </w:instrText>
    </w:r>
    <w:r>
      <w:fldChar w:fldCharType="separate"/>
    </w:r>
    <w:r>
      <w:rPr>
        <w:noProof/>
      </w:rPr>
      <w:t>524</w:t>
    </w:r>
    <w:r>
      <w:rPr>
        <w:noProof/>
      </w:rPr>
      <w:fldChar w:fldCharType="end"/>
    </w: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2B8" w:rsidRDefault="00A24D5C">
    <w:pPr>
      <w:pStyle w:val="Footer"/>
      <w:rPr>
        <w:lang w:val="fr-CA"/>
      </w:rPr>
    </w:pPr>
    <w:r>
      <w:rPr>
        <w:lang w:val="fr-CA"/>
      </w:rPr>
      <w:pict>
        <v:rect id="_x0000_i1075" style="width:480.95pt;height:1pt" o:hralign="center" o:hrstd="t" o:hrnoshade="t" o:hr="t" fillcolor="black [3213]" stroked="f"/>
      </w:pict>
    </w:r>
  </w:p>
  <w:p w:rsidR="005F32B8" w:rsidRDefault="005F32B8" w:rsidP="00EB2B90">
    <w:pPr>
      <w:tabs>
        <w:tab w:val="center" w:pos="4680"/>
      </w:tabs>
    </w:pPr>
    <w:r>
      <w:tab/>
      <w:t xml:space="preserve">- </w:t>
    </w:r>
    <w:r>
      <w:fldChar w:fldCharType="begin"/>
    </w:r>
    <w:r>
      <w:instrText xml:space="preserve"> PAGE   \* MERGEFORMAT </w:instrText>
    </w:r>
    <w:r>
      <w:fldChar w:fldCharType="separate"/>
    </w:r>
    <w:r w:rsidR="00A24D5C">
      <w:rPr>
        <w:noProof/>
      </w:rPr>
      <w:t>64</w:t>
    </w:r>
    <w:r>
      <w:rPr>
        <w:noProof/>
      </w:rPr>
      <w:fldChar w:fldCharType="end"/>
    </w:r>
    <w: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2B8" w:rsidRDefault="005F32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5F32B8" w:rsidRDefault="005F32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5F32B8" w:rsidRDefault="005F32B8">
    <w:pPr>
      <w:tabs>
        <w:tab w:val="center" w:pos="4740"/>
      </w:tabs>
    </w:pPr>
    <w:r>
      <w:tab/>
      <w:t xml:space="preserve">- </w:t>
    </w:r>
    <w:r>
      <w:pgNum/>
    </w:r>
    <w: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2B8" w:rsidRDefault="005F32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5F32B8" w:rsidRDefault="00A24D5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78" style="width:480.95pt;height:1pt" o:hralign="center" o:hrstd="t" o:hrnoshade="t" o:hr="t" fillcolor="black [3213]" stroked="f"/>
      </w:pict>
    </w:r>
  </w:p>
  <w:p w:rsidR="005F32B8" w:rsidRDefault="005F32B8"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Pr>
        <w:noProof/>
        <w:szCs w:val="24"/>
      </w:rPr>
      <w:t>523</w:t>
    </w:r>
    <w:r w:rsidRPr="001775C1">
      <w:rPr>
        <w:szCs w:val="24"/>
      </w:rPr>
      <w:fldChar w:fldCharType="end"/>
    </w:r>
    <w:r>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2B8" w:rsidRDefault="00A24D5C" w:rsidP="00782AE4">
    <w:pPr>
      <w:tabs>
        <w:tab w:val="center" w:pos="4680"/>
      </w:tabs>
    </w:pPr>
    <w:r>
      <w:pict>
        <v:rect id="_x0000_i1079" style="width:480.95pt;height:1pt" o:hralign="center" o:hrstd="t" o:hrnoshade="t" o:hr="t" fillcolor="black [3213]" stroked="f"/>
      </w:pict>
    </w:r>
  </w:p>
  <w:p w:rsidR="005F32B8" w:rsidRDefault="005F32B8"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A24D5C">
      <w:rPr>
        <w:noProof/>
        <w:szCs w:val="24"/>
      </w:rPr>
      <w:t>65</w:t>
    </w:r>
    <w:r w:rsidRPr="001775C1">
      <w:rPr>
        <w:szCs w:val="24"/>
      </w:rP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2B8" w:rsidRDefault="00A24D5C" w:rsidP="00755F22">
    <w:pPr>
      <w:tabs>
        <w:tab w:val="left" w:pos="-1440"/>
        <w:tab w:val="left" w:pos="-720"/>
      </w:tabs>
    </w:pPr>
    <w:r>
      <w:pict>
        <v:rect id="_x0000_i1028" style="width:480.95pt;height:1pt" o:hralign="center" o:hrstd="t" o:hrnoshade="t" o:hr="t" fillcolor="black [3213]" stroked="f"/>
      </w:pict>
    </w:r>
  </w:p>
  <w:p w:rsidR="005F32B8" w:rsidRPr="00954D22" w:rsidRDefault="005F32B8"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A24D5C">
      <w:rPr>
        <w:noProof/>
        <w:szCs w:val="24"/>
      </w:rPr>
      <w:t>1</w:t>
    </w:r>
    <w:r>
      <w:rPr>
        <w:szCs w:val="24"/>
      </w:rPr>
      <w:fldChar w:fldCharType="end"/>
    </w:r>
    <w:r w:rsidRPr="00954D22">
      <w:rPr>
        <w:szCs w:val="24"/>
      </w:rPr>
      <w:t xml:space="preserve"> -</w:t>
    </w:r>
  </w:p>
  <w:p w:rsidR="005F32B8" w:rsidRDefault="005F32B8">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2B8" w:rsidRDefault="005F32B8">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19" w:lineRule="auto"/>
    </w:pPr>
  </w:p>
  <w:p w:rsidR="005F32B8" w:rsidRDefault="005F32B8">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0" w:lineRule="atLeast"/>
    </w:pPr>
  </w:p>
  <w:p w:rsidR="005F32B8" w:rsidRDefault="005F32B8">
    <w:pPr>
      <w:tabs>
        <w:tab w:val="center" w:pos="4740"/>
      </w:tabs>
    </w:pPr>
    <w:r>
      <w:tab/>
      <w:t xml:space="preserve">- </w:t>
    </w:r>
    <w:r>
      <w:pgNum/>
    </w:r>
    <w:r>
      <w:t xml:space="preserve"> -</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2B8" w:rsidRDefault="00A24D5C" w:rsidP="0022323B">
    <w:r>
      <w:pict>
        <v:rect id="_x0000_i1081" style="width:480.95pt;height:1pt" o:hralign="center" o:hrstd="t" o:hrnoshade="t" o:hr="t" fillcolor="black [3213]" stroked="f"/>
      </w:pict>
    </w:r>
  </w:p>
  <w:p w:rsidR="005F32B8" w:rsidRDefault="005F32B8">
    <w:pPr>
      <w:tabs>
        <w:tab w:val="center" w:pos="4740"/>
      </w:tabs>
      <w:spacing w:line="0" w:lineRule="atLeast"/>
    </w:pPr>
    <w:r>
      <w:tab/>
      <w:t xml:space="preserve">- </w:t>
    </w:r>
    <w:r>
      <w:fldChar w:fldCharType="begin"/>
    </w:r>
    <w:r>
      <w:instrText xml:space="preserve"> PAGE   \* MERGEFORMAT </w:instrText>
    </w:r>
    <w:r>
      <w:fldChar w:fldCharType="separate"/>
    </w:r>
    <w:r w:rsidR="00A24D5C">
      <w:rPr>
        <w:noProof/>
      </w:rPr>
      <w:t>74</w:t>
    </w:r>
    <w:r>
      <w:rPr>
        <w:noProof/>
      </w:rPr>
      <w:fldChar w:fldCharType="end"/>
    </w:r>
    <w:r>
      <w:t xml:space="preserve"> -</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2B8" w:rsidRDefault="00A24D5C" w:rsidP="0022323B">
    <w:r>
      <w:pict>
        <v:rect id="_x0000_i1082" style="width:480.95pt;height:1pt" o:hralign="center" o:hrstd="t" o:hrnoshade="t" o:hr="t" fillcolor="black [3213]" stroked="f"/>
      </w:pict>
    </w:r>
  </w:p>
  <w:p w:rsidR="005F32B8" w:rsidRDefault="005F32B8" w:rsidP="0022323B">
    <w:pPr>
      <w:tabs>
        <w:tab w:val="center" w:pos="4740"/>
      </w:tabs>
      <w:spacing w:line="0" w:lineRule="atLeast"/>
    </w:pPr>
    <w:r>
      <w:tab/>
      <w:t xml:space="preserve">- </w:t>
    </w:r>
    <w:r>
      <w:fldChar w:fldCharType="begin"/>
    </w:r>
    <w:r>
      <w:instrText xml:space="preserve"> PAGE   \* MERGEFORMAT </w:instrText>
    </w:r>
    <w:r>
      <w:fldChar w:fldCharType="separate"/>
    </w:r>
    <w:r w:rsidR="00A24D5C">
      <w:rPr>
        <w:noProof/>
      </w:rPr>
      <w:t>66</w:t>
    </w:r>
    <w:r>
      <w:rPr>
        <w:noProof/>
      </w:rPr>
      <w:fldChar w:fldCharType="end"/>
    </w:r>
    <w:r>
      <w:t xml:space="preserve"> -</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2B8" w:rsidRPr="00924065" w:rsidRDefault="005F32B8" w:rsidP="00924065">
    <w:pPr>
      <w:pStyle w:val="Footer"/>
      <w:rPr>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2B8" w:rsidRDefault="00A24D5C" w:rsidP="00A87207">
    <w:pPr>
      <w:pStyle w:val="Footer"/>
    </w:pPr>
    <w:r>
      <w:pict>
        <v:rect id="_x0000_i1030" style="width:480.95pt;height:1pt" o:hralign="center" o:hrstd="t" o:hrnoshade="t" o:hr="t" fillcolor="black [3213]" stroked="f"/>
      </w:pict>
    </w:r>
  </w:p>
  <w:p w:rsidR="005F32B8" w:rsidRPr="00B7374B" w:rsidRDefault="005F32B8"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A24D5C">
      <w:rPr>
        <w:noProof/>
        <w:szCs w:val="24"/>
      </w:rPr>
      <w:t>3</w:t>
    </w:r>
    <w:r w:rsidRPr="00954D22">
      <w:rPr>
        <w:szCs w:val="24"/>
      </w:rPr>
      <w:fldChar w:fldCharType="end"/>
    </w:r>
    <w:r>
      <w:rPr>
        <w:szCs w:val="24"/>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2B8" w:rsidRDefault="00A24D5C"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31" style="width:480.95pt;height:1pt" o:hralign="center" o:hrstd="t" o:hrnoshade="t" o:hr="t" fillcolor="black [3213]" stroked="f"/>
      </w:pict>
    </w:r>
  </w:p>
  <w:p w:rsidR="005F32B8" w:rsidRPr="00954D22" w:rsidRDefault="005F32B8"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A24D5C">
      <w:rPr>
        <w:noProof/>
        <w:szCs w:val="24"/>
      </w:rPr>
      <w:t>2</w:t>
    </w:r>
    <w:r w:rsidRPr="00954D22">
      <w:rPr>
        <w:szCs w:val="24"/>
      </w:rPr>
      <w:fldChar w:fldCharType="end"/>
    </w:r>
    <w:r w:rsidRPr="00954D22">
      <w:rPr>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2B8" w:rsidRDefault="005F32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5F32B8" w:rsidRDefault="005F32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5F32B8" w:rsidRDefault="005F32B8">
    <w:pPr>
      <w:tabs>
        <w:tab w:val="center" w:pos="4740"/>
      </w:tabs>
    </w:pPr>
    <w:r>
      <w:tab/>
      <w:t xml:space="preserve">- </w:t>
    </w:r>
    <w:r>
      <w:pgNum/>
    </w: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2B8" w:rsidRDefault="00A24D5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65" style="width:480.95pt;height:1pt" o:hralign="center" o:hrstd="t" o:hrnoshade="t" o:hr="t" fillcolor="black [3213]" stroked="f"/>
      </w:pict>
    </w:r>
  </w:p>
  <w:p w:rsidR="005F32B8" w:rsidRPr="0009648D" w:rsidRDefault="005F32B8" w:rsidP="00ED7E83">
    <w:pPr>
      <w:tabs>
        <w:tab w:val="center" w:pos="4680"/>
      </w:tabs>
    </w:pPr>
    <w:r>
      <w:tab/>
    </w:r>
    <w:r w:rsidRPr="0009648D">
      <w:t xml:space="preserve">- </w:t>
    </w:r>
    <w:r>
      <w:fldChar w:fldCharType="begin"/>
    </w:r>
    <w:r>
      <w:instrText xml:space="preserve"> PAGE   \* MERGEFORMAT </w:instrText>
    </w:r>
    <w:r>
      <w:fldChar w:fldCharType="separate"/>
    </w:r>
    <w:r w:rsidR="00A24D5C">
      <w:rPr>
        <w:noProof/>
      </w:rPr>
      <w:t>10</w:t>
    </w:r>
    <w:r>
      <w:rPr>
        <w:noProof/>
      </w:rPr>
      <w:fldChar w:fldCharType="end"/>
    </w:r>
    <w:r w:rsidRPr="0009648D">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2B8" w:rsidRDefault="00A24D5C">
    <w:pPr>
      <w:pStyle w:val="Footer"/>
      <w:rPr>
        <w:lang w:val="fr-CA"/>
      </w:rPr>
    </w:pPr>
    <w:r>
      <w:rPr>
        <w:lang w:val="fr-CA"/>
      </w:rPr>
      <w:pict>
        <v:rect id="_x0000_i1066" style="width:480.95pt;height:1pt" o:hralign="center" o:hrstd="t" o:hrnoshade="t" o:hr="t" fillcolor="black [3213]" stroked="f"/>
      </w:pict>
    </w:r>
  </w:p>
  <w:p w:rsidR="005F32B8" w:rsidRDefault="005F32B8" w:rsidP="00245129">
    <w:pPr>
      <w:tabs>
        <w:tab w:val="center" w:pos="4680"/>
      </w:tabs>
    </w:pPr>
    <w:r>
      <w:tab/>
    </w:r>
    <w:r w:rsidRPr="0009648D">
      <w:t xml:space="preserve">- </w:t>
    </w:r>
    <w:r>
      <w:fldChar w:fldCharType="begin"/>
    </w:r>
    <w:r>
      <w:instrText xml:space="preserve"> PAGE   \* MERGEFORMAT </w:instrText>
    </w:r>
    <w:r>
      <w:fldChar w:fldCharType="separate"/>
    </w:r>
    <w:r w:rsidR="00A24D5C">
      <w:rPr>
        <w:noProof/>
      </w:rPr>
      <w:t>4</w:t>
    </w:r>
    <w:r>
      <w:rPr>
        <w:noProof/>
      </w:rPr>
      <w:fldChar w:fldCharType="end"/>
    </w:r>
    <w:r w:rsidRPr="0009648D">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2B8" w:rsidRDefault="005F32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5F32B8" w:rsidRDefault="005F32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5F32B8" w:rsidRDefault="005F32B8">
    <w:pPr>
      <w:tabs>
        <w:tab w:val="center" w:pos="4740"/>
      </w:tabs>
    </w:pPr>
    <w:r>
      <w:tab/>
      <w:t xml:space="preserve">- </w:t>
    </w:r>
    <w:r>
      <w:pgNum/>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2B8" w:rsidRDefault="00A24D5C" w:rsidP="00755F22">
    <w:pPr>
      <w:tabs>
        <w:tab w:val="left" w:pos="-1440"/>
        <w:tab w:val="left" w:pos="-720"/>
      </w:tabs>
    </w:pPr>
    <w:r>
      <w:pict>
        <v:rect id="_x0000_i1068" style="width:480.95pt;height:1pt" o:hralign="center" o:hrstd="t" o:hrnoshade="t" o:hr="t" fillcolor="black [3213]" stroked="f"/>
      </w:pict>
    </w:r>
  </w:p>
  <w:p w:rsidR="005F32B8" w:rsidRDefault="005F32B8" w:rsidP="00EB2B90">
    <w:pPr>
      <w:tabs>
        <w:tab w:val="center" w:pos="4680"/>
      </w:tabs>
    </w:pPr>
    <w:r>
      <w:tab/>
      <w:t xml:space="preserve">- </w:t>
    </w:r>
    <w:r>
      <w:fldChar w:fldCharType="begin"/>
    </w:r>
    <w:r>
      <w:instrText xml:space="preserve"> PAGE   \* MERGEFORMAT </w:instrText>
    </w:r>
    <w:r>
      <w:fldChar w:fldCharType="separate"/>
    </w:r>
    <w:r w:rsidR="00A24D5C">
      <w:rPr>
        <w:noProof/>
      </w:rPr>
      <w:t>58</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32B8" w:rsidRDefault="005F32B8" w:rsidP="00A87207">
      <w:r>
        <w:separator/>
      </w:r>
    </w:p>
  </w:footnote>
  <w:footnote w:type="continuationSeparator" w:id="0">
    <w:p w:rsidR="005F32B8" w:rsidRDefault="005F32B8"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5F32B8" w:rsidRPr="0044776A" w:rsidTr="00245129">
      <w:tc>
        <w:tcPr>
          <w:tcW w:w="4290" w:type="dxa"/>
          <w:tcMar>
            <w:left w:w="0" w:type="dxa"/>
            <w:right w:w="0" w:type="dxa"/>
          </w:tcMar>
        </w:tcPr>
        <w:p w:rsidR="005F32B8" w:rsidRPr="0044776A" w:rsidRDefault="005F32B8"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5F32B8" w:rsidRPr="0044776A" w:rsidRDefault="005F32B8" w:rsidP="002E2327">
          <w:pPr>
            <w:keepNext/>
            <w:keepLines/>
            <w:tabs>
              <w:tab w:val="left" w:pos="-1440"/>
              <w:tab w:val="left" w:pos="-720"/>
            </w:tabs>
            <w:jc w:val="center"/>
            <w:rPr>
              <w:sz w:val="20"/>
              <w:szCs w:val="20"/>
            </w:rPr>
          </w:pPr>
        </w:p>
        <w:p w:rsidR="005F32B8" w:rsidRPr="0044776A" w:rsidRDefault="005F32B8" w:rsidP="002E2327">
          <w:pPr>
            <w:keepNext/>
            <w:keepLines/>
            <w:tabs>
              <w:tab w:val="left" w:pos="-1440"/>
              <w:tab w:val="left" w:pos="-720"/>
            </w:tabs>
            <w:jc w:val="center"/>
            <w:rPr>
              <w:sz w:val="20"/>
              <w:szCs w:val="20"/>
            </w:rPr>
          </w:pPr>
        </w:p>
        <w:p w:rsidR="005F32B8" w:rsidRPr="0044776A" w:rsidRDefault="005F32B8" w:rsidP="002E2327">
          <w:pPr>
            <w:keepNext/>
            <w:keepLines/>
            <w:tabs>
              <w:tab w:val="left" w:pos="-1440"/>
              <w:tab w:val="left" w:pos="-720"/>
            </w:tabs>
            <w:jc w:val="center"/>
            <w:rPr>
              <w:sz w:val="20"/>
              <w:szCs w:val="20"/>
            </w:rPr>
          </w:pPr>
        </w:p>
      </w:tc>
      <w:tc>
        <w:tcPr>
          <w:tcW w:w="4320" w:type="dxa"/>
          <w:tcMar>
            <w:left w:w="0" w:type="dxa"/>
            <w:right w:w="0" w:type="dxa"/>
          </w:tcMar>
        </w:tcPr>
        <w:p w:rsidR="005F32B8" w:rsidRPr="0044776A" w:rsidRDefault="005F32B8" w:rsidP="002E2327">
          <w:pPr>
            <w:keepLines/>
            <w:rPr>
              <w:sz w:val="20"/>
              <w:szCs w:val="20"/>
              <w:lang w:val="fr-CA"/>
            </w:rPr>
          </w:pPr>
          <w:r w:rsidRPr="0044776A">
            <w:rPr>
              <w:sz w:val="20"/>
              <w:szCs w:val="20"/>
              <w:lang w:val="fr-CA"/>
            </w:rPr>
            <w:t>DEMANDES D'AUTORISATION D'APPEL DÉPOSÉES</w:t>
          </w:r>
        </w:p>
      </w:tc>
    </w:tr>
  </w:tbl>
  <w:p w:rsidR="005F32B8" w:rsidRDefault="005F32B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2B8" w:rsidRDefault="005F32B8">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5F32B8">
      <w:tc>
        <w:tcPr>
          <w:tcW w:w="4230" w:type="dxa"/>
          <w:tcMar>
            <w:left w:w="0" w:type="dxa"/>
            <w:right w:w="0" w:type="dxa"/>
          </w:tcMar>
        </w:tcPr>
        <w:p w:rsidR="005F32B8" w:rsidRDefault="005F32B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TAXATION OF COSTS</w:t>
          </w:r>
        </w:p>
      </w:tc>
      <w:tc>
        <w:tcPr>
          <w:tcW w:w="1170" w:type="dxa"/>
          <w:tcMar>
            <w:left w:w="0" w:type="dxa"/>
            <w:right w:w="0" w:type="dxa"/>
          </w:tcMar>
        </w:tcPr>
        <w:p w:rsidR="005F32B8" w:rsidRDefault="005F32B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5F32B8" w:rsidRDefault="005F32B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TAXATION DES DÉPENS</w:t>
          </w:r>
        </w:p>
      </w:tc>
    </w:tr>
    <w:tr w:rsidR="005F32B8">
      <w:trPr>
        <w:gridAfter w:val="2"/>
        <w:wAfter w:w="5250" w:type="dxa"/>
      </w:trPr>
      <w:tc>
        <w:tcPr>
          <w:tcW w:w="4230" w:type="dxa"/>
          <w:tcMar>
            <w:left w:w="0" w:type="dxa"/>
            <w:right w:w="0" w:type="dxa"/>
          </w:tcMar>
        </w:tcPr>
        <w:p w:rsidR="005F32B8" w:rsidRDefault="005F32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5F32B8" w:rsidRDefault="005F32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230"/>
    </w:tblGrid>
    <w:tr w:rsidR="005F32B8" w:rsidRPr="00755F22" w:rsidTr="00245129">
      <w:tc>
        <w:tcPr>
          <w:tcW w:w="4230" w:type="dxa"/>
          <w:tcMar>
            <w:left w:w="0" w:type="dxa"/>
            <w:right w:w="0" w:type="dxa"/>
          </w:tcMar>
        </w:tcPr>
        <w:p w:rsidR="005F32B8" w:rsidRPr="00755F22" w:rsidRDefault="005F32B8" w:rsidP="00EB2B90">
          <w:pPr>
            <w:keepNext/>
            <w:keepLines/>
            <w:rPr>
              <w:sz w:val="22"/>
            </w:rPr>
          </w:pPr>
          <w:r w:rsidRPr="00755F22">
            <w:rPr>
              <w:sz w:val="22"/>
            </w:rPr>
            <w:t>Taxation of costs</w:t>
          </w:r>
        </w:p>
      </w:tc>
      <w:tc>
        <w:tcPr>
          <w:tcW w:w="1170" w:type="dxa"/>
          <w:tcMar>
            <w:left w:w="0" w:type="dxa"/>
            <w:right w:w="0" w:type="dxa"/>
          </w:tcMar>
        </w:tcPr>
        <w:p w:rsidR="005F32B8" w:rsidRPr="00755F22" w:rsidRDefault="005F32B8" w:rsidP="00831CA9">
          <w:pPr>
            <w:keepLines/>
            <w:jc w:val="center"/>
            <w:rPr>
              <w:sz w:val="22"/>
            </w:rPr>
          </w:pPr>
        </w:p>
        <w:p w:rsidR="005F32B8" w:rsidRPr="00755F22" w:rsidRDefault="005F32B8" w:rsidP="00831CA9">
          <w:pPr>
            <w:keepLines/>
            <w:jc w:val="center"/>
            <w:rPr>
              <w:sz w:val="22"/>
            </w:rPr>
          </w:pPr>
        </w:p>
      </w:tc>
      <w:tc>
        <w:tcPr>
          <w:tcW w:w="4230" w:type="dxa"/>
          <w:tcMar>
            <w:left w:w="0" w:type="dxa"/>
            <w:right w:w="0" w:type="dxa"/>
          </w:tcMar>
        </w:tcPr>
        <w:p w:rsidR="005F32B8" w:rsidRPr="00755F22" w:rsidRDefault="005F32B8" w:rsidP="00831CA9">
          <w:pPr>
            <w:keepLines/>
            <w:rPr>
              <w:sz w:val="22"/>
              <w:lang w:val="fr-CA"/>
            </w:rPr>
          </w:pPr>
          <w:r w:rsidRPr="00755F22">
            <w:rPr>
              <w:sz w:val="22"/>
              <w:lang w:val="fr-CA"/>
            </w:rPr>
            <w:t>Taxation des dépens</w:t>
          </w:r>
        </w:p>
      </w:tc>
    </w:tr>
  </w:tbl>
  <w:p w:rsidR="005F32B8" w:rsidRDefault="005F32B8" w:rsidP="00EB2B90">
    <w:pPr>
      <w:jc w:val="both"/>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2B8" w:rsidRDefault="005F32B8">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5F32B8" w:rsidRPr="00523D1E">
      <w:tc>
        <w:tcPr>
          <w:tcW w:w="4200" w:type="dxa"/>
          <w:tcMar>
            <w:left w:w="0" w:type="dxa"/>
            <w:right w:w="0" w:type="dxa"/>
          </w:tcMar>
        </w:tcPr>
        <w:p w:rsidR="005F32B8" w:rsidRDefault="005F32B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5F32B8" w:rsidRDefault="005F32B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5F32B8" w:rsidRPr="00B01A03" w:rsidRDefault="005F32B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5F32B8" w:rsidRPr="00B01A03" w:rsidRDefault="005F32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5F32B8" w:rsidRPr="00B01A03" w:rsidRDefault="005F32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5F32B8" w:rsidRPr="00523D1E" w:rsidTr="00245129">
      <w:tc>
        <w:tcPr>
          <w:tcW w:w="4200" w:type="dxa"/>
          <w:tcMar>
            <w:left w:w="0" w:type="dxa"/>
            <w:right w:w="0" w:type="dxa"/>
          </w:tcMar>
        </w:tcPr>
        <w:p w:rsidR="005F32B8" w:rsidRPr="00F40249" w:rsidRDefault="005F32B8"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5F32B8" w:rsidRDefault="005F32B8" w:rsidP="00102926">
          <w:pPr>
            <w:keepNext/>
            <w:keepLines/>
            <w:tabs>
              <w:tab w:val="left" w:pos="-1440"/>
              <w:tab w:val="left" w:pos="-720"/>
            </w:tabs>
            <w:jc w:val="center"/>
            <w:rPr>
              <w:sz w:val="20"/>
              <w:szCs w:val="20"/>
            </w:rPr>
          </w:pPr>
        </w:p>
        <w:p w:rsidR="005F32B8" w:rsidRDefault="005F32B8" w:rsidP="00102926">
          <w:pPr>
            <w:keepNext/>
            <w:keepLines/>
            <w:tabs>
              <w:tab w:val="left" w:pos="-1440"/>
              <w:tab w:val="left" w:pos="-720"/>
            </w:tabs>
            <w:jc w:val="center"/>
            <w:rPr>
              <w:sz w:val="20"/>
              <w:szCs w:val="20"/>
            </w:rPr>
          </w:pPr>
        </w:p>
        <w:p w:rsidR="005F32B8" w:rsidRPr="00F40249" w:rsidRDefault="005F32B8" w:rsidP="00102926">
          <w:pPr>
            <w:keepNext/>
            <w:keepLines/>
            <w:tabs>
              <w:tab w:val="left" w:pos="-1440"/>
              <w:tab w:val="left" w:pos="-720"/>
            </w:tabs>
            <w:jc w:val="center"/>
            <w:rPr>
              <w:sz w:val="20"/>
              <w:szCs w:val="20"/>
            </w:rPr>
          </w:pPr>
        </w:p>
      </w:tc>
      <w:tc>
        <w:tcPr>
          <w:tcW w:w="4230" w:type="dxa"/>
          <w:tcMar>
            <w:left w:w="0" w:type="dxa"/>
            <w:right w:w="0" w:type="dxa"/>
          </w:tcMar>
        </w:tcPr>
        <w:p w:rsidR="005F32B8" w:rsidRPr="00F40249" w:rsidRDefault="005F32B8"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5F32B8" w:rsidRPr="00B01A03" w:rsidRDefault="005F32B8"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2B8" w:rsidRDefault="005F32B8">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5F32B8">
      <w:tc>
        <w:tcPr>
          <w:tcW w:w="4230" w:type="dxa"/>
          <w:tcMar>
            <w:left w:w="0" w:type="dxa"/>
            <w:right w:w="0" w:type="dxa"/>
          </w:tcMar>
        </w:tcPr>
        <w:p w:rsidR="005F32B8" w:rsidRDefault="005F32B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5F32B8" w:rsidRDefault="005F32B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5F32B8" w:rsidRDefault="005F32B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5F32B8" w:rsidRDefault="005F32B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5F32B8" w:rsidRDefault="005F32B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5F32B8" w:rsidRDefault="005F32B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5F32B8" w:rsidRDefault="005F32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5F32B8" w:rsidRDefault="005F32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5F32B8" w:rsidRPr="00782AE4" w:rsidTr="00245129">
      <w:tc>
        <w:tcPr>
          <w:tcW w:w="4230" w:type="dxa"/>
          <w:tcMar>
            <w:left w:w="0" w:type="dxa"/>
            <w:right w:w="0" w:type="dxa"/>
          </w:tcMar>
        </w:tcPr>
        <w:p w:rsidR="005F32B8" w:rsidRPr="00782AE4" w:rsidRDefault="005F32B8" w:rsidP="00102926">
          <w:pPr>
            <w:keepNext/>
            <w:keepLines/>
            <w:tabs>
              <w:tab w:val="left" w:pos="-1440"/>
              <w:tab w:val="left" w:pos="-720"/>
            </w:tabs>
            <w:rPr>
              <w:sz w:val="20"/>
              <w:szCs w:val="20"/>
            </w:rPr>
          </w:pPr>
          <w:r w:rsidRPr="00782AE4">
            <w:rPr>
              <w:sz w:val="20"/>
              <w:szCs w:val="20"/>
            </w:rPr>
            <w:t xml:space="preserve">HEADNOTES OF RECENT </w:t>
          </w:r>
        </w:p>
        <w:p w:rsidR="005F32B8" w:rsidRPr="00782AE4" w:rsidRDefault="005F32B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5F32B8" w:rsidRDefault="005F32B8" w:rsidP="00102926">
          <w:pPr>
            <w:keepNext/>
            <w:keepLines/>
            <w:tabs>
              <w:tab w:val="left" w:pos="-1440"/>
              <w:tab w:val="left" w:pos="-720"/>
            </w:tabs>
            <w:jc w:val="center"/>
            <w:rPr>
              <w:sz w:val="20"/>
              <w:szCs w:val="20"/>
            </w:rPr>
          </w:pPr>
        </w:p>
        <w:p w:rsidR="005F32B8" w:rsidRDefault="005F32B8" w:rsidP="00102926">
          <w:pPr>
            <w:keepNext/>
            <w:keepLines/>
            <w:tabs>
              <w:tab w:val="left" w:pos="-1440"/>
              <w:tab w:val="left" w:pos="-720"/>
            </w:tabs>
            <w:jc w:val="center"/>
            <w:rPr>
              <w:sz w:val="20"/>
              <w:szCs w:val="20"/>
            </w:rPr>
          </w:pPr>
        </w:p>
        <w:p w:rsidR="005F32B8" w:rsidRPr="00782AE4" w:rsidRDefault="005F32B8" w:rsidP="00102926">
          <w:pPr>
            <w:keepNext/>
            <w:keepLines/>
            <w:tabs>
              <w:tab w:val="left" w:pos="-1440"/>
              <w:tab w:val="left" w:pos="-720"/>
            </w:tabs>
            <w:jc w:val="center"/>
            <w:rPr>
              <w:sz w:val="20"/>
              <w:szCs w:val="20"/>
            </w:rPr>
          </w:pPr>
        </w:p>
      </w:tc>
      <w:tc>
        <w:tcPr>
          <w:tcW w:w="4080" w:type="dxa"/>
          <w:tcMar>
            <w:left w:w="0" w:type="dxa"/>
            <w:right w:w="0" w:type="dxa"/>
          </w:tcMar>
        </w:tcPr>
        <w:p w:rsidR="005F32B8" w:rsidRPr="00102926" w:rsidRDefault="005F32B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5F32B8" w:rsidRPr="00782AE4" w:rsidRDefault="005F32B8" w:rsidP="00102926">
          <w:pPr>
            <w:keepLines/>
            <w:tabs>
              <w:tab w:val="left" w:pos="-1440"/>
              <w:tab w:val="left" w:pos="-720"/>
            </w:tabs>
            <w:rPr>
              <w:sz w:val="20"/>
              <w:szCs w:val="20"/>
            </w:rPr>
          </w:pPr>
          <w:r w:rsidRPr="00102926">
            <w:rPr>
              <w:sz w:val="20"/>
              <w:szCs w:val="20"/>
              <w:lang w:val="fr-CA"/>
            </w:rPr>
            <w:t>RÉCENTS</w:t>
          </w:r>
        </w:p>
      </w:tc>
    </w:tr>
  </w:tbl>
  <w:p w:rsidR="005F32B8" w:rsidRDefault="005F32B8"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2B8" w:rsidRDefault="005F32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2B8" w:rsidRDefault="005F32B8">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5F32B8">
      <w:tc>
        <w:tcPr>
          <w:tcW w:w="4200" w:type="dxa"/>
          <w:tcMar>
            <w:left w:w="0" w:type="dxa"/>
            <w:right w:w="0" w:type="dxa"/>
          </w:tcMar>
        </w:tcPr>
        <w:p w:rsidR="005F32B8" w:rsidRDefault="005F32B8">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r>
            <w:t>AGENDA FOR DECEMBER 2009</w:t>
          </w:r>
        </w:p>
        <w:p w:rsidR="005F32B8" w:rsidRDefault="005F32B8">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c>
        <w:tcPr>
          <w:tcW w:w="1200" w:type="dxa"/>
          <w:tcMar>
            <w:left w:w="0" w:type="dxa"/>
            <w:right w:w="0" w:type="dxa"/>
          </w:tcMar>
        </w:tcPr>
        <w:p w:rsidR="005F32B8" w:rsidRDefault="005F32B8">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c>
        <w:tcPr>
          <w:tcW w:w="4080" w:type="dxa"/>
          <w:tcMar>
            <w:left w:w="0" w:type="dxa"/>
            <w:right w:w="0" w:type="dxa"/>
          </w:tcMar>
        </w:tcPr>
        <w:p w:rsidR="005F32B8" w:rsidRDefault="005F32B8">
          <w:pPr>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r>
            <w:t>CALENDRIER DE DÉCEMBRE 2009</w:t>
          </w:r>
        </w:p>
        <w:p w:rsidR="005F32B8" w:rsidRDefault="005F32B8">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r>
  </w:tbl>
  <w:p w:rsidR="005F32B8" w:rsidRDefault="005F32B8">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19" w:lineRule="auto"/>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5F32B8" w:rsidRPr="00523D1E" w:rsidTr="00245129">
      <w:tc>
        <w:tcPr>
          <w:tcW w:w="4200" w:type="dxa"/>
          <w:tcMar>
            <w:left w:w="0" w:type="dxa"/>
            <w:right w:w="0" w:type="dxa"/>
          </w:tcMar>
        </w:tcPr>
        <w:p w:rsidR="005F32B8" w:rsidRPr="00102792" w:rsidRDefault="005F32B8" w:rsidP="00765B14">
          <w:pPr>
            <w:keepNext/>
            <w:keepLines/>
            <w:rPr>
              <w:szCs w:val="24"/>
            </w:rPr>
          </w:pPr>
          <w:r w:rsidRPr="00102792">
            <w:rPr>
              <w:szCs w:val="24"/>
            </w:rPr>
            <w:t xml:space="preserve">Agenda and </w:t>
          </w:r>
          <w:r>
            <w:rPr>
              <w:szCs w:val="24"/>
            </w:rPr>
            <w:t xml:space="preserve">case </w:t>
          </w:r>
          <w:r w:rsidRPr="00102792">
            <w:rPr>
              <w:szCs w:val="24"/>
            </w:rPr>
            <w:t xml:space="preserve">summaries for </w:t>
          </w:r>
          <w:r>
            <w:rPr>
              <w:szCs w:val="24"/>
            </w:rPr>
            <w:br/>
            <w:t>February 2019</w:t>
          </w:r>
        </w:p>
      </w:tc>
      <w:tc>
        <w:tcPr>
          <w:tcW w:w="1200" w:type="dxa"/>
          <w:tcMar>
            <w:left w:w="0" w:type="dxa"/>
            <w:right w:w="0" w:type="dxa"/>
          </w:tcMar>
        </w:tcPr>
        <w:p w:rsidR="005F32B8" w:rsidRPr="00102792" w:rsidRDefault="005F32B8" w:rsidP="00102792">
          <w:pPr>
            <w:keepNext/>
            <w:keepLines/>
            <w:jc w:val="center"/>
            <w:rPr>
              <w:szCs w:val="24"/>
            </w:rPr>
          </w:pPr>
        </w:p>
        <w:p w:rsidR="005F32B8" w:rsidRPr="00102792" w:rsidRDefault="005F32B8" w:rsidP="00102792">
          <w:pPr>
            <w:keepNext/>
            <w:keepLines/>
            <w:jc w:val="center"/>
            <w:rPr>
              <w:szCs w:val="24"/>
            </w:rPr>
          </w:pPr>
        </w:p>
      </w:tc>
      <w:tc>
        <w:tcPr>
          <w:tcW w:w="4080" w:type="dxa"/>
          <w:tcMar>
            <w:left w:w="0" w:type="dxa"/>
            <w:right w:w="0" w:type="dxa"/>
          </w:tcMar>
        </w:tcPr>
        <w:p w:rsidR="005F32B8" w:rsidRPr="00102792" w:rsidRDefault="005F32B8" w:rsidP="00765B14">
          <w:pPr>
            <w:keepNext/>
            <w:keepLines/>
            <w:rPr>
              <w:szCs w:val="24"/>
              <w:lang w:val="fr-CA"/>
            </w:rPr>
          </w:pPr>
          <w:r w:rsidRPr="00102792">
            <w:rPr>
              <w:szCs w:val="24"/>
              <w:lang w:val="fr-CA"/>
            </w:rPr>
            <w:t>Calendrier et sommaires</w:t>
          </w:r>
          <w:r>
            <w:rPr>
              <w:szCs w:val="24"/>
              <w:lang w:val="fr-CA"/>
            </w:rPr>
            <w:t xml:space="preserve"> des causes</w:t>
          </w:r>
          <w:r w:rsidRPr="00102792">
            <w:rPr>
              <w:szCs w:val="24"/>
              <w:lang w:val="fr-CA"/>
            </w:rPr>
            <w:t xml:space="preserve"> d</w:t>
          </w:r>
          <w:r>
            <w:rPr>
              <w:szCs w:val="24"/>
              <w:lang w:val="fr-CA"/>
            </w:rPr>
            <w:t>e février 2019</w:t>
          </w:r>
        </w:p>
      </w:tc>
    </w:tr>
  </w:tbl>
  <w:p w:rsidR="005F32B8" w:rsidRPr="00567602" w:rsidRDefault="005F32B8" w:rsidP="0022323B">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rPr>
        <w:lang w:val="fr-CA"/>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2B8" w:rsidRDefault="005F32B8">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2B8" w:rsidRDefault="005F32B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5F32B8" w:rsidRPr="00523D1E" w:rsidTr="00245129">
      <w:tc>
        <w:tcPr>
          <w:tcW w:w="4200" w:type="dxa"/>
          <w:tcMar>
            <w:left w:w="0" w:type="dxa"/>
            <w:right w:w="0" w:type="dxa"/>
          </w:tcMar>
        </w:tcPr>
        <w:p w:rsidR="005F32B8" w:rsidRPr="0044776A" w:rsidRDefault="005F32B8" w:rsidP="0044776A">
          <w:pPr>
            <w:keepNext/>
            <w:keepLines/>
            <w:widowControl w:val="0"/>
            <w:rPr>
              <w:sz w:val="20"/>
              <w:szCs w:val="20"/>
            </w:rPr>
          </w:pPr>
          <w:r>
            <w:rPr>
              <w:sz w:val="20"/>
              <w:szCs w:val="20"/>
            </w:rPr>
            <w:t>APPLICATIONS FOR LEAVE</w:t>
          </w:r>
        </w:p>
        <w:p w:rsidR="005F32B8" w:rsidRPr="0044776A" w:rsidRDefault="005F32B8"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5F32B8" w:rsidRPr="0044776A" w:rsidRDefault="005F32B8" w:rsidP="0044776A">
          <w:pPr>
            <w:keepNext/>
            <w:keepLines/>
            <w:widowControl w:val="0"/>
            <w:jc w:val="center"/>
            <w:rPr>
              <w:sz w:val="20"/>
              <w:szCs w:val="20"/>
            </w:rPr>
          </w:pPr>
        </w:p>
        <w:p w:rsidR="005F32B8" w:rsidRPr="0044776A" w:rsidRDefault="005F32B8" w:rsidP="0044776A">
          <w:pPr>
            <w:keepNext/>
            <w:keepLines/>
            <w:widowControl w:val="0"/>
            <w:jc w:val="center"/>
            <w:rPr>
              <w:sz w:val="20"/>
              <w:szCs w:val="20"/>
            </w:rPr>
          </w:pPr>
        </w:p>
        <w:p w:rsidR="005F32B8" w:rsidRPr="0044776A" w:rsidRDefault="005F32B8" w:rsidP="0044776A">
          <w:pPr>
            <w:keepNext/>
            <w:keepLines/>
            <w:widowControl w:val="0"/>
            <w:jc w:val="center"/>
            <w:rPr>
              <w:sz w:val="20"/>
              <w:szCs w:val="20"/>
            </w:rPr>
          </w:pPr>
        </w:p>
      </w:tc>
      <w:tc>
        <w:tcPr>
          <w:tcW w:w="4080" w:type="dxa"/>
          <w:tcMar>
            <w:left w:w="0" w:type="dxa"/>
            <w:right w:w="0" w:type="dxa"/>
          </w:tcMar>
        </w:tcPr>
        <w:p w:rsidR="005F32B8" w:rsidRPr="0044776A" w:rsidRDefault="005F32B8" w:rsidP="0044776A">
          <w:pPr>
            <w:keepLines/>
            <w:widowControl w:val="0"/>
            <w:rPr>
              <w:sz w:val="20"/>
              <w:szCs w:val="20"/>
              <w:lang w:val="fr-CA"/>
            </w:rPr>
          </w:pPr>
          <w:r w:rsidRPr="0044776A">
            <w:rPr>
              <w:sz w:val="20"/>
              <w:szCs w:val="20"/>
              <w:lang w:val="fr-CA"/>
            </w:rPr>
            <w:t>DEMANDES SOUMISES À LA COUR DEPUIS LA DERNIÈRE PARUTION</w:t>
          </w:r>
        </w:p>
        <w:p w:rsidR="005F32B8" w:rsidRPr="0044776A" w:rsidRDefault="005F32B8" w:rsidP="0044776A">
          <w:pPr>
            <w:widowControl w:val="0"/>
            <w:rPr>
              <w:sz w:val="20"/>
              <w:szCs w:val="20"/>
              <w:lang w:val="fr-CA"/>
            </w:rPr>
          </w:pPr>
        </w:p>
      </w:tc>
    </w:tr>
  </w:tbl>
  <w:p w:rsidR="005F32B8" w:rsidRPr="002E2327" w:rsidRDefault="005F32B8">
    <w:pPr>
      <w:pStyle w:val="Header"/>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2B8" w:rsidRDefault="005F32B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5F32B8" w:rsidRPr="00523D1E">
      <w:tc>
        <w:tcPr>
          <w:tcW w:w="4200" w:type="dxa"/>
          <w:tcMar>
            <w:left w:w="0" w:type="dxa"/>
            <w:right w:w="0" w:type="dxa"/>
          </w:tcMar>
        </w:tcPr>
        <w:p w:rsidR="005F32B8" w:rsidRDefault="005F32B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5F32B8" w:rsidRDefault="005F32B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5F32B8" w:rsidRDefault="005F32B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5F32B8" w:rsidRPr="00FF6BA5" w:rsidRDefault="005F32B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5F32B8" w:rsidRPr="00FF6BA5" w:rsidRDefault="005F32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5F32B8" w:rsidRPr="00FF6BA5" w:rsidRDefault="005F32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5F32B8" w:rsidRPr="00FF6BA5" w:rsidRDefault="005F32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5F32B8" w:rsidRPr="00523D1E" w:rsidTr="00245129">
      <w:tc>
        <w:tcPr>
          <w:tcW w:w="4200" w:type="dxa"/>
          <w:tcMar>
            <w:left w:w="0" w:type="dxa"/>
            <w:right w:w="0" w:type="dxa"/>
          </w:tcMar>
        </w:tcPr>
        <w:p w:rsidR="005F32B8" w:rsidRPr="00755F22" w:rsidRDefault="005F32B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5F32B8" w:rsidRPr="00755F22" w:rsidRDefault="005F32B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5F32B8" w:rsidRPr="00755F22" w:rsidRDefault="005F32B8"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5F32B8" w:rsidRPr="00755F22" w:rsidRDefault="005F32B8"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5F32B8" w:rsidRPr="00755F22" w:rsidRDefault="005F32B8"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5F32B8" w:rsidRPr="00755F22" w:rsidRDefault="005F32B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5F32B8" w:rsidRPr="00FF6BA5" w:rsidRDefault="005F32B8" w:rsidP="00755F22">
    <w:pPr>
      <w:tabs>
        <w:tab w:val="left" w:pos="-1440"/>
        <w:tab w:val="left" w:pos="-720"/>
      </w:tabs>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2B8" w:rsidRDefault="005F32B8">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5F32B8">
      <w:tc>
        <w:tcPr>
          <w:tcW w:w="4230" w:type="dxa"/>
          <w:tcMar>
            <w:left w:w="0" w:type="dxa"/>
            <w:right w:w="0" w:type="dxa"/>
          </w:tcMar>
        </w:tcPr>
        <w:p w:rsidR="005F32B8" w:rsidRDefault="005F32B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5F32B8" w:rsidRDefault="005F32B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5F32B8" w:rsidRDefault="005F32B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5F32B8">
      <w:trPr>
        <w:gridAfter w:val="2"/>
        <w:wAfter w:w="5250" w:type="dxa"/>
      </w:trPr>
      <w:tc>
        <w:tcPr>
          <w:tcW w:w="4230" w:type="dxa"/>
          <w:tcMar>
            <w:left w:w="0" w:type="dxa"/>
            <w:right w:w="0" w:type="dxa"/>
          </w:tcMar>
        </w:tcPr>
        <w:p w:rsidR="005F32B8" w:rsidRDefault="005F32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5F32B8" w:rsidRDefault="005F32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5F32B8" w:rsidRPr="00755F22" w:rsidTr="00245129">
      <w:tc>
        <w:tcPr>
          <w:tcW w:w="4230" w:type="dxa"/>
          <w:tcMar>
            <w:left w:w="0" w:type="dxa"/>
            <w:right w:w="0" w:type="dxa"/>
          </w:tcMar>
        </w:tcPr>
        <w:p w:rsidR="005F32B8" w:rsidRPr="00755F22" w:rsidRDefault="005F32B8" w:rsidP="00831CA9">
          <w:pPr>
            <w:keepNext/>
            <w:keepLines/>
            <w:rPr>
              <w:sz w:val="20"/>
              <w:szCs w:val="20"/>
            </w:rPr>
          </w:pPr>
          <w:r w:rsidRPr="00755F22">
            <w:rPr>
              <w:sz w:val="20"/>
              <w:szCs w:val="20"/>
            </w:rPr>
            <w:t>Motions</w:t>
          </w:r>
        </w:p>
      </w:tc>
      <w:tc>
        <w:tcPr>
          <w:tcW w:w="1170" w:type="dxa"/>
          <w:tcMar>
            <w:left w:w="0" w:type="dxa"/>
            <w:right w:w="0" w:type="dxa"/>
          </w:tcMar>
        </w:tcPr>
        <w:p w:rsidR="005F32B8" w:rsidRPr="00755F22" w:rsidRDefault="005F32B8" w:rsidP="00831CA9">
          <w:pPr>
            <w:keepLines/>
            <w:jc w:val="center"/>
            <w:rPr>
              <w:sz w:val="20"/>
              <w:szCs w:val="20"/>
            </w:rPr>
          </w:pPr>
        </w:p>
        <w:p w:rsidR="005F32B8" w:rsidRPr="00755F22" w:rsidRDefault="005F32B8" w:rsidP="00831CA9">
          <w:pPr>
            <w:keepLines/>
            <w:tabs>
              <w:tab w:val="left" w:pos="-1440"/>
              <w:tab w:val="left" w:pos="-720"/>
            </w:tabs>
            <w:jc w:val="center"/>
            <w:rPr>
              <w:sz w:val="20"/>
              <w:szCs w:val="20"/>
            </w:rPr>
          </w:pPr>
        </w:p>
      </w:tc>
      <w:tc>
        <w:tcPr>
          <w:tcW w:w="4080" w:type="dxa"/>
          <w:tcMar>
            <w:left w:w="0" w:type="dxa"/>
            <w:right w:w="0" w:type="dxa"/>
          </w:tcMar>
        </w:tcPr>
        <w:p w:rsidR="005F32B8" w:rsidRPr="00BA6468" w:rsidRDefault="005F32B8" w:rsidP="00BA6468">
          <w:pPr>
            <w:keepLines/>
            <w:rPr>
              <w:sz w:val="20"/>
              <w:szCs w:val="20"/>
              <w:lang w:val="fr-CA"/>
            </w:rPr>
          </w:pPr>
          <w:r w:rsidRPr="00BA6468">
            <w:rPr>
              <w:sz w:val="20"/>
              <w:szCs w:val="20"/>
              <w:lang w:val="fr-CA"/>
            </w:rPr>
            <w:t>Requêtes</w:t>
          </w:r>
        </w:p>
      </w:tc>
    </w:tr>
  </w:tbl>
  <w:p w:rsidR="005F32B8" w:rsidRDefault="005F32B8" w:rsidP="00831CA9">
    <w:pP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A311B"/>
    <w:multiLevelType w:val="hybridMultilevel"/>
    <w:tmpl w:val="0F883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E09251D"/>
    <w:multiLevelType w:val="hybridMultilevel"/>
    <w:tmpl w:val="2338691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915568"/>
    <w:multiLevelType w:val="hybridMultilevel"/>
    <w:tmpl w:val="A9CEDEBA"/>
    <w:lvl w:ilvl="0" w:tplc="A8404620">
      <w:start w:val="16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930EA2"/>
    <w:multiLevelType w:val="hybridMultilevel"/>
    <w:tmpl w:val="0180D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9491223"/>
    <w:multiLevelType w:val="hybridMultilevel"/>
    <w:tmpl w:val="09C064C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6E0277"/>
    <w:multiLevelType w:val="hybridMultilevel"/>
    <w:tmpl w:val="782249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874A78"/>
    <w:multiLevelType w:val="hybridMultilevel"/>
    <w:tmpl w:val="531CCF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772F72"/>
    <w:multiLevelType w:val="hybridMultilevel"/>
    <w:tmpl w:val="E8B06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 w:numId="9">
    <w:abstractNumId w:val="0"/>
  </w:num>
  <w:num w:numId="10">
    <w:abstractNumId w:val="9"/>
  </w:num>
  <w:num w:numId="11">
    <w:abstractNumId w:val="6"/>
  </w:num>
  <w:num w:numId="12">
    <w:abstractNumId w:val="2"/>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attachedTemplate r:id="rId1"/>
  <w:defaultTabStop w:val="720"/>
  <w:drawingGridHorizontalSpacing w:val="120"/>
  <w:displayHorizontalDrawingGridEvery w:val="2"/>
  <w:characterSpacingControl w:val="doNotCompress"/>
  <w:hdrShapeDefaults>
    <o:shapedefaults v:ext="edit" spidmax="14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155"/>
    <w:rsid w:val="00002704"/>
    <w:rsid w:val="000166FF"/>
    <w:rsid w:val="00020DC3"/>
    <w:rsid w:val="000217AE"/>
    <w:rsid w:val="0003223B"/>
    <w:rsid w:val="000327B2"/>
    <w:rsid w:val="00033A57"/>
    <w:rsid w:val="0004528B"/>
    <w:rsid w:val="00064FBA"/>
    <w:rsid w:val="00086EEF"/>
    <w:rsid w:val="00091BA6"/>
    <w:rsid w:val="00091FA6"/>
    <w:rsid w:val="0009686C"/>
    <w:rsid w:val="00096BD9"/>
    <w:rsid w:val="000B3C9A"/>
    <w:rsid w:val="000B40A2"/>
    <w:rsid w:val="000B4624"/>
    <w:rsid w:val="000C0ACD"/>
    <w:rsid w:val="000C0D2A"/>
    <w:rsid w:val="000C1D9D"/>
    <w:rsid w:val="000C5CE8"/>
    <w:rsid w:val="000E27A5"/>
    <w:rsid w:val="000E2959"/>
    <w:rsid w:val="000F0B60"/>
    <w:rsid w:val="000F2CA3"/>
    <w:rsid w:val="00102792"/>
    <w:rsid w:val="00102926"/>
    <w:rsid w:val="0010587F"/>
    <w:rsid w:val="00111C6B"/>
    <w:rsid w:val="0012102B"/>
    <w:rsid w:val="00124D41"/>
    <w:rsid w:val="0013369E"/>
    <w:rsid w:val="0013595D"/>
    <w:rsid w:val="001434B9"/>
    <w:rsid w:val="00143EF6"/>
    <w:rsid w:val="00152E76"/>
    <w:rsid w:val="00164E6D"/>
    <w:rsid w:val="0016538E"/>
    <w:rsid w:val="00183454"/>
    <w:rsid w:val="0019203D"/>
    <w:rsid w:val="00195F99"/>
    <w:rsid w:val="001B157C"/>
    <w:rsid w:val="001B1994"/>
    <w:rsid w:val="001B4006"/>
    <w:rsid w:val="001B5C23"/>
    <w:rsid w:val="001D0D5F"/>
    <w:rsid w:val="001D6B8C"/>
    <w:rsid w:val="001F1F83"/>
    <w:rsid w:val="001F40DF"/>
    <w:rsid w:val="001F43F8"/>
    <w:rsid w:val="001F6B2D"/>
    <w:rsid w:val="002021A9"/>
    <w:rsid w:val="002139A7"/>
    <w:rsid w:val="00215574"/>
    <w:rsid w:val="00215F7C"/>
    <w:rsid w:val="00221DEF"/>
    <w:rsid w:val="0022323B"/>
    <w:rsid w:val="002410B8"/>
    <w:rsid w:val="00242AEE"/>
    <w:rsid w:val="00245129"/>
    <w:rsid w:val="00245879"/>
    <w:rsid w:val="00253236"/>
    <w:rsid w:val="002534CE"/>
    <w:rsid w:val="00267FD5"/>
    <w:rsid w:val="00271E1E"/>
    <w:rsid w:val="00274D34"/>
    <w:rsid w:val="00283AFF"/>
    <w:rsid w:val="00283ED8"/>
    <w:rsid w:val="002868D0"/>
    <w:rsid w:val="0028760B"/>
    <w:rsid w:val="002A008C"/>
    <w:rsid w:val="002A27D1"/>
    <w:rsid w:val="002A4AFA"/>
    <w:rsid w:val="002B2610"/>
    <w:rsid w:val="002B516C"/>
    <w:rsid w:val="002B5D82"/>
    <w:rsid w:val="002C4FA4"/>
    <w:rsid w:val="002D72EB"/>
    <w:rsid w:val="002E2327"/>
    <w:rsid w:val="002E3583"/>
    <w:rsid w:val="002E5576"/>
    <w:rsid w:val="002F061F"/>
    <w:rsid w:val="0030050B"/>
    <w:rsid w:val="003008F5"/>
    <w:rsid w:val="00304081"/>
    <w:rsid w:val="003308AA"/>
    <w:rsid w:val="00331B52"/>
    <w:rsid w:val="00333403"/>
    <w:rsid w:val="003359D3"/>
    <w:rsid w:val="0034657E"/>
    <w:rsid w:val="00351475"/>
    <w:rsid w:val="00355967"/>
    <w:rsid w:val="00382C47"/>
    <w:rsid w:val="00384384"/>
    <w:rsid w:val="003866AE"/>
    <w:rsid w:val="003B3977"/>
    <w:rsid w:val="003D49B1"/>
    <w:rsid w:val="003E1D4C"/>
    <w:rsid w:val="003E5F3E"/>
    <w:rsid w:val="00407C5D"/>
    <w:rsid w:val="0041245B"/>
    <w:rsid w:val="004137A0"/>
    <w:rsid w:val="00422D9A"/>
    <w:rsid w:val="004317DE"/>
    <w:rsid w:val="00432989"/>
    <w:rsid w:val="004342A0"/>
    <w:rsid w:val="00440E24"/>
    <w:rsid w:val="0044776A"/>
    <w:rsid w:val="00460AFC"/>
    <w:rsid w:val="0047471F"/>
    <w:rsid w:val="004B195E"/>
    <w:rsid w:val="004B66B4"/>
    <w:rsid w:val="004B7F60"/>
    <w:rsid w:val="004C1AAC"/>
    <w:rsid w:val="004C1C35"/>
    <w:rsid w:val="004E1E0A"/>
    <w:rsid w:val="004E44A7"/>
    <w:rsid w:val="004E5524"/>
    <w:rsid w:val="004F090E"/>
    <w:rsid w:val="00501F3C"/>
    <w:rsid w:val="00506BE1"/>
    <w:rsid w:val="00512F14"/>
    <w:rsid w:val="00520F9E"/>
    <w:rsid w:val="0052229C"/>
    <w:rsid w:val="00523D1E"/>
    <w:rsid w:val="00527CC7"/>
    <w:rsid w:val="00560DF1"/>
    <w:rsid w:val="0056248C"/>
    <w:rsid w:val="00564B09"/>
    <w:rsid w:val="00567602"/>
    <w:rsid w:val="00567680"/>
    <w:rsid w:val="00571CA4"/>
    <w:rsid w:val="00573AF2"/>
    <w:rsid w:val="00582136"/>
    <w:rsid w:val="005B448B"/>
    <w:rsid w:val="005C6840"/>
    <w:rsid w:val="005F1ED8"/>
    <w:rsid w:val="005F263E"/>
    <w:rsid w:val="005F32B8"/>
    <w:rsid w:val="00600252"/>
    <w:rsid w:val="00612A40"/>
    <w:rsid w:val="0062714A"/>
    <w:rsid w:val="006615F4"/>
    <w:rsid w:val="00675479"/>
    <w:rsid w:val="00680709"/>
    <w:rsid w:val="00681F61"/>
    <w:rsid w:val="00684F23"/>
    <w:rsid w:val="00693C38"/>
    <w:rsid w:val="00696BF9"/>
    <w:rsid w:val="00697C62"/>
    <w:rsid w:val="006A329B"/>
    <w:rsid w:val="006A7EB8"/>
    <w:rsid w:val="006B6926"/>
    <w:rsid w:val="006C3F47"/>
    <w:rsid w:val="006C5F7A"/>
    <w:rsid w:val="006E06AF"/>
    <w:rsid w:val="006E1CB0"/>
    <w:rsid w:val="006F350F"/>
    <w:rsid w:val="00717608"/>
    <w:rsid w:val="00727571"/>
    <w:rsid w:val="00732DB7"/>
    <w:rsid w:val="0074238B"/>
    <w:rsid w:val="00745EF7"/>
    <w:rsid w:val="00755F22"/>
    <w:rsid w:val="00765B14"/>
    <w:rsid w:val="00766E4A"/>
    <w:rsid w:val="007820CE"/>
    <w:rsid w:val="00782AE4"/>
    <w:rsid w:val="0079724F"/>
    <w:rsid w:val="007A3EAE"/>
    <w:rsid w:val="007B4DFF"/>
    <w:rsid w:val="007C04FC"/>
    <w:rsid w:val="007C3D5F"/>
    <w:rsid w:val="007C3DB0"/>
    <w:rsid w:val="007C47C2"/>
    <w:rsid w:val="007D3E0F"/>
    <w:rsid w:val="007E4282"/>
    <w:rsid w:val="007E4287"/>
    <w:rsid w:val="007F387B"/>
    <w:rsid w:val="00802863"/>
    <w:rsid w:val="008112A9"/>
    <w:rsid w:val="0081473A"/>
    <w:rsid w:val="00815B3C"/>
    <w:rsid w:val="0081610A"/>
    <w:rsid w:val="008277C4"/>
    <w:rsid w:val="0082783A"/>
    <w:rsid w:val="00831CA9"/>
    <w:rsid w:val="00842B6B"/>
    <w:rsid w:val="00844E40"/>
    <w:rsid w:val="00845C2A"/>
    <w:rsid w:val="00850E1F"/>
    <w:rsid w:val="0085476B"/>
    <w:rsid w:val="0086340B"/>
    <w:rsid w:val="008859F1"/>
    <w:rsid w:val="008902B1"/>
    <w:rsid w:val="00890FEB"/>
    <w:rsid w:val="00893449"/>
    <w:rsid w:val="00895E7E"/>
    <w:rsid w:val="008961FD"/>
    <w:rsid w:val="008A5C1A"/>
    <w:rsid w:val="008C2318"/>
    <w:rsid w:val="008D085E"/>
    <w:rsid w:val="008D292F"/>
    <w:rsid w:val="008D3D4B"/>
    <w:rsid w:val="008E03DC"/>
    <w:rsid w:val="00902E51"/>
    <w:rsid w:val="00924065"/>
    <w:rsid w:val="00930B8A"/>
    <w:rsid w:val="00930D68"/>
    <w:rsid w:val="00932DB4"/>
    <w:rsid w:val="00941A4B"/>
    <w:rsid w:val="00946242"/>
    <w:rsid w:val="0095096B"/>
    <w:rsid w:val="00955827"/>
    <w:rsid w:val="00957556"/>
    <w:rsid w:val="00970CD3"/>
    <w:rsid w:val="009723FA"/>
    <w:rsid w:val="00984546"/>
    <w:rsid w:val="00996510"/>
    <w:rsid w:val="009A75CF"/>
    <w:rsid w:val="009C4E23"/>
    <w:rsid w:val="009D1F15"/>
    <w:rsid w:val="009D555E"/>
    <w:rsid w:val="009E2C1C"/>
    <w:rsid w:val="009F3024"/>
    <w:rsid w:val="009F39BA"/>
    <w:rsid w:val="00A0355E"/>
    <w:rsid w:val="00A21247"/>
    <w:rsid w:val="00A234E1"/>
    <w:rsid w:val="00A237B2"/>
    <w:rsid w:val="00A242F4"/>
    <w:rsid w:val="00A24D5C"/>
    <w:rsid w:val="00A375D1"/>
    <w:rsid w:val="00A41D2B"/>
    <w:rsid w:val="00A51D10"/>
    <w:rsid w:val="00A52A83"/>
    <w:rsid w:val="00A61252"/>
    <w:rsid w:val="00A6552C"/>
    <w:rsid w:val="00A744AF"/>
    <w:rsid w:val="00A760C7"/>
    <w:rsid w:val="00A87207"/>
    <w:rsid w:val="00A935AA"/>
    <w:rsid w:val="00A956D3"/>
    <w:rsid w:val="00AB2201"/>
    <w:rsid w:val="00AC3CBD"/>
    <w:rsid w:val="00AD1D34"/>
    <w:rsid w:val="00AD3259"/>
    <w:rsid w:val="00AE043C"/>
    <w:rsid w:val="00AF1715"/>
    <w:rsid w:val="00AF3904"/>
    <w:rsid w:val="00B010C0"/>
    <w:rsid w:val="00B124FF"/>
    <w:rsid w:val="00B15CBE"/>
    <w:rsid w:val="00B16315"/>
    <w:rsid w:val="00B40FD9"/>
    <w:rsid w:val="00B4740D"/>
    <w:rsid w:val="00B61629"/>
    <w:rsid w:val="00B635E0"/>
    <w:rsid w:val="00B7374B"/>
    <w:rsid w:val="00B90DC0"/>
    <w:rsid w:val="00BA116A"/>
    <w:rsid w:val="00BA5582"/>
    <w:rsid w:val="00BA6468"/>
    <w:rsid w:val="00BB15A8"/>
    <w:rsid w:val="00BB1D44"/>
    <w:rsid w:val="00BC680C"/>
    <w:rsid w:val="00BD06DA"/>
    <w:rsid w:val="00BD264E"/>
    <w:rsid w:val="00BD4217"/>
    <w:rsid w:val="00BE34F7"/>
    <w:rsid w:val="00BE7155"/>
    <w:rsid w:val="00BF25F3"/>
    <w:rsid w:val="00C01FCB"/>
    <w:rsid w:val="00C1697B"/>
    <w:rsid w:val="00C21644"/>
    <w:rsid w:val="00C21CB5"/>
    <w:rsid w:val="00C257CD"/>
    <w:rsid w:val="00C27015"/>
    <w:rsid w:val="00C406CA"/>
    <w:rsid w:val="00C46376"/>
    <w:rsid w:val="00C50A5C"/>
    <w:rsid w:val="00C50FDF"/>
    <w:rsid w:val="00C63381"/>
    <w:rsid w:val="00C73D06"/>
    <w:rsid w:val="00C73E1B"/>
    <w:rsid w:val="00C73EE8"/>
    <w:rsid w:val="00C7556C"/>
    <w:rsid w:val="00C759B4"/>
    <w:rsid w:val="00C77713"/>
    <w:rsid w:val="00C8528C"/>
    <w:rsid w:val="00C85BB7"/>
    <w:rsid w:val="00C86E0F"/>
    <w:rsid w:val="00CA2DEA"/>
    <w:rsid w:val="00CB3520"/>
    <w:rsid w:val="00CB43D5"/>
    <w:rsid w:val="00CC0B55"/>
    <w:rsid w:val="00CC4D84"/>
    <w:rsid w:val="00CE198A"/>
    <w:rsid w:val="00CF08C8"/>
    <w:rsid w:val="00D004FC"/>
    <w:rsid w:val="00D22BC0"/>
    <w:rsid w:val="00D6331A"/>
    <w:rsid w:val="00D64901"/>
    <w:rsid w:val="00D76BDF"/>
    <w:rsid w:val="00D818B6"/>
    <w:rsid w:val="00D82A57"/>
    <w:rsid w:val="00D82BFF"/>
    <w:rsid w:val="00D8443D"/>
    <w:rsid w:val="00D862C1"/>
    <w:rsid w:val="00D93B50"/>
    <w:rsid w:val="00D94028"/>
    <w:rsid w:val="00D94670"/>
    <w:rsid w:val="00DA46F6"/>
    <w:rsid w:val="00DA756F"/>
    <w:rsid w:val="00DB3B9C"/>
    <w:rsid w:val="00DC0577"/>
    <w:rsid w:val="00DC6B2E"/>
    <w:rsid w:val="00DD0B49"/>
    <w:rsid w:val="00DD0BDC"/>
    <w:rsid w:val="00DE0502"/>
    <w:rsid w:val="00DE349D"/>
    <w:rsid w:val="00E0270C"/>
    <w:rsid w:val="00E06DFA"/>
    <w:rsid w:val="00E20A0A"/>
    <w:rsid w:val="00E240C2"/>
    <w:rsid w:val="00E356C7"/>
    <w:rsid w:val="00E414CA"/>
    <w:rsid w:val="00E41A5A"/>
    <w:rsid w:val="00E45FE4"/>
    <w:rsid w:val="00E64FA7"/>
    <w:rsid w:val="00E65960"/>
    <w:rsid w:val="00E664DA"/>
    <w:rsid w:val="00E670F7"/>
    <w:rsid w:val="00E75CFD"/>
    <w:rsid w:val="00E770CB"/>
    <w:rsid w:val="00E8544A"/>
    <w:rsid w:val="00E903A1"/>
    <w:rsid w:val="00E92A37"/>
    <w:rsid w:val="00E940EB"/>
    <w:rsid w:val="00E942C2"/>
    <w:rsid w:val="00E9703F"/>
    <w:rsid w:val="00E97984"/>
    <w:rsid w:val="00EB2B90"/>
    <w:rsid w:val="00ED078F"/>
    <w:rsid w:val="00ED7E83"/>
    <w:rsid w:val="00EE091F"/>
    <w:rsid w:val="00EF4B63"/>
    <w:rsid w:val="00F0068D"/>
    <w:rsid w:val="00F00DDD"/>
    <w:rsid w:val="00F0576D"/>
    <w:rsid w:val="00F14E6D"/>
    <w:rsid w:val="00F15EA8"/>
    <w:rsid w:val="00F16063"/>
    <w:rsid w:val="00F16C8D"/>
    <w:rsid w:val="00F253CC"/>
    <w:rsid w:val="00F26C61"/>
    <w:rsid w:val="00F33CCE"/>
    <w:rsid w:val="00F40249"/>
    <w:rsid w:val="00F526C8"/>
    <w:rsid w:val="00F554B5"/>
    <w:rsid w:val="00F663FF"/>
    <w:rsid w:val="00F75954"/>
    <w:rsid w:val="00F761A3"/>
    <w:rsid w:val="00F9272D"/>
    <w:rsid w:val="00F9518C"/>
    <w:rsid w:val="00FA316E"/>
    <w:rsid w:val="00FA3373"/>
    <w:rsid w:val="00FA59EF"/>
    <w:rsid w:val="00FB19A2"/>
    <w:rsid w:val="00FB1DB6"/>
    <w:rsid w:val="00FB4A2E"/>
    <w:rsid w:val="00FD053D"/>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43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paragraph" w:styleId="Heading1">
    <w:name w:val="heading 1"/>
    <w:basedOn w:val="Normal"/>
    <w:next w:val="Normal"/>
    <w:link w:val="Heading1Char"/>
    <w:uiPriority w:val="9"/>
    <w:qFormat/>
    <w:rsid w:val="00560DF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567602"/>
    <w:pPr>
      <w:widowControl w:val="0"/>
      <w:autoSpaceDE w:val="0"/>
      <w:autoSpaceDN w:val="0"/>
      <w:adjustRightInd w:val="0"/>
      <w:jc w:val="center"/>
      <w:outlineLvl w:val="0"/>
    </w:pPr>
    <w:rPr>
      <w:rFonts w:eastAsiaTheme="minorEastAsia" w:cs="Times New Roman"/>
      <w:b/>
      <w:szCs w:val="20"/>
      <w:lang w:eastAsia="en-CA"/>
    </w:rPr>
  </w:style>
  <w:style w:type="paragraph" w:customStyle="1" w:styleId="Header1StyleF">
    <w:name w:val="Header 1 Style F"/>
    <w:basedOn w:val="Header1StyleE"/>
    <w:autoRedefine/>
    <w:qFormat/>
    <w:rsid w:val="0056760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SsocParty">
    <w:name w:val="SCC.Ssoc.Party"/>
    <w:basedOn w:val="Normal"/>
    <w:next w:val="Normal"/>
    <w:link w:val="SCCSsocPartyChar"/>
    <w:rsid w:val="00102792"/>
    <w:rPr>
      <w:rFonts w:cs="Times New Roman"/>
      <w:i/>
      <w:szCs w:val="24"/>
    </w:rPr>
  </w:style>
  <w:style w:type="character" w:customStyle="1" w:styleId="SCCSsocPartyChar">
    <w:name w:val="SCC.Ssoc.Party Char"/>
    <w:basedOn w:val="DefaultParagraphFont"/>
    <w:link w:val="SCCSsocParty"/>
    <w:rsid w:val="00102792"/>
    <w:rPr>
      <w:rFonts w:cs="Times New Roman"/>
      <w:i/>
      <w:szCs w:val="24"/>
      <w:lang w:val="en-CA"/>
    </w:rPr>
  </w:style>
  <w:style w:type="character" w:customStyle="1" w:styleId="sccssocchar">
    <w:name w:val="sccssocchar"/>
    <w:basedOn w:val="DefaultParagraphFont"/>
    <w:rsid w:val="00102792"/>
  </w:style>
  <w:style w:type="character" w:styleId="FollowedHyperlink">
    <w:name w:val="FollowedHyperlink"/>
    <w:basedOn w:val="DefaultParagraphFont"/>
    <w:uiPriority w:val="99"/>
    <w:semiHidden/>
    <w:unhideWhenUsed/>
    <w:rsid w:val="00102792"/>
    <w:rPr>
      <w:color w:val="800080" w:themeColor="followedHyperlink"/>
      <w:u w:val="single"/>
    </w:rPr>
  </w:style>
  <w:style w:type="paragraph" w:customStyle="1" w:styleId="scclsocparty0">
    <w:name w:val="scclsocparty"/>
    <w:basedOn w:val="Normal"/>
    <w:rsid w:val="00102792"/>
    <w:pPr>
      <w:spacing w:before="100" w:beforeAutospacing="1" w:after="100" w:afterAutospacing="1"/>
    </w:pPr>
    <w:rPr>
      <w:rFonts w:eastAsia="Times New Roman" w:cs="Times New Roman"/>
      <w:szCs w:val="24"/>
      <w:lang w:val="en-US"/>
    </w:rPr>
  </w:style>
  <w:style w:type="character" w:customStyle="1" w:styleId="sccfilenumberchar0">
    <w:name w:val="sccfilenumberchar"/>
    <w:basedOn w:val="DefaultParagraphFont"/>
    <w:rsid w:val="00102792"/>
  </w:style>
  <w:style w:type="paragraph" w:customStyle="1" w:styleId="scclsocotherpartyseparator0">
    <w:name w:val="scclsocotherpartyseparator"/>
    <w:basedOn w:val="Normal"/>
    <w:rsid w:val="00102792"/>
    <w:pPr>
      <w:spacing w:before="100" w:beforeAutospacing="1" w:after="100" w:afterAutospacing="1"/>
    </w:pPr>
    <w:rPr>
      <w:rFonts w:eastAsia="Times New Roman" w:cs="Times New Roman"/>
      <w:szCs w:val="24"/>
      <w:lang w:val="en-US"/>
    </w:rPr>
  </w:style>
  <w:style w:type="paragraph" w:customStyle="1" w:styleId="scclsocsubfileseparator">
    <w:name w:val="scclsocsubfileseparator"/>
    <w:basedOn w:val="Normal"/>
    <w:rsid w:val="00102792"/>
    <w:pPr>
      <w:spacing w:before="100" w:beforeAutospacing="1" w:after="100" w:afterAutospacing="1"/>
    </w:pPr>
    <w:rPr>
      <w:rFonts w:eastAsia="Times New Roman" w:cs="Times New Roman"/>
      <w:szCs w:val="24"/>
      <w:lang w:val="en-US"/>
    </w:rPr>
  </w:style>
  <w:style w:type="character" w:customStyle="1" w:styleId="decisia-reflex2-icon">
    <w:name w:val="decisia-reflex2-icon"/>
    <w:basedOn w:val="DefaultParagraphFont"/>
    <w:rsid w:val="00102792"/>
  </w:style>
  <w:style w:type="paragraph" w:customStyle="1" w:styleId="sccbansummary">
    <w:name w:val="sccbansummary"/>
    <w:basedOn w:val="Normal"/>
    <w:rsid w:val="00102792"/>
    <w:pPr>
      <w:spacing w:before="100" w:beforeAutospacing="1" w:after="100" w:afterAutospacing="1"/>
    </w:pPr>
    <w:rPr>
      <w:rFonts w:eastAsia="Times New Roman" w:cs="Times New Roman"/>
      <w:szCs w:val="24"/>
      <w:lang w:val="en-US"/>
    </w:rPr>
  </w:style>
  <w:style w:type="paragraph" w:customStyle="1" w:styleId="scccasedescriptor">
    <w:name w:val="scccasedescriptor"/>
    <w:basedOn w:val="Normal"/>
    <w:rsid w:val="00102792"/>
    <w:pPr>
      <w:spacing w:before="100" w:beforeAutospacing="1" w:after="100" w:afterAutospacing="1"/>
    </w:pPr>
    <w:rPr>
      <w:rFonts w:eastAsia="Times New Roman" w:cs="Times New Roman"/>
      <w:szCs w:val="24"/>
      <w:lang w:val="en-US"/>
    </w:rPr>
  </w:style>
  <w:style w:type="character" w:customStyle="1" w:styleId="solext0">
    <w:name w:val="solext0"/>
    <w:basedOn w:val="DefaultParagraphFont"/>
    <w:rsid w:val="00A744AF"/>
  </w:style>
  <w:style w:type="character" w:customStyle="1" w:styleId="Heading1Char">
    <w:name w:val="Heading 1 Char"/>
    <w:basedOn w:val="DefaultParagraphFont"/>
    <w:link w:val="Heading1"/>
    <w:uiPriority w:val="9"/>
    <w:rsid w:val="00560DF1"/>
    <w:rPr>
      <w:rFonts w:asciiTheme="majorHAnsi" w:eastAsiaTheme="majorEastAsia" w:hAnsiTheme="majorHAnsi" w:cstheme="majorBidi"/>
      <w:color w:val="365F91" w:themeColor="accent1" w:themeShade="BF"/>
      <w:sz w:val="32"/>
      <w:szCs w:val="32"/>
      <w:lang w:val="en-CA"/>
    </w:rPr>
  </w:style>
  <w:style w:type="paragraph" w:styleId="TOCHeading">
    <w:name w:val="TOC Heading"/>
    <w:basedOn w:val="Heading1"/>
    <w:next w:val="Normal"/>
    <w:uiPriority w:val="39"/>
    <w:unhideWhenUsed/>
    <w:qFormat/>
    <w:rsid w:val="00560DF1"/>
    <w:pPr>
      <w:spacing w:line="259" w:lineRule="auto"/>
      <w:outlineLvl w:val="9"/>
    </w:pPr>
    <w:rPr>
      <w:lang w:val="en-US"/>
    </w:rPr>
  </w:style>
  <w:style w:type="paragraph" w:styleId="TOC1">
    <w:name w:val="toc 1"/>
    <w:basedOn w:val="Normal"/>
    <w:next w:val="Normal"/>
    <w:autoRedefine/>
    <w:uiPriority w:val="39"/>
    <w:unhideWhenUsed/>
    <w:rsid w:val="00727571"/>
    <w:pPr>
      <w:spacing w:after="100"/>
    </w:pPr>
    <w:rPr>
      <w:sz w:val="20"/>
    </w:rPr>
  </w:style>
  <w:style w:type="paragraph" w:styleId="TOC2">
    <w:name w:val="toc 2"/>
    <w:basedOn w:val="Normal"/>
    <w:next w:val="Normal"/>
    <w:autoRedefine/>
    <w:uiPriority w:val="39"/>
    <w:unhideWhenUsed/>
    <w:rsid w:val="00560DF1"/>
    <w:pPr>
      <w:spacing w:after="100" w:line="259" w:lineRule="auto"/>
      <w:ind w:left="220"/>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560DF1"/>
    <w:pPr>
      <w:spacing w:after="100" w:line="259" w:lineRule="auto"/>
      <w:ind w:left="440"/>
    </w:pPr>
    <w:rPr>
      <w:rFonts w:asciiTheme="minorHAnsi" w:eastAsiaTheme="minorEastAsia" w:hAnsiTheme="minorHAnsi" w:cs="Times New Roman"/>
      <w:sz w:val="22"/>
      <w:lang w:val="en-US"/>
    </w:rPr>
  </w:style>
  <w:style w:type="paragraph" w:styleId="Title">
    <w:name w:val="Title"/>
    <w:basedOn w:val="Normal"/>
    <w:next w:val="Normal"/>
    <w:link w:val="TitleChar"/>
    <w:uiPriority w:val="10"/>
    <w:qFormat/>
    <w:rsid w:val="00693C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C38"/>
    <w:rPr>
      <w:rFonts w:asciiTheme="majorHAnsi" w:eastAsiaTheme="majorEastAsia" w:hAnsiTheme="majorHAnsi" w:cstheme="majorBidi"/>
      <w:spacing w:val="-10"/>
      <w:kern w:val="28"/>
      <w:sz w:val="56"/>
      <w:szCs w:val="56"/>
      <w:lang w:val="en-CA"/>
    </w:rPr>
  </w:style>
  <w:style w:type="paragraph" w:styleId="BalloonText">
    <w:name w:val="Balloon Text"/>
    <w:basedOn w:val="Normal"/>
    <w:link w:val="BalloonTextChar"/>
    <w:uiPriority w:val="99"/>
    <w:semiHidden/>
    <w:unhideWhenUsed/>
    <w:rsid w:val="008D3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D4B"/>
    <w:rPr>
      <w:rFonts w:ascii="Segoe UI" w:hAnsi="Segoe UI" w:cs="Segoe UI"/>
      <w:sz w:val="18"/>
      <w:szCs w:val="18"/>
      <w:lang w:val="en-CA"/>
    </w:rPr>
  </w:style>
  <w:style w:type="paragraph" w:customStyle="1" w:styleId="SCCAppellantInfoAppellantInfo">
    <w:name w:val="SCC.AppellantInfo.AppellantInfo"/>
    <w:basedOn w:val="Normal"/>
    <w:next w:val="Normal"/>
    <w:link w:val="SCCAppellantInfoAppellantInfoChar"/>
    <w:rsid w:val="00B124FF"/>
    <w:rPr>
      <w:szCs w:val="24"/>
    </w:rPr>
  </w:style>
  <w:style w:type="character" w:customStyle="1" w:styleId="SCCAppellantInfoAppellantInfoChar">
    <w:name w:val="SCC.AppellantInfo.AppellantInfo Char"/>
    <w:basedOn w:val="DefaultParagraphFont"/>
    <w:link w:val="SCCAppellantInfoAppellantInfo"/>
    <w:rsid w:val="00B124FF"/>
    <w:rPr>
      <w:szCs w:val="24"/>
      <w:lang w:val="en-CA"/>
    </w:rPr>
  </w:style>
  <w:style w:type="paragraph" w:customStyle="1" w:styleId="SCCBanSummary0">
    <w:name w:val="SCC.BanSummary"/>
    <w:basedOn w:val="Normal"/>
    <w:next w:val="Normal"/>
    <w:link w:val="SCCBanSummaryChar"/>
    <w:rsid w:val="00B124FF"/>
    <w:pPr>
      <w:jc w:val="both"/>
    </w:pPr>
    <w:rPr>
      <w:rFonts w:eastAsia="Calibri" w:cs="Times New Roman"/>
      <w:smallCaps/>
    </w:rPr>
  </w:style>
  <w:style w:type="character" w:customStyle="1" w:styleId="SCCBanSummaryChar">
    <w:name w:val="SCC.BanSummary Char"/>
    <w:basedOn w:val="DefaultParagraphFont"/>
    <w:link w:val="SCCBanSummary0"/>
    <w:rsid w:val="00B124FF"/>
    <w:rPr>
      <w:rFonts w:eastAsia="Calibri" w:cs="Times New Roman"/>
      <w:smallCaps/>
      <w:lang w:val="en-CA"/>
    </w:rPr>
  </w:style>
  <w:style w:type="paragraph" w:styleId="NoSpacing">
    <w:name w:val="No Spacing"/>
    <w:uiPriority w:val="1"/>
    <w:qFormat/>
    <w:rsid w:val="00B124FF"/>
    <w:pPr>
      <w:widowControl w:val="0"/>
      <w:autoSpaceDE w:val="0"/>
      <w:autoSpaceDN w:val="0"/>
      <w:adjustRightInd w:val="0"/>
    </w:pPr>
    <w:rPr>
      <w:rFonts w:eastAsia="Times New Roman" w:cs="Times New Roman"/>
      <w:szCs w:val="24"/>
      <w:lang w:eastAsia="en-CA"/>
    </w:rPr>
  </w:style>
  <w:style w:type="paragraph" w:styleId="DocumentMap">
    <w:name w:val="Document Map"/>
    <w:basedOn w:val="Normal"/>
    <w:link w:val="DocumentMapChar"/>
    <w:uiPriority w:val="99"/>
    <w:semiHidden/>
    <w:unhideWhenUsed/>
    <w:rsid w:val="00B124FF"/>
    <w:rPr>
      <w:rFonts w:ascii="Tahoma" w:eastAsia="Times New Roman" w:hAnsi="Tahoma" w:cs="Tahoma"/>
      <w:sz w:val="16"/>
      <w:szCs w:val="16"/>
      <w:lang w:val="en-US"/>
    </w:rPr>
  </w:style>
  <w:style w:type="character" w:customStyle="1" w:styleId="DocumentMapChar">
    <w:name w:val="Document Map Char"/>
    <w:basedOn w:val="DefaultParagraphFont"/>
    <w:link w:val="DocumentMap"/>
    <w:uiPriority w:val="99"/>
    <w:semiHidden/>
    <w:rsid w:val="00B124FF"/>
    <w:rPr>
      <w:rFonts w:ascii="Tahoma" w:eastAsia="Times New Roman" w:hAnsi="Tahoma" w:cs="Tahoma"/>
      <w:sz w:val="16"/>
      <w:szCs w:val="16"/>
    </w:rPr>
  </w:style>
  <w:style w:type="paragraph" w:customStyle="1" w:styleId="Style268435469">
    <w:name w:val="Style268435469"/>
    <w:rsid w:val="00B124FF"/>
    <w:pPr>
      <w:autoSpaceDE w:val="0"/>
      <w:autoSpaceDN w:val="0"/>
      <w:adjustRightInd w:val="0"/>
    </w:pPr>
    <w:rPr>
      <w:rFonts w:ascii="Arial" w:eastAsia="Calibri" w:hAnsi="Arial" w:cs="Arial"/>
      <w:szCs w:val="24"/>
      <w:lang w:val="en-CA"/>
    </w:rPr>
  </w:style>
  <w:style w:type="paragraph" w:styleId="PlainText">
    <w:name w:val="Plain Text"/>
    <w:basedOn w:val="Normal"/>
    <w:link w:val="PlainTextChar"/>
    <w:uiPriority w:val="99"/>
    <w:semiHidden/>
    <w:unhideWhenUsed/>
    <w:rsid w:val="00B124FF"/>
    <w:rPr>
      <w:rFonts w:ascii="Consolas" w:eastAsia="Times New Roman" w:hAnsi="Consolas" w:cs="Times New Roman"/>
      <w:sz w:val="21"/>
      <w:szCs w:val="21"/>
      <w:lang w:val="en-US"/>
    </w:rPr>
  </w:style>
  <w:style w:type="character" w:customStyle="1" w:styleId="PlainTextChar">
    <w:name w:val="Plain Text Char"/>
    <w:basedOn w:val="DefaultParagraphFont"/>
    <w:link w:val="PlainText"/>
    <w:uiPriority w:val="99"/>
    <w:semiHidden/>
    <w:rsid w:val="00B124FF"/>
    <w:rPr>
      <w:rFonts w:ascii="Consolas" w:eastAsia="Times New Roman" w:hAnsi="Consolas" w:cs="Times New Roman"/>
      <w:sz w:val="21"/>
      <w:szCs w:val="21"/>
    </w:rPr>
  </w:style>
  <w:style w:type="character" w:styleId="CommentReference">
    <w:name w:val="annotation reference"/>
    <w:basedOn w:val="DefaultParagraphFont"/>
    <w:uiPriority w:val="99"/>
    <w:semiHidden/>
    <w:unhideWhenUsed/>
    <w:rsid w:val="00B124FF"/>
    <w:rPr>
      <w:sz w:val="16"/>
      <w:szCs w:val="16"/>
    </w:rPr>
  </w:style>
  <w:style w:type="paragraph" w:styleId="CommentText">
    <w:name w:val="annotation text"/>
    <w:basedOn w:val="Normal"/>
    <w:link w:val="CommentTextChar"/>
    <w:uiPriority w:val="99"/>
    <w:semiHidden/>
    <w:unhideWhenUsed/>
    <w:rsid w:val="00B124FF"/>
    <w:rPr>
      <w:rFonts w:eastAsia="Times New Roman" w:cs="Times New Roman"/>
      <w:sz w:val="20"/>
      <w:szCs w:val="20"/>
      <w:lang w:val="en-US"/>
    </w:rPr>
  </w:style>
  <w:style w:type="character" w:customStyle="1" w:styleId="CommentTextChar">
    <w:name w:val="Comment Text Char"/>
    <w:basedOn w:val="DefaultParagraphFont"/>
    <w:link w:val="CommentText"/>
    <w:uiPriority w:val="99"/>
    <w:semiHidden/>
    <w:rsid w:val="00B124FF"/>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124FF"/>
    <w:rPr>
      <w:b/>
      <w:bCs/>
    </w:rPr>
  </w:style>
  <w:style w:type="character" w:customStyle="1" w:styleId="CommentSubjectChar">
    <w:name w:val="Comment Subject Char"/>
    <w:basedOn w:val="CommentTextChar"/>
    <w:link w:val="CommentSubject"/>
    <w:uiPriority w:val="99"/>
    <w:semiHidden/>
    <w:rsid w:val="00B124FF"/>
    <w:rPr>
      <w:rFonts w:eastAsia="Times New Roman" w:cs="Times New Roman"/>
      <w:b/>
      <w:bCs/>
      <w:sz w:val="20"/>
      <w:szCs w:val="20"/>
    </w:rPr>
  </w:style>
  <w:style w:type="paragraph" w:customStyle="1" w:styleId="SCCLsocSubfileSeparator0">
    <w:name w:val="SCC.Lsoc.SubfileSeparator"/>
    <w:basedOn w:val="Normal"/>
    <w:next w:val="Normal"/>
    <w:link w:val="SCCLsocSubfileSeparatorChar"/>
    <w:rsid w:val="00B124FF"/>
    <w:pPr>
      <w:jc w:val="both"/>
    </w:pPr>
    <w:rPr>
      <w:rFonts w:cs="Times New Roman"/>
      <w:b/>
      <w:szCs w:val="24"/>
    </w:rPr>
  </w:style>
  <w:style w:type="character" w:customStyle="1" w:styleId="SCCLsocSubfileSeparatorChar">
    <w:name w:val="SCC.Lsoc.SubfileSeparator Char"/>
    <w:basedOn w:val="DefaultParagraphFont"/>
    <w:link w:val="SCCLsocSubfileSeparator0"/>
    <w:rsid w:val="00B124FF"/>
    <w:rPr>
      <w:rFonts w:cs="Times New Roman"/>
      <w:b/>
      <w:szCs w:val="24"/>
      <w:lang w:val="en-CA"/>
    </w:rPr>
  </w:style>
  <w:style w:type="paragraph" w:customStyle="1" w:styleId="mauer1">
    <w:name w:val="mauer1"/>
    <w:basedOn w:val="Normal"/>
    <w:rsid w:val="00B124FF"/>
    <w:pPr>
      <w:spacing w:before="260"/>
      <w:jc w:val="both"/>
    </w:pPr>
    <w:rPr>
      <w:rFonts w:ascii="CG Times (W1)" w:eastAsia="Times New Roman" w:hAnsi="CG Times (W1)" w:cs="Times New Roman"/>
      <w:sz w:val="28"/>
      <w:szCs w:val="28"/>
      <w:lang w:val="en-US"/>
    </w:rPr>
  </w:style>
  <w:style w:type="paragraph" w:customStyle="1" w:styleId="paragnum1">
    <w:name w:val="paragnum1"/>
    <w:basedOn w:val="Normal"/>
    <w:rsid w:val="00B124FF"/>
    <w:pPr>
      <w:tabs>
        <w:tab w:val="num" w:pos="0"/>
      </w:tabs>
      <w:spacing w:before="552"/>
    </w:pPr>
    <w:rPr>
      <w:rFonts w:eastAsia="Times New Roman" w:cs="Times New Roman"/>
      <w:szCs w:val="24"/>
      <w:lang w:val="en-US"/>
    </w:rPr>
  </w:style>
  <w:style w:type="table" w:customStyle="1" w:styleId="TableGrid3">
    <w:name w:val="Table Grid3"/>
    <w:basedOn w:val="TableNormal"/>
    <w:next w:val="TableGrid"/>
    <w:uiPriority w:val="59"/>
    <w:rsid w:val="00B124FF"/>
    <w:rPr>
      <w:rFonts w:eastAsia="Calibri" w:cs="Times New Roman"/>
      <w:szCs w:val="24"/>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4571">
      <w:bodyDiv w:val="1"/>
      <w:marLeft w:val="0"/>
      <w:marRight w:val="0"/>
      <w:marTop w:val="0"/>
      <w:marBottom w:val="0"/>
      <w:divBdr>
        <w:top w:val="none" w:sz="0" w:space="0" w:color="auto"/>
        <w:left w:val="none" w:sz="0" w:space="0" w:color="auto"/>
        <w:bottom w:val="none" w:sz="0" w:space="0" w:color="auto"/>
        <w:right w:val="none" w:sz="0" w:space="0" w:color="auto"/>
      </w:divBdr>
    </w:div>
    <w:div w:id="388311168">
      <w:bodyDiv w:val="1"/>
      <w:marLeft w:val="0"/>
      <w:marRight w:val="0"/>
      <w:marTop w:val="0"/>
      <w:marBottom w:val="0"/>
      <w:divBdr>
        <w:top w:val="none" w:sz="0" w:space="0" w:color="auto"/>
        <w:left w:val="none" w:sz="0" w:space="0" w:color="auto"/>
        <w:bottom w:val="none" w:sz="0" w:space="0" w:color="auto"/>
        <w:right w:val="none" w:sz="0" w:space="0" w:color="auto"/>
      </w:divBdr>
    </w:div>
    <w:div w:id="741215213">
      <w:bodyDiv w:val="1"/>
      <w:marLeft w:val="0"/>
      <w:marRight w:val="0"/>
      <w:marTop w:val="0"/>
      <w:marBottom w:val="0"/>
      <w:divBdr>
        <w:top w:val="none" w:sz="0" w:space="0" w:color="auto"/>
        <w:left w:val="none" w:sz="0" w:space="0" w:color="auto"/>
        <w:bottom w:val="none" w:sz="0" w:space="0" w:color="auto"/>
        <w:right w:val="none" w:sz="0" w:space="0" w:color="auto"/>
      </w:divBdr>
    </w:div>
    <w:div w:id="1477378695">
      <w:bodyDiv w:val="1"/>
      <w:marLeft w:val="0"/>
      <w:marRight w:val="0"/>
      <w:marTop w:val="0"/>
      <w:marBottom w:val="0"/>
      <w:divBdr>
        <w:top w:val="none" w:sz="0" w:space="0" w:color="auto"/>
        <w:left w:val="none" w:sz="0" w:space="0" w:color="auto"/>
        <w:bottom w:val="none" w:sz="0" w:space="0" w:color="auto"/>
        <w:right w:val="none" w:sz="0" w:space="0" w:color="auto"/>
      </w:divBdr>
    </w:div>
    <w:div w:id="1526364174">
      <w:bodyDiv w:val="1"/>
      <w:marLeft w:val="0"/>
      <w:marRight w:val="0"/>
      <w:marTop w:val="0"/>
      <w:marBottom w:val="0"/>
      <w:divBdr>
        <w:top w:val="none" w:sz="0" w:space="0" w:color="auto"/>
        <w:left w:val="none" w:sz="0" w:space="0" w:color="auto"/>
        <w:bottom w:val="none" w:sz="0" w:space="0" w:color="auto"/>
        <w:right w:val="none" w:sz="0" w:space="0" w:color="auto"/>
      </w:divBdr>
    </w:div>
    <w:div w:id="211959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canlii.ca/t/hr38f" TargetMode="External"/><Relationship Id="rId117" Type="http://schemas.openxmlformats.org/officeDocument/2006/relationships/hyperlink" Target="https://www.canlii.org/en/qc/qccs/doc/2016/2016qccs2109/2016qccs2109.html?autocompleteStr=2016%20QCCS%202109&amp;autocompletePos=1" TargetMode="External"/><Relationship Id="rId21" Type="http://schemas.openxmlformats.org/officeDocument/2006/relationships/hyperlink" Target="https://www.canlii.org/fr/qc/qcca/doc/2018/2018qcca903/2018qcca903.pdf" TargetMode="External"/><Relationship Id="rId42" Type="http://schemas.openxmlformats.org/officeDocument/2006/relationships/hyperlink" Target="https://www.canlii.org/en/on/onca/doc/2018/2018onca674/2018onca674.html?searchUrlHash=AAAAAQANMjAxOCBPTkNBIDY3NAAAAAAB&amp;resultIndex=1" TargetMode="External"/><Relationship Id="rId47" Type="http://schemas.openxmlformats.org/officeDocument/2006/relationships/hyperlink" Target="https://www.canlii.org/en/on/onsc/doc/2017/2017onsc4514/2017onsc4514.html?autocompleteStr=2017%20ONSC%204514&amp;autocompletePos=1" TargetMode="External"/><Relationship Id="rId63" Type="http://schemas.openxmlformats.org/officeDocument/2006/relationships/hyperlink" Target="https://www.canlii.org/en/on/onca/doc/2018/2018onca192/2018onca192.html?autocompleteStr=2018+ONCA+192&amp;autocompletePos=1&amp;searchUrlHash=AAAAAQAFbWFzb24AAAAAAQ&amp;offset=787" TargetMode="External"/><Relationship Id="rId68" Type="http://schemas.openxmlformats.org/officeDocument/2006/relationships/hyperlink" Target="https://www.canlii.org/en/bc/bcsc/doc/2015/2015bcsc534/2015bcsc534.html?resultIndex=1" TargetMode="External"/><Relationship Id="rId84" Type="http://schemas.openxmlformats.org/officeDocument/2006/relationships/hyperlink" Target="https://www.canlii.org/en/ab/abca/doc/2018/2018abca146/2018abca146.html?searchUrlHash=AAAAAAAAAAEAFjIwMTcgQUJRQiAyNjcgKENhbkxJSSkAAAABAAwvMjAxN2FicWIyNjcB&amp;resultIndex=1" TargetMode="External"/><Relationship Id="rId89" Type="http://schemas.openxmlformats.org/officeDocument/2006/relationships/hyperlink" Target="https://www.canlii.org/en/on/onsc/doc/2017/2017canlii47377/2017canlii47377.html?autocompleteStr=md%20physician%20services%20inc%20v.%20w&amp;autocompletePos=1" TargetMode="External"/><Relationship Id="rId112" Type="http://schemas.openxmlformats.org/officeDocument/2006/relationships/hyperlink" Target="https://www.canlii.org/en/on/onca/doc/2018/2018onca442/2018onca442.html?autocompleteStr=2018%20onca%20442&amp;autocompletePos=1" TargetMode="External"/><Relationship Id="rId133" Type="http://schemas.openxmlformats.org/officeDocument/2006/relationships/footer" Target="footer11.xml"/><Relationship Id="rId138" Type="http://schemas.openxmlformats.org/officeDocument/2006/relationships/header" Target="header15.xml"/><Relationship Id="rId154" Type="http://schemas.openxmlformats.org/officeDocument/2006/relationships/hyperlink" Target="https://www.scc-csc.ca/case-dossier/info/sum-som-fra.aspx?cas=38258" TargetMode="External"/><Relationship Id="rId159" Type="http://schemas.openxmlformats.org/officeDocument/2006/relationships/hyperlink" Target="https://www.scc-csc.ca/case-dossier/info/sum-som-fra.aspx?cas=38073" TargetMode="External"/><Relationship Id="rId170" Type="http://schemas.openxmlformats.org/officeDocument/2006/relationships/fontTable" Target="fontTable.xml"/><Relationship Id="rId16" Type="http://schemas.openxmlformats.org/officeDocument/2006/relationships/footer" Target="footer3.xml"/><Relationship Id="rId107" Type="http://schemas.openxmlformats.org/officeDocument/2006/relationships/hyperlink" Target="https://www.canlii.org/en/ns/nsca/doc/2018/2018nsca44/2018nsca44.html?autocompleteStr=2018%20NSCA%2044&amp;autocompletePos=1" TargetMode="External"/><Relationship Id="rId11" Type="http://schemas.openxmlformats.org/officeDocument/2006/relationships/header" Target="header1.xml"/><Relationship Id="rId32" Type="http://schemas.openxmlformats.org/officeDocument/2006/relationships/hyperlink" Target="https://www.canlii.org/en/ca/laws/stat/rsc-1985-c-h-6/latest/rsc-1985-c-h-6.html" TargetMode="External"/><Relationship Id="rId37" Type="http://schemas.openxmlformats.org/officeDocument/2006/relationships/hyperlink" Target="https://www.canlii.org/en/on/onsc/doc/2015/2015onsc1570/2015onsc1570.html" TargetMode="External"/><Relationship Id="rId53" Type="http://schemas.openxmlformats.org/officeDocument/2006/relationships/hyperlink" Target="https://www.canlii.org/en/bc/bcca/doc/2018/2018bcca78/2018bcca78.html?autocompleteStr=2018%20BCCA%2078&amp;autocompletePos=1" TargetMode="External"/><Relationship Id="rId58" Type="http://schemas.openxmlformats.org/officeDocument/2006/relationships/hyperlink" Target="https://www.canlii.org/en/bc/bcca/doc/2017/2017bcca453/2017bcca453.html?resultIndex=1" TargetMode="External"/><Relationship Id="rId74" Type="http://schemas.openxmlformats.org/officeDocument/2006/relationships/hyperlink" Target="https://www.canlii.org/en/ab/abca/doc/2018/2018abca228/2018abca228.html?autocompleteStr=2018%20ABCA%20228&amp;autocompletePos=1" TargetMode="External"/><Relationship Id="rId79" Type="http://schemas.openxmlformats.org/officeDocument/2006/relationships/hyperlink" Target="https://www.canlii.org/fr/ca/cfpi/doc/2016/2016cf32/2016cf32.html" TargetMode="External"/><Relationship Id="rId102" Type="http://schemas.openxmlformats.org/officeDocument/2006/relationships/hyperlink" Target="http://canlii.ca/t/hr4hw" TargetMode="External"/><Relationship Id="rId123" Type="http://schemas.openxmlformats.org/officeDocument/2006/relationships/header" Target="header7.xml"/><Relationship Id="rId128" Type="http://schemas.openxmlformats.org/officeDocument/2006/relationships/footer" Target="footer9.xml"/><Relationship Id="rId144" Type="http://schemas.openxmlformats.org/officeDocument/2006/relationships/hyperlink" Target="https://scc-csc.lexum.com/scc-csc/scc-csc/fr/item/17474/index.do" TargetMode="External"/><Relationship Id="rId149" Type="http://schemas.openxmlformats.org/officeDocument/2006/relationships/footer" Target="footer17.xml"/><Relationship Id="rId5" Type="http://schemas.openxmlformats.org/officeDocument/2006/relationships/webSettings" Target="webSettings.xml"/><Relationship Id="rId90" Type="http://schemas.openxmlformats.org/officeDocument/2006/relationships/hyperlink" Target="https://www.canlii.org/en/on/onca/doc/2018/2018onca440/2018onca440.html?autocompleteStr=2018%20ONCA%20440&amp;autocompletePos=1" TargetMode="External"/><Relationship Id="rId95" Type="http://schemas.openxmlformats.org/officeDocument/2006/relationships/hyperlink" Target="https://www.canlii.org/fr/qc/qccs/doc/2017/2017qccs5833/2017qccs5833.html" TargetMode="External"/><Relationship Id="rId160" Type="http://schemas.openxmlformats.org/officeDocument/2006/relationships/hyperlink" Target="https://www.scc-csc.ca/case-dossier/info/sum-som-eng.aspx?cas=38004" TargetMode="External"/><Relationship Id="rId165" Type="http://schemas.openxmlformats.org/officeDocument/2006/relationships/footer" Target="footer21.xml"/><Relationship Id="rId22" Type="http://schemas.openxmlformats.org/officeDocument/2006/relationships/hyperlink" Target="https://www.canlii.org/fr/qc/qcca/doc/2018/2018qcca903/2018qcca903.pdf" TargetMode="External"/><Relationship Id="rId27" Type="http://schemas.openxmlformats.org/officeDocument/2006/relationships/hyperlink" Target="http://canlii.ca/t/gxdbh" TargetMode="External"/><Relationship Id="rId43" Type="http://schemas.openxmlformats.org/officeDocument/2006/relationships/hyperlink" Target="https://www.canlii.org/en/sk/skca/doc/2018/2018skca65/2018skca65.html?resultIndex=1" TargetMode="External"/><Relationship Id="rId48" Type="http://schemas.openxmlformats.org/officeDocument/2006/relationships/hyperlink" Target="https://www.canlii.org/en/on/onca/doc/2018/2018onca401/2018onca401.html?autocompleteStr=2018%20ONCA%20401&amp;autocompletePos=1" TargetMode="External"/><Relationship Id="rId64" Type="http://schemas.openxmlformats.org/officeDocument/2006/relationships/hyperlink" Target="https://www.canlii.org/en/on/onsc/doc/2014/2014onsc4709/2014onsc4709.html" TargetMode="External"/><Relationship Id="rId69" Type="http://schemas.openxmlformats.org/officeDocument/2006/relationships/hyperlink" Target="https://www.canlii.org/en/bc/bchrt/doc/2012/2012bchrt23/2012bchrt23.html?autocompleteStr=2012%20BCHRT%2023%20&amp;autocompletePos=1" TargetMode="External"/><Relationship Id="rId113" Type="http://schemas.openxmlformats.org/officeDocument/2006/relationships/hyperlink" Target="https://www.canlii.org/en/on/onsc/doc/2017/2017onsc1685/2017onsc1685.html" TargetMode="External"/><Relationship Id="rId118" Type="http://schemas.openxmlformats.org/officeDocument/2006/relationships/hyperlink" Target="https://www.canlii.org/en/qc/qcca/doc/2018/2018qcca504/2018qcca504.html?resultIndex=1" TargetMode="External"/><Relationship Id="rId134" Type="http://schemas.openxmlformats.org/officeDocument/2006/relationships/footer" Target="footer12.xml"/><Relationship Id="rId139" Type="http://schemas.openxmlformats.org/officeDocument/2006/relationships/footer" Target="footer14.xml"/><Relationship Id="rId80" Type="http://schemas.openxmlformats.org/officeDocument/2006/relationships/hyperlink" Target="http://canlii.ca/t/hqzgn" TargetMode="External"/><Relationship Id="rId85" Type="http://schemas.openxmlformats.org/officeDocument/2006/relationships/hyperlink" Target="https://www.canlii.org/en/ab/abqb/doc/2017/2017abqb267/2017abqb267.html?autocompleteStr=2017abqb267&amp;autocompletePos=1" TargetMode="External"/><Relationship Id="rId150" Type="http://schemas.openxmlformats.org/officeDocument/2006/relationships/footer" Target="footer18.xml"/><Relationship Id="rId155" Type="http://schemas.openxmlformats.org/officeDocument/2006/relationships/hyperlink" Target="https://www.scc-csc.ca/case-dossier/info/sum-som-eng.aspx?cas=38269" TargetMode="External"/><Relationship Id="rId171" Type="http://schemas.openxmlformats.org/officeDocument/2006/relationships/theme" Target="theme/theme1.xml"/><Relationship Id="rId12" Type="http://schemas.openxmlformats.org/officeDocument/2006/relationships/footer" Target="footer1.xml"/><Relationship Id="rId17" Type="http://schemas.openxmlformats.org/officeDocument/2006/relationships/header" Target="header4.xml"/><Relationship Id="rId33" Type="http://schemas.openxmlformats.org/officeDocument/2006/relationships/hyperlink" Target="https://www.canlii.org/fr/ca/cfpi/doc/2017/2017cf633/2017cf633.html" TargetMode="External"/><Relationship Id="rId38" Type="http://schemas.openxmlformats.org/officeDocument/2006/relationships/hyperlink" Target="https://www.canlii.org/en/on/onsc/doc/2016/2016onsc505/2016onsc505.html?searchUrlHash=AAAAAQANMjAxNiBPTlNDIDUwNQAAAAAB&amp;resultIndex=1" TargetMode="External"/><Relationship Id="rId59" Type="http://schemas.openxmlformats.org/officeDocument/2006/relationships/hyperlink" Target="https://www.canlii.org/en/bc/bcsc/doc/2016/2016bcsc1323/2016bcsc1323.html?autocompleteStr=2016%20BCSC%201323&amp;autocompletePos=1" TargetMode="External"/><Relationship Id="rId103" Type="http://schemas.openxmlformats.org/officeDocument/2006/relationships/hyperlink" Target="http://canlii.ca/t/hr5b6" TargetMode="External"/><Relationship Id="rId108" Type="http://schemas.openxmlformats.org/officeDocument/2006/relationships/hyperlink" Target="https://www.canlii.org/en/ns/nssc/doc/2017/2017nssc16/2017nssc16.html?resultIndex=1" TargetMode="External"/><Relationship Id="rId124" Type="http://schemas.openxmlformats.org/officeDocument/2006/relationships/footer" Target="footer7.xml"/><Relationship Id="rId129" Type="http://schemas.openxmlformats.org/officeDocument/2006/relationships/header" Target="header10.xml"/><Relationship Id="rId54" Type="http://schemas.openxmlformats.org/officeDocument/2006/relationships/hyperlink" Target="https://www.canlii.org/en/bc/bchrt/doc/2012/2012bchrt327/2012bchrt327.html?autocompleteStr=2012%20BCHRT%20327&amp;autocompletePos=1" TargetMode="External"/><Relationship Id="rId70" Type="http://schemas.openxmlformats.org/officeDocument/2006/relationships/hyperlink" Target="https://www.canlii.org/en/bc/bcsc/doc/2015/2015bcsc534/2015bcsc534.html?resultIndex=1" TargetMode="External"/><Relationship Id="rId75" Type="http://schemas.openxmlformats.org/officeDocument/2006/relationships/hyperlink" Target="http://canlii.ca/t/h35p9" TargetMode="External"/><Relationship Id="rId91" Type="http://schemas.openxmlformats.org/officeDocument/2006/relationships/hyperlink" Target="https://www.canlii.org/en/on/onsc/doc/2017/2017canlii47377/2017canlii47377.html?autocompleteStr=md%20physician%20services%20inc%20v.%20w&amp;autocompletePos=1" TargetMode="External"/><Relationship Id="rId96" Type="http://schemas.openxmlformats.org/officeDocument/2006/relationships/hyperlink" Target="https://www.canlii.org/fr/qc/qcca/doc/2018/2018qcca578/2018qcca578.html?autocompleteStr=500-09-027274-182&amp;autocompletePos=1" TargetMode="External"/><Relationship Id="rId140" Type="http://schemas.openxmlformats.org/officeDocument/2006/relationships/footer" Target="footer15.xml"/><Relationship Id="rId145" Type="http://schemas.openxmlformats.org/officeDocument/2006/relationships/hyperlink" Target="https://scc-csc.lexum.com/scc-csc/scc-csc/en/item/17504/index.do" TargetMode="External"/><Relationship Id="rId161" Type="http://schemas.openxmlformats.org/officeDocument/2006/relationships/hyperlink" Target="https://www.scc-csc.ca/case-dossier/info/sum-som-eng.aspx?cas=37893" TargetMode="External"/><Relationship Id="rId166"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yperlink" Target="https://www.canlii.org/en/mb/mbca/doc/2018/2018mbca47/2018mbca47.html?resultIndex=1" TargetMode="External"/><Relationship Id="rId28" Type="http://schemas.openxmlformats.org/officeDocument/2006/relationships/hyperlink" Target="http://canlii.ca/t/hr38f" TargetMode="External"/><Relationship Id="rId36" Type="http://schemas.openxmlformats.org/officeDocument/2006/relationships/hyperlink" Target="https://www.canlii.org/en/on/onca/doc/2018/2018onca784/2018onca784.html?resultIndex=1" TargetMode="External"/><Relationship Id="rId49" Type="http://schemas.openxmlformats.org/officeDocument/2006/relationships/hyperlink" Target="https://www.canlii.org/en/on/onsc/doc/2017/2017onsc4514/2017onsc4514.html?autocompleteStr=2017%20ONSC%204514&amp;autocompletePos=1" TargetMode="External"/><Relationship Id="rId57" Type="http://schemas.openxmlformats.org/officeDocument/2006/relationships/hyperlink" Target="https://www.canlii.org/en/bc/bcsc/doc/2016/2016bcsc1323/2016bcsc1323.html?autocompleteStr=2016%20BCSC%201323&amp;autocompletePos=1" TargetMode="External"/><Relationship Id="rId106" Type="http://schemas.openxmlformats.org/officeDocument/2006/relationships/hyperlink" Target="https://www.canlii.org/en/ns/nssc/doc/2017/2017nssc123/2017nssc123.html?autocompleteStr=2017%20NSSC%20123&amp;autocompletePos=1" TargetMode="External"/><Relationship Id="rId114" Type="http://schemas.openxmlformats.org/officeDocument/2006/relationships/hyperlink" Target="https://www.canlii.org/en/on/onca/doc/2018/2018onca442/2018onca442.html?autocompleteStr=2018%20onca%20442&amp;autocompletePos=1" TargetMode="External"/><Relationship Id="rId119" Type="http://schemas.openxmlformats.org/officeDocument/2006/relationships/header" Target="header5.xml"/><Relationship Id="rId127" Type="http://schemas.openxmlformats.org/officeDocument/2006/relationships/footer" Target="footer8.xml"/><Relationship Id="rId10" Type="http://schemas.openxmlformats.org/officeDocument/2006/relationships/hyperlink" Target="http://www.scc-csc.ca" TargetMode="External"/><Relationship Id="rId31" Type="http://schemas.openxmlformats.org/officeDocument/2006/relationships/hyperlink" Target="http://canlii.ca/t/hsbtt" TargetMode="External"/><Relationship Id="rId44" Type="http://schemas.openxmlformats.org/officeDocument/2006/relationships/hyperlink" Target="https://www.canlii.org/en/sk/skca/doc/2018/2018skca65/2018skca65.html?resultIndex=1" TargetMode="External"/><Relationship Id="rId52" Type="http://schemas.openxmlformats.org/officeDocument/2006/relationships/hyperlink" Target="https://www.canlii.org/en/bc/bcsc/doc/2017/2017bcsc1083/2017bcsc1083.html?resultIndex=1" TargetMode="External"/><Relationship Id="rId60" Type="http://schemas.openxmlformats.org/officeDocument/2006/relationships/hyperlink" Target="https://www.canlii.org/en/bc/bcca/doc/2017/2017bcca453/2017bcca453.html?resultIndex=1" TargetMode="External"/><Relationship Id="rId65" Type="http://schemas.openxmlformats.org/officeDocument/2006/relationships/hyperlink" Target="https://www.canlii.org/en/on/onscdc/doc/2016/2016onsc442/2016onsc442.html" TargetMode="External"/><Relationship Id="rId73" Type="http://schemas.openxmlformats.org/officeDocument/2006/relationships/hyperlink" Target="https://www.canlii.org/en/ab/abpc/doc/2017/2017abpc83/2017abpc83.html?autocompleteStr=2017%20ABPC%2083&amp;autocompletePos=1" TargetMode="External"/><Relationship Id="rId78" Type="http://schemas.openxmlformats.org/officeDocument/2006/relationships/hyperlink" Target="http://canlii.ca/t/hqzgn" TargetMode="External"/><Relationship Id="rId81" Type="http://schemas.openxmlformats.org/officeDocument/2006/relationships/hyperlink" Target="http://canlii.ca/t/h677f" TargetMode="External"/><Relationship Id="rId86" Type="http://schemas.openxmlformats.org/officeDocument/2006/relationships/hyperlink" Target="https://www.canlii.org/en/ab/abca/doc/2018/2018abca146/2018abca146.html?searchUrlHash=AAAAAAAAAAEAFjIwMTcgQUJRQiAyNjcgKENhbkxJSSkAAAABAAwvMjAxN2FicWIyNjcB&amp;resultIndex=1" TargetMode="External"/><Relationship Id="rId94" Type="http://schemas.openxmlformats.org/officeDocument/2006/relationships/hyperlink" Target="https://www.canlii.org/fr/qc/qcca/doc/2018/2018qcca578/2018qcca578.html?autocompleteStr=500-09-027274-182&amp;autocompletePos=1" TargetMode="External"/><Relationship Id="rId99" Type="http://schemas.openxmlformats.org/officeDocument/2006/relationships/hyperlink" Target="http://canlii.ca/t/hrvbx" TargetMode="External"/><Relationship Id="rId101" Type="http://schemas.openxmlformats.org/officeDocument/2006/relationships/hyperlink" Target="http://canlii.ca/t/hrvbx" TargetMode="External"/><Relationship Id="rId122" Type="http://schemas.openxmlformats.org/officeDocument/2006/relationships/footer" Target="footer6.xml"/><Relationship Id="rId130" Type="http://schemas.openxmlformats.org/officeDocument/2006/relationships/footer" Target="footer10.xml"/><Relationship Id="rId135" Type="http://schemas.openxmlformats.org/officeDocument/2006/relationships/header" Target="header13.xml"/><Relationship Id="rId143" Type="http://schemas.openxmlformats.org/officeDocument/2006/relationships/hyperlink" Target="https://scc-csc.lexum.com/scc-csc/scc-csc/en/item/17474/index.do" TargetMode="External"/><Relationship Id="rId148" Type="http://schemas.openxmlformats.org/officeDocument/2006/relationships/header" Target="header18.xml"/><Relationship Id="rId151" Type="http://schemas.openxmlformats.org/officeDocument/2006/relationships/header" Target="header19.xml"/><Relationship Id="rId156" Type="http://schemas.openxmlformats.org/officeDocument/2006/relationships/hyperlink" Target="https://www.scc-csc.ca/case-dossier/info/sum-som-eng.aspx?cas=38217" TargetMode="External"/><Relationship Id="rId164" Type="http://schemas.openxmlformats.org/officeDocument/2006/relationships/footer" Target="footer20.xml"/><Relationship Id="rId169" Type="http://schemas.openxmlformats.org/officeDocument/2006/relationships/footer" Target="footer23.xml"/><Relationship Id="rId4" Type="http://schemas.openxmlformats.org/officeDocument/2006/relationships/settings" Target="settings.xml"/><Relationship Id="rId9" Type="http://schemas.openxmlformats.org/officeDocument/2006/relationships/hyperlink" Target="http://www.scc-csc.ca" TargetMode="External"/><Relationship Id="rId13" Type="http://schemas.openxmlformats.org/officeDocument/2006/relationships/header" Target="header2.xml"/><Relationship Id="rId18" Type="http://schemas.openxmlformats.org/officeDocument/2006/relationships/footer" Target="footer4.xml"/><Relationship Id="rId39" Type="http://schemas.openxmlformats.org/officeDocument/2006/relationships/hyperlink" Target="https://www.canlii.org/en/on/onca/doc/2018/2018onca674/2018onca674.html?searchUrlHash=AAAAAQANMjAxOCBPTkNBIDY3NAAAAAAB&amp;resultIndex=1" TargetMode="External"/><Relationship Id="rId109" Type="http://schemas.openxmlformats.org/officeDocument/2006/relationships/hyperlink" Target="https://www.canlii.org/en/ns/nssc/doc/2017/2017nssc123/2017nssc123.html?autocompleteStr=2017%20NSSC%20123&amp;autocompletePos=1" TargetMode="External"/><Relationship Id="rId34" Type="http://schemas.openxmlformats.org/officeDocument/2006/relationships/hyperlink" Target="http://canlii.ca/t/hsbtt" TargetMode="External"/><Relationship Id="rId50" Type="http://schemas.openxmlformats.org/officeDocument/2006/relationships/hyperlink" Target="https://www.canlii.org/en/on/onca/doc/2018/2018onca401/2018onca401.html?autocompleteStr=2018%20ONCA%20401&amp;autocompletePos=1" TargetMode="External"/><Relationship Id="rId55" Type="http://schemas.openxmlformats.org/officeDocument/2006/relationships/hyperlink" Target="https://www.canlii.org/en/bc/bcsc/doc/2017/2017bcsc1083/2017bcsc1083.html?resultIndex=1" TargetMode="External"/><Relationship Id="rId76" Type="http://schemas.openxmlformats.org/officeDocument/2006/relationships/hyperlink" Target="http://canlii.ca/t/h35p9" TargetMode="External"/><Relationship Id="rId97" Type="http://schemas.openxmlformats.org/officeDocument/2006/relationships/hyperlink" Target="https://www.canlii.org/en/mb/mbca/doc/2018/2018mbca81/2018mbca81.html?resultIndex=1" TargetMode="External"/><Relationship Id="rId104" Type="http://schemas.openxmlformats.org/officeDocument/2006/relationships/hyperlink" Target="https://www.canlii.org/en/ab/abqb/doc/2018/2018abqb220/2018abqb220.html" TargetMode="External"/><Relationship Id="rId120" Type="http://schemas.openxmlformats.org/officeDocument/2006/relationships/header" Target="header6.xml"/><Relationship Id="rId125" Type="http://schemas.openxmlformats.org/officeDocument/2006/relationships/header" Target="header8.xml"/><Relationship Id="rId141" Type="http://schemas.openxmlformats.org/officeDocument/2006/relationships/header" Target="header16.xml"/><Relationship Id="rId146" Type="http://schemas.openxmlformats.org/officeDocument/2006/relationships/hyperlink" Target="https://scc-csc.lexum.com/scc-csc/scc-csc/fr/item/17504/index.dohttps:/scc-csc.lexum.com/scc-csc/scc-csc/fr/item/17504/index.do" TargetMode="External"/><Relationship Id="rId167" Type="http://schemas.openxmlformats.org/officeDocument/2006/relationships/footer" Target="footer22.xml"/><Relationship Id="rId7" Type="http://schemas.openxmlformats.org/officeDocument/2006/relationships/endnotes" Target="endnotes.xml"/><Relationship Id="rId71" Type="http://schemas.openxmlformats.org/officeDocument/2006/relationships/hyperlink" Target="https://www.canlii.org/en/ab/abpc/doc/2017/2017abpc83/2017abpc83.html?autocompleteStr=2017%20ABPC%2083&amp;autocompletePos=1" TargetMode="External"/><Relationship Id="rId92" Type="http://schemas.openxmlformats.org/officeDocument/2006/relationships/hyperlink" Target="https://www.canlii.org/en/on/onca/doc/2018/2018onca440/2018onca440.html?autocompleteStr=2018%20ONCA%20440&amp;autocompletePos=1" TargetMode="External"/><Relationship Id="rId162" Type="http://schemas.openxmlformats.org/officeDocument/2006/relationships/header" Target="header20.xml"/><Relationship Id="rId2" Type="http://schemas.openxmlformats.org/officeDocument/2006/relationships/numbering" Target="numbering.xml"/><Relationship Id="rId29" Type="http://schemas.openxmlformats.org/officeDocument/2006/relationships/hyperlink" Target="https://www.canlii.org/en/ca/laws/stat/rsc-1985-c-h-6/latest/rsc-1985-c-h-6.html" TargetMode="External"/><Relationship Id="rId24" Type="http://schemas.openxmlformats.org/officeDocument/2006/relationships/hyperlink" Target="https://www.canlii.org/en/mb/mbca/doc/2018/2018mbca47/2018mbca47.html?resultIndex=1" TargetMode="External"/><Relationship Id="rId40" Type="http://schemas.openxmlformats.org/officeDocument/2006/relationships/hyperlink" Target="https://www.canlii.org/en/on/onsc/doc/2015/2015onsc1570/2015onsc1570.html" TargetMode="External"/><Relationship Id="rId45" Type="http://schemas.openxmlformats.org/officeDocument/2006/relationships/hyperlink" Target="http://canlii.ca/t/hs8pk" TargetMode="External"/><Relationship Id="rId66" Type="http://schemas.openxmlformats.org/officeDocument/2006/relationships/hyperlink" Target="https://www.canlii.org/en/on/onca/doc/2018/2018onca192/2018onca192.html?autocompleteStr=2018+ONCA+192&amp;autocompletePos=1&amp;searchUrlHash=AAAAAQAFbWFzb24AAAAAAQ&amp;offset=787" TargetMode="External"/><Relationship Id="rId87" Type="http://schemas.openxmlformats.org/officeDocument/2006/relationships/hyperlink" Target="https://www.canlii.org/en/ca/fca/doc/2018/2018fca79/2018fca79.html" TargetMode="External"/><Relationship Id="rId110" Type="http://schemas.openxmlformats.org/officeDocument/2006/relationships/hyperlink" Target="https://www.canlii.org/en/ns/nsca/doc/2018/2018nsca44/2018nsca44.html?autocompleteStr=2018%20NSCA%2044&amp;autocompletePos=1" TargetMode="External"/><Relationship Id="rId115" Type="http://schemas.openxmlformats.org/officeDocument/2006/relationships/hyperlink" Target="https://www.canlii.org/en/qc/qccs/doc/2016/2016qccs2109/2016qccs2109.html?autocompleteStr=2016%20QCCS%202109&amp;autocompletePos=1" TargetMode="External"/><Relationship Id="rId131" Type="http://schemas.openxmlformats.org/officeDocument/2006/relationships/header" Target="header11.xml"/><Relationship Id="rId136" Type="http://schemas.openxmlformats.org/officeDocument/2006/relationships/footer" Target="footer13.xml"/><Relationship Id="rId157" Type="http://schemas.openxmlformats.org/officeDocument/2006/relationships/hyperlink" Target="https://www.scc-csc.ca/case-dossier/info/sum-som-eng.aspx?cas=38292" TargetMode="External"/><Relationship Id="rId61" Type="http://schemas.openxmlformats.org/officeDocument/2006/relationships/hyperlink" Target="https://www.canlii.org/en/on/onsc/doc/2014/2014onsc4709/2014onsc4709.html" TargetMode="External"/><Relationship Id="rId82" Type="http://schemas.openxmlformats.org/officeDocument/2006/relationships/hyperlink" Target="http://canlii.ca/t/h677f" TargetMode="External"/><Relationship Id="rId152" Type="http://schemas.openxmlformats.org/officeDocument/2006/relationships/footer" Target="footer19.xml"/><Relationship Id="rId19" Type="http://schemas.openxmlformats.org/officeDocument/2006/relationships/hyperlink" Target="https://www.canlii.org/en/bc/bcca/doc/2018/2018bcca96/2018bcca96.html?searchUrlHash=AAAAAQAMMjAxOCBCQ0NBIDk2AAAAAAE&amp;resultIndex=1" TargetMode="External"/><Relationship Id="rId14" Type="http://schemas.openxmlformats.org/officeDocument/2006/relationships/footer" Target="footer2.xml"/><Relationship Id="rId30" Type="http://schemas.openxmlformats.org/officeDocument/2006/relationships/hyperlink" Target="http://canlii.ca/t/h4mgt" TargetMode="External"/><Relationship Id="rId35" Type="http://schemas.openxmlformats.org/officeDocument/2006/relationships/hyperlink" Target="https://www.canlii.org/en/on/onca/doc/2018/2018onca784/2018onca784.html?resultIndex=1" TargetMode="External"/><Relationship Id="rId56" Type="http://schemas.openxmlformats.org/officeDocument/2006/relationships/hyperlink" Target="https://www.canlii.org/en/bc/bcca/doc/2018/2018bcca78/2018bcca78.html?autocompleteStr=2018%20BCCA%2078&amp;autocompletePos=1" TargetMode="External"/><Relationship Id="rId77" Type="http://schemas.openxmlformats.org/officeDocument/2006/relationships/hyperlink" Target="http://canlii.ca/t/gmx24" TargetMode="External"/><Relationship Id="rId100" Type="http://schemas.openxmlformats.org/officeDocument/2006/relationships/hyperlink" Target="http://canlii.ca/t/hr4hw" TargetMode="External"/><Relationship Id="rId105" Type="http://schemas.openxmlformats.org/officeDocument/2006/relationships/hyperlink" Target="https://www.canlii.org/en/ns/nssc/doc/2017/2017nssc16/2017nssc16.html?resultIndex=1" TargetMode="External"/><Relationship Id="rId126" Type="http://schemas.openxmlformats.org/officeDocument/2006/relationships/header" Target="header9.xml"/><Relationship Id="rId147" Type="http://schemas.openxmlformats.org/officeDocument/2006/relationships/header" Target="header17.xml"/><Relationship Id="rId168" Type="http://schemas.openxmlformats.org/officeDocument/2006/relationships/header" Target="header23.xml"/><Relationship Id="rId8" Type="http://schemas.openxmlformats.org/officeDocument/2006/relationships/image" Target="media/image1.wmf"/><Relationship Id="rId51" Type="http://schemas.openxmlformats.org/officeDocument/2006/relationships/hyperlink" Target="https://www.canlii.org/en/bc/bchrt/doc/2012/2012bchrt327/2012bchrt327.html?autocompleteStr=2012%20BCHRT%20327&amp;autocompletePos=1" TargetMode="External"/><Relationship Id="rId72" Type="http://schemas.openxmlformats.org/officeDocument/2006/relationships/hyperlink" Target="https://www.canlii.org/en/ab/abca/doc/2018/2018abca228/2018abca228.html?autocompleteStr=2018%20ABCA%20228&amp;autocompletePos=1" TargetMode="External"/><Relationship Id="rId93" Type="http://schemas.openxmlformats.org/officeDocument/2006/relationships/hyperlink" Target="https://www.canlii.org/fr/qc/qccs/doc/2017/2017qccs5833/2017qccs5833.html" TargetMode="External"/><Relationship Id="rId98" Type="http://schemas.openxmlformats.org/officeDocument/2006/relationships/hyperlink" Target="https://www.canlii.org/en/mb/mbca/doc/2018/2018mbca81/2018mbca81.html?resultIndex=1" TargetMode="External"/><Relationship Id="rId121" Type="http://schemas.openxmlformats.org/officeDocument/2006/relationships/footer" Target="footer5.xml"/><Relationship Id="rId142" Type="http://schemas.openxmlformats.org/officeDocument/2006/relationships/footer" Target="footer16.xml"/><Relationship Id="rId163" Type="http://schemas.openxmlformats.org/officeDocument/2006/relationships/header" Target="header21.xml"/><Relationship Id="rId3" Type="http://schemas.openxmlformats.org/officeDocument/2006/relationships/styles" Target="styles.xml"/><Relationship Id="rId25" Type="http://schemas.openxmlformats.org/officeDocument/2006/relationships/hyperlink" Target="http://canlii.ca/t/gxdbh" TargetMode="External"/><Relationship Id="rId46" Type="http://schemas.openxmlformats.org/officeDocument/2006/relationships/hyperlink" Target="http://canlii.ca/t/hs8pk" TargetMode="External"/><Relationship Id="rId67" Type="http://schemas.openxmlformats.org/officeDocument/2006/relationships/hyperlink" Target="https://www.canlii.org/en/bc/bchrt/doc/2012/2012bchrt23/2012bchrt23.html?autocompleteStr=2012%20BCHRT%2023%20&amp;autocompletePos=1" TargetMode="External"/><Relationship Id="rId116" Type="http://schemas.openxmlformats.org/officeDocument/2006/relationships/hyperlink" Target="https://www.canlii.org/en/qc/qcca/doc/2018/2018qcca504/2018qcca504.html?resultIndex=1" TargetMode="External"/><Relationship Id="rId137" Type="http://schemas.openxmlformats.org/officeDocument/2006/relationships/header" Target="header14.xml"/><Relationship Id="rId158" Type="http://schemas.openxmlformats.org/officeDocument/2006/relationships/hyperlink" Target="https://www.scc-csc.ca/case-dossier/info/sum-som-fra.aspx?cas=38066" TargetMode="External"/><Relationship Id="rId20" Type="http://schemas.openxmlformats.org/officeDocument/2006/relationships/hyperlink" Target="https://www.canlii.org/en/bc/bcca/doc/2018/2018bcca96/2018bcca96.html?searchUrlHash=AAAAAQAMMjAxOCBCQ0NBIDk2AAAAAAE&amp;resultIndex=1" TargetMode="External"/><Relationship Id="rId41" Type="http://schemas.openxmlformats.org/officeDocument/2006/relationships/hyperlink" Target="https://www.canlii.org/en/on/onsc/doc/2016/2016onsc505/2016onsc505.html?searchUrlHash=AAAAAQANMjAxNiBPTlNDIDUwNQAAAAAB&amp;resultIndex=1" TargetMode="External"/><Relationship Id="rId62" Type="http://schemas.openxmlformats.org/officeDocument/2006/relationships/hyperlink" Target="https://www.canlii.org/en/on/onscdc/doc/2016/2016onsc442/2016onsc442.html" TargetMode="External"/><Relationship Id="rId83" Type="http://schemas.openxmlformats.org/officeDocument/2006/relationships/hyperlink" Target="https://www.canlii.org/en/ab/abqb/doc/2017/2017abqb267/2017abqb267.html?autocompleteStr=2017abqb267&amp;autocompletePos=1" TargetMode="External"/><Relationship Id="rId88" Type="http://schemas.openxmlformats.org/officeDocument/2006/relationships/hyperlink" Target="https://www.canlii.org/fr/ca/caf/doc/2018/2018caf79/2018caf79.html" TargetMode="External"/><Relationship Id="rId111" Type="http://schemas.openxmlformats.org/officeDocument/2006/relationships/hyperlink" Target="https://www.canlii.org/en/on/onsc/doc/2017/2017onsc1685/2017onsc1685.html" TargetMode="External"/><Relationship Id="rId132" Type="http://schemas.openxmlformats.org/officeDocument/2006/relationships/header" Target="header12.xml"/><Relationship Id="rId153" Type="http://schemas.openxmlformats.org/officeDocument/2006/relationships/hyperlink" Target="https://www.scc-csc.ca/case-dossier/info/sum-som-eng.aspx?cas=3822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lenn\AppData\Roaming\Microsoft\Templates\Bulletin\Bulletin%20of%20Proceedings%20-%20Updated%20%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5E6590-260B-4E78-9354-90FFC1287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of Proceedings - Updated  2019.dotx</Template>
  <TotalTime>0</TotalTime>
  <Pages>77</Pages>
  <Words>35462</Words>
  <Characters>202136</Characters>
  <Application>Microsoft Office Word</Application>
  <DocSecurity>0</DocSecurity>
  <Lines>1684</Lines>
  <Paragraphs>474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237124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2019-01-31T15:59:00Z</dcterms:created>
  <dcterms:modified xsi:type="dcterms:W3CDTF">2019-02-01T18:33:00Z</dcterms:modified>
</cp:coreProperties>
</file>