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3A218E"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3A218E"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3A218E"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3A218E"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3A218E"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3A218E"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3A218E"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proofErr w:type="spellStart"/>
            <w:r w:rsidR="009F3024">
              <w:rPr>
                <w:rFonts w:ascii="Arial" w:hAnsi="Arial" w:cs="Arial"/>
                <w:i/>
                <w:sz w:val="20"/>
                <w:szCs w:val="20"/>
              </w:rPr>
              <w:t>onsult</w:t>
            </w:r>
            <w:proofErr w:type="spellEnd"/>
            <w:r w:rsidR="009F3024">
              <w:rPr>
                <w:rFonts w:ascii="Arial" w:hAnsi="Arial" w:cs="Arial"/>
                <w:i/>
                <w:sz w:val="20"/>
                <w:szCs w:val="20"/>
              </w:rPr>
              <w:t xml:space="preserve"> the Supreme Court of Canada website at </w:t>
            </w:r>
            <w:hyperlink r:id="rId9"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6260DC" w:rsidP="00F0068D">
      <w:pPr>
        <w:pBdr>
          <w:bottom w:val="single" w:sz="6" w:space="1" w:color="auto"/>
        </w:pBdr>
        <w:tabs>
          <w:tab w:val="center" w:pos="4680"/>
          <w:tab w:val="right" w:pos="9360"/>
        </w:tabs>
        <w:rPr>
          <w:lang w:val="fr-CA"/>
        </w:rPr>
      </w:pPr>
      <w:r>
        <w:rPr>
          <w:lang w:val="fr-CA"/>
        </w:rPr>
        <w:t>May 17</w:t>
      </w:r>
      <w:r w:rsidR="00440E24" w:rsidRPr="00675479">
        <w:rPr>
          <w:lang w:val="fr-CA"/>
        </w:rPr>
        <w:t>, 201</w:t>
      </w:r>
      <w:r w:rsidR="004317DE">
        <w:rPr>
          <w:lang w:val="fr-CA"/>
        </w:rPr>
        <w:t>9</w:t>
      </w:r>
      <w:r w:rsidR="00F0068D" w:rsidRPr="00675479">
        <w:rPr>
          <w:lang w:val="fr-CA"/>
        </w:rPr>
        <w:tab/>
        <w:t xml:space="preserve">1 - </w:t>
      </w:r>
      <w:r>
        <w:rPr>
          <w:lang w:val="fr-CA"/>
        </w:rPr>
        <w:t>3</w:t>
      </w:r>
      <w:r w:rsidR="003A218E">
        <w:rPr>
          <w:lang w:val="fr-CA"/>
        </w:rPr>
        <w:t>3</w:t>
      </w:r>
      <w:r w:rsidR="00440E24" w:rsidRPr="00675479">
        <w:rPr>
          <w:lang w:val="fr-CA"/>
        </w:rPr>
        <w:tab/>
      </w:r>
      <w:r w:rsidR="00440E24" w:rsidRPr="002E2327">
        <w:rPr>
          <w:lang w:val="fr-CA"/>
        </w:rPr>
        <w:t>Le</w:t>
      </w:r>
      <w:r w:rsidR="00C73D06">
        <w:rPr>
          <w:lang w:val="fr-CA"/>
        </w:rPr>
        <w:t xml:space="preserve"> </w:t>
      </w:r>
      <w:r>
        <w:rPr>
          <w:lang w:val="fr-CA"/>
        </w:rPr>
        <w:t>17 mai</w:t>
      </w:r>
      <w:r w:rsidR="00440E24" w:rsidRPr="002E2327">
        <w:rPr>
          <w:lang w:val="fr-CA"/>
        </w:rPr>
        <w:t xml:space="preserve"> 201</w:t>
      </w:r>
      <w:r w:rsidR="004317DE">
        <w:rPr>
          <w:lang w:val="fr-CA"/>
        </w:rPr>
        <w:t>9</w:t>
      </w:r>
    </w:p>
    <w:p w:rsidR="00440E24" w:rsidRPr="00675479" w:rsidRDefault="00440E24" w:rsidP="00440E24">
      <w:pPr>
        <w:pBdr>
          <w:bottom w:val="single" w:sz="6" w:space="1" w:color="auto"/>
        </w:pBdr>
        <w:tabs>
          <w:tab w:val="right" w:pos="9360"/>
        </w:tabs>
        <w:rPr>
          <w:lang w:val="fr-CA"/>
        </w:rPr>
      </w:pPr>
    </w:p>
    <w:p w:rsidR="00440E24" w:rsidRPr="006615F4" w:rsidRDefault="00440E24" w:rsidP="00440E24">
      <w:pPr>
        <w:pBdr>
          <w:bottom w:val="single" w:sz="6" w:space="1" w:color="auto"/>
        </w:pBdr>
        <w:tabs>
          <w:tab w:val="right" w:pos="9360"/>
        </w:tabs>
        <w:rPr>
          <w:sz w:val="18"/>
          <w:szCs w:val="18"/>
          <w:lang w:val="fr-CA"/>
        </w:rPr>
      </w:pPr>
      <w:r w:rsidRPr="006615F4">
        <w:rPr>
          <w:sz w:val="18"/>
          <w:szCs w:val="18"/>
          <w:lang w:val="fr-CA"/>
        </w:rPr>
        <w:t>© Supreme Court of Canada (</w:t>
      </w:r>
      <w:r w:rsidR="0030050B" w:rsidRPr="006615F4">
        <w:rPr>
          <w:sz w:val="18"/>
          <w:szCs w:val="18"/>
          <w:lang w:val="fr-CA"/>
        </w:rPr>
        <w:t>201</w:t>
      </w:r>
      <w:r w:rsidR="004317DE">
        <w:rPr>
          <w:sz w:val="18"/>
          <w:szCs w:val="18"/>
          <w:lang w:val="fr-CA"/>
        </w:rPr>
        <w:t>9</w:t>
      </w:r>
      <w:r w:rsidRPr="006615F4">
        <w:rPr>
          <w:sz w:val="18"/>
          <w:szCs w:val="18"/>
          <w:lang w:val="fr-CA"/>
        </w:rPr>
        <w:t>)</w:t>
      </w:r>
      <w:r w:rsidRPr="006615F4">
        <w:rPr>
          <w:sz w:val="18"/>
          <w:szCs w:val="18"/>
          <w:lang w:val="fr-CA"/>
        </w:rPr>
        <w:tab/>
        <w:t>© Cour suprême du Canada (</w:t>
      </w:r>
      <w:r w:rsidR="0030050B" w:rsidRPr="006615F4">
        <w:rPr>
          <w:sz w:val="18"/>
          <w:szCs w:val="18"/>
          <w:lang w:val="fr-CA"/>
        </w:rPr>
        <w:t>201</w:t>
      </w:r>
      <w:r w:rsidR="004317DE">
        <w:rPr>
          <w:sz w:val="18"/>
          <w:szCs w:val="18"/>
          <w:lang w:val="fr-CA"/>
        </w:rPr>
        <w:t>9</w:t>
      </w:r>
      <w:r w:rsidRPr="006615F4">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p w:rsidR="00560DF1" w:rsidRPr="006615F4" w:rsidRDefault="00560DF1" w:rsidP="0095096B">
      <w:pPr>
        <w:tabs>
          <w:tab w:val="right" w:pos="9360"/>
        </w:tabs>
        <w:rPr>
          <w:lang w:val="fr-CA"/>
        </w:rPr>
      </w:pPr>
      <w:bookmarkStart w:id="0" w:name="_GoBack"/>
      <w:bookmarkEnd w:id="0"/>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6615F4" w:rsidRDefault="00DC6B2E" w:rsidP="00693C38">
          <w:pPr>
            <w:pStyle w:val="Title"/>
            <w:jc w:val="center"/>
            <w:rPr>
              <w:rFonts w:ascii="Times New Roman" w:hAnsi="Times New Roman" w:cs="Times New Roman"/>
              <w:b/>
              <w:sz w:val="24"/>
              <w:szCs w:val="28"/>
              <w:lang w:val="fr-CA"/>
            </w:rPr>
          </w:pPr>
          <w:r w:rsidRPr="006615F4">
            <w:rPr>
              <w:rFonts w:ascii="Times New Roman" w:hAnsi="Times New Roman" w:cs="Times New Roman"/>
              <w:b/>
              <w:sz w:val="24"/>
              <w:szCs w:val="28"/>
              <w:lang w:val="fr-CA"/>
            </w:rPr>
            <w:t>Contents</w:t>
          </w:r>
        </w:p>
        <w:p w:rsidR="00693C38" w:rsidRPr="006615F4" w:rsidRDefault="00DC6B2E" w:rsidP="00693C38">
          <w:pPr>
            <w:jc w:val="center"/>
            <w:rPr>
              <w:b/>
              <w:szCs w:val="28"/>
              <w:lang w:val="fr-CA"/>
            </w:rPr>
          </w:pPr>
          <w:r w:rsidRPr="006615F4">
            <w:rPr>
              <w:b/>
              <w:szCs w:val="28"/>
              <w:lang w:val="fr-CA"/>
            </w:rPr>
            <w:t>Table des matières</w:t>
          </w:r>
        </w:p>
        <w:p w:rsidR="00693C38" w:rsidRPr="00693C38" w:rsidRDefault="00693C38" w:rsidP="00693C38">
          <w:pPr>
            <w:rPr>
              <w:lang w:val="fr-CA"/>
            </w:rPr>
          </w:pPr>
        </w:p>
        <w:p w:rsidR="00CB26A3" w:rsidRDefault="00DC6B2E">
          <w:pPr>
            <w:pStyle w:val="TOC1"/>
            <w:tabs>
              <w:tab w:val="right" w:leader="dot" w:pos="9638"/>
            </w:tabs>
            <w:rPr>
              <w:rFonts w:asciiTheme="minorHAnsi" w:eastAsiaTheme="minorEastAsia" w:hAnsiTheme="minorHAnsi"/>
              <w:noProof/>
              <w:sz w:val="22"/>
              <w:lang w:val="en-US"/>
            </w:rPr>
          </w:pPr>
          <w:r>
            <w:rPr>
              <w:b/>
              <w:bCs/>
              <w:noProof/>
            </w:rPr>
            <w:fldChar w:fldCharType="begin"/>
          </w:r>
          <w:r>
            <w:rPr>
              <w:b/>
              <w:bCs/>
              <w:noProof/>
            </w:rPr>
            <w:instrText xml:space="preserve"> TOC \o "1-3" \h \z \u </w:instrText>
          </w:r>
          <w:r>
            <w:rPr>
              <w:b/>
              <w:bCs/>
              <w:noProof/>
            </w:rPr>
            <w:fldChar w:fldCharType="separate"/>
          </w:r>
          <w:hyperlink w:anchor="_Toc8998615" w:history="1">
            <w:r w:rsidR="00CB26A3" w:rsidRPr="00E7212A">
              <w:rPr>
                <w:rStyle w:val="Hyperlink"/>
                <w:noProof/>
                <w:lang w:val="fr-CA"/>
              </w:rPr>
              <w:t>Applications for leave to appeal filed /  Demandes d’autorisation d’appel déposées</w:t>
            </w:r>
            <w:r w:rsidR="00CB26A3">
              <w:rPr>
                <w:noProof/>
                <w:webHidden/>
              </w:rPr>
              <w:tab/>
            </w:r>
            <w:r w:rsidR="00CB26A3">
              <w:rPr>
                <w:noProof/>
                <w:webHidden/>
              </w:rPr>
              <w:fldChar w:fldCharType="begin"/>
            </w:r>
            <w:r w:rsidR="00CB26A3">
              <w:rPr>
                <w:noProof/>
                <w:webHidden/>
              </w:rPr>
              <w:instrText xml:space="preserve"> PAGEREF _Toc8998615 \h </w:instrText>
            </w:r>
            <w:r w:rsidR="00CB26A3">
              <w:rPr>
                <w:noProof/>
                <w:webHidden/>
              </w:rPr>
            </w:r>
            <w:r w:rsidR="00CB26A3">
              <w:rPr>
                <w:noProof/>
                <w:webHidden/>
              </w:rPr>
              <w:fldChar w:fldCharType="separate"/>
            </w:r>
            <w:r w:rsidR="003A218E">
              <w:rPr>
                <w:noProof/>
                <w:webHidden/>
              </w:rPr>
              <w:t>1</w:t>
            </w:r>
            <w:r w:rsidR="00CB26A3">
              <w:rPr>
                <w:noProof/>
                <w:webHidden/>
              </w:rPr>
              <w:fldChar w:fldCharType="end"/>
            </w:r>
          </w:hyperlink>
        </w:p>
        <w:p w:rsidR="00CB26A3" w:rsidRDefault="003A218E">
          <w:pPr>
            <w:pStyle w:val="TOC1"/>
            <w:tabs>
              <w:tab w:val="right" w:leader="dot" w:pos="9638"/>
            </w:tabs>
            <w:rPr>
              <w:rFonts w:asciiTheme="minorHAnsi" w:eastAsiaTheme="minorEastAsia" w:hAnsiTheme="minorHAnsi"/>
              <w:noProof/>
              <w:sz w:val="22"/>
              <w:lang w:val="en-US"/>
            </w:rPr>
          </w:pPr>
          <w:hyperlink w:anchor="_Toc8998616" w:history="1">
            <w:r w:rsidR="00CB26A3" w:rsidRPr="00E7212A">
              <w:rPr>
                <w:rStyle w:val="Hyperlink"/>
                <w:noProof/>
                <w:lang w:val="en-US"/>
              </w:rPr>
              <w:t xml:space="preserve">Applications for leave submitted to the Court since the last issue /  </w:t>
            </w:r>
            <w:r w:rsidR="00CB26A3">
              <w:rPr>
                <w:rStyle w:val="Hyperlink"/>
                <w:noProof/>
                <w:lang w:val="en-US"/>
              </w:rPr>
              <w:br/>
            </w:r>
            <w:r w:rsidR="00CB26A3" w:rsidRPr="00E7212A">
              <w:rPr>
                <w:rStyle w:val="Hyperlink"/>
                <w:noProof/>
                <w:lang w:val="en-US"/>
              </w:rPr>
              <w:t>Demandes soumises à la Cour depuis la dernière parution</w:t>
            </w:r>
            <w:r w:rsidR="00CB26A3">
              <w:rPr>
                <w:noProof/>
                <w:webHidden/>
              </w:rPr>
              <w:tab/>
            </w:r>
            <w:r w:rsidR="00CB26A3">
              <w:rPr>
                <w:noProof/>
                <w:webHidden/>
              </w:rPr>
              <w:fldChar w:fldCharType="begin"/>
            </w:r>
            <w:r w:rsidR="00CB26A3">
              <w:rPr>
                <w:noProof/>
                <w:webHidden/>
              </w:rPr>
              <w:instrText xml:space="preserve"> PAGEREF _Toc8998616 \h </w:instrText>
            </w:r>
            <w:r w:rsidR="00CB26A3">
              <w:rPr>
                <w:noProof/>
                <w:webHidden/>
              </w:rPr>
            </w:r>
            <w:r w:rsidR="00CB26A3">
              <w:rPr>
                <w:noProof/>
                <w:webHidden/>
              </w:rPr>
              <w:fldChar w:fldCharType="separate"/>
            </w:r>
            <w:r>
              <w:rPr>
                <w:noProof/>
                <w:webHidden/>
              </w:rPr>
              <w:t>3</w:t>
            </w:r>
            <w:r w:rsidR="00CB26A3">
              <w:rPr>
                <w:noProof/>
                <w:webHidden/>
              </w:rPr>
              <w:fldChar w:fldCharType="end"/>
            </w:r>
          </w:hyperlink>
        </w:p>
        <w:p w:rsidR="00CB26A3" w:rsidRDefault="003A218E">
          <w:pPr>
            <w:pStyle w:val="TOC1"/>
            <w:tabs>
              <w:tab w:val="right" w:leader="dot" w:pos="9638"/>
            </w:tabs>
            <w:rPr>
              <w:rFonts w:asciiTheme="minorHAnsi" w:eastAsiaTheme="minorEastAsia" w:hAnsiTheme="minorHAnsi"/>
              <w:noProof/>
              <w:sz w:val="22"/>
              <w:lang w:val="en-US"/>
            </w:rPr>
          </w:pPr>
          <w:hyperlink w:anchor="_Toc8998617" w:history="1">
            <w:r w:rsidR="00CB26A3" w:rsidRPr="00E7212A">
              <w:rPr>
                <w:rStyle w:val="Hyperlink"/>
                <w:noProof/>
                <w:lang w:val="fr-CA"/>
              </w:rPr>
              <w:t>Judgments on applications for leave /  Jugements rendus sur les demandes d’autorisation</w:t>
            </w:r>
            <w:r w:rsidR="00CB26A3">
              <w:rPr>
                <w:noProof/>
                <w:webHidden/>
              </w:rPr>
              <w:tab/>
            </w:r>
            <w:r w:rsidR="00CB26A3">
              <w:rPr>
                <w:noProof/>
                <w:webHidden/>
              </w:rPr>
              <w:fldChar w:fldCharType="begin"/>
            </w:r>
            <w:r w:rsidR="00CB26A3">
              <w:rPr>
                <w:noProof/>
                <w:webHidden/>
              </w:rPr>
              <w:instrText xml:space="preserve"> PAGEREF _Toc8998617 \h </w:instrText>
            </w:r>
            <w:r w:rsidR="00CB26A3">
              <w:rPr>
                <w:noProof/>
                <w:webHidden/>
              </w:rPr>
            </w:r>
            <w:r w:rsidR="00CB26A3">
              <w:rPr>
                <w:noProof/>
                <w:webHidden/>
              </w:rPr>
              <w:fldChar w:fldCharType="separate"/>
            </w:r>
            <w:r>
              <w:rPr>
                <w:noProof/>
                <w:webHidden/>
              </w:rPr>
              <w:t>4</w:t>
            </w:r>
            <w:r w:rsidR="00CB26A3">
              <w:rPr>
                <w:noProof/>
                <w:webHidden/>
              </w:rPr>
              <w:fldChar w:fldCharType="end"/>
            </w:r>
          </w:hyperlink>
        </w:p>
        <w:p w:rsidR="00CB26A3" w:rsidRDefault="003A218E">
          <w:pPr>
            <w:pStyle w:val="TOC1"/>
            <w:tabs>
              <w:tab w:val="right" w:leader="dot" w:pos="9638"/>
            </w:tabs>
            <w:rPr>
              <w:rFonts w:asciiTheme="minorHAnsi" w:eastAsiaTheme="minorEastAsia" w:hAnsiTheme="minorHAnsi"/>
              <w:noProof/>
              <w:sz w:val="22"/>
              <w:lang w:val="en-US"/>
            </w:rPr>
          </w:pPr>
          <w:hyperlink w:anchor="_Toc8998618" w:history="1">
            <w:r w:rsidR="00CB26A3" w:rsidRPr="00E7212A">
              <w:rPr>
                <w:rStyle w:val="Hyperlink"/>
                <w:noProof/>
                <w:lang w:val="fr-CA"/>
              </w:rPr>
              <w:t>Motions /  Requêtes</w:t>
            </w:r>
            <w:r w:rsidR="00CB26A3">
              <w:rPr>
                <w:noProof/>
                <w:webHidden/>
              </w:rPr>
              <w:tab/>
            </w:r>
            <w:r w:rsidR="00CB26A3">
              <w:rPr>
                <w:noProof/>
                <w:webHidden/>
              </w:rPr>
              <w:fldChar w:fldCharType="begin"/>
            </w:r>
            <w:r w:rsidR="00CB26A3">
              <w:rPr>
                <w:noProof/>
                <w:webHidden/>
              </w:rPr>
              <w:instrText xml:space="preserve"> PAGEREF _Toc8998618 \h </w:instrText>
            </w:r>
            <w:r w:rsidR="00CB26A3">
              <w:rPr>
                <w:noProof/>
                <w:webHidden/>
              </w:rPr>
            </w:r>
            <w:r w:rsidR="00CB26A3">
              <w:rPr>
                <w:noProof/>
                <w:webHidden/>
              </w:rPr>
              <w:fldChar w:fldCharType="separate"/>
            </w:r>
            <w:r>
              <w:rPr>
                <w:noProof/>
                <w:webHidden/>
              </w:rPr>
              <w:t>30</w:t>
            </w:r>
            <w:r w:rsidR="00CB26A3">
              <w:rPr>
                <w:noProof/>
                <w:webHidden/>
              </w:rPr>
              <w:fldChar w:fldCharType="end"/>
            </w:r>
          </w:hyperlink>
        </w:p>
        <w:p w:rsidR="00CB26A3" w:rsidRDefault="00CB26A3">
          <w:pPr>
            <w:pStyle w:val="TOC1"/>
            <w:tabs>
              <w:tab w:val="right" w:leader="dot" w:pos="9638"/>
            </w:tabs>
            <w:rPr>
              <w:rFonts w:asciiTheme="minorHAnsi" w:eastAsiaTheme="minorEastAsia" w:hAnsiTheme="minorHAnsi"/>
              <w:noProof/>
              <w:sz w:val="22"/>
              <w:lang w:val="en-US"/>
            </w:rPr>
          </w:pPr>
          <w:hyperlink w:anchor="_Toc8998619" w:history="1">
            <w:r w:rsidRPr="00E7212A">
              <w:rPr>
                <w:rStyle w:val="Hyperlink"/>
                <w:noProof/>
                <w:lang w:val="fr-CA"/>
              </w:rPr>
              <w:t xml:space="preserve">Appeals heard since the last issue and disposition / </w:t>
            </w:r>
            <w:r>
              <w:rPr>
                <w:rStyle w:val="Hyperlink"/>
                <w:noProof/>
                <w:lang w:val="fr-CA"/>
              </w:rPr>
              <w:br/>
            </w:r>
            <w:r w:rsidRPr="00E7212A">
              <w:rPr>
                <w:rStyle w:val="Hyperlink"/>
                <w:noProof/>
                <w:lang w:val="fr-CA"/>
              </w:rPr>
              <w:t>Appels entendus depuis la dernière parution et résultat</w:t>
            </w:r>
            <w:r>
              <w:rPr>
                <w:noProof/>
                <w:webHidden/>
              </w:rPr>
              <w:tab/>
            </w:r>
            <w:r>
              <w:rPr>
                <w:noProof/>
                <w:webHidden/>
              </w:rPr>
              <w:fldChar w:fldCharType="begin"/>
            </w:r>
            <w:r>
              <w:rPr>
                <w:noProof/>
                <w:webHidden/>
              </w:rPr>
              <w:instrText xml:space="preserve"> PAGEREF _Toc8998619 \h </w:instrText>
            </w:r>
            <w:r>
              <w:rPr>
                <w:noProof/>
                <w:webHidden/>
              </w:rPr>
            </w:r>
            <w:r>
              <w:rPr>
                <w:noProof/>
                <w:webHidden/>
              </w:rPr>
              <w:fldChar w:fldCharType="separate"/>
            </w:r>
            <w:r w:rsidR="003A218E">
              <w:rPr>
                <w:noProof/>
                <w:webHidden/>
              </w:rPr>
              <w:t>32</w:t>
            </w:r>
            <w:r>
              <w:rPr>
                <w:noProof/>
                <w:webHidden/>
              </w:rPr>
              <w:fldChar w:fldCharType="end"/>
            </w:r>
          </w:hyperlink>
        </w:p>
        <w:p w:rsidR="00CB26A3" w:rsidRDefault="003A218E">
          <w:pPr>
            <w:pStyle w:val="TOC1"/>
            <w:tabs>
              <w:tab w:val="right" w:leader="dot" w:pos="9638"/>
            </w:tabs>
            <w:rPr>
              <w:rFonts w:asciiTheme="minorHAnsi" w:eastAsiaTheme="minorEastAsia" w:hAnsiTheme="minorHAnsi"/>
              <w:noProof/>
              <w:sz w:val="22"/>
              <w:lang w:val="en-US"/>
            </w:rPr>
          </w:pPr>
          <w:hyperlink w:anchor="_Toc8998620" w:history="1">
            <w:r w:rsidR="00CB26A3" w:rsidRPr="00E7212A">
              <w:rPr>
                <w:rStyle w:val="Hyperlink"/>
                <w:noProof/>
                <w:lang w:val="fr-CA"/>
              </w:rPr>
              <w:t>Pronouncements of reserved appeals /  Jugements rendus sur les appels en délibéré</w:t>
            </w:r>
            <w:r w:rsidR="00CB26A3">
              <w:rPr>
                <w:noProof/>
                <w:webHidden/>
              </w:rPr>
              <w:tab/>
            </w:r>
            <w:r w:rsidR="00CB26A3">
              <w:rPr>
                <w:noProof/>
                <w:webHidden/>
              </w:rPr>
              <w:fldChar w:fldCharType="begin"/>
            </w:r>
            <w:r w:rsidR="00CB26A3">
              <w:rPr>
                <w:noProof/>
                <w:webHidden/>
              </w:rPr>
              <w:instrText xml:space="preserve"> PAGEREF _Toc8998620 \h </w:instrText>
            </w:r>
            <w:r w:rsidR="00CB26A3">
              <w:rPr>
                <w:noProof/>
                <w:webHidden/>
              </w:rPr>
            </w:r>
            <w:r w:rsidR="00CB26A3">
              <w:rPr>
                <w:noProof/>
                <w:webHidden/>
              </w:rPr>
              <w:fldChar w:fldCharType="separate"/>
            </w:r>
            <w:r>
              <w:rPr>
                <w:noProof/>
                <w:webHidden/>
              </w:rPr>
              <w:t>33</w:t>
            </w:r>
            <w:r w:rsidR="00CB26A3">
              <w:rPr>
                <w:noProof/>
                <w:webHidden/>
              </w:rPr>
              <w:fldChar w:fldCharType="end"/>
            </w:r>
          </w:hyperlink>
        </w:p>
        <w:p w:rsidR="00560DF1" w:rsidRDefault="00DC6B2E">
          <w:r>
            <w:rPr>
              <w:b/>
              <w:bCs/>
              <w:noProof/>
              <w:sz w:val="20"/>
            </w:rPr>
            <w:fldChar w:fldCharType="end"/>
          </w:r>
        </w:p>
      </w:sdtContent>
    </w:sdt>
    <w:p w:rsidR="00560DF1" w:rsidRDefault="00560DF1" w:rsidP="0095096B">
      <w:pPr>
        <w:tabs>
          <w:tab w:val="right" w:pos="9360"/>
        </w:tabs>
      </w:pPr>
    </w:p>
    <w:tbl>
      <w:tblPr>
        <w:tblStyle w:val="TableGrid"/>
        <w:tblW w:w="0" w:type="auto"/>
        <w:tblLook w:val="04A0" w:firstRow="1" w:lastRow="0" w:firstColumn="1" w:lastColumn="0" w:noHBand="0" w:noVBand="1"/>
      </w:tblPr>
      <w:tblGrid>
        <w:gridCol w:w="9576"/>
      </w:tblGrid>
      <w:tr w:rsidR="0079724F" w:rsidRPr="003A218E"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4E44A7">
            <w:pPr>
              <w:keepNext/>
              <w:tabs>
                <w:tab w:val="right" w:pos="9360"/>
              </w:tabs>
              <w:jc w:val="both"/>
              <w:rPr>
                <w:sz w:val="20"/>
                <w:szCs w:val="20"/>
                <w:lang w:val="fr-CA"/>
              </w:rPr>
            </w:pPr>
            <w:r w:rsidRPr="00245129">
              <w:rPr>
                <w:szCs w:val="24"/>
                <w:lang w:val="fr-CA"/>
              </w:rPr>
              <w:t>Les résumés de</w:t>
            </w:r>
            <w:r w:rsidR="004E44A7">
              <w:rPr>
                <w:szCs w:val="24"/>
                <w:lang w:val="fr-CA"/>
              </w:rPr>
              <w:t>s</w:t>
            </w:r>
            <w:r w:rsidRPr="00245129">
              <w:rPr>
                <w:szCs w:val="24"/>
                <w:lang w:val="fr-CA"/>
              </w:rPr>
              <w:t xml:space="preserve"> </w:t>
            </w:r>
            <w:r w:rsidR="004E44A7">
              <w:rPr>
                <w:szCs w:val="24"/>
                <w:lang w:val="fr-CA"/>
              </w:rPr>
              <w:t>causes</w:t>
            </w:r>
            <w:r w:rsidRPr="00245129">
              <w:rPr>
                <w:szCs w:val="24"/>
                <w:lang w:val="fr-CA"/>
              </w:rPr>
              <w:t xml:space="preserve">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p w:rsidR="00560DF1" w:rsidRPr="00DD0BDC" w:rsidRDefault="00DD0BDC" w:rsidP="00567602">
      <w:pPr>
        <w:pStyle w:val="Header1StyleE"/>
        <w:pBdr>
          <w:bottom w:val="single" w:sz="12" w:space="1" w:color="auto"/>
        </w:pBdr>
        <w:rPr>
          <w:lang w:val="fr-CA"/>
        </w:rPr>
      </w:pPr>
      <w:bookmarkStart w:id="1" w:name="_Toc8998615"/>
      <w:r w:rsidRPr="00DD0BDC">
        <w:rPr>
          <w:lang w:val="fr-CA"/>
        </w:rPr>
        <w:lastRenderedPageBreak/>
        <w:t xml:space="preserve">Applications for </w:t>
      </w:r>
      <w:proofErr w:type="spellStart"/>
      <w:r w:rsidRPr="00DD0BDC">
        <w:rPr>
          <w:lang w:val="fr-CA"/>
        </w:rPr>
        <w:t>leave</w:t>
      </w:r>
      <w:proofErr w:type="spellEnd"/>
      <w:r w:rsidRPr="00DD0BDC">
        <w:rPr>
          <w:lang w:val="fr-CA"/>
        </w:rPr>
        <w:t xml:space="preserve"> to </w:t>
      </w:r>
      <w:proofErr w:type="spellStart"/>
      <w:r w:rsidRPr="00DD0BDC">
        <w:rPr>
          <w:lang w:val="fr-CA"/>
        </w:rPr>
        <w:t>appeal</w:t>
      </w:r>
      <w:proofErr w:type="spellEnd"/>
      <w:r w:rsidRPr="00DD0BDC">
        <w:rPr>
          <w:lang w:val="fr-CA"/>
        </w:rPr>
        <w:t xml:space="preserve"> </w:t>
      </w:r>
      <w:proofErr w:type="spellStart"/>
      <w:r w:rsidRPr="00DD0BDC">
        <w:rPr>
          <w:lang w:val="fr-CA"/>
        </w:rPr>
        <w:t>filed</w:t>
      </w:r>
      <w:proofErr w:type="spellEnd"/>
      <w:r w:rsidR="00271E1E">
        <w:rPr>
          <w:lang w:val="fr-CA"/>
        </w:rPr>
        <w:t xml:space="preserve"> / </w:t>
      </w:r>
      <w:r w:rsidR="00727571" w:rsidRPr="00DD0BDC">
        <w:rPr>
          <w:lang w:val="fr-CA"/>
        </w:rPr>
        <w:br/>
      </w:r>
      <w:r>
        <w:rPr>
          <w:lang w:val="fr-CA"/>
        </w:rPr>
        <w:t>D</w:t>
      </w:r>
      <w:r w:rsidRPr="00DD0BDC">
        <w:rPr>
          <w:lang w:val="fr-CA"/>
        </w:rPr>
        <w:t>emandes d’autorisation d’appel déposées</w:t>
      </w:r>
      <w:bookmarkEnd w:id="1"/>
    </w:p>
    <w:p w:rsidR="00FB1DB6" w:rsidRPr="00DD0BDC" w:rsidRDefault="00FB1DB6" w:rsidP="0095096B">
      <w:pPr>
        <w:tabs>
          <w:tab w:val="right" w:pos="9360"/>
        </w:tabs>
        <w:rPr>
          <w:sz w:val="20"/>
          <w:szCs w:val="20"/>
          <w:lang w:val="fr-CA"/>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219"/>
      </w:tblGrid>
      <w:tr w:rsidR="00211A38" w:rsidRPr="00C21644" w:rsidTr="00EE3188">
        <w:tc>
          <w:tcPr>
            <w:tcW w:w="4320" w:type="dxa"/>
            <w:vMerge w:val="restart"/>
            <w:shd w:val="clear" w:color="auto" w:fill="auto"/>
          </w:tcPr>
          <w:p w:rsidR="00211A38" w:rsidRPr="006615F4" w:rsidRDefault="00211A38" w:rsidP="005F1ED8">
            <w:pPr>
              <w:rPr>
                <w:b/>
                <w:sz w:val="20"/>
                <w:szCs w:val="20"/>
                <w:lang w:val="en-US"/>
              </w:rPr>
            </w:pPr>
            <w:r>
              <w:rPr>
                <w:b/>
                <w:sz w:val="20"/>
                <w:szCs w:val="20"/>
                <w:lang w:val="en-US"/>
              </w:rPr>
              <w:t>Northern Sunrise County</w:t>
            </w:r>
          </w:p>
          <w:p w:rsidR="00211A38" w:rsidRPr="00B44C30" w:rsidRDefault="00211A38" w:rsidP="005F1ED8">
            <w:pPr>
              <w:tabs>
                <w:tab w:val="left" w:pos="-1440"/>
                <w:tab w:val="left" w:pos="-720"/>
              </w:tabs>
              <w:rPr>
                <w:sz w:val="20"/>
                <w:szCs w:val="20"/>
                <w:lang w:val="en-US"/>
              </w:rPr>
            </w:pPr>
            <w:r w:rsidRPr="006615F4">
              <w:rPr>
                <w:sz w:val="20"/>
                <w:szCs w:val="20"/>
                <w:lang w:val="en-US"/>
              </w:rPr>
              <w:tab/>
            </w:r>
            <w:r w:rsidRPr="00B44C30">
              <w:rPr>
                <w:sz w:val="20"/>
                <w:szCs w:val="20"/>
                <w:lang w:val="en-US"/>
              </w:rPr>
              <w:t>McCabe, Q.C., Michael J.</w:t>
            </w:r>
          </w:p>
          <w:p w:rsidR="00211A38" w:rsidRPr="001C00B1" w:rsidRDefault="00211A38" w:rsidP="005F1ED8">
            <w:pPr>
              <w:tabs>
                <w:tab w:val="left" w:pos="-1440"/>
                <w:tab w:val="left" w:pos="-720"/>
              </w:tabs>
              <w:rPr>
                <w:sz w:val="20"/>
                <w:szCs w:val="20"/>
                <w:lang w:val="en-US"/>
              </w:rPr>
            </w:pPr>
            <w:r w:rsidRPr="00B44C30">
              <w:rPr>
                <w:sz w:val="20"/>
                <w:szCs w:val="20"/>
                <w:lang w:val="en-US"/>
              </w:rPr>
              <w:tab/>
            </w:r>
            <w:r w:rsidRPr="001C00B1">
              <w:rPr>
                <w:sz w:val="20"/>
                <w:szCs w:val="20"/>
              </w:rPr>
              <w:t>Reynolds, Mirth, Richards &amp; Farmer LLP</w:t>
            </w:r>
          </w:p>
          <w:p w:rsidR="00211A38" w:rsidRPr="001C00B1" w:rsidRDefault="00211A38" w:rsidP="005F1ED8">
            <w:pPr>
              <w:tabs>
                <w:tab w:val="left" w:pos="-1440"/>
                <w:tab w:val="left" w:pos="-720"/>
              </w:tabs>
              <w:rPr>
                <w:sz w:val="20"/>
                <w:szCs w:val="20"/>
                <w:lang w:val="en-US"/>
              </w:rPr>
            </w:pPr>
          </w:p>
          <w:p w:rsidR="00211A38" w:rsidRPr="001C00B1" w:rsidRDefault="00211A38" w:rsidP="005F1ED8">
            <w:pPr>
              <w:tabs>
                <w:tab w:val="left" w:pos="-1440"/>
                <w:tab w:val="left" w:pos="-720"/>
              </w:tabs>
              <w:rPr>
                <w:sz w:val="20"/>
                <w:szCs w:val="20"/>
                <w:lang w:val="en-US"/>
              </w:rPr>
            </w:pPr>
            <w:r w:rsidRPr="001C00B1">
              <w:rPr>
                <w:sz w:val="20"/>
                <w:szCs w:val="20"/>
                <w:lang w:val="en-US"/>
              </w:rPr>
              <w:tab/>
              <w:t>v. (</w:t>
            </w:r>
            <w:r>
              <w:rPr>
                <w:sz w:val="20"/>
                <w:szCs w:val="20"/>
                <w:lang w:val="en-US"/>
              </w:rPr>
              <w:t>38587</w:t>
            </w:r>
            <w:r w:rsidRPr="001C00B1">
              <w:rPr>
                <w:sz w:val="20"/>
                <w:szCs w:val="20"/>
                <w:lang w:val="en-US"/>
              </w:rPr>
              <w:t>)</w:t>
            </w:r>
          </w:p>
          <w:p w:rsidR="00211A38" w:rsidRPr="001C00B1" w:rsidRDefault="00211A38" w:rsidP="005F1ED8">
            <w:pPr>
              <w:tabs>
                <w:tab w:val="left" w:pos="-1440"/>
                <w:tab w:val="left" w:pos="-720"/>
              </w:tabs>
              <w:rPr>
                <w:sz w:val="20"/>
                <w:szCs w:val="20"/>
                <w:lang w:val="en-US"/>
              </w:rPr>
            </w:pPr>
          </w:p>
          <w:p w:rsidR="00211A38" w:rsidRPr="00211A38" w:rsidRDefault="00211A38" w:rsidP="005F1ED8">
            <w:pPr>
              <w:tabs>
                <w:tab w:val="left" w:pos="-1440"/>
                <w:tab w:val="left" w:pos="-720"/>
              </w:tabs>
              <w:rPr>
                <w:b/>
                <w:sz w:val="20"/>
                <w:szCs w:val="20"/>
                <w:lang w:val="en-US"/>
              </w:rPr>
            </w:pPr>
            <w:r w:rsidRPr="001C00B1">
              <w:rPr>
                <w:b/>
                <w:bCs/>
                <w:sz w:val="20"/>
                <w:szCs w:val="20"/>
              </w:rPr>
              <w:t>Bank of Nova Scotia, et al.</w:t>
            </w:r>
            <w:r w:rsidRPr="001C00B1">
              <w:rPr>
                <w:b/>
                <w:sz w:val="20"/>
                <w:szCs w:val="20"/>
                <w:lang w:val="en-US"/>
              </w:rPr>
              <w:t xml:space="preserve"> </w:t>
            </w:r>
            <w:r w:rsidRPr="00211A38">
              <w:rPr>
                <w:b/>
                <w:sz w:val="20"/>
                <w:szCs w:val="20"/>
                <w:lang w:val="en-US"/>
              </w:rPr>
              <w:t>(Alta.)</w:t>
            </w:r>
          </w:p>
          <w:p w:rsidR="00211A38" w:rsidRPr="00A935AA" w:rsidRDefault="00211A38" w:rsidP="005F1ED8">
            <w:pPr>
              <w:tabs>
                <w:tab w:val="left" w:pos="-1440"/>
                <w:tab w:val="left" w:pos="-720"/>
              </w:tabs>
              <w:rPr>
                <w:sz w:val="20"/>
                <w:szCs w:val="20"/>
              </w:rPr>
            </w:pPr>
            <w:r w:rsidRPr="00211A38">
              <w:rPr>
                <w:sz w:val="20"/>
                <w:szCs w:val="20"/>
                <w:lang w:val="en-US"/>
              </w:rPr>
              <w:tab/>
            </w:r>
            <w:r w:rsidRPr="001C00B1">
              <w:rPr>
                <w:sz w:val="20"/>
                <w:szCs w:val="20"/>
              </w:rPr>
              <w:t>Jones, Richard</w:t>
            </w:r>
          </w:p>
          <w:p w:rsidR="00211A38" w:rsidRPr="00A935AA" w:rsidRDefault="00211A38" w:rsidP="005F1ED8">
            <w:pPr>
              <w:tabs>
                <w:tab w:val="left" w:pos="-1440"/>
                <w:tab w:val="left" w:pos="-720"/>
              </w:tabs>
              <w:rPr>
                <w:sz w:val="20"/>
                <w:szCs w:val="20"/>
              </w:rPr>
            </w:pPr>
            <w:r w:rsidRPr="00A935AA">
              <w:rPr>
                <w:sz w:val="20"/>
                <w:szCs w:val="20"/>
              </w:rPr>
              <w:tab/>
            </w:r>
            <w:r w:rsidRPr="001C00B1">
              <w:rPr>
                <w:sz w:val="20"/>
                <w:szCs w:val="20"/>
              </w:rPr>
              <w:t>McMillan LLP</w:t>
            </w:r>
          </w:p>
          <w:p w:rsidR="00211A38" w:rsidRPr="00A935AA" w:rsidRDefault="00211A38" w:rsidP="005F1ED8">
            <w:pPr>
              <w:tabs>
                <w:tab w:val="left" w:pos="-1440"/>
                <w:tab w:val="left" w:pos="-720"/>
              </w:tabs>
              <w:rPr>
                <w:sz w:val="20"/>
                <w:szCs w:val="20"/>
              </w:rPr>
            </w:pPr>
          </w:p>
          <w:p w:rsidR="00211A38" w:rsidRPr="00A935AA" w:rsidRDefault="00211A38" w:rsidP="005F1ED8">
            <w:pPr>
              <w:rPr>
                <w:sz w:val="20"/>
                <w:szCs w:val="20"/>
              </w:rPr>
            </w:pPr>
            <w:r w:rsidRPr="00A935AA">
              <w:rPr>
                <w:sz w:val="20"/>
                <w:szCs w:val="20"/>
              </w:rPr>
              <w:t xml:space="preserve">FILING DATE: </w:t>
            </w:r>
            <w:r>
              <w:rPr>
                <w:sz w:val="20"/>
                <w:szCs w:val="20"/>
              </w:rPr>
              <w:t>April 10, 2019</w:t>
            </w:r>
          </w:p>
          <w:p w:rsidR="00211A38" w:rsidRDefault="00211A38" w:rsidP="005F1ED8">
            <w:pPr>
              <w:rPr>
                <w:sz w:val="20"/>
                <w:szCs w:val="20"/>
              </w:rPr>
            </w:pPr>
          </w:p>
          <w:p w:rsidR="00211A38" w:rsidRDefault="00211A38" w:rsidP="005F1ED8">
            <w:pPr>
              <w:rPr>
                <w:sz w:val="20"/>
                <w:szCs w:val="20"/>
              </w:rPr>
            </w:pPr>
            <w:r>
              <w:rPr>
                <w:sz w:val="20"/>
                <w:szCs w:val="20"/>
              </w:rPr>
              <w:t>-and between-</w:t>
            </w:r>
          </w:p>
          <w:p w:rsidR="00211A38" w:rsidRDefault="00211A38" w:rsidP="005F1ED8">
            <w:pPr>
              <w:rPr>
                <w:sz w:val="20"/>
                <w:szCs w:val="20"/>
              </w:rPr>
            </w:pPr>
          </w:p>
          <w:p w:rsidR="00211A38" w:rsidRPr="006615F4" w:rsidRDefault="00211A38" w:rsidP="00211A38">
            <w:pPr>
              <w:rPr>
                <w:b/>
                <w:sz w:val="20"/>
                <w:szCs w:val="20"/>
                <w:lang w:val="en-US"/>
              </w:rPr>
            </w:pPr>
            <w:r w:rsidRPr="00211A38">
              <w:rPr>
                <w:b/>
                <w:bCs/>
                <w:sz w:val="20"/>
                <w:szCs w:val="20"/>
                <w:lang w:val="en-US"/>
              </w:rPr>
              <w:t>Municipal District of Opportunity No. 17 and Lamont County</w:t>
            </w:r>
          </w:p>
          <w:p w:rsidR="00211A38" w:rsidRPr="00B44C30" w:rsidRDefault="00211A38" w:rsidP="00211A38">
            <w:pPr>
              <w:tabs>
                <w:tab w:val="left" w:pos="-1440"/>
                <w:tab w:val="left" w:pos="-720"/>
              </w:tabs>
              <w:rPr>
                <w:sz w:val="20"/>
                <w:szCs w:val="20"/>
                <w:lang w:val="en-US"/>
              </w:rPr>
            </w:pPr>
            <w:r w:rsidRPr="006615F4">
              <w:rPr>
                <w:sz w:val="20"/>
                <w:szCs w:val="20"/>
                <w:lang w:val="en-US"/>
              </w:rPr>
              <w:tab/>
            </w:r>
            <w:proofErr w:type="spellStart"/>
            <w:r w:rsidRPr="00211A38">
              <w:rPr>
                <w:sz w:val="20"/>
                <w:szCs w:val="20"/>
              </w:rPr>
              <w:t>Plester</w:t>
            </w:r>
            <w:proofErr w:type="spellEnd"/>
            <w:r w:rsidRPr="00211A38">
              <w:rPr>
                <w:sz w:val="20"/>
                <w:szCs w:val="20"/>
              </w:rPr>
              <w:t>, Gregory G.</w:t>
            </w:r>
          </w:p>
          <w:p w:rsidR="00211A38" w:rsidRPr="001C00B1" w:rsidRDefault="00211A38" w:rsidP="00211A38">
            <w:pPr>
              <w:tabs>
                <w:tab w:val="left" w:pos="-1440"/>
                <w:tab w:val="left" w:pos="-720"/>
              </w:tabs>
              <w:rPr>
                <w:sz w:val="20"/>
                <w:szCs w:val="20"/>
                <w:lang w:val="en-US"/>
              </w:rPr>
            </w:pPr>
            <w:r w:rsidRPr="00B44C30">
              <w:rPr>
                <w:sz w:val="20"/>
                <w:szCs w:val="20"/>
                <w:lang w:val="en-US"/>
              </w:rPr>
              <w:tab/>
            </w:r>
            <w:r w:rsidRPr="00211A38">
              <w:rPr>
                <w:sz w:val="20"/>
                <w:szCs w:val="20"/>
              </w:rPr>
              <w:t>Brownlee LLP</w:t>
            </w:r>
          </w:p>
          <w:p w:rsidR="00211A38" w:rsidRPr="001C00B1" w:rsidRDefault="00211A38" w:rsidP="00211A38">
            <w:pPr>
              <w:tabs>
                <w:tab w:val="left" w:pos="-1440"/>
                <w:tab w:val="left" w:pos="-720"/>
              </w:tabs>
              <w:rPr>
                <w:sz w:val="20"/>
                <w:szCs w:val="20"/>
                <w:lang w:val="en-US"/>
              </w:rPr>
            </w:pPr>
          </w:p>
          <w:p w:rsidR="00211A38" w:rsidRPr="001C00B1" w:rsidRDefault="00211A38" w:rsidP="00211A38">
            <w:pPr>
              <w:tabs>
                <w:tab w:val="left" w:pos="-1440"/>
                <w:tab w:val="left" w:pos="-720"/>
              </w:tabs>
              <w:rPr>
                <w:sz w:val="20"/>
                <w:szCs w:val="20"/>
                <w:lang w:val="en-US"/>
              </w:rPr>
            </w:pPr>
            <w:r w:rsidRPr="001C00B1">
              <w:rPr>
                <w:sz w:val="20"/>
                <w:szCs w:val="20"/>
                <w:lang w:val="en-US"/>
              </w:rPr>
              <w:tab/>
              <w:t>v. (</w:t>
            </w:r>
            <w:r>
              <w:rPr>
                <w:sz w:val="20"/>
                <w:szCs w:val="20"/>
                <w:lang w:val="en-US"/>
              </w:rPr>
              <w:t>38587</w:t>
            </w:r>
            <w:r w:rsidRPr="001C00B1">
              <w:rPr>
                <w:sz w:val="20"/>
                <w:szCs w:val="20"/>
                <w:lang w:val="en-US"/>
              </w:rPr>
              <w:t>)</w:t>
            </w:r>
          </w:p>
          <w:p w:rsidR="00211A38" w:rsidRPr="001C00B1" w:rsidRDefault="00211A38" w:rsidP="00211A38">
            <w:pPr>
              <w:tabs>
                <w:tab w:val="left" w:pos="-1440"/>
                <w:tab w:val="left" w:pos="-720"/>
              </w:tabs>
              <w:rPr>
                <w:sz w:val="20"/>
                <w:szCs w:val="20"/>
                <w:lang w:val="en-US"/>
              </w:rPr>
            </w:pPr>
          </w:p>
          <w:p w:rsidR="00211A38" w:rsidRPr="00211A38" w:rsidRDefault="00211A38" w:rsidP="00211A38">
            <w:pPr>
              <w:tabs>
                <w:tab w:val="left" w:pos="-1440"/>
                <w:tab w:val="left" w:pos="-720"/>
              </w:tabs>
              <w:rPr>
                <w:b/>
                <w:sz w:val="20"/>
                <w:szCs w:val="20"/>
                <w:lang w:val="en-US"/>
              </w:rPr>
            </w:pPr>
            <w:r w:rsidRPr="001C00B1">
              <w:rPr>
                <w:b/>
                <w:bCs/>
                <w:sz w:val="20"/>
                <w:szCs w:val="20"/>
              </w:rPr>
              <w:t>Bank of Nova Scotia, et al.</w:t>
            </w:r>
            <w:r w:rsidRPr="001C00B1">
              <w:rPr>
                <w:b/>
                <w:sz w:val="20"/>
                <w:szCs w:val="20"/>
                <w:lang w:val="en-US"/>
              </w:rPr>
              <w:t xml:space="preserve"> </w:t>
            </w:r>
            <w:r w:rsidRPr="00211A38">
              <w:rPr>
                <w:b/>
                <w:sz w:val="20"/>
                <w:szCs w:val="20"/>
                <w:lang w:val="en-US"/>
              </w:rPr>
              <w:t>(Alta.)</w:t>
            </w:r>
          </w:p>
          <w:p w:rsidR="00211A38" w:rsidRPr="00A935AA" w:rsidRDefault="00211A38" w:rsidP="00211A38">
            <w:pPr>
              <w:tabs>
                <w:tab w:val="left" w:pos="-1440"/>
                <w:tab w:val="left" w:pos="-720"/>
              </w:tabs>
              <w:rPr>
                <w:sz w:val="20"/>
                <w:szCs w:val="20"/>
              </w:rPr>
            </w:pPr>
            <w:r w:rsidRPr="00211A38">
              <w:rPr>
                <w:sz w:val="20"/>
                <w:szCs w:val="20"/>
                <w:lang w:val="en-US"/>
              </w:rPr>
              <w:tab/>
            </w:r>
            <w:r w:rsidRPr="001C00B1">
              <w:rPr>
                <w:sz w:val="20"/>
                <w:szCs w:val="20"/>
              </w:rPr>
              <w:t>Jones, Richard</w:t>
            </w:r>
          </w:p>
          <w:p w:rsidR="00211A38" w:rsidRPr="00A935AA" w:rsidRDefault="00211A38" w:rsidP="00211A38">
            <w:pPr>
              <w:tabs>
                <w:tab w:val="left" w:pos="-1440"/>
                <w:tab w:val="left" w:pos="-720"/>
              </w:tabs>
              <w:rPr>
                <w:sz w:val="20"/>
                <w:szCs w:val="20"/>
              </w:rPr>
            </w:pPr>
            <w:r w:rsidRPr="00A935AA">
              <w:rPr>
                <w:sz w:val="20"/>
                <w:szCs w:val="20"/>
              </w:rPr>
              <w:tab/>
            </w:r>
            <w:r w:rsidRPr="001C00B1">
              <w:rPr>
                <w:sz w:val="20"/>
                <w:szCs w:val="20"/>
              </w:rPr>
              <w:t>McMillan LLP</w:t>
            </w:r>
          </w:p>
          <w:p w:rsidR="00211A38" w:rsidRPr="00A935AA" w:rsidRDefault="00211A38" w:rsidP="00211A38">
            <w:pPr>
              <w:tabs>
                <w:tab w:val="left" w:pos="-1440"/>
                <w:tab w:val="left" w:pos="-720"/>
              </w:tabs>
              <w:rPr>
                <w:sz w:val="20"/>
                <w:szCs w:val="20"/>
              </w:rPr>
            </w:pPr>
          </w:p>
          <w:p w:rsidR="00211A38" w:rsidRPr="00A935AA" w:rsidRDefault="00211A38" w:rsidP="00211A38">
            <w:pPr>
              <w:rPr>
                <w:sz w:val="20"/>
                <w:szCs w:val="20"/>
              </w:rPr>
            </w:pPr>
            <w:r w:rsidRPr="00A935AA">
              <w:rPr>
                <w:sz w:val="20"/>
                <w:szCs w:val="20"/>
              </w:rPr>
              <w:t xml:space="preserve">FILING DATE: </w:t>
            </w:r>
            <w:r>
              <w:rPr>
                <w:sz w:val="20"/>
                <w:szCs w:val="20"/>
              </w:rPr>
              <w:t>April 11, 2019</w:t>
            </w:r>
          </w:p>
          <w:p w:rsidR="00D443FD" w:rsidRDefault="003A218E" w:rsidP="005F1ED8">
            <w:pPr>
              <w:rPr>
                <w:sz w:val="20"/>
                <w:szCs w:val="20"/>
                <w:lang w:val="fr-CA"/>
              </w:rPr>
            </w:pPr>
            <w:r>
              <w:rPr>
                <w:sz w:val="20"/>
                <w:szCs w:val="20"/>
                <w:lang w:val="fr-CA"/>
              </w:rPr>
              <w:pict>
                <v:rect id="_x0000_i1025" style="width:108pt;height:1pt" o:hrpct="0" o:hralign="center" o:hrstd="t" o:hrnoshade="t" o:hr="t" fillcolor="black [3213]" stroked="f"/>
              </w:pict>
            </w:r>
          </w:p>
          <w:p w:rsidR="00211A38" w:rsidRPr="00A935AA" w:rsidRDefault="00211A38" w:rsidP="005F1ED8">
            <w:pPr>
              <w:rPr>
                <w:sz w:val="20"/>
                <w:szCs w:val="20"/>
              </w:rPr>
            </w:pPr>
          </w:p>
        </w:tc>
        <w:tc>
          <w:tcPr>
            <w:tcW w:w="1181" w:type="dxa"/>
            <w:shd w:val="clear" w:color="auto" w:fill="auto"/>
          </w:tcPr>
          <w:p w:rsidR="00211A38" w:rsidRPr="00A935AA" w:rsidRDefault="00211A38" w:rsidP="00242AEE">
            <w:pPr>
              <w:jc w:val="center"/>
              <w:rPr>
                <w:sz w:val="20"/>
                <w:szCs w:val="20"/>
              </w:rPr>
            </w:pPr>
          </w:p>
          <w:p w:rsidR="00211A38" w:rsidRPr="00A935AA" w:rsidRDefault="00211A38" w:rsidP="00211A38">
            <w:pPr>
              <w:jc w:val="center"/>
              <w:rPr>
                <w:sz w:val="20"/>
                <w:szCs w:val="20"/>
              </w:rPr>
            </w:pPr>
          </w:p>
        </w:tc>
        <w:tc>
          <w:tcPr>
            <w:tcW w:w="4219" w:type="dxa"/>
            <w:shd w:val="clear" w:color="auto" w:fill="auto"/>
          </w:tcPr>
          <w:p w:rsidR="00D443FD" w:rsidRDefault="00D443FD" w:rsidP="00211A38">
            <w:pPr>
              <w:tabs>
                <w:tab w:val="left" w:pos="-1440"/>
                <w:tab w:val="left" w:pos="-720"/>
              </w:tabs>
              <w:rPr>
                <w:b/>
                <w:bCs/>
                <w:sz w:val="20"/>
                <w:szCs w:val="20"/>
              </w:rPr>
            </w:pPr>
            <w:r w:rsidRPr="00D443FD">
              <w:rPr>
                <w:b/>
                <w:bCs/>
                <w:sz w:val="20"/>
                <w:szCs w:val="20"/>
              </w:rPr>
              <w:t xml:space="preserve">Roy Andrew </w:t>
            </w:r>
            <w:proofErr w:type="spellStart"/>
            <w:r w:rsidRPr="00D443FD">
              <w:rPr>
                <w:b/>
                <w:bCs/>
                <w:sz w:val="20"/>
                <w:szCs w:val="20"/>
              </w:rPr>
              <w:t>Niemi</w:t>
            </w:r>
            <w:proofErr w:type="spellEnd"/>
          </w:p>
          <w:p w:rsidR="00211A38" w:rsidRPr="00211A38" w:rsidRDefault="00211A38" w:rsidP="00211A38">
            <w:pPr>
              <w:tabs>
                <w:tab w:val="left" w:pos="-1440"/>
                <w:tab w:val="left" w:pos="-720"/>
              </w:tabs>
              <w:rPr>
                <w:sz w:val="20"/>
                <w:szCs w:val="20"/>
                <w:lang w:val="en-US"/>
              </w:rPr>
            </w:pPr>
            <w:r w:rsidRPr="006615F4">
              <w:rPr>
                <w:sz w:val="20"/>
                <w:szCs w:val="20"/>
                <w:lang w:val="en-US"/>
              </w:rPr>
              <w:tab/>
            </w:r>
            <w:proofErr w:type="spellStart"/>
            <w:r w:rsidR="00D443FD" w:rsidRPr="00D443FD">
              <w:rPr>
                <w:sz w:val="20"/>
                <w:szCs w:val="20"/>
              </w:rPr>
              <w:t>Calarco</w:t>
            </w:r>
            <w:proofErr w:type="spellEnd"/>
            <w:r w:rsidR="00D443FD" w:rsidRPr="00D443FD">
              <w:rPr>
                <w:sz w:val="20"/>
                <w:szCs w:val="20"/>
              </w:rPr>
              <w:t>, Paul</w:t>
            </w:r>
          </w:p>
          <w:p w:rsidR="00211A38" w:rsidRPr="001C00B1" w:rsidRDefault="00211A38" w:rsidP="00211A38">
            <w:pPr>
              <w:tabs>
                <w:tab w:val="left" w:pos="-1440"/>
                <w:tab w:val="left" w:pos="-720"/>
              </w:tabs>
              <w:rPr>
                <w:sz w:val="20"/>
                <w:szCs w:val="20"/>
                <w:lang w:val="en-US"/>
              </w:rPr>
            </w:pPr>
          </w:p>
          <w:p w:rsidR="00211A38" w:rsidRPr="001C00B1" w:rsidRDefault="00211A38" w:rsidP="00211A38">
            <w:pPr>
              <w:tabs>
                <w:tab w:val="left" w:pos="-1440"/>
                <w:tab w:val="left" w:pos="-720"/>
              </w:tabs>
              <w:rPr>
                <w:sz w:val="20"/>
                <w:szCs w:val="20"/>
                <w:lang w:val="en-US"/>
              </w:rPr>
            </w:pPr>
            <w:r w:rsidRPr="001C00B1">
              <w:rPr>
                <w:sz w:val="20"/>
                <w:szCs w:val="20"/>
                <w:lang w:val="en-US"/>
              </w:rPr>
              <w:tab/>
              <w:t>v. (</w:t>
            </w:r>
            <w:r w:rsidR="00D443FD">
              <w:rPr>
                <w:sz w:val="20"/>
                <w:szCs w:val="20"/>
                <w:lang w:val="en-US"/>
              </w:rPr>
              <w:t>38599</w:t>
            </w:r>
            <w:r w:rsidRPr="001C00B1">
              <w:rPr>
                <w:sz w:val="20"/>
                <w:szCs w:val="20"/>
                <w:lang w:val="en-US"/>
              </w:rPr>
              <w:t>)</w:t>
            </w:r>
          </w:p>
          <w:p w:rsidR="00211A38" w:rsidRPr="001C00B1" w:rsidRDefault="00211A38" w:rsidP="00211A38">
            <w:pPr>
              <w:tabs>
                <w:tab w:val="left" w:pos="-1440"/>
                <w:tab w:val="left" w:pos="-720"/>
              </w:tabs>
              <w:rPr>
                <w:sz w:val="20"/>
                <w:szCs w:val="20"/>
                <w:lang w:val="en-US"/>
              </w:rPr>
            </w:pPr>
          </w:p>
          <w:p w:rsidR="00211A38" w:rsidRPr="00211A38" w:rsidRDefault="00D443FD" w:rsidP="00211A38">
            <w:pPr>
              <w:tabs>
                <w:tab w:val="left" w:pos="-1440"/>
                <w:tab w:val="left" w:pos="-720"/>
              </w:tabs>
              <w:rPr>
                <w:b/>
                <w:sz w:val="20"/>
                <w:szCs w:val="20"/>
                <w:lang w:val="en-US"/>
              </w:rPr>
            </w:pPr>
            <w:r w:rsidRPr="00D443FD">
              <w:rPr>
                <w:b/>
                <w:bCs/>
                <w:sz w:val="20"/>
                <w:szCs w:val="20"/>
              </w:rPr>
              <w:t>Her Majesty the Queen </w:t>
            </w:r>
            <w:r w:rsidRPr="00D443FD">
              <w:rPr>
                <w:b/>
                <w:bCs/>
                <w:sz w:val="20"/>
                <w:szCs w:val="20"/>
                <w:lang w:val="en-US"/>
              </w:rPr>
              <w:t xml:space="preserve"> </w:t>
            </w:r>
            <w:r w:rsidR="00211A38" w:rsidRPr="00211A38">
              <w:rPr>
                <w:b/>
                <w:sz w:val="20"/>
                <w:szCs w:val="20"/>
                <w:lang w:val="en-US"/>
              </w:rPr>
              <w:t>(</w:t>
            </w:r>
            <w:r>
              <w:rPr>
                <w:b/>
                <w:sz w:val="20"/>
                <w:szCs w:val="20"/>
                <w:lang w:val="en-US"/>
              </w:rPr>
              <w:t>Ont</w:t>
            </w:r>
            <w:r w:rsidR="00211A38" w:rsidRPr="00211A38">
              <w:rPr>
                <w:b/>
                <w:sz w:val="20"/>
                <w:szCs w:val="20"/>
                <w:lang w:val="en-US"/>
              </w:rPr>
              <w:t>.)</w:t>
            </w:r>
          </w:p>
          <w:p w:rsidR="00211A38" w:rsidRPr="00A935AA" w:rsidRDefault="00211A38" w:rsidP="00211A38">
            <w:pPr>
              <w:tabs>
                <w:tab w:val="left" w:pos="-1440"/>
                <w:tab w:val="left" w:pos="-720"/>
              </w:tabs>
              <w:rPr>
                <w:sz w:val="20"/>
                <w:szCs w:val="20"/>
              </w:rPr>
            </w:pPr>
            <w:r w:rsidRPr="00211A38">
              <w:rPr>
                <w:sz w:val="20"/>
                <w:szCs w:val="20"/>
                <w:lang w:val="en-US"/>
              </w:rPr>
              <w:tab/>
            </w:r>
            <w:r w:rsidR="00D443FD" w:rsidRPr="00D443FD">
              <w:rPr>
                <w:sz w:val="20"/>
                <w:szCs w:val="20"/>
              </w:rPr>
              <w:t>Schwartz, Randy</w:t>
            </w:r>
          </w:p>
          <w:p w:rsidR="00D443FD" w:rsidRPr="00D443FD" w:rsidRDefault="00211A38" w:rsidP="00D443FD">
            <w:pPr>
              <w:tabs>
                <w:tab w:val="left" w:pos="-1440"/>
                <w:tab w:val="left" w:pos="-720"/>
              </w:tabs>
              <w:rPr>
                <w:sz w:val="20"/>
                <w:szCs w:val="20"/>
                <w:lang w:val="en-US"/>
              </w:rPr>
            </w:pPr>
            <w:r w:rsidRPr="00A935AA">
              <w:rPr>
                <w:sz w:val="20"/>
                <w:szCs w:val="20"/>
              </w:rPr>
              <w:tab/>
            </w:r>
            <w:r w:rsidR="00D443FD" w:rsidRPr="00D443FD">
              <w:rPr>
                <w:sz w:val="20"/>
                <w:szCs w:val="20"/>
                <w:lang w:val="en-US"/>
              </w:rPr>
              <w:t>Attorney General of Ontario</w:t>
            </w:r>
          </w:p>
          <w:p w:rsidR="00211A38" w:rsidRPr="00A935AA" w:rsidRDefault="00211A38" w:rsidP="00211A38">
            <w:pPr>
              <w:tabs>
                <w:tab w:val="left" w:pos="-1440"/>
                <w:tab w:val="left" w:pos="-720"/>
              </w:tabs>
              <w:rPr>
                <w:sz w:val="20"/>
                <w:szCs w:val="20"/>
              </w:rPr>
            </w:pPr>
          </w:p>
          <w:p w:rsidR="00211A38" w:rsidRDefault="00211A38" w:rsidP="00211A38">
            <w:pPr>
              <w:rPr>
                <w:sz w:val="20"/>
                <w:szCs w:val="20"/>
              </w:rPr>
            </w:pPr>
            <w:r w:rsidRPr="00A935AA">
              <w:rPr>
                <w:sz w:val="20"/>
                <w:szCs w:val="20"/>
              </w:rPr>
              <w:t xml:space="preserve">FILING DATE: </w:t>
            </w:r>
            <w:r>
              <w:rPr>
                <w:sz w:val="20"/>
                <w:szCs w:val="20"/>
              </w:rPr>
              <w:t>April 1</w:t>
            </w:r>
            <w:r w:rsidR="00D443FD">
              <w:rPr>
                <w:sz w:val="20"/>
                <w:szCs w:val="20"/>
              </w:rPr>
              <w:t>3</w:t>
            </w:r>
            <w:r>
              <w:rPr>
                <w:sz w:val="20"/>
                <w:szCs w:val="20"/>
              </w:rPr>
              <w:t>, 2019</w:t>
            </w:r>
          </w:p>
          <w:p w:rsidR="00D443FD" w:rsidRPr="00A935AA" w:rsidRDefault="003A218E" w:rsidP="00211A38">
            <w:pPr>
              <w:rPr>
                <w:sz w:val="20"/>
                <w:szCs w:val="20"/>
              </w:rPr>
            </w:pPr>
            <w:r>
              <w:rPr>
                <w:sz w:val="20"/>
                <w:szCs w:val="20"/>
                <w:lang w:val="fr-CA"/>
              </w:rPr>
              <w:pict>
                <v:rect id="_x0000_i1026" style="width:108pt;height:1pt" o:hrpct="0" o:hralign="center" o:hrstd="t" o:hrnoshade="t" o:hr="t" fillcolor="black [3213]" stroked="f"/>
              </w:pict>
            </w:r>
          </w:p>
          <w:p w:rsidR="00211A38" w:rsidRPr="00211A38" w:rsidRDefault="00211A38" w:rsidP="00E8544A">
            <w:pPr>
              <w:rPr>
                <w:sz w:val="20"/>
                <w:szCs w:val="20"/>
              </w:rPr>
            </w:pPr>
          </w:p>
        </w:tc>
      </w:tr>
      <w:tr w:rsidR="00211A38" w:rsidRPr="00211A38" w:rsidTr="00EE3188">
        <w:tc>
          <w:tcPr>
            <w:tcW w:w="4320" w:type="dxa"/>
            <w:vMerge/>
            <w:shd w:val="clear" w:color="auto" w:fill="auto"/>
          </w:tcPr>
          <w:p w:rsidR="00211A38" w:rsidRPr="00211A38" w:rsidRDefault="00211A38" w:rsidP="00684F23">
            <w:pPr>
              <w:rPr>
                <w:sz w:val="20"/>
                <w:szCs w:val="20"/>
                <w:lang w:val="en-US"/>
              </w:rPr>
            </w:pPr>
          </w:p>
        </w:tc>
        <w:tc>
          <w:tcPr>
            <w:tcW w:w="1181" w:type="dxa"/>
            <w:shd w:val="clear" w:color="auto" w:fill="auto"/>
          </w:tcPr>
          <w:p w:rsidR="00211A38" w:rsidRPr="00211A38" w:rsidRDefault="00211A38" w:rsidP="00242AEE">
            <w:pPr>
              <w:jc w:val="center"/>
              <w:rPr>
                <w:sz w:val="20"/>
                <w:szCs w:val="20"/>
                <w:lang w:val="en-US"/>
              </w:rPr>
            </w:pPr>
          </w:p>
        </w:tc>
        <w:tc>
          <w:tcPr>
            <w:tcW w:w="4219" w:type="dxa"/>
            <w:shd w:val="clear" w:color="auto" w:fill="auto"/>
          </w:tcPr>
          <w:p w:rsidR="00D443FD" w:rsidRDefault="00D443FD" w:rsidP="00D443FD">
            <w:pPr>
              <w:tabs>
                <w:tab w:val="left" w:pos="-1440"/>
                <w:tab w:val="left" w:pos="-720"/>
              </w:tabs>
              <w:rPr>
                <w:b/>
                <w:bCs/>
                <w:sz w:val="20"/>
                <w:szCs w:val="20"/>
              </w:rPr>
            </w:pPr>
            <w:r w:rsidRPr="00D443FD">
              <w:rPr>
                <w:b/>
                <w:bCs/>
                <w:sz w:val="20"/>
                <w:szCs w:val="20"/>
              </w:rPr>
              <w:t>WestJet Airlines Ltd.</w:t>
            </w:r>
          </w:p>
          <w:p w:rsidR="00D443FD" w:rsidRPr="00D443FD" w:rsidRDefault="00D443FD" w:rsidP="00D443FD">
            <w:pPr>
              <w:tabs>
                <w:tab w:val="left" w:pos="-1440"/>
                <w:tab w:val="left" w:pos="-720"/>
              </w:tabs>
              <w:rPr>
                <w:sz w:val="20"/>
                <w:szCs w:val="20"/>
                <w:lang w:val="en-US"/>
              </w:rPr>
            </w:pPr>
            <w:r w:rsidRPr="006615F4">
              <w:rPr>
                <w:sz w:val="20"/>
                <w:szCs w:val="20"/>
                <w:lang w:val="en-US"/>
              </w:rPr>
              <w:tab/>
            </w:r>
            <w:r w:rsidRPr="00D443FD">
              <w:rPr>
                <w:sz w:val="20"/>
                <w:szCs w:val="20"/>
              </w:rPr>
              <w:t>Dear, Q.C., Don W. </w:t>
            </w:r>
          </w:p>
          <w:p w:rsidR="00D443FD" w:rsidRPr="00D443FD" w:rsidRDefault="00D443FD" w:rsidP="00D443FD">
            <w:pPr>
              <w:tabs>
                <w:tab w:val="left" w:pos="-1440"/>
                <w:tab w:val="left" w:pos="-720"/>
              </w:tabs>
              <w:rPr>
                <w:sz w:val="20"/>
                <w:szCs w:val="20"/>
                <w:lang w:val="en-US"/>
              </w:rPr>
            </w:pPr>
            <w:r w:rsidRPr="00D443FD">
              <w:rPr>
                <w:sz w:val="20"/>
                <w:szCs w:val="20"/>
                <w:lang w:val="en-US"/>
              </w:rPr>
              <w:tab/>
              <w:t>McLennan Ross LLP</w:t>
            </w:r>
          </w:p>
          <w:p w:rsidR="00D443FD" w:rsidRPr="001C00B1" w:rsidRDefault="00D443FD" w:rsidP="00D443FD">
            <w:pPr>
              <w:tabs>
                <w:tab w:val="left" w:pos="-1440"/>
                <w:tab w:val="left" w:pos="-720"/>
              </w:tabs>
              <w:rPr>
                <w:sz w:val="20"/>
                <w:szCs w:val="20"/>
                <w:lang w:val="en-US"/>
              </w:rPr>
            </w:pPr>
          </w:p>
          <w:p w:rsidR="00D443FD" w:rsidRPr="00B44C30" w:rsidRDefault="00D443FD" w:rsidP="00D443FD">
            <w:pPr>
              <w:tabs>
                <w:tab w:val="left" w:pos="-1440"/>
                <w:tab w:val="left" w:pos="-720"/>
              </w:tabs>
              <w:rPr>
                <w:sz w:val="20"/>
                <w:szCs w:val="20"/>
                <w:lang w:val="en-US"/>
              </w:rPr>
            </w:pPr>
            <w:r w:rsidRPr="001C00B1">
              <w:rPr>
                <w:sz w:val="20"/>
                <w:szCs w:val="20"/>
                <w:lang w:val="en-US"/>
              </w:rPr>
              <w:tab/>
            </w:r>
            <w:r w:rsidRPr="00B44C30">
              <w:rPr>
                <w:sz w:val="20"/>
                <w:szCs w:val="20"/>
                <w:lang w:val="en-US"/>
              </w:rPr>
              <w:t>v. (38600)</w:t>
            </w:r>
          </w:p>
          <w:p w:rsidR="00D443FD" w:rsidRPr="00B44C30" w:rsidRDefault="00D443FD" w:rsidP="00D443FD">
            <w:pPr>
              <w:tabs>
                <w:tab w:val="left" w:pos="-1440"/>
                <w:tab w:val="left" w:pos="-720"/>
              </w:tabs>
              <w:rPr>
                <w:sz w:val="20"/>
                <w:szCs w:val="20"/>
                <w:lang w:val="en-US"/>
              </w:rPr>
            </w:pPr>
          </w:p>
          <w:p w:rsidR="00D443FD" w:rsidRPr="00D443FD" w:rsidRDefault="00D443FD" w:rsidP="00D443FD">
            <w:pPr>
              <w:tabs>
                <w:tab w:val="left" w:pos="-1440"/>
                <w:tab w:val="left" w:pos="-720"/>
              </w:tabs>
              <w:rPr>
                <w:b/>
                <w:sz w:val="20"/>
                <w:szCs w:val="20"/>
                <w:lang w:val="en-US"/>
              </w:rPr>
            </w:pPr>
            <w:proofErr w:type="spellStart"/>
            <w:r w:rsidRPr="00D443FD">
              <w:rPr>
                <w:b/>
                <w:bCs/>
                <w:sz w:val="20"/>
                <w:szCs w:val="20"/>
                <w:lang w:val="en-US"/>
              </w:rPr>
              <w:t>Mandalena</w:t>
            </w:r>
            <w:proofErr w:type="spellEnd"/>
            <w:r w:rsidRPr="00D443FD">
              <w:rPr>
                <w:b/>
                <w:bCs/>
                <w:sz w:val="20"/>
                <w:szCs w:val="20"/>
                <w:lang w:val="en-US"/>
              </w:rPr>
              <w:t xml:space="preserve"> Lewis </w:t>
            </w:r>
            <w:r w:rsidRPr="00D443FD">
              <w:rPr>
                <w:b/>
                <w:sz w:val="20"/>
                <w:szCs w:val="20"/>
                <w:lang w:val="en-US"/>
              </w:rPr>
              <w:t>(B.C.)</w:t>
            </w:r>
          </w:p>
          <w:p w:rsidR="00D443FD" w:rsidRPr="00A935AA" w:rsidRDefault="00D443FD" w:rsidP="00D443FD">
            <w:pPr>
              <w:tabs>
                <w:tab w:val="left" w:pos="-1440"/>
                <w:tab w:val="left" w:pos="-720"/>
              </w:tabs>
              <w:rPr>
                <w:sz w:val="20"/>
                <w:szCs w:val="20"/>
              </w:rPr>
            </w:pPr>
            <w:r w:rsidRPr="00D443FD">
              <w:rPr>
                <w:sz w:val="20"/>
                <w:szCs w:val="20"/>
                <w:lang w:val="en-US"/>
              </w:rPr>
              <w:tab/>
            </w:r>
            <w:r w:rsidRPr="00D443FD">
              <w:rPr>
                <w:sz w:val="20"/>
                <w:szCs w:val="20"/>
              </w:rPr>
              <w:t xml:space="preserve">Brooks, </w:t>
            </w:r>
            <w:proofErr w:type="spellStart"/>
            <w:r w:rsidRPr="00D443FD">
              <w:rPr>
                <w:sz w:val="20"/>
                <w:szCs w:val="20"/>
              </w:rPr>
              <w:t>Karey</w:t>
            </w:r>
            <w:proofErr w:type="spellEnd"/>
          </w:p>
          <w:p w:rsidR="00D443FD" w:rsidRPr="00D443FD" w:rsidRDefault="00D443FD" w:rsidP="00D443FD">
            <w:pPr>
              <w:tabs>
                <w:tab w:val="left" w:pos="-1440"/>
                <w:tab w:val="left" w:pos="-720"/>
              </w:tabs>
              <w:rPr>
                <w:sz w:val="20"/>
                <w:szCs w:val="20"/>
                <w:lang w:val="en-US"/>
              </w:rPr>
            </w:pPr>
            <w:r w:rsidRPr="00A935AA">
              <w:rPr>
                <w:sz w:val="20"/>
                <w:szCs w:val="20"/>
              </w:rPr>
              <w:tab/>
            </w:r>
            <w:r w:rsidRPr="00D443FD">
              <w:rPr>
                <w:sz w:val="20"/>
                <w:szCs w:val="20"/>
                <w:lang w:val="en-US"/>
              </w:rPr>
              <w:t>JFK Law Corporation</w:t>
            </w:r>
          </w:p>
          <w:p w:rsidR="00D443FD" w:rsidRPr="00D443FD" w:rsidRDefault="00D443FD" w:rsidP="00D443FD">
            <w:pPr>
              <w:tabs>
                <w:tab w:val="left" w:pos="-1440"/>
                <w:tab w:val="left" w:pos="-720"/>
              </w:tabs>
              <w:rPr>
                <w:sz w:val="20"/>
                <w:szCs w:val="20"/>
                <w:lang w:val="en-US"/>
              </w:rPr>
            </w:pPr>
          </w:p>
          <w:p w:rsidR="00D443FD" w:rsidRDefault="00D443FD" w:rsidP="00D443FD">
            <w:pPr>
              <w:rPr>
                <w:sz w:val="20"/>
                <w:szCs w:val="20"/>
              </w:rPr>
            </w:pPr>
            <w:r w:rsidRPr="00A935AA">
              <w:rPr>
                <w:sz w:val="20"/>
                <w:szCs w:val="20"/>
              </w:rPr>
              <w:t xml:space="preserve">FILING DATE: </w:t>
            </w:r>
            <w:r>
              <w:rPr>
                <w:sz w:val="20"/>
                <w:szCs w:val="20"/>
              </w:rPr>
              <w:t>April 18, 2019</w:t>
            </w:r>
          </w:p>
          <w:p w:rsidR="00211A38" w:rsidRPr="00D443FD" w:rsidRDefault="003A218E" w:rsidP="00E8544A">
            <w:pPr>
              <w:rPr>
                <w:sz w:val="20"/>
                <w:szCs w:val="20"/>
              </w:rPr>
            </w:pPr>
            <w:r>
              <w:rPr>
                <w:sz w:val="20"/>
                <w:szCs w:val="20"/>
                <w:lang w:val="fr-CA"/>
              </w:rPr>
              <w:pict>
                <v:rect id="_x0000_i1027" style="width:108pt;height:1pt" o:hrpct="0" o:hralign="center" o:hrstd="t" o:hrnoshade="t" o:hr="t" fillcolor="black [3213]" stroked="f"/>
              </w:pict>
            </w:r>
          </w:p>
        </w:tc>
      </w:tr>
      <w:tr w:rsidR="00D443FD" w:rsidRPr="00211A38" w:rsidTr="00EE3188">
        <w:tc>
          <w:tcPr>
            <w:tcW w:w="4320" w:type="dxa"/>
            <w:shd w:val="clear" w:color="auto" w:fill="auto"/>
          </w:tcPr>
          <w:p w:rsidR="00D443FD" w:rsidRDefault="00D443FD" w:rsidP="00D443FD">
            <w:pPr>
              <w:tabs>
                <w:tab w:val="left" w:pos="-1440"/>
                <w:tab w:val="left" w:pos="-720"/>
              </w:tabs>
              <w:rPr>
                <w:b/>
                <w:bCs/>
                <w:sz w:val="20"/>
                <w:szCs w:val="20"/>
              </w:rPr>
            </w:pPr>
            <w:r w:rsidRPr="00D443FD">
              <w:rPr>
                <w:b/>
                <w:bCs/>
                <w:sz w:val="20"/>
                <w:szCs w:val="20"/>
              </w:rPr>
              <w:t>WestJet Airlines Ltd.</w:t>
            </w:r>
          </w:p>
          <w:p w:rsidR="00D443FD" w:rsidRPr="00D443FD" w:rsidRDefault="00D443FD" w:rsidP="00D443FD">
            <w:pPr>
              <w:tabs>
                <w:tab w:val="left" w:pos="-1440"/>
                <w:tab w:val="left" w:pos="-720"/>
              </w:tabs>
              <w:rPr>
                <w:sz w:val="20"/>
                <w:szCs w:val="20"/>
                <w:lang w:val="en-US"/>
              </w:rPr>
            </w:pPr>
            <w:r w:rsidRPr="006615F4">
              <w:rPr>
                <w:sz w:val="20"/>
                <w:szCs w:val="20"/>
                <w:lang w:val="en-US"/>
              </w:rPr>
              <w:tab/>
            </w:r>
            <w:r w:rsidRPr="00D443FD">
              <w:rPr>
                <w:sz w:val="20"/>
                <w:szCs w:val="20"/>
              </w:rPr>
              <w:t>Dear, Q.C., Don W. </w:t>
            </w:r>
          </w:p>
          <w:p w:rsidR="00D443FD" w:rsidRPr="00D443FD" w:rsidRDefault="00D443FD" w:rsidP="00D443FD">
            <w:pPr>
              <w:tabs>
                <w:tab w:val="left" w:pos="-1440"/>
                <w:tab w:val="left" w:pos="-720"/>
              </w:tabs>
              <w:rPr>
                <w:sz w:val="20"/>
                <w:szCs w:val="20"/>
                <w:lang w:val="en-US"/>
              </w:rPr>
            </w:pPr>
            <w:r w:rsidRPr="00D443FD">
              <w:rPr>
                <w:sz w:val="20"/>
                <w:szCs w:val="20"/>
                <w:lang w:val="en-US"/>
              </w:rPr>
              <w:tab/>
              <w:t>McLennan Ross LLP</w:t>
            </w:r>
          </w:p>
          <w:p w:rsidR="00D443FD" w:rsidRPr="001C00B1" w:rsidRDefault="00D443FD" w:rsidP="00D443FD">
            <w:pPr>
              <w:tabs>
                <w:tab w:val="left" w:pos="-1440"/>
                <w:tab w:val="left" w:pos="-720"/>
              </w:tabs>
              <w:rPr>
                <w:sz w:val="20"/>
                <w:szCs w:val="20"/>
                <w:lang w:val="en-US"/>
              </w:rPr>
            </w:pPr>
          </w:p>
          <w:p w:rsidR="00D443FD" w:rsidRPr="00D443FD" w:rsidRDefault="00D443FD" w:rsidP="00D443FD">
            <w:pPr>
              <w:tabs>
                <w:tab w:val="left" w:pos="-1440"/>
                <w:tab w:val="left" w:pos="-720"/>
              </w:tabs>
              <w:rPr>
                <w:sz w:val="20"/>
                <w:szCs w:val="20"/>
                <w:lang w:val="en-US"/>
              </w:rPr>
            </w:pPr>
            <w:r w:rsidRPr="001C00B1">
              <w:rPr>
                <w:sz w:val="20"/>
                <w:szCs w:val="20"/>
                <w:lang w:val="en-US"/>
              </w:rPr>
              <w:tab/>
            </w:r>
            <w:r w:rsidRPr="00D443FD">
              <w:rPr>
                <w:sz w:val="20"/>
                <w:szCs w:val="20"/>
                <w:lang w:val="en-US"/>
              </w:rPr>
              <w:t>v. (38600)</w:t>
            </w:r>
          </w:p>
          <w:p w:rsidR="00D443FD" w:rsidRPr="00D443FD" w:rsidRDefault="00D443FD" w:rsidP="00D443FD">
            <w:pPr>
              <w:tabs>
                <w:tab w:val="left" w:pos="-1440"/>
                <w:tab w:val="left" w:pos="-720"/>
              </w:tabs>
              <w:rPr>
                <w:sz w:val="20"/>
                <w:szCs w:val="20"/>
                <w:lang w:val="en-US"/>
              </w:rPr>
            </w:pPr>
          </w:p>
          <w:p w:rsidR="00D443FD" w:rsidRPr="00D443FD" w:rsidRDefault="00D443FD" w:rsidP="00D443FD">
            <w:pPr>
              <w:tabs>
                <w:tab w:val="left" w:pos="-1440"/>
                <w:tab w:val="left" w:pos="-720"/>
              </w:tabs>
              <w:rPr>
                <w:b/>
                <w:sz w:val="20"/>
                <w:szCs w:val="20"/>
                <w:lang w:val="en-US"/>
              </w:rPr>
            </w:pPr>
            <w:proofErr w:type="spellStart"/>
            <w:r w:rsidRPr="00D443FD">
              <w:rPr>
                <w:b/>
                <w:bCs/>
                <w:sz w:val="20"/>
                <w:szCs w:val="20"/>
                <w:lang w:val="en-US"/>
              </w:rPr>
              <w:t>Mandalena</w:t>
            </w:r>
            <w:proofErr w:type="spellEnd"/>
            <w:r w:rsidRPr="00D443FD">
              <w:rPr>
                <w:b/>
                <w:bCs/>
                <w:sz w:val="20"/>
                <w:szCs w:val="20"/>
                <w:lang w:val="en-US"/>
              </w:rPr>
              <w:t xml:space="preserve"> Lewis </w:t>
            </w:r>
            <w:r w:rsidRPr="00D443FD">
              <w:rPr>
                <w:b/>
                <w:sz w:val="20"/>
                <w:szCs w:val="20"/>
                <w:lang w:val="en-US"/>
              </w:rPr>
              <w:t>(B.C.)</w:t>
            </w:r>
          </w:p>
          <w:p w:rsidR="00D443FD" w:rsidRPr="00A935AA" w:rsidRDefault="00D443FD" w:rsidP="00D443FD">
            <w:pPr>
              <w:tabs>
                <w:tab w:val="left" w:pos="-1440"/>
                <w:tab w:val="left" w:pos="-720"/>
              </w:tabs>
              <w:rPr>
                <w:sz w:val="20"/>
                <w:szCs w:val="20"/>
              </w:rPr>
            </w:pPr>
            <w:r w:rsidRPr="00D443FD">
              <w:rPr>
                <w:sz w:val="20"/>
                <w:szCs w:val="20"/>
                <w:lang w:val="en-US"/>
              </w:rPr>
              <w:tab/>
            </w:r>
            <w:r w:rsidRPr="00D443FD">
              <w:rPr>
                <w:sz w:val="20"/>
                <w:szCs w:val="20"/>
              </w:rPr>
              <w:t xml:space="preserve">Brooks, </w:t>
            </w:r>
            <w:proofErr w:type="spellStart"/>
            <w:r w:rsidRPr="00D443FD">
              <w:rPr>
                <w:sz w:val="20"/>
                <w:szCs w:val="20"/>
              </w:rPr>
              <w:t>Karey</w:t>
            </w:r>
            <w:proofErr w:type="spellEnd"/>
          </w:p>
          <w:p w:rsidR="00D443FD" w:rsidRPr="00D443FD" w:rsidRDefault="00D443FD" w:rsidP="00D443FD">
            <w:pPr>
              <w:tabs>
                <w:tab w:val="left" w:pos="-1440"/>
                <w:tab w:val="left" w:pos="-720"/>
              </w:tabs>
              <w:rPr>
                <w:sz w:val="20"/>
                <w:szCs w:val="20"/>
                <w:lang w:val="en-US"/>
              </w:rPr>
            </w:pPr>
            <w:r w:rsidRPr="00A935AA">
              <w:rPr>
                <w:sz w:val="20"/>
                <w:szCs w:val="20"/>
              </w:rPr>
              <w:tab/>
            </w:r>
            <w:r w:rsidRPr="00D443FD">
              <w:rPr>
                <w:sz w:val="20"/>
                <w:szCs w:val="20"/>
                <w:lang w:val="en-US"/>
              </w:rPr>
              <w:t>JFK Law Corporation</w:t>
            </w:r>
          </w:p>
          <w:p w:rsidR="00D443FD" w:rsidRPr="00A935AA" w:rsidRDefault="00D443FD" w:rsidP="00D443FD">
            <w:pPr>
              <w:tabs>
                <w:tab w:val="left" w:pos="-1440"/>
                <w:tab w:val="left" w:pos="-720"/>
              </w:tabs>
              <w:rPr>
                <w:sz w:val="20"/>
                <w:szCs w:val="20"/>
              </w:rPr>
            </w:pPr>
          </w:p>
          <w:p w:rsidR="00D443FD" w:rsidRDefault="00D443FD" w:rsidP="00D443FD">
            <w:pPr>
              <w:rPr>
                <w:sz w:val="20"/>
                <w:szCs w:val="20"/>
              </w:rPr>
            </w:pPr>
            <w:r w:rsidRPr="00A935AA">
              <w:rPr>
                <w:sz w:val="20"/>
                <w:szCs w:val="20"/>
              </w:rPr>
              <w:t xml:space="preserve">FILING DATE: </w:t>
            </w:r>
            <w:r>
              <w:rPr>
                <w:sz w:val="20"/>
                <w:szCs w:val="20"/>
              </w:rPr>
              <w:t>April 18, 2019</w:t>
            </w:r>
          </w:p>
          <w:p w:rsidR="00D443FD" w:rsidRPr="00211A38" w:rsidRDefault="003A218E" w:rsidP="00D443FD">
            <w:pPr>
              <w:rPr>
                <w:sz w:val="20"/>
                <w:szCs w:val="20"/>
                <w:lang w:val="en-US"/>
              </w:rPr>
            </w:pPr>
            <w:r>
              <w:rPr>
                <w:sz w:val="20"/>
                <w:szCs w:val="20"/>
                <w:lang w:val="fr-CA"/>
              </w:rPr>
              <w:pict>
                <v:rect id="_x0000_i1028" style="width:108pt;height:1pt" o:hrpct="0" o:hralign="center" o:hrstd="t" o:hrnoshade="t" o:hr="t" fillcolor="black [3213]" stroked="f"/>
              </w:pict>
            </w:r>
          </w:p>
        </w:tc>
        <w:tc>
          <w:tcPr>
            <w:tcW w:w="1181" w:type="dxa"/>
            <w:shd w:val="clear" w:color="auto" w:fill="auto"/>
          </w:tcPr>
          <w:p w:rsidR="00D443FD" w:rsidRPr="00211A38" w:rsidRDefault="00D443FD" w:rsidP="00D443FD">
            <w:pPr>
              <w:jc w:val="center"/>
              <w:rPr>
                <w:sz w:val="20"/>
                <w:szCs w:val="20"/>
                <w:lang w:val="en-US"/>
              </w:rPr>
            </w:pPr>
          </w:p>
        </w:tc>
        <w:tc>
          <w:tcPr>
            <w:tcW w:w="4219" w:type="dxa"/>
            <w:shd w:val="clear" w:color="auto" w:fill="auto"/>
          </w:tcPr>
          <w:p w:rsidR="00D443FD" w:rsidRPr="00B44C30" w:rsidRDefault="00D443FD" w:rsidP="00D443FD">
            <w:pPr>
              <w:tabs>
                <w:tab w:val="left" w:pos="-1440"/>
                <w:tab w:val="left" w:pos="-720"/>
              </w:tabs>
              <w:rPr>
                <w:b/>
                <w:bCs/>
                <w:sz w:val="20"/>
                <w:szCs w:val="20"/>
                <w:lang w:val="fr-CA"/>
              </w:rPr>
            </w:pPr>
            <w:r w:rsidRPr="00B44C30">
              <w:rPr>
                <w:b/>
                <w:bCs/>
                <w:sz w:val="20"/>
                <w:szCs w:val="20"/>
                <w:lang w:val="fr-CA"/>
              </w:rPr>
              <w:t>Karl Talbot</w:t>
            </w:r>
          </w:p>
          <w:p w:rsidR="00D443FD" w:rsidRPr="00D443FD" w:rsidRDefault="00D443FD" w:rsidP="00D443FD">
            <w:pPr>
              <w:tabs>
                <w:tab w:val="left" w:pos="-1440"/>
                <w:tab w:val="left" w:pos="-720"/>
              </w:tabs>
              <w:rPr>
                <w:sz w:val="20"/>
                <w:szCs w:val="20"/>
                <w:lang w:val="fr-CA"/>
              </w:rPr>
            </w:pPr>
            <w:r w:rsidRPr="00B44C30">
              <w:rPr>
                <w:sz w:val="20"/>
                <w:szCs w:val="20"/>
                <w:lang w:val="fr-CA"/>
              </w:rPr>
              <w:tab/>
            </w:r>
            <w:proofErr w:type="spellStart"/>
            <w:r w:rsidRPr="00D443FD">
              <w:rPr>
                <w:sz w:val="20"/>
                <w:szCs w:val="20"/>
                <w:lang w:val="fr-CA"/>
              </w:rPr>
              <w:t>Agnaou</w:t>
            </w:r>
            <w:proofErr w:type="spellEnd"/>
            <w:r w:rsidRPr="00D443FD">
              <w:rPr>
                <w:sz w:val="20"/>
                <w:szCs w:val="20"/>
                <w:lang w:val="fr-CA"/>
              </w:rPr>
              <w:t>, Yacine</w:t>
            </w:r>
          </w:p>
          <w:p w:rsidR="00D443FD" w:rsidRPr="00D443FD" w:rsidRDefault="00D443FD" w:rsidP="00D443FD">
            <w:pPr>
              <w:tabs>
                <w:tab w:val="left" w:pos="-1440"/>
                <w:tab w:val="left" w:pos="-720"/>
              </w:tabs>
              <w:ind w:left="720"/>
              <w:rPr>
                <w:sz w:val="20"/>
                <w:szCs w:val="20"/>
                <w:lang w:val="fr-CA"/>
              </w:rPr>
            </w:pPr>
            <w:r w:rsidRPr="00D443FD">
              <w:rPr>
                <w:sz w:val="20"/>
                <w:szCs w:val="20"/>
                <w:lang w:val="fr-CA"/>
              </w:rPr>
              <w:t xml:space="preserve">Dupuis Paquin avocats &amp; conseillers d'affaires </w:t>
            </w:r>
            <w:proofErr w:type="spellStart"/>
            <w:r w:rsidRPr="00D443FD">
              <w:rPr>
                <w:sz w:val="20"/>
                <w:szCs w:val="20"/>
                <w:lang w:val="fr-CA"/>
              </w:rPr>
              <w:t>inc.</w:t>
            </w:r>
            <w:proofErr w:type="spellEnd"/>
          </w:p>
          <w:p w:rsidR="00D443FD" w:rsidRPr="00D443FD" w:rsidRDefault="00D443FD" w:rsidP="00D443FD">
            <w:pPr>
              <w:tabs>
                <w:tab w:val="left" w:pos="-1440"/>
                <w:tab w:val="left" w:pos="-720"/>
              </w:tabs>
              <w:rPr>
                <w:sz w:val="20"/>
                <w:szCs w:val="20"/>
                <w:lang w:val="fr-CA"/>
              </w:rPr>
            </w:pPr>
          </w:p>
          <w:p w:rsidR="00D443FD" w:rsidRPr="00D443FD" w:rsidRDefault="00D443FD" w:rsidP="00D443FD">
            <w:pPr>
              <w:tabs>
                <w:tab w:val="left" w:pos="-1440"/>
                <w:tab w:val="left" w:pos="-720"/>
              </w:tabs>
              <w:rPr>
                <w:sz w:val="20"/>
                <w:szCs w:val="20"/>
                <w:lang w:val="fr-CA"/>
              </w:rPr>
            </w:pPr>
            <w:r w:rsidRPr="00D443FD">
              <w:rPr>
                <w:sz w:val="20"/>
                <w:szCs w:val="20"/>
                <w:lang w:val="fr-CA"/>
              </w:rPr>
              <w:tab/>
            </w:r>
            <w:r>
              <w:rPr>
                <w:sz w:val="20"/>
                <w:szCs w:val="20"/>
                <w:lang w:val="fr-CA"/>
              </w:rPr>
              <w:t>c</w:t>
            </w:r>
            <w:r w:rsidRPr="00D443FD">
              <w:rPr>
                <w:sz w:val="20"/>
                <w:szCs w:val="20"/>
                <w:lang w:val="fr-CA"/>
              </w:rPr>
              <w:t>. (38596)</w:t>
            </w:r>
          </w:p>
          <w:p w:rsidR="00D443FD" w:rsidRPr="00D443FD" w:rsidRDefault="00D443FD" w:rsidP="00D443FD">
            <w:pPr>
              <w:tabs>
                <w:tab w:val="left" w:pos="-1440"/>
                <w:tab w:val="left" w:pos="-720"/>
              </w:tabs>
              <w:rPr>
                <w:sz w:val="20"/>
                <w:szCs w:val="20"/>
                <w:lang w:val="fr-CA"/>
              </w:rPr>
            </w:pPr>
          </w:p>
          <w:p w:rsidR="00D443FD" w:rsidRPr="00D443FD" w:rsidRDefault="00D443FD" w:rsidP="00D443FD">
            <w:pPr>
              <w:tabs>
                <w:tab w:val="left" w:pos="-1440"/>
                <w:tab w:val="left" w:pos="-720"/>
              </w:tabs>
              <w:rPr>
                <w:b/>
                <w:sz w:val="20"/>
                <w:szCs w:val="20"/>
                <w:lang w:val="en-US"/>
              </w:rPr>
            </w:pPr>
            <w:r w:rsidRPr="00D443FD">
              <w:rPr>
                <w:b/>
                <w:bCs/>
                <w:sz w:val="20"/>
                <w:szCs w:val="20"/>
                <w:lang w:val="fr-CA"/>
              </w:rPr>
              <w:t>Autorité des marchés financiers, et al. </w:t>
            </w:r>
            <w:r w:rsidRPr="00D443FD">
              <w:rPr>
                <w:b/>
                <w:sz w:val="20"/>
                <w:szCs w:val="20"/>
                <w:lang w:val="en-US"/>
              </w:rPr>
              <w:t>(</w:t>
            </w:r>
            <w:r>
              <w:rPr>
                <w:b/>
                <w:sz w:val="20"/>
                <w:szCs w:val="20"/>
                <w:lang w:val="en-US"/>
              </w:rPr>
              <w:t>Qc</w:t>
            </w:r>
            <w:r w:rsidRPr="00D443FD">
              <w:rPr>
                <w:b/>
                <w:sz w:val="20"/>
                <w:szCs w:val="20"/>
                <w:lang w:val="en-US"/>
              </w:rPr>
              <w:t>)</w:t>
            </w:r>
          </w:p>
          <w:p w:rsidR="00D443FD" w:rsidRPr="00A935AA" w:rsidRDefault="00D443FD" w:rsidP="00D443FD">
            <w:pPr>
              <w:tabs>
                <w:tab w:val="left" w:pos="-1440"/>
                <w:tab w:val="left" w:pos="-720"/>
              </w:tabs>
              <w:rPr>
                <w:sz w:val="20"/>
                <w:szCs w:val="20"/>
              </w:rPr>
            </w:pPr>
            <w:r w:rsidRPr="00D443FD">
              <w:rPr>
                <w:sz w:val="20"/>
                <w:szCs w:val="20"/>
                <w:lang w:val="en-US"/>
              </w:rPr>
              <w:tab/>
            </w:r>
            <w:r w:rsidRPr="00D443FD">
              <w:rPr>
                <w:sz w:val="20"/>
                <w:szCs w:val="20"/>
              </w:rPr>
              <w:t>Mitchell, Douglas</w:t>
            </w:r>
          </w:p>
          <w:p w:rsidR="00D443FD" w:rsidRPr="00B44C30" w:rsidRDefault="00D443FD" w:rsidP="00D443FD">
            <w:pPr>
              <w:tabs>
                <w:tab w:val="left" w:pos="-1440"/>
                <w:tab w:val="left" w:pos="-720"/>
              </w:tabs>
              <w:rPr>
                <w:sz w:val="20"/>
                <w:szCs w:val="20"/>
                <w:lang w:val="en-US"/>
              </w:rPr>
            </w:pPr>
            <w:r w:rsidRPr="00A935AA">
              <w:rPr>
                <w:sz w:val="20"/>
                <w:szCs w:val="20"/>
              </w:rPr>
              <w:tab/>
            </w:r>
            <w:r w:rsidRPr="00B44C30">
              <w:rPr>
                <w:sz w:val="20"/>
                <w:szCs w:val="20"/>
                <w:lang w:val="en-US"/>
              </w:rPr>
              <w:t xml:space="preserve">IMK </w:t>
            </w:r>
            <w:proofErr w:type="spellStart"/>
            <w:r w:rsidRPr="00B44C30">
              <w:rPr>
                <w:sz w:val="20"/>
                <w:szCs w:val="20"/>
                <w:lang w:val="en-US"/>
              </w:rPr>
              <w:t>s.e.n.c.r.l</w:t>
            </w:r>
            <w:proofErr w:type="spellEnd"/>
            <w:r w:rsidRPr="00B44C30">
              <w:rPr>
                <w:sz w:val="20"/>
                <w:szCs w:val="20"/>
                <w:lang w:val="en-US"/>
              </w:rPr>
              <w:t>.</w:t>
            </w:r>
          </w:p>
          <w:p w:rsidR="00D443FD" w:rsidRPr="00B44C30" w:rsidRDefault="00D443FD" w:rsidP="00D443FD">
            <w:pPr>
              <w:tabs>
                <w:tab w:val="left" w:pos="-1440"/>
                <w:tab w:val="left" w:pos="-720"/>
              </w:tabs>
              <w:rPr>
                <w:sz w:val="20"/>
                <w:szCs w:val="20"/>
                <w:lang w:val="en-US"/>
              </w:rPr>
            </w:pPr>
          </w:p>
          <w:p w:rsidR="00D443FD" w:rsidRPr="0059499E" w:rsidRDefault="0059499E" w:rsidP="00D443FD">
            <w:pPr>
              <w:rPr>
                <w:sz w:val="20"/>
                <w:szCs w:val="20"/>
                <w:lang w:val="fr-CA"/>
              </w:rPr>
            </w:pPr>
            <w:r w:rsidRPr="0059499E">
              <w:rPr>
                <w:sz w:val="20"/>
                <w:szCs w:val="20"/>
                <w:lang w:val="fr-CA"/>
              </w:rPr>
              <w:t>DATE DE PRODUCTION</w:t>
            </w:r>
            <w:r w:rsidR="00D443FD" w:rsidRPr="0059499E">
              <w:rPr>
                <w:sz w:val="20"/>
                <w:szCs w:val="20"/>
                <w:lang w:val="fr-CA"/>
              </w:rPr>
              <w:t xml:space="preserve">: </w:t>
            </w:r>
            <w:r w:rsidRPr="0059499E">
              <w:rPr>
                <w:sz w:val="20"/>
                <w:szCs w:val="20"/>
                <w:lang w:val="fr-CA"/>
              </w:rPr>
              <w:t xml:space="preserve">Le 18 avril </w:t>
            </w:r>
            <w:r w:rsidR="00D443FD" w:rsidRPr="0059499E">
              <w:rPr>
                <w:sz w:val="20"/>
                <w:szCs w:val="20"/>
                <w:lang w:val="fr-CA"/>
              </w:rPr>
              <w:t>2019</w:t>
            </w:r>
          </w:p>
          <w:p w:rsidR="00D443FD" w:rsidRDefault="003A218E" w:rsidP="00D443FD">
            <w:pPr>
              <w:rPr>
                <w:sz w:val="20"/>
                <w:szCs w:val="20"/>
                <w:lang w:val="fr-CA"/>
              </w:rPr>
            </w:pPr>
            <w:r>
              <w:rPr>
                <w:sz w:val="20"/>
                <w:szCs w:val="20"/>
                <w:lang w:val="fr-CA"/>
              </w:rPr>
              <w:pict w14:anchorId="4F147B91">
                <v:rect id="_x0000_i1029" style="width:108pt;height:1pt" o:hrpct="0" o:hralign="center" o:hrstd="t" o:hrnoshade="t" o:hr="t" fillcolor="black [3213]" stroked="f"/>
              </w:pict>
            </w:r>
          </w:p>
          <w:p w:rsidR="0059499E" w:rsidRPr="00D443FD" w:rsidRDefault="0059499E" w:rsidP="00D443FD">
            <w:pPr>
              <w:rPr>
                <w:sz w:val="20"/>
                <w:szCs w:val="20"/>
              </w:rPr>
            </w:pPr>
          </w:p>
        </w:tc>
      </w:tr>
      <w:tr w:rsidR="0059499E" w:rsidRPr="00211A38" w:rsidTr="00EE3188">
        <w:tc>
          <w:tcPr>
            <w:tcW w:w="4320" w:type="dxa"/>
            <w:shd w:val="clear" w:color="auto" w:fill="auto"/>
          </w:tcPr>
          <w:p w:rsidR="0059499E" w:rsidRDefault="0059499E" w:rsidP="0059499E">
            <w:pPr>
              <w:tabs>
                <w:tab w:val="left" w:pos="-1440"/>
                <w:tab w:val="left" w:pos="-720"/>
              </w:tabs>
              <w:rPr>
                <w:b/>
                <w:bCs/>
                <w:sz w:val="20"/>
                <w:szCs w:val="20"/>
              </w:rPr>
            </w:pPr>
            <w:r w:rsidRPr="0059499E">
              <w:rPr>
                <w:b/>
                <w:bCs/>
                <w:sz w:val="20"/>
                <w:szCs w:val="20"/>
              </w:rPr>
              <w:t>Gerald Anthony</w:t>
            </w:r>
          </w:p>
          <w:p w:rsidR="0059499E" w:rsidRPr="00D443FD" w:rsidRDefault="0059499E" w:rsidP="0059499E">
            <w:pPr>
              <w:tabs>
                <w:tab w:val="left" w:pos="-1440"/>
                <w:tab w:val="left" w:pos="-720"/>
              </w:tabs>
              <w:rPr>
                <w:sz w:val="20"/>
                <w:szCs w:val="20"/>
                <w:lang w:val="en-US"/>
              </w:rPr>
            </w:pPr>
            <w:r w:rsidRPr="006615F4">
              <w:rPr>
                <w:sz w:val="20"/>
                <w:szCs w:val="20"/>
                <w:lang w:val="en-US"/>
              </w:rPr>
              <w:tab/>
            </w:r>
            <w:r w:rsidRPr="0059499E">
              <w:rPr>
                <w:sz w:val="20"/>
                <w:szCs w:val="20"/>
              </w:rPr>
              <w:t>Slade, Thomas</w:t>
            </w:r>
          </w:p>
          <w:p w:rsidR="0059499E" w:rsidRPr="0059499E" w:rsidRDefault="0059499E" w:rsidP="0059499E">
            <w:pPr>
              <w:tabs>
                <w:tab w:val="left" w:pos="-1440"/>
                <w:tab w:val="left" w:pos="-720"/>
              </w:tabs>
              <w:rPr>
                <w:sz w:val="20"/>
                <w:szCs w:val="20"/>
                <w:lang w:val="en-US"/>
              </w:rPr>
            </w:pPr>
            <w:r w:rsidRPr="00D443FD">
              <w:rPr>
                <w:sz w:val="20"/>
                <w:szCs w:val="20"/>
                <w:lang w:val="en-US"/>
              </w:rPr>
              <w:tab/>
            </w:r>
            <w:r w:rsidRPr="0059499E">
              <w:rPr>
                <w:sz w:val="20"/>
                <w:szCs w:val="20"/>
                <w:lang w:val="en-US"/>
              </w:rPr>
              <w:t>Supreme Advocacy LLP</w:t>
            </w:r>
          </w:p>
          <w:p w:rsidR="0059499E" w:rsidRPr="001C00B1" w:rsidRDefault="0059499E" w:rsidP="0059499E">
            <w:pPr>
              <w:tabs>
                <w:tab w:val="left" w:pos="-1440"/>
                <w:tab w:val="left" w:pos="-720"/>
              </w:tabs>
              <w:rPr>
                <w:sz w:val="20"/>
                <w:szCs w:val="20"/>
                <w:lang w:val="en-US"/>
              </w:rPr>
            </w:pPr>
          </w:p>
          <w:p w:rsidR="0059499E" w:rsidRPr="0059499E" w:rsidRDefault="0059499E" w:rsidP="0059499E">
            <w:pPr>
              <w:tabs>
                <w:tab w:val="left" w:pos="-1440"/>
                <w:tab w:val="left" w:pos="-720"/>
              </w:tabs>
              <w:rPr>
                <w:sz w:val="20"/>
                <w:szCs w:val="20"/>
                <w:lang w:val="fr-CA"/>
              </w:rPr>
            </w:pPr>
            <w:r w:rsidRPr="001C00B1">
              <w:rPr>
                <w:sz w:val="20"/>
                <w:szCs w:val="20"/>
                <w:lang w:val="en-US"/>
              </w:rPr>
              <w:tab/>
            </w:r>
            <w:r w:rsidRPr="0059499E">
              <w:rPr>
                <w:sz w:val="20"/>
                <w:szCs w:val="20"/>
                <w:lang w:val="fr-CA"/>
              </w:rPr>
              <w:t>v. (38598)</w:t>
            </w:r>
          </w:p>
          <w:p w:rsidR="0059499E" w:rsidRPr="0059499E" w:rsidRDefault="0059499E" w:rsidP="0059499E">
            <w:pPr>
              <w:tabs>
                <w:tab w:val="left" w:pos="-1440"/>
                <w:tab w:val="left" w:pos="-720"/>
              </w:tabs>
              <w:rPr>
                <w:sz w:val="20"/>
                <w:szCs w:val="20"/>
                <w:lang w:val="fr-CA"/>
              </w:rPr>
            </w:pPr>
          </w:p>
          <w:p w:rsidR="0059499E" w:rsidRPr="00D443FD" w:rsidRDefault="0059499E" w:rsidP="0059499E">
            <w:pPr>
              <w:tabs>
                <w:tab w:val="left" w:pos="-1440"/>
                <w:tab w:val="left" w:pos="-720"/>
              </w:tabs>
              <w:rPr>
                <w:b/>
                <w:sz w:val="20"/>
                <w:szCs w:val="20"/>
                <w:lang w:val="en-US"/>
              </w:rPr>
            </w:pPr>
            <w:r w:rsidRPr="0059499E">
              <w:rPr>
                <w:b/>
                <w:bCs/>
                <w:sz w:val="20"/>
                <w:szCs w:val="20"/>
                <w:lang w:val="fr-CA"/>
              </w:rPr>
              <w:t xml:space="preserve">Gary Gordon McKenzie, et al.  </w:t>
            </w:r>
            <w:r w:rsidRPr="00D443FD">
              <w:rPr>
                <w:b/>
                <w:sz w:val="20"/>
                <w:szCs w:val="20"/>
                <w:lang w:val="en-US"/>
              </w:rPr>
              <w:t>(</w:t>
            </w:r>
            <w:r>
              <w:rPr>
                <w:b/>
                <w:sz w:val="20"/>
                <w:szCs w:val="20"/>
                <w:lang w:val="en-US"/>
              </w:rPr>
              <w:t>Ont</w:t>
            </w:r>
            <w:r w:rsidRPr="00D443FD">
              <w:rPr>
                <w:b/>
                <w:sz w:val="20"/>
                <w:szCs w:val="20"/>
                <w:lang w:val="en-US"/>
              </w:rPr>
              <w:t>.)</w:t>
            </w:r>
          </w:p>
          <w:p w:rsidR="0059499E" w:rsidRDefault="0059499E" w:rsidP="0059499E">
            <w:pPr>
              <w:tabs>
                <w:tab w:val="left" w:pos="-1440"/>
                <w:tab w:val="left" w:pos="-720"/>
              </w:tabs>
              <w:rPr>
                <w:sz w:val="20"/>
                <w:szCs w:val="20"/>
              </w:rPr>
            </w:pPr>
            <w:r w:rsidRPr="00D443FD">
              <w:rPr>
                <w:sz w:val="20"/>
                <w:szCs w:val="20"/>
                <w:lang w:val="en-US"/>
              </w:rPr>
              <w:tab/>
            </w:r>
            <w:proofErr w:type="spellStart"/>
            <w:r w:rsidRPr="0059499E">
              <w:rPr>
                <w:sz w:val="20"/>
                <w:szCs w:val="20"/>
              </w:rPr>
              <w:t>Losell</w:t>
            </w:r>
            <w:proofErr w:type="spellEnd"/>
            <w:r w:rsidRPr="0059499E">
              <w:rPr>
                <w:sz w:val="20"/>
                <w:szCs w:val="20"/>
              </w:rPr>
              <w:t>, Craig</w:t>
            </w:r>
          </w:p>
          <w:p w:rsidR="0059499E" w:rsidRPr="0059499E" w:rsidRDefault="0059499E" w:rsidP="0059499E">
            <w:pPr>
              <w:tabs>
                <w:tab w:val="left" w:pos="-1440"/>
                <w:tab w:val="left" w:pos="-720"/>
              </w:tabs>
              <w:rPr>
                <w:sz w:val="20"/>
                <w:szCs w:val="20"/>
                <w:lang w:val="en-US"/>
              </w:rPr>
            </w:pPr>
            <w:r w:rsidRPr="00A935AA">
              <w:rPr>
                <w:sz w:val="20"/>
                <w:szCs w:val="20"/>
              </w:rPr>
              <w:tab/>
            </w:r>
            <w:r w:rsidRPr="0059499E">
              <w:rPr>
                <w:sz w:val="20"/>
                <w:szCs w:val="20"/>
                <w:lang w:val="en-US"/>
              </w:rPr>
              <w:t>HHL Law Firm LLP</w:t>
            </w:r>
          </w:p>
          <w:p w:rsidR="0059499E" w:rsidRPr="00D443FD" w:rsidRDefault="0059499E" w:rsidP="0059499E">
            <w:pPr>
              <w:tabs>
                <w:tab w:val="left" w:pos="-1440"/>
                <w:tab w:val="left" w:pos="-720"/>
              </w:tabs>
              <w:rPr>
                <w:sz w:val="20"/>
                <w:szCs w:val="20"/>
                <w:lang w:val="en-US"/>
              </w:rPr>
            </w:pPr>
          </w:p>
          <w:p w:rsidR="0059499E" w:rsidRDefault="0059499E" w:rsidP="0059499E">
            <w:pPr>
              <w:rPr>
                <w:sz w:val="20"/>
                <w:szCs w:val="20"/>
              </w:rPr>
            </w:pPr>
            <w:r w:rsidRPr="00A935AA">
              <w:rPr>
                <w:sz w:val="20"/>
                <w:szCs w:val="20"/>
              </w:rPr>
              <w:t xml:space="preserve">FILING DATE: </w:t>
            </w:r>
            <w:r>
              <w:rPr>
                <w:sz w:val="20"/>
                <w:szCs w:val="20"/>
              </w:rPr>
              <w:t>April 23, 2019</w:t>
            </w:r>
          </w:p>
          <w:p w:rsidR="0059499E" w:rsidRDefault="003A218E" w:rsidP="0059499E">
            <w:pPr>
              <w:tabs>
                <w:tab w:val="left" w:pos="-1440"/>
                <w:tab w:val="left" w:pos="-720"/>
              </w:tabs>
              <w:rPr>
                <w:sz w:val="20"/>
                <w:szCs w:val="20"/>
                <w:lang w:val="fr-CA"/>
              </w:rPr>
            </w:pPr>
            <w:r>
              <w:rPr>
                <w:sz w:val="20"/>
                <w:szCs w:val="20"/>
                <w:lang w:val="fr-CA"/>
              </w:rPr>
              <w:pict>
                <v:rect id="_x0000_i1030" style="width:108pt;height:1pt" o:hrpct="0" o:hralign="center" o:hrstd="t" o:hrnoshade="t" o:hr="t" fillcolor="black [3213]" stroked="f"/>
              </w:pict>
            </w:r>
          </w:p>
          <w:p w:rsidR="0059499E" w:rsidRPr="00D443FD" w:rsidRDefault="0059499E" w:rsidP="0059499E">
            <w:pPr>
              <w:tabs>
                <w:tab w:val="left" w:pos="-1440"/>
                <w:tab w:val="left" w:pos="-720"/>
              </w:tabs>
              <w:rPr>
                <w:b/>
                <w:bCs/>
                <w:sz w:val="20"/>
                <w:szCs w:val="20"/>
              </w:rPr>
            </w:pPr>
          </w:p>
        </w:tc>
        <w:tc>
          <w:tcPr>
            <w:tcW w:w="1181" w:type="dxa"/>
            <w:shd w:val="clear" w:color="auto" w:fill="auto"/>
          </w:tcPr>
          <w:p w:rsidR="0059499E" w:rsidRPr="00211A38" w:rsidRDefault="0059499E" w:rsidP="00D443FD">
            <w:pPr>
              <w:jc w:val="center"/>
              <w:rPr>
                <w:sz w:val="20"/>
                <w:szCs w:val="20"/>
                <w:lang w:val="en-US"/>
              </w:rPr>
            </w:pPr>
          </w:p>
        </w:tc>
        <w:tc>
          <w:tcPr>
            <w:tcW w:w="4219" w:type="dxa"/>
            <w:shd w:val="clear" w:color="auto" w:fill="auto"/>
          </w:tcPr>
          <w:p w:rsidR="0059499E" w:rsidRDefault="0059499E" w:rsidP="0059499E">
            <w:pPr>
              <w:tabs>
                <w:tab w:val="left" w:pos="-1440"/>
                <w:tab w:val="left" w:pos="-720"/>
              </w:tabs>
              <w:rPr>
                <w:b/>
                <w:bCs/>
                <w:sz w:val="20"/>
                <w:szCs w:val="20"/>
              </w:rPr>
            </w:pPr>
            <w:r w:rsidRPr="0059499E">
              <w:rPr>
                <w:b/>
                <w:bCs/>
                <w:sz w:val="20"/>
                <w:szCs w:val="20"/>
              </w:rPr>
              <w:t>United Soils Management Ltd.</w:t>
            </w:r>
          </w:p>
          <w:p w:rsidR="0059499E" w:rsidRPr="00D443FD" w:rsidRDefault="0059499E" w:rsidP="0059499E">
            <w:pPr>
              <w:tabs>
                <w:tab w:val="left" w:pos="-1440"/>
                <w:tab w:val="left" w:pos="-720"/>
              </w:tabs>
              <w:rPr>
                <w:sz w:val="20"/>
                <w:szCs w:val="20"/>
                <w:lang w:val="en-US"/>
              </w:rPr>
            </w:pPr>
            <w:r w:rsidRPr="006615F4">
              <w:rPr>
                <w:sz w:val="20"/>
                <w:szCs w:val="20"/>
                <w:lang w:val="en-US"/>
              </w:rPr>
              <w:tab/>
            </w:r>
            <w:r w:rsidRPr="0059499E">
              <w:rPr>
                <w:sz w:val="20"/>
                <w:szCs w:val="20"/>
              </w:rPr>
              <w:t>Chalmers, William A.</w:t>
            </w:r>
          </w:p>
          <w:p w:rsidR="0059499E" w:rsidRPr="0059499E" w:rsidRDefault="0059499E" w:rsidP="0059499E">
            <w:pPr>
              <w:tabs>
                <w:tab w:val="left" w:pos="-1440"/>
                <w:tab w:val="left" w:pos="-720"/>
              </w:tabs>
              <w:rPr>
                <w:sz w:val="20"/>
                <w:szCs w:val="20"/>
                <w:lang w:val="en-US"/>
              </w:rPr>
            </w:pPr>
            <w:r w:rsidRPr="00D443FD">
              <w:rPr>
                <w:sz w:val="20"/>
                <w:szCs w:val="20"/>
                <w:lang w:val="en-US"/>
              </w:rPr>
              <w:tab/>
            </w:r>
            <w:proofErr w:type="spellStart"/>
            <w:r w:rsidRPr="0059499E">
              <w:rPr>
                <w:sz w:val="20"/>
                <w:szCs w:val="20"/>
                <w:lang w:val="en-US"/>
              </w:rPr>
              <w:t>Aird</w:t>
            </w:r>
            <w:proofErr w:type="spellEnd"/>
            <w:r w:rsidRPr="0059499E">
              <w:rPr>
                <w:sz w:val="20"/>
                <w:szCs w:val="20"/>
                <w:lang w:val="en-US"/>
              </w:rPr>
              <w:t xml:space="preserve"> &amp; </w:t>
            </w:r>
            <w:proofErr w:type="spellStart"/>
            <w:r w:rsidRPr="0059499E">
              <w:rPr>
                <w:sz w:val="20"/>
                <w:szCs w:val="20"/>
                <w:lang w:val="en-US"/>
              </w:rPr>
              <w:t>Berlis</w:t>
            </w:r>
            <w:proofErr w:type="spellEnd"/>
            <w:r w:rsidRPr="0059499E">
              <w:rPr>
                <w:sz w:val="20"/>
                <w:szCs w:val="20"/>
                <w:lang w:val="en-US"/>
              </w:rPr>
              <w:t xml:space="preserve"> LLP</w:t>
            </w:r>
          </w:p>
          <w:p w:rsidR="0059499E" w:rsidRPr="001C00B1" w:rsidRDefault="0059499E" w:rsidP="0059499E">
            <w:pPr>
              <w:tabs>
                <w:tab w:val="left" w:pos="-1440"/>
                <w:tab w:val="left" w:pos="-720"/>
              </w:tabs>
              <w:rPr>
                <w:sz w:val="20"/>
                <w:szCs w:val="20"/>
                <w:lang w:val="en-US"/>
              </w:rPr>
            </w:pPr>
          </w:p>
          <w:p w:rsidR="0059499E" w:rsidRPr="00B44C30" w:rsidRDefault="0059499E" w:rsidP="0059499E">
            <w:pPr>
              <w:tabs>
                <w:tab w:val="left" w:pos="-1440"/>
                <w:tab w:val="left" w:pos="-720"/>
              </w:tabs>
              <w:rPr>
                <w:sz w:val="20"/>
                <w:szCs w:val="20"/>
                <w:lang w:val="en-US"/>
              </w:rPr>
            </w:pPr>
            <w:r w:rsidRPr="001C00B1">
              <w:rPr>
                <w:sz w:val="20"/>
                <w:szCs w:val="20"/>
                <w:lang w:val="en-US"/>
              </w:rPr>
              <w:tab/>
            </w:r>
            <w:r w:rsidRPr="00B44C30">
              <w:rPr>
                <w:sz w:val="20"/>
                <w:szCs w:val="20"/>
                <w:lang w:val="en-US"/>
              </w:rPr>
              <w:t>v. (38592)</w:t>
            </w:r>
          </w:p>
          <w:p w:rsidR="0059499E" w:rsidRPr="00B44C30" w:rsidRDefault="0059499E" w:rsidP="0059499E">
            <w:pPr>
              <w:tabs>
                <w:tab w:val="left" w:pos="-1440"/>
                <w:tab w:val="left" w:pos="-720"/>
              </w:tabs>
              <w:rPr>
                <w:sz w:val="20"/>
                <w:szCs w:val="20"/>
                <w:lang w:val="en-US"/>
              </w:rPr>
            </w:pPr>
          </w:p>
          <w:p w:rsidR="0059499E" w:rsidRPr="00D443FD" w:rsidRDefault="0059499E" w:rsidP="0059499E">
            <w:pPr>
              <w:tabs>
                <w:tab w:val="left" w:pos="-1440"/>
                <w:tab w:val="left" w:pos="-720"/>
              </w:tabs>
              <w:rPr>
                <w:b/>
                <w:sz w:val="20"/>
                <w:szCs w:val="20"/>
                <w:lang w:val="en-US"/>
              </w:rPr>
            </w:pPr>
            <w:r w:rsidRPr="0059499E">
              <w:rPr>
                <w:b/>
                <w:bCs/>
                <w:sz w:val="20"/>
                <w:szCs w:val="20"/>
              </w:rPr>
              <w:t>Katie Mohammed </w:t>
            </w:r>
            <w:r w:rsidRPr="00D443FD">
              <w:rPr>
                <w:b/>
                <w:sz w:val="20"/>
                <w:szCs w:val="20"/>
                <w:lang w:val="en-US"/>
              </w:rPr>
              <w:t>(</w:t>
            </w:r>
            <w:r>
              <w:rPr>
                <w:b/>
                <w:sz w:val="20"/>
                <w:szCs w:val="20"/>
                <w:lang w:val="en-US"/>
              </w:rPr>
              <w:t>Ont</w:t>
            </w:r>
            <w:r w:rsidRPr="00D443FD">
              <w:rPr>
                <w:b/>
                <w:sz w:val="20"/>
                <w:szCs w:val="20"/>
                <w:lang w:val="en-US"/>
              </w:rPr>
              <w:t>.)</w:t>
            </w:r>
          </w:p>
          <w:p w:rsidR="0059499E" w:rsidRDefault="0059499E" w:rsidP="0059499E">
            <w:pPr>
              <w:tabs>
                <w:tab w:val="left" w:pos="-1440"/>
                <w:tab w:val="left" w:pos="-720"/>
              </w:tabs>
              <w:rPr>
                <w:sz w:val="20"/>
                <w:szCs w:val="20"/>
              </w:rPr>
            </w:pPr>
            <w:r w:rsidRPr="00D443FD">
              <w:rPr>
                <w:sz w:val="20"/>
                <w:szCs w:val="20"/>
                <w:lang w:val="en-US"/>
              </w:rPr>
              <w:tab/>
            </w:r>
            <w:r w:rsidRPr="0059499E">
              <w:rPr>
                <w:sz w:val="20"/>
                <w:szCs w:val="20"/>
              </w:rPr>
              <w:t>Sterns, David</w:t>
            </w:r>
          </w:p>
          <w:p w:rsidR="0059499E" w:rsidRPr="0059499E" w:rsidRDefault="0059499E" w:rsidP="0059499E">
            <w:pPr>
              <w:tabs>
                <w:tab w:val="left" w:pos="-1440"/>
                <w:tab w:val="left" w:pos="-720"/>
              </w:tabs>
              <w:rPr>
                <w:sz w:val="20"/>
                <w:szCs w:val="20"/>
                <w:lang w:val="en-US"/>
              </w:rPr>
            </w:pPr>
            <w:r w:rsidRPr="00A935AA">
              <w:rPr>
                <w:sz w:val="20"/>
                <w:szCs w:val="20"/>
              </w:rPr>
              <w:tab/>
            </w:r>
            <w:proofErr w:type="spellStart"/>
            <w:r w:rsidRPr="0059499E">
              <w:rPr>
                <w:sz w:val="20"/>
                <w:szCs w:val="20"/>
                <w:lang w:val="en-US"/>
              </w:rPr>
              <w:t>Sotos</w:t>
            </w:r>
            <w:proofErr w:type="spellEnd"/>
            <w:r w:rsidRPr="0059499E">
              <w:rPr>
                <w:sz w:val="20"/>
                <w:szCs w:val="20"/>
                <w:lang w:val="en-US"/>
              </w:rPr>
              <w:t xml:space="preserve"> LLP</w:t>
            </w:r>
          </w:p>
          <w:p w:rsidR="0059499E" w:rsidRPr="00D443FD" w:rsidRDefault="0059499E" w:rsidP="0059499E">
            <w:pPr>
              <w:tabs>
                <w:tab w:val="left" w:pos="-1440"/>
                <w:tab w:val="left" w:pos="-720"/>
              </w:tabs>
              <w:rPr>
                <w:sz w:val="20"/>
                <w:szCs w:val="20"/>
                <w:lang w:val="en-US"/>
              </w:rPr>
            </w:pPr>
          </w:p>
          <w:p w:rsidR="0059499E" w:rsidRDefault="0059499E" w:rsidP="0059499E">
            <w:pPr>
              <w:rPr>
                <w:sz w:val="20"/>
                <w:szCs w:val="20"/>
              </w:rPr>
            </w:pPr>
            <w:r w:rsidRPr="00A935AA">
              <w:rPr>
                <w:sz w:val="20"/>
                <w:szCs w:val="20"/>
              </w:rPr>
              <w:t xml:space="preserve">FILING DATE: </w:t>
            </w:r>
            <w:r>
              <w:rPr>
                <w:sz w:val="20"/>
                <w:szCs w:val="20"/>
              </w:rPr>
              <w:t>April 17, 2019</w:t>
            </w:r>
          </w:p>
          <w:p w:rsidR="0059499E" w:rsidRDefault="003A218E" w:rsidP="0059499E">
            <w:pPr>
              <w:tabs>
                <w:tab w:val="left" w:pos="-1440"/>
                <w:tab w:val="left" w:pos="-720"/>
              </w:tabs>
              <w:rPr>
                <w:sz w:val="20"/>
                <w:szCs w:val="20"/>
                <w:lang w:val="fr-CA"/>
              </w:rPr>
            </w:pPr>
            <w:r>
              <w:rPr>
                <w:sz w:val="20"/>
                <w:szCs w:val="20"/>
                <w:lang w:val="fr-CA"/>
              </w:rPr>
              <w:pict>
                <v:rect id="_x0000_i1031" style="width:108pt;height:1pt" o:hrpct="0" o:hralign="center" o:hrstd="t" o:hrnoshade="t" o:hr="t" fillcolor="black [3213]" stroked="f"/>
              </w:pict>
            </w:r>
          </w:p>
          <w:p w:rsidR="0059499E" w:rsidRPr="00D443FD" w:rsidRDefault="0059499E" w:rsidP="00D443FD">
            <w:pPr>
              <w:tabs>
                <w:tab w:val="left" w:pos="-1440"/>
                <w:tab w:val="left" w:pos="-720"/>
              </w:tabs>
              <w:rPr>
                <w:b/>
                <w:bCs/>
                <w:sz w:val="20"/>
                <w:szCs w:val="20"/>
              </w:rPr>
            </w:pPr>
          </w:p>
        </w:tc>
      </w:tr>
      <w:tr w:rsidR="0059499E" w:rsidRPr="00211A38" w:rsidTr="00EE3188">
        <w:tc>
          <w:tcPr>
            <w:tcW w:w="4320" w:type="dxa"/>
            <w:shd w:val="clear" w:color="auto" w:fill="auto"/>
          </w:tcPr>
          <w:p w:rsidR="0059499E" w:rsidRDefault="0059499E" w:rsidP="0059499E">
            <w:pPr>
              <w:tabs>
                <w:tab w:val="left" w:pos="-1440"/>
                <w:tab w:val="left" w:pos="-720"/>
              </w:tabs>
              <w:rPr>
                <w:b/>
                <w:bCs/>
                <w:sz w:val="20"/>
                <w:szCs w:val="20"/>
              </w:rPr>
            </w:pPr>
            <w:r w:rsidRPr="0059499E">
              <w:rPr>
                <w:b/>
                <w:bCs/>
                <w:sz w:val="20"/>
                <w:szCs w:val="20"/>
              </w:rPr>
              <w:lastRenderedPageBreak/>
              <w:t>Ocean Wise Conservation Association</w:t>
            </w:r>
          </w:p>
          <w:p w:rsidR="0059499E" w:rsidRPr="00D443FD" w:rsidRDefault="0059499E" w:rsidP="0059499E">
            <w:pPr>
              <w:tabs>
                <w:tab w:val="left" w:pos="-1440"/>
                <w:tab w:val="left" w:pos="-720"/>
              </w:tabs>
              <w:rPr>
                <w:sz w:val="20"/>
                <w:szCs w:val="20"/>
                <w:lang w:val="en-US"/>
              </w:rPr>
            </w:pPr>
            <w:r w:rsidRPr="006615F4">
              <w:rPr>
                <w:sz w:val="20"/>
                <w:szCs w:val="20"/>
                <w:lang w:val="en-US"/>
              </w:rPr>
              <w:tab/>
            </w:r>
            <w:proofErr w:type="spellStart"/>
            <w:r w:rsidRPr="0059499E">
              <w:rPr>
                <w:sz w:val="20"/>
                <w:szCs w:val="20"/>
              </w:rPr>
              <w:t>Hordo</w:t>
            </w:r>
            <w:proofErr w:type="spellEnd"/>
            <w:r w:rsidRPr="0059499E">
              <w:rPr>
                <w:sz w:val="20"/>
                <w:szCs w:val="20"/>
              </w:rPr>
              <w:t xml:space="preserve">, Q.C., </w:t>
            </w:r>
            <w:proofErr w:type="spellStart"/>
            <w:r w:rsidRPr="0059499E">
              <w:rPr>
                <w:sz w:val="20"/>
                <w:szCs w:val="20"/>
              </w:rPr>
              <w:t>FCIArb</w:t>
            </w:r>
            <w:proofErr w:type="spellEnd"/>
            <w:r w:rsidRPr="0059499E">
              <w:rPr>
                <w:sz w:val="20"/>
                <w:szCs w:val="20"/>
              </w:rPr>
              <w:t>., R.J. Randall</w:t>
            </w:r>
          </w:p>
          <w:p w:rsidR="0059499E" w:rsidRPr="00D443FD" w:rsidRDefault="0059499E" w:rsidP="0059499E">
            <w:pPr>
              <w:tabs>
                <w:tab w:val="left" w:pos="-1440"/>
                <w:tab w:val="left" w:pos="-720"/>
              </w:tabs>
              <w:rPr>
                <w:sz w:val="20"/>
                <w:szCs w:val="20"/>
                <w:lang w:val="en-US"/>
              </w:rPr>
            </w:pPr>
            <w:r w:rsidRPr="00D443FD">
              <w:rPr>
                <w:sz w:val="20"/>
                <w:szCs w:val="20"/>
                <w:lang w:val="en-US"/>
              </w:rPr>
              <w:tab/>
              <w:t>McLennan Ross LLP</w:t>
            </w:r>
          </w:p>
          <w:p w:rsidR="0059499E" w:rsidRPr="001C00B1" w:rsidRDefault="0059499E" w:rsidP="0059499E">
            <w:pPr>
              <w:tabs>
                <w:tab w:val="left" w:pos="-1440"/>
                <w:tab w:val="left" w:pos="-720"/>
              </w:tabs>
              <w:rPr>
                <w:sz w:val="20"/>
                <w:szCs w:val="20"/>
                <w:lang w:val="en-US"/>
              </w:rPr>
            </w:pPr>
          </w:p>
          <w:p w:rsidR="0059499E" w:rsidRPr="0059499E" w:rsidRDefault="0059499E" w:rsidP="0059499E">
            <w:pPr>
              <w:tabs>
                <w:tab w:val="left" w:pos="-1440"/>
                <w:tab w:val="left" w:pos="-720"/>
              </w:tabs>
              <w:rPr>
                <w:sz w:val="20"/>
                <w:szCs w:val="20"/>
                <w:lang w:val="en-US"/>
              </w:rPr>
            </w:pPr>
            <w:r w:rsidRPr="001C00B1">
              <w:rPr>
                <w:sz w:val="20"/>
                <w:szCs w:val="20"/>
                <w:lang w:val="en-US"/>
              </w:rPr>
              <w:tab/>
            </w:r>
            <w:r w:rsidRPr="0059499E">
              <w:rPr>
                <w:sz w:val="20"/>
                <w:szCs w:val="20"/>
                <w:lang w:val="en-US"/>
              </w:rPr>
              <w:t>v. (38597)</w:t>
            </w:r>
          </w:p>
          <w:p w:rsidR="0059499E" w:rsidRPr="0059499E" w:rsidRDefault="0059499E" w:rsidP="0059499E">
            <w:pPr>
              <w:tabs>
                <w:tab w:val="left" w:pos="-1440"/>
                <w:tab w:val="left" w:pos="-720"/>
              </w:tabs>
              <w:rPr>
                <w:sz w:val="20"/>
                <w:szCs w:val="20"/>
                <w:lang w:val="en-US"/>
              </w:rPr>
            </w:pPr>
          </w:p>
          <w:p w:rsidR="0059499E" w:rsidRPr="0059499E" w:rsidRDefault="0059499E" w:rsidP="0059499E">
            <w:pPr>
              <w:tabs>
                <w:tab w:val="left" w:pos="-1440"/>
                <w:tab w:val="left" w:pos="-720"/>
              </w:tabs>
              <w:rPr>
                <w:b/>
                <w:sz w:val="20"/>
                <w:szCs w:val="20"/>
                <w:lang w:val="en-US"/>
              </w:rPr>
            </w:pPr>
            <w:r>
              <w:rPr>
                <w:b/>
                <w:bCs/>
                <w:sz w:val="20"/>
                <w:szCs w:val="20"/>
              </w:rPr>
              <w:t>V</w:t>
            </w:r>
            <w:r w:rsidRPr="0059499E">
              <w:rPr>
                <w:b/>
                <w:bCs/>
                <w:sz w:val="20"/>
                <w:szCs w:val="20"/>
              </w:rPr>
              <w:t>ancouver Board of Parks and Recreation, et al.</w:t>
            </w:r>
            <w:r w:rsidRPr="0059499E">
              <w:rPr>
                <w:b/>
                <w:bCs/>
                <w:sz w:val="20"/>
                <w:szCs w:val="20"/>
                <w:lang w:val="en-US"/>
              </w:rPr>
              <w:t xml:space="preserve"> </w:t>
            </w:r>
            <w:r w:rsidRPr="0059499E">
              <w:rPr>
                <w:b/>
                <w:sz w:val="20"/>
                <w:szCs w:val="20"/>
                <w:lang w:val="en-US"/>
              </w:rPr>
              <w:t>(B.C.)</w:t>
            </w:r>
          </w:p>
          <w:p w:rsidR="0059499E" w:rsidRPr="00A935AA" w:rsidRDefault="0059499E" w:rsidP="0059499E">
            <w:pPr>
              <w:tabs>
                <w:tab w:val="left" w:pos="-1440"/>
                <w:tab w:val="left" w:pos="-720"/>
              </w:tabs>
              <w:rPr>
                <w:sz w:val="20"/>
                <w:szCs w:val="20"/>
              </w:rPr>
            </w:pPr>
            <w:r w:rsidRPr="0059499E">
              <w:rPr>
                <w:sz w:val="20"/>
                <w:szCs w:val="20"/>
                <w:lang w:val="en-US"/>
              </w:rPr>
              <w:tab/>
            </w:r>
            <w:r w:rsidRPr="0059499E">
              <w:rPr>
                <w:sz w:val="20"/>
                <w:szCs w:val="20"/>
              </w:rPr>
              <w:t>Dickson, Tim</w:t>
            </w:r>
          </w:p>
          <w:p w:rsidR="0059499E" w:rsidRPr="0059499E" w:rsidRDefault="0059499E" w:rsidP="0059499E">
            <w:pPr>
              <w:tabs>
                <w:tab w:val="left" w:pos="-1440"/>
                <w:tab w:val="left" w:pos="-720"/>
              </w:tabs>
              <w:rPr>
                <w:sz w:val="20"/>
                <w:szCs w:val="20"/>
                <w:lang w:val="en-US"/>
              </w:rPr>
            </w:pPr>
            <w:r w:rsidRPr="00A935AA">
              <w:rPr>
                <w:sz w:val="20"/>
                <w:szCs w:val="20"/>
              </w:rPr>
              <w:tab/>
            </w:r>
            <w:r w:rsidRPr="0059499E">
              <w:rPr>
                <w:sz w:val="20"/>
                <w:szCs w:val="20"/>
                <w:lang w:val="en-US"/>
              </w:rPr>
              <w:t>JFK Law Corporation</w:t>
            </w:r>
          </w:p>
          <w:p w:rsidR="0059499E" w:rsidRPr="00A935AA" w:rsidRDefault="0059499E" w:rsidP="0059499E">
            <w:pPr>
              <w:tabs>
                <w:tab w:val="left" w:pos="-1440"/>
                <w:tab w:val="left" w:pos="-720"/>
              </w:tabs>
              <w:rPr>
                <w:sz w:val="20"/>
                <w:szCs w:val="20"/>
              </w:rPr>
            </w:pPr>
          </w:p>
          <w:p w:rsidR="0059499E" w:rsidRDefault="0059499E" w:rsidP="0059499E">
            <w:pPr>
              <w:rPr>
                <w:sz w:val="20"/>
                <w:szCs w:val="20"/>
              </w:rPr>
            </w:pPr>
            <w:r w:rsidRPr="00A935AA">
              <w:rPr>
                <w:sz w:val="20"/>
                <w:szCs w:val="20"/>
              </w:rPr>
              <w:t xml:space="preserve">FILING DATE: </w:t>
            </w:r>
            <w:r>
              <w:rPr>
                <w:sz w:val="20"/>
                <w:szCs w:val="20"/>
              </w:rPr>
              <w:t>April 18, 2019</w:t>
            </w:r>
            <w:r w:rsidR="003A218E">
              <w:rPr>
                <w:sz w:val="20"/>
                <w:szCs w:val="20"/>
                <w:lang w:val="fr-CA"/>
              </w:rPr>
              <w:pict>
                <v:rect id="_x0000_i1032" style="width:108pt;height:1pt" o:hrpct="0" o:hralign="center" o:hrstd="t" o:hrnoshade="t" o:hr="t" fillcolor="black [3213]" stroked="f"/>
              </w:pict>
            </w:r>
          </w:p>
          <w:p w:rsidR="0059499E" w:rsidRDefault="0059499E" w:rsidP="0059499E">
            <w:pPr>
              <w:tabs>
                <w:tab w:val="left" w:pos="-1440"/>
                <w:tab w:val="left" w:pos="-720"/>
              </w:tabs>
              <w:rPr>
                <w:sz w:val="20"/>
                <w:szCs w:val="20"/>
                <w:lang w:val="fr-CA"/>
              </w:rPr>
            </w:pPr>
          </w:p>
        </w:tc>
        <w:tc>
          <w:tcPr>
            <w:tcW w:w="1181" w:type="dxa"/>
            <w:shd w:val="clear" w:color="auto" w:fill="auto"/>
          </w:tcPr>
          <w:p w:rsidR="0059499E" w:rsidRPr="00211A38" w:rsidRDefault="0059499E" w:rsidP="00D443FD">
            <w:pPr>
              <w:jc w:val="center"/>
              <w:rPr>
                <w:sz w:val="20"/>
                <w:szCs w:val="20"/>
                <w:lang w:val="en-US"/>
              </w:rPr>
            </w:pPr>
          </w:p>
        </w:tc>
        <w:tc>
          <w:tcPr>
            <w:tcW w:w="4219" w:type="dxa"/>
            <w:shd w:val="clear" w:color="auto" w:fill="auto"/>
          </w:tcPr>
          <w:p w:rsidR="0059499E" w:rsidRDefault="0059499E" w:rsidP="0059499E">
            <w:pPr>
              <w:tabs>
                <w:tab w:val="left" w:pos="-1440"/>
                <w:tab w:val="left" w:pos="-720"/>
              </w:tabs>
              <w:rPr>
                <w:b/>
                <w:bCs/>
                <w:sz w:val="20"/>
                <w:szCs w:val="20"/>
              </w:rPr>
            </w:pPr>
            <w:proofErr w:type="spellStart"/>
            <w:r w:rsidRPr="0059499E">
              <w:rPr>
                <w:b/>
                <w:bCs/>
                <w:sz w:val="20"/>
                <w:szCs w:val="20"/>
              </w:rPr>
              <w:t>Wastech</w:t>
            </w:r>
            <w:proofErr w:type="spellEnd"/>
            <w:r w:rsidRPr="0059499E">
              <w:rPr>
                <w:b/>
                <w:bCs/>
                <w:sz w:val="20"/>
                <w:szCs w:val="20"/>
              </w:rPr>
              <w:t xml:space="preserve"> Services Ltd</w:t>
            </w:r>
            <w:r>
              <w:rPr>
                <w:b/>
                <w:bCs/>
                <w:sz w:val="20"/>
                <w:szCs w:val="20"/>
              </w:rPr>
              <w:t>.</w:t>
            </w:r>
          </w:p>
          <w:p w:rsidR="0059499E" w:rsidRPr="00D443FD" w:rsidRDefault="0059499E" w:rsidP="0059499E">
            <w:pPr>
              <w:tabs>
                <w:tab w:val="left" w:pos="-1440"/>
                <w:tab w:val="left" w:pos="-720"/>
              </w:tabs>
              <w:rPr>
                <w:sz w:val="20"/>
                <w:szCs w:val="20"/>
                <w:lang w:val="en-US"/>
              </w:rPr>
            </w:pPr>
            <w:r w:rsidRPr="006615F4">
              <w:rPr>
                <w:sz w:val="20"/>
                <w:szCs w:val="20"/>
                <w:lang w:val="en-US"/>
              </w:rPr>
              <w:tab/>
            </w:r>
            <w:r w:rsidRPr="0059499E">
              <w:rPr>
                <w:sz w:val="20"/>
                <w:szCs w:val="20"/>
              </w:rPr>
              <w:t>Cowper, Q.C., D. Geoffrey G.</w:t>
            </w:r>
          </w:p>
          <w:p w:rsidR="0059499E" w:rsidRPr="0059499E" w:rsidRDefault="0059499E" w:rsidP="0059499E">
            <w:pPr>
              <w:tabs>
                <w:tab w:val="left" w:pos="-1440"/>
                <w:tab w:val="left" w:pos="-720"/>
              </w:tabs>
              <w:rPr>
                <w:sz w:val="20"/>
                <w:szCs w:val="20"/>
                <w:lang w:val="en-US"/>
              </w:rPr>
            </w:pPr>
            <w:r w:rsidRPr="00D443FD">
              <w:rPr>
                <w:sz w:val="20"/>
                <w:szCs w:val="20"/>
                <w:lang w:val="en-US"/>
              </w:rPr>
              <w:tab/>
            </w:r>
            <w:r w:rsidRPr="0059499E">
              <w:rPr>
                <w:sz w:val="20"/>
                <w:szCs w:val="20"/>
                <w:lang w:val="en-US"/>
              </w:rPr>
              <w:t xml:space="preserve">Fasken Martineau </w:t>
            </w:r>
            <w:proofErr w:type="spellStart"/>
            <w:r w:rsidRPr="0059499E">
              <w:rPr>
                <w:sz w:val="20"/>
                <w:szCs w:val="20"/>
                <w:lang w:val="en-US"/>
              </w:rPr>
              <w:t>DuMoulin</w:t>
            </w:r>
            <w:proofErr w:type="spellEnd"/>
            <w:r w:rsidRPr="0059499E">
              <w:rPr>
                <w:sz w:val="20"/>
                <w:szCs w:val="20"/>
                <w:lang w:val="en-US"/>
              </w:rPr>
              <w:t xml:space="preserve"> LLP</w:t>
            </w:r>
          </w:p>
          <w:p w:rsidR="0059499E" w:rsidRPr="001C00B1" w:rsidRDefault="0059499E" w:rsidP="0059499E">
            <w:pPr>
              <w:tabs>
                <w:tab w:val="left" w:pos="-1440"/>
                <w:tab w:val="left" w:pos="-720"/>
              </w:tabs>
              <w:rPr>
                <w:sz w:val="20"/>
                <w:szCs w:val="20"/>
                <w:lang w:val="en-US"/>
              </w:rPr>
            </w:pPr>
          </w:p>
          <w:p w:rsidR="0059499E" w:rsidRPr="0059499E" w:rsidRDefault="0059499E" w:rsidP="0059499E">
            <w:pPr>
              <w:tabs>
                <w:tab w:val="left" w:pos="-1440"/>
                <w:tab w:val="left" w:pos="-720"/>
              </w:tabs>
              <w:rPr>
                <w:sz w:val="20"/>
                <w:szCs w:val="20"/>
                <w:lang w:val="en-US"/>
              </w:rPr>
            </w:pPr>
            <w:r w:rsidRPr="001C00B1">
              <w:rPr>
                <w:sz w:val="20"/>
                <w:szCs w:val="20"/>
                <w:lang w:val="en-US"/>
              </w:rPr>
              <w:tab/>
            </w:r>
            <w:r w:rsidRPr="0059499E">
              <w:rPr>
                <w:sz w:val="20"/>
                <w:szCs w:val="20"/>
                <w:lang w:val="en-US"/>
              </w:rPr>
              <w:t>v. (</w:t>
            </w:r>
            <w:r>
              <w:rPr>
                <w:sz w:val="20"/>
                <w:szCs w:val="20"/>
                <w:lang w:val="en-US"/>
              </w:rPr>
              <w:t>38601</w:t>
            </w:r>
            <w:r w:rsidRPr="0059499E">
              <w:rPr>
                <w:sz w:val="20"/>
                <w:szCs w:val="20"/>
                <w:lang w:val="en-US"/>
              </w:rPr>
              <w:t>)</w:t>
            </w:r>
          </w:p>
          <w:p w:rsidR="0059499E" w:rsidRPr="0059499E" w:rsidRDefault="0059499E" w:rsidP="0059499E">
            <w:pPr>
              <w:tabs>
                <w:tab w:val="left" w:pos="-1440"/>
                <w:tab w:val="left" w:pos="-720"/>
              </w:tabs>
              <w:rPr>
                <w:sz w:val="20"/>
                <w:szCs w:val="20"/>
                <w:lang w:val="en-US"/>
              </w:rPr>
            </w:pPr>
          </w:p>
          <w:p w:rsidR="0059499E" w:rsidRPr="0059499E" w:rsidRDefault="0059499E" w:rsidP="0059499E">
            <w:pPr>
              <w:tabs>
                <w:tab w:val="left" w:pos="-1440"/>
                <w:tab w:val="left" w:pos="-720"/>
              </w:tabs>
              <w:rPr>
                <w:b/>
                <w:sz w:val="20"/>
                <w:szCs w:val="20"/>
                <w:lang w:val="en-US"/>
              </w:rPr>
            </w:pPr>
            <w:r w:rsidRPr="0059499E">
              <w:rPr>
                <w:b/>
                <w:bCs/>
                <w:sz w:val="20"/>
                <w:szCs w:val="20"/>
              </w:rPr>
              <w:t>Greater Vancouver Sewerage and Drainage District</w:t>
            </w:r>
            <w:r w:rsidRPr="0059499E">
              <w:rPr>
                <w:b/>
                <w:bCs/>
                <w:sz w:val="20"/>
                <w:szCs w:val="20"/>
                <w:lang w:val="en-US"/>
              </w:rPr>
              <w:t xml:space="preserve"> </w:t>
            </w:r>
            <w:r w:rsidRPr="0059499E">
              <w:rPr>
                <w:b/>
                <w:sz w:val="20"/>
                <w:szCs w:val="20"/>
                <w:lang w:val="en-US"/>
              </w:rPr>
              <w:t>(B.C.)</w:t>
            </w:r>
          </w:p>
          <w:p w:rsidR="0059499E" w:rsidRPr="00B44C30" w:rsidRDefault="0059499E" w:rsidP="0059499E">
            <w:pPr>
              <w:tabs>
                <w:tab w:val="left" w:pos="-1440"/>
                <w:tab w:val="left" w:pos="-720"/>
              </w:tabs>
              <w:rPr>
                <w:sz w:val="20"/>
                <w:szCs w:val="20"/>
                <w:lang w:val="en-US"/>
              </w:rPr>
            </w:pPr>
            <w:r w:rsidRPr="0059499E">
              <w:rPr>
                <w:sz w:val="20"/>
                <w:szCs w:val="20"/>
                <w:lang w:val="en-US"/>
              </w:rPr>
              <w:tab/>
            </w:r>
            <w:proofErr w:type="spellStart"/>
            <w:r w:rsidRPr="00B44C30">
              <w:rPr>
                <w:sz w:val="20"/>
                <w:szCs w:val="20"/>
                <w:lang w:val="en-US"/>
              </w:rPr>
              <w:t>Nathanson</w:t>
            </w:r>
            <w:proofErr w:type="spellEnd"/>
            <w:r w:rsidRPr="00B44C30">
              <w:rPr>
                <w:sz w:val="20"/>
                <w:szCs w:val="20"/>
                <w:lang w:val="en-US"/>
              </w:rPr>
              <w:t>, Q.C., Irwin G</w:t>
            </w:r>
          </w:p>
          <w:p w:rsidR="0059499E" w:rsidRPr="0059499E" w:rsidRDefault="0059499E" w:rsidP="0059499E">
            <w:pPr>
              <w:tabs>
                <w:tab w:val="left" w:pos="-1440"/>
                <w:tab w:val="left" w:pos="-720"/>
              </w:tabs>
              <w:rPr>
                <w:sz w:val="20"/>
                <w:szCs w:val="20"/>
                <w:lang w:val="en-US"/>
              </w:rPr>
            </w:pPr>
            <w:r w:rsidRPr="00B44C30">
              <w:rPr>
                <w:sz w:val="20"/>
                <w:szCs w:val="20"/>
                <w:lang w:val="en-US"/>
              </w:rPr>
              <w:tab/>
            </w:r>
            <w:proofErr w:type="spellStart"/>
            <w:r w:rsidRPr="0059499E">
              <w:rPr>
                <w:sz w:val="20"/>
                <w:szCs w:val="20"/>
                <w:lang w:val="en-US"/>
              </w:rPr>
              <w:t>Nathanson</w:t>
            </w:r>
            <w:proofErr w:type="spellEnd"/>
            <w:r w:rsidRPr="0059499E">
              <w:rPr>
                <w:sz w:val="20"/>
                <w:szCs w:val="20"/>
                <w:lang w:val="en-US"/>
              </w:rPr>
              <w:t xml:space="preserve">, </w:t>
            </w:r>
            <w:proofErr w:type="spellStart"/>
            <w:r w:rsidRPr="0059499E">
              <w:rPr>
                <w:sz w:val="20"/>
                <w:szCs w:val="20"/>
                <w:lang w:val="en-US"/>
              </w:rPr>
              <w:t>Schachter</w:t>
            </w:r>
            <w:proofErr w:type="spellEnd"/>
            <w:r w:rsidRPr="0059499E">
              <w:rPr>
                <w:sz w:val="20"/>
                <w:szCs w:val="20"/>
                <w:lang w:val="en-US"/>
              </w:rPr>
              <w:t xml:space="preserve"> &amp; Thompson LLP</w:t>
            </w:r>
          </w:p>
          <w:p w:rsidR="0059499E" w:rsidRPr="00A935AA" w:rsidRDefault="0059499E" w:rsidP="0059499E">
            <w:pPr>
              <w:tabs>
                <w:tab w:val="left" w:pos="-1440"/>
                <w:tab w:val="left" w:pos="-720"/>
              </w:tabs>
              <w:rPr>
                <w:sz w:val="20"/>
                <w:szCs w:val="20"/>
              </w:rPr>
            </w:pPr>
          </w:p>
          <w:p w:rsidR="0059499E" w:rsidRDefault="0059499E" w:rsidP="0059499E">
            <w:pPr>
              <w:rPr>
                <w:sz w:val="20"/>
                <w:szCs w:val="20"/>
              </w:rPr>
            </w:pPr>
            <w:r w:rsidRPr="00A935AA">
              <w:rPr>
                <w:sz w:val="20"/>
                <w:szCs w:val="20"/>
              </w:rPr>
              <w:t xml:space="preserve">FILING DATE: </w:t>
            </w:r>
            <w:r>
              <w:rPr>
                <w:sz w:val="20"/>
                <w:szCs w:val="20"/>
              </w:rPr>
              <w:t>April 23, 2019</w:t>
            </w:r>
            <w:r w:rsidR="003A218E">
              <w:rPr>
                <w:sz w:val="20"/>
                <w:szCs w:val="20"/>
                <w:lang w:val="fr-CA"/>
              </w:rPr>
              <w:pict>
                <v:rect id="_x0000_i1033" style="width:108pt;height:1pt" o:hrpct="0" o:hralign="center" o:hrstd="t" o:hrnoshade="t" o:hr="t" fillcolor="black [3213]" stroked="f"/>
              </w:pict>
            </w:r>
          </w:p>
          <w:p w:rsidR="0059499E" w:rsidRPr="00D443FD" w:rsidRDefault="0059499E" w:rsidP="00D443FD">
            <w:pPr>
              <w:tabs>
                <w:tab w:val="left" w:pos="-1440"/>
                <w:tab w:val="left" w:pos="-720"/>
              </w:tabs>
              <w:rPr>
                <w:b/>
                <w:bCs/>
                <w:sz w:val="20"/>
                <w:szCs w:val="20"/>
              </w:rPr>
            </w:pPr>
          </w:p>
        </w:tc>
      </w:tr>
      <w:tr w:rsidR="00F56A6C" w:rsidRPr="00211A38" w:rsidTr="00EE3188">
        <w:tc>
          <w:tcPr>
            <w:tcW w:w="4320" w:type="dxa"/>
            <w:vMerge w:val="restart"/>
            <w:shd w:val="clear" w:color="auto" w:fill="auto"/>
          </w:tcPr>
          <w:p w:rsidR="00F56A6C" w:rsidRPr="00B44C30" w:rsidRDefault="00F56A6C" w:rsidP="00F56A6C">
            <w:pPr>
              <w:tabs>
                <w:tab w:val="left" w:pos="-1440"/>
                <w:tab w:val="left" w:pos="-720"/>
              </w:tabs>
              <w:rPr>
                <w:b/>
                <w:bCs/>
                <w:sz w:val="20"/>
                <w:szCs w:val="20"/>
                <w:lang w:val="fr-CA"/>
              </w:rPr>
            </w:pPr>
            <w:r w:rsidRPr="00B44C30">
              <w:rPr>
                <w:b/>
                <w:bCs/>
                <w:sz w:val="20"/>
                <w:szCs w:val="20"/>
                <w:lang w:val="fr-CA"/>
              </w:rPr>
              <w:t>9354-9186 Québec Inc. (</w:t>
            </w:r>
            <w:proofErr w:type="spellStart"/>
            <w:r w:rsidRPr="00B44C30">
              <w:rPr>
                <w:b/>
                <w:bCs/>
                <w:sz w:val="20"/>
                <w:szCs w:val="20"/>
                <w:lang w:val="fr-CA"/>
              </w:rPr>
              <w:t>formerly</w:t>
            </w:r>
            <w:proofErr w:type="spellEnd"/>
            <w:r w:rsidRPr="00B44C30">
              <w:rPr>
                <w:b/>
                <w:bCs/>
                <w:sz w:val="20"/>
                <w:szCs w:val="20"/>
                <w:lang w:val="fr-CA"/>
              </w:rPr>
              <w:t xml:space="preserve"> </w:t>
            </w:r>
            <w:proofErr w:type="spellStart"/>
            <w:r w:rsidRPr="00B44C30">
              <w:rPr>
                <w:b/>
                <w:bCs/>
                <w:sz w:val="20"/>
                <w:szCs w:val="20"/>
                <w:lang w:val="fr-CA"/>
              </w:rPr>
              <w:t>Bluberi</w:t>
            </w:r>
            <w:proofErr w:type="spellEnd"/>
            <w:r w:rsidRPr="00B44C30">
              <w:rPr>
                <w:b/>
                <w:bCs/>
                <w:sz w:val="20"/>
                <w:szCs w:val="20"/>
                <w:lang w:val="fr-CA"/>
              </w:rPr>
              <w:t xml:space="preserve"> Gaming Technologies Inc.), et al.</w:t>
            </w:r>
          </w:p>
          <w:p w:rsidR="00F56A6C" w:rsidRPr="00F56A6C" w:rsidRDefault="00F56A6C" w:rsidP="00F56A6C">
            <w:pPr>
              <w:tabs>
                <w:tab w:val="left" w:pos="-1440"/>
                <w:tab w:val="left" w:pos="-720"/>
              </w:tabs>
              <w:rPr>
                <w:sz w:val="20"/>
                <w:szCs w:val="20"/>
                <w:lang w:val="fr-CA"/>
              </w:rPr>
            </w:pPr>
            <w:r w:rsidRPr="00B44C30">
              <w:rPr>
                <w:sz w:val="20"/>
                <w:szCs w:val="20"/>
                <w:lang w:val="fr-CA"/>
              </w:rPr>
              <w:tab/>
            </w:r>
            <w:r w:rsidRPr="00F56A6C">
              <w:rPr>
                <w:sz w:val="20"/>
                <w:szCs w:val="20"/>
                <w:lang w:val="fr-CA"/>
              </w:rPr>
              <w:t>Groleau, Jean-Philippe</w:t>
            </w:r>
          </w:p>
          <w:p w:rsidR="00F56A6C" w:rsidRPr="00B44C30" w:rsidRDefault="00F56A6C" w:rsidP="00F56A6C">
            <w:pPr>
              <w:tabs>
                <w:tab w:val="left" w:pos="-1440"/>
                <w:tab w:val="left" w:pos="-720"/>
              </w:tabs>
              <w:rPr>
                <w:sz w:val="20"/>
                <w:szCs w:val="20"/>
                <w:lang w:val="en-US"/>
              </w:rPr>
            </w:pPr>
            <w:r w:rsidRPr="00F56A6C">
              <w:rPr>
                <w:sz w:val="20"/>
                <w:szCs w:val="20"/>
                <w:lang w:val="fr-CA"/>
              </w:rPr>
              <w:tab/>
            </w:r>
            <w:r w:rsidRPr="00B44C30">
              <w:rPr>
                <w:sz w:val="20"/>
                <w:szCs w:val="20"/>
                <w:lang w:val="en-US"/>
              </w:rPr>
              <w:t>Davies Ward Phillips &amp; Vineberg LLP</w:t>
            </w:r>
          </w:p>
          <w:p w:rsidR="00F56A6C" w:rsidRPr="00B44C30" w:rsidRDefault="00F56A6C" w:rsidP="00F56A6C">
            <w:pPr>
              <w:tabs>
                <w:tab w:val="left" w:pos="-1440"/>
                <w:tab w:val="left" w:pos="-720"/>
              </w:tabs>
              <w:rPr>
                <w:sz w:val="20"/>
                <w:szCs w:val="20"/>
                <w:lang w:val="en-US"/>
              </w:rPr>
            </w:pPr>
          </w:p>
          <w:p w:rsidR="00F56A6C" w:rsidRPr="00B44C30" w:rsidRDefault="00F56A6C" w:rsidP="00F56A6C">
            <w:pPr>
              <w:tabs>
                <w:tab w:val="left" w:pos="-1440"/>
                <w:tab w:val="left" w:pos="-720"/>
              </w:tabs>
              <w:rPr>
                <w:sz w:val="20"/>
                <w:szCs w:val="20"/>
                <w:lang w:val="en-US"/>
              </w:rPr>
            </w:pPr>
            <w:r w:rsidRPr="00B44C30">
              <w:rPr>
                <w:sz w:val="20"/>
                <w:szCs w:val="20"/>
                <w:lang w:val="en-US"/>
              </w:rPr>
              <w:tab/>
              <w:t>v. (38594)</w:t>
            </w:r>
          </w:p>
          <w:p w:rsidR="00F56A6C" w:rsidRPr="00B44C30" w:rsidRDefault="00F56A6C" w:rsidP="00F56A6C">
            <w:pPr>
              <w:tabs>
                <w:tab w:val="left" w:pos="-1440"/>
                <w:tab w:val="left" w:pos="-720"/>
              </w:tabs>
              <w:rPr>
                <w:sz w:val="20"/>
                <w:szCs w:val="20"/>
                <w:lang w:val="en-US"/>
              </w:rPr>
            </w:pPr>
          </w:p>
          <w:p w:rsidR="00F56A6C" w:rsidRPr="00D443FD" w:rsidRDefault="00F56A6C" w:rsidP="00F56A6C">
            <w:pPr>
              <w:tabs>
                <w:tab w:val="left" w:pos="-1440"/>
                <w:tab w:val="left" w:pos="-720"/>
              </w:tabs>
              <w:rPr>
                <w:b/>
                <w:sz w:val="20"/>
                <w:szCs w:val="20"/>
                <w:lang w:val="en-US"/>
              </w:rPr>
            </w:pPr>
            <w:proofErr w:type="spellStart"/>
            <w:r w:rsidRPr="00F56A6C">
              <w:rPr>
                <w:b/>
                <w:bCs/>
                <w:sz w:val="20"/>
                <w:szCs w:val="20"/>
                <w:lang w:val="fr-CA"/>
              </w:rPr>
              <w:t>Callidus</w:t>
            </w:r>
            <w:proofErr w:type="spellEnd"/>
            <w:r w:rsidRPr="00F56A6C">
              <w:rPr>
                <w:b/>
                <w:bCs/>
                <w:sz w:val="20"/>
                <w:szCs w:val="20"/>
                <w:lang w:val="fr-CA"/>
              </w:rPr>
              <w:t xml:space="preserve"> Capital Corporation, et al. </w:t>
            </w:r>
            <w:r w:rsidRPr="00D443FD">
              <w:rPr>
                <w:b/>
                <w:sz w:val="20"/>
                <w:szCs w:val="20"/>
                <w:lang w:val="en-US"/>
              </w:rPr>
              <w:t>(</w:t>
            </w:r>
            <w:r>
              <w:rPr>
                <w:b/>
                <w:sz w:val="20"/>
                <w:szCs w:val="20"/>
                <w:lang w:val="en-US"/>
              </w:rPr>
              <w:t>Que</w:t>
            </w:r>
            <w:r w:rsidRPr="00D443FD">
              <w:rPr>
                <w:b/>
                <w:sz w:val="20"/>
                <w:szCs w:val="20"/>
                <w:lang w:val="en-US"/>
              </w:rPr>
              <w:t>.)</w:t>
            </w:r>
          </w:p>
          <w:p w:rsidR="00F56A6C" w:rsidRDefault="00F56A6C" w:rsidP="00F56A6C">
            <w:pPr>
              <w:tabs>
                <w:tab w:val="left" w:pos="-1440"/>
                <w:tab w:val="left" w:pos="-720"/>
              </w:tabs>
              <w:rPr>
                <w:sz w:val="20"/>
                <w:szCs w:val="20"/>
              </w:rPr>
            </w:pPr>
            <w:r w:rsidRPr="00D443FD">
              <w:rPr>
                <w:sz w:val="20"/>
                <w:szCs w:val="20"/>
                <w:lang w:val="en-US"/>
              </w:rPr>
              <w:tab/>
            </w:r>
            <w:proofErr w:type="spellStart"/>
            <w:r w:rsidRPr="00F56A6C">
              <w:rPr>
                <w:sz w:val="20"/>
                <w:szCs w:val="20"/>
              </w:rPr>
              <w:t>Benoît</w:t>
            </w:r>
            <w:proofErr w:type="spellEnd"/>
            <w:r w:rsidRPr="00F56A6C">
              <w:rPr>
                <w:sz w:val="20"/>
                <w:szCs w:val="20"/>
              </w:rPr>
              <w:t>, Patrice</w:t>
            </w:r>
          </w:p>
          <w:p w:rsidR="00F56A6C" w:rsidRPr="00F56A6C" w:rsidRDefault="00F56A6C" w:rsidP="00F56A6C">
            <w:pPr>
              <w:tabs>
                <w:tab w:val="left" w:pos="-1440"/>
                <w:tab w:val="left" w:pos="-720"/>
              </w:tabs>
              <w:rPr>
                <w:sz w:val="20"/>
                <w:szCs w:val="20"/>
                <w:lang w:val="en-US"/>
              </w:rPr>
            </w:pPr>
            <w:r w:rsidRPr="00A935AA">
              <w:rPr>
                <w:sz w:val="20"/>
                <w:szCs w:val="20"/>
              </w:rPr>
              <w:tab/>
            </w:r>
            <w:proofErr w:type="spellStart"/>
            <w:r w:rsidRPr="00F56A6C">
              <w:rPr>
                <w:sz w:val="20"/>
                <w:szCs w:val="20"/>
                <w:lang w:val="en-US"/>
              </w:rPr>
              <w:t>Gowling</w:t>
            </w:r>
            <w:proofErr w:type="spellEnd"/>
            <w:r w:rsidRPr="00F56A6C">
              <w:rPr>
                <w:sz w:val="20"/>
                <w:szCs w:val="20"/>
                <w:lang w:val="en-US"/>
              </w:rPr>
              <w:t xml:space="preserve"> WLG International Limited</w:t>
            </w:r>
          </w:p>
          <w:p w:rsidR="00F56A6C" w:rsidRPr="00B44C30" w:rsidRDefault="00F56A6C" w:rsidP="00F56A6C">
            <w:pPr>
              <w:tabs>
                <w:tab w:val="left" w:pos="-1440"/>
                <w:tab w:val="left" w:pos="-720"/>
              </w:tabs>
              <w:rPr>
                <w:sz w:val="20"/>
                <w:szCs w:val="20"/>
                <w:lang w:val="en-US"/>
              </w:rPr>
            </w:pPr>
          </w:p>
          <w:p w:rsidR="00576230" w:rsidRPr="00576230" w:rsidRDefault="00576230" w:rsidP="00F56A6C">
            <w:pPr>
              <w:tabs>
                <w:tab w:val="left" w:pos="-1440"/>
                <w:tab w:val="left" w:pos="-720"/>
              </w:tabs>
              <w:rPr>
                <w:sz w:val="20"/>
                <w:szCs w:val="20"/>
                <w:lang w:val="en-US"/>
              </w:rPr>
            </w:pPr>
            <w:r w:rsidRPr="00576230">
              <w:rPr>
                <w:sz w:val="20"/>
                <w:szCs w:val="20"/>
                <w:lang w:val="en-US"/>
              </w:rPr>
              <w:t>-and between-</w:t>
            </w:r>
          </w:p>
          <w:p w:rsidR="00576230" w:rsidRPr="00576230" w:rsidRDefault="00576230" w:rsidP="00F56A6C">
            <w:pPr>
              <w:tabs>
                <w:tab w:val="left" w:pos="-1440"/>
                <w:tab w:val="left" w:pos="-720"/>
              </w:tabs>
              <w:rPr>
                <w:sz w:val="20"/>
                <w:szCs w:val="20"/>
                <w:lang w:val="en-US"/>
              </w:rPr>
            </w:pPr>
          </w:p>
          <w:p w:rsidR="00576230" w:rsidRPr="00576230" w:rsidRDefault="00576230" w:rsidP="00576230">
            <w:pPr>
              <w:tabs>
                <w:tab w:val="left" w:pos="-1440"/>
                <w:tab w:val="left" w:pos="-720"/>
              </w:tabs>
              <w:rPr>
                <w:b/>
                <w:bCs/>
                <w:sz w:val="20"/>
                <w:szCs w:val="20"/>
                <w:lang w:val="en-US"/>
              </w:rPr>
            </w:pPr>
            <w:r w:rsidRPr="00576230">
              <w:rPr>
                <w:b/>
                <w:bCs/>
                <w:sz w:val="20"/>
                <w:szCs w:val="20"/>
                <w:lang w:val="en-US"/>
              </w:rPr>
              <w:t>IMF Bentham Limited, Bentham IMF Capital Limited</w:t>
            </w:r>
          </w:p>
          <w:p w:rsidR="00576230" w:rsidRDefault="00576230" w:rsidP="00576230">
            <w:pPr>
              <w:tabs>
                <w:tab w:val="left" w:pos="-1440"/>
                <w:tab w:val="left" w:pos="-720"/>
              </w:tabs>
              <w:rPr>
                <w:sz w:val="20"/>
                <w:szCs w:val="20"/>
              </w:rPr>
            </w:pPr>
            <w:r w:rsidRPr="006615F4">
              <w:rPr>
                <w:sz w:val="20"/>
                <w:szCs w:val="20"/>
                <w:lang w:val="en-US"/>
              </w:rPr>
              <w:tab/>
            </w:r>
            <w:proofErr w:type="spellStart"/>
            <w:r w:rsidRPr="00576230">
              <w:rPr>
                <w:sz w:val="20"/>
                <w:szCs w:val="20"/>
              </w:rPr>
              <w:t>Peden</w:t>
            </w:r>
            <w:proofErr w:type="spellEnd"/>
            <w:r w:rsidRPr="00576230">
              <w:rPr>
                <w:sz w:val="20"/>
                <w:szCs w:val="20"/>
              </w:rPr>
              <w:t>, Neil A.</w:t>
            </w:r>
          </w:p>
          <w:p w:rsidR="00576230" w:rsidRPr="00576230" w:rsidRDefault="00576230" w:rsidP="00576230">
            <w:pPr>
              <w:tabs>
                <w:tab w:val="left" w:pos="-1440"/>
                <w:tab w:val="left" w:pos="-720"/>
              </w:tabs>
              <w:rPr>
                <w:sz w:val="20"/>
                <w:szCs w:val="20"/>
                <w:lang w:val="en-US"/>
              </w:rPr>
            </w:pPr>
            <w:r w:rsidRPr="00576230">
              <w:rPr>
                <w:sz w:val="20"/>
                <w:szCs w:val="20"/>
                <w:lang w:val="en-US"/>
              </w:rPr>
              <w:tab/>
              <w:t>Woods S.E.N.C.R.L.</w:t>
            </w:r>
          </w:p>
          <w:p w:rsidR="00576230" w:rsidRPr="00576230" w:rsidRDefault="00576230" w:rsidP="00576230">
            <w:pPr>
              <w:tabs>
                <w:tab w:val="left" w:pos="-1440"/>
                <w:tab w:val="left" w:pos="-720"/>
              </w:tabs>
              <w:rPr>
                <w:sz w:val="20"/>
                <w:szCs w:val="20"/>
                <w:lang w:val="en-US"/>
              </w:rPr>
            </w:pPr>
          </w:p>
          <w:p w:rsidR="00576230" w:rsidRPr="00F56A6C" w:rsidRDefault="00576230" w:rsidP="00576230">
            <w:pPr>
              <w:tabs>
                <w:tab w:val="left" w:pos="-1440"/>
                <w:tab w:val="left" w:pos="-720"/>
              </w:tabs>
              <w:rPr>
                <w:sz w:val="20"/>
                <w:szCs w:val="20"/>
                <w:lang w:val="fr-CA"/>
              </w:rPr>
            </w:pPr>
            <w:r w:rsidRPr="00576230">
              <w:rPr>
                <w:sz w:val="20"/>
                <w:szCs w:val="20"/>
                <w:lang w:val="en-US"/>
              </w:rPr>
              <w:tab/>
            </w:r>
            <w:r w:rsidRPr="00F56A6C">
              <w:rPr>
                <w:sz w:val="20"/>
                <w:szCs w:val="20"/>
                <w:lang w:val="fr-CA"/>
              </w:rPr>
              <w:t>v. (38594)</w:t>
            </w:r>
          </w:p>
          <w:p w:rsidR="00576230" w:rsidRPr="00F56A6C" w:rsidRDefault="00576230" w:rsidP="00576230">
            <w:pPr>
              <w:tabs>
                <w:tab w:val="left" w:pos="-1440"/>
                <w:tab w:val="left" w:pos="-720"/>
              </w:tabs>
              <w:rPr>
                <w:sz w:val="20"/>
                <w:szCs w:val="20"/>
                <w:lang w:val="fr-CA"/>
              </w:rPr>
            </w:pPr>
          </w:p>
          <w:p w:rsidR="00576230" w:rsidRPr="00D443FD" w:rsidRDefault="00576230" w:rsidP="00576230">
            <w:pPr>
              <w:tabs>
                <w:tab w:val="left" w:pos="-1440"/>
                <w:tab w:val="left" w:pos="-720"/>
              </w:tabs>
              <w:rPr>
                <w:b/>
                <w:sz w:val="20"/>
                <w:szCs w:val="20"/>
                <w:lang w:val="en-US"/>
              </w:rPr>
            </w:pPr>
            <w:proofErr w:type="spellStart"/>
            <w:r w:rsidRPr="00F56A6C">
              <w:rPr>
                <w:b/>
                <w:bCs/>
                <w:sz w:val="20"/>
                <w:szCs w:val="20"/>
                <w:lang w:val="fr-CA"/>
              </w:rPr>
              <w:t>Callidus</w:t>
            </w:r>
            <w:proofErr w:type="spellEnd"/>
            <w:r w:rsidRPr="00F56A6C">
              <w:rPr>
                <w:b/>
                <w:bCs/>
                <w:sz w:val="20"/>
                <w:szCs w:val="20"/>
                <w:lang w:val="fr-CA"/>
              </w:rPr>
              <w:t xml:space="preserve"> Capital Corporation, et al. </w:t>
            </w:r>
            <w:r w:rsidRPr="00D443FD">
              <w:rPr>
                <w:b/>
                <w:sz w:val="20"/>
                <w:szCs w:val="20"/>
                <w:lang w:val="en-US"/>
              </w:rPr>
              <w:t>(</w:t>
            </w:r>
            <w:r>
              <w:rPr>
                <w:b/>
                <w:sz w:val="20"/>
                <w:szCs w:val="20"/>
                <w:lang w:val="en-US"/>
              </w:rPr>
              <w:t>Que</w:t>
            </w:r>
            <w:r w:rsidRPr="00D443FD">
              <w:rPr>
                <w:b/>
                <w:sz w:val="20"/>
                <w:szCs w:val="20"/>
                <w:lang w:val="en-US"/>
              </w:rPr>
              <w:t>.)</w:t>
            </w:r>
          </w:p>
          <w:p w:rsidR="00576230" w:rsidRDefault="00576230" w:rsidP="00576230">
            <w:pPr>
              <w:tabs>
                <w:tab w:val="left" w:pos="-1440"/>
                <w:tab w:val="left" w:pos="-720"/>
              </w:tabs>
              <w:rPr>
                <w:sz w:val="20"/>
                <w:szCs w:val="20"/>
              </w:rPr>
            </w:pPr>
            <w:r w:rsidRPr="00D443FD">
              <w:rPr>
                <w:sz w:val="20"/>
                <w:szCs w:val="20"/>
                <w:lang w:val="en-US"/>
              </w:rPr>
              <w:tab/>
            </w:r>
            <w:proofErr w:type="spellStart"/>
            <w:r w:rsidRPr="00F56A6C">
              <w:rPr>
                <w:sz w:val="20"/>
                <w:szCs w:val="20"/>
              </w:rPr>
              <w:t>Benoît</w:t>
            </w:r>
            <w:proofErr w:type="spellEnd"/>
            <w:r w:rsidRPr="00F56A6C">
              <w:rPr>
                <w:sz w:val="20"/>
                <w:szCs w:val="20"/>
              </w:rPr>
              <w:t>, Patrice</w:t>
            </w:r>
          </w:p>
          <w:p w:rsidR="00576230" w:rsidRPr="00F56A6C" w:rsidRDefault="00576230" w:rsidP="00576230">
            <w:pPr>
              <w:tabs>
                <w:tab w:val="left" w:pos="-1440"/>
                <w:tab w:val="left" w:pos="-720"/>
              </w:tabs>
              <w:rPr>
                <w:sz w:val="20"/>
                <w:szCs w:val="20"/>
                <w:lang w:val="en-US"/>
              </w:rPr>
            </w:pPr>
            <w:r w:rsidRPr="00A935AA">
              <w:rPr>
                <w:sz w:val="20"/>
                <w:szCs w:val="20"/>
              </w:rPr>
              <w:tab/>
            </w:r>
            <w:proofErr w:type="spellStart"/>
            <w:r w:rsidRPr="00F56A6C">
              <w:rPr>
                <w:sz w:val="20"/>
                <w:szCs w:val="20"/>
                <w:lang w:val="en-US"/>
              </w:rPr>
              <w:t>Gowling</w:t>
            </w:r>
            <w:proofErr w:type="spellEnd"/>
            <w:r w:rsidRPr="00F56A6C">
              <w:rPr>
                <w:sz w:val="20"/>
                <w:szCs w:val="20"/>
                <w:lang w:val="en-US"/>
              </w:rPr>
              <w:t xml:space="preserve"> WLG International Limited</w:t>
            </w:r>
          </w:p>
          <w:p w:rsidR="00576230" w:rsidRPr="00576230" w:rsidRDefault="00576230" w:rsidP="00F56A6C">
            <w:pPr>
              <w:tabs>
                <w:tab w:val="left" w:pos="-1440"/>
                <w:tab w:val="left" w:pos="-720"/>
              </w:tabs>
              <w:rPr>
                <w:sz w:val="20"/>
                <w:szCs w:val="20"/>
                <w:lang w:val="en-US"/>
              </w:rPr>
            </w:pPr>
          </w:p>
          <w:p w:rsidR="00576230" w:rsidRDefault="00576230" w:rsidP="00576230">
            <w:pPr>
              <w:rPr>
                <w:sz w:val="20"/>
                <w:szCs w:val="20"/>
              </w:rPr>
            </w:pPr>
            <w:r w:rsidRPr="00A935AA">
              <w:rPr>
                <w:sz w:val="20"/>
                <w:szCs w:val="20"/>
              </w:rPr>
              <w:t xml:space="preserve">FILING DATE: </w:t>
            </w:r>
            <w:r>
              <w:rPr>
                <w:sz w:val="20"/>
                <w:szCs w:val="20"/>
              </w:rPr>
              <w:t>April 5, 2019</w:t>
            </w:r>
          </w:p>
          <w:p w:rsidR="00576230" w:rsidRPr="0059499E" w:rsidRDefault="003A218E" w:rsidP="00F56A6C">
            <w:pPr>
              <w:tabs>
                <w:tab w:val="left" w:pos="-1440"/>
                <w:tab w:val="left" w:pos="-720"/>
              </w:tabs>
              <w:rPr>
                <w:b/>
                <w:bCs/>
                <w:sz w:val="20"/>
                <w:szCs w:val="20"/>
              </w:rPr>
            </w:pPr>
            <w:r>
              <w:rPr>
                <w:sz w:val="20"/>
                <w:szCs w:val="20"/>
                <w:lang w:val="fr-CA"/>
              </w:rPr>
              <w:pict>
                <v:rect id="_x0000_i1034" style="width:108pt;height:1pt" o:hrpct="0" o:hralign="center" o:hrstd="t" o:hrnoshade="t" o:hr="t" fillcolor="black [3213]" stroked="f"/>
              </w:pict>
            </w:r>
          </w:p>
        </w:tc>
        <w:tc>
          <w:tcPr>
            <w:tcW w:w="1181" w:type="dxa"/>
            <w:shd w:val="clear" w:color="auto" w:fill="auto"/>
          </w:tcPr>
          <w:p w:rsidR="00F56A6C" w:rsidRPr="00211A38" w:rsidRDefault="00F56A6C" w:rsidP="00D443FD">
            <w:pPr>
              <w:jc w:val="center"/>
              <w:rPr>
                <w:sz w:val="20"/>
                <w:szCs w:val="20"/>
                <w:lang w:val="en-US"/>
              </w:rPr>
            </w:pPr>
          </w:p>
        </w:tc>
        <w:tc>
          <w:tcPr>
            <w:tcW w:w="4219" w:type="dxa"/>
            <w:shd w:val="clear" w:color="auto" w:fill="auto"/>
          </w:tcPr>
          <w:p w:rsidR="00F56A6C" w:rsidRDefault="00F56A6C" w:rsidP="00F56A6C">
            <w:pPr>
              <w:tabs>
                <w:tab w:val="left" w:pos="-1440"/>
                <w:tab w:val="left" w:pos="-720"/>
              </w:tabs>
              <w:rPr>
                <w:b/>
                <w:bCs/>
                <w:sz w:val="20"/>
                <w:szCs w:val="20"/>
              </w:rPr>
            </w:pPr>
            <w:r w:rsidRPr="00F56A6C">
              <w:rPr>
                <w:b/>
                <w:bCs/>
                <w:sz w:val="20"/>
                <w:szCs w:val="20"/>
              </w:rPr>
              <w:t>Steve Fraser</w:t>
            </w:r>
          </w:p>
          <w:p w:rsidR="00F56A6C" w:rsidRPr="00D443FD" w:rsidRDefault="00F56A6C" w:rsidP="00F56A6C">
            <w:pPr>
              <w:tabs>
                <w:tab w:val="left" w:pos="-1440"/>
                <w:tab w:val="left" w:pos="-720"/>
              </w:tabs>
              <w:rPr>
                <w:sz w:val="20"/>
                <w:szCs w:val="20"/>
                <w:lang w:val="en-US"/>
              </w:rPr>
            </w:pPr>
            <w:r w:rsidRPr="006615F4">
              <w:rPr>
                <w:sz w:val="20"/>
                <w:szCs w:val="20"/>
                <w:lang w:val="en-US"/>
              </w:rPr>
              <w:tab/>
            </w:r>
            <w:r>
              <w:rPr>
                <w:sz w:val="20"/>
                <w:szCs w:val="20"/>
              </w:rPr>
              <w:t>Steve Fraser</w:t>
            </w:r>
          </w:p>
          <w:p w:rsidR="00F56A6C" w:rsidRPr="001C00B1" w:rsidRDefault="00F56A6C" w:rsidP="00F56A6C">
            <w:pPr>
              <w:tabs>
                <w:tab w:val="left" w:pos="-1440"/>
                <w:tab w:val="left" w:pos="-720"/>
              </w:tabs>
              <w:rPr>
                <w:sz w:val="20"/>
                <w:szCs w:val="20"/>
                <w:lang w:val="en-US"/>
              </w:rPr>
            </w:pPr>
          </w:p>
          <w:p w:rsidR="00F56A6C" w:rsidRPr="00B44C30" w:rsidRDefault="00F56A6C" w:rsidP="00F56A6C">
            <w:pPr>
              <w:tabs>
                <w:tab w:val="left" w:pos="-1440"/>
                <w:tab w:val="left" w:pos="-720"/>
              </w:tabs>
              <w:rPr>
                <w:sz w:val="20"/>
                <w:szCs w:val="20"/>
                <w:lang w:val="en-US"/>
              </w:rPr>
            </w:pPr>
            <w:r w:rsidRPr="001C00B1">
              <w:rPr>
                <w:sz w:val="20"/>
                <w:szCs w:val="20"/>
                <w:lang w:val="en-US"/>
              </w:rPr>
              <w:tab/>
            </w:r>
            <w:r w:rsidRPr="00B44C30">
              <w:rPr>
                <w:sz w:val="20"/>
                <w:szCs w:val="20"/>
                <w:lang w:val="en-US"/>
              </w:rPr>
              <w:t>v. (38603)</w:t>
            </w:r>
          </w:p>
          <w:p w:rsidR="00F56A6C" w:rsidRPr="00B44C30" w:rsidRDefault="00F56A6C" w:rsidP="00F56A6C">
            <w:pPr>
              <w:tabs>
                <w:tab w:val="left" w:pos="-1440"/>
                <w:tab w:val="left" w:pos="-720"/>
              </w:tabs>
              <w:rPr>
                <w:sz w:val="20"/>
                <w:szCs w:val="20"/>
                <w:lang w:val="en-US"/>
              </w:rPr>
            </w:pPr>
          </w:p>
          <w:p w:rsidR="00F56A6C" w:rsidRPr="00B44C30" w:rsidRDefault="00F56A6C" w:rsidP="00F56A6C">
            <w:pPr>
              <w:tabs>
                <w:tab w:val="left" w:pos="-1440"/>
                <w:tab w:val="left" w:pos="-720"/>
              </w:tabs>
              <w:rPr>
                <w:b/>
                <w:sz w:val="20"/>
                <w:szCs w:val="20"/>
                <w:lang w:val="fr-CA"/>
              </w:rPr>
            </w:pPr>
            <w:proofErr w:type="spellStart"/>
            <w:r w:rsidRPr="00F56A6C">
              <w:rPr>
                <w:b/>
                <w:bCs/>
                <w:sz w:val="20"/>
                <w:szCs w:val="20"/>
                <w:lang w:val="fr-CA"/>
              </w:rPr>
              <w:t>Vianne</w:t>
            </w:r>
            <w:proofErr w:type="spellEnd"/>
            <w:r w:rsidRPr="00F56A6C">
              <w:rPr>
                <w:b/>
                <w:bCs/>
                <w:sz w:val="20"/>
                <w:szCs w:val="20"/>
                <w:lang w:val="fr-CA"/>
              </w:rPr>
              <w:t xml:space="preserve"> </w:t>
            </w:r>
            <w:proofErr w:type="spellStart"/>
            <w:r w:rsidRPr="00F56A6C">
              <w:rPr>
                <w:b/>
                <w:bCs/>
                <w:sz w:val="20"/>
                <w:szCs w:val="20"/>
                <w:lang w:val="fr-CA"/>
              </w:rPr>
              <w:t>Timmon</w:t>
            </w:r>
            <w:proofErr w:type="spellEnd"/>
            <w:r w:rsidRPr="00F56A6C">
              <w:rPr>
                <w:b/>
                <w:bCs/>
                <w:sz w:val="20"/>
                <w:szCs w:val="20"/>
                <w:lang w:val="fr-CA"/>
              </w:rPr>
              <w:t>, et al. </w:t>
            </w:r>
            <w:r w:rsidRPr="00B44C30">
              <w:rPr>
                <w:b/>
                <w:sz w:val="20"/>
                <w:szCs w:val="20"/>
                <w:lang w:val="fr-CA"/>
              </w:rPr>
              <w:t>(</w:t>
            </w:r>
            <w:proofErr w:type="spellStart"/>
            <w:r w:rsidRPr="00B44C30">
              <w:rPr>
                <w:b/>
                <w:sz w:val="20"/>
                <w:szCs w:val="20"/>
                <w:lang w:val="fr-CA"/>
              </w:rPr>
              <w:t>Sask</w:t>
            </w:r>
            <w:proofErr w:type="spellEnd"/>
            <w:r w:rsidRPr="00B44C30">
              <w:rPr>
                <w:b/>
                <w:sz w:val="20"/>
                <w:szCs w:val="20"/>
                <w:lang w:val="fr-CA"/>
              </w:rPr>
              <w:t>.)</w:t>
            </w:r>
          </w:p>
          <w:p w:rsidR="00F56A6C" w:rsidRDefault="00F56A6C" w:rsidP="00F56A6C">
            <w:pPr>
              <w:tabs>
                <w:tab w:val="left" w:pos="-1440"/>
                <w:tab w:val="left" w:pos="-720"/>
              </w:tabs>
              <w:rPr>
                <w:sz w:val="20"/>
                <w:szCs w:val="20"/>
              </w:rPr>
            </w:pPr>
            <w:r w:rsidRPr="00B44C30">
              <w:rPr>
                <w:sz w:val="20"/>
                <w:szCs w:val="20"/>
                <w:lang w:val="fr-CA"/>
              </w:rPr>
              <w:tab/>
            </w:r>
            <w:proofErr w:type="spellStart"/>
            <w:r w:rsidRPr="00F56A6C">
              <w:rPr>
                <w:sz w:val="20"/>
                <w:szCs w:val="20"/>
              </w:rPr>
              <w:t>Kleisinger</w:t>
            </w:r>
            <w:proofErr w:type="spellEnd"/>
            <w:r w:rsidRPr="00F56A6C">
              <w:rPr>
                <w:sz w:val="20"/>
                <w:szCs w:val="20"/>
              </w:rPr>
              <w:t>, Erin M.S.</w:t>
            </w:r>
          </w:p>
          <w:p w:rsidR="00F56A6C" w:rsidRPr="00F56A6C" w:rsidRDefault="00F56A6C" w:rsidP="00F56A6C">
            <w:pPr>
              <w:tabs>
                <w:tab w:val="left" w:pos="-1440"/>
                <w:tab w:val="left" w:pos="-720"/>
              </w:tabs>
              <w:rPr>
                <w:sz w:val="20"/>
                <w:szCs w:val="20"/>
                <w:lang w:val="en-US"/>
              </w:rPr>
            </w:pPr>
            <w:r w:rsidRPr="00A935AA">
              <w:rPr>
                <w:sz w:val="20"/>
                <w:szCs w:val="20"/>
              </w:rPr>
              <w:tab/>
            </w:r>
            <w:r w:rsidRPr="00F56A6C">
              <w:rPr>
                <w:sz w:val="20"/>
                <w:szCs w:val="20"/>
                <w:lang w:val="en-US"/>
              </w:rPr>
              <w:t>McDougall Gauley LLP</w:t>
            </w:r>
          </w:p>
          <w:p w:rsidR="00F56A6C" w:rsidRPr="00D443FD" w:rsidRDefault="00F56A6C" w:rsidP="00F56A6C">
            <w:pPr>
              <w:tabs>
                <w:tab w:val="left" w:pos="-1440"/>
                <w:tab w:val="left" w:pos="-720"/>
              </w:tabs>
              <w:rPr>
                <w:sz w:val="20"/>
                <w:szCs w:val="20"/>
                <w:lang w:val="en-US"/>
              </w:rPr>
            </w:pPr>
          </w:p>
          <w:p w:rsidR="00F56A6C" w:rsidRDefault="00F56A6C" w:rsidP="00F56A6C">
            <w:pPr>
              <w:rPr>
                <w:sz w:val="20"/>
                <w:szCs w:val="20"/>
              </w:rPr>
            </w:pPr>
            <w:r w:rsidRPr="00A935AA">
              <w:rPr>
                <w:sz w:val="20"/>
                <w:szCs w:val="20"/>
              </w:rPr>
              <w:t xml:space="preserve">FILING DATE: </w:t>
            </w:r>
            <w:r>
              <w:rPr>
                <w:sz w:val="20"/>
                <w:szCs w:val="20"/>
              </w:rPr>
              <w:t>March 12, 2019</w:t>
            </w:r>
          </w:p>
          <w:p w:rsidR="00F56A6C" w:rsidRPr="0059499E" w:rsidRDefault="003A218E" w:rsidP="00F56A6C">
            <w:pPr>
              <w:tabs>
                <w:tab w:val="left" w:pos="-1440"/>
                <w:tab w:val="left" w:pos="-720"/>
              </w:tabs>
              <w:rPr>
                <w:b/>
                <w:bCs/>
                <w:sz w:val="20"/>
                <w:szCs w:val="20"/>
              </w:rPr>
            </w:pPr>
            <w:r>
              <w:rPr>
                <w:sz w:val="20"/>
                <w:szCs w:val="20"/>
                <w:lang w:val="fr-CA"/>
              </w:rPr>
              <w:pict>
                <v:rect id="_x0000_i1035" style="width:108pt;height:1pt" o:hrpct="0" o:hralign="center" o:hrstd="t" o:hrnoshade="t" o:hr="t" fillcolor="black [3213]" stroked="f"/>
              </w:pict>
            </w:r>
          </w:p>
        </w:tc>
      </w:tr>
      <w:tr w:rsidR="00F56A6C" w:rsidRPr="00211A38" w:rsidTr="00EE3188">
        <w:tc>
          <w:tcPr>
            <w:tcW w:w="4320" w:type="dxa"/>
            <w:vMerge/>
            <w:shd w:val="clear" w:color="auto" w:fill="auto"/>
          </w:tcPr>
          <w:p w:rsidR="00F56A6C" w:rsidRPr="00F56A6C" w:rsidRDefault="00F56A6C" w:rsidP="00F56A6C">
            <w:pPr>
              <w:tabs>
                <w:tab w:val="left" w:pos="-1440"/>
                <w:tab w:val="left" w:pos="-720"/>
              </w:tabs>
              <w:rPr>
                <w:b/>
                <w:bCs/>
                <w:sz w:val="20"/>
                <w:szCs w:val="20"/>
              </w:rPr>
            </w:pPr>
          </w:p>
        </w:tc>
        <w:tc>
          <w:tcPr>
            <w:tcW w:w="1181" w:type="dxa"/>
            <w:shd w:val="clear" w:color="auto" w:fill="auto"/>
          </w:tcPr>
          <w:p w:rsidR="00F56A6C" w:rsidRPr="00211A38" w:rsidRDefault="00F56A6C" w:rsidP="00F56A6C">
            <w:pPr>
              <w:jc w:val="center"/>
              <w:rPr>
                <w:sz w:val="20"/>
                <w:szCs w:val="20"/>
                <w:lang w:val="en-US"/>
              </w:rPr>
            </w:pPr>
          </w:p>
        </w:tc>
        <w:tc>
          <w:tcPr>
            <w:tcW w:w="4219" w:type="dxa"/>
            <w:shd w:val="clear" w:color="auto" w:fill="auto"/>
          </w:tcPr>
          <w:p w:rsidR="00F56A6C" w:rsidRDefault="00F56A6C" w:rsidP="00F56A6C">
            <w:pPr>
              <w:tabs>
                <w:tab w:val="left" w:pos="-1440"/>
                <w:tab w:val="left" w:pos="-720"/>
              </w:tabs>
              <w:rPr>
                <w:b/>
                <w:bCs/>
                <w:sz w:val="20"/>
                <w:szCs w:val="20"/>
              </w:rPr>
            </w:pPr>
            <w:r w:rsidRPr="00F56A6C">
              <w:rPr>
                <w:b/>
                <w:bCs/>
                <w:sz w:val="20"/>
                <w:szCs w:val="20"/>
              </w:rPr>
              <w:t>Peter George Sandor, et al. </w:t>
            </w:r>
          </w:p>
          <w:p w:rsidR="00F56A6C" w:rsidRPr="00D443FD" w:rsidRDefault="00F56A6C" w:rsidP="00F56A6C">
            <w:pPr>
              <w:tabs>
                <w:tab w:val="left" w:pos="-1440"/>
                <w:tab w:val="left" w:pos="-720"/>
              </w:tabs>
              <w:rPr>
                <w:sz w:val="20"/>
                <w:szCs w:val="20"/>
                <w:lang w:val="en-US"/>
              </w:rPr>
            </w:pPr>
            <w:r w:rsidRPr="006615F4">
              <w:rPr>
                <w:sz w:val="20"/>
                <w:szCs w:val="20"/>
                <w:lang w:val="en-US"/>
              </w:rPr>
              <w:tab/>
            </w:r>
            <w:r>
              <w:rPr>
                <w:sz w:val="20"/>
                <w:szCs w:val="20"/>
              </w:rPr>
              <w:t>Peter George Sandor</w:t>
            </w:r>
          </w:p>
          <w:p w:rsidR="00F56A6C" w:rsidRPr="001C00B1" w:rsidRDefault="00F56A6C" w:rsidP="00F56A6C">
            <w:pPr>
              <w:tabs>
                <w:tab w:val="left" w:pos="-1440"/>
                <w:tab w:val="left" w:pos="-720"/>
              </w:tabs>
              <w:rPr>
                <w:sz w:val="20"/>
                <w:szCs w:val="20"/>
                <w:lang w:val="en-US"/>
              </w:rPr>
            </w:pPr>
          </w:p>
          <w:p w:rsidR="00F56A6C" w:rsidRPr="00F56A6C" w:rsidRDefault="00F56A6C" w:rsidP="00F56A6C">
            <w:pPr>
              <w:tabs>
                <w:tab w:val="left" w:pos="-1440"/>
                <w:tab w:val="left" w:pos="-720"/>
              </w:tabs>
              <w:rPr>
                <w:sz w:val="20"/>
                <w:szCs w:val="20"/>
                <w:lang w:val="en-US"/>
              </w:rPr>
            </w:pPr>
            <w:r w:rsidRPr="001C00B1">
              <w:rPr>
                <w:sz w:val="20"/>
                <w:szCs w:val="20"/>
                <w:lang w:val="en-US"/>
              </w:rPr>
              <w:tab/>
            </w:r>
            <w:r w:rsidRPr="00F56A6C">
              <w:rPr>
                <w:sz w:val="20"/>
                <w:szCs w:val="20"/>
                <w:lang w:val="en-US"/>
              </w:rPr>
              <w:t>v. (</w:t>
            </w:r>
            <w:r>
              <w:rPr>
                <w:sz w:val="20"/>
                <w:szCs w:val="20"/>
                <w:lang w:val="en-US"/>
              </w:rPr>
              <w:t>38602</w:t>
            </w:r>
            <w:r w:rsidRPr="00F56A6C">
              <w:rPr>
                <w:sz w:val="20"/>
                <w:szCs w:val="20"/>
                <w:lang w:val="en-US"/>
              </w:rPr>
              <w:t>)</w:t>
            </w:r>
          </w:p>
          <w:p w:rsidR="00F56A6C" w:rsidRPr="00F56A6C" w:rsidRDefault="00F56A6C" w:rsidP="00F56A6C">
            <w:pPr>
              <w:tabs>
                <w:tab w:val="left" w:pos="-1440"/>
                <w:tab w:val="left" w:pos="-720"/>
              </w:tabs>
              <w:rPr>
                <w:sz w:val="20"/>
                <w:szCs w:val="20"/>
                <w:lang w:val="en-US"/>
              </w:rPr>
            </w:pPr>
          </w:p>
          <w:p w:rsidR="00F56A6C" w:rsidRPr="00D443FD" w:rsidRDefault="00F56A6C" w:rsidP="00F56A6C">
            <w:pPr>
              <w:tabs>
                <w:tab w:val="left" w:pos="-1440"/>
                <w:tab w:val="left" w:pos="-720"/>
              </w:tabs>
              <w:rPr>
                <w:b/>
                <w:sz w:val="20"/>
                <w:szCs w:val="20"/>
                <w:lang w:val="en-US"/>
              </w:rPr>
            </w:pPr>
            <w:r w:rsidRPr="00F56A6C">
              <w:rPr>
                <w:b/>
                <w:bCs/>
                <w:sz w:val="20"/>
                <w:szCs w:val="20"/>
              </w:rPr>
              <w:t>Jewish General Hospital, et al. </w:t>
            </w:r>
            <w:r w:rsidRPr="00D443FD">
              <w:rPr>
                <w:b/>
                <w:sz w:val="20"/>
                <w:szCs w:val="20"/>
                <w:lang w:val="en-US"/>
              </w:rPr>
              <w:t>(</w:t>
            </w:r>
            <w:r>
              <w:rPr>
                <w:b/>
                <w:sz w:val="20"/>
                <w:szCs w:val="20"/>
                <w:lang w:val="en-US"/>
              </w:rPr>
              <w:t>Que.</w:t>
            </w:r>
            <w:r w:rsidRPr="00D443FD">
              <w:rPr>
                <w:b/>
                <w:sz w:val="20"/>
                <w:szCs w:val="20"/>
                <w:lang w:val="en-US"/>
              </w:rPr>
              <w:t>)</w:t>
            </w:r>
          </w:p>
          <w:p w:rsidR="00F56A6C" w:rsidRDefault="00F56A6C" w:rsidP="00F56A6C">
            <w:pPr>
              <w:tabs>
                <w:tab w:val="left" w:pos="-1440"/>
                <w:tab w:val="left" w:pos="-720"/>
              </w:tabs>
              <w:rPr>
                <w:sz w:val="20"/>
                <w:szCs w:val="20"/>
              </w:rPr>
            </w:pPr>
            <w:r w:rsidRPr="00D443FD">
              <w:rPr>
                <w:sz w:val="20"/>
                <w:szCs w:val="20"/>
                <w:lang w:val="en-US"/>
              </w:rPr>
              <w:tab/>
            </w:r>
            <w:proofErr w:type="spellStart"/>
            <w:r w:rsidRPr="00F56A6C">
              <w:rPr>
                <w:sz w:val="20"/>
                <w:szCs w:val="20"/>
              </w:rPr>
              <w:t>Baribeau</w:t>
            </w:r>
            <w:proofErr w:type="spellEnd"/>
            <w:r w:rsidRPr="00F56A6C">
              <w:rPr>
                <w:sz w:val="20"/>
                <w:szCs w:val="20"/>
              </w:rPr>
              <w:t xml:space="preserve">, </w:t>
            </w:r>
            <w:proofErr w:type="spellStart"/>
            <w:r w:rsidRPr="00F56A6C">
              <w:rPr>
                <w:sz w:val="20"/>
                <w:szCs w:val="20"/>
              </w:rPr>
              <w:t>Andréane</w:t>
            </w:r>
            <w:proofErr w:type="spellEnd"/>
          </w:p>
          <w:p w:rsidR="00F56A6C" w:rsidRPr="0059499E" w:rsidRDefault="00F56A6C" w:rsidP="00F56A6C">
            <w:pPr>
              <w:tabs>
                <w:tab w:val="left" w:pos="-1440"/>
                <w:tab w:val="left" w:pos="-720"/>
              </w:tabs>
              <w:rPr>
                <w:sz w:val="20"/>
                <w:szCs w:val="20"/>
                <w:lang w:val="en-US"/>
              </w:rPr>
            </w:pPr>
            <w:r w:rsidRPr="00A935AA">
              <w:rPr>
                <w:sz w:val="20"/>
                <w:szCs w:val="20"/>
              </w:rPr>
              <w:tab/>
            </w:r>
            <w:r w:rsidRPr="00F56A6C">
              <w:rPr>
                <w:sz w:val="20"/>
                <w:szCs w:val="20"/>
              </w:rPr>
              <w:t>Jewish General Hospital</w:t>
            </w:r>
          </w:p>
          <w:p w:rsidR="00F56A6C" w:rsidRPr="00D443FD" w:rsidRDefault="00F56A6C" w:rsidP="00F56A6C">
            <w:pPr>
              <w:tabs>
                <w:tab w:val="left" w:pos="-1440"/>
                <w:tab w:val="left" w:pos="-720"/>
              </w:tabs>
              <w:rPr>
                <w:sz w:val="20"/>
                <w:szCs w:val="20"/>
                <w:lang w:val="en-US"/>
              </w:rPr>
            </w:pPr>
          </w:p>
          <w:p w:rsidR="00F56A6C" w:rsidRDefault="00F56A6C" w:rsidP="00F56A6C">
            <w:pPr>
              <w:rPr>
                <w:sz w:val="20"/>
                <w:szCs w:val="20"/>
              </w:rPr>
            </w:pPr>
            <w:r w:rsidRPr="00A935AA">
              <w:rPr>
                <w:sz w:val="20"/>
                <w:szCs w:val="20"/>
              </w:rPr>
              <w:t xml:space="preserve">FILING DATE: </w:t>
            </w:r>
            <w:r>
              <w:rPr>
                <w:sz w:val="20"/>
                <w:szCs w:val="20"/>
              </w:rPr>
              <w:t>March 13, 2019</w:t>
            </w:r>
          </w:p>
          <w:p w:rsidR="00F56A6C" w:rsidRDefault="003A218E" w:rsidP="00F56A6C">
            <w:pPr>
              <w:tabs>
                <w:tab w:val="left" w:pos="-1440"/>
                <w:tab w:val="left" w:pos="-720"/>
              </w:tabs>
              <w:rPr>
                <w:sz w:val="20"/>
                <w:szCs w:val="20"/>
                <w:lang w:val="fr-CA"/>
              </w:rPr>
            </w:pPr>
            <w:r>
              <w:rPr>
                <w:sz w:val="20"/>
                <w:szCs w:val="20"/>
                <w:lang w:val="fr-CA"/>
              </w:rPr>
              <w:pict w14:anchorId="4ABE8960">
                <v:rect id="_x0000_i1036" style="width:108pt;height:1pt" o:hrpct="0" o:hralign="center" o:hrstd="t" o:hrnoshade="t" o:hr="t" fillcolor="black [3213]" stroked="f"/>
              </w:pict>
            </w:r>
          </w:p>
          <w:p w:rsidR="00F56A6C" w:rsidRPr="0059499E" w:rsidRDefault="00F56A6C" w:rsidP="00F56A6C">
            <w:pPr>
              <w:tabs>
                <w:tab w:val="left" w:pos="-1440"/>
                <w:tab w:val="left" w:pos="-720"/>
              </w:tabs>
              <w:rPr>
                <w:b/>
                <w:bCs/>
                <w:sz w:val="20"/>
                <w:szCs w:val="20"/>
              </w:rPr>
            </w:pPr>
          </w:p>
        </w:tc>
      </w:tr>
    </w:tbl>
    <w:p w:rsidR="00242AEE" w:rsidRPr="00211A38" w:rsidRDefault="00242AEE" w:rsidP="0095096B">
      <w:pPr>
        <w:tabs>
          <w:tab w:val="right" w:pos="9360"/>
        </w:tabs>
        <w:rPr>
          <w:sz w:val="20"/>
          <w:szCs w:val="20"/>
          <w:lang w:val="en-US"/>
        </w:rPr>
      </w:pPr>
    </w:p>
    <w:p w:rsidR="00C01FCB" w:rsidRPr="00211A38" w:rsidRDefault="00C01FCB" w:rsidP="0095096B">
      <w:pPr>
        <w:tabs>
          <w:tab w:val="right" w:pos="9360"/>
        </w:tabs>
        <w:rPr>
          <w:sz w:val="20"/>
          <w:szCs w:val="20"/>
          <w:lang w:val="en-US"/>
        </w:rPr>
      </w:pPr>
    </w:p>
    <w:p w:rsidR="00C01FCB" w:rsidRPr="00211A38" w:rsidRDefault="00C01FCB" w:rsidP="0095096B">
      <w:pPr>
        <w:tabs>
          <w:tab w:val="right" w:pos="9360"/>
        </w:tabs>
        <w:rPr>
          <w:sz w:val="20"/>
          <w:szCs w:val="20"/>
          <w:lang w:val="en-US"/>
        </w:rPr>
      </w:pPr>
    </w:p>
    <w:p w:rsidR="00242AEE" w:rsidRPr="00211A38" w:rsidRDefault="00242AEE" w:rsidP="0095096B">
      <w:pPr>
        <w:tabs>
          <w:tab w:val="right" w:pos="9360"/>
        </w:tabs>
        <w:rPr>
          <w:sz w:val="20"/>
          <w:szCs w:val="20"/>
          <w:lang w:val="en-US"/>
        </w:rPr>
        <w:sectPr w:rsidR="00242AEE" w:rsidRPr="00211A38"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B44C30" w:rsidRDefault="00DD0BDC" w:rsidP="00567602">
      <w:pPr>
        <w:pStyle w:val="Header1StyleE"/>
        <w:pBdr>
          <w:bottom w:val="single" w:sz="12" w:space="1" w:color="auto"/>
        </w:pBdr>
        <w:rPr>
          <w:lang w:val="en-US"/>
        </w:rPr>
      </w:pPr>
      <w:bookmarkStart w:id="2" w:name="_Toc8998616"/>
      <w:r w:rsidRPr="00B44C30">
        <w:rPr>
          <w:lang w:val="en-US"/>
        </w:rPr>
        <w:lastRenderedPageBreak/>
        <w:t>Applications for leave submitted to the Court</w:t>
      </w:r>
      <w:r w:rsidR="000F2CA3" w:rsidRPr="00B44C30">
        <w:rPr>
          <w:lang w:val="en-US"/>
        </w:rPr>
        <w:t xml:space="preserve"> </w:t>
      </w:r>
      <w:r w:rsidRPr="00B44C30">
        <w:rPr>
          <w:lang w:val="en-US"/>
        </w:rPr>
        <w:t>since the last issue</w:t>
      </w:r>
      <w:r w:rsidR="000F2CA3" w:rsidRPr="00B44C30">
        <w:rPr>
          <w:lang w:val="en-US"/>
        </w:rPr>
        <w:t xml:space="preserve"> </w:t>
      </w:r>
      <w:r w:rsidR="00271E1E" w:rsidRPr="00B44C30">
        <w:rPr>
          <w:lang w:val="en-US"/>
        </w:rPr>
        <w:t xml:space="preserve">/ </w:t>
      </w:r>
      <w:r w:rsidRPr="00B44C30">
        <w:rPr>
          <w:lang w:val="en-US"/>
        </w:rPr>
        <w:br/>
      </w:r>
      <w:proofErr w:type="spellStart"/>
      <w:r w:rsidRPr="00B44C30">
        <w:rPr>
          <w:lang w:val="en-US"/>
        </w:rPr>
        <w:t>Demandes</w:t>
      </w:r>
      <w:proofErr w:type="spellEnd"/>
      <w:r w:rsidRPr="00B44C30">
        <w:rPr>
          <w:lang w:val="en-US"/>
        </w:rPr>
        <w:t xml:space="preserve"> </w:t>
      </w:r>
      <w:proofErr w:type="spellStart"/>
      <w:r w:rsidRPr="00B44C30">
        <w:rPr>
          <w:lang w:val="en-US"/>
        </w:rPr>
        <w:t>soumises</w:t>
      </w:r>
      <w:proofErr w:type="spellEnd"/>
      <w:r w:rsidRPr="00B44C30">
        <w:rPr>
          <w:lang w:val="en-US"/>
        </w:rPr>
        <w:t xml:space="preserve"> à la </w:t>
      </w:r>
      <w:proofErr w:type="spellStart"/>
      <w:r w:rsidR="000C1D9D" w:rsidRPr="00B44C30">
        <w:rPr>
          <w:lang w:val="en-US"/>
        </w:rPr>
        <w:t>C</w:t>
      </w:r>
      <w:r w:rsidRPr="00B44C30">
        <w:rPr>
          <w:lang w:val="en-US"/>
        </w:rPr>
        <w:t>our</w:t>
      </w:r>
      <w:proofErr w:type="spellEnd"/>
      <w:r w:rsidRPr="00B44C30">
        <w:rPr>
          <w:lang w:val="en-US"/>
        </w:rPr>
        <w:t xml:space="preserve"> </w:t>
      </w:r>
      <w:proofErr w:type="spellStart"/>
      <w:r w:rsidRPr="00B44C30">
        <w:rPr>
          <w:lang w:val="en-US"/>
        </w:rPr>
        <w:t>depuis</w:t>
      </w:r>
      <w:proofErr w:type="spellEnd"/>
      <w:r w:rsidRPr="00B44C30">
        <w:rPr>
          <w:lang w:val="en-US"/>
        </w:rPr>
        <w:t xml:space="preserve"> la </w:t>
      </w:r>
      <w:proofErr w:type="spellStart"/>
      <w:r w:rsidRPr="00B44C30">
        <w:rPr>
          <w:lang w:val="en-US"/>
        </w:rPr>
        <w:t>dernière</w:t>
      </w:r>
      <w:proofErr w:type="spellEnd"/>
      <w:r w:rsidRPr="00B44C30">
        <w:rPr>
          <w:lang w:val="en-US"/>
        </w:rPr>
        <w:t xml:space="preserve"> </w:t>
      </w:r>
      <w:proofErr w:type="spellStart"/>
      <w:r w:rsidRPr="00B44C30">
        <w:rPr>
          <w:lang w:val="en-US"/>
        </w:rPr>
        <w:t>parution</w:t>
      </w:r>
      <w:bookmarkEnd w:id="2"/>
      <w:proofErr w:type="spellEnd"/>
    </w:p>
    <w:p w:rsidR="00FB1DB6" w:rsidRPr="00B44C30" w:rsidRDefault="00FB1DB6" w:rsidP="00FB1DB6">
      <w:pPr>
        <w:rPr>
          <w:lang w:val="en-US" w:eastAsia="en-CA"/>
        </w:rPr>
      </w:pPr>
    </w:p>
    <w:p w:rsidR="00102792" w:rsidRPr="00B44C30" w:rsidRDefault="0099657E" w:rsidP="00102792">
      <w:pPr>
        <w:widowControl w:val="0"/>
        <w:rPr>
          <w:b/>
          <w:sz w:val="20"/>
          <w:szCs w:val="20"/>
          <w:lang w:val="en-US"/>
        </w:rPr>
      </w:pPr>
      <w:r w:rsidRPr="00B44C30">
        <w:rPr>
          <w:b/>
          <w:sz w:val="20"/>
          <w:szCs w:val="20"/>
          <w:lang w:val="en-US"/>
        </w:rPr>
        <w:t>MAY 13</w:t>
      </w:r>
      <w:r w:rsidR="00102792" w:rsidRPr="00B44C30">
        <w:rPr>
          <w:b/>
          <w:sz w:val="20"/>
          <w:szCs w:val="20"/>
          <w:lang w:val="en-US"/>
        </w:rPr>
        <w:t xml:space="preserve"> </w:t>
      </w:r>
      <w:r w:rsidR="0034657E" w:rsidRPr="00B44C30">
        <w:rPr>
          <w:b/>
          <w:sz w:val="20"/>
          <w:szCs w:val="20"/>
          <w:lang w:val="en-US"/>
        </w:rPr>
        <w:t>2019</w:t>
      </w:r>
      <w:r w:rsidRPr="00B44C30">
        <w:rPr>
          <w:b/>
          <w:sz w:val="20"/>
          <w:szCs w:val="20"/>
          <w:lang w:val="en-US"/>
        </w:rPr>
        <w:t xml:space="preserve"> / LE 13 MAI </w:t>
      </w:r>
      <w:r w:rsidR="0034657E" w:rsidRPr="00B44C30">
        <w:rPr>
          <w:b/>
          <w:sz w:val="20"/>
          <w:szCs w:val="20"/>
          <w:lang w:val="en-US"/>
        </w:rPr>
        <w:t>2019</w:t>
      </w:r>
    </w:p>
    <w:p w:rsidR="00215574" w:rsidRPr="00B44C30" w:rsidRDefault="00215574" w:rsidP="00215574">
      <w:pPr>
        <w:widowControl w:val="0"/>
        <w:rPr>
          <w:b/>
          <w:sz w:val="20"/>
          <w:szCs w:val="20"/>
          <w:lang w:val="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99657E" w:rsidRPr="003A218E" w:rsidTr="00211A38">
        <w:trPr>
          <w:cantSplit/>
        </w:trPr>
        <w:tc>
          <w:tcPr>
            <w:tcW w:w="508" w:type="dxa"/>
          </w:tcPr>
          <w:p w:rsidR="0099657E" w:rsidRPr="00B44C30" w:rsidRDefault="0099657E" w:rsidP="00211A38">
            <w:pPr>
              <w:rPr>
                <w:sz w:val="20"/>
                <w:szCs w:val="20"/>
                <w:lang w:val="en-US"/>
              </w:rPr>
            </w:pPr>
          </w:p>
        </w:tc>
        <w:tc>
          <w:tcPr>
            <w:tcW w:w="810" w:type="dxa"/>
          </w:tcPr>
          <w:p w:rsidR="0099657E" w:rsidRPr="00B44C30" w:rsidRDefault="0099657E" w:rsidP="00211A38">
            <w:pPr>
              <w:rPr>
                <w:sz w:val="20"/>
                <w:szCs w:val="20"/>
                <w:lang w:val="en-US"/>
              </w:rPr>
            </w:pPr>
          </w:p>
        </w:tc>
        <w:tc>
          <w:tcPr>
            <w:tcW w:w="8258" w:type="dxa"/>
            <w:gridSpan w:val="3"/>
          </w:tcPr>
          <w:p w:rsidR="0099657E" w:rsidRPr="00C50A5C" w:rsidRDefault="0099657E" w:rsidP="0099657E">
            <w:pPr>
              <w:widowControl w:val="0"/>
              <w:jc w:val="center"/>
              <w:rPr>
                <w:b/>
                <w:sz w:val="20"/>
                <w:szCs w:val="20"/>
              </w:rPr>
            </w:pPr>
            <w:r w:rsidRPr="00C50A5C">
              <w:rPr>
                <w:b/>
                <w:sz w:val="20"/>
                <w:szCs w:val="20"/>
              </w:rPr>
              <w:t xml:space="preserve">CORAM:  Chief Justice </w:t>
            </w:r>
            <w:r>
              <w:rPr>
                <w:b/>
                <w:sz w:val="20"/>
                <w:szCs w:val="20"/>
              </w:rPr>
              <w:t xml:space="preserve">Wagner and Rowe and Martin </w:t>
            </w:r>
            <w:r w:rsidRPr="00C50A5C">
              <w:rPr>
                <w:b/>
                <w:sz w:val="20"/>
                <w:szCs w:val="20"/>
              </w:rPr>
              <w:t>JJ.</w:t>
            </w:r>
          </w:p>
          <w:p w:rsidR="0099657E" w:rsidRPr="0099657E" w:rsidRDefault="0099657E" w:rsidP="0099657E">
            <w:pPr>
              <w:widowControl w:val="0"/>
              <w:jc w:val="center"/>
              <w:rPr>
                <w:b/>
                <w:sz w:val="20"/>
                <w:szCs w:val="20"/>
                <w:lang w:val="fr-CA"/>
              </w:rPr>
            </w:pPr>
            <w:r w:rsidRPr="004E1858">
              <w:rPr>
                <w:b/>
                <w:sz w:val="20"/>
                <w:szCs w:val="20"/>
                <w:lang w:val="fr-CA"/>
              </w:rPr>
              <w:t>Le juge en chef Wagner et les juges Rowe et Martin</w:t>
            </w:r>
          </w:p>
        </w:tc>
      </w:tr>
      <w:tr w:rsidR="0099657E" w:rsidTr="00211A38">
        <w:trPr>
          <w:cantSplit/>
        </w:trPr>
        <w:tc>
          <w:tcPr>
            <w:tcW w:w="508" w:type="dxa"/>
          </w:tcPr>
          <w:p w:rsidR="0099657E" w:rsidRPr="0099657E" w:rsidRDefault="0099657E" w:rsidP="00211A38">
            <w:pPr>
              <w:rPr>
                <w:sz w:val="20"/>
                <w:szCs w:val="20"/>
                <w:lang w:val="fr-CA"/>
              </w:rPr>
            </w:pPr>
          </w:p>
        </w:tc>
        <w:tc>
          <w:tcPr>
            <w:tcW w:w="810" w:type="dxa"/>
          </w:tcPr>
          <w:p w:rsidR="0099657E" w:rsidRPr="0099657E" w:rsidRDefault="0099657E" w:rsidP="00211A38">
            <w:pPr>
              <w:rPr>
                <w:sz w:val="20"/>
                <w:szCs w:val="20"/>
                <w:lang w:val="fr-CA"/>
              </w:rPr>
            </w:pPr>
          </w:p>
        </w:tc>
        <w:tc>
          <w:tcPr>
            <w:tcW w:w="4050" w:type="dxa"/>
          </w:tcPr>
          <w:p w:rsidR="0099657E" w:rsidRPr="0099657E" w:rsidRDefault="0099657E" w:rsidP="00211A38">
            <w:pPr>
              <w:pStyle w:val="SCCAppellantInfoTypeOfCase"/>
              <w:rPr>
                <w:sz w:val="20"/>
                <w:szCs w:val="20"/>
              </w:rPr>
            </w:pPr>
            <w:r w:rsidRPr="0099657E">
              <w:rPr>
                <w:sz w:val="20"/>
                <w:szCs w:val="20"/>
              </w:rPr>
              <w:t xml:space="preserve">Criminal / </w:t>
            </w:r>
            <w:proofErr w:type="spellStart"/>
            <w:r w:rsidRPr="0099657E">
              <w:rPr>
                <w:sz w:val="20"/>
                <w:szCs w:val="20"/>
              </w:rPr>
              <w:t>Criminelle</w:t>
            </w:r>
            <w:proofErr w:type="spellEnd"/>
          </w:p>
        </w:tc>
        <w:tc>
          <w:tcPr>
            <w:tcW w:w="360" w:type="dxa"/>
          </w:tcPr>
          <w:p w:rsidR="0099657E" w:rsidRPr="0099657E" w:rsidRDefault="0099657E" w:rsidP="00211A38">
            <w:pPr>
              <w:rPr>
                <w:sz w:val="20"/>
                <w:szCs w:val="20"/>
              </w:rPr>
            </w:pPr>
          </w:p>
        </w:tc>
        <w:tc>
          <w:tcPr>
            <w:tcW w:w="3848" w:type="dxa"/>
          </w:tcPr>
          <w:p w:rsidR="0099657E" w:rsidRPr="0099657E" w:rsidRDefault="0099657E" w:rsidP="00211A38">
            <w:pPr>
              <w:rPr>
                <w:sz w:val="20"/>
                <w:szCs w:val="20"/>
              </w:rPr>
            </w:pPr>
          </w:p>
        </w:tc>
      </w:tr>
      <w:tr w:rsidR="0099657E" w:rsidTr="00211A38">
        <w:trPr>
          <w:cantSplit/>
        </w:trPr>
        <w:tc>
          <w:tcPr>
            <w:tcW w:w="508" w:type="dxa"/>
          </w:tcPr>
          <w:p w:rsidR="0099657E" w:rsidRPr="0099657E" w:rsidRDefault="0099657E" w:rsidP="00211A38">
            <w:pPr>
              <w:rPr>
                <w:sz w:val="20"/>
                <w:szCs w:val="20"/>
              </w:rPr>
            </w:pPr>
            <w:r w:rsidRPr="0099657E">
              <w:rPr>
                <w:sz w:val="20"/>
                <w:szCs w:val="20"/>
              </w:rPr>
              <w:t>1.</w:t>
            </w:r>
          </w:p>
        </w:tc>
        <w:tc>
          <w:tcPr>
            <w:tcW w:w="810" w:type="dxa"/>
          </w:tcPr>
          <w:p w:rsidR="0099657E" w:rsidRPr="0099657E" w:rsidRDefault="0099657E" w:rsidP="00211A38">
            <w:pPr>
              <w:rPr>
                <w:sz w:val="20"/>
                <w:szCs w:val="20"/>
              </w:rPr>
            </w:pPr>
            <w:r w:rsidRPr="0099657E">
              <w:rPr>
                <w:sz w:val="20"/>
                <w:szCs w:val="20"/>
              </w:rPr>
              <w:t>38500</w:t>
            </w:r>
          </w:p>
        </w:tc>
        <w:tc>
          <w:tcPr>
            <w:tcW w:w="4050" w:type="dxa"/>
          </w:tcPr>
          <w:p w:rsidR="0099657E" w:rsidRPr="0099657E" w:rsidRDefault="0099657E" w:rsidP="00211A38">
            <w:pPr>
              <w:pStyle w:val="SCCAppellantInfoAppellantInfo"/>
              <w:rPr>
                <w:sz w:val="20"/>
                <w:szCs w:val="20"/>
              </w:rPr>
            </w:pPr>
            <w:r w:rsidRPr="0099657E">
              <w:rPr>
                <w:sz w:val="20"/>
                <w:szCs w:val="20"/>
              </w:rPr>
              <w:t xml:space="preserve">Andrew John </w:t>
            </w:r>
            <w:proofErr w:type="spellStart"/>
            <w:r w:rsidRPr="0099657E">
              <w:rPr>
                <w:sz w:val="20"/>
                <w:szCs w:val="20"/>
              </w:rPr>
              <w:t>Bissky</w:t>
            </w:r>
            <w:proofErr w:type="spellEnd"/>
          </w:p>
          <w:p w:rsidR="0099657E" w:rsidRPr="0099657E" w:rsidRDefault="0099657E" w:rsidP="00211A38">
            <w:pPr>
              <w:pStyle w:val="SCCAppellantInfoAppellantInfo"/>
              <w:rPr>
                <w:sz w:val="20"/>
                <w:szCs w:val="20"/>
              </w:rPr>
            </w:pPr>
            <w:r w:rsidRPr="0099657E">
              <w:rPr>
                <w:sz w:val="20"/>
                <w:szCs w:val="20"/>
              </w:rPr>
              <w:t>(Sask.) (Criminal) (By Leave)</w:t>
            </w:r>
          </w:p>
        </w:tc>
        <w:tc>
          <w:tcPr>
            <w:tcW w:w="360" w:type="dxa"/>
          </w:tcPr>
          <w:p w:rsidR="0099657E" w:rsidRPr="0099657E" w:rsidRDefault="0099657E" w:rsidP="00211A38">
            <w:pPr>
              <w:rPr>
                <w:sz w:val="20"/>
                <w:szCs w:val="20"/>
              </w:rPr>
            </w:pPr>
            <w:r w:rsidRPr="0099657E">
              <w:rPr>
                <w:sz w:val="20"/>
                <w:szCs w:val="20"/>
              </w:rPr>
              <w:t>v.</w:t>
            </w:r>
          </w:p>
        </w:tc>
        <w:tc>
          <w:tcPr>
            <w:tcW w:w="3848" w:type="dxa"/>
          </w:tcPr>
          <w:p w:rsidR="0099657E" w:rsidRPr="0099657E" w:rsidRDefault="0099657E" w:rsidP="00211A38">
            <w:pPr>
              <w:pStyle w:val="SCCAppellantInfoAppellantInfo"/>
              <w:rPr>
                <w:sz w:val="20"/>
                <w:szCs w:val="20"/>
              </w:rPr>
            </w:pPr>
            <w:r w:rsidRPr="0099657E">
              <w:rPr>
                <w:sz w:val="20"/>
                <w:szCs w:val="20"/>
              </w:rPr>
              <w:t>Her Majesty the Queen</w:t>
            </w:r>
          </w:p>
        </w:tc>
      </w:tr>
      <w:tr w:rsidR="0099657E" w:rsidTr="00211A38">
        <w:trPr>
          <w:cantSplit/>
        </w:trPr>
        <w:tc>
          <w:tcPr>
            <w:tcW w:w="508" w:type="dxa"/>
          </w:tcPr>
          <w:p w:rsidR="0099657E" w:rsidRPr="0099657E" w:rsidRDefault="0099657E" w:rsidP="00211A38">
            <w:pPr>
              <w:rPr>
                <w:sz w:val="20"/>
                <w:szCs w:val="20"/>
              </w:rPr>
            </w:pPr>
          </w:p>
        </w:tc>
        <w:tc>
          <w:tcPr>
            <w:tcW w:w="810" w:type="dxa"/>
          </w:tcPr>
          <w:p w:rsidR="0099657E" w:rsidRPr="0099657E" w:rsidRDefault="0099657E" w:rsidP="00211A38">
            <w:pPr>
              <w:rPr>
                <w:sz w:val="20"/>
                <w:szCs w:val="20"/>
              </w:rPr>
            </w:pPr>
          </w:p>
        </w:tc>
        <w:tc>
          <w:tcPr>
            <w:tcW w:w="4050" w:type="dxa"/>
          </w:tcPr>
          <w:p w:rsidR="0099657E" w:rsidRPr="0099657E" w:rsidRDefault="0099657E" w:rsidP="00211A38">
            <w:pPr>
              <w:pStyle w:val="SCCAppellantInfoTypeOfCase"/>
              <w:rPr>
                <w:sz w:val="20"/>
                <w:szCs w:val="20"/>
              </w:rPr>
            </w:pPr>
            <w:r w:rsidRPr="0099657E">
              <w:rPr>
                <w:sz w:val="20"/>
                <w:szCs w:val="20"/>
              </w:rPr>
              <w:t xml:space="preserve">Civil / </w:t>
            </w:r>
            <w:proofErr w:type="spellStart"/>
            <w:r w:rsidRPr="0099657E">
              <w:rPr>
                <w:sz w:val="20"/>
                <w:szCs w:val="20"/>
              </w:rPr>
              <w:t>Civile</w:t>
            </w:r>
            <w:proofErr w:type="spellEnd"/>
          </w:p>
        </w:tc>
        <w:tc>
          <w:tcPr>
            <w:tcW w:w="360" w:type="dxa"/>
          </w:tcPr>
          <w:p w:rsidR="0099657E" w:rsidRPr="0099657E" w:rsidRDefault="0099657E" w:rsidP="00211A38">
            <w:pPr>
              <w:rPr>
                <w:sz w:val="20"/>
                <w:szCs w:val="20"/>
              </w:rPr>
            </w:pPr>
          </w:p>
        </w:tc>
        <w:tc>
          <w:tcPr>
            <w:tcW w:w="3848" w:type="dxa"/>
          </w:tcPr>
          <w:p w:rsidR="0099657E" w:rsidRPr="0099657E" w:rsidRDefault="0099657E" w:rsidP="00211A38">
            <w:pPr>
              <w:rPr>
                <w:sz w:val="20"/>
                <w:szCs w:val="20"/>
              </w:rPr>
            </w:pPr>
          </w:p>
        </w:tc>
      </w:tr>
      <w:tr w:rsidR="0099657E" w:rsidTr="00211A38">
        <w:trPr>
          <w:cantSplit/>
        </w:trPr>
        <w:tc>
          <w:tcPr>
            <w:tcW w:w="508" w:type="dxa"/>
          </w:tcPr>
          <w:p w:rsidR="0099657E" w:rsidRPr="0099657E" w:rsidRDefault="0099657E" w:rsidP="00211A38">
            <w:pPr>
              <w:rPr>
                <w:sz w:val="20"/>
                <w:szCs w:val="20"/>
              </w:rPr>
            </w:pPr>
            <w:r w:rsidRPr="0099657E">
              <w:rPr>
                <w:sz w:val="20"/>
                <w:szCs w:val="20"/>
              </w:rPr>
              <w:t>2.</w:t>
            </w:r>
          </w:p>
        </w:tc>
        <w:tc>
          <w:tcPr>
            <w:tcW w:w="810" w:type="dxa"/>
          </w:tcPr>
          <w:p w:rsidR="0099657E" w:rsidRPr="0099657E" w:rsidRDefault="0099657E" w:rsidP="00211A38">
            <w:pPr>
              <w:rPr>
                <w:sz w:val="20"/>
                <w:szCs w:val="20"/>
              </w:rPr>
            </w:pPr>
            <w:r w:rsidRPr="0099657E">
              <w:rPr>
                <w:sz w:val="20"/>
                <w:szCs w:val="20"/>
              </w:rPr>
              <w:t>38561</w:t>
            </w:r>
          </w:p>
        </w:tc>
        <w:tc>
          <w:tcPr>
            <w:tcW w:w="4050" w:type="dxa"/>
          </w:tcPr>
          <w:p w:rsidR="0099657E" w:rsidRPr="0099657E" w:rsidRDefault="0099657E" w:rsidP="00211A38">
            <w:pPr>
              <w:pStyle w:val="SCCAppellantInfoAppellantInfo"/>
              <w:rPr>
                <w:sz w:val="20"/>
                <w:szCs w:val="20"/>
              </w:rPr>
            </w:pPr>
            <w:proofErr w:type="spellStart"/>
            <w:r w:rsidRPr="0099657E">
              <w:rPr>
                <w:sz w:val="20"/>
                <w:szCs w:val="20"/>
              </w:rPr>
              <w:t>Zheqiang</w:t>
            </w:r>
            <w:proofErr w:type="spellEnd"/>
            <w:r w:rsidRPr="0099657E">
              <w:rPr>
                <w:sz w:val="20"/>
                <w:szCs w:val="20"/>
              </w:rPr>
              <w:t xml:space="preserve"> Wu, et al.</w:t>
            </w:r>
          </w:p>
          <w:p w:rsidR="0099657E" w:rsidRPr="0099657E" w:rsidRDefault="0099657E" w:rsidP="00211A38">
            <w:pPr>
              <w:pStyle w:val="SCCAppellantInfoAppellantInfo"/>
              <w:rPr>
                <w:sz w:val="20"/>
                <w:szCs w:val="20"/>
              </w:rPr>
            </w:pPr>
            <w:r w:rsidRPr="0099657E">
              <w:rPr>
                <w:sz w:val="20"/>
                <w:szCs w:val="20"/>
              </w:rPr>
              <w:t>(B.C.) (Civil) (By Leave)</w:t>
            </w:r>
          </w:p>
        </w:tc>
        <w:tc>
          <w:tcPr>
            <w:tcW w:w="360" w:type="dxa"/>
          </w:tcPr>
          <w:p w:rsidR="0099657E" w:rsidRPr="0099657E" w:rsidRDefault="0099657E" w:rsidP="00211A38">
            <w:pPr>
              <w:rPr>
                <w:sz w:val="20"/>
                <w:szCs w:val="20"/>
              </w:rPr>
            </w:pPr>
            <w:r w:rsidRPr="0099657E">
              <w:rPr>
                <w:sz w:val="20"/>
                <w:szCs w:val="20"/>
              </w:rPr>
              <w:t>v.</w:t>
            </w:r>
          </w:p>
        </w:tc>
        <w:tc>
          <w:tcPr>
            <w:tcW w:w="3848" w:type="dxa"/>
          </w:tcPr>
          <w:p w:rsidR="0099657E" w:rsidRPr="0099657E" w:rsidRDefault="0099657E" w:rsidP="00211A38">
            <w:pPr>
              <w:pStyle w:val="SCCAppellantInfoAppellantInfo"/>
              <w:rPr>
                <w:sz w:val="20"/>
                <w:szCs w:val="20"/>
              </w:rPr>
            </w:pPr>
            <w:r w:rsidRPr="0099657E">
              <w:rPr>
                <w:sz w:val="20"/>
                <w:szCs w:val="20"/>
              </w:rPr>
              <w:t>City of Vancouver</w:t>
            </w:r>
          </w:p>
        </w:tc>
      </w:tr>
      <w:tr w:rsidR="0099657E" w:rsidTr="00211A38">
        <w:trPr>
          <w:cantSplit/>
        </w:trPr>
        <w:tc>
          <w:tcPr>
            <w:tcW w:w="508" w:type="dxa"/>
          </w:tcPr>
          <w:p w:rsidR="0099657E" w:rsidRPr="0099657E" w:rsidRDefault="0099657E" w:rsidP="00211A38">
            <w:pPr>
              <w:rPr>
                <w:sz w:val="20"/>
                <w:szCs w:val="20"/>
              </w:rPr>
            </w:pPr>
            <w:r w:rsidRPr="0099657E">
              <w:rPr>
                <w:sz w:val="20"/>
                <w:szCs w:val="20"/>
              </w:rPr>
              <w:t>3.</w:t>
            </w:r>
          </w:p>
        </w:tc>
        <w:tc>
          <w:tcPr>
            <w:tcW w:w="810" w:type="dxa"/>
          </w:tcPr>
          <w:p w:rsidR="0099657E" w:rsidRPr="0099657E" w:rsidRDefault="0099657E" w:rsidP="00211A38">
            <w:pPr>
              <w:rPr>
                <w:sz w:val="20"/>
                <w:szCs w:val="20"/>
              </w:rPr>
            </w:pPr>
            <w:r w:rsidRPr="0099657E">
              <w:rPr>
                <w:sz w:val="20"/>
                <w:szCs w:val="20"/>
              </w:rPr>
              <w:t>38513</w:t>
            </w:r>
          </w:p>
        </w:tc>
        <w:tc>
          <w:tcPr>
            <w:tcW w:w="4050" w:type="dxa"/>
          </w:tcPr>
          <w:p w:rsidR="0099657E" w:rsidRPr="0099657E" w:rsidRDefault="0099657E" w:rsidP="00211A38">
            <w:pPr>
              <w:pStyle w:val="SCCAppellantInfoAppellantInfo"/>
              <w:rPr>
                <w:sz w:val="20"/>
                <w:szCs w:val="20"/>
              </w:rPr>
            </w:pPr>
            <w:r w:rsidRPr="0099657E">
              <w:rPr>
                <w:sz w:val="20"/>
                <w:szCs w:val="20"/>
              </w:rPr>
              <w:t>Satyam Patel</w:t>
            </w:r>
          </w:p>
          <w:p w:rsidR="0099657E" w:rsidRPr="0099657E" w:rsidRDefault="0099657E" w:rsidP="00211A38">
            <w:pPr>
              <w:pStyle w:val="SCCAppellantInfoAppellantInfo"/>
              <w:rPr>
                <w:sz w:val="20"/>
                <w:szCs w:val="20"/>
              </w:rPr>
            </w:pPr>
            <w:r w:rsidRPr="0099657E">
              <w:rPr>
                <w:sz w:val="20"/>
                <w:szCs w:val="20"/>
              </w:rPr>
              <w:t>(Sask.) (Civil) (By Leave)</w:t>
            </w:r>
          </w:p>
        </w:tc>
        <w:tc>
          <w:tcPr>
            <w:tcW w:w="360" w:type="dxa"/>
          </w:tcPr>
          <w:p w:rsidR="0099657E" w:rsidRPr="0099657E" w:rsidRDefault="0099657E" w:rsidP="00211A38">
            <w:pPr>
              <w:rPr>
                <w:sz w:val="20"/>
                <w:szCs w:val="20"/>
              </w:rPr>
            </w:pPr>
            <w:r w:rsidRPr="0099657E">
              <w:rPr>
                <w:sz w:val="20"/>
                <w:szCs w:val="20"/>
              </w:rPr>
              <w:t>v.</w:t>
            </w:r>
          </w:p>
        </w:tc>
        <w:tc>
          <w:tcPr>
            <w:tcW w:w="3848" w:type="dxa"/>
          </w:tcPr>
          <w:p w:rsidR="0099657E" w:rsidRPr="0099657E" w:rsidRDefault="0099657E" w:rsidP="00211A38">
            <w:pPr>
              <w:pStyle w:val="SCCAppellantInfoAppellantInfo"/>
              <w:rPr>
                <w:sz w:val="20"/>
                <w:szCs w:val="20"/>
              </w:rPr>
            </w:pPr>
            <w:r w:rsidRPr="0099657E">
              <w:rPr>
                <w:sz w:val="20"/>
                <w:szCs w:val="20"/>
              </w:rPr>
              <w:t>Dr. George Carson (Regina Qu’Appelle Regional Health Authority Senior Medical Officer), et al.</w:t>
            </w:r>
          </w:p>
        </w:tc>
      </w:tr>
      <w:tr w:rsidR="0099657E" w:rsidTr="00211A38">
        <w:trPr>
          <w:cantSplit/>
        </w:trPr>
        <w:tc>
          <w:tcPr>
            <w:tcW w:w="508" w:type="dxa"/>
          </w:tcPr>
          <w:p w:rsidR="0099657E" w:rsidRPr="0099657E" w:rsidRDefault="0099657E" w:rsidP="00211A38">
            <w:pPr>
              <w:rPr>
                <w:sz w:val="20"/>
                <w:szCs w:val="20"/>
              </w:rPr>
            </w:pPr>
            <w:r w:rsidRPr="0099657E">
              <w:rPr>
                <w:sz w:val="20"/>
                <w:szCs w:val="20"/>
              </w:rPr>
              <w:t>4.</w:t>
            </w:r>
          </w:p>
        </w:tc>
        <w:tc>
          <w:tcPr>
            <w:tcW w:w="810" w:type="dxa"/>
          </w:tcPr>
          <w:p w:rsidR="0099657E" w:rsidRPr="0099657E" w:rsidRDefault="0099657E" w:rsidP="00211A38">
            <w:pPr>
              <w:rPr>
                <w:sz w:val="20"/>
                <w:szCs w:val="20"/>
              </w:rPr>
            </w:pPr>
            <w:r w:rsidRPr="0099657E">
              <w:rPr>
                <w:sz w:val="20"/>
                <w:szCs w:val="20"/>
              </w:rPr>
              <w:t>38496</w:t>
            </w:r>
          </w:p>
        </w:tc>
        <w:tc>
          <w:tcPr>
            <w:tcW w:w="4050" w:type="dxa"/>
          </w:tcPr>
          <w:p w:rsidR="0099657E" w:rsidRPr="0099657E" w:rsidRDefault="0099657E" w:rsidP="00211A38">
            <w:pPr>
              <w:pStyle w:val="SCCAppellantInfoAppellantInfo"/>
              <w:rPr>
                <w:sz w:val="20"/>
                <w:szCs w:val="20"/>
              </w:rPr>
            </w:pPr>
            <w:r w:rsidRPr="0099657E">
              <w:rPr>
                <w:sz w:val="20"/>
                <w:szCs w:val="20"/>
              </w:rPr>
              <w:t>Charles Blair Wilson</w:t>
            </w:r>
          </w:p>
          <w:p w:rsidR="0099657E" w:rsidRPr="0099657E" w:rsidRDefault="0099657E" w:rsidP="00211A38">
            <w:pPr>
              <w:pStyle w:val="SCCAppellantInfoAppellantInfo"/>
              <w:rPr>
                <w:sz w:val="20"/>
                <w:szCs w:val="20"/>
              </w:rPr>
            </w:pPr>
            <w:r w:rsidRPr="0099657E">
              <w:rPr>
                <w:sz w:val="20"/>
                <w:szCs w:val="20"/>
              </w:rPr>
              <w:t>(B.C.) (Civil) (By Leave)</w:t>
            </w:r>
          </w:p>
          <w:p w:rsidR="0099657E" w:rsidRPr="0099657E" w:rsidRDefault="0099657E" w:rsidP="00211A38">
            <w:pPr>
              <w:rPr>
                <w:sz w:val="20"/>
                <w:szCs w:val="20"/>
              </w:rPr>
            </w:pPr>
          </w:p>
        </w:tc>
        <w:tc>
          <w:tcPr>
            <w:tcW w:w="360" w:type="dxa"/>
          </w:tcPr>
          <w:p w:rsidR="0099657E" w:rsidRPr="0099657E" w:rsidRDefault="0099657E" w:rsidP="00211A38">
            <w:pPr>
              <w:rPr>
                <w:sz w:val="20"/>
                <w:szCs w:val="20"/>
              </w:rPr>
            </w:pPr>
            <w:r w:rsidRPr="0099657E">
              <w:rPr>
                <w:sz w:val="20"/>
                <w:szCs w:val="20"/>
              </w:rPr>
              <w:t>v.</w:t>
            </w:r>
          </w:p>
        </w:tc>
        <w:tc>
          <w:tcPr>
            <w:tcW w:w="3848" w:type="dxa"/>
          </w:tcPr>
          <w:p w:rsidR="0099657E" w:rsidRPr="0099657E" w:rsidRDefault="0099657E" w:rsidP="00211A38">
            <w:pPr>
              <w:pStyle w:val="SCCAppellantInfoAppellantInfo"/>
              <w:rPr>
                <w:sz w:val="20"/>
                <w:szCs w:val="20"/>
              </w:rPr>
            </w:pPr>
            <w:proofErr w:type="spellStart"/>
            <w:r w:rsidRPr="0099657E">
              <w:rPr>
                <w:sz w:val="20"/>
                <w:szCs w:val="20"/>
              </w:rPr>
              <w:t>Canwest</w:t>
            </w:r>
            <w:proofErr w:type="spellEnd"/>
            <w:r w:rsidRPr="0099657E">
              <w:rPr>
                <w:sz w:val="20"/>
                <w:szCs w:val="20"/>
              </w:rPr>
              <w:t xml:space="preserve"> Publishing Inc./Publications </w:t>
            </w:r>
            <w:proofErr w:type="spellStart"/>
            <w:r w:rsidRPr="0099657E">
              <w:rPr>
                <w:sz w:val="20"/>
                <w:szCs w:val="20"/>
              </w:rPr>
              <w:t>Canwest</w:t>
            </w:r>
            <w:proofErr w:type="spellEnd"/>
            <w:r w:rsidRPr="0099657E">
              <w:rPr>
                <w:sz w:val="20"/>
                <w:szCs w:val="20"/>
              </w:rPr>
              <w:t xml:space="preserve"> Inc., et al.</w:t>
            </w:r>
          </w:p>
        </w:tc>
      </w:tr>
      <w:tr w:rsidR="0099657E" w:rsidRPr="003A218E" w:rsidTr="00211A38">
        <w:trPr>
          <w:cantSplit/>
        </w:trPr>
        <w:tc>
          <w:tcPr>
            <w:tcW w:w="508" w:type="dxa"/>
          </w:tcPr>
          <w:p w:rsidR="0099657E" w:rsidRPr="0099657E" w:rsidRDefault="0099657E" w:rsidP="00211A38">
            <w:pPr>
              <w:rPr>
                <w:sz w:val="20"/>
                <w:szCs w:val="20"/>
              </w:rPr>
            </w:pPr>
          </w:p>
        </w:tc>
        <w:tc>
          <w:tcPr>
            <w:tcW w:w="810" w:type="dxa"/>
          </w:tcPr>
          <w:p w:rsidR="0099657E" w:rsidRPr="0099657E" w:rsidRDefault="0099657E" w:rsidP="00211A38">
            <w:pPr>
              <w:rPr>
                <w:sz w:val="20"/>
                <w:szCs w:val="20"/>
              </w:rPr>
            </w:pPr>
          </w:p>
        </w:tc>
        <w:tc>
          <w:tcPr>
            <w:tcW w:w="8258" w:type="dxa"/>
            <w:gridSpan w:val="3"/>
          </w:tcPr>
          <w:p w:rsidR="0099657E" w:rsidRPr="00A207B1" w:rsidRDefault="0099657E" w:rsidP="0099657E">
            <w:pPr>
              <w:widowControl w:val="0"/>
              <w:jc w:val="center"/>
              <w:rPr>
                <w:b/>
                <w:sz w:val="20"/>
                <w:szCs w:val="20"/>
                <w:lang w:val="en-US"/>
              </w:rPr>
            </w:pPr>
            <w:r w:rsidRPr="00A207B1">
              <w:rPr>
                <w:b/>
                <w:sz w:val="20"/>
                <w:szCs w:val="20"/>
                <w:lang w:val="en-US"/>
              </w:rPr>
              <w:t xml:space="preserve">CORAM: Abella, </w:t>
            </w:r>
            <w:r>
              <w:rPr>
                <w:b/>
                <w:sz w:val="20"/>
                <w:szCs w:val="20"/>
                <w:lang w:val="en-US"/>
              </w:rPr>
              <w:t>Karakatsanis</w:t>
            </w:r>
            <w:r w:rsidRPr="00A207B1">
              <w:rPr>
                <w:b/>
                <w:sz w:val="20"/>
                <w:szCs w:val="20"/>
                <w:lang w:val="en-US"/>
              </w:rPr>
              <w:t xml:space="preserve"> and Brown JJ.</w:t>
            </w:r>
          </w:p>
          <w:p w:rsidR="0099657E" w:rsidRPr="0099657E" w:rsidRDefault="0099657E" w:rsidP="0099657E">
            <w:pPr>
              <w:widowControl w:val="0"/>
              <w:jc w:val="center"/>
              <w:rPr>
                <w:sz w:val="20"/>
                <w:szCs w:val="20"/>
                <w:lang w:val="fr-CA"/>
              </w:rPr>
            </w:pPr>
            <w:r>
              <w:rPr>
                <w:b/>
                <w:sz w:val="20"/>
                <w:szCs w:val="20"/>
                <w:lang w:val="fr-CA"/>
              </w:rPr>
              <w:t>Les juges Abella, Karakatsanis</w:t>
            </w:r>
            <w:r w:rsidRPr="007230A7">
              <w:rPr>
                <w:b/>
                <w:sz w:val="20"/>
                <w:szCs w:val="20"/>
                <w:lang w:val="fr-CA"/>
              </w:rPr>
              <w:t xml:space="preserve"> et Brown</w:t>
            </w:r>
          </w:p>
        </w:tc>
      </w:tr>
      <w:tr w:rsidR="0099657E" w:rsidTr="00211A38">
        <w:trPr>
          <w:cantSplit/>
        </w:trPr>
        <w:tc>
          <w:tcPr>
            <w:tcW w:w="508" w:type="dxa"/>
          </w:tcPr>
          <w:p w:rsidR="0099657E" w:rsidRPr="0099657E" w:rsidRDefault="0099657E" w:rsidP="00211A38">
            <w:pPr>
              <w:rPr>
                <w:sz w:val="20"/>
                <w:szCs w:val="20"/>
                <w:lang w:val="fr-CA"/>
              </w:rPr>
            </w:pPr>
          </w:p>
        </w:tc>
        <w:tc>
          <w:tcPr>
            <w:tcW w:w="810" w:type="dxa"/>
          </w:tcPr>
          <w:p w:rsidR="0099657E" w:rsidRPr="0099657E" w:rsidRDefault="0099657E" w:rsidP="00211A38">
            <w:pPr>
              <w:rPr>
                <w:sz w:val="20"/>
                <w:szCs w:val="20"/>
                <w:lang w:val="fr-CA"/>
              </w:rPr>
            </w:pPr>
          </w:p>
        </w:tc>
        <w:tc>
          <w:tcPr>
            <w:tcW w:w="4050" w:type="dxa"/>
          </w:tcPr>
          <w:p w:rsidR="0099657E" w:rsidRPr="0099657E" w:rsidRDefault="0099657E" w:rsidP="00211A38">
            <w:pPr>
              <w:pStyle w:val="SCCAppellantInfoTypeOfCase"/>
              <w:rPr>
                <w:sz w:val="20"/>
                <w:szCs w:val="20"/>
              </w:rPr>
            </w:pPr>
            <w:r w:rsidRPr="0099657E">
              <w:rPr>
                <w:sz w:val="20"/>
                <w:szCs w:val="20"/>
              </w:rPr>
              <w:t xml:space="preserve">Criminal / </w:t>
            </w:r>
            <w:proofErr w:type="spellStart"/>
            <w:r w:rsidRPr="0099657E">
              <w:rPr>
                <w:sz w:val="20"/>
                <w:szCs w:val="20"/>
              </w:rPr>
              <w:t>Criminelle</w:t>
            </w:r>
            <w:proofErr w:type="spellEnd"/>
          </w:p>
        </w:tc>
        <w:tc>
          <w:tcPr>
            <w:tcW w:w="360" w:type="dxa"/>
          </w:tcPr>
          <w:p w:rsidR="0099657E" w:rsidRPr="0099657E" w:rsidRDefault="0099657E" w:rsidP="00211A38">
            <w:pPr>
              <w:rPr>
                <w:sz w:val="20"/>
                <w:szCs w:val="20"/>
              </w:rPr>
            </w:pPr>
          </w:p>
        </w:tc>
        <w:tc>
          <w:tcPr>
            <w:tcW w:w="3848" w:type="dxa"/>
          </w:tcPr>
          <w:p w:rsidR="0099657E" w:rsidRPr="0099657E" w:rsidRDefault="0099657E" w:rsidP="00211A38">
            <w:pPr>
              <w:rPr>
                <w:sz w:val="20"/>
                <w:szCs w:val="20"/>
              </w:rPr>
            </w:pPr>
          </w:p>
        </w:tc>
      </w:tr>
      <w:tr w:rsidR="0099657E" w:rsidTr="00211A38">
        <w:trPr>
          <w:cantSplit/>
        </w:trPr>
        <w:tc>
          <w:tcPr>
            <w:tcW w:w="508" w:type="dxa"/>
          </w:tcPr>
          <w:p w:rsidR="0099657E" w:rsidRPr="0099657E" w:rsidRDefault="0099657E" w:rsidP="00211A38">
            <w:pPr>
              <w:rPr>
                <w:sz w:val="20"/>
                <w:szCs w:val="20"/>
              </w:rPr>
            </w:pPr>
            <w:r w:rsidRPr="0099657E">
              <w:rPr>
                <w:sz w:val="20"/>
                <w:szCs w:val="20"/>
              </w:rPr>
              <w:t>5.</w:t>
            </w:r>
          </w:p>
        </w:tc>
        <w:tc>
          <w:tcPr>
            <w:tcW w:w="810" w:type="dxa"/>
          </w:tcPr>
          <w:p w:rsidR="0099657E" w:rsidRPr="0099657E" w:rsidRDefault="0099657E" w:rsidP="00211A38">
            <w:pPr>
              <w:rPr>
                <w:sz w:val="20"/>
                <w:szCs w:val="20"/>
              </w:rPr>
            </w:pPr>
            <w:r w:rsidRPr="0099657E">
              <w:rPr>
                <w:sz w:val="20"/>
                <w:szCs w:val="20"/>
              </w:rPr>
              <w:t>38510</w:t>
            </w:r>
          </w:p>
        </w:tc>
        <w:tc>
          <w:tcPr>
            <w:tcW w:w="4050" w:type="dxa"/>
          </w:tcPr>
          <w:p w:rsidR="0099657E" w:rsidRPr="0099657E" w:rsidRDefault="0099657E" w:rsidP="00211A38">
            <w:pPr>
              <w:pStyle w:val="SCCAppellantInfoAppellantInfo"/>
              <w:rPr>
                <w:sz w:val="20"/>
                <w:szCs w:val="20"/>
              </w:rPr>
            </w:pPr>
            <w:r w:rsidRPr="0099657E">
              <w:rPr>
                <w:sz w:val="20"/>
                <w:szCs w:val="20"/>
              </w:rPr>
              <w:t xml:space="preserve">Daniel </w:t>
            </w:r>
            <w:proofErr w:type="spellStart"/>
            <w:r w:rsidRPr="0099657E">
              <w:rPr>
                <w:sz w:val="20"/>
                <w:szCs w:val="20"/>
              </w:rPr>
              <w:t>Barna</w:t>
            </w:r>
            <w:proofErr w:type="spellEnd"/>
          </w:p>
          <w:p w:rsidR="0099657E" w:rsidRPr="0099657E" w:rsidRDefault="0099657E" w:rsidP="00211A38">
            <w:pPr>
              <w:pStyle w:val="SCCAppellantInfoAppellantInfo"/>
              <w:rPr>
                <w:sz w:val="20"/>
                <w:szCs w:val="20"/>
              </w:rPr>
            </w:pPr>
            <w:r w:rsidRPr="0099657E">
              <w:rPr>
                <w:sz w:val="20"/>
                <w:szCs w:val="20"/>
              </w:rPr>
              <w:t>(Ont.) (Criminal) (By Leave)</w:t>
            </w:r>
          </w:p>
        </w:tc>
        <w:tc>
          <w:tcPr>
            <w:tcW w:w="360" w:type="dxa"/>
          </w:tcPr>
          <w:p w:rsidR="0099657E" w:rsidRPr="0099657E" w:rsidRDefault="0099657E" w:rsidP="00211A38">
            <w:pPr>
              <w:rPr>
                <w:sz w:val="20"/>
                <w:szCs w:val="20"/>
              </w:rPr>
            </w:pPr>
            <w:r w:rsidRPr="0099657E">
              <w:rPr>
                <w:sz w:val="20"/>
                <w:szCs w:val="20"/>
              </w:rPr>
              <w:t>v.</w:t>
            </w:r>
          </w:p>
        </w:tc>
        <w:tc>
          <w:tcPr>
            <w:tcW w:w="3848" w:type="dxa"/>
          </w:tcPr>
          <w:p w:rsidR="0099657E" w:rsidRPr="0099657E" w:rsidRDefault="0099657E" w:rsidP="00211A38">
            <w:pPr>
              <w:pStyle w:val="SCCAppellantInfoAppellantInfo"/>
              <w:rPr>
                <w:sz w:val="20"/>
                <w:szCs w:val="20"/>
              </w:rPr>
            </w:pPr>
            <w:r w:rsidRPr="0099657E">
              <w:rPr>
                <w:sz w:val="20"/>
                <w:szCs w:val="20"/>
              </w:rPr>
              <w:t>Her Majesty the Queen</w:t>
            </w:r>
          </w:p>
        </w:tc>
      </w:tr>
      <w:tr w:rsidR="0099657E" w:rsidTr="00211A38">
        <w:trPr>
          <w:cantSplit/>
        </w:trPr>
        <w:tc>
          <w:tcPr>
            <w:tcW w:w="508" w:type="dxa"/>
          </w:tcPr>
          <w:p w:rsidR="0099657E" w:rsidRPr="0099657E" w:rsidRDefault="0099657E" w:rsidP="00211A38">
            <w:pPr>
              <w:rPr>
                <w:sz w:val="20"/>
                <w:szCs w:val="20"/>
              </w:rPr>
            </w:pPr>
          </w:p>
        </w:tc>
        <w:tc>
          <w:tcPr>
            <w:tcW w:w="810" w:type="dxa"/>
          </w:tcPr>
          <w:p w:rsidR="0099657E" w:rsidRPr="0099657E" w:rsidRDefault="0099657E" w:rsidP="00211A38">
            <w:pPr>
              <w:rPr>
                <w:sz w:val="20"/>
                <w:szCs w:val="20"/>
              </w:rPr>
            </w:pPr>
          </w:p>
        </w:tc>
        <w:tc>
          <w:tcPr>
            <w:tcW w:w="4050" w:type="dxa"/>
          </w:tcPr>
          <w:p w:rsidR="0099657E" w:rsidRPr="0099657E" w:rsidRDefault="0099657E" w:rsidP="00211A38">
            <w:pPr>
              <w:pStyle w:val="SCCAppellantInfoTypeOfCase"/>
              <w:rPr>
                <w:sz w:val="20"/>
                <w:szCs w:val="20"/>
              </w:rPr>
            </w:pPr>
            <w:r w:rsidRPr="0099657E">
              <w:rPr>
                <w:sz w:val="20"/>
                <w:szCs w:val="20"/>
              </w:rPr>
              <w:t xml:space="preserve">Civil / </w:t>
            </w:r>
            <w:proofErr w:type="spellStart"/>
            <w:r w:rsidRPr="0099657E">
              <w:rPr>
                <w:sz w:val="20"/>
                <w:szCs w:val="20"/>
              </w:rPr>
              <w:t>Civile</w:t>
            </w:r>
            <w:proofErr w:type="spellEnd"/>
          </w:p>
        </w:tc>
        <w:tc>
          <w:tcPr>
            <w:tcW w:w="360" w:type="dxa"/>
          </w:tcPr>
          <w:p w:rsidR="0099657E" w:rsidRPr="0099657E" w:rsidRDefault="0099657E" w:rsidP="00211A38">
            <w:pPr>
              <w:rPr>
                <w:sz w:val="20"/>
                <w:szCs w:val="20"/>
              </w:rPr>
            </w:pPr>
          </w:p>
        </w:tc>
        <w:tc>
          <w:tcPr>
            <w:tcW w:w="3848" w:type="dxa"/>
          </w:tcPr>
          <w:p w:rsidR="0099657E" w:rsidRPr="0099657E" w:rsidRDefault="0099657E" w:rsidP="00211A38">
            <w:pPr>
              <w:rPr>
                <w:sz w:val="20"/>
                <w:szCs w:val="20"/>
              </w:rPr>
            </w:pPr>
          </w:p>
        </w:tc>
      </w:tr>
      <w:tr w:rsidR="0099657E" w:rsidTr="00211A38">
        <w:trPr>
          <w:cantSplit/>
        </w:trPr>
        <w:tc>
          <w:tcPr>
            <w:tcW w:w="508" w:type="dxa"/>
          </w:tcPr>
          <w:p w:rsidR="0099657E" w:rsidRPr="0099657E" w:rsidRDefault="0099657E" w:rsidP="00211A38">
            <w:pPr>
              <w:rPr>
                <w:sz w:val="20"/>
                <w:szCs w:val="20"/>
              </w:rPr>
            </w:pPr>
            <w:r w:rsidRPr="0099657E">
              <w:rPr>
                <w:sz w:val="20"/>
                <w:szCs w:val="20"/>
              </w:rPr>
              <w:t>6.</w:t>
            </w:r>
          </w:p>
        </w:tc>
        <w:tc>
          <w:tcPr>
            <w:tcW w:w="810" w:type="dxa"/>
          </w:tcPr>
          <w:p w:rsidR="0099657E" w:rsidRPr="0099657E" w:rsidRDefault="0099657E" w:rsidP="00211A38">
            <w:pPr>
              <w:rPr>
                <w:sz w:val="20"/>
                <w:szCs w:val="20"/>
              </w:rPr>
            </w:pPr>
            <w:r w:rsidRPr="0099657E">
              <w:rPr>
                <w:sz w:val="20"/>
                <w:szCs w:val="20"/>
              </w:rPr>
              <w:t>38567</w:t>
            </w:r>
          </w:p>
        </w:tc>
        <w:tc>
          <w:tcPr>
            <w:tcW w:w="4050" w:type="dxa"/>
          </w:tcPr>
          <w:p w:rsidR="0099657E" w:rsidRPr="0099657E" w:rsidRDefault="0099657E" w:rsidP="00211A38">
            <w:pPr>
              <w:pStyle w:val="SCCAppellantInfoAppellantInfo"/>
              <w:rPr>
                <w:sz w:val="20"/>
                <w:szCs w:val="20"/>
              </w:rPr>
            </w:pPr>
            <w:r w:rsidRPr="0099657E">
              <w:rPr>
                <w:sz w:val="20"/>
                <w:szCs w:val="20"/>
              </w:rPr>
              <w:t xml:space="preserve">Lyudmila </w:t>
            </w:r>
            <w:proofErr w:type="spellStart"/>
            <w:r w:rsidRPr="0099657E">
              <w:rPr>
                <w:sz w:val="20"/>
                <w:szCs w:val="20"/>
              </w:rPr>
              <w:t>Chavdarova</w:t>
            </w:r>
            <w:proofErr w:type="spellEnd"/>
            <w:r w:rsidRPr="0099657E">
              <w:rPr>
                <w:sz w:val="20"/>
                <w:szCs w:val="20"/>
              </w:rPr>
              <w:t xml:space="preserve"> a.k.a. Mila </w:t>
            </w:r>
            <w:proofErr w:type="spellStart"/>
            <w:r w:rsidRPr="0099657E">
              <w:rPr>
                <w:sz w:val="20"/>
                <w:szCs w:val="20"/>
              </w:rPr>
              <w:t>Chavdarova</w:t>
            </w:r>
            <w:proofErr w:type="spellEnd"/>
          </w:p>
          <w:p w:rsidR="0099657E" w:rsidRPr="0099657E" w:rsidRDefault="0099657E" w:rsidP="00211A38">
            <w:pPr>
              <w:pStyle w:val="SCCAppellantInfoAppellantInfo"/>
              <w:rPr>
                <w:sz w:val="20"/>
                <w:szCs w:val="20"/>
              </w:rPr>
            </w:pPr>
            <w:r w:rsidRPr="0099657E">
              <w:rPr>
                <w:sz w:val="20"/>
                <w:szCs w:val="20"/>
              </w:rPr>
              <w:t>(Ont.) (Civil) (By Leave)</w:t>
            </w:r>
          </w:p>
        </w:tc>
        <w:tc>
          <w:tcPr>
            <w:tcW w:w="360" w:type="dxa"/>
          </w:tcPr>
          <w:p w:rsidR="0099657E" w:rsidRPr="0099657E" w:rsidRDefault="0099657E" w:rsidP="00211A38">
            <w:pPr>
              <w:rPr>
                <w:sz w:val="20"/>
                <w:szCs w:val="20"/>
              </w:rPr>
            </w:pPr>
            <w:r w:rsidRPr="0099657E">
              <w:rPr>
                <w:sz w:val="20"/>
                <w:szCs w:val="20"/>
              </w:rPr>
              <w:t>v.</w:t>
            </w:r>
          </w:p>
        </w:tc>
        <w:tc>
          <w:tcPr>
            <w:tcW w:w="3848" w:type="dxa"/>
          </w:tcPr>
          <w:p w:rsidR="0099657E" w:rsidRPr="0099657E" w:rsidRDefault="0099657E" w:rsidP="00211A38">
            <w:pPr>
              <w:pStyle w:val="SCCAppellantInfoAppellantInfo"/>
              <w:rPr>
                <w:sz w:val="20"/>
                <w:szCs w:val="20"/>
              </w:rPr>
            </w:pPr>
            <w:r w:rsidRPr="0099657E">
              <w:rPr>
                <w:sz w:val="20"/>
                <w:szCs w:val="20"/>
              </w:rPr>
              <w:t>The Staffing Exchange Inc. a.k.a. TSE Canada Inc.</w:t>
            </w:r>
          </w:p>
        </w:tc>
      </w:tr>
      <w:tr w:rsidR="0099657E" w:rsidTr="00211A38">
        <w:trPr>
          <w:cantSplit/>
        </w:trPr>
        <w:tc>
          <w:tcPr>
            <w:tcW w:w="508" w:type="dxa"/>
          </w:tcPr>
          <w:p w:rsidR="0099657E" w:rsidRPr="0099657E" w:rsidRDefault="0099657E" w:rsidP="00211A38">
            <w:pPr>
              <w:rPr>
                <w:sz w:val="20"/>
                <w:szCs w:val="20"/>
              </w:rPr>
            </w:pPr>
            <w:r w:rsidRPr="0099657E">
              <w:rPr>
                <w:sz w:val="20"/>
                <w:szCs w:val="20"/>
              </w:rPr>
              <w:t>7.</w:t>
            </w:r>
          </w:p>
        </w:tc>
        <w:tc>
          <w:tcPr>
            <w:tcW w:w="810" w:type="dxa"/>
          </w:tcPr>
          <w:p w:rsidR="0099657E" w:rsidRPr="0099657E" w:rsidRDefault="0099657E" w:rsidP="00211A38">
            <w:pPr>
              <w:rPr>
                <w:sz w:val="20"/>
                <w:szCs w:val="20"/>
              </w:rPr>
            </w:pPr>
            <w:r w:rsidRPr="0099657E">
              <w:rPr>
                <w:sz w:val="20"/>
                <w:szCs w:val="20"/>
              </w:rPr>
              <w:t>38563</w:t>
            </w:r>
          </w:p>
        </w:tc>
        <w:tc>
          <w:tcPr>
            <w:tcW w:w="4050" w:type="dxa"/>
          </w:tcPr>
          <w:p w:rsidR="0099657E" w:rsidRPr="0099657E" w:rsidRDefault="0099657E" w:rsidP="00211A38">
            <w:pPr>
              <w:pStyle w:val="SCCAppellantInfoAppellantInfo"/>
              <w:rPr>
                <w:sz w:val="20"/>
                <w:szCs w:val="20"/>
              </w:rPr>
            </w:pPr>
            <w:r w:rsidRPr="0099657E">
              <w:rPr>
                <w:sz w:val="20"/>
                <w:szCs w:val="20"/>
              </w:rPr>
              <w:t>Alex Martinez</w:t>
            </w:r>
          </w:p>
          <w:p w:rsidR="0099657E" w:rsidRPr="0099657E" w:rsidRDefault="0099657E" w:rsidP="00211A38">
            <w:pPr>
              <w:pStyle w:val="SCCAppellantInfoAppellantInfo"/>
              <w:rPr>
                <w:sz w:val="20"/>
                <w:szCs w:val="20"/>
              </w:rPr>
            </w:pPr>
            <w:r w:rsidRPr="0099657E">
              <w:rPr>
                <w:sz w:val="20"/>
                <w:szCs w:val="20"/>
              </w:rPr>
              <w:t>(FC) (Civil) (By Leave)</w:t>
            </w:r>
          </w:p>
        </w:tc>
        <w:tc>
          <w:tcPr>
            <w:tcW w:w="360" w:type="dxa"/>
          </w:tcPr>
          <w:p w:rsidR="0099657E" w:rsidRPr="0099657E" w:rsidRDefault="0099657E" w:rsidP="00211A38">
            <w:pPr>
              <w:rPr>
                <w:sz w:val="20"/>
                <w:szCs w:val="20"/>
              </w:rPr>
            </w:pPr>
            <w:r w:rsidRPr="0099657E">
              <w:rPr>
                <w:sz w:val="20"/>
                <w:szCs w:val="20"/>
              </w:rPr>
              <w:t>v.</w:t>
            </w:r>
          </w:p>
        </w:tc>
        <w:tc>
          <w:tcPr>
            <w:tcW w:w="3848" w:type="dxa"/>
          </w:tcPr>
          <w:p w:rsidR="0099657E" w:rsidRPr="0099657E" w:rsidRDefault="0099657E" w:rsidP="00211A38">
            <w:pPr>
              <w:pStyle w:val="SCCAppellantInfoAppellantInfo"/>
              <w:rPr>
                <w:sz w:val="20"/>
                <w:szCs w:val="20"/>
              </w:rPr>
            </w:pPr>
            <w:r w:rsidRPr="0099657E">
              <w:rPr>
                <w:sz w:val="20"/>
                <w:szCs w:val="20"/>
              </w:rPr>
              <w:t>Her Majesty the Queen, et al.</w:t>
            </w:r>
          </w:p>
        </w:tc>
      </w:tr>
      <w:tr w:rsidR="0099657E" w:rsidTr="00211A38">
        <w:trPr>
          <w:cantSplit/>
        </w:trPr>
        <w:tc>
          <w:tcPr>
            <w:tcW w:w="508" w:type="dxa"/>
          </w:tcPr>
          <w:p w:rsidR="0099657E" w:rsidRPr="0099657E" w:rsidRDefault="0099657E" w:rsidP="00211A38">
            <w:pPr>
              <w:rPr>
                <w:sz w:val="20"/>
                <w:szCs w:val="20"/>
              </w:rPr>
            </w:pPr>
            <w:r w:rsidRPr="0099657E">
              <w:rPr>
                <w:sz w:val="20"/>
                <w:szCs w:val="20"/>
              </w:rPr>
              <w:t>8.</w:t>
            </w:r>
          </w:p>
        </w:tc>
        <w:tc>
          <w:tcPr>
            <w:tcW w:w="810" w:type="dxa"/>
          </w:tcPr>
          <w:p w:rsidR="0099657E" w:rsidRPr="0099657E" w:rsidRDefault="0099657E" w:rsidP="00211A38">
            <w:pPr>
              <w:rPr>
                <w:sz w:val="20"/>
                <w:szCs w:val="20"/>
              </w:rPr>
            </w:pPr>
            <w:r w:rsidRPr="0099657E">
              <w:rPr>
                <w:sz w:val="20"/>
                <w:szCs w:val="20"/>
              </w:rPr>
              <w:t>38543</w:t>
            </w:r>
          </w:p>
        </w:tc>
        <w:tc>
          <w:tcPr>
            <w:tcW w:w="4050" w:type="dxa"/>
          </w:tcPr>
          <w:p w:rsidR="0099657E" w:rsidRPr="0099657E" w:rsidRDefault="0099657E" w:rsidP="00211A38">
            <w:pPr>
              <w:pStyle w:val="SCCAppellantInfoAppellantInfo"/>
              <w:rPr>
                <w:sz w:val="20"/>
                <w:szCs w:val="20"/>
              </w:rPr>
            </w:pPr>
            <w:proofErr w:type="spellStart"/>
            <w:r w:rsidRPr="0099657E">
              <w:rPr>
                <w:sz w:val="20"/>
                <w:szCs w:val="20"/>
              </w:rPr>
              <w:t>Salwa</w:t>
            </w:r>
            <w:proofErr w:type="spellEnd"/>
            <w:r w:rsidRPr="0099657E">
              <w:rPr>
                <w:sz w:val="20"/>
                <w:szCs w:val="20"/>
              </w:rPr>
              <w:t xml:space="preserve"> </w:t>
            </w:r>
            <w:proofErr w:type="spellStart"/>
            <w:r w:rsidRPr="0099657E">
              <w:rPr>
                <w:sz w:val="20"/>
                <w:szCs w:val="20"/>
              </w:rPr>
              <w:t>Abdalla</w:t>
            </w:r>
            <w:proofErr w:type="spellEnd"/>
          </w:p>
          <w:p w:rsidR="0099657E" w:rsidRDefault="0099657E" w:rsidP="00211A38">
            <w:pPr>
              <w:pStyle w:val="SCCAppellantInfoAppellantInfo"/>
              <w:rPr>
                <w:sz w:val="20"/>
                <w:szCs w:val="20"/>
              </w:rPr>
            </w:pPr>
            <w:r w:rsidRPr="0099657E">
              <w:rPr>
                <w:sz w:val="20"/>
                <w:szCs w:val="20"/>
              </w:rPr>
              <w:t>(FC) (Civil) (By Leave)</w:t>
            </w:r>
          </w:p>
          <w:p w:rsidR="0099657E" w:rsidRPr="0099657E" w:rsidRDefault="0099657E" w:rsidP="0099657E"/>
        </w:tc>
        <w:tc>
          <w:tcPr>
            <w:tcW w:w="360" w:type="dxa"/>
          </w:tcPr>
          <w:p w:rsidR="0099657E" w:rsidRPr="0099657E" w:rsidRDefault="0099657E" w:rsidP="00211A38">
            <w:pPr>
              <w:rPr>
                <w:sz w:val="20"/>
                <w:szCs w:val="20"/>
              </w:rPr>
            </w:pPr>
            <w:r w:rsidRPr="0099657E">
              <w:rPr>
                <w:sz w:val="20"/>
                <w:szCs w:val="20"/>
              </w:rPr>
              <w:t>v.</w:t>
            </w:r>
          </w:p>
        </w:tc>
        <w:tc>
          <w:tcPr>
            <w:tcW w:w="3848" w:type="dxa"/>
          </w:tcPr>
          <w:p w:rsidR="0099657E" w:rsidRPr="0099657E" w:rsidRDefault="0099657E" w:rsidP="00211A38">
            <w:pPr>
              <w:pStyle w:val="SCCAppellantInfoAppellantInfo"/>
              <w:rPr>
                <w:sz w:val="20"/>
                <w:szCs w:val="20"/>
              </w:rPr>
            </w:pPr>
            <w:r w:rsidRPr="0099657E">
              <w:rPr>
                <w:sz w:val="20"/>
                <w:szCs w:val="20"/>
              </w:rPr>
              <w:t>Her Majesty the Queen</w:t>
            </w:r>
          </w:p>
        </w:tc>
      </w:tr>
      <w:tr w:rsidR="0099657E" w:rsidRPr="003A218E" w:rsidTr="00211A38">
        <w:trPr>
          <w:cantSplit/>
        </w:trPr>
        <w:tc>
          <w:tcPr>
            <w:tcW w:w="508" w:type="dxa"/>
          </w:tcPr>
          <w:p w:rsidR="0099657E" w:rsidRPr="0099657E" w:rsidRDefault="0099657E" w:rsidP="00211A38">
            <w:pPr>
              <w:rPr>
                <w:sz w:val="20"/>
                <w:szCs w:val="20"/>
              </w:rPr>
            </w:pPr>
          </w:p>
        </w:tc>
        <w:tc>
          <w:tcPr>
            <w:tcW w:w="810" w:type="dxa"/>
          </w:tcPr>
          <w:p w:rsidR="0099657E" w:rsidRPr="0099657E" w:rsidRDefault="0099657E" w:rsidP="00211A38">
            <w:pPr>
              <w:rPr>
                <w:sz w:val="20"/>
                <w:szCs w:val="20"/>
              </w:rPr>
            </w:pPr>
          </w:p>
        </w:tc>
        <w:tc>
          <w:tcPr>
            <w:tcW w:w="8258" w:type="dxa"/>
            <w:gridSpan w:val="3"/>
          </w:tcPr>
          <w:p w:rsidR="0099657E" w:rsidRPr="00C50A5C" w:rsidRDefault="0099657E" w:rsidP="0099657E">
            <w:pPr>
              <w:widowControl w:val="0"/>
              <w:jc w:val="center"/>
              <w:rPr>
                <w:b/>
                <w:sz w:val="20"/>
                <w:szCs w:val="20"/>
              </w:rPr>
            </w:pPr>
            <w:r w:rsidRPr="00C50A5C">
              <w:rPr>
                <w:b/>
                <w:sz w:val="20"/>
                <w:szCs w:val="20"/>
              </w:rPr>
              <w:t xml:space="preserve">CORAM: </w:t>
            </w:r>
            <w:r w:rsidRPr="00253236">
              <w:rPr>
                <w:b/>
                <w:sz w:val="20"/>
                <w:szCs w:val="20"/>
              </w:rPr>
              <w:t>Moldaver</w:t>
            </w:r>
            <w:r>
              <w:rPr>
                <w:b/>
                <w:sz w:val="20"/>
                <w:szCs w:val="20"/>
              </w:rPr>
              <w:t xml:space="preserve">, Karakatsanis and </w:t>
            </w:r>
            <w:r w:rsidRPr="00253236">
              <w:rPr>
                <w:b/>
                <w:sz w:val="20"/>
                <w:szCs w:val="20"/>
              </w:rPr>
              <w:t>Côté</w:t>
            </w:r>
            <w:r>
              <w:rPr>
                <w:b/>
                <w:sz w:val="20"/>
                <w:szCs w:val="20"/>
              </w:rPr>
              <w:t xml:space="preserve"> </w:t>
            </w:r>
            <w:r w:rsidRPr="00C50A5C">
              <w:rPr>
                <w:b/>
                <w:sz w:val="20"/>
                <w:szCs w:val="20"/>
              </w:rPr>
              <w:t>JJ.</w:t>
            </w:r>
          </w:p>
          <w:p w:rsidR="0099657E" w:rsidRPr="0099657E" w:rsidRDefault="0099657E" w:rsidP="0099657E">
            <w:pPr>
              <w:widowControl w:val="0"/>
              <w:jc w:val="center"/>
              <w:rPr>
                <w:sz w:val="20"/>
                <w:szCs w:val="20"/>
                <w:lang w:val="fr-CA"/>
              </w:rPr>
            </w:pPr>
            <w:r w:rsidRPr="00C50A5C">
              <w:rPr>
                <w:b/>
                <w:sz w:val="20"/>
                <w:szCs w:val="20"/>
                <w:lang w:val="fr-CA"/>
              </w:rPr>
              <w:t xml:space="preserve">Les juges </w:t>
            </w:r>
            <w:r w:rsidRPr="00253236">
              <w:rPr>
                <w:b/>
                <w:sz w:val="20"/>
                <w:szCs w:val="20"/>
                <w:lang w:val="fr-CA"/>
              </w:rPr>
              <w:t>Moldaver</w:t>
            </w:r>
            <w:r>
              <w:rPr>
                <w:b/>
                <w:sz w:val="20"/>
                <w:szCs w:val="20"/>
                <w:lang w:val="fr-CA"/>
              </w:rPr>
              <w:t xml:space="preserve">, Karakatsanis et </w:t>
            </w:r>
            <w:r w:rsidRPr="00253236">
              <w:rPr>
                <w:b/>
                <w:sz w:val="20"/>
                <w:szCs w:val="20"/>
                <w:lang w:val="fr-CA"/>
              </w:rPr>
              <w:t>Côté</w:t>
            </w:r>
          </w:p>
        </w:tc>
      </w:tr>
      <w:tr w:rsidR="0099657E" w:rsidTr="00211A38">
        <w:trPr>
          <w:cantSplit/>
        </w:trPr>
        <w:tc>
          <w:tcPr>
            <w:tcW w:w="508" w:type="dxa"/>
          </w:tcPr>
          <w:p w:rsidR="0099657E" w:rsidRPr="0099657E" w:rsidRDefault="0099657E" w:rsidP="00211A38">
            <w:pPr>
              <w:rPr>
                <w:sz w:val="20"/>
                <w:szCs w:val="20"/>
                <w:lang w:val="fr-CA"/>
              </w:rPr>
            </w:pPr>
          </w:p>
        </w:tc>
        <w:tc>
          <w:tcPr>
            <w:tcW w:w="810" w:type="dxa"/>
          </w:tcPr>
          <w:p w:rsidR="0099657E" w:rsidRPr="0099657E" w:rsidRDefault="0099657E" w:rsidP="00211A38">
            <w:pPr>
              <w:rPr>
                <w:sz w:val="20"/>
                <w:szCs w:val="20"/>
                <w:lang w:val="fr-CA"/>
              </w:rPr>
            </w:pPr>
          </w:p>
        </w:tc>
        <w:tc>
          <w:tcPr>
            <w:tcW w:w="4050" w:type="dxa"/>
          </w:tcPr>
          <w:p w:rsidR="0099657E" w:rsidRPr="0099657E" w:rsidRDefault="0099657E" w:rsidP="00211A38">
            <w:pPr>
              <w:pStyle w:val="SCCAppellantInfoTypeOfCase"/>
              <w:rPr>
                <w:sz w:val="20"/>
                <w:szCs w:val="20"/>
              </w:rPr>
            </w:pPr>
            <w:r w:rsidRPr="0099657E">
              <w:rPr>
                <w:sz w:val="20"/>
                <w:szCs w:val="20"/>
              </w:rPr>
              <w:t xml:space="preserve">Criminal / </w:t>
            </w:r>
            <w:proofErr w:type="spellStart"/>
            <w:r w:rsidRPr="0099657E">
              <w:rPr>
                <w:sz w:val="20"/>
                <w:szCs w:val="20"/>
              </w:rPr>
              <w:t>Criminelle</w:t>
            </w:r>
            <w:proofErr w:type="spellEnd"/>
          </w:p>
        </w:tc>
        <w:tc>
          <w:tcPr>
            <w:tcW w:w="360" w:type="dxa"/>
          </w:tcPr>
          <w:p w:rsidR="0099657E" w:rsidRPr="0099657E" w:rsidRDefault="0099657E" w:rsidP="00211A38">
            <w:pPr>
              <w:rPr>
                <w:sz w:val="20"/>
                <w:szCs w:val="20"/>
              </w:rPr>
            </w:pPr>
          </w:p>
        </w:tc>
        <w:tc>
          <w:tcPr>
            <w:tcW w:w="3848" w:type="dxa"/>
          </w:tcPr>
          <w:p w:rsidR="0099657E" w:rsidRPr="0099657E" w:rsidRDefault="0099657E" w:rsidP="00211A38">
            <w:pPr>
              <w:rPr>
                <w:sz w:val="20"/>
                <w:szCs w:val="20"/>
              </w:rPr>
            </w:pPr>
          </w:p>
        </w:tc>
      </w:tr>
      <w:tr w:rsidR="0099657E" w:rsidTr="00211A38">
        <w:trPr>
          <w:cantSplit/>
        </w:trPr>
        <w:tc>
          <w:tcPr>
            <w:tcW w:w="508" w:type="dxa"/>
          </w:tcPr>
          <w:p w:rsidR="0099657E" w:rsidRPr="0099657E" w:rsidRDefault="0099657E" w:rsidP="00211A38">
            <w:pPr>
              <w:rPr>
                <w:sz w:val="20"/>
                <w:szCs w:val="20"/>
              </w:rPr>
            </w:pPr>
            <w:r w:rsidRPr="0099657E">
              <w:rPr>
                <w:sz w:val="20"/>
                <w:szCs w:val="20"/>
              </w:rPr>
              <w:t>9.</w:t>
            </w:r>
          </w:p>
        </w:tc>
        <w:tc>
          <w:tcPr>
            <w:tcW w:w="810" w:type="dxa"/>
          </w:tcPr>
          <w:p w:rsidR="0099657E" w:rsidRPr="0099657E" w:rsidRDefault="0099657E" w:rsidP="00211A38">
            <w:pPr>
              <w:rPr>
                <w:sz w:val="20"/>
                <w:szCs w:val="20"/>
              </w:rPr>
            </w:pPr>
            <w:r w:rsidRPr="0099657E">
              <w:rPr>
                <w:sz w:val="20"/>
                <w:szCs w:val="20"/>
              </w:rPr>
              <w:t>38542</w:t>
            </w:r>
          </w:p>
        </w:tc>
        <w:tc>
          <w:tcPr>
            <w:tcW w:w="4050" w:type="dxa"/>
          </w:tcPr>
          <w:p w:rsidR="0099657E" w:rsidRPr="0099657E" w:rsidRDefault="0099657E" w:rsidP="00211A38">
            <w:pPr>
              <w:pStyle w:val="SCCAppellantInfoAppellantInfo"/>
              <w:rPr>
                <w:sz w:val="20"/>
                <w:szCs w:val="20"/>
              </w:rPr>
            </w:pPr>
            <w:r w:rsidRPr="0099657E">
              <w:rPr>
                <w:sz w:val="20"/>
                <w:szCs w:val="20"/>
              </w:rPr>
              <w:t xml:space="preserve">Nathan Harvey Allman </w:t>
            </w:r>
            <w:proofErr w:type="spellStart"/>
            <w:r w:rsidRPr="0099657E">
              <w:rPr>
                <w:sz w:val="20"/>
                <w:szCs w:val="20"/>
              </w:rPr>
              <w:t>Wolfleg</w:t>
            </w:r>
            <w:proofErr w:type="spellEnd"/>
          </w:p>
          <w:p w:rsidR="0099657E" w:rsidRPr="0099657E" w:rsidRDefault="0099657E" w:rsidP="00211A38">
            <w:pPr>
              <w:pStyle w:val="SCCAppellantInfoAppellantInfo"/>
              <w:rPr>
                <w:sz w:val="20"/>
                <w:szCs w:val="20"/>
              </w:rPr>
            </w:pPr>
            <w:r w:rsidRPr="0099657E">
              <w:rPr>
                <w:sz w:val="20"/>
                <w:szCs w:val="20"/>
              </w:rPr>
              <w:t>(Alta.) (Criminal) (By Leave)</w:t>
            </w:r>
          </w:p>
        </w:tc>
        <w:tc>
          <w:tcPr>
            <w:tcW w:w="360" w:type="dxa"/>
          </w:tcPr>
          <w:p w:rsidR="0099657E" w:rsidRPr="0099657E" w:rsidRDefault="0099657E" w:rsidP="00211A38">
            <w:pPr>
              <w:rPr>
                <w:sz w:val="20"/>
                <w:szCs w:val="20"/>
              </w:rPr>
            </w:pPr>
            <w:r w:rsidRPr="0099657E">
              <w:rPr>
                <w:sz w:val="20"/>
                <w:szCs w:val="20"/>
              </w:rPr>
              <w:t>v.</w:t>
            </w:r>
          </w:p>
        </w:tc>
        <w:tc>
          <w:tcPr>
            <w:tcW w:w="3848" w:type="dxa"/>
          </w:tcPr>
          <w:p w:rsidR="0099657E" w:rsidRPr="0099657E" w:rsidRDefault="0099657E" w:rsidP="00211A38">
            <w:pPr>
              <w:pStyle w:val="SCCAppellantInfoAppellantInfo"/>
              <w:rPr>
                <w:sz w:val="20"/>
                <w:szCs w:val="20"/>
              </w:rPr>
            </w:pPr>
            <w:r w:rsidRPr="0099657E">
              <w:rPr>
                <w:sz w:val="20"/>
                <w:szCs w:val="20"/>
              </w:rPr>
              <w:t>Her Majesty the Queen</w:t>
            </w:r>
          </w:p>
        </w:tc>
      </w:tr>
      <w:tr w:rsidR="0099657E" w:rsidTr="00211A38">
        <w:trPr>
          <w:cantSplit/>
        </w:trPr>
        <w:tc>
          <w:tcPr>
            <w:tcW w:w="508" w:type="dxa"/>
          </w:tcPr>
          <w:p w:rsidR="0099657E" w:rsidRPr="0099657E" w:rsidRDefault="0099657E" w:rsidP="00211A38">
            <w:pPr>
              <w:rPr>
                <w:sz w:val="20"/>
                <w:szCs w:val="20"/>
              </w:rPr>
            </w:pPr>
            <w:r w:rsidRPr="0099657E">
              <w:rPr>
                <w:sz w:val="20"/>
                <w:szCs w:val="20"/>
              </w:rPr>
              <w:t>10.</w:t>
            </w:r>
          </w:p>
        </w:tc>
        <w:tc>
          <w:tcPr>
            <w:tcW w:w="810" w:type="dxa"/>
          </w:tcPr>
          <w:p w:rsidR="0099657E" w:rsidRPr="0099657E" w:rsidRDefault="0099657E" w:rsidP="00211A38">
            <w:pPr>
              <w:rPr>
                <w:sz w:val="20"/>
                <w:szCs w:val="20"/>
              </w:rPr>
            </w:pPr>
            <w:r w:rsidRPr="0099657E">
              <w:rPr>
                <w:sz w:val="20"/>
                <w:szCs w:val="20"/>
              </w:rPr>
              <w:t>38565</w:t>
            </w:r>
          </w:p>
        </w:tc>
        <w:tc>
          <w:tcPr>
            <w:tcW w:w="4050" w:type="dxa"/>
          </w:tcPr>
          <w:p w:rsidR="0099657E" w:rsidRPr="0099657E" w:rsidRDefault="0099657E" w:rsidP="00211A38">
            <w:pPr>
              <w:pStyle w:val="SCCAppellantInfoAppellantInfo"/>
              <w:rPr>
                <w:sz w:val="20"/>
                <w:szCs w:val="20"/>
              </w:rPr>
            </w:pPr>
            <w:proofErr w:type="spellStart"/>
            <w:r w:rsidRPr="0099657E">
              <w:rPr>
                <w:sz w:val="20"/>
                <w:szCs w:val="20"/>
              </w:rPr>
              <w:t>Chando</w:t>
            </w:r>
            <w:proofErr w:type="spellEnd"/>
            <w:r w:rsidRPr="0099657E">
              <w:rPr>
                <w:sz w:val="20"/>
                <w:szCs w:val="20"/>
              </w:rPr>
              <w:t xml:space="preserve"> Kayne Jackson</w:t>
            </w:r>
          </w:p>
          <w:p w:rsidR="0099657E" w:rsidRPr="0099657E" w:rsidRDefault="0099657E" w:rsidP="00211A38">
            <w:pPr>
              <w:pStyle w:val="SCCAppellantInfoAppellantInfo"/>
              <w:rPr>
                <w:sz w:val="20"/>
                <w:szCs w:val="20"/>
              </w:rPr>
            </w:pPr>
            <w:r w:rsidRPr="0099657E">
              <w:rPr>
                <w:sz w:val="20"/>
                <w:szCs w:val="20"/>
              </w:rPr>
              <w:t>(Alta.) (Criminal) (By Leave)</w:t>
            </w:r>
          </w:p>
        </w:tc>
        <w:tc>
          <w:tcPr>
            <w:tcW w:w="360" w:type="dxa"/>
          </w:tcPr>
          <w:p w:rsidR="0099657E" w:rsidRPr="0099657E" w:rsidRDefault="0099657E" w:rsidP="00211A38">
            <w:pPr>
              <w:rPr>
                <w:sz w:val="20"/>
                <w:szCs w:val="20"/>
              </w:rPr>
            </w:pPr>
            <w:r w:rsidRPr="0099657E">
              <w:rPr>
                <w:sz w:val="20"/>
                <w:szCs w:val="20"/>
              </w:rPr>
              <w:t>v.</w:t>
            </w:r>
          </w:p>
        </w:tc>
        <w:tc>
          <w:tcPr>
            <w:tcW w:w="3848" w:type="dxa"/>
          </w:tcPr>
          <w:p w:rsidR="0099657E" w:rsidRPr="0099657E" w:rsidRDefault="0099657E" w:rsidP="00211A38">
            <w:pPr>
              <w:pStyle w:val="SCCAppellantInfoAppellantInfo"/>
              <w:rPr>
                <w:sz w:val="20"/>
                <w:szCs w:val="20"/>
              </w:rPr>
            </w:pPr>
            <w:r w:rsidRPr="0099657E">
              <w:rPr>
                <w:sz w:val="20"/>
                <w:szCs w:val="20"/>
              </w:rPr>
              <w:t>Her Majesty the Queen</w:t>
            </w:r>
          </w:p>
        </w:tc>
      </w:tr>
      <w:tr w:rsidR="0099657E" w:rsidTr="00211A38">
        <w:trPr>
          <w:cantSplit/>
        </w:trPr>
        <w:tc>
          <w:tcPr>
            <w:tcW w:w="508" w:type="dxa"/>
          </w:tcPr>
          <w:p w:rsidR="0099657E" w:rsidRPr="0099657E" w:rsidRDefault="0099657E" w:rsidP="00211A38">
            <w:pPr>
              <w:rPr>
                <w:sz w:val="20"/>
                <w:szCs w:val="20"/>
              </w:rPr>
            </w:pPr>
          </w:p>
        </w:tc>
        <w:tc>
          <w:tcPr>
            <w:tcW w:w="810" w:type="dxa"/>
          </w:tcPr>
          <w:p w:rsidR="0099657E" w:rsidRPr="0099657E" w:rsidRDefault="0099657E" w:rsidP="00211A38">
            <w:pPr>
              <w:rPr>
                <w:sz w:val="20"/>
                <w:szCs w:val="20"/>
              </w:rPr>
            </w:pPr>
          </w:p>
        </w:tc>
        <w:tc>
          <w:tcPr>
            <w:tcW w:w="4050" w:type="dxa"/>
          </w:tcPr>
          <w:p w:rsidR="0099657E" w:rsidRPr="0099657E" w:rsidRDefault="0099657E" w:rsidP="00211A38">
            <w:pPr>
              <w:pStyle w:val="SCCAppellantInfoTypeOfCase"/>
              <w:rPr>
                <w:sz w:val="20"/>
                <w:szCs w:val="20"/>
              </w:rPr>
            </w:pPr>
            <w:r w:rsidRPr="0099657E">
              <w:rPr>
                <w:sz w:val="20"/>
                <w:szCs w:val="20"/>
              </w:rPr>
              <w:t xml:space="preserve">Civil / </w:t>
            </w:r>
            <w:proofErr w:type="spellStart"/>
            <w:r w:rsidRPr="0099657E">
              <w:rPr>
                <w:sz w:val="20"/>
                <w:szCs w:val="20"/>
              </w:rPr>
              <w:t>Civile</w:t>
            </w:r>
            <w:proofErr w:type="spellEnd"/>
          </w:p>
        </w:tc>
        <w:tc>
          <w:tcPr>
            <w:tcW w:w="360" w:type="dxa"/>
          </w:tcPr>
          <w:p w:rsidR="0099657E" w:rsidRPr="0099657E" w:rsidRDefault="0099657E" w:rsidP="00211A38">
            <w:pPr>
              <w:rPr>
                <w:sz w:val="20"/>
                <w:szCs w:val="20"/>
              </w:rPr>
            </w:pPr>
          </w:p>
        </w:tc>
        <w:tc>
          <w:tcPr>
            <w:tcW w:w="3848" w:type="dxa"/>
          </w:tcPr>
          <w:p w:rsidR="0099657E" w:rsidRPr="0099657E" w:rsidRDefault="0099657E" w:rsidP="00211A38">
            <w:pPr>
              <w:rPr>
                <w:sz w:val="20"/>
                <w:szCs w:val="20"/>
              </w:rPr>
            </w:pPr>
          </w:p>
        </w:tc>
      </w:tr>
      <w:tr w:rsidR="0099657E" w:rsidTr="00211A38">
        <w:trPr>
          <w:cantSplit/>
        </w:trPr>
        <w:tc>
          <w:tcPr>
            <w:tcW w:w="508" w:type="dxa"/>
          </w:tcPr>
          <w:p w:rsidR="0099657E" w:rsidRPr="0099657E" w:rsidRDefault="0099657E" w:rsidP="00211A38">
            <w:pPr>
              <w:rPr>
                <w:sz w:val="20"/>
                <w:szCs w:val="20"/>
              </w:rPr>
            </w:pPr>
            <w:r w:rsidRPr="0099657E">
              <w:rPr>
                <w:sz w:val="20"/>
                <w:szCs w:val="20"/>
              </w:rPr>
              <w:t>11.</w:t>
            </w:r>
          </w:p>
        </w:tc>
        <w:tc>
          <w:tcPr>
            <w:tcW w:w="810" w:type="dxa"/>
          </w:tcPr>
          <w:p w:rsidR="0099657E" w:rsidRPr="0099657E" w:rsidRDefault="0099657E" w:rsidP="00211A38">
            <w:pPr>
              <w:rPr>
                <w:sz w:val="20"/>
                <w:szCs w:val="20"/>
              </w:rPr>
            </w:pPr>
            <w:r w:rsidRPr="0099657E">
              <w:rPr>
                <w:sz w:val="20"/>
                <w:szCs w:val="20"/>
              </w:rPr>
              <w:t>38495</w:t>
            </w:r>
          </w:p>
        </w:tc>
        <w:tc>
          <w:tcPr>
            <w:tcW w:w="4050" w:type="dxa"/>
          </w:tcPr>
          <w:p w:rsidR="0099657E" w:rsidRPr="0099657E" w:rsidRDefault="0099657E" w:rsidP="00211A38">
            <w:pPr>
              <w:pStyle w:val="SCCAppellantInfoAppellantInfo"/>
              <w:rPr>
                <w:sz w:val="20"/>
                <w:szCs w:val="20"/>
              </w:rPr>
            </w:pPr>
            <w:r w:rsidRPr="0099657E">
              <w:rPr>
                <w:sz w:val="20"/>
                <w:szCs w:val="20"/>
              </w:rPr>
              <w:t xml:space="preserve">Shelly Ann </w:t>
            </w:r>
            <w:proofErr w:type="spellStart"/>
            <w:r w:rsidRPr="0099657E">
              <w:rPr>
                <w:sz w:val="20"/>
                <w:szCs w:val="20"/>
              </w:rPr>
              <w:t>Petz</w:t>
            </w:r>
            <w:proofErr w:type="spellEnd"/>
          </w:p>
          <w:p w:rsidR="0099657E" w:rsidRPr="0099657E" w:rsidRDefault="0099657E" w:rsidP="00211A38">
            <w:pPr>
              <w:pStyle w:val="SCCAppellantInfoAppellantInfo"/>
              <w:rPr>
                <w:sz w:val="20"/>
                <w:szCs w:val="20"/>
              </w:rPr>
            </w:pPr>
            <w:r w:rsidRPr="0099657E">
              <w:rPr>
                <w:sz w:val="20"/>
                <w:szCs w:val="20"/>
              </w:rPr>
              <w:t>(Alta.) (Civil) (By Leave)</w:t>
            </w:r>
          </w:p>
        </w:tc>
        <w:tc>
          <w:tcPr>
            <w:tcW w:w="360" w:type="dxa"/>
          </w:tcPr>
          <w:p w:rsidR="0099657E" w:rsidRPr="0099657E" w:rsidRDefault="0099657E" w:rsidP="00211A38">
            <w:pPr>
              <w:rPr>
                <w:sz w:val="20"/>
                <w:szCs w:val="20"/>
              </w:rPr>
            </w:pPr>
            <w:r w:rsidRPr="0099657E">
              <w:rPr>
                <w:sz w:val="20"/>
                <w:szCs w:val="20"/>
              </w:rPr>
              <w:t>v.</w:t>
            </w:r>
          </w:p>
        </w:tc>
        <w:tc>
          <w:tcPr>
            <w:tcW w:w="3848" w:type="dxa"/>
          </w:tcPr>
          <w:p w:rsidR="0099657E" w:rsidRPr="0099657E" w:rsidRDefault="0099657E" w:rsidP="00211A38">
            <w:pPr>
              <w:pStyle w:val="SCCAppellantInfoAppellantInfo"/>
              <w:rPr>
                <w:sz w:val="20"/>
                <w:szCs w:val="20"/>
              </w:rPr>
            </w:pPr>
            <w:r w:rsidRPr="0099657E">
              <w:rPr>
                <w:sz w:val="20"/>
                <w:szCs w:val="20"/>
              </w:rPr>
              <w:t xml:space="preserve">Patrick </w:t>
            </w:r>
            <w:proofErr w:type="spellStart"/>
            <w:r w:rsidRPr="0099657E">
              <w:rPr>
                <w:sz w:val="20"/>
                <w:szCs w:val="20"/>
              </w:rPr>
              <w:t>Duguay</w:t>
            </w:r>
            <w:proofErr w:type="spellEnd"/>
          </w:p>
        </w:tc>
      </w:tr>
    </w:tbl>
    <w:p w:rsidR="00102792" w:rsidRPr="00CB3520" w:rsidRDefault="00102792" w:rsidP="00102792">
      <w:pPr>
        <w:widowControl w:val="0"/>
        <w:rPr>
          <w:sz w:val="20"/>
          <w:szCs w:val="20"/>
        </w:rPr>
      </w:pPr>
    </w:p>
    <w:p w:rsidR="00D94028" w:rsidRPr="00C50A5C" w:rsidRDefault="003A218E" w:rsidP="002E2327">
      <w:pPr>
        <w:widowControl w:val="0"/>
        <w:rPr>
          <w:sz w:val="20"/>
          <w:szCs w:val="20"/>
        </w:rPr>
      </w:pPr>
      <w:r>
        <w:rPr>
          <w:sz w:val="20"/>
          <w:szCs w:val="20"/>
        </w:rPr>
        <w:pict>
          <v:rect id="_x0000_i1039"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p w:rsidR="00693C38" w:rsidRPr="001D0D5F" w:rsidRDefault="00DD0BDC" w:rsidP="00567602">
      <w:pPr>
        <w:pStyle w:val="Header1StyleE"/>
        <w:pBdr>
          <w:bottom w:val="single" w:sz="12" w:space="1" w:color="auto"/>
        </w:pBdr>
        <w:rPr>
          <w:lang w:val="fr-CA"/>
        </w:rPr>
      </w:pPr>
      <w:bookmarkStart w:id="3" w:name="QuickMark_1"/>
      <w:bookmarkStart w:id="4" w:name="_Toc8998617"/>
      <w:bookmarkEnd w:id="3"/>
      <w:proofErr w:type="spellStart"/>
      <w:r w:rsidRPr="00693C38">
        <w:rPr>
          <w:lang w:val="fr-CA"/>
        </w:rPr>
        <w:lastRenderedPageBreak/>
        <w:t>Judgments</w:t>
      </w:r>
      <w:proofErr w:type="spellEnd"/>
      <w:r w:rsidRPr="00693C38">
        <w:rPr>
          <w:lang w:val="fr-CA"/>
        </w:rPr>
        <w:t xml:space="preserve"> on applications</w:t>
      </w:r>
      <w:r w:rsidR="000C1D9D">
        <w:rPr>
          <w:lang w:val="fr-CA"/>
        </w:rPr>
        <w:t xml:space="preserve"> </w:t>
      </w:r>
      <w:r w:rsidRPr="00693C38">
        <w:rPr>
          <w:lang w:val="fr-CA"/>
        </w:rPr>
        <w:t xml:space="preserve">for </w:t>
      </w:r>
      <w:proofErr w:type="spellStart"/>
      <w:r w:rsidRPr="00693C38">
        <w:rPr>
          <w:lang w:val="fr-CA"/>
        </w:rPr>
        <w:t>leave</w:t>
      </w:r>
      <w:proofErr w:type="spellEnd"/>
      <w:r w:rsidR="00693C38" w:rsidRPr="00693C38">
        <w:rPr>
          <w:noProof/>
          <w:sz w:val="20"/>
          <w:lang w:val="fr-CA"/>
        </w:rPr>
        <w:t xml:space="preserve"> </w:t>
      </w:r>
      <w:r w:rsidR="00271E1E">
        <w:rPr>
          <w:noProof/>
          <w:sz w:val="20"/>
          <w:lang w:val="fr-CA"/>
        </w:rPr>
        <w:t xml:space="preserve">/ </w:t>
      </w:r>
      <w:r w:rsidR="00693C38" w:rsidRPr="00693C38">
        <w:rPr>
          <w:noProof/>
          <w:sz w:val="20"/>
          <w:lang w:val="fr-CA"/>
        </w:rPr>
        <w:br/>
      </w:r>
      <w:r>
        <w:rPr>
          <w:lang w:val="fr-CA"/>
        </w:rPr>
        <w:t>J</w:t>
      </w:r>
      <w:r w:rsidRPr="001D0D5F">
        <w:rPr>
          <w:lang w:val="fr-CA"/>
        </w:rPr>
        <w:t>ugements rendus sur les demandes d’autorisation</w:t>
      </w:r>
      <w:bookmarkEnd w:id="4"/>
    </w:p>
    <w:p w:rsidR="00FB1DB6" w:rsidRPr="00C50A5C" w:rsidRDefault="00FB1DB6" w:rsidP="00693C38">
      <w:pPr>
        <w:rPr>
          <w:sz w:val="20"/>
          <w:szCs w:val="20"/>
          <w:lang w:val="fr-CA"/>
        </w:rPr>
      </w:pPr>
    </w:p>
    <w:p w:rsidR="00F16063" w:rsidRPr="00C50A5C" w:rsidRDefault="009B1A2E" w:rsidP="00F16063">
      <w:pPr>
        <w:rPr>
          <w:b/>
          <w:sz w:val="20"/>
          <w:szCs w:val="20"/>
        </w:rPr>
      </w:pPr>
      <w:r>
        <w:rPr>
          <w:b/>
          <w:sz w:val="20"/>
          <w:szCs w:val="20"/>
        </w:rPr>
        <w:t>MAY 16</w:t>
      </w:r>
      <w:r w:rsidR="00F16063" w:rsidRPr="00C50A5C">
        <w:rPr>
          <w:b/>
          <w:sz w:val="20"/>
          <w:szCs w:val="20"/>
        </w:rPr>
        <w:t xml:space="preserve">, </w:t>
      </w:r>
      <w:r w:rsidR="0034657E">
        <w:rPr>
          <w:b/>
          <w:sz w:val="20"/>
          <w:szCs w:val="20"/>
        </w:rPr>
        <w:t>2019</w:t>
      </w:r>
      <w:r w:rsidR="00F16063" w:rsidRPr="00C50A5C">
        <w:rPr>
          <w:b/>
          <w:sz w:val="20"/>
          <w:szCs w:val="20"/>
        </w:rPr>
        <w:t xml:space="preserve"> / LE </w:t>
      </w:r>
      <w:r>
        <w:rPr>
          <w:b/>
          <w:sz w:val="20"/>
          <w:szCs w:val="20"/>
        </w:rPr>
        <w:t xml:space="preserve">16 MAI </w:t>
      </w:r>
      <w:r w:rsidR="0034657E">
        <w:rPr>
          <w:b/>
          <w:sz w:val="20"/>
          <w:szCs w:val="20"/>
        </w:rPr>
        <w:t>2019</w:t>
      </w:r>
    </w:p>
    <w:p w:rsidR="00F16063" w:rsidRPr="009D287C" w:rsidRDefault="00F16063" w:rsidP="00F1606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565E" w:rsidRPr="0087010C" w:rsidTr="00211A38">
        <w:tc>
          <w:tcPr>
            <w:tcW w:w="543" w:type="pct"/>
          </w:tcPr>
          <w:p w:rsidR="00F7565E" w:rsidRPr="0087010C" w:rsidRDefault="00F7565E" w:rsidP="00211A38">
            <w:pPr>
              <w:jc w:val="both"/>
              <w:rPr>
                <w:sz w:val="20"/>
              </w:rPr>
            </w:pPr>
            <w:r w:rsidRPr="0087010C">
              <w:rPr>
                <w:rStyle w:val="SCCFileNumberChar"/>
                <w:sz w:val="20"/>
                <w:szCs w:val="20"/>
              </w:rPr>
              <w:t>38416</w:t>
            </w:r>
          </w:p>
        </w:tc>
        <w:tc>
          <w:tcPr>
            <w:tcW w:w="4457" w:type="pct"/>
            <w:gridSpan w:val="3"/>
          </w:tcPr>
          <w:p w:rsidR="00F7565E" w:rsidRPr="0087010C" w:rsidRDefault="00F7565E" w:rsidP="00211A38">
            <w:pPr>
              <w:pStyle w:val="SCCLsocParty"/>
              <w:jc w:val="both"/>
              <w:rPr>
                <w:b/>
                <w:sz w:val="20"/>
                <w:szCs w:val="20"/>
                <w:lang w:val="en-US"/>
              </w:rPr>
            </w:pPr>
            <w:r>
              <w:rPr>
                <w:b/>
                <w:sz w:val="20"/>
                <w:szCs w:val="20"/>
                <w:lang w:val="en-US"/>
              </w:rPr>
              <w:t>Arctic Cat, Inc. and</w:t>
            </w:r>
            <w:r w:rsidRPr="0087010C">
              <w:rPr>
                <w:b/>
                <w:sz w:val="20"/>
                <w:szCs w:val="20"/>
                <w:lang w:val="en-US"/>
              </w:rPr>
              <w:t xml:space="preserve"> Arctic Cat Sales, Inc. v. Bombardier Recreational Products Inc.</w:t>
            </w:r>
          </w:p>
          <w:p w:rsidR="00F7565E" w:rsidRPr="0087010C" w:rsidRDefault="00F7565E" w:rsidP="00211A38">
            <w:pPr>
              <w:jc w:val="both"/>
              <w:rPr>
                <w:sz w:val="20"/>
              </w:rPr>
            </w:pPr>
            <w:r w:rsidRPr="0087010C">
              <w:rPr>
                <w:sz w:val="20"/>
              </w:rPr>
              <w:t>(F.C.) (Civil) (By Leave)</w:t>
            </w:r>
          </w:p>
        </w:tc>
      </w:tr>
      <w:tr w:rsidR="009B1A2E" w:rsidRPr="0087010C" w:rsidTr="009B1A2E">
        <w:tc>
          <w:tcPr>
            <w:tcW w:w="5000" w:type="pct"/>
            <w:gridSpan w:val="4"/>
          </w:tcPr>
          <w:p w:rsidR="009B1A2E" w:rsidRPr="00647612" w:rsidRDefault="009B1A2E" w:rsidP="009B1A2E">
            <w:pPr>
              <w:jc w:val="both"/>
              <w:rPr>
                <w:sz w:val="20"/>
              </w:rPr>
            </w:pPr>
            <w:r w:rsidRPr="00647612">
              <w:rPr>
                <w:sz w:val="20"/>
              </w:rPr>
              <w:t>The application for leave to appeal from the judgment of the Federal Court of Appeal, Number A-109-17, 2018 FCA 172, dated September 25, 2018, is dismissed with costs.</w:t>
            </w:r>
          </w:p>
          <w:p w:rsidR="009B1A2E" w:rsidRPr="00647612" w:rsidRDefault="009B1A2E" w:rsidP="009B1A2E">
            <w:pPr>
              <w:jc w:val="both"/>
              <w:rPr>
                <w:sz w:val="20"/>
              </w:rPr>
            </w:pPr>
          </w:p>
          <w:p w:rsidR="009B1A2E" w:rsidRPr="00647612" w:rsidRDefault="009B1A2E" w:rsidP="009B1A2E">
            <w:pPr>
              <w:widowControl w:val="0"/>
              <w:rPr>
                <w:sz w:val="20"/>
              </w:rPr>
            </w:pPr>
            <w:r w:rsidRPr="00647612">
              <w:rPr>
                <w:sz w:val="20"/>
              </w:rPr>
              <w:t>Gascon J. took no part in the judgment.</w:t>
            </w:r>
          </w:p>
          <w:p w:rsidR="009B1A2E" w:rsidRPr="009B1A2E" w:rsidRDefault="009B1A2E" w:rsidP="00211A38">
            <w:pPr>
              <w:pStyle w:val="SCCLsocParty"/>
              <w:jc w:val="both"/>
              <w:rPr>
                <w:b/>
                <w:sz w:val="20"/>
                <w:szCs w:val="20"/>
                <w:lang w:val="en-CA"/>
              </w:rPr>
            </w:pPr>
          </w:p>
        </w:tc>
      </w:tr>
      <w:tr w:rsidR="00F7565E" w:rsidRPr="0087010C" w:rsidTr="00211A38">
        <w:tc>
          <w:tcPr>
            <w:tcW w:w="5000" w:type="pct"/>
            <w:gridSpan w:val="4"/>
          </w:tcPr>
          <w:p w:rsidR="00F7565E" w:rsidRPr="0087010C" w:rsidRDefault="00F7565E" w:rsidP="00211A38">
            <w:pPr>
              <w:jc w:val="both"/>
              <w:rPr>
                <w:sz w:val="20"/>
              </w:rPr>
            </w:pPr>
            <w:r w:rsidRPr="0087010C">
              <w:rPr>
                <w:sz w:val="20"/>
              </w:rPr>
              <w:t>Intellectual property — Patents — Claims construction — Patent claiming a snowmobile comprising a frame including a tunnel and an engine cradle forward of the tunnel — Another manufacture making snowmobiles with engine compartments that did not have walls — Trial judge finding such engine compartments not engine cradles — Appeal Court holding that person skilled in the art would understand engine cradle to refer to any rigid structure which acts as a receptacle or compartment to receive the engine and not be limited to only those including walls — In patent claim construction, how is the disclosure to be used as context to give meaning to the words in the claims? — What deference should be given to the trial judge’s claim construction?</w:t>
            </w:r>
          </w:p>
        </w:tc>
      </w:tr>
      <w:tr w:rsidR="00F7565E" w:rsidRPr="0087010C" w:rsidTr="00211A38">
        <w:tc>
          <w:tcPr>
            <w:tcW w:w="5000" w:type="pct"/>
            <w:gridSpan w:val="4"/>
          </w:tcPr>
          <w:p w:rsidR="00F7565E" w:rsidRPr="0087010C" w:rsidRDefault="00F7565E" w:rsidP="00211A38">
            <w:pPr>
              <w:jc w:val="both"/>
              <w:rPr>
                <w:sz w:val="20"/>
              </w:rPr>
            </w:pPr>
          </w:p>
        </w:tc>
      </w:tr>
      <w:tr w:rsidR="00F7565E" w:rsidRPr="0087010C" w:rsidTr="00211A38">
        <w:tc>
          <w:tcPr>
            <w:tcW w:w="5000" w:type="pct"/>
            <w:gridSpan w:val="4"/>
          </w:tcPr>
          <w:p w:rsidR="00F7565E" w:rsidRPr="0087010C" w:rsidRDefault="00F7565E" w:rsidP="00211A38">
            <w:pPr>
              <w:jc w:val="both"/>
              <w:rPr>
                <w:sz w:val="20"/>
              </w:rPr>
            </w:pPr>
            <w:r w:rsidRPr="0087010C">
              <w:rPr>
                <w:sz w:val="20"/>
              </w:rPr>
              <w:t>Bombardier Recreational Products Inc. (Bombardier) owns patents for inventions made in the context of a design project referred to the Radical Evolution Vehicle. Bombardier claimed that Arctic Cat, Inc. and Arctic Cat Sales Inc. (Arctic Cat) infringed four of its patents. Arctic Cat denied infringing and counterclaimed, seeking a declaration that the asserted claims of the four patents were invalid. Three patents are collectively referred to as the Rider Forward Position (“RFP”) patents, which claim new configurations for a snowmobile bringing the rider in a more forward position when sitting on a snowmobile. A fourth patent (the 264 patent), relates to a frame assembly which includes a pyramidal brace assembly to be used in the construction of snowmobiles. It also facilitates the construction of snowmobiles with an improved rider positioning. In relation to the 264 patent, the Federal Court construed the term “engine cradle” appearing in the claims as being limited to a walled engine cradle. As the engine compartments in the Arctic Cat models at issue did not have walls, the Federal Court concluded that Arctic Cat’s snowmobiles did not infringe the 264 patent. On appeal, the Federal Court of Appeal held that the Federal Court had erred in its interpretation of the term “engine cradle” and allowed that part of Bombardier’s appeal. The Appeal Court determined that the only conclusion open to the Federal Court, based on the understanding of the term by a person skilled in the art, was that the term “engine cradle” would refer to any rigid structure which acts as a receptacle or compartment to receive the engine and was not limited to only those including walls.</w:t>
            </w:r>
          </w:p>
          <w:p w:rsidR="00F7565E" w:rsidRPr="0087010C" w:rsidRDefault="00F7565E" w:rsidP="00211A38">
            <w:pPr>
              <w:jc w:val="both"/>
              <w:rPr>
                <w:sz w:val="20"/>
              </w:rPr>
            </w:pPr>
          </w:p>
        </w:tc>
      </w:tr>
      <w:tr w:rsidR="00F7565E" w:rsidRPr="0087010C" w:rsidTr="00211A38">
        <w:tc>
          <w:tcPr>
            <w:tcW w:w="2427" w:type="pct"/>
            <w:gridSpan w:val="2"/>
          </w:tcPr>
          <w:p w:rsidR="00F7565E" w:rsidRPr="0087010C" w:rsidRDefault="00F7565E" w:rsidP="00211A38">
            <w:pPr>
              <w:jc w:val="both"/>
              <w:rPr>
                <w:sz w:val="20"/>
              </w:rPr>
            </w:pPr>
            <w:r w:rsidRPr="0087010C">
              <w:rPr>
                <w:sz w:val="20"/>
              </w:rPr>
              <w:t>February 24, 2017</w:t>
            </w:r>
          </w:p>
          <w:p w:rsidR="00F7565E" w:rsidRPr="0087010C" w:rsidRDefault="00F7565E" w:rsidP="00211A38">
            <w:pPr>
              <w:jc w:val="both"/>
              <w:rPr>
                <w:sz w:val="20"/>
              </w:rPr>
            </w:pPr>
            <w:r w:rsidRPr="0087010C">
              <w:rPr>
                <w:sz w:val="20"/>
              </w:rPr>
              <w:t>Federal Court</w:t>
            </w:r>
          </w:p>
          <w:p w:rsidR="00F7565E" w:rsidRPr="0087010C" w:rsidRDefault="00F7565E" w:rsidP="00211A38">
            <w:pPr>
              <w:jc w:val="both"/>
              <w:rPr>
                <w:sz w:val="20"/>
              </w:rPr>
            </w:pPr>
            <w:r w:rsidRPr="0087010C">
              <w:rPr>
                <w:sz w:val="20"/>
              </w:rPr>
              <w:t>(Roy, J.)</w:t>
            </w:r>
          </w:p>
          <w:p w:rsidR="00F7565E" w:rsidRPr="0087010C" w:rsidRDefault="003A218E" w:rsidP="00211A38">
            <w:pPr>
              <w:jc w:val="both"/>
              <w:rPr>
                <w:sz w:val="20"/>
              </w:rPr>
            </w:pPr>
            <w:hyperlink r:id="rId19" w:history="1">
              <w:r w:rsidR="00F7565E" w:rsidRPr="0087010C">
                <w:rPr>
                  <w:rStyle w:val="Hyperlink"/>
                  <w:sz w:val="20"/>
                </w:rPr>
                <w:t>2017 FC 207</w:t>
              </w:r>
            </w:hyperlink>
            <w:r w:rsidR="00F7565E" w:rsidRPr="0087010C">
              <w:rPr>
                <w:sz w:val="20"/>
              </w:rPr>
              <w:t xml:space="preserve"> </w:t>
            </w:r>
          </w:p>
          <w:p w:rsidR="00F7565E" w:rsidRPr="0087010C" w:rsidRDefault="00F7565E" w:rsidP="00211A38">
            <w:pPr>
              <w:jc w:val="both"/>
              <w:rPr>
                <w:sz w:val="20"/>
              </w:rPr>
            </w:pPr>
          </w:p>
        </w:tc>
        <w:tc>
          <w:tcPr>
            <w:tcW w:w="243" w:type="pct"/>
          </w:tcPr>
          <w:p w:rsidR="00F7565E" w:rsidRPr="0087010C" w:rsidRDefault="00F7565E" w:rsidP="00211A38">
            <w:pPr>
              <w:jc w:val="both"/>
              <w:rPr>
                <w:sz w:val="20"/>
              </w:rPr>
            </w:pPr>
          </w:p>
        </w:tc>
        <w:tc>
          <w:tcPr>
            <w:tcW w:w="2330" w:type="pct"/>
          </w:tcPr>
          <w:p w:rsidR="00F7565E" w:rsidRPr="0087010C" w:rsidRDefault="00F7565E" w:rsidP="00211A38">
            <w:pPr>
              <w:jc w:val="both"/>
              <w:rPr>
                <w:sz w:val="20"/>
              </w:rPr>
            </w:pPr>
            <w:r w:rsidRPr="0087010C">
              <w:rPr>
                <w:sz w:val="20"/>
              </w:rPr>
              <w:t>Respondent’s action for infringement against applicants dismissed</w:t>
            </w:r>
          </w:p>
          <w:p w:rsidR="00F7565E" w:rsidRPr="0087010C" w:rsidRDefault="00F7565E" w:rsidP="00211A38">
            <w:pPr>
              <w:jc w:val="both"/>
              <w:rPr>
                <w:sz w:val="20"/>
              </w:rPr>
            </w:pPr>
          </w:p>
        </w:tc>
      </w:tr>
      <w:tr w:rsidR="00F7565E" w:rsidRPr="0087010C" w:rsidTr="00211A38">
        <w:tc>
          <w:tcPr>
            <w:tcW w:w="2427" w:type="pct"/>
            <w:gridSpan w:val="2"/>
          </w:tcPr>
          <w:p w:rsidR="00F7565E" w:rsidRPr="0087010C" w:rsidRDefault="00F7565E" w:rsidP="00211A38">
            <w:pPr>
              <w:jc w:val="both"/>
              <w:rPr>
                <w:sz w:val="20"/>
              </w:rPr>
            </w:pPr>
            <w:r w:rsidRPr="0087010C">
              <w:rPr>
                <w:sz w:val="20"/>
              </w:rPr>
              <w:t>September 25, 2018</w:t>
            </w:r>
          </w:p>
          <w:p w:rsidR="00F7565E" w:rsidRPr="0087010C" w:rsidRDefault="00F7565E" w:rsidP="00211A38">
            <w:pPr>
              <w:jc w:val="both"/>
              <w:rPr>
                <w:sz w:val="20"/>
              </w:rPr>
            </w:pPr>
            <w:r w:rsidRPr="0087010C">
              <w:rPr>
                <w:sz w:val="20"/>
              </w:rPr>
              <w:t>Federal Court of Appeal</w:t>
            </w:r>
          </w:p>
          <w:p w:rsidR="00F7565E" w:rsidRPr="0087010C" w:rsidRDefault="00F7565E" w:rsidP="00211A38">
            <w:pPr>
              <w:jc w:val="both"/>
              <w:rPr>
                <w:sz w:val="20"/>
              </w:rPr>
            </w:pPr>
            <w:r w:rsidRPr="0087010C">
              <w:rPr>
                <w:sz w:val="20"/>
              </w:rPr>
              <w:t xml:space="preserve">(Pelletier, Gauthier, de </w:t>
            </w:r>
            <w:proofErr w:type="spellStart"/>
            <w:r w:rsidRPr="0087010C">
              <w:rPr>
                <w:sz w:val="20"/>
              </w:rPr>
              <w:t>Montigny</w:t>
            </w:r>
            <w:proofErr w:type="spellEnd"/>
            <w:r w:rsidRPr="0087010C">
              <w:rPr>
                <w:sz w:val="20"/>
              </w:rPr>
              <w:t xml:space="preserve"> JJ.A.)</w:t>
            </w:r>
          </w:p>
          <w:p w:rsidR="00F7565E" w:rsidRPr="0087010C" w:rsidRDefault="003A218E" w:rsidP="00211A38">
            <w:pPr>
              <w:jc w:val="both"/>
              <w:rPr>
                <w:sz w:val="20"/>
              </w:rPr>
            </w:pPr>
            <w:hyperlink r:id="rId20" w:history="1">
              <w:r w:rsidR="00F7565E" w:rsidRPr="0087010C">
                <w:rPr>
                  <w:rStyle w:val="Hyperlink"/>
                  <w:sz w:val="20"/>
                </w:rPr>
                <w:t>2018 FCA 172</w:t>
              </w:r>
            </w:hyperlink>
            <w:r w:rsidR="00F7565E" w:rsidRPr="0087010C">
              <w:rPr>
                <w:sz w:val="20"/>
              </w:rPr>
              <w:t xml:space="preserve"> (No. A</w:t>
            </w:r>
            <w:r w:rsidR="00F7565E" w:rsidRPr="0087010C">
              <w:rPr>
                <w:sz w:val="20"/>
              </w:rPr>
              <w:noBreakHyphen/>
              <w:t>109</w:t>
            </w:r>
            <w:r w:rsidR="00F7565E" w:rsidRPr="0087010C">
              <w:rPr>
                <w:sz w:val="20"/>
              </w:rPr>
              <w:noBreakHyphen/>
              <w:t>17)</w:t>
            </w:r>
          </w:p>
          <w:p w:rsidR="00F7565E" w:rsidRPr="0087010C" w:rsidRDefault="00F7565E" w:rsidP="00211A38">
            <w:pPr>
              <w:jc w:val="both"/>
              <w:rPr>
                <w:sz w:val="20"/>
              </w:rPr>
            </w:pPr>
          </w:p>
        </w:tc>
        <w:tc>
          <w:tcPr>
            <w:tcW w:w="243" w:type="pct"/>
          </w:tcPr>
          <w:p w:rsidR="00F7565E" w:rsidRPr="0087010C" w:rsidRDefault="00F7565E" w:rsidP="00211A38">
            <w:pPr>
              <w:jc w:val="both"/>
              <w:rPr>
                <w:sz w:val="20"/>
              </w:rPr>
            </w:pPr>
          </w:p>
        </w:tc>
        <w:tc>
          <w:tcPr>
            <w:tcW w:w="2330" w:type="pct"/>
          </w:tcPr>
          <w:p w:rsidR="00F7565E" w:rsidRPr="0087010C" w:rsidRDefault="00F7565E" w:rsidP="00211A38">
            <w:pPr>
              <w:jc w:val="both"/>
              <w:rPr>
                <w:sz w:val="20"/>
              </w:rPr>
            </w:pPr>
            <w:r w:rsidRPr="0087010C">
              <w:rPr>
                <w:sz w:val="20"/>
              </w:rPr>
              <w:t>Respondent’s appeal allowed in part</w:t>
            </w:r>
          </w:p>
        </w:tc>
      </w:tr>
      <w:tr w:rsidR="00F7565E" w:rsidRPr="0087010C" w:rsidTr="00211A38">
        <w:tc>
          <w:tcPr>
            <w:tcW w:w="2427" w:type="pct"/>
            <w:gridSpan w:val="2"/>
          </w:tcPr>
          <w:p w:rsidR="00F7565E" w:rsidRPr="0087010C" w:rsidRDefault="00F7565E" w:rsidP="00211A38">
            <w:pPr>
              <w:jc w:val="both"/>
              <w:rPr>
                <w:sz w:val="20"/>
              </w:rPr>
            </w:pPr>
            <w:r w:rsidRPr="0087010C">
              <w:rPr>
                <w:sz w:val="20"/>
              </w:rPr>
              <w:t>November 26, 2018</w:t>
            </w:r>
          </w:p>
          <w:p w:rsidR="00F7565E" w:rsidRPr="0087010C" w:rsidRDefault="00F7565E" w:rsidP="00211A38">
            <w:pPr>
              <w:jc w:val="both"/>
              <w:rPr>
                <w:sz w:val="20"/>
              </w:rPr>
            </w:pPr>
            <w:r w:rsidRPr="0087010C">
              <w:rPr>
                <w:sz w:val="20"/>
              </w:rPr>
              <w:t>Supreme Court of Canada</w:t>
            </w:r>
          </w:p>
        </w:tc>
        <w:tc>
          <w:tcPr>
            <w:tcW w:w="243" w:type="pct"/>
          </w:tcPr>
          <w:p w:rsidR="00F7565E" w:rsidRPr="0087010C" w:rsidRDefault="00F7565E" w:rsidP="00211A38">
            <w:pPr>
              <w:jc w:val="both"/>
              <w:rPr>
                <w:sz w:val="20"/>
              </w:rPr>
            </w:pPr>
          </w:p>
        </w:tc>
        <w:tc>
          <w:tcPr>
            <w:tcW w:w="2330" w:type="pct"/>
          </w:tcPr>
          <w:p w:rsidR="00F7565E" w:rsidRPr="0087010C" w:rsidRDefault="00F7565E" w:rsidP="00211A38">
            <w:pPr>
              <w:jc w:val="both"/>
              <w:rPr>
                <w:sz w:val="20"/>
              </w:rPr>
            </w:pPr>
            <w:r w:rsidRPr="0087010C">
              <w:rPr>
                <w:sz w:val="20"/>
              </w:rPr>
              <w:t>Application for leave to appeal filed</w:t>
            </w:r>
          </w:p>
        </w:tc>
      </w:tr>
    </w:tbl>
    <w:p w:rsidR="00F7565E" w:rsidRPr="0087010C" w:rsidRDefault="00F7565E" w:rsidP="00F7565E">
      <w:pPr>
        <w:jc w:val="both"/>
        <w:rPr>
          <w:sz w:val="20"/>
        </w:rPr>
      </w:pPr>
    </w:p>
    <w:p w:rsidR="00F7565E" w:rsidRPr="0087010C" w:rsidRDefault="00F7565E" w:rsidP="00F7565E">
      <w:pPr>
        <w:jc w:val="both"/>
        <w:rPr>
          <w:sz w:val="20"/>
        </w:rPr>
      </w:pPr>
    </w:p>
    <w:p w:rsidR="00F7565E" w:rsidRPr="0087010C" w:rsidRDefault="00F7565E" w:rsidP="00F7565E">
      <w:pPr>
        <w:ind w:left="142" w:hanging="142"/>
        <w:jc w:val="both"/>
        <w:rPr>
          <w:sz w:val="20"/>
        </w:rPr>
      </w:pPr>
    </w:p>
    <w:p w:rsidR="00F7565E" w:rsidRDefault="00F7565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565E" w:rsidRPr="00A643AA" w:rsidTr="00211A38">
        <w:tc>
          <w:tcPr>
            <w:tcW w:w="543" w:type="pct"/>
          </w:tcPr>
          <w:p w:rsidR="00F7565E" w:rsidRPr="0087010C" w:rsidRDefault="00F7565E" w:rsidP="00211A38">
            <w:pPr>
              <w:jc w:val="both"/>
              <w:rPr>
                <w:sz w:val="20"/>
                <w:lang w:val="fr-CA"/>
              </w:rPr>
            </w:pPr>
            <w:r w:rsidRPr="0087010C">
              <w:rPr>
                <w:rStyle w:val="SCCFileNumberChar"/>
                <w:sz w:val="20"/>
                <w:szCs w:val="20"/>
                <w:lang w:val="fr-CA"/>
              </w:rPr>
              <w:lastRenderedPageBreak/>
              <w:t>38416</w:t>
            </w:r>
          </w:p>
        </w:tc>
        <w:tc>
          <w:tcPr>
            <w:tcW w:w="4457" w:type="pct"/>
            <w:gridSpan w:val="3"/>
          </w:tcPr>
          <w:p w:rsidR="00F7565E" w:rsidRPr="0087010C" w:rsidRDefault="00F7565E" w:rsidP="00211A38">
            <w:pPr>
              <w:pStyle w:val="SCCLsocParty"/>
              <w:jc w:val="both"/>
              <w:rPr>
                <w:b/>
                <w:sz w:val="20"/>
                <w:szCs w:val="20"/>
              </w:rPr>
            </w:pPr>
            <w:proofErr w:type="spellStart"/>
            <w:r>
              <w:rPr>
                <w:b/>
                <w:sz w:val="20"/>
                <w:szCs w:val="20"/>
              </w:rPr>
              <w:t>Arctic</w:t>
            </w:r>
            <w:proofErr w:type="spellEnd"/>
            <w:r>
              <w:rPr>
                <w:b/>
                <w:sz w:val="20"/>
                <w:szCs w:val="20"/>
              </w:rPr>
              <w:t xml:space="preserve"> Cat, Inc. et</w:t>
            </w:r>
            <w:r w:rsidRPr="0087010C">
              <w:rPr>
                <w:b/>
                <w:sz w:val="20"/>
                <w:szCs w:val="20"/>
              </w:rPr>
              <w:t xml:space="preserve"> </w:t>
            </w:r>
            <w:proofErr w:type="spellStart"/>
            <w:r w:rsidRPr="0087010C">
              <w:rPr>
                <w:b/>
                <w:sz w:val="20"/>
                <w:szCs w:val="20"/>
              </w:rPr>
              <w:t>Arctic</w:t>
            </w:r>
            <w:proofErr w:type="spellEnd"/>
            <w:r w:rsidRPr="0087010C">
              <w:rPr>
                <w:b/>
                <w:sz w:val="20"/>
                <w:szCs w:val="20"/>
              </w:rPr>
              <w:t xml:space="preserve"> Cat Sales, Inc. c. Bombardier Produits Récréatifs Inc.</w:t>
            </w:r>
          </w:p>
          <w:p w:rsidR="00F7565E" w:rsidRPr="0087010C" w:rsidRDefault="00F7565E" w:rsidP="00211A38">
            <w:pPr>
              <w:jc w:val="both"/>
              <w:rPr>
                <w:sz w:val="20"/>
                <w:lang w:val="fr-CA"/>
              </w:rPr>
            </w:pPr>
            <w:r w:rsidRPr="0087010C">
              <w:rPr>
                <w:sz w:val="20"/>
                <w:lang w:val="fr-CA"/>
              </w:rPr>
              <w:t>(C.F.) (Civile) (Autorisation)</w:t>
            </w:r>
          </w:p>
        </w:tc>
      </w:tr>
      <w:tr w:rsidR="009B1A2E" w:rsidRPr="003A218E" w:rsidTr="009B1A2E">
        <w:tc>
          <w:tcPr>
            <w:tcW w:w="5000" w:type="pct"/>
            <w:gridSpan w:val="4"/>
          </w:tcPr>
          <w:p w:rsidR="009B1A2E" w:rsidRPr="00647612" w:rsidRDefault="009B1A2E" w:rsidP="009B1A2E">
            <w:pPr>
              <w:jc w:val="both"/>
              <w:rPr>
                <w:sz w:val="20"/>
                <w:lang w:val="fr-CA"/>
              </w:rPr>
            </w:pPr>
            <w:r w:rsidRPr="00647612">
              <w:rPr>
                <w:sz w:val="20"/>
                <w:lang w:val="fr-CA"/>
              </w:rPr>
              <w:t xml:space="preserve">La demande d’autorisation d’appel de l’arrêt de la </w:t>
            </w:r>
            <w:r w:rsidRPr="00647612">
              <w:rPr>
                <w:sz w:val="20"/>
                <w:lang w:val="fr-FR"/>
              </w:rPr>
              <w:t>Cour d’appel fédérale</w:t>
            </w:r>
            <w:r w:rsidRPr="00647612">
              <w:rPr>
                <w:sz w:val="20"/>
                <w:lang w:val="fr-CA"/>
              </w:rPr>
              <w:t xml:space="preserve">, numéro </w:t>
            </w:r>
            <w:r w:rsidRPr="00647612">
              <w:rPr>
                <w:sz w:val="20"/>
                <w:lang w:val="fr-FR"/>
              </w:rPr>
              <w:t>A-109-17, 2018 CAF 172</w:t>
            </w:r>
            <w:r w:rsidRPr="00647612">
              <w:rPr>
                <w:sz w:val="20"/>
                <w:lang w:val="fr-CA"/>
              </w:rPr>
              <w:t xml:space="preserve">, daté du </w:t>
            </w:r>
            <w:r w:rsidRPr="00647612">
              <w:rPr>
                <w:sz w:val="20"/>
                <w:lang w:val="fr-FR"/>
              </w:rPr>
              <w:t>25 septembre 2018</w:t>
            </w:r>
            <w:r w:rsidRPr="00647612">
              <w:rPr>
                <w:sz w:val="20"/>
                <w:lang w:val="fr-CA"/>
              </w:rPr>
              <w:t>, est rejetée avec dépens.</w:t>
            </w:r>
          </w:p>
          <w:p w:rsidR="009B1A2E" w:rsidRPr="00647612" w:rsidRDefault="009B1A2E" w:rsidP="009B1A2E">
            <w:pPr>
              <w:jc w:val="both"/>
              <w:rPr>
                <w:sz w:val="20"/>
                <w:lang w:val="fr-CA"/>
              </w:rPr>
            </w:pPr>
          </w:p>
          <w:p w:rsidR="009B1A2E" w:rsidRPr="00647612" w:rsidRDefault="009B1A2E" w:rsidP="009B1A2E">
            <w:pPr>
              <w:widowControl w:val="0"/>
              <w:rPr>
                <w:sz w:val="20"/>
                <w:lang w:val="fr-CA"/>
              </w:rPr>
            </w:pPr>
            <w:r w:rsidRPr="00647612">
              <w:rPr>
                <w:sz w:val="20"/>
                <w:lang w:val="fr-CA"/>
              </w:rPr>
              <w:t>Le juge Gascon n’a pas participé au jugement.</w:t>
            </w:r>
          </w:p>
          <w:p w:rsidR="009B1A2E" w:rsidRDefault="009B1A2E" w:rsidP="00211A38">
            <w:pPr>
              <w:pStyle w:val="SCCLsocParty"/>
              <w:jc w:val="both"/>
              <w:rPr>
                <w:b/>
                <w:sz w:val="20"/>
                <w:szCs w:val="20"/>
              </w:rPr>
            </w:pPr>
          </w:p>
        </w:tc>
      </w:tr>
      <w:tr w:rsidR="00F7565E" w:rsidRPr="003A218E" w:rsidTr="00211A38">
        <w:tc>
          <w:tcPr>
            <w:tcW w:w="5000" w:type="pct"/>
            <w:gridSpan w:val="4"/>
          </w:tcPr>
          <w:p w:rsidR="00F7565E" w:rsidRPr="0087010C" w:rsidRDefault="00F7565E" w:rsidP="00211A38">
            <w:pPr>
              <w:jc w:val="both"/>
              <w:rPr>
                <w:sz w:val="20"/>
                <w:lang w:val="fr-CA"/>
              </w:rPr>
            </w:pPr>
            <w:r w:rsidRPr="0087010C">
              <w:rPr>
                <w:sz w:val="20"/>
                <w:lang w:val="fr-CA"/>
              </w:rPr>
              <w:t>Propriété intellectuelle — Brevets — Interprétations des revendications — Le brevet revendique une motoneige comprenant un cadre comprenant un tunnel et un berceau de moteur à l’avant du tunnel — Un autre fabricant produit des motoneiges qui comprennent des compartiments pour moteurs dépourvus de parois — Le juge de première instance a statué que de tels compartiments pour moteurs n’étaient pas des berceaux de moteur — La Cour d’appel a statué qu’une personne versée dans l’art comprendrait que le berceau de moteur s’entendait de toute structure rigide servant de réceptacle ou de compartiment pour accueillir le moteur et ne se limitait pas à celles qui étaient munies de parois — Dans l’interprétation des revendications d’un brevet, comment convient-il d’utiliser la divulgation comme contexte pour interpréter le libellé des revendications? — De quel degré de retenue doit-on faire montre à l’égard de l’interprétation de la revendication par le juge de première instance?</w:t>
            </w:r>
          </w:p>
        </w:tc>
      </w:tr>
      <w:tr w:rsidR="00F7565E" w:rsidRPr="003A218E" w:rsidTr="00211A38">
        <w:tc>
          <w:tcPr>
            <w:tcW w:w="5000" w:type="pct"/>
            <w:gridSpan w:val="4"/>
          </w:tcPr>
          <w:p w:rsidR="00F7565E" w:rsidRPr="0087010C" w:rsidRDefault="00F7565E" w:rsidP="00211A38">
            <w:pPr>
              <w:jc w:val="both"/>
              <w:rPr>
                <w:sz w:val="20"/>
                <w:lang w:val="fr-CA"/>
              </w:rPr>
            </w:pPr>
          </w:p>
        </w:tc>
      </w:tr>
      <w:tr w:rsidR="00F7565E" w:rsidRPr="003A218E" w:rsidTr="00211A38">
        <w:tc>
          <w:tcPr>
            <w:tcW w:w="5000" w:type="pct"/>
            <w:gridSpan w:val="4"/>
          </w:tcPr>
          <w:p w:rsidR="00F7565E" w:rsidRPr="0087010C" w:rsidRDefault="00F7565E" w:rsidP="00211A38">
            <w:pPr>
              <w:jc w:val="both"/>
              <w:rPr>
                <w:sz w:val="20"/>
                <w:lang w:val="fr-CA"/>
              </w:rPr>
            </w:pPr>
            <w:r w:rsidRPr="0087010C">
              <w:rPr>
                <w:sz w:val="20"/>
                <w:lang w:val="fr-CA"/>
              </w:rPr>
              <w:t xml:space="preserve">Bombardier Produits Récréatifs Inc. (Bombardier) est titulaire de brevets portant sur des inventions conçues dans le cadre du développement d’un nouveau produit, le Radical </w:t>
            </w:r>
            <w:proofErr w:type="spellStart"/>
            <w:r w:rsidRPr="0087010C">
              <w:rPr>
                <w:sz w:val="20"/>
                <w:lang w:val="fr-CA"/>
              </w:rPr>
              <w:t>Evolution</w:t>
            </w:r>
            <w:proofErr w:type="spellEnd"/>
            <w:r w:rsidRPr="0087010C">
              <w:rPr>
                <w:sz w:val="20"/>
                <w:lang w:val="fr-CA"/>
              </w:rPr>
              <w:t xml:space="preserve"> </w:t>
            </w:r>
            <w:proofErr w:type="spellStart"/>
            <w:r w:rsidRPr="0087010C">
              <w:rPr>
                <w:sz w:val="20"/>
                <w:lang w:val="fr-CA"/>
              </w:rPr>
              <w:t>Vehicle</w:t>
            </w:r>
            <w:proofErr w:type="spellEnd"/>
            <w:r w:rsidRPr="0087010C">
              <w:rPr>
                <w:sz w:val="20"/>
                <w:lang w:val="fr-CA"/>
              </w:rPr>
              <w:t>. Bombardier allègue qu’</w:t>
            </w:r>
            <w:proofErr w:type="spellStart"/>
            <w:r w:rsidRPr="0087010C">
              <w:rPr>
                <w:sz w:val="20"/>
                <w:lang w:val="fr-CA"/>
              </w:rPr>
              <w:t>Arctic</w:t>
            </w:r>
            <w:proofErr w:type="spellEnd"/>
            <w:r w:rsidRPr="0087010C">
              <w:rPr>
                <w:sz w:val="20"/>
                <w:lang w:val="fr-CA"/>
              </w:rPr>
              <w:t xml:space="preserve"> Cat, Inc. et </w:t>
            </w:r>
            <w:proofErr w:type="spellStart"/>
            <w:r w:rsidRPr="0087010C">
              <w:rPr>
                <w:sz w:val="20"/>
                <w:lang w:val="fr-CA"/>
              </w:rPr>
              <w:t>Arctic</w:t>
            </w:r>
            <w:proofErr w:type="spellEnd"/>
            <w:r w:rsidRPr="0087010C">
              <w:rPr>
                <w:sz w:val="20"/>
                <w:lang w:val="fr-CA"/>
              </w:rPr>
              <w:t xml:space="preserve"> Cat Sales Inc. (</w:t>
            </w:r>
            <w:proofErr w:type="spellStart"/>
            <w:r w:rsidRPr="0087010C">
              <w:rPr>
                <w:sz w:val="20"/>
                <w:lang w:val="fr-CA"/>
              </w:rPr>
              <w:t>Arctic</w:t>
            </w:r>
            <w:proofErr w:type="spellEnd"/>
            <w:r w:rsidRPr="0087010C">
              <w:rPr>
                <w:sz w:val="20"/>
                <w:lang w:val="fr-CA"/>
              </w:rPr>
              <w:t xml:space="preserve"> Cat) ont contrefait quatre de ses brevets. </w:t>
            </w:r>
            <w:proofErr w:type="spellStart"/>
            <w:r w:rsidRPr="0087010C">
              <w:rPr>
                <w:sz w:val="20"/>
                <w:lang w:val="fr-CA"/>
              </w:rPr>
              <w:t>Arctic</w:t>
            </w:r>
            <w:proofErr w:type="spellEnd"/>
            <w:r w:rsidRPr="0087010C">
              <w:rPr>
                <w:sz w:val="20"/>
                <w:lang w:val="fr-CA"/>
              </w:rPr>
              <w:t xml:space="preserve"> Cat a nié la contrefaçon et a présenté une demande reconventionnelle, sollicitant un jugement déclarant que les revendications des quatre brevets étaient invalides. Trois brevets sont</w:t>
            </w:r>
            <w:r w:rsidRPr="0087010C">
              <w:rPr>
                <w:color w:val="000000"/>
                <w:sz w:val="20"/>
                <w:shd w:val="clear" w:color="auto" w:fill="FFFFFF"/>
                <w:lang w:val="fr-CA"/>
              </w:rPr>
              <w:t xml:space="preserve"> </w:t>
            </w:r>
            <w:r w:rsidRPr="0087010C">
              <w:rPr>
                <w:sz w:val="20"/>
                <w:lang w:val="fr-CA"/>
              </w:rPr>
              <w:t xml:space="preserve">collectivement appelés les brevets sur  le positionnement actif du conducteur ou brevets PAC, dans lesquels sont  revendiquées de nouvelles configurations de motoneiges positionnant vers l’avant le conducteur. Un quatrième brevet (le brevet 264) concerne un cadre support qui inclut un ensemble de renforts pyramidal, utilisé dans l’assemblage des motoneiges. Il permet aussi la construction de motoneiges au positionnement amélioré du conducteur. Relativement au brevet 264, la Cour fédérale a interprété le terme « berceau de moteur » figurant dans les revendications comme se limitant à un berceau de moteur muni de parois. Puisque les compartiments pour moteurs dans les modèles </w:t>
            </w:r>
            <w:proofErr w:type="spellStart"/>
            <w:r w:rsidRPr="0087010C">
              <w:rPr>
                <w:sz w:val="20"/>
                <w:lang w:val="fr-CA"/>
              </w:rPr>
              <w:t>Arctic</w:t>
            </w:r>
            <w:proofErr w:type="spellEnd"/>
            <w:r w:rsidRPr="0087010C">
              <w:rPr>
                <w:sz w:val="20"/>
                <w:lang w:val="fr-CA"/>
              </w:rPr>
              <w:t xml:space="preserve"> Cat en cause n’étaient pas munis de parois, la Cour fédérale a conclu que les motoneiges d’</w:t>
            </w:r>
            <w:proofErr w:type="spellStart"/>
            <w:r w:rsidRPr="0087010C">
              <w:rPr>
                <w:sz w:val="20"/>
                <w:lang w:val="fr-CA"/>
              </w:rPr>
              <w:t>Arctic</w:t>
            </w:r>
            <w:proofErr w:type="spellEnd"/>
            <w:r w:rsidRPr="0087010C">
              <w:rPr>
                <w:sz w:val="20"/>
                <w:lang w:val="fr-CA"/>
              </w:rPr>
              <w:t xml:space="preserve"> Cat ne contrefaisaient pas le brevet 264. En appel, la Cour d’appel fédérale a statué que la Cour fédérale avait commis une erreur dans son interprétation du terme « berceau de moteur » et a accueilli cette partie de l’appel de Bombardier. La Cour d’appel a statué que la seule conclusion que la Cour fédérale pouvait tirer, vu la manière dont une personne versée dans l’art comprendrait ce terme, était que le terme « berceau de moteur » s’entendait de toute structure rigide servant de réceptacle ou de compartiment pour accueillir le moteur et ne se limitait pas à celles munies de parois.</w:t>
            </w:r>
          </w:p>
          <w:p w:rsidR="00F7565E" w:rsidRPr="0087010C" w:rsidRDefault="00F7565E" w:rsidP="00211A38">
            <w:pPr>
              <w:jc w:val="both"/>
              <w:rPr>
                <w:sz w:val="20"/>
                <w:lang w:val="fr-CA"/>
              </w:rPr>
            </w:pPr>
          </w:p>
        </w:tc>
      </w:tr>
      <w:tr w:rsidR="00F7565E" w:rsidRPr="003A218E" w:rsidTr="00211A38">
        <w:tc>
          <w:tcPr>
            <w:tcW w:w="2427" w:type="pct"/>
            <w:gridSpan w:val="2"/>
          </w:tcPr>
          <w:p w:rsidR="00F7565E" w:rsidRPr="0087010C" w:rsidRDefault="00F7565E" w:rsidP="00211A38">
            <w:pPr>
              <w:jc w:val="both"/>
              <w:rPr>
                <w:sz w:val="20"/>
                <w:lang w:val="fr-CA"/>
              </w:rPr>
            </w:pPr>
            <w:r w:rsidRPr="0087010C">
              <w:rPr>
                <w:sz w:val="20"/>
                <w:lang w:val="fr-CA"/>
              </w:rPr>
              <w:t>24 février 2017</w:t>
            </w:r>
          </w:p>
          <w:p w:rsidR="00F7565E" w:rsidRPr="0087010C" w:rsidRDefault="00F7565E" w:rsidP="00211A38">
            <w:pPr>
              <w:jc w:val="both"/>
              <w:rPr>
                <w:sz w:val="20"/>
                <w:lang w:val="fr-CA"/>
              </w:rPr>
            </w:pPr>
            <w:r w:rsidRPr="0087010C">
              <w:rPr>
                <w:sz w:val="20"/>
                <w:lang w:val="fr-CA"/>
              </w:rPr>
              <w:t>Cour fédérale</w:t>
            </w:r>
          </w:p>
          <w:p w:rsidR="00F7565E" w:rsidRPr="0087010C" w:rsidRDefault="00F7565E" w:rsidP="00211A38">
            <w:pPr>
              <w:jc w:val="both"/>
              <w:rPr>
                <w:sz w:val="20"/>
                <w:lang w:val="fr-CA"/>
              </w:rPr>
            </w:pPr>
            <w:r w:rsidRPr="0087010C">
              <w:rPr>
                <w:sz w:val="20"/>
                <w:lang w:val="fr-CA"/>
              </w:rPr>
              <w:t>(Juge Roy)</w:t>
            </w:r>
          </w:p>
          <w:p w:rsidR="00F7565E" w:rsidRPr="0087010C" w:rsidRDefault="003A218E" w:rsidP="00211A38">
            <w:pPr>
              <w:jc w:val="both"/>
              <w:rPr>
                <w:sz w:val="20"/>
                <w:lang w:val="fr-CA"/>
              </w:rPr>
            </w:pPr>
            <w:hyperlink r:id="rId21" w:history="1">
              <w:r w:rsidR="00F7565E" w:rsidRPr="0087010C">
                <w:rPr>
                  <w:rStyle w:val="Hyperlink"/>
                  <w:sz w:val="20"/>
                  <w:lang w:val="fr-CA"/>
                </w:rPr>
                <w:t>2017 CF 207</w:t>
              </w:r>
            </w:hyperlink>
            <w:r w:rsidR="00F7565E" w:rsidRPr="0087010C">
              <w:rPr>
                <w:sz w:val="20"/>
                <w:lang w:val="fr-CA"/>
              </w:rPr>
              <w:t xml:space="preserve"> </w:t>
            </w:r>
          </w:p>
          <w:p w:rsidR="00F7565E" w:rsidRPr="0087010C" w:rsidRDefault="00F7565E" w:rsidP="00211A38">
            <w:pPr>
              <w:jc w:val="both"/>
              <w:rPr>
                <w:sz w:val="20"/>
                <w:lang w:val="fr-CA"/>
              </w:rPr>
            </w:pPr>
          </w:p>
        </w:tc>
        <w:tc>
          <w:tcPr>
            <w:tcW w:w="243" w:type="pct"/>
          </w:tcPr>
          <w:p w:rsidR="00F7565E" w:rsidRPr="0087010C" w:rsidRDefault="00F7565E" w:rsidP="00211A38">
            <w:pPr>
              <w:jc w:val="both"/>
              <w:rPr>
                <w:sz w:val="20"/>
                <w:lang w:val="fr-CA"/>
              </w:rPr>
            </w:pPr>
          </w:p>
        </w:tc>
        <w:tc>
          <w:tcPr>
            <w:tcW w:w="2330" w:type="pct"/>
          </w:tcPr>
          <w:p w:rsidR="00F7565E" w:rsidRPr="0087010C" w:rsidRDefault="00F7565E" w:rsidP="00211A38">
            <w:pPr>
              <w:jc w:val="both"/>
              <w:rPr>
                <w:sz w:val="20"/>
                <w:lang w:val="fr-CA"/>
              </w:rPr>
            </w:pPr>
            <w:r w:rsidRPr="0087010C">
              <w:rPr>
                <w:sz w:val="20"/>
                <w:lang w:val="fr-CA"/>
              </w:rPr>
              <w:t>Rejet de l’action de l’intimée en contrefaçon contre les demanderesses</w:t>
            </w:r>
          </w:p>
          <w:p w:rsidR="00F7565E" w:rsidRPr="0087010C" w:rsidRDefault="00F7565E" w:rsidP="00211A38">
            <w:pPr>
              <w:jc w:val="both"/>
              <w:rPr>
                <w:sz w:val="20"/>
                <w:lang w:val="fr-CA"/>
              </w:rPr>
            </w:pPr>
          </w:p>
        </w:tc>
      </w:tr>
      <w:tr w:rsidR="00F7565E" w:rsidRPr="003A218E" w:rsidTr="00211A38">
        <w:tc>
          <w:tcPr>
            <w:tcW w:w="2427" w:type="pct"/>
            <w:gridSpan w:val="2"/>
          </w:tcPr>
          <w:p w:rsidR="00F7565E" w:rsidRPr="0087010C" w:rsidRDefault="00F7565E" w:rsidP="00211A38">
            <w:pPr>
              <w:jc w:val="both"/>
              <w:rPr>
                <w:sz w:val="20"/>
                <w:lang w:val="fr-CA"/>
              </w:rPr>
            </w:pPr>
            <w:r w:rsidRPr="0087010C">
              <w:rPr>
                <w:sz w:val="20"/>
                <w:lang w:val="fr-CA"/>
              </w:rPr>
              <w:t>25 septembre 2018</w:t>
            </w:r>
          </w:p>
          <w:p w:rsidR="00F7565E" w:rsidRPr="0087010C" w:rsidRDefault="00F7565E" w:rsidP="00211A38">
            <w:pPr>
              <w:jc w:val="both"/>
              <w:rPr>
                <w:sz w:val="20"/>
                <w:lang w:val="fr-CA"/>
              </w:rPr>
            </w:pPr>
            <w:r w:rsidRPr="0087010C">
              <w:rPr>
                <w:sz w:val="20"/>
                <w:lang w:val="fr-CA"/>
              </w:rPr>
              <w:t>Cour d’appel fédérale</w:t>
            </w:r>
          </w:p>
          <w:p w:rsidR="00F7565E" w:rsidRPr="0087010C" w:rsidRDefault="00F7565E" w:rsidP="00211A38">
            <w:pPr>
              <w:jc w:val="both"/>
              <w:rPr>
                <w:sz w:val="20"/>
                <w:lang w:val="fr-CA"/>
              </w:rPr>
            </w:pPr>
            <w:r w:rsidRPr="0087010C">
              <w:rPr>
                <w:sz w:val="20"/>
                <w:lang w:val="fr-CA"/>
              </w:rPr>
              <w:t>(Juges Pelletier, Gauthier et de Montigny)</w:t>
            </w:r>
          </w:p>
          <w:p w:rsidR="00F7565E" w:rsidRPr="0087010C" w:rsidRDefault="003A218E" w:rsidP="00211A38">
            <w:pPr>
              <w:jc w:val="both"/>
              <w:rPr>
                <w:sz w:val="20"/>
                <w:lang w:val="fr-CA"/>
              </w:rPr>
            </w:pPr>
            <w:hyperlink r:id="rId22" w:history="1">
              <w:r w:rsidR="00F7565E" w:rsidRPr="0087010C">
                <w:rPr>
                  <w:rStyle w:val="Hyperlink"/>
                  <w:sz w:val="20"/>
                  <w:lang w:val="fr-CA"/>
                </w:rPr>
                <w:t>2018 CAF 172</w:t>
              </w:r>
            </w:hyperlink>
            <w:r w:rsidR="00F7565E" w:rsidRPr="0087010C">
              <w:rPr>
                <w:sz w:val="20"/>
                <w:lang w:val="fr-CA"/>
              </w:rPr>
              <w:t xml:space="preserve"> (No. A</w:t>
            </w:r>
            <w:r w:rsidR="00F7565E" w:rsidRPr="0087010C">
              <w:rPr>
                <w:sz w:val="20"/>
                <w:lang w:val="fr-CA"/>
              </w:rPr>
              <w:noBreakHyphen/>
              <w:t>109</w:t>
            </w:r>
            <w:r w:rsidR="00F7565E" w:rsidRPr="0087010C">
              <w:rPr>
                <w:sz w:val="20"/>
                <w:lang w:val="fr-CA"/>
              </w:rPr>
              <w:noBreakHyphen/>
              <w:t>17)</w:t>
            </w:r>
          </w:p>
          <w:p w:rsidR="00F7565E" w:rsidRPr="0087010C" w:rsidRDefault="00F7565E" w:rsidP="00211A38">
            <w:pPr>
              <w:jc w:val="both"/>
              <w:rPr>
                <w:sz w:val="20"/>
                <w:lang w:val="fr-CA"/>
              </w:rPr>
            </w:pPr>
          </w:p>
        </w:tc>
        <w:tc>
          <w:tcPr>
            <w:tcW w:w="243" w:type="pct"/>
          </w:tcPr>
          <w:p w:rsidR="00F7565E" w:rsidRPr="0087010C" w:rsidRDefault="00F7565E" w:rsidP="00211A38">
            <w:pPr>
              <w:jc w:val="both"/>
              <w:rPr>
                <w:sz w:val="20"/>
                <w:lang w:val="fr-CA"/>
              </w:rPr>
            </w:pPr>
          </w:p>
        </w:tc>
        <w:tc>
          <w:tcPr>
            <w:tcW w:w="2330" w:type="pct"/>
          </w:tcPr>
          <w:p w:rsidR="00F7565E" w:rsidRPr="0087010C" w:rsidRDefault="00F7565E" w:rsidP="00211A38">
            <w:pPr>
              <w:jc w:val="both"/>
              <w:rPr>
                <w:sz w:val="20"/>
                <w:lang w:val="fr-CA"/>
              </w:rPr>
            </w:pPr>
            <w:r w:rsidRPr="0087010C">
              <w:rPr>
                <w:sz w:val="20"/>
                <w:lang w:val="fr-CA"/>
              </w:rPr>
              <w:t xml:space="preserve">Arrêt accueillant en partie l’appel de l’intimée </w:t>
            </w:r>
          </w:p>
        </w:tc>
      </w:tr>
      <w:tr w:rsidR="00F7565E" w:rsidRPr="003A218E" w:rsidTr="00211A38">
        <w:tc>
          <w:tcPr>
            <w:tcW w:w="2427" w:type="pct"/>
            <w:gridSpan w:val="2"/>
          </w:tcPr>
          <w:p w:rsidR="00F7565E" w:rsidRPr="0087010C" w:rsidRDefault="00F7565E" w:rsidP="00211A38">
            <w:pPr>
              <w:jc w:val="both"/>
              <w:rPr>
                <w:sz w:val="20"/>
                <w:lang w:val="fr-CA"/>
              </w:rPr>
            </w:pPr>
            <w:r w:rsidRPr="0087010C">
              <w:rPr>
                <w:sz w:val="20"/>
                <w:lang w:val="fr-CA"/>
              </w:rPr>
              <w:t>26 novembre 2018</w:t>
            </w:r>
          </w:p>
          <w:p w:rsidR="00F7565E" w:rsidRPr="0087010C" w:rsidRDefault="00F7565E" w:rsidP="00211A38">
            <w:pPr>
              <w:jc w:val="both"/>
              <w:rPr>
                <w:sz w:val="20"/>
                <w:lang w:val="fr-CA"/>
              </w:rPr>
            </w:pPr>
            <w:r w:rsidRPr="0087010C">
              <w:rPr>
                <w:sz w:val="20"/>
                <w:lang w:val="fr-CA"/>
              </w:rPr>
              <w:t>Cour suprême du Canada</w:t>
            </w:r>
          </w:p>
        </w:tc>
        <w:tc>
          <w:tcPr>
            <w:tcW w:w="243" w:type="pct"/>
          </w:tcPr>
          <w:p w:rsidR="00F7565E" w:rsidRPr="0087010C" w:rsidRDefault="00F7565E" w:rsidP="00211A38">
            <w:pPr>
              <w:jc w:val="both"/>
              <w:rPr>
                <w:sz w:val="20"/>
                <w:lang w:val="fr-CA"/>
              </w:rPr>
            </w:pPr>
          </w:p>
        </w:tc>
        <w:tc>
          <w:tcPr>
            <w:tcW w:w="2330" w:type="pct"/>
          </w:tcPr>
          <w:p w:rsidR="00F7565E" w:rsidRPr="0087010C" w:rsidRDefault="00F7565E" w:rsidP="00211A38">
            <w:pPr>
              <w:jc w:val="both"/>
              <w:rPr>
                <w:sz w:val="20"/>
                <w:lang w:val="fr-CA"/>
              </w:rPr>
            </w:pPr>
            <w:r w:rsidRPr="0087010C">
              <w:rPr>
                <w:sz w:val="20"/>
                <w:lang w:val="fr-CA"/>
              </w:rPr>
              <w:t>Dépôt de la demande d’autorisation d’appel</w:t>
            </w:r>
          </w:p>
        </w:tc>
      </w:tr>
    </w:tbl>
    <w:p w:rsidR="00F7565E" w:rsidRPr="0087010C" w:rsidRDefault="00F7565E" w:rsidP="00F7565E">
      <w:pPr>
        <w:jc w:val="both"/>
        <w:rPr>
          <w:sz w:val="20"/>
          <w:lang w:val="fr-CA"/>
        </w:rPr>
      </w:pPr>
    </w:p>
    <w:p w:rsidR="00F7565E" w:rsidRPr="0087010C" w:rsidRDefault="003A218E" w:rsidP="00F7565E">
      <w:pPr>
        <w:jc w:val="both"/>
        <w:rPr>
          <w:sz w:val="20"/>
          <w:lang w:val="fr-CA"/>
        </w:rPr>
      </w:pPr>
      <w:r>
        <w:rPr>
          <w:sz w:val="20"/>
        </w:rPr>
        <w:pict>
          <v:rect id="_x0000_i1042" style="width:2in;height:1pt" o:hrpct="0" o:hralign="center" o:hrstd="t" o:hrnoshade="t" o:hr="t" fillcolor="black [3213]" stroked="f"/>
        </w:pict>
      </w:r>
    </w:p>
    <w:p w:rsidR="00F7565E" w:rsidRPr="0087010C" w:rsidRDefault="00F7565E" w:rsidP="00F7565E">
      <w:pPr>
        <w:ind w:left="142" w:hanging="142"/>
        <w:jc w:val="both"/>
        <w:rPr>
          <w:sz w:val="20"/>
          <w:lang w:val="fr-CA"/>
        </w:rPr>
      </w:pPr>
    </w:p>
    <w:p w:rsidR="00F7565E" w:rsidRDefault="00F7565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565E" w:rsidRPr="0087010C" w:rsidTr="00211A38">
        <w:tc>
          <w:tcPr>
            <w:tcW w:w="543" w:type="pct"/>
          </w:tcPr>
          <w:p w:rsidR="00F7565E" w:rsidRPr="0087010C" w:rsidRDefault="00F7565E" w:rsidP="00211A38">
            <w:pPr>
              <w:jc w:val="both"/>
              <w:rPr>
                <w:sz w:val="20"/>
              </w:rPr>
            </w:pPr>
            <w:r w:rsidRPr="0087010C">
              <w:rPr>
                <w:rStyle w:val="SCCFileNumberChar"/>
                <w:sz w:val="20"/>
                <w:szCs w:val="20"/>
              </w:rPr>
              <w:lastRenderedPageBreak/>
              <w:t>38520</w:t>
            </w:r>
          </w:p>
        </w:tc>
        <w:tc>
          <w:tcPr>
            <w:tcW w:w="4457" w:type="pct"/>
            <w:gridSpan w:val="3"/>
          </w:tcPr>
          <w:p w:rsidR="00F7565E" w:rsidRPr="0087010C" w:rsidRDefault="00F7565E" w:rsidP="00211A38">
            <w:pPr>
              <w:pStyle w:val="SCCLsocParty"/>
              <w:jc w:val="both"/>
              <w:rPr>
                <w:b/>
                <w:sz w:val="20"/>
                <w:szCs w:val="20"/>
              </w:rPr>
            </w:pPr>
            <w:r w:rsidRPr="0087010C">
              <w:rPr>
                <w:b/>
                <w:sz w:val="20"/>
                <w:szCs w:val="20"/>
              </w:rPr>
              <w:t xml:space="preserve">David </w:t>
            </w:r>
            <w:proofErr w:type="spellStart"/>
            <w:r w:rsidRPr="0087010C">
              <w:rPr>
                <w:b/>
                <w:sz w:val="20"/>
                <w:szCs w:val="20"/>
              </w:rPr>
              <w:t>Eric</w:t>
            </w:r>
            <w:proofErr w:type="spellEnd"/>
            <w:r w:rsidRPr="0087010C">
              <w:rPr>
                <w:b/>
                <w:sz w:val="20"/>
                <w:szCs w:val="20"/>
              </w:rPr>
              <w:t xml:space="preserve"> </w:t>
            </w:r>
            <w:proofErr w:type="spellStart"/>
            <w:r w:rsidRPr="0087010C">
              <w:rPr>
                <w:b/>
                <w:sz w:val="20"/>
                <w:szCs w:val="20"/>
              </w:rPr>
              <w:t>McQuaid</w:t>
            </w:r>
            <w:proofErr w:type="spellEnd"/>
            <w:r w:rsidRPr="0087010C">
              <w:rPr>
                <w:b/>
                <w:sz w:val="20"/>
                <w:szCs w:val="20"/>
              </w:rPr>
              <w:t xml:space="preserve"> v. Jean Marie </w:t>
            </w:r>
            <w:proofErr w:type="spellStart"/>
            <w:r w:rsidRPr="0087010C">
              <w:rPr>
                <w:b/>
                <w:sz w:val="20"/>
                <w:szCs w:val="20"/>
              </w:rPr>
              <w:t>Trainor</w:t>
            </w:r>
            <w:proofErr w:type="spellEnd"/>
          </w:p>
          <w:p w:rsidR="00F7565E" w:rsidRPr="0087010C" w:rsidRDefault="00F7565E" w:rsidP="00211A38">
            <w:pPr>
              <w:jc w:val="both"/>
              <w:rPr>
                <w:sz w:val="20"/>
              </w:rPr>
            </w:pPr>
            <w:r w:rsidRPr="0087010C">
              <w:rPr>
                <w:sz w:val="20"/>
              </w:rPr>
              <w:t>(P.E.I.) (Civil) (By Leave)</w:t>
            </w:r>
          </w:p>
        </w:tc>
      </w:tr>
      <w:tr w:rsidR="009B1A2E" w:rsidRPr="0087010C" w:rsidTr="009B1A2E">
        <w:tc>
          <w:tcPr>
            <w:tcW w:w="5000" w:type="pct"/>
            <w:gridSpan w:val="4"/>
          </w:tcPr>
          <w:p w:rsidR="009B1A2E" w:rsidRPr="00647612" w:rsidRDefault="009B1A2E" w:rsidP="009B1A2E">
            <w:pPr>
              <w:widowControl w:val="0"/>
              <w:rPr>
                <w:sz w:val="20"/>
              </w:rPr>
            </w:pPr>
            <w:r w:rsidRPr="00647612">
              <w:rPr>
                <w:sz w:val="20"/>
              </w:rPr>
              <w:t>The application for leave to appeal from the judgment of the Prince Edward Island Court of Appeal, Number S1-CA-1395, 2018 PECA 30, dated December 18, 2018, is dismissed.</w:t>
            </w:r>
          </w:p>
          <w:p w:rsidR="009B1A2E" w:rsidRPr="009B1A2E" w:rsidRDefault="009B1A2E" w:rsidP="00211A38">
            <w:pPr>
              <w:pStyle w:val="SCCLsocParty"/>
              <w:jc w:val="both"/>
              <w:rPr>
                <w:b/>
                <w:sz w:val="20"/>
                <w:szCs w:val="20"/>
                <w:lang w:val="en-CA"/>
              </w:rPr>
            </w:pPr>
          </w:p>
        </w:tc>
      </w:tr>
      <w:tr w:rsidR="00F7565E" w:rsidRPr="0087010C" w:rsidTr="00211A38">
        <w:tc>
          <w:tcPr>
            <w:tcW w:w="5000" w:type="pct"/>
            <w:gridSpan w:val="4"/>
          </w:tcPr>
          <w:p w:rsidR="00F7565E" w:rsidRPr="0087010C" w:rsidRDefault="00F7565E" w:rsidP="00211A38">
            <w:pPr>
              <w:jc w:val="both"/>
              <w:rPr>
                <w:sz w:val="20"/>
              </w:rPr>
            </w:pPr>
            <w:r w:rsidRPr="0087010C">
              <w:rPr>
                <w:sz w:val="20"/>
              </w:rPr>
              <w:t>Judgments and orders — Reasons — Compliance of formal order with reasons for judgment —Reasons for judgment indicating formal order  to stipulate one party not permitted on other party’s property — Formal order stipulating one party not to attend within 200 metres of other party’s residence — Appeal court holding that formal order did not go beyond what was reflected in the reasons for judgment — What is the appropriate standard of review where an appellate court reviews an order to determine whether it accurately reflects the reasons for judgment? — Can different levels of courts apply different standards of review when faced with the identical legal issue?</w:t>
            </w:r>
          </w:p>
        </w:tc>
      </w:tr>
      <w:tr w:rsidR="00F7565E" w:rsidRPr="0087010C" w:rsidTr="00211A38">
        <w:tc>
          <w:tcPr>
            <w:tcW w:w="5000" w:type="pct"/>
            <w:gridSpan w:val="4"/>
          </w:tcPr>
          <w:p w:rsidR="00F7565E" w:rsidRPr="0087010C" w:rsidRDefault="00F7565E" w:rsidP="00211A38">
            <w:pPr>
              <w:jc w:val="both"/>
              <w:rPr>
                <w:sz w:val="20"/>
              </w:rPr>
            </w:pPr>
          </w:p>
        </w:tc>
      </w:tr>
      <w:tr w:rsidR="00F7565E" w:rsidRPr="0087010C" w:rsidTr="00211A38">
        <w:tc>
          <w:tcPr>
            <w:tcW w:w="5000" w:type="pct"/>
            <w:gridSpan w:val="4"/>
          </w:tcPr>
          <w:p w:rsidR="00F7565E" w:rsidRPr="0087010C" w:rsidRDefault="00F7565E" w:rsidP="00211A38">
            <w:pPr>
              <w:jc w:val="both"/>
              <w:rPr>
                <w:sz w:val="20"/>
              </w:rPr>
            </w:pPr>
            <w:r w:rsidRPr="0087010C">
              <w:rPr>
                <w:sz w:val="20"/>
              </w:rPr>
              <w:t>Following a hearing on child custody, child support and related issues, the trial judge’s reasons for judgment stated that any order arising from the decision should include as a term that Mr. </w:t>
            </w:r>
            <w:proofErr w:type="spellStart"/>
            <w:r w:rsidRPr="0087010C">
              <w:rPr>
                <w:sz w:val="20"/>
              </w:rPr>
              <w:t>McQuaid</w:t>
            </w:r>
            <w:proofErr w:type="spellEnd"/>
            <w:r w:rsidRPr="0087010C">
              <w:rPr>
                <w:sz w:val="20"/>
              </w:rPr>
              <w:t xml:space="preserve"> was not permitted on Ms. Trainor’s property.  The formal order signed by the judge included a clause stipulating that Mr. </w:t>
            </w:r>
            <w:proofErr w:type="spellStart"/>
            <w:r w:rsidRPr="0087010C">
              <w:rPr>
                <w:sz w:val="20"/>
              </w:rPr>
              <w:t>McQuaid</w:t>
            </w:r>
            <w:proofErr w:type="spellEnd"/>
            <w:r w:rsidRPr="0087010C">
              <w:rPr>
                <w:sz w:val="20"/>
              </w:rPr>
              <w:t xml:space="preserve"> was not to attend within 200 metres of Ms. Trainor’s residence. Mr. </w:t>
            </w:r>
            <w:proofErr w:type="spellStart"/>
            <w:r w:rsidRPr="0087010C">
              <w:rPr>
                <w:sz w:val="20"/>
              </w:rPr>
              <w:t>McQuaid</w:t>
            </w:r>
            <w:proofErr w:type="spellEnd"/>
            <w:r w:rsidRPr="0087010C">
              <w:rPr>
                <w:sz w:val="20"/>
              </w:rPr>
              <w:t xml:space="preserve"> appealed, arguing that the relief ordered went beyond what was reflected in the reasons for judgment. The Court of Appeal dismissed the appeal, concluding that the order reflected the direction that the judge intended to provide.</w:t>
            </w:r>
          </w:p>
          <w:p w:rsidR="00F7565E" w:rsidRPr="0087010C" w:rsidRDefault="00F7565E" w:rsidP="00211A38">
            <w:pPr>
              <w:jc w:val="both"/>
              <w:rPr>
                <w:sz w:val="20"/>
              </w:rPr>
            </w:pPr>
          </w:p>
        </w:tc>
      </w:tr>
      <w:tr w:rsidR="00F7565E" w:rsidRPr="0087010C" w:rsidTr="00211A38">
        <w:tc>
          <w:tcPr>
            <w:tcW w:w="2427" w:type="pct"/>
            <w:gridSpan w:val="2"/>
          </w:tcPr>
          <w:p w:rsidR="00F7565E" w:rsidRPr="0087010C" w:rsidRDefault="00F7565E" w:rsidP="00211A38">
            <w:pPr>
              <w:jc w:val="both"/>
              <w:rPr>
                <w:sz w:val="20"/>
              </w:rPr>
            </w:pPr>
            <w:r w:rsidRPr="0087010C">
              <w:rPr>
                <w:sz w:val="20"/>
              </w:rPr>
              <w:t>May 4, 2018</w:t>
            </w:r>
          </w:p>
          <w:p w:rsidR="00F7565E" w:rsidRPr="0087010C" w:rsidRDefault="00F7565E" w:rsidP="00211A38">
            <w:pPr>
              <w:jc w:val="both"/>
              <w:rPr>
                <w:sz w:val="20"/>
              </w:rPr>
            </w:pPr>
            <w:r w:rsidRPr="0087010C">
              <w:rPr>
                <w:sz w:val="20"/>
              </w:rPr>
              <w:t>Supreme Court of Prince Edward Island</w:t>
            </w:r>
          </w:p>
          <w:p w:rsidR="00F7565E" w:rsidRPr="0087010C" w:rsidRDefault="00F7565E" w:rsidP="00211A38">
            <w:pPr>
              <w:jc w:val="both"/>
              <w:rPr>
                <w:sz w:val="20"/>
              </w:rPr>
            </w:pPr>
            <w:r w:rsidRPr="0087010C">
              <w:rPr>
                <w:sz w:val="20"/>
              </w:rPr>
              <w:t>Trial Division</w:t>
            </w:r>
          </w:p>
          <w:p w:rsidR="00F7565E" w:rsidRPr="0087010C" w:rsidRDefault="00F7565E" w:rsidP="00211A38">
            <w:pPr>
              <w:jc w:val="both"/>
              <w:rPr>
                <w:sz w:val="20"/>
              </w:rPr>
            </w:pPr>
            <w:r w:rsidRPr="0087010C">
              <w:rPr>
                <w:sz w:val="20"/>
              </w:rPr>
              <w:t>(Key J.)</w:t>
            </w:r>
          </w:p>
          <w:p w:rsidR="00F7565E" w:rsidRPr="0087010C" w:rsidRDefault="003A218E" w:rsidP="00211A38">
            <w:pPr>
              <w:jc w:val="both"/>
              <w:rPr>
                <w:sz w:val="20"/>
              </w:rPr>
            </w:pPr>
            <w:hyperlink r:id="rId23" w:history="1">
              <w:r w:rsidR="00F7565E" w:rsidRPr="0087010C">
                <w:rPr>
                  <w:rStyle w:val="Hyperlink"/>
                  <w:sz w:val="20"/>
                </w:rPr>
                <w:t>2018 PESC 12</w:t>
              </w:r>
            </w:hyperlink>
            <w:r w:rsidR="00F7565E" w:rsidRPr="0087010C">
              <w:rPr>
                <w:sz w:val="20"/>
              </w:rPr>
              <w:t xml:space="preserve"> </w:t>
            </w:r>
          </w:p>
          <w:p w:rsidR="00F7565E" w:rsidRPr="0087010C" w:rsidRDefault="00F7565E" w:rsidP="00211A38">
            <w:pPr>
              <w:jc w:val="both"/>
              <w:rPr>
                <w:sz w:val="20"/>
              </w:rPr>
            </w:pPr>
          </w:p>
        </w:tc>
        <w:tc>
          <w:tcPr>
            <w:tcW w:w="243" w:type="pct"/>
          </w:tcPr>
          <w:p w:rsidR="00F7565E" w:rsidRPr="0087010C" w:rsidRDefault="00F7565E" w:rsidP="00211A38">
            <w:pPr>
              <w:jc w:val="both"/>
              <w:rPr>
                <w:sz w:val="20"/>
              </w:rPr>
            </w:pPr>
          </w:p>
        </w:tc>
        <w:tc>
          <w:tcPr>
            <w:tcW w:w="2330" w:type="pct"/>
          </w:tcPr>
          <w:p w:rsidR="00F7565E" w:rsidRPr="0087010C" w:rsidRDefault="00F7565E" w:rsidP="00211A38">
            <w:pPr>
              <w:jc w:val="both"/>
              <w:rPr>
                <w:sz w:val="20"/>
              </w:rPr>
            </w:pPr>
            <w:r w:rsidRPr="0087010C">
              <w:rPr>
                <w:sz w:val="20"/>
              </w:rPr>
              <w:t xml:space="preserve">Judgment specifying how order is to be prepared; court indicating it will sign the order if the order complies with the terms of the decision </w:t>
            </w:r>
          </w:p>
        </w:tc>
      </w:tr>
      <w:tr w:rsidR="00F7565E" w:rsidRPr="0087010C" w:rsidTr="00211A38">
        <w:tc>
          <w:tcPr>
            <w:tcW w:w="2427" w:type="pct"/>
            <w:gridSpan w:val="2"/>
          </w:tcPr>
          <w:p w:rsidR="00F7565E" w:rsidRPr="0087010C" w:rsidRDefault="00F7565E" w:rsidP="00211A38">
            <w:pPr>
              <w:jc w:val="both"/>
              <w:rPr>
                <w:sz w:val="20"/>
              </w:rPr>
            </w:pPr>
            <w:r w:rsidRPr="0087010C">
              <w:rPr>
                <w:sz w:val="20"/>
              </w:rPr>
              <w:t>June 27, 2018</w:t>
            </w:r>
          </w:p>
          <w:p w:rsidR="00F7565E" w:rsidRPr="0087010C" w:rsidRDefault="00F7565E" w:rsidP="00211A38">
            <w:pPr>
              <w:jc w:val="both"/>
              <w:rPr>
                <w:sz w:val="20"/>
              </w:rPr>
            </w:pPr>
            <w:r w:rsidRPr="0087010C">
              <w:rPr>
                <w:sz w:val="20"/>
              </w:rPr>
              <w:t>Supreme Court of Prince Edward Island</w:t>
            </w:r>
          </w:p>
          <w:p w:rsidR="00F7565E" w:rsidRPr="0087010C" w:rsidRDefault="00F7565E" w:rsidP="00211A38">
            <w:pPr>
              <w:jc w:val="both"/>
              <w:rPr>
                <w:sz w:val="20"/>
              </w:rPr>
            </w:pPr>
            <w:r w:rsidRPr="0087010C">
              <w:rPr>
                <w:sz w:val="20"/>
              </w:rPr>
              <w:t>Trial Division</w:t>
            </w:r>
          </w:p>
          <w:p w:rsidR="00F7565E" w:rsidRPr="0087010C" w:rsidRDefault="00F7565E" w:rsidP="00211A38">
            <w:pPr>
              <w:jc w:val="both"/>
              <w:rPr>
                <w:sz w:val="20"/>
              </w:rPr>
            </w:pPr>
            <w:r w:rsidRPr="0087010C">
              <w:rPr>
                <w:sz w:val="20"/>
              </w:rPr>
              <w:t>(Key J.)</w:t>
            </w:r>
          </w:p>
          <w:p w:rsidR="00F7565E" w:rsidRPr="0087010C" w:rsidRDefault="00F7565E" w:rsidP="00211A38">
            <w:pPr>
              <w:jc w:val="both"/>
              <w:rPr>
                <w:sz w:val="20"/>
              </w:rPr>
            </w:pPr>
          </w:p>
        </w:tc>
        <w:tc>
          <w:tcPr>
            <w:tcW w:w="243" w:type="pct"/>
          </w:tcPr>
          <w:p w:rsidR="00F7565E" w:rsidRPr="0087010C" w:rsidRDefault="00F7565E" w:rsidP="00211A38">
            <w:pPr>
              <w:jc w:val="both"/>
              <w:rPr>
                <w:sz w:val="20"/>
              </w:rPr>
            </w:pPr>
          </w:p>
        </w:tc>
        <w:tc>
          <w:tcPr>
            <w:tcW w:w="2330" w:type="pct"/>
          </w:tcPr>
          <w:p w:rsidR="00F7565E" w:rsidRPr="0087010C" w:rsidRDefault="00F7565E" w:rsidP="00211A38">
            <w:pPr>
              <w:jc w:val="both"/>
              <w:rPr>
                <w:sz w:val="20"/>
              </w:rPr>
            </w:pPr>
            <w:r w:rsidRPr="0087010C">
              <w:rPr>
                <w:sz w:val="20"/>
              </w:rPr>
              <w:t>Formal order signed</w:t>
            </w:r>
          </w:p>
        </w:tc>
      </w:tr>
      <w:tr w:rsidR="00F7565E" w:rsidRPr="0087010C" w:rsidTr="00211A38">
        <w:tc>
          <w:tcPr>
            <w:tcW w:w="2427" w:type="pct"/>
            <w:gridSpan w:val="2"/>
          </w:tcPr>
          <w:p w:rsidR="00F7565E" w:rsidRPr="0087010C" w:rsidRDefault="00F7565E" w:rsidP="00211A38">
            <w:pPr>
              <w:jc w:val="both"/>
              <w:rPr>
                <w:sz w:val="20"/>
              </w:rPr>
            </w:pPr>
            <w:r w:rsidRPr="0087010C">
              <w:rPr>
                <w:sz w:val="20"/>
              </w:rPr>
              <w:t>December 18, 2018</w:t>
            </w:r>
          </w:p>
          <w:p w:rsidR="00F7565E" w:rsidRPr="0087010C" w:rsidRDefault="00F7565E" w:rsidP="00211A38">
            <w:pPr>
              <w:jc w:val="both"/>
              <w:rPr>
                <w:sz w:val="20"/>
              </w:rPr>
            </w:pPr>
            <w:r w:rsidRPr="0087010C">
              <w:rPr>
                <w:sz w:val="20"/>
              </w:rPr>
              <w:t>Prince Edward Island Court of Appeal</w:t>
            </w:r>
          </w:p>
          <w:p w:rsidR="00F7565E" w:rsidRPr="0087010C" w:rsidRDefault="00F7565E" w:rsidP="00211A38">
            <w:pPr>
              <w:jc w:val="both"/>
              <w:rPr>
                <w:sz w:val="20"/>
              </w:rPr>
            </w:pPr>
            <w:r w:rsidRPr="0087010C">
              <w:rPr>
                <w:sz w:val="20"/>
              </w:rPr>
              <w:t xml:space="preserve">(Jenkins, </w:t>
            </w:r>
            <w:proofErr w:type="spellStart"/>
            <w:r w:rsidRPr="0087010C">
              <w:rPr>
                <w:sz w:val="20"/>
              </w:rPr>
              <w:t>Gormley</w:t>
            </w:r>
            <w:proofErr w:type="spellEnd"/>
            <w:r w:rsidRPr="0087010C">
              <w:rPr>
                <w:sz w:val="20"/>
              </w:rPr>
              <w:t xml:space="preserve">, </w:t>
            </w:r>
            <w:proofErr w:type="spellStart"/>
            <w:r w:rsidRPr="0087010C">
              <w:rPr>
                <w:sz w:val="20"/>
              </w:rPr>
              <w:t>Cann</w:t>
            </w:r>
            <w:proofErr w:type="spellEnd"/>
            <w:r w:rsidRPr="0087010C">
              <w:rPr>
                <w:sz w:val="20"/>
              </w:rPr>
              <w:t xml:space="preserve"> JJ.A)</w:t>
            </w:r>
          </w:p>
          <w:p w:rsidR="00F7565E" w:rsidRPr="0087010C" w:rsidRDefault="003A218E" w:rsidP="00211A38">
            <w:pPr>
              <w:jc w:val="both"/>
              <w:rPr>
                <w:sz w:val="20"/>
              </w:rPr>
            </w:pPr>
            <w:hyperlink r:id="rId24" w:history="1">
              <w:r w:rsidR="00F7565E" w:rsidRPr="0087010C">
                <w:rPr>
                  <w:rStyle w:val="Hyperlink"/>
                  <w:sz w:val="20"/>
                </w:rPr>
                <w:t>2018 PECA 30</w:t>
              </w:r>
            </w:hyperlink>
            <w:r w:rsidR="00F7565E" w:rsidRPr="0087010C">
              <w:rPr>
                <w:sz w:val="20"/>
              </w:rPr>
              <w:t xml:space="preserve"> (No: S1</w:t>
            </w:r>
            <w:r w:rsidR="00F7565E" w:rsidRPr="0087010C">
              <w:rPr>
                <w:sz w:val="20"/>
              </w:rPr>
              <w:noBreakHyphen/>
              <w:t>CA</w:t>
            </w:r>
            <w:r w:rsidR="00F7565E" w:rsidRPr="0087010C">
              <w:rPr>
                <w:sz w:val="20"/>
              </w:rPr>
              <w:noBreakHyphen/>
              <w:t>1395)</w:t>
            </w:r>
          </w:p>
          <w:p w:rsidR="00F7565E" w:rsidRPr="0087010C" w:rsidRDefault="00F7565E" w:rsidP="00211A38">
            <w:pPr>
              <w:jc w:val="both"/>
              <w:rPr>
                <w:sz w:val="20"/>
              </w:rPr>
            </w:pPr>
          </w:p>
        </w:tc>
        <w:tc>
          <w:tcPr>
            <w:tcW w:w="243" w:type="pct"/>
          </w:tcPr>
          <w:p w:rsidR="00F7565E" w:rsidRPr="0087010C" w:rsidRDefault="00F7565E" w:rsidP="00211A38">
            <w:pPr>
              <w:jc w:val="both"/>
              <w:rPr>
                <w:sz w:val="20"/>
              </w:rPr>
            </w:pPr>
          </w:p>
        </w:tc>
        <w:tc>
          <w:tcPr>
            <w:tcW w:w="2330" w:type="pct"/>
          </w:tcPr>
          <w:p w:rsidR="00F7565E" w:rsidRPr="0087010C" w:rsidRDefault="00F7565E" w:rsidP="00211A38">
            <w:pPr>
              <w:jc w:val="both"/>
              <w:rPr>
                <w:sz w:val="20"/>
              </w:rPr>
            </w:pPr>
            <w:r w:rsidRPr="0087010C">
              <w:rPr>
                <w:sz w:val="20"/>
              </w:rPr>
              <w:t>Appeal dismissed; formal order upheld</w:t>
            </w:r>
          </w:p>
          <w:p w:rsidR="00F7565E" w:rsidRPr="0087010C" w:rsidRDefault="00F7565E" w:rsidP="00211A38">
            <w:pPr>
              <w:jc w:val="both"/>
              <w:rPr>
                <w:sz w:val="20"/>
              </w:rPr>
            </w:pPr>
          </w:p>
        </w:tc>
      </w:tr>
      <w:tr w:rsidR="00F7565E" w:rsidRPr="0087010C" w:rsidTr="00211A38">
        <w:tc>
          <w:tcPr>
            <w:tcW w:w="2427" w:type="pct"/>
            <w:gridSpan w:val="2"/>
          </w:tcPr>
          <w:p w:rsidR="00F7565E" w:rsidRPr="0087010C" w:rsidRDefault="00F7565E" w:rsidP="00211A38">
            <w:pPr>
              <w:jc w:val="both"/>
              <w:rPr>
                <w:sz w:val="20"/>
              </w:rPr>
            </w:pPr>
            <w:r w:rsidRPr="0087010C">
              <w:rPr>
                <w:sz w:val="20"/>
              </w:rPr>
              <w:t>February 15, 2019</w:t>
            </w:r>
          </w:p>
          <w:p w:rsidR="00F7565E" w:rsidRPr="0087010C" w:rsidRDefault="00F7565E" w:rsidP="00211A38">
            <w:pPr>
              <w:jc w:val="both"/>
              <w:rPr>
                <w:sz w:val="20"/>
              </w:rPr>
            </w:pPr>
            <w:r w:rsidRPr="0087010C">
              <w:rPr>
                <w:sz w:val="20"/>
              </w:rPr>
              <w:t>Supreme Court of Canada</w:t>
            </w:r>
          </w:p>
        </w:tc>
        <w:tc>
          <w:tcPr>
            <w:tcW w:w="243" w:type="pct"/>
          </w:tcPr>
          <w:p w:rsidR="00F7565E" w:rsidRPr="0087010C" w:rsidRDefault="00F7565E" w:rsidP="00211A38">
            <w:pPr>
              <w:jc w:val="both"/>
              <w:rPr>
                <w:sz w:val="20"/>
              </w:rPr>
            </w:pPr>
          </w:p>
        </w:tc>
        <w:tc>
          <w:tcPr>
            <w:tcW w:w="2330" w:type="pct"/>
          </w:tcPr>
          <w:p w:rsidR="00F7565E" w:rsidRPr="0087010C" w:rsidRDefault="00F7565E" w:rsidP="00211A38">
            <w:pPr>
              <w:jc w:val="both"/>
              <w:rPr>
                <w:sz w:val="20"/>
              </w:rPr>
            </w:pPr>
            <w:r w:rsidRPr="0087010C">
              <w:rPr>
                <w:sz w:val="20"/>
              </w:rPr>
              <w:t>Application for leave to appeal filed</w:t>
            </w:r>
          </w:p>
          <w:p w:rsidR="00F7565E" w:rsidRPr="0087010C" w:rsidRDefault="00F7565E" w:rsidP="00211A38">
            <w:pPr>
              <w:jc w:val="both"/>
              <w:rPr>
                <w:sz w:val="20"/>
              </w:rPr>
            </w:pPr>
          </w:p>
        </w:tc>
      </w:tr>
    </w:tbl>
    <w:p w:rsidR="00F7565E" w:rsidRPr="0087010C" w:rsidRDefault="00F7565E" w:rsidP="00F7565E">
      <w:pPr>
        <w:jc w:val="both"/>
        <w:rPr>
          <w:sz w:val="20"/>
        </w:rPr>
      </w:pPr>
    </w:p>
    <w:p w:rsidR="00F7565E" w:rsidRPr="0087010C" w:rsidRDefault="00F7565E" w:rsidP="00F7565E">
      <w:pPr>
        <w:jc w:val="both"/>
        <w:rPr>
          <w:sz w:val="20"/>
        </w:rPr>
      </w:pPr>
    </w:p>
    <w:p w:rsidR="00F7565E" w:rsidRPr="0087010C" w:rsidRDefault="00F7565E" w:rsidP="00F7565E">
      <w:pPr>
        <w:jc w:val="both"/>
        <w:rPr>
          <w:sz w:val="20"/>
        </w:rPr>
      </w:pPr>
    </w:p>
    <w:p w:rsidR="00F7565E" w:rsidRDefault="00F7565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565E" w:rsidRPr="003A218E" w:rsidTr="00211A38">
        <w:tc>
          <w:tcPr>
            <w:tcW w:w="543" w:type="pct"/>
          </w:tcPr>
          <w:p w:rsidR="00F7565E" w:rsidRPr="0087010C" w:rsidRDefault="00F7565E" w:rsidP="00211A38">
            <w:pPr>
              <w:jc w:val="both"/>
              <w:rPr>
                <w:sz w:val="20"/>
                <w:lang w:val="fr-CA"/>
              </w:rPr>
            </w:pPr>
            <w:r w:rsidRPr="0087010C">
              <w:rPr>
                <w:rStyle w:val="SCCFileNumberChar"/>
                <w:sz w:val="20"/>
                <w:szCs w:val="20"/>
                <w:lang w:val="fr-CA"/>
              </w:rPr>
              <w:lastRenderedPageBreak/>
              <w:t>38520</w:t>
            </w:r>
          </w:p>
        </w:tc>
        <w:tc>
          <w:tcPr>
            <w:tcW w:w="4457" w:type="pct"/>
            <w:gridSpan w:val="3"/>
          </w:tcPr>
          <w:p w:rsidR="00F7565E" w:rsidRPr="0087010C" w:rsidRDefault="00F7565E" w:rsidP="00211A38">
            <w:pPr>
              <w:pStyle w:val="SCCLsocParty"/>
              <w:jc w:val="both"/>
              <w:rPr>
                <w:b/>
                <w:sz w:val="20"/>
                <w:szCs w:val="20"/>
              </w:rPr>
            </w:pPr>
            <w:r w:rsidRPr="0087010C">
              <w:rPr>
                <w:b/>
                <w:sz w:val="20"/>
                <w:szCs w:val="20"/>
              </w:rPr>
              <w:t xml:space="preserve">David </w:t>
            </w:r>
            <w:proofErr w:type="spellStart"/>
            <w:r w:rsidRPr="0087010C">
              <w:rPr>
                <w:b/>
                <w:sz w:val="20"/>
                <w:szCs w:val="20"/>
              </w:rPr>
              <w:t>Eric</w:t>
            </w:r>
            <w:proofErr w:type="spellEnd"/>
            <w:r w:rsidRPr="0087010C">
              <w:rPr>
                <w:b/>
                <w:sz w:val="20"/>
                <w:szCs w:val="20"/>
              </w:rPr>
              <w:t xml:space="preserve"> </w:t>
            </w:r>
            <w:proofErr w:type="spellStart"/>
            <w:r w:rsidRPr="0087010C">
              <w:rPr>
                <w:b/>
                <w:sz w:val="20"/>
                <w:szCs w:val="20"/>
              </w:rPr>
              <w:t>McQuaid</w:t>
            </w:r>
            <w:proofErr w:type="spellEnd"/>
            <w:r w:rsidRPr="0087010C">
              <w:rPr>
                <w:b/>
                <w:sz w:val="20"/>
                <w:szCs w:val="20"/>
              </w:rPr>
              <w:t xml:space="preserve"> c. Jean Marie </w:t>
            </w:r>
            <w:proofErr w:type="spellStart"/>
            <w:r w:rsidRPr="0087010C">
              <w:rPr>
                <w:b/>
                <w:sz w:val="20"/>
                <w:szCs w:val="20"/>
              </w:rPr>
              <w:t>Trainor</w:t>
            </w:r>
            <w:proofErr w:type="spellEnd"/>
          </w:p>
          <w:p w:rsidR="00F7565E" w:rsidRPr="0087010C" w:rsidRDefault="00F7565E" w:rsidP="00211A38">
            <w:pPr>
              <w:jc w:val="both"/>
              <w:rPr>
                <w:sz w:val="20"/>
                <w:lang w:val="fr-CA"/>
              </w:rPr>
            </w:pPr>
            <w:r w:rsidRPr="0087010C">
              <w:rPr>
                <w:sz w:val="20"/>
                <w:lang w:val="fr-CA"/>
              </w:rPr>
              <w:t>(I.-P.-É.) (Civile) (Autorisation)</w:t>
            </w:r>
          </w:p>
        </w:tc>
      </w:tr>
      <w:tr w:rsidR="009B1A2E" w:rsidRPr="003A218E" w:rsidTr="009B1A2E">
        <w:tc>
          <w:tcPr>
            <w:tcW w:w="5000" w:type="pct"/>
            <w:gridSpan w:val="4"/>
          </w:tcPr>
          <w:p w:rsidR="009B1A2E" w:rsidRPr="00647612" w:rsidRDefault="009B1A2E" w:rsidP="009B1A2E">
            <w:pPr>
              <w:widowControl w:val="0"/>
              <w:rPr>
                <w:sz w:val="20"/>
                <w:lang w:val="fr-CA"/>
              </w:rPr>
            </w:pPr>
            <w:r w:rsidRPr="00647612">
              <w:rPr>
                <w:sz w:val="20"/>
                <w:lang w:val="fr-CA"/>
              </w:rPr>
              <w:t>La demande d’autorisation d’appel de l’arrêt de la Cour d’appel de l’Île-du-Prince-Édouard, numéro S1-CA-1395, 2018 PECA 30, daté du 18 décembre 2018, est rejetée.</w:t>
            </w:r>
          </w:p>
          <w:p w:rsidR="009B1A2E" w:rsidRPr="0087010C" w:rsidRDefault="009B1A2E" w:rsidP="00211A38">
            <w:pPr>
              <w:pStyle w:val="SCCLsocParty"/>
              <w:jc w:val="both"/>
              <w:rPr>
                <w:b/>
                <w:sz w:val="20"/>
                <w:szCs w:val="20"/>
              </w:rPr>
            </w:pPr>
          </w:p>
        </w:tc>
      </w:tr>
      <w:tr w:rsidR="00F7565E" w:rsidRPr="003A218E" w:rsidTr="00211A38">
        <w:tc>
          <w:tcPr>
            <w:tcW w:w="5000" w:type="pct"/>
            <w:gridSpan w:val="4"/>
          </w:tcPr>
          <w:p w:rsidR="00F7565E" w:rsidRPr="0087010C" w:rsidRDefault="00F7565E" w:rsidP="00211A38">
            <w:pPr>
              <w:jc w:val="both"/>
              <w:rPr>
                <w:sz w:val="20"/>
                <w:lang w:val="fr-CA"/>
              </w:rPr>
            </w:pPr>
            <w:r w:rsidRPr="0087010C">
              <w:rPr>
                <w:sz w:val="20"/>
                <w:lang w:val="fr-CA"/>
              </w:rPr>
              <w:t>Jugements et ordonnances — Motifs — Conformité d’une ordonnance formelle avec les motifs du jugement — Les motifs du jugement prévoient que l’ordonnance formelle interdira à une des parties de se trouver sur la propriété de l’autre partie — L’ordonnance formelle interdit à l’une des parties de se trouver à moins de 200 mètres de la résidence de l’autre partie — La cour d’appel a statué que l’ordonnance formelle correspondait à ce qui était prévu dans les motifs du jugement — Quelle norme de contrôle convient</w:t>
            </w:r>
            <w:r w:rsidRPr="0087010C">
              <w:rPr>
                <w:sz w:val="20"/>
                <w:lang w:val="fr-CA"/>
              </w:rPr>
              <w:noBreakHyphen/>
              <w:t>il d’appliquer lorsqu’une cour d’appel examine une ordonnance pour déterminer si elle correspond bel et bien aux motifs du jugement? — Différents paliers judiciaires peuvent</w:t>
            </w:r>
            <w:r w:rsidRPr="0087010C">
              <w:rPr>
                <w:sz w:val="20"/>
                <w:lang w:val="fr-CA"/>
              </w:rPr>
              <w:noBreakHyphen/>
              <w:t>ils appliquer différentes normes de contrôle lorsqu’ils sont saisis de la même question de droit?</w:t>
            </w:r>
          </w:p>
        </w:tc>
      </w:tr>
      <w:tr w:rsidR="00F7565E" w:rsidRPr="003A218E" w:rsidTr="00211A38">
        <w:tc>
          <w:tcPr>
            <w:tcW w:w="5000" w:type="pct"/>
            <w:gridSpan w:val="4"/>
          </w:tcPr>
          <w:p w:rsidR="00F7565E" w:rsidRPr="0087010C" w:rsidRDefault="00F7565E" w:rsidP="00211A38">
            <w:pPr>
              <w:jc w:val="both"/>
              <w:rPr>
                <w:sz w:val="20"/>
                <w:lang w:val="fr-CA"/>
              </w:rPr>
            </w:pPr>
          </w:p>
        </w:tc>
      </w:tr>
      <w:tr w:rsidR="00F7565E" w:rsidRPr="003A218E" w:rsidTr="00211A38">
        <w:tc>
          <w:tcPr>
            <w:tcW w:w="5000" w:type="pct"/>
            <w:gridSpan w:val="4"/>
          </w:tcPr>
          <w:p w:rsidR="00F7565E" w:rsidRPr="0087010C" w:rsidRDefault="00F7565E" w:rsidP="00211A38">
            <w:pPr>
              <w:jc w:val="both"/>
              <w:rPr>
                <w:sz w:val="20"/>
                <w:lang w:val="fr-CA"/>
              </w:rPr>
            </w:pPr>
            <w:r w:rsidRPr="0087010C">
              <w:rPr>
                <w:sz w:val="20"/>
                <w:lang w:val="fr-CA"/>
              </w:rPr>
              <w:t>À la suite d’une audience portant sur la garde d’enfants, la pension alimentaire pour enfants et des questions connexes, la juge de première instance a affirmé, dans ses motifs du jugement, que toute ordonnance découlant du jugement devait comprendre une disposition interdisant à M. </w:t>
            </w:r>
            <w:proofErr w:type="spellStart"/>
            <w:r w:rsidRPr="0087010C">
              <w:rPr>
                <w:sz w:val="20"/>
                <w:lang w:val="fr-CA"/>
              </w:rPr>
              <w:t>McQuaid</w:t>
            </w:r>
            <w:proofErr w:type="spellEnd"/>
            <w:r w:rsidRPr="0087010C">
              <w:rPr>
                <w:sz w:val="20"/>
                <w:lang w:val="fr-CA"/>
              </w:rPr>
              <w:t xml:space="preserve"> de se trouver sur la propriété de Mme </w:t>
            </w:r>
            <w:proofErr w:type="spellStart"/>
            <w:r w:rsidRPr="0087010C">
              <w:rPr>
                <w:sz w:val="20"/>
                <w:lang w:val="fr-CA"/>
              </w:rPr>
              <w:t>Trainor</w:t>
            </w:r>
            <w:proofErr w:type="spellEnd"/>
            <w:r w:rsidRPr="0087010C">
              <w:rPr>
                <w:sz w:val="20"/>
                <w:lang w:val="fr-CA"/>
              </w:rPr>
              <w:t>.  L’ordonnance formelle signée par la juge comprenait une disposition interdisant à M. </w:t>
            </w:r>
            <w:proofErr w:type="spellStart"/>
            <w:r w:rsidRPr="0087010C">
              <w:rPr>
                <w:sz w:val="20"/>
                <w:lang w:val="fr-CA"/>
              </w:rPr>
              <w:t>McQuaid</w:t>
            </w:r>
            <w:proofErr w:type="spellEnd"/>
            <w:r w:rsidRPr="0087010C">
              <w:rPr>
                <w:sz w:val="20"/>
                <w:lang w:val="fr-CA"/>
              </w:rPr>
              <w:t xml:space="preserve"> de se trouver à moins de 200 mètres de la résidence de Mme </w:t>
            </w:r>
            <w:proofErr w:type="spellStart"/>
            <w:r w:rsidRPr="0087010C">
              <w:rPr>
                <w:sz w:val="20"/>
                <w:lang w:val="fr-CA"/>
              </w:rPr>
              <w:t>Trainor</w:t>
            </w:r>
            <w:proofErr w:type="spellEnd"/>
            <w:r w:rsidRPr="0087010C">
              <w:rPr>
                <w:sz w:val="20"/>
                <w:lang w:val="fr-CA"/>
              </w:rPr>
              <w:t>. Monsieur </w:t>
            </w:r>
            <w:proofErr w:type="spellStart"/>
            <w:r w:rsidRPr="0087010C">
              <w:rPr>
                <w:sz w:val="20"/>
                <w:lang w:val="fr-CA"/>
              </w:rPr>
              <w:t>McQuaid</w:t>
            </w:r>
            <w:proofErr w:type="spellEnd"/>
            <w:r w:rsidRPr="0087010C">
              <w:rPr>
                <w:sz w:val="20"/>
                <w:lang w:val="fr-CA"/>
              </w:rPr>
              <w:t xml:space="preserve"> a interjeté appel, plaidant que la mesure ordonnée dépassait ce qui était prévu dans les motifs du jugement. La Cour d’appel a rejeté l’appel, concluant que l’ordonnance correspondait à la directive que la juge de première instance entendait donner.</w:t>
            </w:r>
          </w:p>
          <w:p w:rsidR="00F7565E" w:rsidRPr="0087010C" w:rsidRDefault="00F7565E" w:rsidP="00211A38">
            <w:pPr>
              <w:jc w:val="both"/>
              <w:rPr>
                <w:sz w:val="20"/>
                <w:lang w:val="fr-CA"/>
              </w:rPr>
            </w:pPr>
          </w:p>
        </w:tc>
      </w:tr>
      <w:tr w:rsidR="00F7565E" w:rsidRPr="003A218E" w:rsidTr="00211A38">
        <w:tc>
          <w:tcPr>
            <w:tcW w:w="2427" w:type="pct"/>
            <w:gridSpan w:val="2"/>
          </w:tcPr>
          <w:p w:rsidR="00F7565E" w:rsidRPr="0087010C" w:rsidRDefault="00F7565E" w:rsidP="00211A38">
            <w:pPr>
              <w:jc w:val="both"/>
              <w:rPr>
                <w:sz w:val="20"/>
                <w:lang w:val="fr-CA"/>
              </w:rPr>
            </w:pPr>
            <w:r w:rsidRPr="0087010C">
              <w:rPr>
                <w:sz w:val="20"/>
                <w:lang w:val="fr-CA"/>
              </w:rPr>
              <w:t>4 mai 2018</w:t>
            </w:r>
          </w:p>
          <w:p w:rsidR="00F7565E" w:rsidRPr="0087010C" w:rsidRDefault="00F7565E" w:rsidP="00211A38">
            <w:pPr>
              <w:jc w:val="both"/>
              <w:rPr>
                <w:sz w:val="20"/>
                <w:lang w:val="fr-CA"/>
              </w:rPr>
            </w:pPr>
            <w:r w:rsidRPr="0087010C">
              <w:rPr>
                <w:sz w:val="20"/>
                <w:lang w:val="fr-CA"/>
              </w:rPr>
              <w:t>Cour suprême de l’Île</w:t>
            </w:r>
            <w:r w:rsidRPr="0087010C">
              <w:rPr>
                <w:sz w:val="20"/>
                <w:lang w:val="fr-CA"/>
              </w:rPr>
              <w:noBreakHyphen/>
              <w:t>du</w:t>
            </w:r>
            <w:r w:rsidRPr="0087010C">
              <w:rPr>
                <w:sz w:val="20"/>
                <w:lang w:val="fr-CA"/>
              </w:rPr>
              <w:noBreakHyphen/>
              <w:t>Prince</w:t>
            </w:r>
            <w:r w:rsidRPr="0087010C">
              <w:rPr>
                <w:sz w:val="20"/>
                <w:lang w:val="fr-CA"/>
              </w:rPr>
              <w:noBreakHyphen/>
              <w:t>Édouard</w:t>
            </w:r>
          </w:p>
          <w:p w:rsidR="00F7565E" w:rsidRPr="0087010C" w:rsidRDefault="00F7565E" w:rsidP="00211A38">
            <w:pPr>
              <w:jc w:val="both"/>
              <w:rPr>
                <w:sz w:val="20"/>
                <w:lang w:val="fr-CA"/>
              </w:rPr>
            </w:pPr>
            <w:r w:rsidRPr="0087010C">
              <w:rPr>
                <w:sz w:val="20"/>
                <w:lang w:val="fr-CA"/>
              </w:rPr>
              <w:t>Section de première instance</w:t>
            </w:r>
          </w:p>
          <w:p w:rsidR="00F7565E" w:rsidRPr="0087010C" w:rsidRDefault="00F7565E" w:rsidP="00211A38">
            <w:pPr>
              <w:jc w:val="both"/>
              <w:rPr>
                <w:sz w:val="20"/>
                <w:lang w:val="fr-CA"/>
              </w:rPr>
            </w:pPr>
            <w:r w:rsidRPr="0087010C">
              <w:rPr>
                <w:sz w:val="20"/>
                <w:lang w:val="fr-CA"/>
              </w:rPr>
              <w:t>(Juge Key)</w:t>
            </w:r>
          </w:p>
          <w:p w:rsidR="00F7565E" w:rsidRPr="0087010C" w:rsidRDefault="003A218E" w:rsidP="00211A38">
            <w:pPr>
              <w:jc w:val="both"/>
              <w:rPr>
                <w:sz w:val="20"/>
                <w:lang w:val="fr-CA"/>
              </w:rPr>
            </w:pPr>
            <w:hyperlink r:id="rId25" w:history="1">
              <w:r w:rsidR="00F7565E" w:rsidRPr="0087010C">
                <w:rPr>
                  <w:rStyle w:val="Hyperlink"/>
                  <w:sz w:val="20"/>
                  <w:lang w:val="fr-CA"/>
                </w:rPr>
                <w:t>2018 PESC 12</w:t>
              </w:r>
            </w:hyperlink>
            <w:r w:rsidR="00F7565E" w:rsidRPr="0087010C">
              <w:rPr>
                <w:sz w:val="20"/>
                <w:lang w:val="fr-CA"/>
              </w:rPr>
              <w:t xml:space="preserve"> </w:t>
            </w:r>
          </w:p>
          <w:p w:rsidR="00F7565E" w:rsidRPr="0087010C" w:rsidRDefault="00F7565E" w:rsidP="00211A38">
            <w:pPr>
              <w:jc w:val="both"/>
              <w:rPr>
                <w:sz w:val="20"/>
                <w:lang w:val="fr-CA"/>
              </w:rPr>
            </w:pPr>
          </w:p>
        </w:tc>
        <w:tc>
          <w:tcPr>
            <w:tcW w:w="243" w:type="pct"/>
          </w:tcPr>
          <w:p w:rsidR="00F7565E" w:rsidRPr="0087010C" w:rsidRDefault="00F7565E" w:rsidP="00211A38">
            <w:pPr>
              <w:jc w:val="both"/>
              <w:rPr>
                <w:sz w:val="20"/>
                <w:lang w:val="fr-CA"/>
              </w:rPr>
            </w:pPr>
          </w:p>
        </w:tc>
        <w:tc>
          <w:tcPr>
            <w:tcW w:w="2330" w:type="pct"/>
          </w:tcPr>
          <w:p w:rsidR="00F7565E" w:rsidRPr="0087010C" w:rsidRDefault="00F7565E" w:rsidP="00211A38">
            <w:pPr>
              <w:jc w:val="both"/>
              <w:rPr>
                <w:sz w:val="20"/>
                <w:lang w:val="fr-CA"/>
              </w:rPr>
            </w:pPr>
            <w:r w:rsidRPr="0087010C">
              <w:rPr>
                <w:sz w:val="20"/>
                <w:lang w:val="fr-CA"/>
              </w:rPr>
              <w:t xml:space="preserve">Jugement précisant comment libeller l’ordonnance, indiquant que le tribunal signera l’ordonnance si elle est conforme aux motifs de la décision </w:t>
            </w:r>
          </w:p>
        </w:tc>
      </w:tr>
      <w:tr w:rsidR="00F7565E" w:rsidRPr="0087010C" w:rsidTr="00211A38">
        <w:tc>
          <w:tcPr>
            <w:tcW w:w="2427" w:type="pct"/>
            <w:gridSpan w:val="2"/>
          </w:tcPr>
          <w:p w:rsidR="00F7565E" w:rsidRPr="0087010C" w:rsidRDefault="00F7565E" w:rsidP="00211A38">
            <w:pPr>
              <w:jc w:val="both"/>
              <w:rPr>
                <w:sz w:val="20"/>
                <w:lang w:val="fr-CA"/>
              </w:rPr>
            </w:pPr>
            <w:r w:rsidRPr="0087010C">
              <w:rPr>
                <w:sz w:val="20"/>
                <w:lang w:val="fr-CA"/>
              </w:rPr>
              <w:t>27 juin 2018</w:t>
            </w:r>
          </w:p>
          <w:p w:rsidR="00F7565E" w:rsidRPr="0087010C" w:rsidRDefault="00F7565E" w:rsidP="00211A38">
            <w:pPr>
              <w:jc w:val="both"/>
              <w:rPr>
                <w:sz w:val="20"/>
                <w:lang w:val="fr-CA"/>
              </w:rPr>
            </w:pPr>
            <w:r w:rsidRPr="0087010C">
              <w:rPr>
                <w:sz w:val="20"/>
                <w:lang w:val="fr-CA"/>
              </w:rPr>
              <w:t>Cour suprême de l’Île</w:t>
            </w:r>
            <w:r w:rsidRPr="0087010C">
              <w:rPr>
                <w:sz w:val="20"/>
                <w:lang w:val="fr-CA"/>
              </w:rPr>
              <w:noBreakHyphen/>
              <w:t>du</w:t>
            </w:r>
            <w:r w:rsidRPr="0087010C">
              <w:rPr>
                <w:sz w:val="20"/>
                <w:lang w:val="fr-CA"/>
              </w:rPr>
              <w:noBreakHyphen/>
              <w:t>Prince</w:t>
            </w:r>
            <w:r w:rsidRPr="0087010C">
              <w:rPr>
                <w:sz w:val="20"/>
                <w:lang w:val="fr-CA"/>
              </w:rPr>
              <w:noBreakHyphen/>
              <w:t>Édouard</w:t>
            </w:r>
          </w:p>
          <w:p w:rsidR="00F7565E" w:rsidRPr="0087010C" w:rsidRDefault="00F7565E" w:rsidP="00211A38">
            <w:pPr>
              <w:jc w:val="both"/>
              <w:rPr>
                <w:sz w:val="20"/>
                <w:lang w:val="fr-CA"/>
              </w:rPr>
            </w:pPr>
            <w:r w:rsidRPr="0087010C">
              <w:rPr>
                <w:sz w:val="20"/>
                <w:lang w:val="fr-CA"/>
              </w:rPr>
              <w:t>Section de première instance</w:t>
            </w:r>
          </w:p>
          <w:p w:rsidR="00F7565E" w:rsidRPr="0087010C" w:rsidRDefault="00F7565E" w:rsidP="00211A38">
            <w:pPr>
              <w:jc w:val="both"/>
              <w:rPr>
                <w:sz w:val="20"/>
                <w:lang w:val="fr-CA"/>
              </w:rPr>
            </w:pPr>
            <w:r w:rsidRPr="0087010C">
              <w:rPr>
                <w:sz w:val="20"/>
                <w:lang w:val="fr-CA"/>
              </w:rPr>
              <w:t>(Juge Key)</w:t>
            </w:r>
          </w:p>
          <w:p w:rsidR="00F7565E" w:rsidRPr="0087010C" w:rsidRDefault="00F7565E" w:rsidP="00211A38">
            <w:pPr>
              <w:jc w:val="both"/>
              <w:rPr>
                <w:sz w:val="20"/>
                <w:lang w:val="fr-CA"/>
              </w:rPr>
            </w:pPr>
          </w:p>
        </w:tc>
        <w:tc>
          <w:tcPr>
            <w:tcW w:w="243" w:type="pct"/>
          </w:tcPr>
          <w:p w:rsidR="00F7565E" w:rsidRPr="0087010C" w:rsidRDefault="00F7565E" w:rsidP="00211A38">
            <w:pPr>
              <w:jc w:val="both"/>
              <w:rPr>
                <w:sz w:val="20"/>
                <w:lang w:val="fr-CA"/>
              </w:rPr>
            </w:pPr>
          </w:p>
        </w:tc>
        <w:tc>
          <w:tcPr>
            <w:tcW w:w="2330" w:type="pct"/>
          </w:tcPr>
          <w:p w:rsidR="00F7565E" w:rsidRPr="0087010C" w:rsidRDefault="00F7565E" w:rsidP="00211A38">
            <w:pPr>
              <w:jc w:val="both"/>
              <w:rPr>
                <w:sz w:val="20"/>
                <w:lang w:val="fr-CA"/>
              </w:rPr>
            </w:pPr>
            <w:r w:rsidRPr="0087010C">
              <w:rPr>
                <w:sz w:val="20"/>
                <w:lang w:val="fr-CA"/>
              </w:rPr>
              <w:t>Signature de l’ordonnance formelle</w:t>
            </w:r>
          </w:p>
        </w:tc>
      </w:tr>
      <w:tr w:rsidR="00F7565E" w:rsidRPr="003A218E" w:rsidTr="00211A38">
        <w:tc>
          <w:tcPr>
            <w:tcW w:w="2427" w:type="pct"/>
            <w:gridSpan w:val="2"/>
          </w:tcPr>
          <w:p w:rsidR="00F7565E" w:rsidRPr="0087010C" w:rsidRDefault="00F7565E" w:rsidP="00211A38">
            <w:pPr>
              <w:jc w:val="both"/>
              <w:rPr>
                <w:sz w:val="20"/>
                <w:lang w:val="fr-CA"/>
              </w:rPr>
            </w:pPr>
            <w:r w:rsidRPr="0087010C">
              <w:rPr>
                <w:sz w:val="20"/>
                <w:lang w:val="fr-CA"/>
              </w:rPr>
              <w:t>18 décembre 2018</w:t>
            </w:r>
          </w:p>
          <w:p w:rsidR="00F7565E" w:rsidRPr="0087010C" w:rsidRDefault="00F7565E" w:rsidP="00211A38">
            <w:pPr>
              <w:jc w:val="both"/>
              <w:rPr>
                <w:sz w:val="20"/>
                <w:lang w:val="fr-CA"/>
              </w:rPr>
            </w:pPr>
            <w:r w:rsidRPr="0087010C">
              <w:rPr>
                <w:sz w:val="20"/>
                <w:lang w:val="fr-CA"/>
              </w:rPr>
              <w:t>Cour d’appel de l’Île</w:t>
            </w:r>
            <w:r w:rsidRPr="0087010C">
              <w:rPr>
                <w:sz w:val="20"/>
                <w:lang w:val="fr-CA"/>
              </w:rPr>
              <w:noBreakHyphen/>
              <w:t>du</w:t>
            </w:r>
            <w:r w:rsidRPr="0087010C">
              <w:rPr>
                <w:sz w:val="20"/>
                <w:lang w:val="fr-CA"/>
              </w:rPr>
              <w:noBreakHyphen/>
              <w:t>Prince</w:t>
            </w:r>
            <w:r w:rsidRPr="0087010C">
              <w:rPr>
                <w:sz w:val="20"/>
                <w:lang w:val="fr-CA"/>
              </w:rPr>
              <w:noBreakHyphen/>
              <w:t xml:space="preserve">Édouard (Juges Jenkins, </w:t>
            </w:r>
            <w:proofErr w:type="spellStart"/>
            <w:r w:rsidRPr="0087010C">
              <w:rPr>
                <w:sz w:val="20"/>
                <w:lang w:val="fr-CA"/>
              </w:rPr>
              <w:t>Gormley</w:t>
            </w:r>
            <w:proofErr w:type="spellEnd"/>
            <w:r w:rsidRPr="0087010C">
              <w:rPr>
                <w:sz w:val="20"/>
                <w:lang w:val="fr-CA"/>
              </w:rPr>
              <w:t xml:space="preserve"> et </w:t>
            </w:r>
            <w:proofErr w:type="spellStart"/>
            <w:r w:rsidRPr="0087010C">
              <w:rPr>
                <w:sz w:val="20"/>
                <w:lang w:val="fr-CA"/>
              </w:rPr>
              <w:t>Cann</w:t>
            </w:r>
            <w:proofErr w:type="spellEnd"/>
            <w:r w:rsidRPr="0087010C">
              <w:rPr>
                <w:sz w:val="20"/>
                <w:lang w:val="fr-CA"/>
              </w:rPr>
              <w:t>)</w:t>
            </w:r>
          </w:p>
          <w:p w:rsidR="00F7565E" w:rsidRPr="0087010C" w:rsidRDefault="003A218E" w:rsidP="00211A38">
            <w:pPr>
              <w:jc w:val="both"/>
              <w:rPr>
                <w:sz w:val="20"/>
                <w:lang w:val="fr-CA"/>
              </w:rPr>
            </w:pPr>
            <w:hyperlink r:id="rId26" w:history="1">
              <w:r w:rsidR="00F7565E" w:rsidRPr="0087010C">
                <w:rPr>
                  <w:rStyle w:val="Hyperlink"/>
                  <w:sz w:val="20"/>
                  <w:lang w:val="fr-CA"/>
                </w:rPr>
                <w:t>2018 PECA 30</w:t>
              </w:r>
            </w:hyperlink>
            <w:r w:rsidR="00F7565E" w:rsidRPr="0087010C">
              <w:rPr>
                <w:sz w:val="20"/>
                <w:lang w:val="fr-CA"/>
              </w:rPr>
              <w:t xml:space="preserve"> (N</w:t>
            </w:r>
            <w:r w:rsidR="00F7565E" w:rsidRPr="0087010C">
              <w:rPr>
                <w:sz w:val="20"/>
                <w:vertAlign w:val="superscript"/>
                <w:lang w:val="fr-CA"/>
              </w:rPr>
              <w:t>o</w:t>
            </w:r>
            <w:r w:rsidR="00F7565E" w:rsidRPr="0087010C">
              <w:rPr>
                <w:sz w:val="20"/>
                <w:lang w:val="fr-CA"/>
              </w:rPr>
              <w:t xml:space="preserve"> S1</w:t>
            </w:r>
            <w:r w:rsidR="00F7565E" w:rsidRPr="0087010C">
              <w:rPr>
                <w:sz w:val="20"/>
                <w:lang w:val="fr-CA"/>
              </w:rPr>
              <w:noBreakHyphen/>
              <w:t>CA</w:t>
            </w:r>
            <w:r w:rsidR="00F7565E" w:rsidRPr="0087010C">
              <w:rPr>
                <w:sz w:val="20"/>
                <w:lang w:val="fr-CA"/>
              </w:rPr>
              <w:noBreakHyphen/>
              <w:t>1395)</w:t>
            </w:r>
          </w:p>
          <w:p w:rsidR="00F7565E" w:rsidRPr="0087010C" w:rsidRDefault="00F7565E" w:rsidP="00211A38">
            <w:pPr>
              <w:jc w:val="both"/>
              <w:rPr>
                <w:sz w:val="20"/>
                <w:lang w:val="fr-CA"/>
              </w:rPr>
            </w:pPr>
          </w:p>
        </w:tc>
        <w:tc>
          <w:tcPr>
            <w:tcW w:w="243" w:type="pct"/>
          </w:tcPr>
          <w:p w:rsidR="00F7565E" w:rsidRPr="0087010C" w:rsidRDefault="00F7565E" w:rsidP="00211A38">
            <w:pPr>
              <w:jc w:val="both"/>
              <w:rPr>
                <w:sz w:val="20"/>
                <w:lang w:val="fr-CA"/>
              </w:rPr>
            </w:pPr>
          </w:p>
        </w:tc>
        <w:tc>
          <w:tcPr>
            <w:tcW w:w="2330" w:type="pct"/>
          </w:tcPr>
          <w:p w:rsidR="00F7565E" w:rsidRPr="0087010C" w:rsidRDefault="00F7565E" w:rsidP="00211A38">
            <w:pPr>
              <w:jc w:val="both"/>
              <w:rPr>
                <w:sz w:val="20"/>
                <w:lang w:val="fr-CA"/>
              </w:rPr>
            </w:pPr>
            <w:r w:rsidRPr="0087010C">
              <w:rPr>
                <w:sz w:val="20"/>
                <w:lang w:val="fr-CA"/>
              </w:rPr>
              <w:t>Arrêt rejetant l’appel et confirmant l’ordonnance formelle</w:t>
            </w:r>
          </w:p>
          <w:p w:rsidR="00F7565E" w:rsidRPr="0087010C" w:rsidRDefault="00F7565E" w:rsidP="00211A38">
            <w:pPr>
              <w:jc w:val="both"/>
              <w:rPr>
                <w:sz w:val="20"/>
                <w:lang w:val="fr-CA"/>
              </w:rPr>
            </w:pPr>
          </w:p>
        </w:tc>
      </w:tr>
      <w:tr w:rsidR="00F7565E" w:rsidRPr="003A218E" w:rsidTr="00211A38">
        <w:tc>
          <w:tcPr>
            <w:tcW w:w="2427" w:type="pct"/>
            <w:gridSpan w:val="2"/>
          </w:tcPr>
          <w:p w:rsidR="00F7565E" w:rsidRPr="0087010C" w:rsidRDefault="00F7565E" w:rsidP="00211A38">
            <w:pPr>
              <w:jc w:val="both"/>
              <w:rPr>
                <w:sz w:val="20"/>
                <w:lang w:val="fr-CA"/>
              </w:rPr>
            </w:pPr>
            <w:r w:rsidRPr="0087010C">
              <w:rPr>
                <w:sz w:val="20"/>
                <w:lang w:val="fr-CA"/>
              </w:rPr>
              <w:t>15 février 2019</w:t>
            </w:r>
          </w:p>
          <w:p w:rsidR="00F7565E" w:rsidRPr="0087010C" w:rsidRDefault="00F7565E" w:rsidP="00211A38">
            <w:pPr>
              <w:jc w:val="both"/>
              <w:rPr>
                <w:sz w:val="20"/>
                <w:lang w:val="fr-CA"/>
              </w:rPr>
            </w:pPr>
            <w:r w:rsidRPr="0087010C">
              <w:rPr>
                <w:sz w:val="20"/>
                <w:lang w:val="fr-CA"/>
              </w:rPr>
              <w:t>Cour suprême du Canada</w:t>
            </w:r>
          </w:p>
        </w:tc>
        <w:tc>
          <w:tcPr>
            <w:tcW w:w="243" w:type="pct"/>
          </w:tcPr>
          <w:p w:rsidR="00F7565E" w:rsidRPr="0087010C" w:rsidRDefault="00F7565E" w:rsidP="00211A38">
            <w:pPr>
              <w:jc w:val="both"/>
              <w:rPr>
                <w:sz w:val="20"/>
                <w:lang w:val="fr-CA"/>
              </w:rPr>
            </w:pPr>
          </w:p>
        </w:tc>
        <w:tc>
          <w:tcPr>
            <w:tcW w:w="2330" w:type="pct"/>
          </w:tcPr>
          <w:p w:rsidR="00F7565E" w:rsidRPr="0087010C" w:rsidRDefault="00F7565E" w:rsidP="00211A38">
            <w:pPr>
              <w:jc w:val="both"/>
              <w:rPr>
                <w:sz w:val="20"/>
                <w:lang w:val="fr-CA"/>
              </w:rPr>
            </w:pPr>
            <w:r w:rsidRPr="0087010C">
              <w:rPr>
                <w:sz w:val="20"/>
                <w:lang w:val="fr-CA"/>
              </w:rPr>
              <w:t>Dépôt de la demande d’autorisation d’appel</w:t>
            </w:r>
          </w:p>
          <w:p w:rsidR="00F7565E" w:rsidRPr="0087010C" w:rsidRDefault="00F7565E" w:rsidP="00211A38">
            <w:pPr>
              <w:jc w:val="both"/>
              <w:rPr>
                <w:sz w:val="20"/>
                <w:lang w:val="fr-CA"/>
              </w:rPr>
            </w:pPr>
          </w:p>
        </w:tc>
      </w:tr>
    </w:tbl>
    <w:p w:rsidR="00F7565E" w:rsidRPr="0087010C" w:rsidRDefault="00F7565E" w:rsidP="00F7565E">
      <w:pPr>
        <w:jc w:val="both"/>
        <w:rPr>
          <w:sz w:val="20"/>
          <w:lang w:val="fr-CA"/>
        </w:rPr>
      </w:pPr>
    </w:p>
    <w:p w:rsidR="00F7565E" w:rsidRPr="0087010C" w:rsidRDefault="003A218E" w:rsidP="00F7565E">
      <w:pPr>
        <w:jc w:val="both"/>
        <w:rPr>
          <w:sz w:val="20"/>
          <w:lang w:val="fr-CA"/>
        </w:rPr>
      </w:pPr>
      <w:r>
        <w:rPr>
          <w:sz w:val="20"/>
        </w:rPr>
        <w:pict>
          <v:rect id="_x0000_i1043" style="width:2in;height:1pt" o:hrpct="0" o:hralign="center" o:hrstd="t" o:hrnoshade="t" o:hr="t" fillcolor="black [3213]" stroked="f"/>
        </w:pict>
      </w:r>
    </w:p>
    <w:p w:rsidR="00F7565E" w:rsidRPr="0087010C" w:rsidRDefault="00F7565E" w:rsidP="00F7565E">
      <w:pPr>
        <w:ind w:left="142" w:hanging="142"/>
        <w:jc w:val="both"/>
        <w:rPr>
          <w:sz w:val="20"/>
          <w:lang w:val="fr-CA"/>
        </w:rPr>
      </w:pPr>
    </w:p>
    <w:p w:rsidR="00F7565E" w:rsidRDefault="00F7565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565E" w:rsidRPr="0087010C" w:rsidTr="00211A38">
        <w:tc>
          <w:tcPr>
            <w:tcW w:w="543" w:type="pct"/>
          </w:tcPr>
          <w:p w:rsidR="00F7565E" w:rsidRPr="0087010C" w:rsidRDefault="00F7565E" w:rsidP="00211A38">
            <w:pPr>
              <w:jc w:val="both"/>
              <w:rPr>
                <w:sz w:val="20"/>
              </w:rPr>
            </w:pPr>
            <w:r w:rsidRPr="0087010C">
              <w:rPr>
                <w:rStyle w:val="SCCFileNumberChar"/>
                <w:sz w:val="20"/>
                <w:szCs w:val="20"/>
              </w:rPr>
              <w:lastRenderedPageBreak/>
              <w:t>38476</w:t>
            </w:r>
          </w:p>
        </w:tc>
        <w:tc>
          <w:tcPr>
            <w:tcW w:w="4457" w:type="pct"/>
            <w:gridSpan w:val="3"/>
          </w:tcPr>
          <w:p w:rsidR="00F7565E" w:rsidRPr="0087010C" w:rsidRDefault="00F7565E" w:rsidP="00211A38">
            <w:pPr>
              <w:pStyle w:val="SCCLsocParty"/>
              <w:jc w:val="both"/>
              <w:rPr>
                <w:b/>
                <w:sz w:val="20"/>
                <w:szCs w:val="20"/>
                <w:lang w:val="en-US"/>
              </w:rPr>
            </w:pPr>
            <w:r w:rsidRPr="0087010C">
              <w:rPr>
                <w:b/>
                <w:sz w:val="20"/>
                <w:szCs w:val="20"/>
                <w:lang w:val="en-US"/>
              </w:rPr>
              <w:t xml:space="preserve">Laurie Richard </w:t>
            </w:r>
            <w:proofErr w:type="spellStart"/>
            <w:r w:rsidRPr="0087010C">
              <w:rPr>
                <w:b/>
                <w:sz w:val="20"/>
                <w:szCs w:val="20"/>
                <w:lang w:val="en-US"/>
              </w:rPr>
              <w:t>Waye</w:t>
            </w:r>
            <w:proofErr w:type="spellEnd"/>
            <w:r w:rsidRPr="0087010C">
              <w:rPr>
                <w:b/>
                <w:sz w:val="20"/>
                <w:szCs w:val="20"/>
                <w:lang w:val="en-US"/>
              </w:rPr>
              <w:t xml:space="preserve"> v. John W. </w:t>
            </w:r>
            <w:proofErr w:type="spellStart"/>
            <w:r w:rsidRPr="0087010C">
              <w:rPr>
                <w:b/>
                <w:sz w:val="20"/>
                <w:szCs w:val="20"/>
                <w:lang w:val="en-US"/>
              </w:rPr>
              <w:t>Parkin</w:t>
            </w:r>
            <w:proofErr w:type="spellEnd"/>
            <w:r>
              <w:rPr>
                <w:b/>
                <w:sz w:val="20"/>
                <w:szCs w:val="20"/>
                <w:lang w:val="en-US"/>
              </w:rPr>
              <w:t>,</w:t>
            </w:r>
            <w:r w:rsidRPr="0087010C">
              <w:rPr>
                <w:b/>
                <w:sz w:val="20"/>
                <w:szCs w:val="20"/>
                <w:lang w:val="en-US"/>
              </w:rPr>
              <w:t xml:space="preserve"> in his capacity as Chief Firearms Officer for </w:t>
            </w:r>
            <w:r>
              <w:rPr>
                <w:b/>
                <w:sz w:val="20"/>
                <w:szCs w:val="20"/>
                <w:lang w:val="en-US"/>
              </w:rPr>
              <w:t>Nova Scotia</w:t>
            </w:r>
          </w:p>
          <w:p w:rsidR="00F7565E" w:rsidRPr="0087010C" w:rsidRDefault="00F7565E" w:rsidP="00211A38">
            <w:pPr>
              <w:jc w:val="both"/>
              <w:rPr>
                <w:sz w:val="20"/>
              </w:rPr>
            </w:pPr>
            <w:r w:rsidRPr="0087010C">
              <w:rPr>
                <w:sz w:val="20"/>
              </w:rPr>
              <w:t>(N.S.) (Civil) (By Leave)</w:t>
            </w:r>
          </w:p>
        </w:tc>
      </w:tr>
      <w:tr w:rsidR="009B1A2E" w:rsidRPr="0087010C" w:rsidTr="009B1A2E">
        <w:tc>
          <w:tcPr>
            <w:tcW w:w="5000" w:type="pct"/>
            <w:gridSpan w:val="4"/>
          </w:tcPr>
          <w:p w:rsidR="009B1A2E" w:rsidRPr="00647612" w:rsidRDefault="009B1A2E" w:rsidP="009B1A2E">
            <w:pPr>
              <w:widowControl w:val="0"/>
              <w:rPr>
                <w:sz w:val="20"/>
              </w:rPr>
            </w:pPr>
            <w:r w:rsidRPr="00647612">
              <w:rPr>
                <w:sz w:val="20"/>
              </w:rPr>
              <w:t>The application for leave to appeal from the judgment of the Nova Scotia Court of Appeal, Number CA 471656, 2018 NSCA 89, dated November 20, 2018, is dismissed without costs.</w:t>
            </w:r>
          </w:p>
          <w:p w:rsidR="009B1A2E" w:rsidRPr="009B1A2E" w:rsidRDefault="009B1A2E" w:rsidP="009B1A2E"/>
        </w:tc>
      </w:tr>
      <w:tr w:rsidR="00F7565E" w:rsidRPr="0087010C" w:rsidTr="00211A38">
        <w:tc>
          <w:tcPr>
            <w:tcW w:w="5000" w:type="pct"/>
            <w:gridSpan w:val="4"/>
          </w:tcPr>
          <w:p w:rsidR="00F7565E" w:rsidRPr="0087010C" w:rsidRDefault="00F7565E" w:rsidP="00211A38">
            <w:pPr>
              <w:jc w:val="both"/>
              <w:rPr>
                <w:sz w:val="20"/>
              </w:rPr>
            </w:pPr>
            <w:r w:rsidRPr="0087010C">
              <w:rPr>
                <w:sz w:val="20"/>
              </w:rPr>
              <w:t>Constitutional law — Division of powers — Administrative law — Judicial review — Standard of review — What is the standard of review applicable to a decision maker who is interpreting their home statute and determining their own powers and discretion? — Does a Chief Firearm’s Officer’s discretion supersede the explicit terms written into regulations? — Does the Chief Firearm’s Officer’s federal consideration of “public safety” constitutionally infringe on provincial considerations of health and safety? — Did the Chief Firearm’s Officer fetter their discretion by following an inflexible policy?</w:t>
            </w:r>
          </w:p>
        </w:tc>
      </w:tr>
      <w:tr w:rsidR="00F7565E" w:rsidRPr="0087010C" w:rsidTr="00211A38">
        <w:tc>
          <w:tcPr>
            <w:tcW w:w="5000" w:type="pct"/>
            <w:gridSpan w:val="4"/>
          </w:tcPr>
          <w:p w:rsidR="00F7565E" w:rsidRPr="0087010C" w:rsidRDefault="00F7565E" w:rsidP="00211A38">
            <w:pPr>
              <w:jc w:val="both"/>
              <w:rPr>
                <w:sz w:val="20"/>
              </w:rPr>
            </w:pPr>
          </w:p>
        </w:tc>
      </w:tr>
      <w:tr w:rsidR="00F7565E" w:rsidRPr="0087010C" w:rsidTr="00211A38">
        <w:tc>
          <w:tcPr>
            <w:tcW w:w="5000" w:type="pct"/>
            <w:gridSpan w:val="4"/>
          </w:tcPr>
          <w:p w:rsidR="00F7565E" w:rsidRPr="0087010C" w:rsidRDefault="00F7565E" w:rsidP="00211A38">
            <w:pPr>
              <w:jc w:val="both"/>
              <w:rPr>
                <w:sz w:val="20"/>
              </w:rPr>
            </w:pPr>
            <w:r w:rsidRPr="0087010C">
              <w:rPr>
                <w:sz w:val="20"/>
              </w:rPr>
              <w:t xml:space="preserve">Laurie Richard </w:t>
            </w:r>
            <w:proofErr w:type="spellStart"/>
            <w:r w:rsidRPr="0087010C">
              <w:rPr>
                <w:sz w:val="20"/>
              </w:rPr>
              <w:t>Waye</w:t>
            </w:r>
            <w:proofErr w:type="spellEnd"/>
            <w:r w:rsidRPr="0087010C">
              <w:rPr>
                <w:sz w:val="20"/>
              </w:rPr>
              <w:t xml:space="preserve"> is a licensed, professional trapper and fur harvester in the province of Nova Scotia. For many years he has sought permission to use a .22 calibre handgun, as opposed to a rifle, in connection with his profession. To date his applications to the Chief Firearms Officer have been rejected. Judicial review of each decision has also been dismissed. The Chief Firearms Officer issued their most recent refusal in May of 2017. The Supreme Court of Nova Scotia applied a reasonableness standard when reviewing the Chief Firearms Officer’s decision. It concluded that the CFO had residual discretion under s. 68 of the </w:t>
            </w:r>
            <w:r w:rsidRPr="0087010C">
              <w:rPr>
                <w:i/>
                <w:sz w:val="20"/>
              </w:rPr>
              <w:t>Firearms Act</w:t>
            </w:r>
            <w:r w:rsidRPr="0087010C">
              <w:rPr>
                <w:sz w:val="20"/>
              </w:rPr>
              <w:t xml:space="preserve">, SC 1995, </w:t>
            </w:r>
            <w:proofErr w:type="gramStart"/>
            <w:r w:rsidRPr="0087010C">
              <w:rPr>
                <w:sz w:val="20"/>
              </w:rPr>
              <w:t>c</w:t>
            </w:r>
            <w:proofErr w:type="gramEnd"/>
            <w:r w:rsidRPr="0087010C">
              <w:rPr>
                <w:sz w:val="20"/>
              </w:rPr>
              <w:t>. 39, to deny a permit. The judge considered the CFO’s exercise of that discretion to be reasonable and dismissed the judicial review. The Nova Scotia Court of Appeal</w:t>
            </w:r>
            <w:r w:rsidRPr="0087010C">
              <w:rPr>
                <w:b/>
                <w:sz w:val="20"/>
              </w:rPr>
              <w:t xml:space="preserve"> </w:t>
            </w:r>
            <w:r w:rsidRPr="0087010C">
              <w:rPr>
                <w:sz w:val="20"/>
              </w:rPr>
              <w:t>agreed that the standard of review was reasonableness and dismissed the appeal.</w:t>
            </w:r>
          </w:p>
          <w:p w:rsidR="00F7565E" w:rsidRPr="0087010C" w:rsidRDefault="00F7565E" w:rsidP="00211A38">
            <w:pPr>
              <w:jc w:val="both"/>
              <w:rPr>
                <w:sz w:val="20"/>
              </w:rPr>
            </w:pPr>
          </w:p>
        </w:tc>
      </w:tr>
      <w:tr w:rsidR="00F7565E" w:rsidRPr="0087010C" w:rsidTr="00211A38">
        <w:tc>
          <w:tcPr>
            <w:tcW w:w="2427" w:type="pct"/>
            <w:gridSpan w:val="2"/>
          </w:tcPr>
          <w:p w:rsidR="00F7565E" w:rsidRPr="0087010C" w:rsidRDefault="00F7565E" w:rsidP="00211A38">
            <w:pPr>
              <w:jc w:val="both"/>
              <w:rPr>
                <w:sz w:val="20"/>
              </w:rPr>
            </w:pPr>
            <w:r w:rsidRPr="0087010C">
              <w:rPr>
                <w:sz w:val="20"/>
              </w:rPr>
              <w:t>April 25, 2018</w:t>
            </w:r>
          </w:p>
          <w:p w:rsidR="00F7565E" w:rsidRPr="0087010C" w:rsidRDefault="00F7565E" w:rsidP="00211A38">
            <w:pPr>
              <w:jc w:val="both"/>
              <w:rPr>
                <w:sz w:val="20"/>
              </w:rPr>
            </w:pPr>
            <w:r w:rsidRPr="0087010C">
              <w:rPr>
                <w:sz w:val="20"/>
              </w:rPr>
              <w:t>Supreme Court of Nova Scotia, Trial Division</w:t>
            </w:r>
          </w:p>
          <w:p w:rsidR="00F7565E" w:rsidRPr="0087010C" w:rsidRDefault="00F7565E" w:rsidP="00211A38">
            <w:pPr>
              <w:jc w:val="both"/>
              <w:rPr>
                <w:sz w:val="20"/>
              </w:rPr>
            </w:pPr>
            <w:r w:rsidRPr="0087010C">
              <w:rPr>
                <w:sz w:val="20"/>
              </w:rPr>
              <w:t>(Brothers J.)</w:t>
            </w:r>
          </w:p>
          <w:p w:rsidR="00F7565E" w:rsidRPr="0087010C" w:rsidRDefault="003A218E" w:rsidP="00211A38">
            <w:pPr>
              <w:jc w:val="both"/>
              <w:rPr>
                <w:sz w:val="20"/>
              </w:rPr>
            </w:pPr>
            <w:hyperlink r:id="rId27" w:history="1">
              <w:r w:rsidR="00F7565E" w:rsidRPr="0087010C">
                <w:rPr>
                  <w:rStyle w:val="Hyperlink"/>
                  <w:sz w:val="20"/>
                </w:rPr>
                <w:t>2017 NSSC 298</w:t>
              </w:r>
            </w:hyperlink>
          </w:p>
          <w:p w:rsidR="00F7565E" w:rsidRPr="0087010C" w:rsidRDefault="00F7565E" w:rsidP="00211A38">
            <w:pPr>
              <w:jc w:val="both"/>
              <w:rPr>
                <w:sz w:val="20"/>
              </w:rPr>
            </w:pPr>
          </w:p>
        </w:tc>
        <w:tc>
          <w:tcPr>
            <w:tcW w:w="243" w:type="pct"/>
          </w:tcPr>
          <w:p w:rsidR="00F7565E" w:rsidRPr="0087010C" w:rsidRDefault="00F7565E" w:rsidP="00211A38">
            <w:pPr>
              <w:jc w:val="both"/>
              <w:rPr>
                <w:sz w:val="20"/>
              </w:rPr>
            </w:pPr>
          </w:p>
        </w:tc>
        <w:tc>
          <w:tcPr>
            <w:tcW w:w="2330" w:type="pct"/>
          </w:tcPr>
          <w:p w:rsidR="00F7565E" w:rsidRPr="0087010C" w:rsidRDefault="00F7565E" w:rsidP="00211A38">
            <w:pPr>
              <w:jc w:val="both"/>
              <w:rPr>
                <w:sz w:val="20"/>
              </w:rPr>
            </w:pPr>
            <w:r w:rsidRPr="0087010C">
              <w:rPr>
                <w:sz w:val="20"/>
              </w:rPr>
              <w:t>Judicial review dismissed.</w:t>
            </w:r>
          </w:p>
        </w:tc>
      </w:tr>
      <w:tr w:rsidR="00F7565E" w:rsidRPr="0087010C" w:rsidTr="00211A38">
        <w:tc>
          <w:tcPr>
            <w:tcW w:w="2427" w:type="pct"/>
            <w:gridSpan w:val="2"/>
          </w:tcPr>
          <w:p w:rsidR="00F7565E" w:rsidRPr="0087010C" w:rsidRDefault="00F7565E" w:rsidP="00211A38">
            <w:pPr>
              <w:jc w:val="both"/>
              <w:rPr>
                <w:sz w:val="20"/>
              </w:rPr>
            </w:pPr>
            <w:r w:rsidRPr="0087010C">
              <w:rPr>
                <w:sz w:val="20"/>
              </w:rPr>
              <w:t>November 20, 2018</w:t>
            </w:r>
          </w:p>
          <w:p w:rsidR="00F7565E" w:rsidRPr="0087010C" w:rsidRDefault="00F7565E" w:rsidP="00211A38">
            <w:pPr>
              <w:jc w:val="both"/>
              <w:rPr>
                <w:sz w:val="20"/>
              </w:rPr>
            </w:pPr>
            <w:r w:rsidRPr="0087010C">
              <w:rPr>
                <w:sz w:val="20"/>
              </w:rPr>
              <w:t>Nova Scotia Court of Appeal</w:t>
            </w:r>
          </w:p>
          <w:p w:rsidR="00F7565E" w:rsidRPr="0087010C" w:rsidRDefault="00F7565E" w:rsidP="00211A38">
            <w:pPr>
              <w:jc w:val="both"/>
              <w:rPr>
                <w:sz w:val="20"/>
              </w:rPr>
            </w:pPr>
            <w:r w:rsidRPr="0087010C">
              <w:rPr>
                <w:sz w:val="20"/>
              </w:rPr>
              <w:t>(MacDonald, Hamilton, and Bryson JJ.A.)</w:t>
            </w:r>
          </w:p>
          <w:p w:rsidR="00F7565E" w:rsidRPr="0087010C" w:rsidRDefault="003A218E" w:rsidP="00211A38">
            <w:pPr>
              <w:jc w:val="both"/>
              <w:rPr>
                <w:sz w:val="20"/>
              </w:rPr>
            </w:pPr>
            <w:hyperlink r:id="rId28" w:history="1">
              <w:r w:rsidR="00F7565E" w:rsidRPr="0087010C">
                <w:rPr>
                  <w:rStyle w:val="Hyperlink"/>
                  <w:sz w:val="20"/>
                </w:rPr>
                <w:t>2018 NSCA 89</w:t>
              </w:r>
            </w:hyperlink>
          </w:p>
          <w:p w:rsidR="00F7565E" w:rsidRPr="0087010C" w:rsidRDefault="00F7565E" w:rsidP="00211A38">
            <w:pPr>
              <w:jc w:val="both"/>
              <w:rPr>
                <w:sz w:val="20"/>
              </w:rPr>
            </w:pPr>
          </w:p>
        </w:tc>
        <w:tc>
          <w:tcPr>
            <w:tcW w:w="243" w:type="pct"/>
          </w:tcPr>
          <w:p w:rsidR="00F7565E" w:rsidRPr="0087010C" w:rsidRDefault="00F7565E" w:rsidP="00211A38">
            <w:pPr>
              <w:jc w:val="both"/>
              <w:rPr>
                <w:sz w:val="20"/>
              </w:rPr>
            </w:pPr>
          </w:p>
        </w:tc>
        <w:tc>
          <w:tcPr>
            <w:tcW w:w="2330" w:type="pct"/>
          </w:tcPr>
          <w:p w:rsidR="00F7565E" w:rsidRPr="0087010C" w:rsidRDefault="00F7565E" w:rsidP="00211A38">
            <w:pPr>
              <w:jc w:val="both"/>
              <w:rPr>
                <w:sz w:val="20"/>
              </w:rPr>
            </w:pPr>
            <w:r w:rsidRPr="0087010C">
              <w:rPr>
                <w:sz w:val="20"/>
              </w:rPr>
              <w:t>Appeal dismissed.</w:t>
            </w:r>
          </w:p>
          <w:p w:rsidR="00F7565E" w:rsidRPr="0087010C" w:rsidRDefault="00F7565E" w:rsidP="00211A38">
            <w:pPr>
              <w:jc w:val="both"/>
              <w:rPr>
                <w:sz w:val="20"/>
              </w:rPr>
            </w:pPr>
          </w:p>
        </w:tc>
      </w:tr>
      <w:tr w:rsidR="00F7565E" w:rsidRPr="0087010C" w:rsidTr="00211A38">
        <w:tc>
          <w:tcPr>
            <w:tcW w:w="2427" w:type="pct"/>
            <w:gridSpan w:val="2"/>
          </w:tcPr>
          <w:p w:rsidR="00F7565E" w:rsidRPr="0087010C" w:rsidRDefault="00F7565E" w:rsidP="00211A38">
            <w:pPr>
              <w:jc w:val="both"/>
              <w:rPr>
                <w:sz w:val="20"/>
              </w:rPr>
            </w:pPr>
            <w:r w:rsidRPr="0087010C">
              <w:rPr>
                <w:sz w:val="20"/>
              </w:rPr>
              <w:t>January 17, 2019</w:t>
            </w:r>
          </w:p>
          <w:p w:rsidR="00F7565E" w:rsidRPr="0087010C" w:rsidRDefault="00F7565E" w:rsidP="00211A38">
            <w:pPr>
              <w:jc w:val="both"/>
              <w:rPr>
                <w:sz w:val="20"/>
              </w:rPr>
            </w:pPr>
            <w:r w:rsidRPr="0087010C">
              <w:rPr>
                <w:sz w:val="20"/>
              </w:rPr>
              <w:t>Supreme Court of Canada</w:t>
            </w:r>
          </w:p>
        </w:tc>
        <w:tc>
          <w:tcPr>
            <w:tcW w:w="243" w:type="pct"/>
          </w:tcPr>
          <w:p w:rsidR="00F7565E" w:rsidRPr="0087010C" w:rsidRDefault="00F7565E" w:rsidP="00211A38">
            <w:pPr>
              <w:jc w:val="both"/>
              <w:rPr>
                <w:sz w:val="20"/>
              </w:rPr>
            </w:pPr>
          </w:p>
        </w:tc>
        <w:tc>
          <w:tcPr>
            <w:tcW w:w="2330" w:type="pct"/>
          </w:tcPr>
          <w:p w:rsidR="00F7565E" w:rsidRPr="0087010C" w:rsidRDefault="00F7565E" w:rsidP="00211A38">
            <w:pPr>
              <w:jc w:val="both"/>
              <w:rPr>
                <w:sz w:val="20"/>
              </w:rPr>
            </w:pPr>
            <w:r w:rsidRPr="0087010C">
              <w:rPr>
                <w:sz w:val="20"/>
              </w:rPr>
              <w:t>Application for leave to appeal filed</w:t>
            </w:r>
          </w:p>
          <w:p w:rsidR="00F7565E" w:rsidRPr="0087010C" w:rsidRDefault="00F7565E" w:rsidP="00211A38">
            <w:pPr>
              <w:jc w:val="both"/>
              <w:rPr>
                <w:sz w:val="20"/>
              </w:rPr>
            </w:pPr>
          </w:p>
        </w:tc>
      </w:tr>
    </w:tbl>
    <w:p w:rsidR="00F7565E" w:rsidRPr="0087010C" w:rsidRDefault="00F7565E" w:rsidP="00F7565E">
      <w:pPr>
        <w:jc w:val="both"/>
        <w:rPr>
          <w:sz w:val="20"/>
        </w:rPr>
      </w:pPr>
    </w:p>
    <w:p w:rsidR="00F7565E" w:rsidRPr="0087010C" w:rsidRDefault="00F7565E" w:rsidP="00F7565E">
      <w:pPr>
        <w:jc w:val="both"/>
        <w:rPr>
          <w:sz w:val="20"/>
        </w:rPr>
      </w:pPr>
    </w:p>
    <w:p w:rsidR="00F7565E" w:rsidRPr="0087010C" w:rsidRDefault="00F7565E" w:rsidP="00F7565E">
      <w:pPr>
        <w:jc w:val="both"/>
        <w:rPr>
          <w:sz w:val="20"/>
        </w:rPr>
      </w:pPr>
    </w:p>
    <w:p w:rsidR="00F7565E" w:rsidRDefault="00F7565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565E" w:rsidRPr="0087010C" w:rsidTr="00211A38">
        <w:tc>
          <w:tcPr>
            <w:tcW w:w="543" w:type="pct"/>
          </w:tcPr>
          <w:p w:rsidR="00F7565E" w:rsidRPr="0087010C" w:rsidRDefault="00F7565E" w:rsidP="00211A38">
            <w:pPr>
              <w:jc w:val="both"/>
              <w:rPr>
                <w:sz w:val="20"/>
                <w:lang w:val="fr-CA"/>
              </w:rPr>
            </w:pPr>
            <w:r w:rsidRPr="0087010C">
              <w:rPr>
                <w:rStyle w:val="SCCFileNumberChar"/>
                <w:sz w:val="20"/>
                <w:szCs w:val="20"/>
                <w:lang w:val="fr-CA"/>
              </w:rPr>
              <w:lastRenderedPageBreak/>
              <w:t>38476</w:t>
            </w:r>
          </w:p>
        </w:tc>
        <w:tc>
          <w:tcPr>
            <w:tcW w:w="4457" w:type="pct"/>
            <w:gridSpan w:val="3"/>
          </w:tcPr>
          <w:p w:rsidR="00F7565E" w:rsidRPr="0087010C" w:rsidRDefault="00F7565E" w:rsidP="00211A38">
            <w:pPr>
              <w:pStyle w:val="SCCLsocParty"/>
              <w:jc w:val="both"/>
              <w:rPr>
                <w:b/>
                <w:sz w:val="20"/>
                <w:szCs w:val="20"/>
              </w:rPr>
            </w:pPr>
            <w:r w:rsidRPr="0087010C">
              <w:rPr>
                <w:b/>
                <w:sz w:val="20"/>
                <w:szCs w:val="20"/>
              </w:rPr>
              <w:t xml:space="preserve">Laurie Richard </w:t>
            </w:r>
            <w:proofErr w:type="spellStart"/>
            <w:r w:rsidRPr="0087010C">
              <w:rPr>
                <w:b/>
                <w:sz w:val="20"/>
                <w:szCs w:val="20"/>
              </w:rPr>
              <w:t>Waye</w:t>
            </w:r>
            <w:proofErr w:type="spellEnd"/>
            <w:r w:rsidRPr="0087010C">
              <w:rPr>
                <w:b/>
                <w:sz w:val="20"/>
                <w:szCs w:val="20"/>
              </w:rPr>
              <w:t xml:space="preserve"> c. John W. </w:t>
            </w:r>
            <w:proofErr w:type="spellStart"/>
            <w:r w:rsidRPr="0087010C">
              <w:rPr>
                <w:b/>
                <w:sz w:val="20"/>
                <w:szCs w:val="20"/>
              </w:rPr>
              <w:t>Parkin</w:t>
            </w:r>
            <w:proofErr w:type="spellEnd"/>
            <w:r>
              <w:rPr>
                <w:b/>
                <w:sz w:val="20"/>
                <w:szCs w:val="20"/>
              </w:rPr>
              <w:t>,</w:t>
            </w:r>
            <w:r w:rsidRPr="0087010C">
              <w:rPr>
                <w:b/>
                <w:sz w:val="20"/>
                <w:szCs w:val="20"/>
              </w:rPr>
              <w:t xml:space="preserve"> en sa qualité de contrôleur des armes à feu de la Nouvelle</w:t>
            </w:r>
            <w:r w:rsidRPr="0087010C">
              <w:rPr>
                <w:b/>
                <w:sz w:val="20"/>
                <w:szCs w:val="20"/>
              </w:rPr>
              <w:noBreakHyphen/>
              <w:t>Écosse</w:t>
            </w:r>
          </w:p>
          <w:p w:rsidR="00F7565E" w:rsidRPr="0087010C" w:rsidRDefault="00F7565E" w:rsidP="00211A38">
            <w:pPr>
              <w:jc w:val="both"/>
              <w:rPr>
                <w:sz w:val="20"/>
                <w:lang w:val="fr-CA"/>
              </w:rPr>
            </w:pPr>
            <w:r w:rsidRPr="0087010C">
              <w:rPr>
                <w:sz w:val="20"/>
                <w:lang w:val="fr-CA"/>
              </w:rPr>
              <w:t>(N.-É.) (Civile) (Autorisation)</w:t>
            </w:r>
          </w:p>
        </w:tc>
      </w:tr>
      <w:tr w:rsidR="009B1A2E" w:rsidRPr="003A218E" w:rsidTr="009B1A2E">
        <w:tc>
          <w:tcPr>
            <w:tcW w:w="5000" w:type="pct"/>
            <w:gridSpan w:val="4"/>
          </w:tcPr>
          <w:p w:rsidR="009B1A2E" w:rsidRPr="00647612" w:rsidRDefault="009B1A2E" w:rsidP="009B1A2E">
            <w:pPr>
              <w:widowControl w:val="0"/>
              <w:rPr>
                <w:sz w:val="20"/>
                <w:lang w:val="fr-CA"/>
              </w:rPr>
            </w:pPr>
            <w:r w:rsidRPr="00647612">
              <w:rPr>
                <w:sz w:val="20"/>
                <w:lang w:val="fr-CA"/>
              </w:rPr>
              <w:t>La demande d’autorisation d’appel de l’arrêt de la Cour d’appel de la Nouvelle-Écosse, numéro CA 471656, 2018 NSCA 89, daté du 20 novembre 2018, est rejetée sans dépens.</w:t>
            </w:r>
          </w:p>
          <w:p w:rsidR="009B1A2E" w:rsidRPr="0087010C" w:rsidRDefault="009B1A2E" w:rsidP="00211A38">
            <w:pPr>
              <w:pStyle w:val="SCCLsocParty"/>
              <w:jc w:val="both"/>
              <w:rPr>
                <w:b/>
                <w:sz w:val="20"/>
                <w:szCs w:val="20"/>
              </w:rPr>
            </w:pPr>
          </w:p>
        </w:tc>
      </w:tr>
      <w:tr w:rsidR="00F7565E" w:rsidRPr="003A218E" w:rsidTr="00211A38">
        <w:tc>
          <w:tcPr>
            <w:tcW w:w="5000" w:type="pct"/>
            <w:gridSpan w:val="4"/>
          </w:tcPr>
          <w:p w:rsidR="00F7565E" w:rsidRPr="0087010C" w:rsidRDefault="00F7565E" w:rsidP="00211A38">
            <w:pPr>
              <w:jc w:val="both"/>
              <w:rPr>
                <w:sz w:val="20"/>
                <w:lang w:val="fr-CA"/>
              </w:rPr>
            </w:pPr>
            <w:r w:rsidRPr="0087010C">
              <w:rPr>
                <w:sz w:val="20"/>
                <w:lang w:val="fr-CA"/>
              </w:rPr>
              <w:t xml:space="preserve">Droit constitutionnel — Partage des compétences — Droit administratif — Contrôle judiciaire — Norme de contrôle — Quelle norme de contrôle s’applique au décideur qui interprète sa loi habilitante et qui détermine ses propres pouvoirs, notamment ses pouvoirs discrétionnaires? — Le pouvoir discrétionnaire du contrôleur des armes à feu </w:t>
            </w:r>
            <w:proofErr w:type="spellStart"/>
            <w:r w:rsidRPr="0087010C">
              <w:rPr>
                <w:sz w:val="20"/>
                <w:lang w:val="fr-CA"/>
              </w:rPr>
              <w:t>a</w:t>
            </w:r>
            <w:r w:rsidRPr="0087010C">
              <w:rPr>
                <w:sz w:val="20"/>
                <w:lang w:val="fr-CA"/>
              </w:rPr>
              <w:noBreakHyphen/>
              <w:t>t</w:t>
            </w:r>
            <w:r w:rsidRPr="0087010C">
              <w:rPr>
                <w:sz w:val="20"/>
                <w:lang w:val="fr-CA"/>
              </w:rPr>
              <w:noBreakHyphen/>
              <w:t>il</w:t>
            </w:r>
            <w:proofErr w:type="spellEnd"/>
            <w:r w:rsidRPr="0087010C">
              <w:rPr>
                <w:sz w:val="20"/>
                <w:lang w:val="fr-CA"/>
              </w:rPr>
              <w:t xml:space="preserve"> préséance sur les dispositions explicites d’un règlement? — La considération fédérale de « sécurité publique » porte</w:t>
            </w:r>
            <w:r w:rsidRPr="0087010C">
              <w:rPr>
                <w:sz w:val="20"/>
                <w:lang w:val="fr-CA"/>
              </w:rPr>
              <w:noBreakHyphen/>
              <w:t>t</w:t>
            </w:r>
            <w:r w:rsidRPr="0087010C">
              <w:rPr>
                <w:sz w:val="20"/>
                <w:lang w:val="fr-CA"/>
              </w:rPr>
              <w:noBreakHyphen/>
              <w:t xml:space="preserve">elle atteinte, sur le plan constitutionnel, aux considérations provinciales de santé et de sécurité? — Le contrôleur des armes à feu </w:t>
            </w:r>
            <w:proofErr w:type="spellStart"/>
            <w:r w:rsidRPr="0087010C">
              <w:rPr>
                <w:sz w:val="20"/>
                <w:lang w:val="fr-CA"/>
              </w:rPr>
              <w:t>a</w:t>
            </w:r>
            <w:r w:rsidRPr="0087010C">
              <w:rPr>
                <w:sz w:val="20"/>
                <w:lang w:val="fr-CA"/>
              </w:rPr>
              <w:noBreakHyphen/>
              <w:t>t</w:t>
            </w:r>
            <w:r w:rsidRPr="0087010C">
              <w:rPr>
                <w:sz w:val="20"/>
                <w:lang w:val="fr-CA"/>
              </w:rPr>
              <w:noBreakHyphen/>
              <w:t>il</w:t>
            </w:r>
            <w:proofErr w:type="spellEnd"/>
            <w:r w:rsidRPr="0087010C">
              <w:rPr>
                <w:sz w:val="20"/>
                <w:lang w:val="fr-CA"/>
              </w:rPr>
              <w:t xml:space="preserve"> entravé l’exercice de son pouvoir discrétionnaire en suivant une politique rigide?</w:t>
            </w:r>
          </w:p>
        </w:tc>
      </w:tr>
      <w:tr w:rsidR="00F7565E" w:rsidRPr="003A218E" w:rsidTr="00211A38">
        <w:tc>
          <w:tcPr>
            <w:tcW w:w="5000" w:type="pct"/>
            <w:gridSpan w:val="4"/>
          </w:tcPr>
          <w:p w:rsidR="00F7565E" w:rsidRPr="0087010C" w:rsidRDefault="00F7565E" w:rsidP="00211A38">
            <w:pPr>
              <w:jc w:val="both"/>
              <w:rPr>
                <w:sz w:val="20"/>
                <w:lang w:val="fr-CA"/>
              </w:rPr>
            </w:pPr>
          </w:p>
        </w:tc>
      </w:tr>
      <w:tr w:rsidR="00F7565E" w:rsidRPr="003A218E" w:rsidTr="00211A38">
        <w:tc>
          <w:tcPr>
            <w:tcW w:w="5000" w:type="pct"/>
            <w:gridSpan w:val="4"/>
          </w:tcPr>
          <w:p w:rsidR="00F7565E" w:rsidRPr="0087010C" w:rsidRDefault="00F7565E" w:rsidP="00211A38">
            <w:pPr>
              <w:jc w:val="both"/>
              <w:rPr>
                <w:sz w:val="20"/>
                <w:lang w:val="fr-CA"/>
              </w:rPr>
            </w:pPr>
            <w:r w:rsidRPr="0087010C">
              <w:rPr>
                <w:sz w:val="20"/>
                <w:lang w:val="fr-CA"/>
              </w:rPr>
              <w:t xml:space="preserve">Laurie Richard </w:t>
            </w:r>
            <w:proofErr w:type="spellStart"/>
            <w:r w:rsidRPr="0087010C">
              <w:rPr>
                <w:sz w:val="20"/>
                <w:lang w:val="fr-CA"/>
              </w:rPr>
              <w:t>Waye</w:t>
            </w:r>
            <w:proofErr w:type="spellEnd"/>
            <w:r w:rsidRPr="0087010C">
              <w:rPr>
                <w:sz w:val="20"/>
                <w:lang w:val="fr-CA"/>
              </w:rPr>
              <w:t xml:space="preserve"> est trappeur et chasseur d’animaux à fourrure professionnel, muni d’un permis dans la province de Nouvelle</w:t>
            </w:r>
            <w:r w:rsidRPr="0087010C">
              <w:rPr>
                <w:sz w:val="20"/>
                <w:lang w:val="fr-CA"/>
              </w:rPr>
              <w:noBreakHyphen/>
              <w:t>Écosse. Depuis plusieurs années, il sollicite la permission d’utiliser une arme de poing de calibre .22, plutôt qu’une arme d’épaule, en lien avec son occupation. Jusqu’à maintenant, ses demandes au contrôleur des armes à feu ont été rejetées. Ses demandes de contrôle judiciaire de ces décisions ont été rejetées également. Le contrôleur des armes à feu a délivré son refus le plus récent en mai 2017. La Cour suprême de la Nouvelle</w:t>
            </w:r>
            <w:r w:rsidRPr="0087010C">
              <w:rPr>
                <w:sz w:val="20"/>
                <w:lang w:val="fr-CA"/>
              </w:rPr>
              <w:noBreakHyphen/>
              <w:t xml:space="preserve">Écosse a appliqué la norme de la décision raisonnable lors de l’examen de la décision du contrôleur des armes à feu. Elle a conclu que le contrôleur était investi d’un pouvoir discrétionnaire résiduel par l’art. 68 de la </w:t>
            </w:r>
            <w:r w:rsidRPr="0087010C">
              <w:rPr>
                <w:i/>
                <w:sz w:val="20"/>
                <w:lang w:val="fr-CA"/>
              </w:rPr>
              <w:t>Loi sur les armes à feu</w:t>
            </w:r>
            <w:r w:rsidRPr="0087010C">
              <w:rPr>
                <w:sz w:val="20"/>
                <w:lang w:val="fr-CA"/>
              </w:rPr>
              <w:t>, LC 1995, ch. 39, lui permettant de refuser la délivrance d’un permis. La juge a estimé que l’exercice par le contrôleur de ce pouvoir discrétionnaire était raisonnable et elle a rejeté la demande de contrôle judiciaire. La Cour d’appel de la Nouvelle</w:t>
            </w:r>
            <w:r w:rsidRPr="0087010C">
              <w:rPr>
                <w:sz w:val="20"/>
                <w:lang w:val="fr-CA"/>
              </w:rPr>
              <w:noBreakHyphen/>
              <w:t>Écosse a convenu que la norme de contrôle était celle de la décision raisonnable et a rejeté l’appel.</w:t>
            </w:r>
          </w:p>
          <w:p w:rsidR="00F7565E" w:rsidRPr="0087010C" w:rsidRDefault="00F7565E" w:rsidP="00211A38">
            <w:pPr>
              <w:jc w:val="both"/>
              <w:rPr>
                <w:sz w:val="20"/>
                <w:lang w:val="fr-CA"/>
              </w:rPr>
            </w:pPr>
          </w:p>
        </w:tc>
      </w:tr>
      <w:tr w:rsidR="00F7565E" w:rsidRPr="003A218E" w:rsidTr="00211A38">
        <w:tc>
          <w:tcPr>
            <w:tcW w:w="2427" w:type="pct"/>
            <w:gridSpan w:val="2"/>
          </w:tcPr>
          <w:p w:rsidR="00F7565E" w:rsidRPr="0087010C" w:rsidRDefault="00F7565E" w:rsidP="00211A38">
            <w:pPr>
              <w:jc w:val="both"/>
              <w:rPr>
                <w:sz w:val="20"/>
                <w:lang w:val="fr-CA"/>
              </w:rPr>
            </w:pPr>
            <w:r w:rsidRPr="0087010C">
              <w:rPr>
                <w:sz w:val="20"/>
                <w:lang w:val="fr-CA"/>
              </w:rPr>
              <w:t>25 avril 2018</w:t>
            </w:r>
          </w:p>
          <w:p w:rsidR="00F7565E" w:rsidRPr="0087010C" w:rsidRDefault="00F7565E" w:rsidP="00211A38">
            <w:pPr>
              <w:jc w:val="both"/>
              <w:rPr>
                <w:sz w:val="20"/>
                <w:lang w:val="fr-CA"/>
              </w:rPr>
            </w:pPr>
            <w:r w:rsidRPr="0087010C">
              <w:rPr>
                <w:sz w:val="20"/>
                <w:lang w:val="fr-CA"/>
              </w:rPr>
              <w:t>Cour suprême de la Nouvelle</w:t>
            </w:r>
            <w:r w:rsidRPr="0087010C">
              <w:rPr>
                <w:sz w:val="20"/>
                <w:lang w:val="fr-CA"/>
              </w:rPr>
              <w:noBreakHyphen/>
              <w:t>Écosse, Section de première instance</w:t>
            </w:r>
          </w:p>
          <w:p w:rsidR="00F7565E" w:rsidRPr="0087010C" w:rsidRDefault="00F7565E" w:rsidP="00211A38">
            <w:pPr>
              <w:jc w:val="both"/>
              <w:rPr>
                <w:sz w:val="20"/>
                <w:lang w:val="fr-CA"/>
              </w:rPr>
            </w:pPr>
            <w:r w:rsidRPr="0087010C">
              <w:rPr>
                <w:sz w:val="20"/>
                <w:lang w:val="fr-CA"/>
              </w:rPr>
              <w:t xml:space="preserve">(Juge </w:t>
            </w:r>
            <w:proofErr w:type="spellStart"/>
            <w:r w:rsidRPr="0087010C">
              <w:rPr>
                <w:sz w:val="20"/>
                <w:lang w:val="fr-CA"/>
              </w:rPr>
              <w:t>Brothers</w:t>
            </w:r>
            <w:proofErr w:type="spellEnd"/>
            <w:r w:rsidRPr="0087010C">
              <w:rPr>
                <w:sz w:val="20"/>
                <w:lang w:val="fr-CA"/>
              </w:rPr>
              <w:t>)</w:t>
            </w:r>
          </w:p>
          <w:p w:rsidR="00F7565E" w:rsidRPr="0087010C" w:rsidRDefault="003A218E" w:rsidP="00211A38">
            <w:pPr>
              <w:jc w:val="both"/>
              <w:rPr>
                <w:sz w:val="20"/>
                <w:lang w:val="fr-CA"/>
              </w:rPr>
            </w:pPr>
            <w:hyperlink r:id="rId29" w:history="1">
              <w:r w:rsidR="00F7565E" w:rsidRPr="0087010C">
                <w:rPr>
                  <w:rStyle w:val="Hyperlink"/>
                  <w:sz w:val="20"/>
                  <w:lang w:val="fr-CA"/>
                </w:rPr>
                <w:t>2017 NSSC 298</w:t>
              </w:r>
            </w:hyperlink>
          </w:p>
          <w:p w:rsidR="00F7565E" w:rsidRPr="0087010C" w:rsidRDefault="00F7565E" w:rsidP="00211A38">
            <w:pPr>
              <w:jc w:val="both"/>
              <w:rPr>
                <w:sz w:val="20"/>
                <w:lang w:val="fr-CA"/>
              </w:rPr>
            </w:pPr>
          </w:p>
        </w:tc>
        <w:tc>
          <w:tcPr>
            <w:tcW w:w="243" w:type="pct"/>
          </w:tcPr>
          <w:p w:rsidR="00F7565E" w:rsidRPr="0087010C" w:rsidRDefault="00F7565E" w:rsidP="00211A38">
            <w:pPr>
              <w:jc w:val="both"/>
              <w:rPr>
                <w:sz w:val="20"/>
                <w:lang w:val="fr-CA"/>
              </w:rPr>
            </w:pPr>
          </w:p>
        </w:tc>
        <w:tc>
          <w:tcPr>
            <w:tcW w:w="2330" w:type="pct"/>
          </w:tcPr>
          <w:p w:rsidR="00F7565E" w:rsidRPr="0087010C" w:rsidRDefault="00F7565E" w:rsidP="00211A38">
            <w:pPr>
              <w:jc w:val="both"/>
              <w:rPr>
                <w:sz w:val="20"/>
                <w:lang w:val="fr-CA"/>
              </w:rPr>
            </w:pPr>
            <w:r w:rsidRPr="0087010C">
              <w:rPr>
                <w:sz w:val="20"/>
                <w:lang w:val="fr-CA"/>
              </w:rPr>
              <w:t>Rejet de la demande de contrôle judiciaire.</w:t>
            </w:r>
          </w:p>
        </w:tc>
      </w:tr>
      <w:tr w:rsidR="00F7565E" w:rsidRPr="0087010C" w:rsidTr="00211A38">
        <w:tc>
          <w:tcPr>
            <w:tcW w:w="2427" w:type="pct"/>
            <w:gridSpan w:val="2"/>
          </w:tcPr>
          <w:p w:rsidR="00F7565E" w:rsidRPr="0087010C" w:rsidRDefault="00F7565E" w:rsidP="00211A38">
            <w:pPr>
              <w:jc w:val="both"/>
              <w:rPr>
                <w:sz w:val="20"/>
                <w:lang w:val="fr-CA"/>
              </w:rPr>
            </w:pPr>
            <w:r w:rsidRPr="0087010C">
              <w:rPr>
                <w:sz w:val="20"/>
                <w:lang w:val="fr-CA"/>
              </w:rPr>
              <w:t>20 novembre 2018</w:t>
            </w:r>
          </w:p>
          <w:p w:rsidR="00F7565E" w:rsidRPr="0087010C" w:rsidRDefault="00F7565E" w:rsidP="00211A38">
            <w:pPr>
              <w:jc w:val="both"/>
              <w:rPr>
                <w:sz w:val="20"/>
                <w:lang w:val="fr-CA"/>
              </w:rPr>
            </w:pPr>
            <w:r w:rsidRPr="0087010C">
              <w:rPr>
                <w:sz w:val="20"/>
                <w:lang w:val="fr-CA"/>
              </w:rPr>
              <w:t>Cour d’appel de la Nouvelle</w:t>
            </w:r>
            <w:r w:rsidRPr="0087010C">
              <w:rPr>
                <w:sz w:val="20"/>
                <w:lang w:val="fr-CA"/>
              </w:rPr>
              <w:noBreakHyphen/>
              <w:t>Écosse</w:t>
            </w:r>
          </w:p>
          <w:p w:rsidR="00F7565E" w:rsidRPr="0087010C" w:rsidRDefault="00F7565E" w:rsidP="00211A38">
            <w:pPr>
              <w:jc w:val="both"/>
              <w:rPr>
                <w:sz w:val="20"/>
                <w:lang w:val="fr-CA"/>
              </w:rPr>
            </w:pPr>
            <w:r w:rsidRPr="0087010C">
              <w:rPr>
                <w:sz w:val="20"/>
                <w:lang w:val="fr-CA"/>
              </w:rPr>
              <w:t xml:space="preserve">(Juges </w:t>
            </w:r>
            <w:proofErr w:type="spellStart"/>
            <w:r w:rsidRPr="0087010C">
              <w:rPr>
                <w:sz w:val="20"/>
                <w:lang w:val="fr-CA"/>
              </w:rPr>
              <w:t>MacDonald</w:t>
            </w:r>
            <w:proofErr w:type="spellEnd"/>
            <w:r w:rsidRPr="0087010C">
              <w:rPr>
                <w:sz w:val="20"/>
                <w:lang w:val="fr-CA"/>
              </w:rPr>
              <w:t xml:space="preserve">, Hamilton et </w:t>
            </w:r>
            <w:proofErr w:type="spellStart"/>
            <w:r w:rsidRPr="0087010C">
              <w:rPr>
                <w:sz w:val="20"/>
                <w:lang w:val="fr-CA"/>
              </w:rPr>
              <w:t>Bryson</w:t>
            </w:r>
            <w:proofErr w:type="spellEnd"/>
            <w:r w:rsidRPr="0087010C">
              <w:rPr>
                <w:sz w:val="20"/>
                <w:lang w:val="fr-CA"/>
              </w:rPr>
              <w:t>)</w:t>
            </w:r>
          </w:p>
          <w:p w:rsidR="00F7565E" w:rsidRPr="0087010C" w:rsidRDefault="003A218E" w:rsidP="00211A38">
            <w:pPr>
              <w:jc w:val="both"/>
              <w:rPr>
                <w:sz w:val="20"/>
                <w:lang w:val="fr-CA"/>
              </w:rPr>
            </w:pPr>
            <w:hyperlink r:id="rId30" w:history="1">
              <w:r w:rsidR="00F7565E" w:rsidRPr="0087010C">
                <w:rPr>
                  <w:rStyle w:val="Hyperlink"/>
                  <w:sz w:val="20"/>
                  <w:lang w:val="fr-CA"/>
                </w:rPr>
                <w:t>2018 NSCA 89</w:t>
              </w:r>
            </w:hyperlink>
          </w:p>
          <w:p w:rsidR="00F7565E" w:rsidRPr="0087010C" w:rsidRDefault="00F7565E" w:rsidP="00211A38">
            <w:pPr>
              <w:jc w:val="both"/>
              <w:rPr>
                <w:sz w:val="20"/>
                <w:lang w:val="fr-CA"/>
              </w:rPr>
            </w:pPr>
          </w:p>
        </w:tc>
        <w:tc>
          <w:tcPr>
            <w:tcW w:w="243" w:type="pct"/>
          </w:tcPr>
          <w:p w:rsidR="00F7565E" w:rsidRPr="0087010C" w:rsidRDefault="00F7565E" w:rsidP="00211A38">
            <w:pPr>
              <w:jc w:val="both"/>
              <w:rPr>
                <w:sz w:val="20"/>
                <w:lang w:val="fr-CA"/>
              </w:rPr>
            </w:pPr>
          </w:p>
        </w:tc>
        <w:tc>
          <w:tcPr>
            <w:tcW w:w="2330" w:type="pct"/>
          </w:tcPr>
          <w:p w:rsidR="00F7565E" w:rsidRPr="0087010C" w:rsidRDefault="00F7565E" w:rsidP="00211A38">
            <w:pPr>
              <w:jc w:val="both"/>
              <w:rPr>
                <w:sz w:val="20"/>
                <w:lang w:val="fr-CA"/>
              </w:rPr>
            </w:pPr>
            <w:r w:rsidRPr="0087010C">
              <w:rPr>
                <w:sz w:val="20"/>
                <w:lang w:val="fr-CA"/>
              </w:rPr>
              <w:t>Rejet de l’appel.</w:t>
            </w:r>
          </w:p>
          <w:p w:rsidR="00F7565E" w:rsidRPr="0087010C" w:rsidRDefault="00F7565E" w:rsidP="00211A38">
            <w:pPr>
              <w:jc w:val="both"/>
              <w:rPr>
                <w:sz w:val="20"/>
                <w:lang w:val="fr-CA"/>
              </w:rPr>
            </w:pPr>
          </w:p>
        </w:tc>
      </w:tr>
      <w:tr w:rsidR="00F7565E" w:rsidRPr="003A218E" w:rsidTr="00211A38">
        <w:tc>
          <w:tcPr>
            <w:tcW w:w="2427" w:type="pct"/>
            <w:gridSpan w:val="2"/>
          </w:tcPr>
          <w:p w:rsidR="00F7565E" w:rsidRPr="0087010C" w:rsidRDefault="00F7565E" w:rsidP="00211A38">
            <w:pPr>
              <w:jc w:val="both"/>
              <w:rPr>
                <w:sz w:val="20"/>
                <w:lang w:val="fr-CA"/>
              </w:rPr>
            </w:pPr>
            <w:r w:rsidRPr="0087010C">
              <w:rPr>
                <w:sz w:val="20"/>
                <w:lang w:val="fr-CA"/>
              </w:rPr>
              <w:t>17 janvier 2019</w:t>
            </w:r>
          </w:p>
          <w:p w:rsidR="00F7565E" w:rsidRPr="0087010C" w:rsidRDefault="00F7565E" w:rsidP="00211A38">
            <w:pPr>
              <w:jc w:val="both"/>
              <w:rPr>
                <w:sz w:val="20"/>
                <w:lang w:val="fr-CA"/>
              </w:rPr>
            </w:pPr>
            <w:r w:rsidRPr="0087010C">
              <w:rPr>
                <w:sz w:val="20"/>
                <w:lang w:val="fr-CA"/>
              </w:rPr>
              <w:t>Cour suprême du Canada</w:t>
            </w:r>
          </w:p>
        </w:tc>
        <w:tc>
          <w:tcPr>
            <w:tcW w:w="243" w:type="pct"/>
          </w:tcPr>
          <w:p w:rsidR="00F7565E" w:rsidRPr="0087010C" w:rsidRDefault="00F7565E" w:rsidP="00211A38">
            <w:pPr>
              <w:jc w:val="both"/>
              <w:rPr>
                <w:sz w:val="20"/>
                <w:lang w:val="fr-CA"/>
              </w:rPr>
            </w:pPr>
          </w:p>
        </w:tc>
        <w:tc>
          <w:tcPr>
            <w:tcW w:w="2330" w:type="pct"/>
          </w:tcPr>
          <w:p w:rsidR="00F7565E" w:rsidRPr="0087010C" w:rsidRDefault="00F7565E" w:rsidP="00211A38">
            <w:pPr>
              <w:jc w:val="both"/>
              <w:rPr>
                <w:sz w:val="20"/>
                <w:lang w:val="fr-CA"/>
              </w:rPr>
            </w:pPr>
            <w:r w:rsidRPr="0087010C">
              <w:rPr>
                <w:sz w:val="20"/>
                <w:lang w:val="fr-CA"/>
              </w:rPr>
              <w:t>Dépôt de la demande d’autorisation d’appel</w:t>
            </w:r>
          </w:p>
          <w:p w:rsidR="00F7565E" w:rsidRPr="0087010C" w:rsidRDefault="00F7565E" w:rsidP="00211A38">
            <w:pPr>
              <w:jc w:val="both"/>
              <w:rPr>
                <w:sz w:val="20"/>
                <w:lang w:val="fr-CA"/>
              </w:rPr>
            </w:pPr>
          </w:p>
        </w:tc>
      </w:tr>
    </w:tbl>
    <w:p w:rsidR="00F7565E" w:rsidRPr="0087010C" w:rsidRDefault="00F7565E" w:rsidP="00F7565E">
      <w:pPr>
        <w:jc w:val="both"/>
        <w:rPr>
          <w:sz w:val="20"/>
          <w:lang w:val="fr-CA"/>
        </w:rPr>
      </w:pPr>
    </w:p>
    <w:p w:rsidR="00F7565E" w:rsidRPr="0087010C" w:rsidRDefault="003A218E" w:rsidP="00F7565E">
      <w:pPr>
        <w:jc w:val="both"/>
        <w:rPr>
          <w:sz w:val="20"/>
          <w:lang w:val="fr-CA"/>
        </w:rPr>
      </w:pPr>
      <w:r>
        <w:rPr>
          <w:sz w:val="20"/>
        </w:rPr>
        <w:pict>
          <v:rect id="_x0000_i1044" style="width:2in;height:1pt" o:hrpct="0" o:hralign="center" o:hrstd="t" o:hrnoshade="t" o:hr="t" fillcolor="black [3213]" stroked="f"/>
        </w:pict>
      </w:r>
    </w:p>
    <w:p w:rsidR="00F7565E" w:rsidRPr="0087010C" w:rsidRDefault="00F7565E" w:rsidP="00F7565E">
      <w:pPr>
        <w:ind w:left="142" w:hanging="142"/>
        <w:jc w:val="both"/>
        <w:rPr>
          <w:sz w:val="20"/>
          <w:lang w:val="fr-CA"/>
        </w:rPr>
      </w:pPr>
    </w:p>
    <w:p w:rsidR="00F7565E" w:rsidRDefault="00F7565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565E" w:rsidRPr="0087010C" w:rsidTr="00211A38">
        <w:tc>
          <w:tcPr>
            <w:tcW w:w="543" w:type="pct"/>
          </w:tcPr>
          <w:p w:rsidR="00F7565E" w:rsidRPr="0087010C" w:rsidRDefault="00F7565E" w:rsidP="00211A38">
            <w:pPr>
              <w:jc w:val="both"/>
              <w:rPr>
                <w:sz w:val="20"/>
              </w:rPr>
            </w:pPr>
            <w:r w:rsidRPr="0087010C">
              <w:rPr>
                <w:rStyle w:val="SCCFileNumberChar"/>
                <w:sz w:val="20"/>
                <w:szCs w:val="20"/>
              </w:rPr>
              <w:lastRenderedPageBreak/>
              <w:t>38474</w:t>
            </w:r>
          </w:p>
        </w:tc>
        <w:tc>
          <w:tcPr>
            <w:tcW w:w="4457" w:type="pct"/>
            <w:gridSpan w:val="3"/>
          </w:tcPr>
          <w:p w:rsidR="00F7565E" w:rsidRPr="0087010C" w:rsidRDefault="00F7565E" w:rsidP="00211A38">
            <w:pPr>
              <w:pStyle w:val="SCCLsocParty"/>
              <w:jc w:val="both"/>
              <w:rPr>
                <w:b/>
                <w:sz w:val="20"/>
                <w:szCs w:val="20"/>
                <w:lang w:val="en-US"/>
              </w:rPr>
            </w:pPr>
            <w:r w:rsidRPr="0087010C">
              <w:rPr>
                <w:b/>
                <w:sz w:val="20"/>
                <w:szCs w:val="20"/>
                <w:lang w:val="en-US"/>
              </w:rPr>
              <w:t>James Alan Rowan v. Attorney General of Canada (</w:t>
            </w:r>
            <w:r>
              <w:rPr>
                <w:b/>
                <w:sz w:val="20"/>
                <w:szCs w:val="20"/>
                <w:lang w:val="en-US"/>
              </w:rPr>
              <w:t>o</w:t>
            </w:r>
            <w:r w:rsidRPr="0087010C">
              <w:rPr>
                <w:b/>
                <w:sz w:val="20"/>
                <w:szCs w:val="20"/>
                <w:lang w:val="en-US"/>
              </w:rPr>
              <w:t>n behalf of the United States of America)</w:t>
            </w:r>
          </w:p>
          <w:p w:rsidR="00F7565E" w:rsidRPr="0087010C" w:rsidRDefault="00F7565E" w:rsidP="00211A38">
            <w:pPr>
              <w:jc w:val="both"/>
              <w:rPr>
                <w:sz w:val="20"/>
              </w:rPr>
            </w:pPr>
            <w:r w:rsidRPr="0087010C">
              <w:rPr>
                <w:sz w:val="20"/>
              </w:rPr>
              <w:t>(Sask.) (Criminal) (By Leave)</w:t>
            </w:r>
          </w:p>
        </w:tc>
      </w:tr>
      <w:tr w:rsidR="009B1A2E" w:rsidRPr="0087010C" w:rsidTr="009B1A2E">
        <w:tc>
          <w:tcPr>
            <w:tcW w:w="5000" w:type="pct"/>
            <w:gridSpan w:val="4"/>
          </w:tcPr>
          <w:p w:rsidR="009B1A2E" w:rsidRPr="00647612" w:rsidRDefault="009B1A2E" w:rsidP="009B1A2E">
            <w:pPr>
              <w:widowControl w:val="0"/>
              <w:rPr>
                <w:sz w:val="20"/>
              </w:rPr>
            </w:pPr>
            <w:r w:rsidRPr="00647612">
              <w:rPr>
                <w:sz w:val="20"/>
              </w:rPr>
              <w:t>The application for leave to appeal from the judgment of the Court of Appeal for Saskatchewan, Number CACR2933, 2018 SKCA 104, dated December 31, 2018, is dismissed.</w:t>
            </w:r>
          </w:p>
          <w:p w:rsidR="009B1A2E" w:rsidRPr="009B1A2E" w:rsidRDefault="009B1A2E" w:rsidP="00211A38">
            <w:pPr>
              <w:pStyle w:val="SCCLsocParty"/>
              <w:jc w:val="both"/>
              <w:rPr>
                <w:b/>
                <w:sz w:val="20"/>
                <w:szCs w:val="20"/>
                <w:lang w:val="en-CA"/>
              </w:rPr>
            </w:pPr>
          </w:p>
        </w:tc>
      </w:tr>
      <w:tr w:rsidR="00F7565E" w:rsidRPr="0087010C" w:rsidTr="00211A38">
        <w:tc>
          <w:tcPr>
            <w:tcW w:w="5000" w:type="pct"/>
            <w:gridSpan w:val="4"/>
          </w:tcPr>
          <w:p w:rsidR="00F7565E" w:rsidRPr="0087010C" w:rsidRDefault="00F7565E" w:rsidP="00211A38">
            <w:pPr>
              <w:jc w:val="both"/>
              <w:rPr>
                <w:sz w:val="20"/>
              </w:rPr>
            </w:pPr>
            <w:r w:rsidRPr="0087010C">
              <w:rPr>
                <w:i/>
                <w:sz w:val="20"/>
              </w:rPr>
              <w:t>Charter of Rights</w:t>
            </w:r>
            <w:r w:rsidRPr="0087010C">
              <w:rPr>
                <w:sz w:val="20"/>
              </w:rPr>
              <w:t xml:space="preserve"> — Criminal law — Extradition — Committal hearing — Surrender order — Applicant committed for extradition to the United States of America on charges equivalent to fraud — Minister ordered applicant surrendered — Court of Appeal upheld committal and surrender orders — What is the proper application of the manifestly unreliable test as set out by this Court in </w:t>
            </w:r>
            <w:r w:rsidRPr="0087010C">
              <w:rPr>
                <w:i/>
                <w:sz w:val="20"/>
              </w:rPr>
              <w:t xml:space="preserve">United States of America v. </w:t>
            </w:r>
            <w:proofErr w:type="spellStart"/>
            <w:r w:rsidRPr="0087010C">
              <w:rPr>
                <w:i/>
                <w:sz w:val="20"/>
              </w:rPr>
              <w:t>Ferras</w:t>
            </w:r>
            <w:proofErr w:type="spellEnd"/>
            <w:r w:rsidRPr="0087010C">
              <w:rPr>
                <w:sz w:val="20"/>
              </w:rPr>
              <w:t xml:space="preserve">, [2006] 2 S.C.R. 77, 2006 SCC 33? — What is the minimum threshold of evidence required for each element of the alleged offence that must present in the record of the case to meet the </w:t>
            </w:r>
            <w:proofErr w:type="spellStart"/>
            <w:r w:rsidRPr="0087010C">
              <w:rPr>
                <w:i/>
                <w:sz w:val="20"/>
              </w:rPr>
              <w:t>Ferras</w:t>
            </w:r>
            <w:proofErr w:type="spellEnd"/>
            <w:r w:rsidRPr="0087010C">
              <w:rPr>
                <w:sz w:val="20"/>
              </w:rPr>
              <w:t xml:space="preserve"> test? — What delay by an extraditing partner is so unjust that it amounts to infringement of an individual’s section 7 </w:t>
            </w:r>
            <w:r w:rsidRPr="0087010C">
              <w:rPr>
                <w:i/>
                <w:sz w:val="20"/>
              </w:rPr>
              <w:t>Charter</w:t>
            </w:r>
            <w:r w:rsidRPr="0087010C">
              <w:rPr>
                <w:sz w:val="20"/>
              </w:rPr>
              <w:t xml:space="preserve"> rights? — </w:t>
            </w:r>
            <w:r w:rsidRPr="0087010C">
              <w:rPr>
                <w:i/>
                <w:sz w:val="20"/>
              </w:rPr>
              <w:t>Extradition Act</w:t>
            </w:r>
            <w:r w:rsidRPr="0087010C">
              <w:rPr>
                <w:sz w:val="20"/>
              </w:rPr>
              <w:t>, S.C. 1999, c. 18.</w:t>
            </w:r>
          </w:p>
        </w:tc>
      </w:tr>
      <w:tr w:rsidR="00F7565E" w:rsidRPr="0087010C" w:rsidTr="00211A38">
        <w:tc>
          <w:tcPr>
            <w:tcW w:w="5000" w:type="pct"/>
            <w:gridSpan w:val="4"/>
          </w:tcPr>
          <w:p w:rsidR="00F7565E" w:rsidRPr="0087010C" w:rsidRDefault="00F7565E" w:rsidP="00211A38">
            <w:pPr>
              <w:jc w:val="both"/>
              <w:rPr>
                <w:sz w:val="20"/>
              </w:rPr>
            </w:pPr>
          </w:p>
        </w:tc>
      </w:tr>
      <w:tr w:rsidR="00F7565E" w:rsidRPr="0087010C" w:rsidTr="00211A38">
        <w:tc>
          <w:tcPr>
            <w:tcW w:w="5000" w:type="pct"/>
            <w:gridSpan w:val="4"/>
          </w:tcPr>
          <w:p w:rsidR="00F7565E" w:rsidRPr="0087010C" w:rsidRDefault="00F7565E" w:rsidP="00211A38">
            <w:pPr>
              <w:jc w:val="both"/>
              <w:rPr>
                <w:sz w:val="20"/>
              </w:rPr>
            </w:pPr>
            <w:r w:rsidRPr="0087010C">
              <w:rPr>
                <w:sz w:val="20"/>
              </w:rPr>
              <w:t>Mr. Rowan was indicted by the United States of America for offences that are the equivalent of fraud in Canada. The USA alleges that Mr. Rowan falsely advertised that his company had developed a new, roof</w:t>
            </w:r>
            <w:r w:rsidRPr="0087010C">
              <w:rPr>
                <w:sz w:val="20"/>
              </w:rPr>
              <w:noBreakHyphen/>
              <w:t xml:space="preserve"> wind turbine that could produce higher than usual amounts of electricity for such a device. It is alleged that Mr. Rowan knew that the turbine did not perform as advertised but nonetheless continued to solicit money for the company. The USA certified a record of the case (ROC) and the Minister of Justice sought an order for the committal of Mr. Rowan. The extradition judge concluded that Mr. Rowan’s conduct, as outlined in each of the witness statements contained in the ROC, had it occurred in Canada, would justify his committal for trial for the offense of fraud. The Minister of Justice was satisfied that Mr. Rowan’s surrender would not be unjust or oppressive, nor would it violate his </w:t>
            </w:r>
            <w:r w:rsidRPr="0087010C">
              <w:rPr>
                <w:i/>
                <w:sz w:val="20"/>
              </w:rPr>
              <w:t xml:space="preserve">Charter </w:t>
            </w:r>
            <w:r w:rsidRPr="0087010C">
              <w:rPr>
                <w:sz w:val="20"/>
              </w:rPr>
              <w:t>rights. Mr. Rowan appealed the committal decision and sought judicial review of the Minister’s surrender order. The Court of Appeal held that the extradition judge had reasonably concluded that the ROC, taken as a whole, provided some evidence for each element of fraud and that Minister’s surrender order was not unreasonable.</w:t>
            </w:r>
          </w:p>
          <w:p w:rsidR="00F7565E" w:rsidRPr="0087010C" w:rsidRDefault="00F7565E" w:rsidP="00211A38">
            <w:pPr>
              <w:jc w:val="both"/>
              <w:rPr>
                <w:sz w:val="20"/>
              </w:rPr>
            </w:pPr>
          </w:p>
        </w:tc>
      </w:tr>
      <w:tr w:rsidR="00F7565E" w:rsidRPr="0087010C" w:rsidTr="00211A38">
        <w:tc>
          <w:tcPr>
            <w:tcW w:w="2427" w:type="pct"/>
            <w:gridSpan w:val="2"/>
          </w:tcPr>
          <w:p w:rsidR="00F7565E" w:rsidRPr="0087010C" w:rsidRDefault="00F7565E" w:rsidP="00211A38">
            <w:pPr>
              <w:jc w:val="both"/>
              <w:rPr>
                <w:sz w:val="20"/>
              </w:rPr>
            </w:pPr>
            <w:r w:rsidRPr="0087010C">
              <w:rPr>
                <w:sz w:val="20"/>
              </w:rPr>
              <w:t>April 6, 2017</w:t>
            </w:r>
          </w:p>
          <w:p w:rsidR="00F7565E" w:rsidRPr="0087010C" w:rsidRDefault="00F7565E" w:rsidP="00211A38">
            <w:pPr>
              <w:jc w:val="both"/>
              <w:rPr>
                <w:sz w:val="20"/>
              </w:rPr>
            </w:pPr>
            <w:r w:rsidRPr="0087010C">
              <w:rPr>
                <w:sz w:val="20"/>
              </w:rPr>
              <w:t>Court of Queen’s Bench of Saskatchewan</w:t>
            </w:r>
          </w:p>
          <w:p w:rsidR="00F7565E" w:rsidRPr="0087010C" w:rsidRDefault="00F7565E" w:rsidP="00211A38">
            <w:pPr>
              <w:jc w:val="both"/>
              <w:rPr>
                <w:sz w:val="20"/>
              </w:rPr>
            </w:pPr>
            <w:r w:rsidRPr="0087010C">
              <w:rPr>
                <w:sz w:val="20"/>
              </w:rPr>
              <w:t>(</w:t>
            </w:r>
            <w:proofErr w:type="spellStart"/>
            <w:r w:rsidRPr="0087010C">
              <w:rPr>
                <w:sz w:val="20"/>
              </w:rPr>
              <w:t>Allbright</w:t>
            </w:r>
            <w:proofErr w:type="spellEnd"/>
            <w:r w:rsidRPr="0087010C">
              <w:rPr>
                <w:sz w:val="20"/>
              </w:rPr>
              <w:t xml:space="preserve"> J.)</w:t>
            </w:r>
          </w:p>
          <w:p w:rsidR="00F7565E" w:rsidRPr="0087010C" w:rsidRDefault="003A218E" w:rsidP="00211A38">
            <w:pPr>
              <w:jc w:val="both"/>
              <w:rPr>
                <w:sz w:val="20"/>
              </w:rPr>
            </w:pPr>
            <w:hyperlink r:id="rId31" w:history="1">
              <w:r w:rsidR="00F7565E" w:rsidRPr="0087010C">
                <w:rPr>
                  <w:rStyle w:val="Hyperlink"/>
                  <w:sz w:val="20"/>
                </w:rPr>
                <w:t>2017 SKQB 95</w:t>
              </w:r>
            </w:hyperlink>
          </w:p>
          <w:p w:rsidR="00F7565E" w:rsidRPr="0087010C" w:rsidRDefault="00F7565E" w:rsidP="00211A38">
            <w:pPr>
              <w:jc w:val="both"/>
              <w:rPr>
                <w:sz w:val="20"/>
              </w:rPr>
            </w:pPr>
          </w:p>
        </w:tc>
        <w:tc>
          <w:tcPr>
            <w:tcW w:w="243" w:type="pct"/>
          </w:tcPr>
          <w:p w:rsidR="00F7565E" w:rsidRPr="0087010C" w:rsidRDefault="00F7565E" w:rsidP="00211A38">
            <w:pPr>
              <w:jc w:val="both"/>
              <w:rPr>
                <w:sz w:val="20"/>
              </w:rPr>
            </w:pPr>
          </w:p>
        </w:tc>
        <w:tc>
          <w:tcPr>
            <w:tcW w:w="2330" w:type="pct"/>
          </w:tcPr>
          <w:p w:rsidR="00F7565E" w:rsidRPr="0087010C" w:rsidRDefault="00F7565E" w:rsidP="00211A38">
            <w:pPr>
              <w:jc w:val="both"/>
              <w:rPr>
                <w:sz w:val="20"/>
              </w:rPr>
            </w:pPr>
            <w:r w:rsidRPr="0087010C">
              <w:rPr>
                <w:sz w:val="20"/>
              </w:rPr>
              <w:t>Committal order for extradition of applicant  issued</w:t>
            </w:r>
          </w:p>
        </w:tc>
      </w:tr>
      <w:tr w:rsidR="00F7565E" w:rsidRPr="0087010C" w:rsidTr="00211A38">
        <w:tc>
          <w:tcPr>
            <w:tcW w:w="2427" w:type="pct"/>
            <w:gridSpan w:val="2"/>
          </w:tcPr>
          <w:p w:rsidR="00F7565E" w:rsidRPr="0087010C" w:rsidRDefault="00F7565E" w:rsidP="00211A38">
            <w:pPr>
              <w:jc w:val="both"/>
              <w:rPr>
                <w:sz w:val="20"/>
              </w:rPr>
            </w:pPr>
            <w:r w:rsidRPr="0087010C">
              <w:rPr>
                <w:sz w:val="20"/>
              </w:rPr>
              <w:t>August 24, 2017</w:t>
            </w:r>
          </w:p>
          <w:p w:rsidR="00F7565E" w:rsidRPr="0087010C" w:rsidRDefault="00F7565E" w:rsidP="00211A38">
            <w:pPr>
              <w:jc w:val="both"/>
              <w:rPr>
                <w:sz w:val="20"/>
              </w:rPr>
            </w:pPr>
            <w:r w:rsidRPr="0087010C">
              <w:rPr>
                <w:sz w:val="20"/>
              </w:rPr>
              <w:t>Minister of Justice</w:t>
            </w:r>
          </w:p>
          <w:p w:rsidR="00F7565E" w:rsidRPr="0087010C" w:rsidRDefault="00F7565E" w:rsidP="00211A38">
            <w:pPr>
              <w:jc w:val="both"/>
              <w:rPr>
                <w:sz w:val="20"/>
              </w:rPr>
            </w:pPr>
            <w:r w:rsidRPr="0087010C">
              <w:rPr>
                <w:sz w:val="20"/>
              </w:rPr>
              <w:t>(The Hon. Jody Wilson-</w:t>
            </w:r>
            <w:proofErr w:type="spellStart"/>
            <w:r w:rsidRPr="0087010C">
              <w:rPr>
                <w:sz w:val="20"/>
              </w:rPr>
              <w:t>Raybould</w:t>
            </w:r>
            <w:proofErr w:type="spellEnd"/>
            <w:r w:rsidRPr="0087010C">
              <w:rPr>
                <w:sz w:val="20"/>
              </w:rPr>
              <w:t>)</w:t>
            </w:r>
          </w:p>
          <w:p w:rsidR="00F7565E" w:rsidRPr="0087010C" w:rsidRDefault="00F7565E" w:rsidP="00211A38">
            <w:pPr>
              <w:jc w:val="both"/>
              <w:rPr>
                <w:sz w:val="20"/>
              </w:rPr>
            </w:pPr>
          </w:p>
        </w:tc>
        <w:tc>
          <w:tcPr>
            <w:tcW w:w="243" w:type="pct"/>
          </w:tcPr>
          <w:p w:rsidR="00F7565E" w:rsidRPr="0087010C" w:rsidRDefault="00F7565E" w:rsidP="00211A38">
            <w:pPr>
              <w:jc w:val="both"/>
              <w:rPr>
                <w:sz w:val="20"/>
              </w:rPr>
            </w:pPr>
          </w:p>
        </w:tc>
        <w:tc>
          <w:tcPr>
            <w:tcW w:w="2330" w:type="pct"/>
          </w:tcPr>
          <w:p w:rsidR="00F7565E" w:rsidRPr="0087010C" w:rsidRDefault="00F7565E" w:rsidP="00211A38">
            <w:pPr>
              <w:jc w:val="both"/>
              <w:rPr>
                <w:sz w:val="20"/>
              </w:rPr>
            </w:pPr>
            <w:r w:rsidRPr="0087010C">
              <w:rPr>
                <w:sz w:val="20"/>
              </w:rPr>
              <w:t>Order of surrender of applicant issued</w:t>
            </w:r>
          </w:p>
        </w:tc>
      </w:tr>
      <w:tr w:rsidR="00F7565E" w:rsidRPr="0087010C" w:rsidTr="00211A38">
        <w:tc>
          <w:tcPr>
            <w:tcW w:w="2427" w:type="pct"/>
            <w:gridSpan w:val="2"/>
          </w:tcPr>
          <w:p w:rsidR="00F7565E" w:rsidRPr="0087010C" w:rsidRDefault="00F7565E" w:rsidP="00211A38">
            <w:pPr>
              <w:jc w:val="both"/>
              <w:rPr>
                <w:sz w:val="20"/>
              </w:rPr>
            </w:pPr>
            <w:r w:rsidRPr="0087010C">
              <w:rPr>
                <w:sz w:val="20"/>
              </w:rPr>
              <w:t>December 31, 2018</w:t>
            </w:r>
          </w:p>
          <w:p w:rsidR="00F7565E" w:rsidRPr="0087010C" w:rsidRDefault="00F7565E" w:rsidP="00211A38">
            <w:pPr>
              <w:jc w:val="both"/>
              <w:rPr>
                <w:sz w:val="20"/>
              </w:rPr>
            </w:pPr>
            <w:r w:rsidRPr="0087010C">
              <w:rPr>
                <w:sz w:val="20"/>
              </w:rPr>
              <w:t>Court of Appeal for Saskatchewan</w:t>
            </w:r>
          </w:p>
          <w:p w:rsidR="00F7565E" w:rsidRPr="0087010C" w:rsidRDefault="00F7565E" w:rsidP="00211A38">
            <w:pPr>
              <w:jc w:val="both"/>
              <w:rPr>
                <w:sz w:val="20"/>
              </w:rPr>
            </w:pPr>
            <w:r w:rsidRPr="0087010C">
              <w:rPr>
                <w:sz w:val="20"/>
              </w:rPr>
              <w:t xml:space="preserve">(Jackson, </w:t>
            </w:r>
            <w:proofErr w:type="spellStart"/>
            <w:r w:rsidRPr="0087010C">
              <w:rPr>
                <w:sz w:val="20"/>
              </w:rPr>
              <w:t>Ottenbreit</w:t>
            </w:r>
            <w:proofErr w:type="spellEnd"/>
            <w:r w:rsidRPr="0087010C">
              <w:rPr>
                <w:sz w:val="20"/>
              </w:rPr>
              <w:t>, Whitmore JJ.A)</w:t>
            </w:r>
          </w:p>
          <w:p w:rsidR="00F7565E" w:rsidRPr="0087010C" w:rsidRDefault="003A218E" w:rsidP="00211A38">
            <w:pPr>
              <w:jc w:val="both"/>
              <w:rPr>
                <w:sz w:val="20"/>
              </w:rPr>
            </w:pPr>
            <w:hyperlink r:id="rId32" w:history="1">
              <w:r w:rsidR="00F7565E" w:rsidRPr="0087010C">
                <w:rPr>
                  <w:rStyle w:val="Hyperlink"/>
                  <w:sz w:val="20"/>
                </w:rPr>
                <w:t>2018 SKCA 104</w:t>
              </w:r>
            </w:hyperlink>
            <w:r w:rsidR="00F7565E" w:rsidRPr="0087010C">
              <w:rPr>
                <w:sz w:val="20"/>
              </w:rPr>
              <w:t xml:space="preserve"> (Docket: CACR2933)</w:t>
            </w:r>
          </w:p>
          <w:p w:rsidR="00F7565E" w:rsidRPr="0087010C" w:rsidRDefault="00F7565E" w:rsidP="00211A38">
            <w:pPr>
              <w:jc w:val="both"/>
              <w:rPr>
                <w:sz w:val="20"/>
              </w:rPr>
            </w:pPr>
          </w:p>
        </w:tc>
        <w:tc>
          <w:tcPr>
            <w:tcW w:w="243" w:type="pct"/>
          </w:tcPr>
          <w:p w:rsidR="00F7565E" w:rsidRPr="0087010C" w:rsidRDefault="00F7565E" w:rsidP="00211A38">
            <w:pPr>
              <w:jc w:val="both"/>
              <w:rPr>
                <w:sz w:val="20"/>
              </w:rPr>
            </w:pPr>
          </w:p>
        </w:tc>
        <w:tc>
          <w:tcPr>
            <w:tcW w:w="2330" w:type="pct"/>
          </w:tcPr>
          <w:p w:rsidR="00F7565E" w:rsidRPr="0087010C" w:rsidRDefault="00F7565E" w:rsidP="00211A38">
            <w:pPr>
              <w:jc w:val="both"/>
              <w:rPr>
                <w:sz w:val="20"/>
              </w:rPr>
            </w:pPr>
            <w:r w:rsidRPr="0087010C">
              <w:rPr>
                <w:sz w:val="20"/>
              </w:rPr>
              <w:t>Applicant’s appeal and judicial review dismissed; extradition judge’s and Minister’s orders affirmed.</w:t>
            </w:r>
          </w:p>
        </w:tc>
      </w:tr>
      <w:tr w:rsidR="00F7565E" w:rsidRPr="0087010C" w:rsidTr="00211A38">
        <w:tc>
          <w:tcPr>
            <w:tcW w:w="2427" w:type="pct"/>
            <w:gridSpan w:val="2"/>
          </w:tcPr>
          <w:p w:rsidR="00F7565E" w:rsidRPr="0087010C" w:rsidRDefault="00F7565E" w:rsidP="00211A38">
            <w:pPr>
              <w:jc w:val="both"/>
              <w:rPr>
                <w:sz w:val="20"/>
              </w:rPr>
            </w:pPr>
            <w:r w:rsidRPr="0087010C">
              <w:rPr>
                <w:sz w:val="20"/>
              </w:rPr>
              <w:t>February 28, 2019</w:t>
            </w:r>
          </w:p>
          <w:p w:rsidR="00F7565E" w:rsidRPr="0087010C" w:rsidRDefault="00F7565E" w:rsidP="00211A38">
            <w:pPr>
              <w:jc w:val="both"/>
              <w:rPr>
                <w:sz w:val="20"/>
              </w:rPr>
            </w:pPr>
            <w:r w:rsidRPr="0087010C">
              <w:rPr>
                <w:sz w:val="20"/>
              </w:rPr>
              <w:t>Supreme Court of Canada</w:t>
            </w:r>
          </w:p>
        </w:tc>
        <w:tc>
          <w:tcPr>
            <w:tcW w:w="243" w:type="pct"/>
          </w:tcPr>
          <w:p w:rsidR="00F7565E" w:rsidRPr="0087010C" w:rsidRDefault="00F7565E" w:rsidP="00211A38">
            <w:pPr>
              <w:jc w:val="both"/>
              <w:rPr>
                <w:sz w:val="20"/>
              </w:rPr>
            </w:pPr>
          </w:p>
        </w:tc>
        <w:tc>
          <w:tcPr>
            <w:tcW w:w="2330" w:type="pct"/>
          </w:tcPr>
          <w:p w:rsidR="00F7565E" w:rsidRPr="0087010C" w:rsidRDefault="00F7565E" w:rsidP="00211A38">
            <w:pPr>
              <w:jc w:val="both"/>
              <w:rPr>
                <w:sz w:val="20"/>
              </w:rPr>
            </w:pPr>
            <w:r w:rsidRPr="0087010C">
              <w:rPr>
                <w:sz w:val="20"/>
              </w:rPr>
              <w:t>Application for leave to appeal filed</w:t>
            </w:r>
          </w:p>
          <w:p w:rsidR="00F7565E" w:rsidRPr="0087010C" w:rsidRDefault="00F7565E" w:rsidP="00211A38">
            <w:pPr>
              <w:jc w:val="both"/>
              <w:rPr>
                <w:sz w:val="20"/>
              </w:rPr>
            </w:pPr>
          </w:p>
        </w:tc>
      </w:tr>
    </w:tbl>
    <w:p w:rsidR="00F7565E" w:rsidRPr="0087010C" w:rsidRDefault="00F7565E" w:rsidP="00F7565E">
      <w:pPr>
        <w:jc w:val="both"/>
        <w:rPr>
          <w:sz w:val="20"/>
        </w:rPr>
      </w:pPr>
    </w:p>
    <w:p w:rsidR="00F7565E" w:rsidRPr="0087010C" w:rsidRDefault="00F7565E" w:rsidP="00F7565E">
      <w:pPr>
        <w:jc w:val="both"/>
        <w:rPr>
          <w:sz w:val="20"/>
        </w:rPr>
      </w:pPr>
    </w:p>
    <w:p w:rsidR="00F7565E" w:rsidRPr="0087010C" w:rsidRDefault="00F7565E" w:rsidP="00F7565E">
      <w:pPr>
        <w:jc w:val="both"/>
        <w:rPr>
          <w:sz w:val="20"/>
        </w:rPr>
      </w:pPr>
    </w:p>
    <w:p w:rsidR="00F7565E" w:rsidRDefault="00F7565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565E" w:rsidRPr="0087010C" w:rsidTr="00211A38">
        <w:tc>
          <w:tcPr>
            <w:tcW w:w="543" w:type="pct"/>
          </w:tcPr>
          <w:p w:rsidR="00F7565E" w:rsidRPr="0087010C" w:rsidRDefault="00F7565E" w:rsidP="00211A38">
            <w:pPr>
              <w:jc w:val="both"/>
              <w:rPr>
                <w:sz w:val="20"/>
                <w:lang w:val="fr-CA"/>
              </w:rPr>
            </w:pPr>
            <w:r w:rsidRPr="0087010C">
              <w:rPr>
                <w:rStyle w:val="SCCFileNumberChar"/>
                <w:sz w:val="20"/>
                <w:szCs w:val="20"/>
                <w:lang w:val="fr-CA"/>
              </w:rPr>
              <w:lastRenderedPageBreak/>
              <w:t>38474</w:t>
            </w:r>
          </w:p>
        </w:tc>
        <w:tc>
          <w:tcPr>
            <w:tcW w:w="4457" w:type="pct"/>
            <w:gridSpan w:val="3"/>
          </w:tcPr>
          <w:p w:rsidR="00F7565E" w:rsidRPr="0087010C" w:rsidRDefault="00F7565E" w:rsidP="00211A38">
            <w:pPr>
              <w:pStyle w:val="SCCLsocParty"/>
              <w:jc w:val="both"/>
              <w:rPr>
                <w:b/>
                <w:sz w:val="20"/>
                <w:szCs w:val="20"/>
              </w:rPr>
            </w:pPr>
            <w:r w:rsidRPr="0087010C">
              <w:rPr>
                <w:b/>
                <w:sz w:val="20"/>
                <w:szCs w:val="20"/>
              </w:rPr>
              <w:t xml:space="preserve">James Alan </w:t>
            </w:r>
            <w:proofErr w:type="spellStart"/>
            <w:r w:rsidRPr="0087010C">
              <w:rPr>
                <w:b/>
                <w:sz w:val="20"/>
                <w:szCs w:val="20"/>
              </w:rPr>
              <w:t>Rowan</w:t>
            </w:r>
            <w:proofErr w:type="spellEnd"/>
            <w:r w:rsidRPr="0087010C">
              <w:rPr>
                <w:b/>
                <w:sz w:val="20"/>
                <w:szCs w:val="20"/>
              </w:rPr>
              <w:t xml:space="preserve"> c. Procureur général du Canada (au nom des États</w:t>
            </w:r>
            <w:r w:rsidRPr="0087010C">
              <w:rPr>
                <w:b/>
                <w:sz w:val="20"/>
                <w:szCs w:val="20"/>
              </w:rPr>
              <w:noBreakHyphen/>
              <w:t>Unis d’Amérique)</w:t>
            </w:r>
          </w:p>
          <w:p w:rsidR="00F7565E" w:rsidRPr="0087010C" w:rsidRDefault="00F7565E" w:rsidP="00211A38">
            <w:pPr>
              <w:jc w:val="both"/>
              <w:rPr>
                <w:sz w:val="20"/>
                <w:lang w:val="fr-CA"/>
              </w:rPr>
            </w:pPr>
            <w:r w:rsidRPr="0087010C">
              <w:rPr>
                <w:sz w:val="20"/>
                <w:lang w:val="fr-CA"/>
              </w:rPr>
              <w:t>(</w:t>
            </w:r>
            <w:proofErr w:type="spellStart"/>
            <w:r w:rsidRPr="0087010C">
              <w:rPr>
                <w:sz w:val="20"/>
                <w:lang w:val="fr-CA"/>
              </w:rPr>
              <w:t>Sask</w:t>
            </w:r>
            <w:proofErr w:type="spellEnd"/>
            <w:r w:rsidRPr="0087010C">
              <w:rPr>
                <w:sz w:val="20"/>
                <w:lang w:val="fr-CA"/>
              </w:rPr>
              <w:t>.) (Criminelle) (Autorisation)</w:t>
            </w:r>
          </w:p>
        </w:tc>
      </w:tr>
      <w:tr w:rsidR="009B1A2E" w:rsidRPr="003A218E" w:rsidTr="009B1A2E">
        <w:tc>
          <w:tcPr>
            <w:tcW w:w="5000" w:type="pct"/>
            <w:gridSpan w:val="4"/>
          </w:tcPr>
          <w:p w:rsidR="009B1A2E" w:rsidRPr="00647612" w:rsidRDefault="009B1A2E" w:rsidP="009B1A2E">
            <w:pPr>
              <w:widowControl w:val="0"/>
              <w:rPr>
                <w:sz w:val="20"/>
                <w:lang w:val="fr-CA"/>
              </w:rPr>
            </w:pPr>
            <w:r w:rsidRPr="00647612">
              <w:rPr>
                <w:sz w:val="20"/>
                <w:lang w:val="fr-CA"/>
              </w:rPr>
              <w:t>La demande d’autorisation d’appel de l’arrêt de la Cour d’appel de la Saskatchewan, numéro CACR2933, 2018 SKCA 104, daté du 31 décembre 2018, est rejetée.</w:t>
            </w:r>
          </w:p>
          <w:p w:rsidR="009B1A2E" w:rsidRPr="0087010C" w:rsidRDefault="009B1A2E" w:rsidP="00211A38">
            <w:pPr>
              <w:pStyle w:val="SCCLsocParty"/>
              <w:jc w:val="both"/>
              <w:rPr>
                <w:b/>
                <w:sz w:val="20"/>
                <w:szCs w:val="20"/>
              </w:rPr>
            </w:pPr>
          </w:p>
        </w:tc>
      </w:tr>
      <w:tr w:rsidR="00F7565E" w:rsidRPr="00E438D9" w:rsidTr="00211A38">
        <w:tc>
          <w:tcPr>
            <w:tcW w:w="5000" w:type="pct"/>
            <w:gridSpan w:val="4"/>
          </w:tcPr>
          <w:p w:rsidR="00F7565E" w:rsidRPr="0087010C" w:rsidRDefault="00F7565E" w:rsidP="00211A38">
            <w:pPr>
              <w:jc w:val="both"/>
              <w:rPr>
                <w:sz w:val="20"/>
                <w:lang w:val="fr-CA"/>
              </w:rPr>
            </w:pPr>
            <w:r w:rsidRPr="0087010C">
              <w:rPr>
                <w:i/>
                <w:sz w:val="20"/>
                <w:lang w:val="fr-CA"/>
              </w:rPr>
              <w:t>Charte des droits</w:t>
            </w:r>
            <w:r w:rsidRPr="0087010C">
              <w:rPr>
                <w:sz w:val="20"/>
                <w:lang w:val="fr-CA"/>
              </w:rPr>
              <w:t xml:space="preserve"> — Droit criminel — Extradition — Audience relative à l’incarcération — Arrêté d’extradition — Le demandeur a été incarcéré en vue de son extradition vers les États</w:t>
            </w:r>
            <w:r w:rsidRPr="0087010C">
              <w:rPr>
                <w:sz w:val="20"/>
                <w:lang w:val="fr-CA"/>
              </w:rPr>
              <w:noBreakHyphen/>
              <w:t xml:space="preserve">Unis d’Amérique pour répondre à des accusations équivalentes à la fraude — Le ministre a ordonné l’extradition du demandeur — La Cour d’appel a confirmé l’ordonnance d’incarcération et l’arrêté d’extradition — Comment convient-il d’appliquer le critère d’appréciation de la preuve « manifestement peu digne de foi » établi par la Cour dans  l’arrêt </w:t>
            </w:r>
            <w:r w:rsidRPr="0087010C">
              <w:rPr>
                <w:i/>
                <w:sz w:val="20"/>
                <w:lang w:val="fr-CA"/>
              </w:rPr>
              <w:t>États-Unis d’Amérique c. Ferras</w:t>
            </w:r>
            <w:r w:rsidRPr="0087010C">
              <w:rPr>
                <w:sz w:val="20"/>
                <w:lang w:val="fr-CA"/>
              </w:rPr>
              <w:t xml:space="preserve">, [2006] 2 R.C.S. 77, 2006 CSC 33? — Quel est le seuil de preuve minimal nécessaire pour chaque élément de l’infraction alléguée qui doit être présent dans le dossier d’extradition pour satisfaire au critère de l’arrêt </w:t>
            </w:r>
            <w:proofErr w:type="gramStart"/>
            <w:r w:rsidRPr="0087010C">
              <w:rPr>
                <w:i/>
                <w:sz w:val="20"/>
                <w:lang w:val="fr-CA"/>
              </w:rPr>
              <w:t>Ferras</w:t>
            </w:r>
            <w:proofErr w:type="gramEnd"/>
            <w:r w:rsidRPr="0087010C">
              <w:rPr>
                <w:sz w:val="20"/>
                <w:lang w:val="fr-CA"/>
              </w:rPr>
              <w:t>? — À partir de quand le délai que prend un partenaire pour demander l’extradition est</w:t>
            </w:r>
            <w:r w:rsidRPr="0087010C">
              <w:rPr>
                <w:sz w:val="20"/>
                <w:lang w:val="fr-CA"/>
              </w:rPr>
              <w:noBreakHyphen/>
              <w:t xml:space="preserve">il tellement injuste qu’il équivaut à une atteinte aux droits garantis par l’art. 7 de la </w:t>
            </w:r>
            <w:r w:rsidRPr="0087010C">
              <w:rPr>
                <w:i/>
                <w:sz w:val="20"/>
                <w:lang w:val="fr-CA"/>
              </w:rPr>
              <w:t>Charte</w:t>
            </w:r>
            <w:r w:rsidRPr="0087010C">
              <w:rPr>
                <w:sz w:val="20"/>
                <w:lang w:val="fr-CA"/>
              </w:rPr>
              <w:t xml:space="preserve">? — </w:t>
            </w:r>
            <w:r w:rsidRPr="0087010C">
              <w:rPr>
                <w:i/>
                <w:sz w:val="20"/>
                <w:lang w:val="fr-CA"/>
              </w:rPr>
              <w:t>Loi sur l’extradition</w:t>
            </w:r>
            <w:r w:rsidRPr="0087010C">
              <w:rPr>
                <w:sz w:val="20"/>
                <w:lang w:val="fr-CA"/>
              </w:rPr>
              <w:t>, L.C. 1999, ch. 18.</w:t>
            </w:r>
          </w:p>
        </w:tc>
      </w:tr>
      <w:tr w:rsidR="00F7565E" w:rsidRPr="00E438D9" w:rsidTr="00211A38">
        <w:tc>
          <w:tcPr>
            <w:tcW w:w="5000" w:type="pct"/>
            <w:gridSpan w:val="4"/>
          </w:tcPr>
          <w:p w:rsidR="00F7565E" w:rsidRPr="0087010C" w:rsidRDefault="00F7565E" w:rsidP="00211A38">
            <w:pPr>
              <w:jc w:val="both"/>
              <w:rPr>
                <w:sz w:val="20"/>
                <w:lang w:val="fr-CA"/>
              </w:rPr>
            </w:pPr>
          </w:p>
        </w:tc>
      </w:tr>
      <w:tr w:rsidR="00F7565E" w:rsidRPr="003A218E" w:rsidTr="00211A38">
        <w:tc>
          <w:tcPr>
            <w:tcW w:w="5000" w:type="pct"/>
            <w:gridSpan w:val="4"/>
          </w:tcPr>
          <w:p w:rsidR="00F7565E" w:rsidRPr="0087010C" w:rsidRDefault="00F7565E" w:rsidP="00211A38">
            <w:pPr>
              <w:jc w:val="both"/>
              <w:rPr>
                <w:sz w:val="20"/>
                <w:lang w:val="fr-CA"/>
              </w:rPr>
            </w:pPr>
            <w:r w:rsidRPr="0087010C">
              <w:rPr>
                <w:sz w:val="20"/>
                <w:lang w:val="fr-CA"/>
              </w:rPr>
              <w:t>Les États</w:t>
            </w:r>
            <w:r w:rsidRPr="0087010C">
              <w:rPr>
                <w:sz w:val="20"/>
                <w:lang w:val="fr-CA"/>
              </w:rPr>
              <w:noBreakHyphen/>
              <w:t>Unis d’Amérique ont mis en accusation M. </w:t>
            </w:r>
            <w:proofErr w:type="spellStart"/>
            <w:r w:rsidRPr="0087010C">
              <w:rPr>
                <w:sz w:val="20"/>
                <w:lang w:val="fr-CA"/>
              </w:rPr>
              <w:t>Rowan</w:t>
            </w:r>
            <w:proofErr w:type="spellEnd"/>
            <w:r w:rsidRPr="0087010C">
              <w:rPr>
                <w:sz w:val="20"/>
                <w:lang w:val="fr-CA"/>
              </w:rPr>
              <w:t xml:space="preserve"> relativement à des infractions qui sont l’équivalent de la fraude au Canada. Les États</w:t>
            </w:r>
            <w:r w:rsidRPr="0087010C">
              <w:rPr>
                <w:sz w:val="20"/>
                <w:lang w:val="fr-CA"/>
              </w:rPr>
              <w:noBreakHyphen/>
              <w:t>Unis reprochent à M. </w:t>
            </w:r>
            <w:proofErr w:type="spellStart"/>
            <w:r w:rsidRPr="0087010C">
              <w:rPr>
                <w:sz w:val="20"/>
                <w:lang w:val="fr-CA"/>
              </w:rPr>
              <w:t>Rowan</w:t>
            </w:r>
            <w:proofErr w:type="spellEnd"/>
            <w:r w:rsidRPr="0087010C">
              <w:rPr>
                <w:sz w:val="20"/>
                <w:lang w:val="fr-CA"/>
              </w:rPr>
              <w:t xml:space="preserve"> d’avoir faussement annoncé que son entreprise avait mis au point une nouvelle turbine éolienne installée sur des toitures qui produirait des quantités d’électricité supérieures aux quantités habituellement produites par de tels appareils. Il est allégué que M. </w:t>
            </w:r>
            <w:proofErr w:type="spellStart"/>
            <w:r w:rsidRPr="0087010C">
              <w:rPr>
                <w:sz w:val="20"/>
                <w:lang w:val="fr-CA"/>
              </w:rPr>
              <w:t>Rowan</w:t>
            </w:r>
            <w:proofErr w:type="spellEnd"/>
            <w:r w:rsidRPr="0087010C">
              <w:rPr>
                <w:sz w:val="20"/>
                <w:lang w:val="fr-CA"/>
              </w:rPr>
              <w:t xml:space="preserve"> savait que la turbine n’offrait pas le rendement annoncé, mais qu’il avait néanmoins continué à solliciter de l’argent pour l’entreprise. Les États</w:t>
            </w:r>
            <w:r w:rsidRPr="0087010C">
              <w:rPr>
                <w:sz w:val="20"/>
                <w:lang w:val="fr-CA"/>
              </w:rPr>
              <w:noBreakHyphen/>
              <w:t>Unis ont certifié un dossier d’extradition (DEC) et le ministre a sollicité une ordonnance d’incarcération de M. </w:t>
            </w:r>
            <w:proofErr w:type="spellStart"/>
            <w:r w:rsidRPr="0087010C">
              <w:rPr>
                <w:sz w:val="20"/>
                <w:lang w:val="fr-CA"/>
              </w:rPr>
              <w:t>Rowan</w:t>
            </w:r>
            <w:proofErr w:type="spellEnd"/>
            <w:r w:rsidRPr="0087010C">
              <w:rPr>
                <w:sz w:val="20"/>
                <w:lang w:val="fr-CA"/>
              </w:rPr>
              <w:t>. Le juge d’extradition a conclu que les actes de M. </w:t>
            </w:r>
            <w:proofErr w:type="spellStart"/>
            <w:r w:rsidRPr="0087010C">
              <w:rPr>
                <w:sz w:val="20"/>
                <w:lang w:val="fr-CA"/>
              </w:rPr>
              <w:t>Rowan</w:t>
            </w:r>
            <w:proofErr w:type="spellEnd"/>
            <w:r w:rsidRPr="0087010C">
              <w:rPr>
                <w:sz w:val="20"/>
                <w:lang w:val="fr-CA"/>
              </w:rPr>
              <w:t>, tels que décrits dans chacune des dépositions consignées dans le DEC, s’ils avaient été commis au Canada, justifieraient son renvoi à procès pour fraude. Le ministre de la Justice était convaincu que l’extradition de M. </w:t>
            </w:r>
            <w:proofErr w:type="spellStart"/>
            <w:r w:rsidRPr="0087010C">
              <w:rPr>
                <w:sz w:val="20"/>
                <w:lang w:val="fr-CA"/>
              </w:rPr>
              <w:t>Rowan</w:t>
            </w:r>
            <w:proofErr w:type="spellEnd"/>
            <w:r w:rsidRPr="0087010C">
              <w:rPr>
                <w:sz w:val="20"/>
                <w:lang w:val="fr-CA"/>
              </w:rPr>
              <w:t xml:space="preserve"> ne serait ni injuste ni tyrannique et qu’elle ne violerait pas les droits que lui garantit la </w:t>
            </w:r>
            <w:r w:rsidRPr="0087010C">
              <w:rPr>
                <w:i/>
                <w:sz w:val="20"/>
                <w:lang w:val="fr-CA"/>
              </w:rPr>
              <w:t>Charte</w:t>
            </w:r>
            <w:r w:rsidRPr="0087010C">
              <w:rPr>
                <w:sz w:val="20"/>
                <w:lang w:val="fr-CA"/>
              </w:rPr>
              <w:t>. Monsieur </w:t>
            </w:r>
            <w:proofErr w:type="spellStart"/>
            <w:r w:rsidRPr="0087010C">
              <w:rPr>
                <w:sz w:val="20"/>
                <w:lang w:val="fr-CA"/>
              </w:rPr>
              <w:t>Rowan</w:t>
            </w:r>
            <w:proofErr w:type="spellEnd"/>
            <w:r w:rsidRPr="0087010C">
              <w:rPr>
                <w:sz w:val="20"/>
                <w:lang w:val="fr-CA"/>
              </w:rPr>
              <w:t xml:space="preserve"> a interjeté appel de la décision d’incarcération et a demandé le contrôle judiciaire de l’arrêté d’extradition du ministre. La Cour d’appel a statué que le DEC, considéré dans son ensemble, fournissait certains éléments de preuve relativement à chacun des éléments de la fraude et que l’arrêté d’extradition du ministre n’était pas déraisonnable.</w:t>
            </w:r>
          </w:p>
          <w:p w:rsidR="00F7565E" w:rsidRPr="0087010C" w:rsidRDefault="00F7565E" w:rsidP="00211A38">
            <w:pPr>
              <w:jc w:val="both"/>
              <w:rPr>
                <w:sz w:val="20"/>
                <w:lang w:val="fr-CA"/>
              </w:rPr>
            </w:pPr>
          </w:p>
        </w:tc>
      </w:tr>
      <w:tr w:rsidR="00F7565E" w:rsidRPr="003A218E" w:rsidTr="00211A38">
        <w:tc>
          <w:tcPr>
            <w:tcW w:w="2427" w:type="pct"/>
            <w:gridSpan w:val="2"/>
          </w:tcPr>
          <w:p w:rsidR="00F7565E" w:rsidRPr="0087010C" w:rsidRDefault="00F7565E" w:rsidP="00211A38">
            <w:pPr>
              <w:jc w:val="both"/>
              <w:rPr>
                <w:sz w:val="20"/>
                <w:lang w:val="fr-CA"/>
              </w:rPr>
            </w:pPr>
            <w:r w:rsidRPr="0087010C">
              <w:rPr>
                <w:sz w:val="20"/>
                <w:lang w:val="fr-CA"/>
              </w:rPr>
              <w:t>6 avril 2017</w:t>
            </w:r>
          </w:p>
          <w:p w:rsidR="00F7565E" w:rsidRPr="0087010C" w:rsidRDefault="00F7565E" w:rsidP="00211A38">
            <w:pPr>
              <w:jc w:val="both"/>
              <w:rPr>
                <w:sz w:val="20"/>
                <w:lang w:val="fr-CA"/>
              </w:rPr>
            </w:pPr>
            <w:r w:rsidRPr="0087010C">
              <w:rPr>
                <w:sz w:val="20"/>
                <w:lang w:val="fr-CA"/>
              </w:rPr>
              <w:t>Cour du Banc de la Reine de la Saskatchewan</w:t>
            </w:r>
          </w:p>
          <w:p w:rsidR="00F7565E" w:rsidRPr="0087010C" w:rsidRDefault="00F7565E" w:rsidP="00211A38">
            <w:pPr>
              <w:jc w:val="both"/>
              <w:rPr>
                <w:sz w:val="20"/>
                <w:lang w:val="fr-CA"/>
              </w:rPr>
            </w:pPr>
            <w:r w:rsidRPr="0087010C">
              <w:rPr>
                <w:sz w:val="20"/>
                <w:lang w:val="fr-CA"/>
              </w:rPr>
              <w:t xml:space="preserve">(Juge </w:t>
            </w:r>
            <w:proofErr w:type="spellStart"/>
            <w:r w:rsidRPr="0087010C">
              <w:rPr>
                <w:sz w:val="20"/>
                <w:lang w:val="fr-CA"/>
              </w:rPr>
              <w:t>Allbright</w:t>
            </w:r>
            <w:proofErr w:type="spellEnd"/>
            <w:r w:rsidRPr="0087010C">
              <w:rPr>
                <w:sz w:val="20"/>
                <w:lang w:val="fr-CA"/>
              </w:rPr>
              <w:t>)</w:t>
            </w:r>
          </w:p>
          <w:p w:rsidR="00F7565E" w:rsidRPr="0087010C" w:rsidRDefault="003A218E" w:rsidP="00211A38">
            <w:pPr>
              <w:jc w:val="both"/>
              <w:rPr>
                <w:sz w:val="20"/>
                <w:lang w:val="fr-CA"/>
              </w:rPr>
            </w:pPr>
            <w:hyperlink r:id="rId33" w:history="1">
              <w:r w:rsidR="00F7565E" w:rsidRPr="0087010C">
                <w:rPr>
                  <w:rStyle w:val="Hyperlink"/>
                  <w:sz w:val="20"/>
                  <w:lang w:val="fr-CA"/>
                </w:rPr>
                <w:t>2017 SKQB 95</w:t>
              </w:r>
            </w:hyperlink>
          </w:p>
          <w:p w:rsidR="00F7565E" w:rsidRPr="0087010C" w:rsidRDefault="00F7565E" w:rsidP="00211A38">
            <w:pPr>
              <w:jc w:val="both"/>
              <w:rPr>
                <w:sz w:val="20"/>
                <w:lang w:val="fr-CA"/>
              </w:rPr>
            </w:pPr>
          </w:p>
        </w:tc>
        <w:tc>
          <w:tcPr>
            <w:tcW w:w="243" w:type="pct"/>
          </w:tcPr>
          <w:p w:rsidR="00F7565E" w:rsidRPr="0087010C" w:rsidRDefault="00F7565E" w:rsidP="00211A38">
            <w:pPr>
              <w:jc w:val="both"/>
              <w:rPr>
                <w:sz w:val="20"/>
                <w:lang w:val="fr-CA"/>
              </w:rPr>
            </w:pPr>
          </w:p>
        </w:tc>
        <w:tc>
          <w:tcPr>
            <w:tcW w:w="2330" w:type="pct"/>
          </w:tcPr>
          <w:p w:rsidR="00F7565E" w:rsidRPr="0087010C" w:rsidRDefault="00F7565E" w:rsidP="00211A38">
            <w:pPr>
              <w:jc w:val="both"/>
              <w:rPr>
                <w:sz w:val="20"/>
                <w:lang w:val="fr-CA"/>
              </w:rPr>
            </w:pPr>
            <w:r w:rsidRPr="0087010C">
              <w:rPr>
                <w:sz w:val="20"/>
                <w:lang w:val="fr-CA"/>
              </w:rPr>
              <w:t>Ordonnance d’incarcération en vue de l’extradition du demandeur</w:t>
            </w:r>
          </w:p>
        </w:tc>
      </w:tr>
      <w:tr w:rsidR="00F7565E" w:rsidRPr="0087010C" w:rsidTr="00211A38">
        <w:tc>
          <w:tcPr>
            <w:tcW w:w="2427" w:type="pct"/>
            <w:gridSpan w:val="2"/>
          </w:tcPr>
          <w:p w:rsidR="00F7565E" w:rsidRPr="0087010C" w:rsidRDefault="00F7565E" w:rsidP="00211A38">
            <w:pPr>
              <w:jc w:val="both"/>
              <w:rPr>
                <w:sz w:val="20"/>
                <w:lang w:val="fr-CA"/>
              </w:rPr>
            </w:pPr>
            <w:r w:rsidRPr="0087010C">
              <w:rPr>
                <w:sz w:val="20"/>
                <w:lang w:val="fr-CA"/>
              </w:rPr>
              <w:t>24 août 2017</w:t>
            </w:r>
          </w:p>
          <w:p w:rsidR="00F7565E" w:rsidRPr="0087010C" w:rsidRDefault="00F7565E" w:rsidP="00211A38">
            <w:pPr>
              <w:jc w:val="both"/>
              <w:rPr>
                <w:sz w:val="20"/>
                <w:lang w:val="fr-CA"/>
              </w:rPr>
            </w:pPr>
            <w:r w:rsidRPr="0087010C">
              <w:rPr>
                <w:sz w:val="20"/>
                <w:lang w:val="fr-CA"/>
              </w:rPr>
              <w:t>Ministre de la Justice</w:t>
            </w:r>
          </w:p>
          <w:p w:rsidR="00F7565E" w:rsidRPr="0087010C" w:rsidRDefault="00F7565E" w:rsidP="00211A38">
            <w:pPr>
              <w:jc w:val="both"/>
              <w:rPr>
                <w:sz w:val="20"/>
                <w:lang w:val="fr-CA"/>
              </w:rPr>
            </w:pPr>
            <w:r w:rsidRPr="0087010C">
              <w:rPr>
                <w:sz w:val="20"/>
                <w:lang w:val="fr-CA"/>
              </w:rPr>
              <w:t>(L’hon. Jody Wilson</w:t>
            </w:r>
            <w:r w:rsidRPr="0087010C">
              <w:rPr>
                <w:sz w:val="20"/>
                <w:lang w:val="fr-CA"/>
              </w:rPr>
              <w:noBreakHyphen/>
            </w:r>
            <w:proofErr w:type="spellStart"/>
            <w:r w:rsidRPr="0087010C">
              <w:rPr>
                <w:sz w:val="20"/>
                <w:lang w:val="fr-CA"/>
              </w:rPr>
              <w:t>Raybould</w:t>
            </w:r>
            <w:proofErr w:type="spellEnd"/>
            <w:r w:rsidRPr="0087010C">
              <w:rPr>
                <w:sz w:val="20"/>
                <w:lang w:val="fr-CA"/>
              </w:rPr>
              <w:t>)</w:t>
            </w:r>
          </w:p>
          <w:p w:rsidR="00F7565E" w:rsidRPr="0087010C" w:rsidRDefault="00F7565E" w:rsidP="00211A38">
            <w:pPr>
              <w:jc w:val="both"/>
              <w:rPr>
                <w:sz w:val="20"/>
                <w:lang w:val="fr-CA"/>
              </w:rPr>
            </w:pPr>
          </w:p>
        </w:tc>
        <w:tc>
          <w:tcPr>
            <w:tcW w:w="243" w:type="pct"/>
          </w:tcPr>
          <w:p w:rsidR="00F7565E" w:rsidRPr="0087010C" w:rsidRDefault="00F7565E" w:rsidP="00211A38">
            <w:pPr>
              <w:jc w:val="both"/>
              <w:rPr>
                <w:sz w:val="20"/>
                <w:lang w:val="fr-CA"/>
              </w:rPr>
            </w:pPr>
          </w:p>
        </w:tc>
        <w:tc>
          <w:tcPr>
            <w:tcW w:w="2330" w:type="pct"/>
          </w:tcPr>
          <w:p w:rsidR="00F7565E" w:rsidRPr="0087010C" w:rsidRDefault="00F7565E" w:rsidP="00211A38">
            <w:pPr>
              <w:jc w:val="both"/>
              <w:rPr>
                <w:sz w:val="20"/>
                <w:lang w:val="fr-CA"/>
              </w:rPr>
            </w:pPr>
            <w:r w:rsidRPr="0087010C">
              <w:rPr>
                <w:sz w:val="20"/>
                <w:lang w:val="fr-CA"/>
              </w:rPr>
              <w:t>Arrêté d’extradition du demandeur</w:t>
            </w:r>
          </w:p>
        </w:tc>
      </w:tr>
      <w:tr w:rsidR="00F7565E" w:rsidRPr="003A218E" w:rsidTr="00211A38">
        <w:tc>
          <w:tcPr>
            <w:tcW w:w="2427" w:type="pct"/>
            <w:gridSpan w:val="2"/>
          </w:tcPr>
          <w:p w:rsidR="00F7565E" w:rsidRPr="0087010C" w:rsidRDefault="00F7565E" w:rsidP="00211A38">
            <w:pPr>
              <w:jc w:val="both"/>
              <w:rPr>
                <w:sz w:val="20"/>
                <w:lang w:val="fr-CA"/>
              </w:rPr>
            </w:pPr>
            <w:r w:rsidRPr="0087010C">
              <w:rPr>
                <w:sz w:val="20"/>
                <w:lang w:val="fr-CA"/>
              </w:rPr>
              <w:t>31 décembre 2018</w:t>
            </w:r>
          </w:p>
          <w:p w:rsidR="00F7565E" w:rsidRPr="0087010C" w:rsidRDefault="00F7565E" w:rsidP="00211A38">
            <w:pPr>
              <w:jc w:val="both"/>
              <w:rPr>
                <w:sz w:val="20"/>
                <w:lang w:val="fr-CA"/>
              </w:rPr>
            </w:pPr>
            <w:r w:rsidRPr="0087010C">
              <w:rPr>
                <w:sz w:val="20"/>
                <w:lang w:val="fr-CA"/>
              </w:rPr>
              <w:t>Cour d’appel de la Saskatchewan</w:t>
            </w:r>
          </w:p>
          <w:p w:rsidR="00F7565E" w:rsidRPr="0087010C" w:rsidRDefault="00F7565E" w:rsidP="00211A38">
            <w:pPr>
              <w:jc w:val="both"/>
              <w:rPr>
                <w:sz w:val="20"/>
                <w:lang w:val="fr-CA"/>
              </w:rPr>
            </w:pPr>
            <w:r w:rsidRPr="0087010C">
              <w:rPr>
                <w:sz w:val="20"/>
                <w:lang w:val="fr-CA"/>
              </w:rPr>
              <w:t xml:space="preserve">(Juges Jackson, </w:t>
            </w:r>
            <w:proofErr w:type="spellStart"/>
            <w:r w:rsidRPr="0087010C">
              <w:rPr>
                <w:sz w:val="20"/>
                <w:lang w:val="fr-CA"/>
              </w:rPr>
              <w:t>Ottenbreit</w:t>
            </w:r>
            <w:proofErr w:type="spellEnd"/>
            <w:r w:rsidRPr="0087010C">
              <w:rPr>
                <w:sz w:val="20"/>
                <w:lang w:val="fr-CA"/>
              </w:rPr>
              <w:t xml:space="preserve"> et </w:t>
            </w:r>
            <w:proofErr w:type="spellStart"/>
            <w:r w:rsidRPr="0087010C">
              <w:rPr>
                <w:sz w:val="20"/>
                <w:lang w:val="fr-CA"/>
              </w:rPr>
              <w:t>Whitmore</w:t>
            </w:r>
            <w:proofErr w:type="spellEnd"/>
            <w:r w:rsidRPr="0087010C">
              <w:rPr>
                <w:sz w:val="20"/>
                <w:lang w:val="fr-CA"/>
              </w:rPr>
              <w:t>)</w:t>
            </w:r>
          </w:p>
          <w:p w:rsidR="00F7565E" w:rsidRPr="0087010C" w:rsidRDefault="003A218E" w:rsidP="00211A38">
            <w:pPr>
              <w:jc w:val="both"/>
              <w:rPr>
                <w:sz w:val="20"/>
                <w:lang w:val="fr-CA"/>
              </w:rPr>
            </w:pPr>
            <w:hyperlink r:id="rId34" w:history="1">
              <w:r w:rsidR="00F7565E" w:rsidRPr="0087010C">
                <w:rPr>
                  <w:rStyle w:val="Hyperlink"/>
                  <w:sz w:val="20"/>
                  <w:lang w:val="fr-CA"/>
                </w:rPr>
                <w:t>2018 SKCA 104</w:t>
              </w:r>
            </w:hyperlink>
            <w:r w:rsidR="00F7565E" w:rsidRPr="0087010C">
              <w:rPr>
                <w:sz w:val="20"/>
                <w:lang w:val="fr-CA"/>
              </w:rPr>
              <w:t xml:space="preserve"> (N</w:t>
            </w:r>
            <w:r w:rsidR="00F7565E" w:rsidRPr="0087010C">
              <w:rPr>
                <w:sz w:val="20"/>
                <w:vertAlign w:val="superscript"/>
                <w:lang w:val="fr-CA"/>
              </w:rPr>
              <w:t>o</w:t>
            </w:r>
            <w:r w:rsidR="00F7565E" w:rsidRPr="0087010C">
              <w:rPr>
                <w:sz w:val="20"/>
                <w:lang w:val="fr-CA"/>
              </w:rPr>
              <w:t xml:space="preserve"> du greffe : CACR2933)</w:t>
            </w:r>
          </w:p>
          <w:p w:rsidR="00F7565E" w:rsidRPr="0087010C" w:rsidRDefault="00F7565E" w:rsidP="00211A38">
            <w:pPr>
              <w:jc w:val="both"/>
              <w:rPr>
                <w:sz w:val="20"/>
                <w:lang w:val="fr-CA"/>
              </w:rPr>
            </w:pPr>
          </w:p>
        </w:tc>
        <w:tc>
          <w:tcPr>
            <w:tcW w:w="243" w:type="pct"/>
          </w:tcPr>
          <w:p w:rsidR="00F7565E" w:rsidRPr="0087010C" w:rsidRDefault="00F7565E" w:rsidP="00211A38">
            <w:pPr>
              <w:jc w:val="both"/>
              <w:rPr>
                <w:sz w:val="20"/>
                <w:lang w:val="fr-CA"/>
              </w:rPr>
            </w:pPr>
          </w:p>
        </w:tc>
        <w:tc>
          <w:tcPr>
            <w:tcW w:w="2330" w:type="pct"/>
          </w:tcPr>
          <w:p w:rsidR="00F7565E" w:rsidRPr="0087010C" w:rsidRDefault="00F7565E" w:rsidP="00211A38">
            <w:pPr>
              <w:jc w:val="both"/>
              <w:rPr>
                <w:sz w:val="20"/>
                <w:lang w:val="fr-CA"/>
              </w:rPr>
            </w:pPr>
            <w:r w:rsidRPr="0087010C">
              <w:rPr>
                <w:sz w:val="20"/>
                <w:lang w:val="fr-CA"/>
              </w:rPr>
              <w:t>Arrêt rejetant l’appel et la demande de contrôle judiciaire du demandeur et confirmant l’arrêté de la ministre.</w:t>
            </w:r>
          </w:p>
        </w:tc>
      </w:tr>
      <w:tr w:rsidR="00F7565E" w:rsidRPr="003A218E" w:rsidTr="00211A38">
        <w:tc>
          <w:tcPr>
            <w:tcW w:w="2427" w:type="pct"/>
            <w:gridSpan w:val="2"/>
          </w:tcPr>
          <w:p w:rsidR="00F7565E" w:rsidRPr="0087010C" w:rsidRDefault="00F7565E" w:rsidP="00211A38">
            <w:pPr>
              <w:jc w:val="both"/>
              <w:rPr>
                <w:sz w:val="20"/>
                <w:lang w:val="fr-CA"/>
              </w:rPr>
            </w:pPr>
            <w:r w:rsidRPr="0087010C">
              <w:rPr>
                <w:sz w:val="20"/>
                <w:lang w:val="fr-CA"/>
              </w:rPr>
              <w:t>28 février 2019</w:t>
            </w:r>
          </w:p>
          <w:p w:rsidR="00F7565E" w:rsidRPr="0087010C" w:rsidRDefault="00F7565E" w:rsidP="00211A38">
            <w:pPr>
              <w:jc w:val="both"/>
              <w:rPr>
                <w:sz w:val="20"/>
                <w:lang w:val="fr-CA"/>
              </w:rPr>
            </w:pPr>
            <w:r w:rsidRPr="0087010C">
              <w:rPr>
                <w:sz w:val="20"/>
                <w:lang w:val="fr-CA"/>
              </w:rPr>
              <w:t>Cour suprême du Canada</w:t>
            </w:r>
          </w:p>
        </w:tc>
        <w:tc>
          <w:tcPr>
            <w:tcW w:w="243" w:type="pct"/>
          </w:tcPr>
          <w:p w:rsidR="00F7565E" w:rsidRPr="0087010C" w:rsidRDefault="00F7565E" w:rsidP="00211A38">
            <w:pPr>
              <w:jc w:val="both"/>
              <w:rPr>
                <w:sz w:val="20"/>
                <w:lang w:val="fr-CA"/>
              </w:rPr>
            </w:pPr>
          </w:p>
        </w:tc>
        <w:tc>
          <w:tcPr>
            <w:tcW w:w="2330" w:type="pct"/>
          </w:tcPr>
          <w:p w:rsidR="00F7565E" w:rsidRPr="0087010C" w:rsidRDefault="00F7565E" w:rsidP="00211A38">
            <w:pPr>
              <w:jc w:val="both"/>
              <w:rPr>
                <w:sz w:val="20"/>
                <w:lang w:val="fr-CA"/>
              </w:rPr>
            </w:pPr>
            <w:r w:rsidRPr="0087010C">
              <w:rPr>
                <w:sz w:val="20"/>
                <w:lang w:val="fr-CA"/>
              </w:rPr>
              <w:t>Dépôt de la demande d’autorisation d’appel</w:t>
            </w:r>
          </w:p>
          <w:p w:rsidR="00F7565E" w:rsidRPr="0087010C" w:rsidRDefault="00F7565E" w:rsidP="00211A38">
            <w:pPr>
              <w:jc w:val="both"/>
              <w:rPr>
                <w:sz w:val="20"/>
                <w:lang w:val="fr-CA"/>
              </w:rPr>
            </w:pPr>
          </w:p>
        </w:tc>
      </w:tr>
    </w:tbl>
    <w:p w:rsidR="00F7565E" w:rsidRPr="0087010C" w:rsidRDefault="00F7565E" w:rsidP="00F7565E">
      <w:pPr>
        <w:jc w:val="both"/>
        <w:rPr>
          <w:sz w:val="20"/>
          <w:lang w:val="fr-CA"/>
        </w:rPr>
      </w:pPr>
    </w:p>
    <w:p w:rsidR="00F7565E" w:rsidRPr="0087010C" w:rsidRDefault="003A218E" w:rsidP="00F7565E">
      <w:pPr>
        <w:ind w:left="142" w:hanging="142"/>
        <w:jc w:val="both"/>
        <w:rPr>
          <w:sz w:val="20"/>
          <w:lang w:val="fr-CA"/>
        </w:rPr>
      </w:pPr>
      <w:r>
        <w:rPr>
          <w:sz w:val="20"/>
        </w:rPr>
        <w:pict>
          <v:rect id="_x0000_i1045" style="width:2in;height:1pt" o:hrpct="0" o:hralign="center" o:hrstd="t" o:hrnoshade="t" o:hr="t" fillcolor="black [3213]" stroked="f"/>
        </w:pict>
      </w:r>
    </w:p>
    <w:p w:rsidR="00F7565E" w:rsidRPr="0087010C" w:rsidRDefault="00F7565E" w:rsidP="00F7565E">
      <w:pPr>
        <w:ind w:left="142" w:hanging="142"/>
        <w:jc w:val="both"/>
        <w:rPr>
          <w:sz w:val="20"/>
          <w:lang w:val="fr-CA"/>
        </w:rPr>
      </w:pPr>
    </w:p>
    <w:p w:rsidR="00F7565E" w:rsidRDefault="00F7565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565E" w:rsidRPr="0087010C" w:rsidTr="00211A38">
        <w:tc>
          <w:tcPr>
            <w:tcW w:w="543" w:type="pct"/>
          </w:tcPr>
          <w:p w:rsidR="00F7565E" w:rsidRPr="0087010C" w:rsidRDefault="00F7565E" w:rsidP="00211A38">
            <w:pPr>
              <w:jc w:val="both"/>
              <w:rPr>
                <w:sz w:val="20"/>
              </w:rPr>
            </w:pPr>
            <w:r w:rsidRPr="0087010C">
              <w:rPr>
                <w:rStyle w:val="SCCFileNumberChar"/>
                <w:sz w:val="20"/>
                <w:szCs w:val="20"/>
              </w:rPr>
              <w:lastRenderedPageBreak/>
              <w:t>38471</w:t>
            </w:r>
          </w:p>
        </w:tc>
        <w:tc>
          <w:tcPr>
            <w:tcW w:w="4457" w:type="pct"/>
            <w:gridSpan w:val="3"/>
          </w:tcPr>
          <w:p w:rsidR="00F7565E" w:rsidRPr="0087010C" w:rsidRDefault="00F7565E" w:rsidP="00211A38">
            <w:pPr>
              <w:pStyle w:val="SCCLsocParty"/>
              <w:jc w:val="both"/>
              <w:rPr>
                <w:b/>
                <w:sz w:val="20"/>
                <w:szCs w:val="20"/>
                <w:lang w:val="en-US"/>
              </w:rPr>
            </w:pPr>
            <w:proofErr w:type="spellStart"/>
            <w:r w:rsidRPr="0087010C">
              <w:rPr>
                <w:b/>
                <w:sz w:val="20"/>
                <w:szCs w:val="20"/>
                <w:lang w:val="en-US"/>
              </w:rPr>
              <w:t>Apotex</w:t>
            </w:r>
            <w:proofErr w:type="spellEnd"/>
            <w:r w:rsidRPr="0087010C">
              <w:rPr>
                <w:b/>
                <w:sz w:val="20"/>
                <w:szCs w:val="20"/>
                <w:lang w:val="en-US"/>
              </w:rPr>
              <w:t xml:space="preserve"> Inc. v. Schering Corporation, Sanofi</w:t>
            </w:r>
            <w:r w:rsidRPr="0087010C">
              <w:rPr>
                <w:b/>
                <w:sz w:val="20"/>
                <w:szCs w:val="20"/>
                <w:lang w:val="en-US"/>
              </w:rPr>
              <w:noBreakHyphen/>
              <w:t>Aventis, Sanofi</w:t>
            </w:r>
            <w:r w:rsidRPr="0087010C">
              <w:rPr>
                <w:b/>
                <w:sz w:val="20"/>
                <w:szCs w:val="20"/>
                <w:lang w:val="en-US"/>
              </w:rPr>
              <w:noBreakHyphen/>
              <w:t>Aventis Deutschland GmbH</w:t>
            </w:r>
            <w:r>
              <w:rPr>
                <w:b/>
                <w:sz w:val="20"/>
                <w:szCs w:val="20"/>
                <w:lang w:val="en-US"/>
              </w:rPr>
              <w:t xml:space="preserve"> and</w:t>
            </w:r>
            <w:r w:rsidRPr="0087010C">
              <w:rPr>
                <w:b/>
                <w:sz w:val="20"/>
                <w:szCs w:val="20"/>
                <w:lang w:val="en-US"/>
              </w:rPr>
              <w:t xml:space="preserve"> Sanofi</w:t>
            </w:r>
            <w:r w:rsidRPr="0087010C">
              <w:rPr>
                <w:b/>
                <w:sz w:val="20"/>
                <w:szCs w:val="20"/>
                <w:lang w:val="en-US"/>
              </w:rPr>
              <w:noBreakHyphen/>
              <w:t>Aventis Canada Inc.</w:t>
            </w:r>
          </w:p>
          <w:p w:rsidR="00F7565E" w:rsidRPr="0087010C" w:rsidRDefault="00F7565E" w:rsidP="00211A38">
            <w:pPr>
              <w:pStyle w:val="SCCLsocSubfileSeparator0"/>
              <w:rPr>
                <w:sz w:val="20"/>
                <w:szCs w:val="20"/>
              </w:rPr>
            </w:pPr>
            <w:r w:rsidRPr="0087010C">
              <w:rPr>
                <w:sz w:val="20"/>
                <w:szCs w:val="20"/>
              </w:rPr>
              <w:noBreakHyphen/>
              <w:t xml:space="preserve"> and between </w:t>
            </w:r>
            <w:r w:rsidRPr="0087010C">
              <w:rPr>
                <w:sz w:val="20"/>
                <w:szCs w:val="20"/>
              </w:rPr>
              <w:noBreakHyphen/>
            </w:r>
          </w:p>
          <w:p w:rsidR="00F7565E" w:rsidRPr="0087010C" w:rsidRDefault="00F7565E" w:rsidP="00211A38">
            <w:pPr>
              <w:pStyle w:val="SCCLsocParty"/>
              <w:jc w:val="both"/>
              <w:rPr>
                <w:b/>
                <w:sz w:val="20"/>
                <w:szCs w:val="20"/>
                <w:lang w:val="en-US"/>
              </w:rPr>
            </w:pPr>
            <w:proofErr w:type="spellStart"/>
            <w:r w:rsidRPr="0087010C">
              <w:rPr>
                <w:b/>
                <w:sz w:val="20"/>
                <w:szCs w:val="20"/>
                <w:lang w:val="en-US"/>
              </w:rPr>
              <w:t>Apotex</w:t>
            </w:r>
            <w:proofErr w:type="spellEnd"/>
            <w:r w:rsidRPr="0087010C">
              <w:rPr>
                <w:b/>
                <w:sz w:val="20"/>
                <w:szCs w:val="20"/>
                <w:lang w:val="en-US"/>
              </w:rPr>
              <w:t xml:space="preserve"> Inc. v. Schering Corporation</w:t>
            </w:r>
          </w:p>
          <w:p w:rsidR="00F7565E" w:rsidRPr="0087010C" w:rsidRDefault="00F7565E" w:rsidP="00211A38">
            <w:pPr>
              <w:jc w:val="both"/>
              <w:rPr>
                <w:sz w:val="20"/>
              </w:rPr>
            </w:pPr>
            <w:r w:rsidRPr="0087010C">
              <w:rPr>
                <w:sz w:val="20"/>
              </w:rPr>
              <w:t>(Ont.) (Civil) (By Leave)</w:t>
            </w:r>
          </w:p>
        </w:tc>
      </w:tr>
      <w:tr w:rsidR="009B1A2E" w:rsidRPr="0087010C" w:rsidTr="009B1A2E">
        <w:tc>
          <w:tcPr>
            <w:tcW w:w="5000" w:type="pct"/>
            <w:gridSpan w:val="4"/>
          </w:tcPr>
          <w:p w:rsidR="009B1A2E" w:rsidRPr="00647612" w:rsidRDefault="009B1A2E" w:rsidP="009B1A2E">
            <w:pPr>
              <w:widowControl w:val="0"/>
              <w:rPr>
                <w:sz w:val="20"/>
              </w:rPr>
            </w:pPr>
            <w:r w:rsidRPr="00647612">
              <w:rPr>
                <w:sz w:val="20"/>
              </w:rPr>
              <w:t>The application for leave to appeal from the judgment of the Court of Appeal for Ontario, Numbers C65118 and C65129, 2018 ONCA 890, dated November 8, 2018, is dismissed with costs.</w:t>
            </w:r>
          </w:p>
          <w:p w:rsidR="009B1A2E" w:rsidRPr="009B1A2E" w:rsidRDefault="009B1A2E" w:rsidP="00211A38">
            <w:pPr>
              <w:pStyle w:val="SCCLsocParty"/>
              <w:jc w:val="both"/>
              <w:rPr>
                <w:b/>
                <w:sz w:val="20"/>
                <w:szCs w:val="20"/>
                <w:lang w:val="en-CA"/>
              </w:rPr>
            </w:pPr>
          </w:p>
        </w:tc>
      </w:tr>
      <w:tr w:rsidR="00F7565E" w:rsidRPr="0087010C" w:rsidTr="00211A38">
        <w:tc>
          <w:tcPr>
            <w:tcW w:w="5000" w:type="pct"/>
            <w:gridSpan w:val="4"/>
          </w:tcPr>
          <w:p w:rsidR="00F7565E" w:rsidRPr="0087010C" w:rsidRDefault="00F7565E" w:rsidP="00211A38">
            <w:pPr>
              <w:jc w:val="both"/>
              <w:rPr>
                <w:sz w:val="20"/>
              </w:rPr>
            </w:pPr>
            <w:r w:rsidRPr="0087010C">
              <w:rPr>
                <w:sz w:val="20"/>
              </w:rPr>
              <w:t xml:space="preserve">Intellectual property — Patents — Medicines — Civil procedure — Pleadings — Amendments — Respondents seeking to amend pleadings after change in law allegedly affecting patent found to be invalid in previous proceedings — Under what circumstances may a change in law serve to excuse operation of </w:t>
            </w:r>
            <w:r w:rsidRPr="0087010C">
              <w:rPr>
                <w:i/>
                <w:sz w:val="20"/>
              </w:rPr>
              <w:t>res judicata</w:t>
            </w:r>
            <w:r w:rsidRPr="0087010C">
              <w:rPr>
                <w:sz w:val="20"/>
              </w:rPr>
              <w:t>, collateral attack and other preclusive doctrines? — Under what circumstances should a court infer prejudice so as to preclude availability of substantive amendments to pleadings which fundamentally alter course and progress of litigation?</w:t>
            </w:r>
          </w:p>
        </w:tc>
      </w:tr>
      <w:tr w:rsidR="00F7565E" w:rsidRPr="0087010C" w:rsidTr="00211A38">
        <w:tc>
          <w:tcPr>
            <w:tcW w:w="5000" w:type="pct"/>
            <w:gridSpan w:val="4"/>
          </w:tcPr>
          <w:p w:rsidR="00F7565E" w:rsidRPr="0087010C" w:rsidRDefault="00F7565E" w:rsidP="00211A38">
            <w:pPr>
              <w:jc w:val="both"/>
              <w:rPr>
                <w:sz w:val="20"/>
              </w:rPr>
            </w:pPr>
          </w:p>
        </w:tc>
      </w:tr>
      <w:tr w:rsidR="00F7565E" w:rsidRPr="0087010C" w:rsidTr="00211A38">
        <w:tc>
          <w:tcPr>
            <w:tcW w:w="5000" w:type="pct"/>
            <w:gridSpan w:val="4"/>
          </w:tcPr>
          <w:p w:rsidR="00F7565E" w:rsidRPr="0087010C" w:rsidRDefault="00F7565E" w:rsidP="00211A38">
            <w:pPr>
              <w:pStyle w:val="aparanumbering1"/>
              <w:shd w:val="clear" w:color="auto" w:fill="FFFFFF"/>
              <w:spacing w:before="0" w:after="0"/>
              <w:rPr>
                <w:rFonts w:ascii="Times New Roman" w:hAnsi="Times New Roman" w:cs="Times New Roman"/>
                <w:sz w:val="20"/>
                <w:szCs w:val="20"/>
                <w:lang w:val="en"/>
              </w:rPr>
            </w:pPr>
            <w:proofErr w:type="spellStart"/>
            <w:r w:rsidRPr="0087010C">
              <w:rPr>
                <w:rFonts w:ascii="Times New Roman" w:hAnsi="Times New Roman" w:cs="Times New Roman"/>
                <w:sz w:val="20"/>
                <w:szCs w:val="20"/>
                <w:lang w:val="en-CA"/>
              </w:rPr>
              <w:t>Apotex</w:t>
            </w:r>
            <w:proofErr w:type="spellEnd"/>
            <w:r w:rsidRPr="0087010C">
              <w:rPr>
                <w:rFonts w:ascii="Times New Roman" w:hAnsi="Times New Roman" w:cs="Times New Roman"/>
                <w:sz w:val="20"/>
                <w:szCs w:val="20"/>
                <w:lang w:val="en-CA"/>
              </w:rPr>
              <w:t xml:space="preserve">, a generic drug manufacturer, brought an action seeking treble </w:t>
            </w:r>
            <w:r w:rsidRPr="0087010C">
              <w:rPr>
                <w:rFonts w:ascii="Times New Roman" w:hAnsi="Times New Roman" w:cs="Times New Roman"/>
                <w:sz w:val="20"/>
                <w:szCs w:val="20"/>
                <w:lang w:val="en"/>
              </w:rPr>
              <w:t xml:space="preserve">damages pursuant to </w:t>
            </w:r>
            <w:r w:rsidRPr="0087010C">
              <w:rPr>
                <w:rFonts w:ascii="Times New Roman" w:hAnsi="Times New Roman" w:cs="Times New Roman"/>
                <w:i/>
                <w:iCs/>
                <w:sz w:val="20"/>
                <w:szCs w:val="20"/>
                <w:lang w:val="en"/>
              </w:rPr>
              <w:t xml:space="preserve">An Act concerning Monopolies, and Dispensation with penal laws, etc., </w:t>
            </w:r>
            <w:r w:rsidRPr="0087010C">
              <w:rPr>
                <w:rFonts w:ascii="Times New Roman" w:hAnsi="Times New Roman" w:cs="Times New Roman"/>
                <w:sz w:val="20"/>
                <w:szCs w:val="20"/>
                <w:lang w:val="en"/>
              </w:rPr>
              <w:t xml:space="preserve">R.S.O. 1897, c. 323; </w:t>
            </w:r>
            <w:r w:rsidRPr="0087010C">
              <w:rPr>
                <w:rFonts w:ascii="Times New Roman" w:hAnsi="Times New Roman" w:cs="Times New Roman"/>
                <w:i/>
                <w:iCs/>
                <w:sz w:val="20"/>
                <w:szCs w:val="20"/>
                <w:lang w:val="en"/>
              </w:rPr>
              <w:t>An Act concerning Monopolies and Dispensations with Penal Laws, and the Forfeitures thereof</w:t>
            </w:r>
            <w:r w:rsidRPr="0087010C">
              <w:rPr>
                <w:rFonts w:ascii="Times New Roman" w:hAnsi="Times New Roman" w:cs="Times New Roman"/>
                <w:sz w:val="20"/>
                <w:szCs w:val="20"/>
                <w:lang w:val="en"/>
              </w:rPr>
              <w:t xml:space="preserve">, 1624, 21 </w:t>
            </w:r>
            <w:proofErr w:type="spellStart"/>
            <w:r w:rsidRPr="0087010C">
              <w:rPr>
                <w:rFonts w:ascii="Times New Roman" w:hAnsi="Times New Roman" w:cs="Times New Roman"/>
                <w:sz w:val="20"/>
                <w:szCs w:val="20"/>
                <w:lang w:val="en"/>
              </w:rPr>
              <w:t>Jac</w:t>
            </w:r>
            <w:proofErr w:type="spellEnd"/>
            <w:r w:rsidRPr="0087010C">
              <w:rPr>
                <w:rFonts w:ascii="Times New Roman" w:hAnsi="Times New Roman" w:cs="Times New Roman"/>
                <w:sz w:val="20"/>
                <w:szCs w:val="20"/>
                <w:lang w:val="en"/>
              </w:rPr>
              <w:t xml:space="preserve">. I, c. 3; and the </w:t>
            </w:r>
            <w:hyperlink r:id="rId35" w:history="1">
              <w:r w:rsidRPr="0087010C">
                <w:rPr>
                  <w:rStyle w:val="Hyperlink"/>
                  <w:rFonts w:ascii="Times New Roman" w:hAnsi="Times New Roman" w:cs="Times New Roman"/>
                  <w:i/>
                  <w:iCs/>
                  <w:sz w:val="20"/>
                  <w:szCs w:val="20"/>
                  <w:lang w:val="en"/>
                </w:rPr>
                <w:t>Trade</w:t>
              </w:r>
              <w:r w:rsidRPr="0087010C">
                <w:rPr>
                  <w:rStyle w:val="Hyperlink"/>
                  <w:rFonts w:ascii="Times New Roman" w:hAnsi="Times New Roman" w:cs="Times New Roman"/>
                  <w:i/>
                  <w:iCs/>
                  <w:sz w:val="20"/>
                  <w:szCs w:val="20"/>
                  <w:lang w:val="en"/>
                </w:rPr>
                <w:noBreakHyphen/>
                <w:t>marks Act</w:t>
              </w:r>
              <w:r w:rsidRPr="0087010C">
                <w:rPr>
                  <w:rStyle w:val="Hyperlink"/>
                  <w:rFonts w:ascii="Times New Roman" w:hAnsi="Times New Roman" w:cs="Times New Roman"/>
                  <w:sz w:val="20"/>
                  <w:szCs w:val="20"/>
                  <w:lang w:val="en"/>
                </w:rPr>
                <w:t>, R.S.C. 1985, c. T</w:t>
              </w:r>
              <w:r w:rsidRPr="0087010C">
                <w:rPr>
                  <w:rStyle w:val="Hyperlink"/>
                  <w:rFonts w:ascii="Times New Roman" w:hAnsi="Times New Roman" w:cs="Times New Roman"/>
                  <w:sz w:val="20"/>
                  <w:szCs w:val="20"/>
                  <w:lang w:val="en"/>
                </w:rPr>
                <w:noBreakHyphen/>
                <w:t>13</w:t>
              </w:r>
            </w:hyperlink>
            <w:r w:rsidRPr="0087010C">
              <w:rPr>
                <w:rFonts w:ascii="Times New Roman" w:hAnsi="Times New Roman" w:cs="Times New Roman"/>
                <w:sz w:val="20"/>
                <w:szCs w:val="20"/>
                <w:lang w:val="en"/>
              </w:rPr>
              <w:t xml:space="preserve">. Their action involved the 206 Patent for a drug called Ramipril that was held by Schering Corporation and licensed by the Sanofi respondents that had been declared invalid in a previous infringement action. The 206 Patent was declared invalid for lack of utility based upon the “promise doctrine”. Subsequently, the decision in </w:t>
            </w:r>
            <w:r w:rsidRPr="0087010C">
              <w:rPr>
                <w:rFonts w:ascii="Times New Roman" w:hAnsi="Times New Roman" w:cs="Times New Roman"/>
                <w:i/>
                <w:iCs/>
                <w:sz w:val="20"/>
                <w:szCs w:val="20"/>
                <w:lang w:val="en"/>
              </w:rPr>
              <w:t xml:space="preserve">AstraZeneca Canada Inc. v. </w:t>
            </w:r>
            <w:proofErr w:type="spellStart"/>
            <w:r w:rsidRPr="0087010C">
              <w:rPr>
                <w:rFonts w:ascii="Times New Roman" w:hAnsi="Times New Roman" w:cs="Times New Roman"/>
                <w:i/>
                <w:iCs/>
                <w:sz w:val="20"/>
                <w:szCs w:val="20"/>
                <w:lang w:val="en"/>
              </w:rPr>
              <w:t>Apotex</w:t>
            </w:r>
            <w:proofErr w:type="spellEnd"/>
            <w:r w:rsidRPr="0087010C">
              <w:rPr>
                <w:rFonts w:ascii="Times New Roman" w:hAnsi="Times New Roman" w:cs="Times New Roman"/>
                <w:i/>
                <w:iCs/>
                <w:sz w:val="20"/>
                <w:szCs w:val="20"/>
                <w:lang w:val="en"/>
              </w:rPr>
              <w:t xml:space="preserve"> Inc.,</w:t>
            </w:r>
            <w:r w:rsidRPr="0087010C">
              <w:rPr>
                <w:rFonts w:ascii="Times New Roman" w:hAnsi="Times New Roman" w:cs="Times New Roman"/>
                <w:sz w:val="20"/>
                <w:szCs w:val="20"/>
                <w:lang w:val="en"/>
              </w:rPr>
              <w:t xml:space="preserve"> </w:t>
            </w:r>
            <w:hyperlink r:id="rId36" w:history="1">
              <w:r w:rsidRPr="0087010C">
                <w:rPr>
                  <w:rStyle w:val="Hyperlink"/>
                  <w:rFonts w:ascii="Times New Roman" w:hAnsi="Times New Roman" w:cs="Times New Roman"/>
                  <w:sz w:val="20"/>
                  <w:szCs w:val="20"/>
                  <w:lang w:val="en"/>
                </w:rPr>
                <w:t>2017 SCC 36</w:t>
              </w:r>
              <w:r w:rsidRPr="0087010C">
                <w:rPr>
                  <w:rStyle w:val="reflex3-block"/>
                  <w:rFonts w:ascii="Times New Roman" w:eastAsia="Calibri" w:hAnsi="Times New Roman"/>
                  <w:sz w:val="20"/>
                  <w:szCs w:val="20"/>
                  <w:lang w:val="en"/>
                </w:rPr>
                <w:t xml:space="preserve"> </w:t>
              </w:r>
            </w:hyperlink>
            <w:r w:rsidRPr="0087010C">
              <w:rPr>
                <w:rStyle w:val="reflex3-block"/>
                <w:rFonts w:ascii="Times New Roman" w:eastAsia="Calibri" w:hAnsi="Times New Roman"/>
                <w:sz w:val="20"/>
                <w:szCs w:val="20"/>
                <w:lang w:val="en"/>
              </w:rPr>
              <w:t>was released in which the</w:t>
            </w:r>
            <w:r w:rsidRPr="0087010C">
              <w:rPr>
                <w:rFonts w:ascii="Times New Roman" w:hAnsi="Times New Roman" w:cs="Times New Roman"/>
                <w:sz w:val="20"/>
                <w:szCs w:val="20"/>
                <w:lang w:val="en"/>
              </w:rPr>
              <w:t xml:space="preserve"> Court held that the promise doctrine was not the proper approach for the consideration of the utility of a patent. The basis of the decision in </w:t>
            </w:r>
            <w:proofErr w:type="spellStart"/>
            <w:r w:rsidRPr="0087010C">
              <w:rPr>
                <w:rFonts w:ascii="Times New Roman" w:hAnsi="Times New Roman" w:cs="Times New Roman"/>
                <w:i/>
                <w:sz w:val="20"/>
                <w:szCs w:val="20"/>
                <w:lang w:val="en"/>
              </w:rPr>
              <w:t>AstraZenca</w:t>
            </w:r>
            <w:proofErr w:type="spellEnd"/>
            <w:r w:rsidRPr="0087010C">
              <w:rPr>
                <w:rFonts w:ascii="Times New Roman" w:hAnsi="Times New Roman" w:cs="Times New Roman"/>
                <w:sz w:val="20"/>
                <w:szCs w:val="20"/>
                <w:lang w:val="en"/>
              </w:rPr>
              <w:t xml:space="preserve">, the respondents moved to amend their statements of </w:t>
            </w:r>
            <w:proofErr w:type="spellStart"/>
            <w:r w:rsidRPr="0087010C">
              <w:rPr>
                <w:rFonts w:ascii="Times New Roman" w:hAnsi="Times New Roman" w:cs="Times New Roman"/>
                <w:sz w:val="20"/>
                <w:szCs w:val="20"/>
                <w:lang w:val="en"/>
              </w:rPr>
              <w:t>defence</w:t>
            </w:r>
            <w:proofErr w:type="spellEnd"/>
            <w:r w:rsidRPr="0087010C">
              <w:rPr>
                <w:rFonts w:ascii="Times New Roman" w:hAnsi="Times New Roman" w:cs="Times New Roman"/>
                <w:sz w:val="20"/>
                <w:szCs w:val="20"/>
                <w:lang w:val="en"/>
              </w:rPr>
              <w:t>. The motion judge denied their motion. This decision was overturned on appeal and the amendments were allowed.</w:t>
            </w:r>
          </w:p>
          <w:p w:rsidR="00F7565E" w:rsidRPr="0087010C" w:rsidRDefault="00F7565E" w:rsidP="00211A38">
            <w:pPr>
              <w:pStyle w:val="aparanumbering1"/>
              <w:shd w:val="clear" w:color="auto" w:fill="FFFFFF"/>
              <w:spacing w:before="0" w:after="0"/>
              <w:rPr>
                <w:rFonts w:ascii="Times New Roman" w:hAnsi="Times New Roman" w:cs="Times New Roman"/>
                <w:sz w:val="20"/>
                <w:szCs w:val="20"/>
                <w:lang w:val="en"/>
              </w:rPr>
            </w:pPr>
          </w:p>
        </w:tc>
      </w:tr>
      <w:tr w:rsidR="00F7565E" w:rsidRPr="0087010C" w:rsidTr="00211A38">
        <w:tc>
          <w:tcPr>
            <w:tcW w:w="2427" w:type="pct"/>
            <w:gridSpan w:val="2"/>
          </w:tcPr>
          <w:p w:rsidR="00F7565E" w:rsidRPr="0087010C" w:rsidRDefault="00F7565E" w:rsidP="00211A38">
            <w:pPr>
              <w:jc w:val="both"/>
              <w:rPr>
                <w:sz w:val="20"/>
              </w:rPr>
            </w:pPr>
            <w:r w:rsidRPr="0087010C">
              <w:rPr>
                <w:sz w:val="20"/>
              </w:rPr>
              <w:t>February 6, 2018</w:t>
            </w:r>
          </w:p>
          <w:p w:rsidR="00F7565E" w:rsidRPr="0087010C" w:rsidRDefault="00F7565E" w:rsidP="00211A38">
            <w:pPr>
              <w:jc w:val="both"/>
              <w:rPr>
                <w:sz w:val="20"/>
              </w:rPr>
            </w:pPr>
            <w:r w:rsidRPr="0087010C">
              <w:rPr>
                <w:sz w:val="20"/>
              </w:rPr>
              <w:t>Ontario Superior Court of Justice</w:t>
            </w:r>
          </w:p>
          <w:p w:rsidR="00F7565E" w:rsidRPr="0087010C" w:rsidRDefault="00F7565E" w:rsidP="00211A38">
            <w:pPr>
              <w:jc w:val="both"/>
              <w:rPr>
                <w:sz w:val="20"/>
              </w:rPr>
            </w:pPr>
            <w:r w:rsidRPr="0087010C">
              <w:rPr>
                <w:sz w:val="20"/>
              </w:rPr>
              <w:t>(</w:t>
            </w:r>
            <w:proofErr w:type="spellStart"/>
            <w:r w:rsidRPr="0087010C">
              <w:rPr>
                <w:sz w:val="20"/>
              </w:rPr>
              <w:t>Dunphy</w:t>
            </w:r>
            <w:proofErr w:type="spellEnd"/>
            <w:r w:rsidRPr="0087010C">
              <w:rPr>
                <w:sz w:val="20"/>
              </w:rPr>
              <w:t xml:space="preserve"> J.)</w:t>
            </w:r>
          </w:p>
          <w:p w:rsidR="00F7565E" w:rsidRPr="0087010C" w:rsidRDefault="003A218E" w:rsidP="00211A38">
            <w:pPr>
              <w:jc w:val="both"/>
              <w:rPr>
                <w:sz w:val="20"/>
              </w:rPr>
            </w:pPr>
            <w:hyperlink r:id="rId37" w:history="1">
              <w:r w:rsidR="00F7565E" w:rsidRPr="0087010C">
                <w:rPr>
                  <w:rStyle w:val="Hyperlink"/>
                  <w:sz w:val="20"/>
                </w:rPr>
                <w:t>2018 ONSC 903</w:t>
              </w:r>
            </w:hyperlink>
          </w:p>
          <w:p w:rsidR="00F7565E" w:rsidRPr="0087010C" w:rsidRDefault="00F7565E" w:rsidP="00211A38">
            <w:pPr>
              <w:jc w:val="both"/>
              <w:rPr>
                <w:sz w:val="20"/>
              </w:rPr>
            </w:pPr>
          </w:p>
        </w:tc>
        <w:tc>
          <w:tcPr>
            <w:tcW w:w="243" w:type="pct"/>
          </w:tcPr>
          <w:p w:rsidR="00F7565E" w:rsidRPr="0087010C" w:rsidRDefault="00F7565E" w:rsidP="00211A38">
            <w:pPr>
              <w:jc w:val="both"/>
              <w:rPr>
                <w:sz w:val="20"/>
              </w:rPr>
            </w:pPr>
          </w:p>
        </w:tc>
        <w:tc>
          <w:tcPr>
            <w:tcW w:w="2330" w:type="pct"/>
          </w:tcPr>
          <w:p w:rsidR="00F7565E" w:rsidRPr="0087010C" w:rsidRDefault="00F7565E" w:rsidP="00211A38">
            <w:pPr>
              <w:jc w:val="both"/>
              <w:rPr>
                <w:sz w:val="20"/>
              </w:rPr>
            </w:pPr>
            <w:r w:rsidRPr="0087010C">
              <w:rPr>
                <w:sz w:val="20"/>
              </w:rPr>
              <w:t>Respondents’ motions to amend pleadings dismissed</w:t>
            </w:r>
          </w:p>
          <w:p w:rsidR="00F7565E" w:rsidRPr="0087010C" w:rsidRDefault="00F7565E" w:rsidP="00211A38">
            <w:pPr>
              <w:jc w:val="both"/>
              <w:rPr>
                <w:sz w:val="20"/>
              </w:rPr>
            </w:pPr>
          </w:p>
          <w:p w:rsidR="00F7565E" w:rsidRPr="0087010C" w:rsidRDefault="00F7565E" w:rsidP="00211A38">
            <w:pPr>
              <w:jc w:val="both"/>
              <w:rPr>
                <w:sz w:val="20"/>
              </w:rPr>
            </w:pPr>
          </w:p>
        </w:tc>
      </w:tr>
      <w:tr w:rsidR="00F7565E" w:rsidRPr="0087010C" w:rsidTr="00211A38">
        <w:tc>
          <w:tcPr>
            <w:tcW w:w="2427" w:type="pct"/>
            <w:gridSpan w:val="2"/>
          </w:tcPr>
          <w:p w:rsidR="00F7565E" w:rsidRPr="0087010C" w:rsidRDefault="00F7565E" w:rsidP="00211A38">
            <w:pPr>
              <w:jc w:val="both"/>
              <w:rPr>
                <w:sz w:val="20"/>
              </w:rPr>
            </w:pPr>
            <w:r w:rsidRPr="0087010C">
              <w:rPr>
                <w:sz w:val="20"/>
              </w:rPr>
              <w:t>November 8, 2018</w:t>
            </w:r>
          </w:p>
          <w:p w:rsidR="00F7565E" w:rsidRPr="0087010C" w:rsidRDefault="00F7565E" w:rsidP="00211A38">
            <w:pPr>
              <w:jc w:val="both"/>
              <w:rPr>
                <w:sz w:val="20"/>
              </w:rPr>
            </w:pPr>
            <w:r w:rsidRPr="0087010C">
              <w:rPr>
                <w:sz w:val="20"/>
              </w:rPr>
              <w:t>Court of Appeal for Ontario</w:t>
            </w:r>
          </w:p>
          <w:p w:rsidR="00F7565E" w:rsidRPr="0087010C" w:rsidRDefault="00F7565E" w:rsidP="00211A38">
            <w:pPr>
              <w:jc w:val="both"/>
              <w:rPr>
                <w:sz w:val="20"/>
              </w:rPr>
            </w:pPr>
            <w:r w:rsidRPr="0087010C">
              <w:rPr>
                <w:sz w:val="20"/>
              </w:rPr>
              <w:t xml:space="preserve">(Strathy C.J.O., </w:t>
            </w:r>
            <w:proofErr w:type="spellStart"/>
            <w:r w:rsidRPr="0087010C">
              <w:rPr>
                <w:sz w:val="20"/>
              </w:rPr>
              <w:t>Nordheimer</w:t>
            </w:r>
            <w:proofErr w:type="spellEnd"/>
            <w:r w:rsidRPr="0087010C">
              <w:rPr>
                <w:sz w:val="20"/>
              </w:rPr>
              <w:t xml:space="preserve"> J.A. and </w:t>
            </w:r>
          </w:p>
          <w:p w:rsidR="00F7565E" w:rsidRPr="0087010C" w:rsidRDefault="00F7565E" w:rsidP="00211A38">
            <w:pPr>
              <w:jc w:val="both"/>
              <w:rPr>
                <w:sz w:val="20"/>
              </w:rPr>
            </w:pPr>
            <w:r w:rsidRPr="0087010C">
              <w:rPr>
                <w:sz w:val="20"/>
              </w:rPr>
              <w:t>McKinnon J. (</w:t>
            </w:r>
            <w:r w:rsidRPr="0087010C">
              <w:rPr>
                <w:i/>
                <w:sz w:val="20"/>
              </w:rPr>
              <w:t>ad hoc</w:t>
            </w:r>
            <w:r w:rsidRPr="0087010C">
              <w:rPr>
                <w:sz w:val="20"/>
              </w:rPr>
              <w:t>))</w:t>
            </w:r>
          </w:p>
          <w:p w:rsidR="00F7565E" w:rsidRPr="0087010C" w:rsidRDefault="003A218E" w:rsidP="00211A38">
            <w:pPr>
              <w:jc w:val="both"/>
              <w:rPr>
                <w:sz w:val="20"/>
              </w:rPr>
            </w:pPr>
            <w:hyperlink r:id="rId38" w:history="1">
              <w:r w:rsidR="00F7565E" w:rsidRPr="0087010C">
                <w:rPr>
                  <w:rStyle w:val="Hyperlink"/>
                  <w:sz w:val="20"/>
                </w:rPr>
                <w:t>2018 ONCA 890</w:t>
              </w:r>
            </w:hyperlink>
          </w:p>
          <w:p w:rsidR="00F7565E" w:rsidRPr="0087010C" w:rsidRDefault="00F7565E" w:rsidP="00211A38">
            <w:pPr>
              <w:jc w:val="both"/>
              <w:rPr>
                <w:sz w:val="20"/>
              </w:rPr>
            </w:pPr>
          </w:p>
        </w:tc>
        <w:tc>
          <w:tcPr>
            <w:tcW w:w="243" w:type="pct"/>
          </w:tcPr>
          <w:p w:rsidR="00F7565E" w:rsidRPr="0087010C" w:rsidRDefault="00F7565E" w:rsidP="00211A38">
            <w:pPr>
              <w:jc w:val="both"/>
              <w:rPr>
                <w:sz w:val="20"/>
              </w:rPr>
            </w:pPr>
          </w:p>
        </w:tc>
        <w:tc>
          <w:tcPr>
            <w:tcW w:w="2330" w:type="pct"/>
          </w:tcPr>
          <w:p w:rsidR="00F7565E" w:rsidRPr="0087010C" w:rsidRDefault="00F7565E" w:rsidP="00211A38">
            <w:pPr>
              <w:jc w:val="both"/>
              <w:rPr>
                <w:sz w:val="20"/>
              </w:rPr>
            </w:pPr>
            <w:r w:rsidRPr="0087010C">
              <w:rPr>
                <w:sz w:val="20"/>
              </w:rPr>
              <w:t>Respondents’ appeals allowed; Respondents entitled to amend statements of defence</w:t>
            </w:r>
          </w:p>
          <w:p w:rsidR="00F7565E" w:rsidRPr="0087010C" w:rsidRDefault="00F7565E" w:rsidP="00211A38">
            <w:pPr>
              <w:jc w:val="both"/>
              <w:rPr>
                <w:sz w:val="20"/>
              </w:rPr>
            </w:pPr>
          </w:p>
          <w:p w:rsidR="00F7565E" w:rsidRPr="0087010C" w:rsidRDefault="00F7565E" w:rsidP="00211A38">
            <w:pPr>
              <w:jc w:val="both"/>
              <w:rPr>
                <w:sz w:val="20"/>
              </w:rPr>
            </w:pPr>
          </w:p>
        </w:tc>
      </w:tr>
      <w:tr w:rsidR="00F7565E" w:rsidRPr="0087010C" w:rsidTr="00211A38">
        <w:tc>
          <w:tcPr>
            <w:tcW w:w="2427" w:type="pct"/>
            <w:gridSpan w:val="2"/>
          </w:tcPr>
          <w:p w:rsidR="00F7565E" w:rsidRPr="0087010C" w:rsidRDefault="00F7565E" w:rsidP="00211A38">
            <w:pPr>
              <w:jc w:val="both"/>
              <w:rPr>
                <w:sz w:val="20"/>
              </w:rPr>
            </w:pPr>
            <w:r w:rsidRPr="0087010C">
              <w:rPr>
                <w:sz w:val="20"/>
              </w:rPr>
              <w:t>January 7, 2019</w:t>
            </w:r>
          </w:p>
          <w:p w:rsidR="00F7565E" w:rsidRPr="0087010C" w:rsidRDefault="00F7565E" w:rsidP="00211A38">
            <w:pPr>
              <w:jc w:val="both"/>
              <w:rPr>
                <w:sz w:val="20"/>
              </w:rPr>
            </w:pPr>
            <w:r w:rsidRPr="0087010C">
              <w:rPr>
                <w:sz w:val="20"/>
              </w:rPr>
              <w:t>Supreme Court of Canada</w:t>
            </w:r>
          </w:p>
        </w:tc>
        <w:tc>
          <w:tcPr>
            <w:tcW w:w="243" w:type="pct"/>
          </w:tcPr>
          <w:p w:rsidR="00F7565E" w:rsidRPr="0087010C" w:rsidRDefault="00F7565E" w:rsidP="00211A38">
            <w:pPr>
              <w:jc w:val="both"/>
              <w:rPr>
                <w:sz w:val="20"/>
              </w:rPr>
            </w:pPr>
          </w:p>
        </w:tc>
        <w:tc>
          <w:tcPr>
            <w:tcW w:w="2330" w:type="pct"/>
          </w:tcPr>
          <w:p w:rsidR="00F7565E" w:rsidRPr="0087010C" w:rsidRDefault="00F7565E" w:rsidP="00211A38">
            <w:pPr>
              <w:jc w:val="both"/>
              <w:rPr>
                <w:sz w:val="20"/>
              </w:rPr>
            </w:pPr>
            <w:r w:rsidRPr="0087010C">
              <w:rPr>
                <w:sz w:val="20"/>
              </w:rPr>
              <w:t>Application for leave to appeal filed</w:t>
            </w:r>
          </w:p>
          <w:p w:rsidR="00F7565E" w:rsidRPr="0087010C" w:rsidRDefault="00F7565E" w:rsidP="00211A38">
            <w:pPr>
              <w:jc w:val="both"/>
              <w:rPr>
                <w:sz w:val="20"/>
              </w:rPr>
            </w:pPr>
          </w:p>
        </w:tc>
      </w:tr>
    </w:tbl>
    <w:p w:rsidR="00F7565E" w:rsidRPr="0087010C" w:rsidRDefault="00F7565E" w:rsidP="00F7565E">
      <w:pPr>
        <w:jc w:val="both"/>
        <w:rPr>
          <w:sz w:val="20"/>
        </w:rPr>
      </w:pPr>
    </w:p>
    <w:p w:rsidR="00F7565E" w:rsidRPr="0087010C" w:rsidRDefault="00F7565E" w:rsidP="00F7565E">
      <w:pPr>
        <w:jc w:val="both"/>
        <w:rPr>
          <w:sz w:val="20"/>
        </w:rPr>
      </w:pPr>
    </w:p>
    <w:p w:rsidR="00F7565E" w:rsidRPr="0087010C" w:rsidRDefault="00F7565E" w:rsidP="00F7565E">
      <w:pPr>
        <w:jc w:val="both"/>
        <w:rPr>
          <w:sz w:val="20"/>
        </w:rPr>
      </w:pPr>
    </w:p>
    <w:p w:rsidR="00F7565E" w:rsidRDefault="00F7565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565E" w:rsidRPr="003A218E" w:rsidTr="00211A38">
        <w:tc>
          <w:tcPr>
            <w:tcW w:w="543" w:type="pct"/>
          </w:tcPr>
          <w:p w:rsidR="00F7565E" w:rsidRPr="0087010C" w:rsidRDefault="00F7565E" w:rsidP="00211A38">
            <w:pPr>
              <w:jc w:val="both"/>
              <w:rPr>
                <w:sz w:val="20"/>
                <w:lang w:val="fr-CA"/>
              </w:rPr>
            </w:pPr>
            <w:r w:rsidRPr="0087010C">
              <w:rPr>
                <w:rStyle w:val="SCCFileNumberChar"/>
                <w:sz w:val="20"/>
                <w:szCs w:val="20"/>
                <w:lang w:val="fr-CA"/>
              </w:rPr>
              <w:lastRenderedPageBreak/>
              <w:t>38471</w:t>
            </w:r>
          </w:p>
        </w:tc>
        <w:tc>
          <w:tcPr>
            <w:tcW w:w="4457" w:type="pct"/>
            <w:gridSpan w:val="3"/>
          </w:tcPr>
          <w:p w:rsidR="00F7565E" w:rsidRPr="0087010C" w:rsidRDefault="00F7565E" w:rsidP="00211A38">
            <w:pPr>
              <w:pStyle w:val="SCCLsocParty"/>
              <w:jc w:val="both"/>
              <w:rPr>
                <w:b/>
                <w:sz w:val="20"/>
                <w:szCs w:val="20"/>
              </w:rPr>
            </w:pPr>
            <w:proofErr w:type="spellStart"/>
            <w:r w:rsidRPr="0087010C">
              <w:rPr>
                <w:b/>
                <w:sz w:val="20"/>
                <w:szCs w:val="20"/>
              </w:rPr>
              <w:t>Apotex</w:t>
            </w:r>
            <w:proofErr w:type="spellEnd"/>
            <w:r w:rsidRPr="0087010C">
              <w:rPr>
                <w:b/>
                <w:sz w:val="20"/>
                <w:szCs w:val="20"/>
              </w:rPr>
              <w:t xml:space="preserve"> Inc. c. Schering Corporation, Sanofi</w:t>
            </w:r>
            <w:r w:rsidRPr="0087010C">
              <w:rPr>
                <w:b/>
                <w:sz w:val="20"/>
                <w:szCs w:val="20"/>
              </w:rPr>
              <w:noBreakHyphen/>
              <w:t>Aventis, Sanofi</w:t>
            </w:r>
            <w:r w:rsidRPr="0087010C">
              <w:rPr>
                <w:b/>
                <w:sz w:val="20"/>
                <w:szCs w:val="20"/>
              </w:rPr>
              <w:noBreakHyphen/>
              <w:t xml:space="preserve">Aventis </w:t>
            </w:r>
            <w:proofErr w:type="spellStart"/>
            <w:r w:rsidRPr="0087010C">
              <w:rPr>
                <w:b/>
                <w:sz w:val="20"/>
                <w:szCs w:val="20"/>
              </w:rPr>
              <w:t>Deutschland</w:t>
            </w:r>
            <w:proofErr w:type="spellEnd"/>
            <w:r w:rsidRPr="0087010C">
              <w:rPr>
                <w:b/>
                <w:sz w:val="20"/>
                <w:szCs w:val="20"/>
              </w:rPr>
              <w:t xml:space="preserve"> </w:t>
            </w:r>
            <w:proofErr w:type="spellStart"/>
            <w:r w:rsidRPr="0087010C">
              <w:rPr>
                <w:b/>
                <w:sz w:val="20"/>
                <w:szCs w:val="20"/>
              </w:rPr>
              <w:t>GmbH</w:t>
            </w:r>
            <w:proofErr w:type="spellEnd"/>
            <w:r>
              <w:rPr>
                <w:b/>
                <w:sz w:val="20"/>
                <w:szCs w:val="20"/>
              </w:rPr>
              <w:t xml:space="preserve"> et</w:t>
            </w:r>
            <w:r w:rsidRPr="0087010C">
              <w:rPr>
                <w:b/>
                <w:sz w:val="20"/>
                <w:szCs w:val="20"/>
              </w:rPr>
              <w:t xml:space="preserve"> Sanofi</w:t>
            </w:r>
            <w:r w:rsidRPr="0087010C">
              <w:rPr>
                <w:b/>
                <w:sz w:val="20"/>
                <w:szCs w:val="20"/>
              </w:rPr>
              <w:noBreakHyphen/>
              <w:t>Aventis Canada Inc.</w:t>
            </w:r>
          </w:p>
          <w:p w:rsidR="00F7565E" w:rsidRPr="0087010C" w:rsidRDefault="00F7565E" w:rsidP="00211A38">
            <w:pPr>
              <w:pStyle w:val="SCCLsocSubfileSeparator0"/>
              <w:rPr>
                <w:sz w:val="20"/>
                <w:szCs w:val="20"/>
                <w:lang w:val="fr-CA"/>
              </w:rPr>
            </w:pPr>
            <w:r w:rsidRPr="0087010C">
              <w:rPr>
                <w:sz w:val="20"/>
                <w:szCs w:val="20"/>
                <w:lang w:val="fr-CA"/>
              </w:rPr>
              <w:noBreakHyphen/>
              <w:t xml:space="preserve"> et entre </w:t>
            </w:r>
            <w:r w:rsidRPr="0087010C">
              <w:rPr>
                <w:sz w:val="20"/>
                <w:szCs w:val="20"/>
                <w:lang w:val="fr-CA"/>
              </w:rPr>
              <w:noBreakHyphen/>
            </w:r>
          </w:p>
          <w:p w:rsidR="00F7565E" w:rsidRPr="0087010C" w:rsidRDefault="00F7565E" w:rsidP="00211A38">
            <w:pPr>
              <w:pStyle w:val="SCCLsocParty"/>
              <w:jc w:val="both"/>
              <w:rPr>
                <w:b/>
                <w:sz w:val="20"/>
                <w:szCs w:val="20"/>
              </w:rPr>
            </w:pPr>
            <w:proofErr w:type="spellStart"/>
            <w:r w:rsidRPr="0087010C">
              <w:rPr>
                <w:b/>
                <w:sz w:val="20"/>
                <w:szCs w:val="20"/>
              </w:rPr>
              <w:t>Apotex</w:t>
            </w:r>
            <w:proofErr w:type="spellEnd"/>
            <w:r w:rsidRPr="0087010C">
              <w:rPr>
                <w:b/>
                <w:sz w:val="20"/>
                <w:szCs w:val="20"/>
              </w:rPr>
              <w:t xml:space="preserve"> Inc. c. Schering Corporation</w:t>
            </w:r>
          </w:p>
          <w:p w:rsidR="00F7565E" w:rsidRPr="0087010C" w:rsidRDefault="00F7565E" w:rsidP="00211A38">
            <w:pPr>
              <w:jc w:val="both"/>
              <w:rPr>
                <w:sz w:val="20"/>
                <w:lang w:val="fr-CA"/>
              </w:rPr>
            </w:pPr>
            <w:r w:rsidRPr="0087010C">
              <w:rPr>
                <w:sz w:val="20"/>
                <w:lang w:val="fr-CA"/>
              </w:rPr>
              <w:t>(Ont.) (Civile) (Autorisation)</w:t>
            </w:r>
          </w:p>
        </w:tc>
      </w:tr>
      <w:tr w:rsidR="009B1A2E" w:rsidRPr="003A218E" w:rsidTr="009B1A2E">
        <w:tc>
          <w:tcPr>
            <w:tcW w:w="5000" w:type="pct"/>
            <w:gridSpan w:val="4"/>
          </w:tcPr>
          <w:p w:rsidR="009B1A2E" w:rsidRPr="00647612" w:rsidRDefault="009B1A2E" w:rsidP="009B1A2E">
            <w:pPr>
              <w:widowControl w:val="0"/>
              <w:rPr>
                <w:sz w:val="20"/>
                <w:lang w:val="fr-CA"/>
              </w:rPr>
            </w:pPr>
            <w:r w:rsidRPr="00647612">
              <w:rPr>
                <w:sz w:val="20"/>
                <w:lang w:val="fr-CA"/>
              </w:rPr>
              <w:t>La demande d’autorisation d’appel de l’arrêt de la Cour d’appel de l’Ontario, numéros C65118 et C65129, 2018 ONCA 890, daté du 8 novembre 2018, est rejetée avec dépens.</w:t>
            </w:r>
          </w:p>
          <w:p w:rsidR="009B1A2E" w:rsidRPr="0087010C" w:rsidRDefault="009B1A2E" w:rsidP="00211A38">
            <w:pPr>
              <w:pStyle w:val="SCCLsocParty"/>
              <w:jc w:val="both"/>
              <w:rPr>
                <w:b/>
                <w:sz w:val="20"/>
                <w:szCs w:val="20"/>
              </w:rPr>
            </w:pPr>
          </w:p>
        </w:tc>
      </w:tr>
      <w:tr w:rsidR="00F7565E" w:rsidRPr="003A218E" w:rsidTr="00211A38">
        <w:tc>
          <w:tcPr>
            <w:tcW w:w="5000" w:type="pct"/>
            <w:gridSpan w:val="4"/>
          </w:tcPr>
          <w:p w:rsidR="00F7565E" w:rsidRPr="0087010C" w:rsidRDefault="00F7565E" w:rsidP="00211A38">
            <w:pPr>
              <w:jc w:val="both"/>
              <w:rPr>
                <w:sz w:val="20"/>
                <w:lang w:val="fr-CA"/>
              </w:rPr>
            </w:pPr>
            <w:r w:rsidRPr="0087010C">
              <w:rPr>
                <w:sz w:val="20"/>
                <w:lang w:val="fr-CA"/>
              </w:rPr>
              <w:t>Propriété intellectuelle — Brevets — Médicaments — Procédure civile — Actes de procédure — Modifications — Les intimées cherchent à modifier leurs actes de procédure à la suite d’un changement du droit qui toucherait, allègue-t-on, un brevet jugé invalide dans une instance précédente — Dans quelles situations un changement du droit permet-il de passer outre à l’application de principes d’irrecevabilité, notamment l’autorité de la chose jugée et l’interdiction de la contestation indirecte? — Dans quelles situations convient-il qu’un tribunal présume un préjudice de manière à empêcher la possibilité d’apporter des modifications de fond à des actes de procédure qui ont pour effet de modifier fondamentalement le cours du litige?</w:t>
            </w:r>
          </w:p>
        </w:tc>
      </w:tr>
      <w:tr w:rsidR="00F7565E" w:rsidRPr="003A218E" w:rsidTr="00211A38">
        <w:tc>
          <w:tcPr>
            <w:tcW w:w="5000" w:type="pct"/>
            <w:gridSpan w:val="4"/>
          </w:tcPr>
          <w:p w:rsidR="00F7565E" w:rsidRPr="0087010C" w:rsidRDefault="00F7565E" w:rsidP="00211A38">
            <w:pPr>
              <w:jc w:val="both"/>
              <w:rPr>
                <w:sz w:val="20"/>
                <w:lang w:val="fr-CA"/>
              </w:rPr>
            </w:pPr>
          </w:p>
        </w:tc>
      </w:tr>
      <w:tr w:rsidR="00F7565E" w:rsidRPr="003A218E" w:rsidTr="00211A38">
        <w:tc>
          <w:tcPr>
            <w:tcW w:w="5000" w:type="pct"/>
            <w:gridSpan w:val="4"/>
          </w:tcPr>
          <w:p w:rsidR="00F7565E" w:rsidRPr="0087010C" w:rsidRDefault="00F7565E" w:rsidP="00211A38">
            <w:pPr>
              <w:pStyle w:val="aparanumbering1"/>
              <w:shd w:val="clear" w:color="auto" w:fill="FFFFFF"/>
              <w:spacing w:before="0" w:after="0"/>
              <w:rPr>
                <w:rFonts w:ascii="Times New Roman" w:hAnsi="Times New Roman" w:cs="Times New Roman"/>
                <w:sz w:val="20"/>
                <w:szCs w:val="20"/>
                <w:lang w:val="fr-CA"/>
              </w:rPr>
            </w:pPr>
            <w:proofErr w:type="spellStart"/>
            <w:r w:rsidRPr="0087010C">
              <w:rPr>
                <w:rFonts w:ascii="Times New Roman" w:hAnsi="Times New Roman" w:cs="Times New Roman"/>
                <w:sz w:val="20"/>
                <w:szCs w:val="20"/>
                <w:lang w:val="fr-CA"/>
              </w:rPr>
              <w:t>Apotex</w:t>
            </w:r>
            <w:proofErr w:type="spellEnd"/>
            <w:r w:rsidRPr="0087010C">
              <w:rPr>
                <w:rFonts w:ascii="Times New Roman" w:hAnsi="Times New Roman" w:cs="Times New Roman"/>
                <w:sz w:val="20"/>
                <w:szCs w:val="20"/>
                <w:lang w:val="fr-CA"/>
              </w:rPr>
              <w:t xml:space="preserve">, une fabricante de médicaments génériques, a intenté une action dans laquelle elle réclamait des dommages-intérêts triples en application de </w:t>
            </w:r>
            <w:r w:rsidRPr="0087010C">
              <w:rPr>
                <w:rFonts w:ascii="Times New Roman" w:hAnsi="Times New Roman" w:cs="Times New Roman"/>
                <w:i/>
                <w:iCs/>
                <w:sz w:val="20"/>
                <w:szCs w:val="20"/>
                <w:lang w:val="fr-CA"/>
              </w:rPr>
              <w:t xml:space="preserve">An </w:t>
            </w:r>
            <w:proofErr w:type="spellStart"/>
            <w:r w:rsidRPr="0087010C">
              <w:rPr>
                <w:rFonts w:ascii="Times New Roman" w:hAnsi="Times New Roman" w:cs="Times New Roman"/>
                <w:i/>
                <w:iCs/>
                <w:sz w:val="20"/>
                <w:szCs w:val="20"/>
                <w:lang w:val="fr-CA"/>
              </w:rPr>
              <w:t>Act</w:t>
            </w:r>
            <w:proofErr w:type="spellEnd"/>
            <w:r w:rsidRPr="0087010C">
              <w:rPr>
                <w:rFonts w:ascii="Times New Roman" w:hAnsi="Times New Roman" w:cs="Times New Roman"/>
                <w:i/>
                <w:iCs/>
                <w:sz w:val="20"/>
                <w:szCs w:val="20"/>
                <w:lang w:val="fr-CA"/>
              </w:rPr>
              <w:t xml:space="preserve"> </w:t>
            </w:r>
            <w:proofErr w:type="spellStart"/>
            <w:r w:rsidRPr="0087010C">
              <w:rPr>
                <w:rFonts w:ascii="Times New Roman" w:hAnsi="Times New Roman" w:cs="Times New Roman"/>
                <w:i/>
                <w:iCs/>
                <w:sz w:val="20"/>
                <w:szCs w:val="20"/>
                <w:lang w:val="fr-CA"/>
              </w:rPr>
              <w:t>concerning</w:t>
            </w:r>
            <w:proofErr w:type="spellEnd"/>
            <w:r w:rsidRPr="0087010C">
              <w:rPr>
                <w:rFonts w:ascii="Times New Roman" w:hAnsi="Times New Roman" w:cs="Times New Roman"/>
                <w:i/>
                <w:iCs/>
                <w:sz w:val="20"/>
                <w:szCs w:val="20"/>
                <w:lang w:val="fr-CA"/>
              </w:rPr>
              <w:t xml:space="preserve"> </w:t>
            </w:r>
            <w:proofErr w:type="spellStart"/>
            <w:r w:rsidRPr="0087010C">
              <w:rPr>
                <w:rFonts w:ascii="Times New Roman" w:hAnsi="Times New Roman" w:cs="Times New Roman"/>
                <w:i/>
                <w:iCs/>
                <w:sz w:val="20"/>
                <w:szCs w:val="20"/>
                <w:lang w:val="fr-CA"/>
              </w:rPr>
              <w:t>Monopolies</w:t>
            </w:r>
            <w:proofErr w:type="spellEnd"/>
            <w:r w:rsidRPr="0087010C">
              <w:rPr>
                <w:rFonts w:ascii="Times New Roman" w:hAnsi="Times New Roman" w:cs="Times New Roman"/>
                <w:i/>
                <w:iCs/>
                <w:sz w:val="20"/>
                <w:szCs w:val="20"/>
                <w:lang w:val="fr-CA"/>
              </w:rPr>
              <w:t xml:space="preserve">, and Dispensation </w:t>
            </w:r>
            <w:proofErr w:type="spellStart"/>
            <w:r w:rsidRPr="0087010C">
              <w:rPr>
                <w:rFonts w:ascii="Times New Roman" w:hAnsi="Times New Roman" w:cs="Times New Roman"/>
                <w:i/>
                <w:iCs/>
                <w:sz w:val="20"/>
                <w:szCs w:val="20"/>
                <w:lang w:val="fr-CA"/>
              </w:rPr>
              <w:t>with</w:t>
            </w:r>
            <w:proofErr w:type="spellEnd"/>
            <w:r w:rsidRPr="0087010C">
              <w:rPr>
                <w:rFonts w:ascii="Times New Roman" w:hAnsi="Times New Roman" w:cs="Times New Roman"/>
                <w:i/>
                <w:iCs/>
                <w:sz w:val="20"/>
                <w:szCs w:val="20"/>
                <w:lang w:val="fr-CA"/>
              </w:rPr>
              <w:t xml:space="preserve"> </w:t>
            </w:r>
            <w:proofErr w:type="spellStart"/>
            <w:r w:rsidRPr="0087010C">
              <w:rPr>
                <w:rFonts w:ascii="Times New Roman" w:hAnsi="Times New Roman" w:cs="Times New Roman"/>
                <w:i/>
                <w:iCs/>
                <w:sz w:val="20"/>
                <w:szCs w:val="20"/>
                <w:lang w:val="fr-CA"/>
              </w:rPr>
              <w:t>penal</w:t>
            </w:r>
            <w:proofErr w:type="spellEnd"/>
            <w:r w:rsidRPr="0087010C">
              <w:rPr>
                <w:rFonts w:ascii="Times New Roman" w:hAnsi="Times New Roman" w:cs="Times New Roman"/>
                <w:i/>
                <w:iCs/>
                <w:sz w:val="20"/>
                <w:szCs w:val="20"/>
                <w:lang w:val="fr-CA"/>
              </w:rPr>
              <w:t xml:space="preserve"> </w:t>
            </w:r>
            <w:proofErr w:type="spellStart"/>
            <w:r w:rsidRPr="0087010C">
              <w:rPr>
                <w:rFonts w:ascii="Times New Roman" w:hAnsi="Times New Roman" w:cs="Times New Roman"/>
                <w:i/>
                <w:iCs/>
                <w:sz w:val="20"/>
                <w:szCs w:val="20"/>
                <w:lang w:val="fr-CA"/>
              </w:rPr>
              <w:t>laws</w:t>
            </w:r>
            <w:proofErr w:type="spellEnd"/>
            <w:r w:rsidRPr="0087010C">
              <w:rPr>
                <w:rFonts w:ascii="Times New Roman" w:hAnsi="Times New Roman" w:cs="Times New Roman"/>
                <w:i/>
                <w:iCs/>
                <w:sz w:val="20"/>
                <w:szCs w:val="20"/>
                <w:lang w:val="fr-CA"/>
              </w:rPr>
              <w:t xml:space="preserve">, etc., </w:t>
            </w:r>
            <w:r w:rsidRPr="0087010C">
              <w:rPr>
                <w:rFonts w:ascii="Times New Roman" w:hAnsi="Times New Roman" w:cs="Times New Roman"/>
                <w:sz w:val="20"/>
                <w:szCs w:val="20"/>
                <w:lang w:val="fr-CA"/>
              </w:rPr>
              <w:t xml:space="preserve">R.S.O. 1897, c. 323, </w:t>
            </w:r>
            <w:r w:rsidRPr="0087010C">
              <w:rPr>
                <w:rFonts w:ascii="Times New Roman" w:hAnsi="Times New Roman" w:cs="Times New Roman"/>
                <w:i/>
                <w:iCs/>
                <w:sz w:val="20"/>
                <w:szCs w:val="20"/>
                <w:lang w:val="fr-CA"/>
              </w:rPr>
              <w:t xml:space="preserve">An </w:t>
            </w:r>
            <w:proofErr w:type="spellStart"/>
            <w:r w:rsidRPr="0087010C">
              <w:rPr>
                <w:rFonts w:ascii="Times New Roman" w:hAnsi="Times New Roman" w:cs="Times New Roman"/>
                <w:i/>
                <w:iCs/>
                <w:sz w:val="20"/>
                <w:szCs w:val="20"/>
                <w:lang w:val="fr-CA"/>
              </w:rPr>
              <w:t>Act</w:t>
            </w:r>
            <w:proofErr w:type="spellEnd"/>
            <w:r w:rsidRPr="0087010C">
              <w:rPr>
                <w:rFonts w:ascii="Times New Roman" w:hAnsi="Times New Roman" w:cs="Times New Roman"/>
                <w:i/>
                <w:iCs/>
                <w:sz w:val="20"/>
                <w:szCs w:val="20"/>
                <w:lang w:val="fr-CA"/>
              </w:rPr>
              <w:t xml:space="preserve"> </w:t>
            </w:r>
            <w:proofErr w:type="spellStart"/>
            <w:r w:rsidRPr="0087010C">
              <w:rPr>
                <w:rFonts w:ascii="Times New Roman" w:hAnsi="Times New Roman" w:cs="Times New Roman"/>
                <w:i/>
                <w:iCs/>
                <w:sz w:val="20"/>
                <w:szCs w:val="20"/>
                <w:lang w:val="fr-CA"/>
              </w:rPr>
              <w:t>concerning</w:t>
            </w:r>
            <w:proofErr w:type="spellEnd"/>
            <w:r w:rsidRPr="0087010C">
              <w:rPr>
                <w:rFonts w:ascii="Times New Roman" w:hAnsi="Times New Roman" w:cs="Times New Roman"/>
                <w:i/>
                <w:iCs/>
                <w:sz w:val="20"/>
                <w:szCs w:val="20"/>
                <w:lang w:val="fr-CA"/>
              </w:rPr>
              <w:t xml:space="preserve"> </w:t>
            </w:r>
            <w:proofErr w:type="spellStart"/>
            <w:r w:rsidRPr="0087010C">
              <w:rPr>
                <w:rFonts w:ascii="Times New Roman" w:hAnsi="Times New Roman" w:cs="Times New Roman"/>
                <w:i/>
                <w:iCs/>
                <w:sz w:val="20"/>
                <w:szCs w:val="20"/>
                <w:lang w:val="fr-CA"/>
              </w:rPr>
              <w:t>Monopolies</w:t>
            </w:r>
            <w:proofErr w:type="spellEnd"/>
            <w:r w:rsidRPr="0087010C">
              <w:rPr>
                <w:rFonts w:ascii="Times New Roman" w:hAnsi="Times New Roman" w:cs="Times New Roman"/>
                <w:i/>
                <w:iCs/>
                <w:sz w:val="20"/>
                <w:szCs w:val="20"/>
                <w:lang w:val="fr-CA"/>
              </w:rPr>
              <w:t xml:space="preserve"> and Dispensations </w:t>
            </w:r>
            <w:proofErr w:type="spellStart"/>
            <w:r w:rsidRPr="0087010C">
              <w:rPr>
                <w:rFonts w:ascii="Times New Roman" w:hAnsi="Times New Roman" w:cs="Times New Roman"/>
                <w:i/>
                <w:iCs/>
                <w:sz w:val="20"/>
                <w:szCs w:val="20"/>
                <w:lang w:val="fr-CA"/>
              </w:rPr>
              <w:t>with</w:t>
            </w:r>
            <w:proofErr w:type="spellEnd"/>
            <w:r w:rsidRPr="0087010C">
              <w:rPr>
                <w:rFonts w:ascii="Times New Roman" w:hAnsi="Times New Roman" w:cs="Times New Roman"/>
                <w:i/>
                <w:iCs/>
                <w:sz w:val="20"/>
                <w:szCs w:val="20"/>
                <w:lang w:val="fr-CA"/>
              </w:rPr>
              <w:t xml:space="preserve"> </w:t>
            </w:r>
            <w:proofErr w:type="spellStart"/>
            <w:r w:rsidRPr="0087010C">
              <w:rPr>
                <w:rFonts w:ascii="Times New Roman" w:hAnsi="Times New Roman" w:cs="Times New Roman"/>
                <w:i/>
                <w:iCs/>
                <w:sz w:val="20"/>
                <w:szCs w:val="20"/>
                <w:lang w:val="fr-CA"/>
              </w:rPr>
              <w:t>Penal</w:t>
            </w:r>
            <w:proofErr w:type="spellEnd"/>
            <w:r w:rsidRPr="0087010C">
              <w:rPr>
                <w:rFonts w:ascii="Times New Roman" w:hAnsi="Times New Roman" w:cs="Times New Roman"/>
                <w:i/>
                <w:iCs/>
                <w:sz w:val="20"/>
                <w:szCs w:val="20"/>
                <w:lang w:val="fr-CA"/>
              </w:rPr>
              <w:t xml:space="preserve"> </w:t>
            </w:r>
            <w:proofErr w:type="spellStart"/>
            <w:r w:rsidRPr="0087010C">
              <w:rPr>
                <w:rFonts w:ascii="Times New Roman" w:hAnsi="Times New Roman" w:cs="Times New Roman"/>
                <w:i/>
                <w:iCs/>
                <w:sz w:val="20"/>
                <w:szCs w:val="20"/>
                <w:lang w:val="fr-CA"/>
              </w:rPr>
              <w:t>Laws</w:t>
            </w:r>
            <w:proofErr w:type="spellEnd"/>
            <w:r w:rsidRPr="0087010C">
              <w:rPr>
                <w:rFonts w:ascii="Times New Roman" w:hAnsi="Times New Roman" w:cs="Times New Roman"/>
                <w:i/>
                <w:iCs/>
                <w:sz w:val="20"/>
                <w:szCs w:val="20"/>
                <w:lang w:val="fr-CA"/>
              </w:rPr>
              <w:t xml:space="preserve">, and the </w:t>
            </w:r>
            <w:proofErr w:type="spellStart"/>
            <w:r w:rsidRPr="0087010C">
              <w:rPr>
                <w:rFonts w:ascii="Times New Roman" w:hAnsi="Times New Roman" w:cs="Times New Roman"/>
                <w:i/>
                <w:iCs/>
                <w:sz w:val="20"/>
                <w:szCs w:val="20"/>
                <w:lang w:val="fr-CA"/>
              </w:rPr>
              <w:t>Forfeitures</w:t>
            </w:r>
            <w:proofErr w:type="spellEnd"/>
            <w:r w:rsidRPr="0087010C">
              <w:rPr>
                <w:rFonts w:ascii="Times New Roman" w:hAnsi="Times New Roman" w:cs="Times New Roman"/>
                <w:i/>
                <w:iCs/>
                <w:sz w:val="20"/>
                <w:szCs w:val="20"/>
                <w:lang w:val="fr-CA"/>
              </w:rPr>
              <w:t xml:space="preserve"> </w:t>
            </w:r>
            <w:proofErr w:type="spellStart"/>
            <w:r w:rsidRPr="0087010C">
              <w:rPr>
                <w:rFonts w:ascii="Times New Roman" w:hAnsi="Times New Roman" w:cs="Times New Roman"/>
                <w:i/>
                <w:iCs/>
                <w:sz w:val="20"/>
                <w:szCs w:val="20"/>
                <w:lang w:val="fr-CA"/>
              </w:rPr>
              <w:t>thereof</w:t>
            </w:r>
            <w:proofErr w:type="spellEnd"/>
            <w:r w:rsidRPr="0087010C">
              <w:rPr>
                <w:rFonts w:ascii="Times New Roman" w:hAnsi="Times New Roman" w:cs="Times New Roman"/>
                <w:sz w:val="20"/>
                <w:szCs w:val="20"/>
                <w:lang w:val="fr-CA"/>
              </w:rPr>
              <w:t xml:space="preserve">, 1624, 21 </w:t>
            </w:r>
            <w:proofErr w:type="spellStart"/>
            <w:r w:rsidRPr="0087010C">
              <w:rPr>
                <w:rFonts w:ascii="Times New Roman" w:hAnsi="Times New Roman" w:cs="Times New Roman"/>
                <w:sz w:val="20"/>
                <w:szCs w:val="20"/>
                <w:lang w:val="fr-CA"/>
              </w:rPr>
              <w:t>Jac</w:t>
            </w:r>
            <w:proofErr w:type="spellEnd"/>
            <w:r w:rsidRPr="0087010C">
              <w:rPr>
                <w:rFonts w:ascii="Times New Roman" w:hAnsi="Times New Roman" w:cs="Times New Roman"/>
                <w:sz w:val="20"/>
                <w:szCs w:val="20"/>
                <w:lang w:val="fr-CA"/>
              </w:rPr>
              <w:t xml:space="preserve">. I, c. 3 et la </w:t>
            </w:r>
            <w:hyperlink r:id="rId39" w:history="1">
              <w:r w:rsidRPr="0087010C">
                <w:rPr>
                  <w:rStyle w:val="Hyperlink"/>
                  <w:rFonts w:ascii="Times New Roman" w:hAnsi="Times New Roman" w:cs="Times New Roman"/>
                  <w:i/>
                  <w:iCs/>
                  <w:sz w:val="20"/>
                  <w:szCs w:val="20"/>
                  <w:lang w:val="fr-CA"/>
                </w:rPr>
                <w:t>Loi sur les marques de commerce</w:t>
              </w:r>
              <w:r w:rsidRPr="0087010C">
                <w:rPr>
                  <w:rStyle w:val="Hyperlink"/>
                  <w:rFonts w:ascii="Times New Roman" w:hAnsi="Times New Roman" w:cs="Times New Roman"/>
                  <w:sz w:val="20"/>
                  <w:szCs w:val="20"/>
                  <w:lang w:val="fr-CA"/>
                </w:rPr>
                <w:t>, L.R.C. 1985, ch. T</w:t>
              </w:r>
              <w:r w:rsidRPr="0087010C">
                <w:rPr>
                  <w:rStyle w:val="Hyperlink"/>
                  <w:rFonts w:ascii="Times New Roman" w:hAnsi="Times New Roman" w:cs="Times New Roman"/>
                  <w:sz w:val="20"/>
                  <w:szCs w:val="20"/>
                  <w:lang w:val="fr-CA"/>
                </w:rPr>
                <w:noBreakHyphen/>
                <w:t>13</w:t>
              </w:r>
            </w:hyperlink>
            <w:r w:rsidRPr="0087010C">
              <w:rPr>
                <w:rFonts w:ascii="Times New Roman" w:hAnsi="Times New Roman" w:cs="Times New Roman"/>
                <w:sz w:val="20"/>
                <w:szCs w:val="20"/>
                <w:lang w:val="fr-CA"/>
              </w:rPr>
              <w:t xml:space="preserve">. Son action concernait le brevet 206 portant sur un médicament appelé </w:t>
            </w:r>
            <w:proofErr w:type="spellStart"/>
            <w:r w:rsidRPr="0087010C">
              <w:rPr>
                <w:rFonts w:ascii="Times New Roman" w:hAnsi="Times New Roman" w:cs="Times New Roman"/>
                <w:sz w:val="20"/>
                <w:szCs w:val="20"/>
                <w:lang w:val="fr-CA"/>
              </w:rPr>
              <w:t>Ramipril</w:t>
            </w:r>
            <w:proofErr w:type="spellEnd"/>
            <w:r w:rsidRPr="0087010C">
              <w:rPr>
                <w:rFonts w:ascii="Times New Roman" w:hAnsi="Times New Roman" w:cs="Times New Roman"/>
                <w:sz w:val="20"/>
                <w:szCs w:val="20"/>
                <w:lang w:val="fr-CA"/>
              </w:rPr>
              <w:t xml:space="preserve">, détenu par Schering Corporation et concédé sous licence par les intimées Sanofi, qui avait été déclaré invalide dans une action en contrefaçon antérieure. Le brevet 206 a été déclaré invalide pour absence d’utilité sur le fondement de la « doctrine de la promesse ». Par la suite, l’arrêt </w:t>
            </w:r>
            <w:proofErr w:type="spellStart"/>
            <w:r w:rsidRPr="0087010C">
              <w:rPr>
                <w:rFonts w:ascii="Times New Roman" w:hAnsi="Times New Roman" w:cs="Times New Roman"/>
                <w:i/>
                <w:iCs/>
                <w:sz w:val="20"/>
                <w:szCs w:val="20"/>
                <w:lang w:val="fr-CA"/>
              </w:rPr>
              <w:t>AstraZeneca</w:t>
            </w:r>
            <w:proofErr w:type="spellEnd"/>
            <w:r w:rsidRPr="0087010C">
              <w:rPr>
                <w:rFonts w:ascii="Times New Roman" w:hAnsi="Times New Roman" w:cs="Times New Roman"/>
                <w:i/>
                <w:iCs/>
                <w:sz w:val="20"/>
                <w:szCs w:val="20"/>
                <w:lang w:val="fr-CA"/>
              </w:rPr>
              <w:t xml:space="preserve"> Canada Inc. c. </w:t>
            </w:r>
            <w:proofErr w:type="spellStart"/>
            <w:r w:rsidRPr="0087010C">
              <w:rPr>
                <w:rFonts w:ascii="Times New Roman" w:hAnsi="Times New Roman" w:cs="Times New Roman"/>
                <w:i/>
                <w:iCs/>
                <w:sz w:val="20"/>
                <w:szCs w:val="20"/>
                <w:lang w:val="fr-CA"/>
              </w:rPr>
              <w:t>Apotex</w:t>
            </w:r>
            <w:proofErr w:type="spellEnd"/>
            <w:r w:rsidRPr="0087010C">
              <w:rPr>
                <w:rFonts w:ascii="Times New Roman" w:hAnsi="Times New Roman" w:cs="Times New Roman"/>
                <w:i/>
                <w:iCs/>
                <w:sz w:val="20"/>
                <w:szCs w:val="20"/>
                <w:lang w:val="fr-CA"/>
              </w:rPr>
              <w:t xml:space="preserve"> Inc.,</w:t>
            </w:r>
            <w:r w:rsidRPr="0087010C">
              <w:rPr>
                <w:rFonts w:ascii="Times New Roman" w:hAnsi="Times New Roman" w:cs="Times New Roman"/>
                <w:sz w:val="20"/>
                <w:szCs w:val="20"/>
                <w:lang w:val="fr-CA"/>
              </w:rPr>
              <w:t xml:space="preserve"> </w:t>
            </w:r>
            <w:hyperlink r:id="rId40" w:history="1">
              <w:r w:rsidRPr="0087010C">
                <w:rPr>
                  <w:rStyle w:val="Hyperlink"/>
                  <w:rFonts w:ascii="Times New Roman" w:hAnsi="Times New Roman" w:cs="Times New Roman"/>
                  <w:sz w:val="20"/>
                  <w:szCs w:val="20"/>
                  <w:lang w:val="fr-CA"/>
                </w:rPr>
                <w:t>2017 CSC 36</w:t>
              </w:r>
              <w:r w:rsidRPr="0087010C">
                <w:rPr>
                  <w:rStyle w:val="reflex3-block"/>
                  <w:rFonts w:ascii="Times New Roman" w:eastAsia="Calibri" w:hAnsi="Times New Roman"/>
                  <w:sz w:val="20"/>
                  <w:szCs w:val="20"/>
                  <w:lang w:val="fr-CA"/>
                </w:rPr>
                <w:t xml:space="preserve"> </w:t>
              </w:r>
            </w:hyperlink>
            <w:r w:rsidRPr="0087010C">
              <w:rPr>
                <w:rStyle w:val="reflex3-block"/>
                <w:rFonts w:ascii="Times New Roman" w:eastAsia="Calibri" w:hAnsi="Times New Roman"/>
                <w:sz w:val="20"/>
                <w:szCs w:val="20"/>
                <w:lang w:val="fr-CA"/>
              </w:rPr>
              <w:t>a été publié, dans lequel la Cour a statué que la doctrine de la promesse n’était pas la méthode appropriée pour examiner l’utilité d’un brevet.</w:t>
            </w:r>
            <w:r w:rsidRPr="0087010C">
              <w:rPr>
                <w:rFonts w:ascii="Times New Roman" w:hAnsi="Times New Roman" w:cs="Times New Roman"/>
                <w:sz w:val="20"/>
                <w:szCs w:val="20"/>
                <w:lang w:val="fr-CA"/>
              </w:rPr>
              <w:t xml:space="preserve"> S’appuyant sur l’arrêt </w:t>
            </w:r>
            <w:proofErr w:type="spellStart"/>
            <w:r w:rsidRPr="0087010C">
              <w:rPr>
                <w:rFonts w:ascii="Times New Roman" w:hAnsi="Times New Roman" w:cs="Times New Roman"/>
                <w:i/>
                <w:sz w:val="20"/>
                <w:szCs w:val="20"/>
                <w:lang w:val="fr-CA"/>
              </w:rPr>
              <w:t>AstraZeneca</w:t>
            </w:r>
            <w:proofErr w:type="spellEnd"/>
            <w:r w:rsidRPr="0087010C">
              <w:rPr>
                <w:rFonts w:ascii="Times New Roman" w:hAnsi="Times New Roman" w:cs="Times New Roman"/>
                <w:sz w:val="20"/>
                <w:szCs w:val="20"/>
                <w:lang w:val="fr-CA"/>
              </w:rPr>
              <w:t>, les intimées ont présenté une motion en modification de leurs défenses. Le juge de première instance a rejeté leur motion. Cette décision a été infirmée en appel et les modifications ont été autorisées.</w:t>
            </w:r>
          </w:p>
          <w:p w:rsidR="00F7565E" w:rsidRPr="0087010C" w:rsidRDefault="00F7565E" w:rsidP="00211A38">
            <w:pPr>
              <w:pStyle w:val="aparanumbering1"/>
              <w:shd w:val="clear" w:color="auto" w:fill="FFFFFF"/>
              <w:spacing w:before="0" w:after="0"/>
              <w:rPr>
                <w:rFonts w:ascii="Times New Roman" w:hAnsi="Times New Roman" w:cs="Times New Roman"/>
                <w:sz w:val="20"/>
                <w:szCs w:val="20"/>
                <w:lang w:val="fr-CA"/>
              </w:rPr>
            </w:pPr>
          </w:p>
        </w:tc>
      </w:tr>
      <w:tr w:rsidR="00F7565E" w:rsidRPr="003A218E" w:rsidTr="00211A38">
        <w:tc>
          <w:tcPr>
            <w:tcW w:w="2427" w:type="pct"/>
            <w:gridSpan w:val="2"/>
          </w:tcPr>
          <w:p w:rsidR="00F7565E" w:rsidRPr="0087010C" w:rsidRDefault="00F7565E" w:rsidP="00211A38">
            <w:pPr>
              <w:jc w:val="both"/>
              <w:rPr>
                <w:sz w:val="20"/>
                <w:lang w:val="fr-CA"/>
              </w:rPr>
            </w:pPr>
            <w:r w:rsidRPr="0087010C">
              <w:rPr>
                <w:sz w:val="20"/>
                <w:lang w:val="fr-CA"/>
              </w:rPr>
              <w:t>6 février 2018</w:t>
            </w:r>
          </w:p>
          <w:p w:rsidR="00F7565E" w:rsidRPr="0087010C" w:rsidRDefault="00F7565E" w:rsidP="00211A38">
            <w:pPr>
              <w:jc w:val="both"/>
              <w:rPr>
                <w:sz w:val="20"/>
                <w:lang w:val="fr-CA"/>
              </w:rPr>
            </w:pPr>
            <w:r w:rsidRPr="0087010C">
              <w:rPr>
                <w:sz w:val="20"/>
                <w:lang w:val="fr-CA"/>
              </w:rPr>
              <w:t>Cour supérieure de justice de l’Ontario</w:t>
            </w:r>
          </w:p>
          <w:p w:rsidR="00F7565E" w:rsidRPr="0087010C" w:rsidRDefault="00F7565E" w:rsidP="00211A38">
            <w:pPr>
              <w:jc w:val="both"/>
              <w:rPr>
                <w:sz w:val="20"/>
                <w:lang w:val="fr-CA"/>
              </w:rPr>
            </w:pPr>
            <w:r w:rsidRPr="0087010C">
              <w:rPr>
                <w:sz w:val="20"/>
                <w:lang w:val="fr-CA"/>
              </w:rPr>
              <w:t>(Juge Dunphy)</w:t>
            </w:r>
          </w:p>
          <w:p w:rsidR="00F7565E" w:rsidRPr="0087010C" w:rsidRDefault="003A218E" w:rsidP="00211A38">
            <w:pPr>
              <w:jc w:val="both"/>
              <w:rPr>
                <w:sz w:val="20"/>
                <w:lang w:val="fr-CA"/>
              </w:rPr>
            </w:pPr>
            <w:hyperlink r:id="rId41" w:history="1">
              <w:r w:rsidR="00F7565E" w:rsidRPr="0087010C">
                <w:rPr>
                  <w:rStyle w:val="Hyperlink"/>
                  <w:sz w:val="20"/>
                  <w:lang w:val="fr-CA"/>
                </w:rPr>
                <w:t>2018 ONSC 903</w:t>
              </w:r>
            </w:hyperlink>
          </w:p>
          <w:p w:rsidR="00F7565E" w:rsidRPr="0087010C" w:rsidRDefault="00F7565E" w:rsidP="00211A38">
            <w:pPr>
              <w:jc w:val="both"/>
              <w:rPr>
                <w:sz w:val="20"/>
                <w:lang w:val="fr-CA"/>
              </w:rPr>
            </w:pPr>
          </w:p>
        </w:tc>
        <w:tc>
          <w:tcPr>
            <w:tcW w:w="243" w:type="pct"/>
          </w:tcPr>
          <w:p w:rsidR="00F7565E" w:rsidRPr="0087010C" w:rsidRDefault="00F7565E" w:rsidP="00211A38">
            <w:pPr>
              <w:jc w:val="both"/>
              <w:rPr>
                <w:sz w:val="20"/>
                <w:lang w:val="fr-CA"/>
              </w:rPr>
            </w:pPr>
          </w:p>
        </w:tc>
        <w:tc>
          <w:tcPr>
            <w:tcW w:w="2330" w:type="pct"/>
          </w:tcPr>
          <w:p w:rsidR="00F7565E" w:rsidRPr="0087010C" w:rsidRDefault="00F7565E" w:rsidP="00211A38">
            <w:pPr>
              <w:jc w:val="both"/>
              <w:rPr>
                <w:sz w:val="20"/>
                <w:lang w:val="fr-CA"/>
              </w:rPr>
            </w:pPr>
            <w:r w:rsidRPr="0087010C">
              <w:rPr>
                <w:sz w:val="20"/>
                <w:lang w:val="fr-CA"/>
              </w:rPr>
              <w:t>Rejet des motions des intimées en modification de leurs actes de procédure</w:t>
            </w:r>
          </w:p>
          <w:p w:rsidR="00F7565E" w:rsidRPr="0087010C" w:rsidRDefault="00F7565E" w:rsidP="00211A38">
            <w:pPr>
              <w:jc w:val="both"/>
              <w:rPr>
                <w:sz w:val="20"/>
                <w:lang w:val="fr-CA"/>
              </w:rPr>
            </w:pPr>
          </w:p>
          <w:p w:rsidR="00F7565E" w:rsidRPr="0087010C" w:rsidRDefault="00F7565E" w:rsidP="00211A38">
            <w:pPr>
              <w:jc w:val="both"/>
              <w:rPr>
                <w:sz w:val="20"/>
                <w:lang w:val="fr-CA"/>
              </w:rPr>
            </w:pPr>
          </w:p>
        </w:tc>
      </w:tr>
      <w:tr w:rsidR="00F7565E" w:rsidRPr="003A218E" w:rsidTr="00211A38">
        <w:tc>
          <w:tcPr>
            <w:tcW w:w="2427" w:type="pct"/>
            <w:gridSpan w:val="2"/>
          </w:tcPr>
          <w:p w:rsidR="00F7565E" w:rsidRPr="0087010C" w:rsidRDefault="00F7565E" w:rsidP="00211A38">
            <w:pPr>
              <w:jc w:val="both"/>
              <w:rPr>
                <w:sz w:val="20"/>
                <w:lang w:val="fr-CA"/>
              </w:rPr>
            </w:pPr>
            <w:r w:rsidRPr="0087010C">
              <w:rPr>
                <w:sz w:val="20"/>
                <w:lang w:val="fr-CA"/>
              </w:rPr>
              <w:t>8 novembre 2018</w:t>
            </w:r>
          </w:p>
          <w:p w:rsidR="00F7565E" w:rsidRPr="0087010C" w:rsidRDefault="00F7565E" w:rsidP="00211A38">
            <w:pPr>
              <w:jc w:val="both"/>
              <w:rPr>
                <w:sz w:val="20"/>
                <w:lang w:val="fr-CA"/>
              </w:rPr>
            </w:pPr>
            <w:r w:rsidRPr="0087010C">
              <w:rPr>
                <w:sz w:val="20"/>
                <w:lang w:val="fr-CA"/>
              </w:rPr>
              <w:t>Cour d’appel de l’Ontario</w:t>
            </w:r>
          </w:p>
          <w:p w:rsidR="00F7565E" w:rsidRPr="0087010C" w:rsidRDefault="00F7565E" w:rsidP="00211A38">
            <w:pPr>
              <w:jc w:val="both"/>
              <w:rPr>
                <w:sz w:val="20"/>
                <w:lang w:val="fr-CA"/>
              </w:rPr>
            </w:pPr>
            <w:r w:rsidRPr="0087010C">
              <w:rPr>
                <w:sz w:val="20"/>
                <w:lang w:val="fr-CA"/>
              </w:rPr>
              <w:t xml:space="preserve">(Juge en chef </w:t>
            </w:r>
            <w:proofErr w:type="spellStart"/>
            <w:r w:rsidRPr="0087010C">
              <w:rPr>
                <w:sz w:val="20"/>
                <w:lang w:val="fr-CA"/>
              </w:rPr>
              <w:t>Strathy</w:t>
            </w:r>
            <w:proofErr w:type="spellEnd"/>
            <w:r w:rsidRPr="0087010C">
              <w:rPr>
                <w:sz w:val="20"/>
                <w:lang w:val="fr-CA"/>
              </w:rPr>
              <w:t xml:space="preserve">, juges </w:t>
            </w:r>
            <w:proofErr w:type="spellStart"/>
            <w:r w:rsidRPr="0087010C">
              <w:rPr>
                <w:sz w:val="20"/>
                <w:lang w:val="fr-CA"/>
              </w:rPr>
              <w:t>Nordheimer</w:t>
            </w:r>
            <w:proofErr w:type="spellEnd"/>
            <w:r w:rsidRPr="0087010C">
              <w:rPr>
                <w:sz w:val="20"/>
                <w:lang w:val="fr-CA"/>
              </w:rPr>
              <w:t xml:space="preserve"> et</w:t>
            </w:r>
          </w:p>
          <w:p w:rsidR="00F7565E" w:rsidRPr="0087010C" w:rsidRDefault="00F7565E" w:rsidP="00211A38">
            <w:pPr>
              <w:jc w:val="both"/>
              <w:rPr>
                <w:sz w:val="20"/>
                <w:lang w:val="fr-CA"/>
              </w:rPr>
            </w:pPr>
            <w:r w:rsidRPr="0087010C">
              <w:rPr>
                <w:sz w:val="20"/>
                <w:lang w:val="fr-CA"/>
              </w:rPr>
              <w:t>McKinnon (</w:t>
            </w:r>
            <w:r w:rsidRPr="0087010C">
              <w:rPr>
                <w:i/>
                <w:sz w:val="20"/>
                <w:lang w:val="fr-CA"/>
              </w:rPr>
              <w:t>ad hoc</w:t>
            </w:r>
            <w:r w:rsidRPr="0087010C">
              <w:rPr>
                <w:sz w:val="20"/>
                <w:lang w:val="fr-CA"/>
              </w:rPr>
              <w:t>))</w:t>
            </w:r>
          </w:p>
          <w:p w:rsidR="00F7565E" w:rsidRPr="0087010C" w:rsidRDefault="003A218E" w:rsidP="00211A38">
            <w:pPr>
              <w:jc w:val="both"/>
              <w:rPr>
                <w:sz w:val="20"/>
                <w:lang w:val="fr-CA"/>
              </w:rPr>
            </w:pPr>
            <w:hyperlink r:id="rId42" w:history="1">
              <w:r w:rsidR="00F7565E" w:rsidRPr="0087010C">
                <w:rPr>
                  <w:rStyle w:val="Hyperlink"/>
                  <w:sz w:val="20"/>
                  <w:lang w:val="fr-CA"/>
                </w:rPr>
                <w:t>2018 ONCA 890</w:t>
              </w:r>
            </w:hyperlink>
          </w:p>
          <w:p w:rsidR="00F7565E" w:rsidRPr="0087010C" w:rsidRDefault="00F7565E" w:rsidP="00211A38">
            <w:pPr>
              <w:jc w:val="both"/>
              <w:rPr>
                <w:sz w:val="20"/>
                <w:lang w:val="fr-CA"/>
              </w:rPr>
            </w:pPr>
          </w:p>
        </w:tc>
        <w:tc>
          <w:tcPr>
            <w:tcW w:w="243" w:type="pct"/>
          </w:tcPr>
          <w:p w:rsidR="00F7565E" w:rsidRPr="0087010C" w:rsidRDefault="00F7565E" w:rsidP="00211A38">
            <w:pPr>
              <w:jc w:val="both"/>
              <w:rPr>
                <w:sz w:val="20"/>
                <w:lang w:val="fr-CA"/>
              </w:rPr>
            </w:pPr>
          </w:p>
        </w:tc>
        <w:tc>
          <w:tcPr>
            <w:tcW w:w="2330" w:type="pct"/>
          </w:tcPr>
          <w:p w:rsidR="00F7565E" w:rsidRPr="0087010C" w:rsidRDefault="00F7565E" w:rsidP="00211A38">
            <w:pPr>
              <w:jc w:val="both"/>
              <w:rPr>
                <w:sz w:val="20"/>
                <w:lang w:val="fr-CA"/>
              </w:rPr>
            </w:pPr>
            <w:r w:rsidRPr="0087010C">
              <w:rPr>
                <w:sz w:val="20"/>
                <w:lang w:val="fr-CA"/>
              </w:rPr>
              <w:t>Arrêt accueillant les appels des intimées et les autorisant à modifier leurs défenses</w:t>
            </w:r>
          </w:p>
          <w:p w:rsidR="00F7565E" w:rsidRPr="0087010C" w:rsidRDefault="00F7565E" w:rsidP="00211A38">
            <w:pPr>
              <w:jc w:val="both"/>
              <w:rPr>
                <w:sz w:val="20"/>
                <w:lang w:val="fr-CA"/>
              </w:rPr>
            </w:pPr>
          </w:p>
          <w:p w:rsidR="00F7565E" w:rsidRPr="0087010C" w:rsidRDefault="00F7565E" w:rsidP="00211A38">
            <w:pPr>
              <w:jc w:val="both"/>
              <w:rPr>
                <w:sz w:val="20"/>
                <w:lang w:val="fr-CA"/>
              </w:rPr>
            </w:pPr>
          </w:p>
        </w:tc>
      </w:tr>
      <w:tr w:rsidR="00F7565E" w:rsidRPr="003A218E" w:rsidTr="00211A38">
        <w:tc>
          <w:tcPr>
            <w:tcW w:w="2427" w:type="pct"/>
            <w:gridSpan w:val="2"/>
          </w:tcPr>
          <w:p w:rsidR="00F7565E" w:rsidRPr="0087010C" w:rsidRDefault="00F7565E" w:rsidP="00211A38">
            <w:pPr>
              <w:jc w:val="both"/>
              <w:rPr>
                <w:sz w:val="20"/>
                <w:lang w:val="fr-CA"/>
              </w:rPr>
            </w:pPr>
            <w:r w:rsidRPr="0087010C">
              <w:rPr>
                <w:sz w:val="20"/>
                <w:lang w:val="fr-CA"/>
              </w:rPr>
              <w:t>7 janvier 2019</w:t>
            </w:r>
          </w:p>
          <w:p w:rsidR="00F7565E" w:rsidRPr="0087010C" w:rsidRDefault="00F7565E" w:rsidP="00211A38">
            <w:pPr>
              <w:jc w:val="both"/>
              <w:rPr>
                <w:sz w:val="20"/>
                <w:lang w:val="fr-CA"/>
              </w:rPr>
            </w:pPr>
            <w:r w:rsidRPr="0087010C">
              <w:rPr>
                <w:sz w:val="20"/>
                <w:lang w:val="fr-CA"/>
              </w:rPr>
              <w:t>Cour suprême du Canada</w:t>
            </w:r>
          </w:p>
        </w:tc>
        <w:tc>
          <w:tcPr>
            <w:tcW w:w="243" w:type="pct"/>
          </w:tcPr>
          <w:p w:rsidR="00F7565E" w:rsidRPr="0087010C" w:rsidRDefault="00F7565E" w:rsidP="00211A38">
            <w:pPr>
              <w:jc w:val="both"/>
              <w:rPr>
                <w:sz w:val="20"/>
                <w:lang w:val="fr-CA"/>
              </w:rPr>
            </w:pPr>
          </w:p>
        </w:tc>
        <w:tc>
          <w:tcPr>
            <w:tcW w:w="2330" w:type="pct"/>
          </w:tcPr>
          <w:p w:rsidR="00F7565E" w:rsidRPr="0087010C" w:rsidRDefault="00F7565E" w:rsidP="00211A38">
            <w:pPr>
              <w:jc w:val="both"/>
              <w:rPr>
                <w:sz w:val="20"/>
                <w:lang w:val="fr-CA"/>
              </w:rPr>
            </w:pPr>
            <w:r w:rsidRPr="0087010C">
              <w:rPr>
                <w:sz w:val="20"/>
                <w:lang w:val="fr-CA"/>
              </w:rPr>
              <w:t>Dépôt de la demande d’autorisation d’appel</w:t>
            </w:r>
          </w:p>
          <w:p w:rsidR="00F7565E" w:rsidRPr="0087010C" w:rsidRDefault="00F7565E" w:rsidP="00211A38">
            <w:pPr>
              <w:jc w:val="both"/>
              <w:rPr>
                <w:sz w:val="20"/>
                <w:lang w:val="fr-CA"/>
              </w:rPr>
            </w:pPr>
          </w:p>
        </w:tc>
      </w:tr>
    </w:tbl>
    <w:p w:rsidR="00F7565E" w:rsidRPr="0087010C" w:rsidRDefault="00F7565E" w:rsidP="00F7565E">
      <w:pPr>
        <w:jc w:val="both"/>
        <w:rPr>
          <w:sz w:val="20"/>
          <w:lang w:val="fr-CA"/>
        </w:rPr>
      </w:pPr>
    </w:p>
    <w:p w:rsidR="00F7565E" w:rsidRPr="0087010C" w:rsidRDefault="003A218E" w:rsidP="00F7565E">
      <w:pPr>
        <w:jc w:val="both"/>
        <w:rPr>
          <w:sz w:val="20"/>
          <w:lang w:val="fr-CA"/>
        </w:rPr>
      </w:pPr>
      <w:r>
        <w:rPr>
          <w:sz w:val="20"/>
        </w:rPr>
        <w:pict>
          <v:rect id="_x0000_i1046" style="width:2in;height:1pt" o:hrpct="0" o:hralign="center" o:hrstd="t" o:hrnoshade="t" o:hr="t" fillcolor="black [3213]" stroked="f"/>
        </w:pict>
      </w:r>
    </w:p>
    <w:p w:rsidR="00F7565E" w:rsidRPr="0087010C" w:rsidRDefault="00F7565E" w:rsidP="00F7565E">
      <w:pPr>
        <w:jc w:val="both"/>
        <w:rPr>
          <w:sz w:val="20"/>
          <w:lang w:val="fr-CA"/>
        </w:rPr>
      </w:pPr>
    </w:p>
    <w:p w:rsidR="00F7565E" w:rsidRDefault="00F7565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565E" w:rsidRPr="0087010C" w:rsidTr="00211A38">
        <w:tc>
          <w:tcPr>
            <w:tcW w:w="543" w:type="pct"/>
          </w:tcPr>
          <w:p w:rsidR="00F7565E" w:rsidRPr="0087010C" w:rsidRDefault="00F7565E" w:rsidP="00211A38">
            <w:pPr>
              <w:jc w:val="both"/>
              <w:rPr>
                <w:sz w:val="20"/>
              </w:rPr>
            </w:pPr>
            <w:r w:rsidRPr="0087010C">
              <w:rPr>
                <w:rStyle w:val="SCCFileNumberChar"/>
                <w:sz w:val="20"/>
                <w:szCs w:val="20"/>
              </w:rPr>
              <w:lastRenderedPageBreak/>
              <w:t>38479</w:t>
            </w:r>
          </w:p>
        </w:tc>
        <w:tc>
          <w:tcPr>
            <w:tcW w:w="4457" w:type="pct"/>
            <w:gridSpan w:val="3"/>
          </w:tcPr>
          <w:p w:rsidR="00F7565E" w:rsidRPr="0087010C" w:rsidRDefault="00F7565E" w:rsidP="00211A38">
            <w:pPr>
              <w:pStyle w:val="SCCLsocParty"/>
              <w:jc w:val="both"/>
              <w:rPr>
                <w:b/>
                <w:sz w:val="20"/>
                <w:szCs w:val="20"/>
                <w:lang w:val="en-US"/>
              </w:rPr>
            </w:pPr>
            <w:r w:rsidRPr="0087010C">
              <w:rPr>
                <w:b/>
                <w:sz w:val="20"/>
                <w:szCs w:val="20"/>
                <w:lang w:val="en-US"/>
              </w:rPr>
              <w:t>Chantal Dunn v. Attorney General of Canada, Office of the Public Sector Integrity Commissioner</w:t>
            </w:r>
            <w:r>
              <w:rPr>
                <w:b/>
                <w:sz w:val="20"/>
                <w:szCs w:val="20"/>
                <w:lang w:val="en-US"/>
              </w:rPr>
              <w:t xml:space="preserve"> of Canada</w:t>
            </w:r>
            <w:r w:rsidRPr="0087010C">
              <w:rPr>
                <w:b/>
                <w:sz w:val="20"/>
                <w:szCs w:val="20"/>
                <w:lang w:val="en-US"/>
              </w:rPr>
              <w:t xml:space="preserve"> and Sylvie </w:t>
            </w:r>
            <w:proofErr w:type="spellStart"/>
            <w:r w:rsidRPr="0087010C">
              <w:rPr>
                <w:b/>
                <w:sz w:val="20"/>
                <w:szCs w:val="20"/>
                <w:lang w:val="en-US"/>
              </w:rPr>
              <w:t>Lecompte</w:t>
            </w:r>
            <w:proofErr w:type="spellEnd"/>
          </w:p>
          <w:p w:rsidR="00F7565E" w:rsidRPr="0087010C" w:rsidRDefault="00F7565E" w:rsidP="00211A38">
            <w:pPr>
              <w:jc w:val="both"/>
              <w:rPr>
                <w:sz w:val="20"/>
              </w:rPr>
            </w:pPr>
            <w:r w:rsidRPr="0087010C">
              <w:rPr>
                <w:sz w:val="20"/>
              </w:rPr>
              <w:t>(F.C.) (Civil) (By Leave)</w:t>
            </w:r>
          </w:p>
        </w:tc>
      </w:tr>
      <w:tr w:rsidR="009B1A2E" w:rsidRPr="0087010C" w:rsidTr="009B1A2E">
        <w:tc>
          <w:tcPr>
            <w:tcW w:w="5000" w:type="pct"/>
            <w:gridSpan w:val="4"/>
          </w:tcPr>
          <w:p w:rsidR="009B1A2E" w:rsidRPr="00647612" w:rsidRDefault="009B1A2E" w:rsidP="009B1A2E">
            <w:pPr>
              <w:widowControl w:val="0"/>
              <w:rPr>
                <w:sz w:val="20"/>
              </w:rPr>
            </w:pPr>
            <w:r w:rsidRPr="00647612">
              <w:rPr>
                <w:sz w:val="20"/>
              </w:rPr>
              <w:t>The application for leave to appeal from the judgment of the Federal Court of Appeal, Number A-329-17, 2018 FCA 210, dated November 15, 2018, is dismissed with costs to the respondent, Attorney General of Canada.</w:t>
            </w:r>
          </w:p>
          <w:p w:rsidR="009B1A2E" w:rsidRPr="009B1A2E" w:rsidRDefault="009B1A2E" w:rsidP="00211A38">
            <w:pPr>
              <w:pStyle w:val="SCCLsocParty"/>
              <w:jc w:val="both"/>
              <w:rPr>
                <w:b/>
                <w:sz w:val="20"/>
                <w:szCs w:val="20"/>
                <w:lang w:val="en-CA"/>
              </w:rPr>
            </w:pPr>
          </w:p>
        </w:tc>
      </w:tr>
      <w:tr w:rsidR="00F7565E" w:rsidRPr="0087010C" w:rsidTr="00211A38">
        <w:tc>
          <w:tcPr>
            <w:tcW w:w="5000" w:type="pct"/>
            <w:gridSpan w:val="4"/>
          </w:tcPr>
          <w:p w:rsidR="00F7565E" w:rsidRPr="0087010C" w:rsidRDefault="00F7565E" w:rsidP="00211A38">
            <w:pPr>
              <w:jc w:val="both"/>
              <w:rPr>
                <w:sz w:val="20"/>
              </w:rPr>
            </w:pPr>
            <w:r w:rsidRPr="0087010C">
              <w:rPr>
                <w:sz w:val="20"/>
              </w:rPr>
              <w:t xml:space="preserve">Administrative law — Boards and tribunals — Public Servants Disclosure Protection Tribunal — Public servant applying to Tribunal for alleged reprisals against her as a result of protected disclosures — Federal Court of Appeal dismissing application for judicial review of Tribunal’s decision to dismiss application — Proper interpretation and application of </w:t>
            </w:r>
            <w:r w:rsidRPr="0087010C">
              <w:rPr>
                <w:i/>
                <w:sz w:val="20"/>
              </w:rPr>
              <w:t>Public Servants Disclosure Protection Act</w:t>
            </w:r>
            <w:r w:rsidRPr="0087010C">
              <w:rPr>
                <w:sz w:val="20"/>
              </w:rPr>
              <w:t xml:space="preserve">, S.C. 2005, c. 46 — Whether public servant can engage reprisal protections more than once for same disclosure of wrongdoing — Whether complaints required to meet a </w:t>
            </w:r>
            <w:r w:rsidRPr="0087010C">
              <w:rPr>
                <w:i/>
                <w:sz w:val="20"/>
              </w:rPr>
              <w:t xml:space="preserve">de </w:t>
            </w:r>
            <w:proofErr w:type="spellStart"/>
            <w:r w:rsidRPr="0087010C">
              <w:rPr>
                <w:i/>
                <w:sz w:val="20"/>
              </w:rPr>
              <w:t>minimus</w:t>
            </w:r>
            <w:proofErr w:type="spellEnd"/>
            <w:r w:rsidRPr="0087010C">
              <w:rPr>
                <w:sz w:val="20"/>
              </w:rPr>
              <w:t xml:space="preserve"> test to unlock its protections.</w:t>
            </w:r>
          </w:p>
        </w:tc>
      </w:tr>
      <w:tr w:rsidR="00F7565E" w:rsidRPr="0087010C" w:rsidTr="00211A38">
        <w:tc>
          <w:tcPr>
            <w:tcW w:w="5000" w:type="pct"/>
            <w:gridSpan w:val="4"/>
          </w:tcPr>
          <w:p w:rsidR="00F7565E" w:rsidRPr="0087010C" w:rsidRDefault="00F7565E" w:rsidP="00211A38">
            <w:pPr>
              <w:jc w:val="both"/>
              <w:rPr>
                <w:sz w:val="20"/>
              </w:rPr>
            </w:pPr>
          </w:p>
        </w:tc>
      </w:tr>
      <w:tr w:rsidR="00F7565E" w:rsidRPr="0087010C" w:rsidTr="00211A38">
        <w:tc>
          <w:tcPr>
            <w:tcW w:w="5000" w:type="pct"/>
            <w:gridSpan w:val="4"/>
          </w:tcPr>
          <w:p w:rsidR="00F7565E" w:rsidRPr="0087010C" w:rsidRDefault="00F7565E" w:rsidP="00211A38">
            <w:pPr>
              <w:jc w:val="both"/>
              <w:rPr>
                <w:sz w:val="20"/>
              </w:rPr>
            </w:pPr>
            <w:r w:rsidRPr="0087010C">
              <w:rPr>
                <w:sz w:val="20"/>
              </w:rPr>
              <w:t xml:space="preserve">The applicant, Ms. Dunn is a public servant who applied to the Public Servants Disclosure Protection Tribunal. The Tribunal dismissed her application under the </w:t>
            </w:r>
            <w:r w:rsidRPr="0087010C">
              <w:rPr>
                <w:i/>
                <w:sz w:val="20"/>
              </w:rPr>
              <w:t>Public Servants Disclosure Protection Act</w:t>
            </w:r>
            <w:r w:rsidRPr="0087010C">
              <w:rPr>
                <w:sz w:val="20"/>
              </w:rPr>
              <w:t xml:space="preserve">, S.C. 2005, </w:t>
            </w:r>
            <w:proofErr w:type="gramStart"/>
            <w:r w:rsidRPr="0087010C">
              <w:rPr>
                <w:sz w:val="20"/>
              </w:rPr>
              <w:t>c</w:t>
            </w:r>
            <w:proofErr w:type="gramEnd"/>
            <w:r w:rsidRPr="0087010C">
              <w:rPr>
                <w:sz w:val="20"/>
              </w:rPr>
              <w:t>. 46 for relief arising from alleged reprisals taken against her for protected disclosures. Ms. Dunn sought judicial review of the decision. The Federal Court of Appeal dismissed the appeal.</w:t>
            </w:r>
          </w:p>
          <w:p w:rsidR="00F7565E" w:rsidRPr="0087010C" w:rsidRDefault="00F7565E" w:rsidP="00211A38">
            <w:pPr>
              <w:jc w:val="both"/>
              <w:rPr>
                <w:sz w:val="20"/>
              </w:rPr>
            </w:pPr>
          </w:p>
        </w:tc>
      </w:tr>
      <w:tr w:rsidR="00F7565E" w:rsidRPr="0087010C" w:rsidTr="00211A38">
        <w:tc>
          <w:tcPr>
            <w:tcW w:w="2427" w:type="pct"/>
            <w:gridSpan w:val="2"/>
          </w:tcPr>
          <w:p w:rsidR="00F7565E" w:rsidRPr="0087010C" w:rsidRDefault="00F7565E" w:rsidP="00211A38">
            <w:pPr>
              <w:jc w:val="both"/>
              <w:rPr>
                <w:sz w:val="20"/>
              </w:rPr>
            </w:pPr>
            <w:r w:rsidRPr="0087010C">
              <w:rPr>
                <w:sz w:val="20"/>
              </w:rPr>
              <w:t>October 3, 2017</w:t>
            </w:r>
          </w:p>
          <w:p w:rsidR="00F7565E" w:rsidRPr="0087010C" w:rsidRDefault="00F7565E" w:rsidP="00211A38">
            <w:pPr>
              <w:jc w:val="both"/>
              <w:rPr>
                <w:sz w:val="20"/>
              </w:rPr>
            </w:pPr>
            <w:r w:rsidRPr="0087010C">
              <w:rPr>
                <w:sz w:val="20"/>
              </w:rPr>
              <w:t xml:space="preserve">Public Servants Disclosure Protection Tribunal </w:t>
            </w:r>
          </w:p>
          <w:p w:rsidR="00F7565E" w:rsidRPr="0087010C" w:rsidRDefault="00F7565E" w:rsidP="00211A38">
            <w:pPr>
              <w:jc w:val="both"/>
              <w:rPr>
                <w:sz w:val="20"/>
              </w:rPr>
            </w:pPr>
            <w:r w:rsidRPr="0087010C">
              <w:rPr>
                <w:sz w:val="20"/>
              </w:rPr>
              <w:t xml:space="preserve">(P. </w:t>
            </w:r>
            <w:proofErr w:type="spellStart"/>
            <w:r w:rsidRPr="0087010C">
              <w:rPr>
                <w:sz w:val="20"/>
              </w:rPr>
              <w:t>Annis</w:t>
            </w:r>
            <w:proofErr w:type="spellEnd"/>
            <w:r w:rsidRPr="0087010C">
              <w:rPr>
                <w:sz w:val="20"/>
              </w:rPr>
              <w:t>, Member)</w:t>
            </w:r>
          </w:p>
          <w:p w:rsidR="00F7565E" w:rsidRPr="0087010C" w:rsidRDefault="003A218E" w:rsidP="00211A38">
            <w:pPr>
              <w:jc w:val="both"/>
              <w:rPr>
                <w:sz w:val="20"/>
              </w:rPr>
            </w:pPr>
            <w:hyperlink r:id="rId43" w:history="1">
              <w:r w:rsidR="00F7565E" w:rsidRPr="0087010C">
                <w:rPr>
                  <w:rStyle w:val="Hyperlink"/>
                  <w:sz w:val="20"/>
                </w:rPr>
                <w:t>2017 PSDPT 3</w:t>
              </w:r>
            </w:hyperlink>
          </w:p>
          <w:p w:rsidR="00F7565E" w:rsidRPr="0087010C" w:rsidRDefault="00F7565E" w:rsidP="00211A38">
            <w:pPr>
              <w:jc w:val="both"/>
              <w:rPr>
                <w:sz w:val="20"/>
              </w:rPr>
            </w:pPr>
          </w:p>
        </w:tc>
        <w:tc>
          <w:tcPr>
            <w:tcW w:w="243" w:type="pct"/>
          </w:tcPr>
          <w:p w:rsidR="00F7565E" w:rsidRPr="0087010C" w:rsidRDefault="00F7565E" w:rsidP="00211A38">
            <w:pPr>
              <w:jc w:val="both"/>
              <w:rPr>
                <w:sz w:val="20"/>
              </w:rPr>
            </w:pPr>
          </w:p>
        </w:tc>
        <w:tc>
          <w:tcPr>
            <w:tcW w:w="2330" w:type="pct"/>
          </w:tcPr>
          <w:p w:rsidR="00F7565E" w:rsidRPr="0087010C" w:rsidRDefault="00F7565E" w:rsidP="00211A38">
            <w:pPr>
              <w:jc w:val="both"/>
              <w:rPr>
                <w:sz w:val="20"/>
              </w:rPr>
            </w:pPr>
            <w:r w:rsidRPr="0087010C">
              <w:rPr>
                <w:sz w:val="20"/>
              </w:rPr>
              <w:t>Application dismissed.</w:t>
            </w:r>
          </w:p>
          <w:p w:rsidR="00F7565E" w:rsidRPr="0087010C" w:rsidRDefault="00F7565E" w:rsidP="00211A38">
            <w:pPr>
              <w:jc w:val="both"/>
              <w:rPr>
                <w:sz w:val="20"/>
              </w:rPr>
            </w:pPr>
          </w:p>
        </w:tc>
      </w:tr>
      <w:tr w:rsidR="00F7565E" w:rsidRPr="0087010C" w:rsidTr="00211A38">
        <w:tc>
          <w:tcPr>
            <w:tcW w:w="2427" w:type="pct"/>
            <w:gridSpan w:val="2"/>
          </w:tcPr>
          <w:p w:rsidR="00F7565E" w:rsidRPr="0087010C" w:rsidRDefault="00F7565E" w:rsidP="00211A38">
            <w:pPr>
              <w:jc w:val="both"/>
              <w:rPr>
                <w:sz w:val="20"/>
              </w:rPr>
            </w:pPr>
            <w:r w:rsidRPr="0087010C">
              <w:rPr>
                <w:sz w:val="20"/>
              </w:rPr>
              <w:t>November 15, 2018</w:t>
            </w:r>
          </w:p>
          <w:p w:rsidR="00F7565E" w:rsidRPr="0087010C" w:rsidRDefault="00F7565E" w:rsidP="00211A38">
            <w:pPr>
              <w:jc w:val="both"/>
              <w:rPr>
                <w:sz w:val="20"/>
              </w:rPr>
            </w:pPr>
            <w:r w:rsidRPr="0087010C">
              <w:rPr>
                <w:sz w:val="20"/>
              </w:rPr>
              <w:t>Federal Court of Appeal</w:t>
            </w:r>
          </w:p>
          <w:p w:rsidR="00F7565E" w:rsidRPr="0087010C" w:rsidRDefault="00F7565E" w:rsidP="00211A38">
            <w:pPr>
              <w:jc w:val="both"/>
              <w:rPr>
                <w:sz w:val="20"/>
              </w:rPr>
            </w:pPr>
            <w:r w:rsidRPr="0087010C">
              <w:rPr>
                <w:sz w:val="20"/>
              </w:rPr>
              <w:t>(</w:t>
            </w:r>
            <w:proofErr w:type="spellStart"/>
            <w:r w:rsidRPr="0087010C">
              <w:rPr>
                <w:sz w:val="20"/>
              </w:rPr>
              <w:t>Stratas</w:t>
            </w:r>
            <w:proofErr w:type="spellEnd"/>
            <w:r w:rsidRPr="0087010C">
              <w:rPr>
                <w:sz w:val="20"/>
              </w:rPr>
              <w:t xml:space="preserve">, Rennie and </w:t>
            </w:r>
            <w:proofErr w:type="spellStart"/>
            <w:r w:rsidRPr="0087010C">
              <w:rPr>
                <w:sz w:val="20"/>
              </w:rPr>
              <w:t>Laskin</w:t>
            </w:r>
            <w:proofErr w:type="spellEnd"/>
            <w:r w:rsidRPr="0087010C">
              <w:rPr>
                <w:sz w:val="20"/>
              </w:rPr>
              <w:t xml:space="preserve"> JJ.A.)</w:t>
            </w:r>
          </w:p>
          <w:p w:rsidR="00F7565E" w:rsidRPr="0087010C" w:rsidRDefault="003A218E" w:rsidP="00211A38">
            <w:pPr>
              <w:jc w:val="both"/>
              <w:rPr>
                <w:sz w:val="20"/>
              </w:rPr>
            </w:pPr>
            <w:hyperlink r:id="rId44" w:history="1">
              <w:r w:rsidR="00F7565E" w:rsidRPr="0087010C">
                <w:rPr>
                  <w:rStyle w:val="Hyperlink"/>
                  <w:sz w:val="20"/>
                </w:rPr>
                <w:t>2018 FCA 210</w:t>
              </w:r>
            </w:hyperlink>
          </w:p>
          <w:p w:rsidR="00F7565E" w:rsidRPr="0087010C" w:rsidRDefault="00F7565E" w:rsidP="00211A38">
            <w:pPr>
              <w:jc w:val="both"/>
              <w:rPr>
                <w:sz w:val="20"/>
              </w:rPr>
            </w:pPr>
          </w:p>
        </w:tc>
        <w:tc>
          <w:tcPr>
            <w:tcW w:w="243" w:type="pct"/>
          </w:tcPr>
          <w:p w:rsidR="00F7565E" w:rsidRPr="0087010C" w:rsidRDefault="00F7565E" w:rsidP="00211A38">
            <w:pPr>
              <w:jc w:val="both"/>
              <w:rPr>
                <w:sz w:val="20"/>
              </w:rPr>
            </w:pPr>
          </w:p>
        </w:tc>
        <w:tc>
          <w:tcPr>
            <w:tcW w:w="2330" w:type="pct"/>
          </w:tcPr>
          <w:p w:rsidR="00F7565E" w:rsidRPr="0087010C" w:rsidRDefault="00F7565E" w:rsidP="00211A38">
            <w:pPr>
              <w:jc w:val="both"/>
              <w:rPr>
                <w:sz w:val="20"/>
              </w:rPr>
            </w:pPr>
            <w:r w:rsidRPr="0087010C">
              <w:rPr>
                <w:sz w:val="20"/>
              </w:rPr>
              <w:t>Application for judicial review dismissed.</w:t>
            </w:r>
          </w:p>
          <w:p w:rsidR="00F7565E" w:rsidRPr="0087010C" w:rsidRDefault="00F7565E" w:rsidP="00211A38">
            <w:pPr>
              <w:jc w:val="both"/>
              <w:rPr>
                <w:sz w:val="20"/>
              </w:rPr>
            </w:pPr>
          </w:p>
        </w:tc>
      </w:tr>
      <w:tr w:rsidR="00F7565E" w:rsidRPr="0087010C" w:rsidTr="00211A38">
        <w:tc>
          <w:tcPr>
            <w:tcW w:w="2427" w:type="pct"/>
            <w:gridSpan w:val="2"/>
          </w:tcPr>
          <w:p w:rsidR="00F7565E" w:rsidRPr="0087010C" w:rsidRDefault="00F7565E" w:rsidP="00211A38">
            <w:pPr>
              <w:jc w:val="both"/>
              <w:rPr>
                <w:sz w:val="20"/>
              </w:rPr>
            </w:pPr>
            <w:r w:rsidRPr="0087010C">
              <w:rPr>
                <w:sz w:val="20"/>
              </w:rPr>
              <w:t>January 14, 2019</w:t>
            </w:r>
          </w:p>
          <w:p w:rsidR="00F7565E" w:rsidRPr="0087010C" w:rsidRDefault="00F7565E" w:rsidP="00211A38">
            <w:pPr>
              <w:jc w:val="both"/>
              <w:rPr>
                <w:sz w:val="20"/>
              </w:rPr>
            </w:pPr>
            <w:r w:rsidRPr="0087010C">
              <w:rPr>
                <w:sz w:val="20"/>
              </w:rPr>
              <w:t>Supreme Court of Canada</w:t>
            </w:r>
          </w:p>
        </w:tc>
        <w:tc>
          <w:tcPr>
            <w:tcW w:w="243" w:type="pct"/>
          </w:tcPr>
          <w:p w:rsidR="00F7565E" w:rsidRPr="0087010C" w:rsidRDefault="00F7565E" w:rsidP="00211A38">
            <w:pPr>
              <w:jc w:val="both"/>
              <w:rPr>
                <w:sz w:val="20"/>
              </w:rPr>
            </w:pPr>
          </w:p>
        </w:tc>
        <w:tc>
          <w:tcPr>
            <w:tcW w:w="2330" w:type="pct"/>
          </w:tcPr>
          <w:p w:rsidR="00F7565E" w:rsidRPr="0087010C" w:rsidRDefault="00F7565E" w:rsidP="00211A38">
            <w:pPr>
              <w:jc w:val="both"/>
              <w:rPr>
                <w:sz w:val="20"/>
              </w:rPr>
            </w:pPr>
            <w:r w:rsidRPr="0087010C">
              <w:rPr>
                <w:sz w:val="20"/>
              </w:rPr>
              <w:t>Application for leave to appeal filed.</w:t>
            </w:r>
          </w:p>
          <w:p w:rsidR="00F7565E" w:rsidRPr="0087010C" w:rsidRDefault="00F7565E" w:rsidP="00211A38">
            <w:pPr>
              <w:jc w:val="both"/>
              <w:rPr>
                <w:sz w:val="20"/>
              </w:rPr>
            </w:pPr>
          </w:p>
        </w:tc>
      </w:tr>
    </w:tbl>
    <w:p w:rsidR="00F7565E" w:rsidRPr="0087010C" w:rsidRDefault="00F7565E" w:rsidP="00F7565E">
      <w:pPr>
        <w:jc w:val="both"/>
        <w:rPr>
          <w:sz w:val="20"/>
        </w:rPr>
      </w:pPr>
    </w:p>
    <w:p w:rsidR="00F7565E" w:rsidRPr="0087010C" w:rsidRDefault="00F7565E" w:rsidP="00F7565E">
      <w:pPr>
        <w:jc w:val="both"/>
        <w:rPr>
          <w:sz w:val="20"/>
        </w:rPr>
      </w:pPr>
    </w:p>
    <w:p w:rsidR="00F7565E" w:rsidRPr="0087010C" w:rsidRDefault="00F7565E" w:rsidP="00F7565E">
      <w:pPr>
        <w:jc w:val="both"/>
        <w:rPr>
          <w:sz w:val="20"/>
        </w:rPr>
      </w:pPr>
    </w:p>
    <w:p w:rsidR="00F7565E" w:rsidRDefault="00F7565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565E" w:rsidRPr="0087010C" w:rsidTr="00211A38">
        <w:tc>
          <w:tcPr>
            <w:tcW w:w="543" w:type="pct"/>
          </w:tcPr>
          <w:p w:rsidR="00F7565E" w:rsidRPr="0087010C" w:rsidRDefault="00F7565E" w:rsidP="00211A38">
            <w:pPr>
              <w:jc w:val="both"/>
              <w:rPr>
                <w:sz w:val="20"/>
                <w:lang w:val="fr-CA"/>
              </w:rPr>
            </w:pPr>
            <w:r w:rsidRPr="0087010C">
              <w:rPr>
                <w:rStyle w:val="SCCFileNumberChar"/>
                <w:sz w:val="20"/>
                <w:szCs w:val="20"/>
                <w:lang w:val="fr-CA"/>
              </w:rPr>
              <w:lastRenderedPageBreak/>
              <w:t>38479</w:t>
            </w:r>
          </w:p>
        </w:tc>
        <w:tc>
          <w:tcPr>
            <w:tcW w:w="4457" w:type="pct"/>
            <w:gridSpan w:val="3"/>
          </w:tcPr>
          <w:p w:rsidR="00F7565E" w:rsidRPr="0087010C" w:rsidRDefault="00F7565E" w:rsidP="00211A38">
            <w:pPr>
              <w:pStyle w:val="SCCLsocParty"/>
              <w:jc w:val="both"/>
              <w:rPr>
                <w:b/>
                <w:sz w:val="20"/>
                <w:szCs w:val="20"/>
              </w:rPr>
            </w:pPr>
            <w:r w:rsidRPr="0087010C">
              <w:rPr>
                <w:b/>
                <w:sz w:val="20"/>
                <w:szCs w:val="20"/>
              </w:rPr>
              <w:t xml:space="preserve">Chantal Dunn c. Procureur général du Canada, Commissariat à l’intégrité du secteur public </w:t>
            </w:r>
            <w:r>
              <w:rPr>
                <w:b/>
                <w:sz w:val="20"/>
                <w:szCs w:val="20"/>
              </w:rPr>
              <w:t xml:space="preserve">du Canada </w:t>
            </w:r>
            <w:r w:rsidRPr="0087010C">
              <w:rPr>
                <w:b/>
                <w:sz w:val="20"/>
                <w:szCs w:val="20"/>
              </w:rPr>
              <w:t>et Sylvie Lecompte</w:t>
            </w:r>
          </w:p>
          <w:p w:rsidR="00F7565E" w:rsidRPr="0087010C" w:rsidRDefault="00F7565E" w:rsidP="00211A38">
            <w:pPr>
              <w:jc w:val="both"/>
              <w:rPr>
                <w:sz w:val="20"/>
                <w:lang w:val="fr-CA"/>
              </w:rPr>
            </w:pPr>
            <w:r w:rsidRPr="0087010C">
              <w:rPr>
                <w:sz w:val="20"/>
                <w:lang w:val="fr-CA"/>
              </w:rPr>
              <w:t>(C.F.) (Civile) (Autorisation)</w:t>
            </w:r>
          </w:p>
        </w:tc>
      </w:tr>
      <w:tr w:rsidR="009B1A2E" w:rsidRPr="003A218E" w:rsidTr="009B1A2E">
        <w:tc>
          <w:tcPr>
            <w:tcW w:w="5000" w:type="pct"/>
            <w:gridSpan w:val="4"/>
          </w:tcPr>
          <w:p w:rsidR="009B1A2E" w:rsidRPr="00647612" w:rsidRDefault="009B1A2E" w:rsidP="009B1A2E">
            <w:pPr>
              <w:widowControl w:val="0"/>
              <w:rPr>
                <w:sz w:val="20"/>
                <w:lang w:val="fr-CA"/>
              </w:rPr>
            </w:pPr>
            <w:r w:rsidRPr="00647612">
              <w:rPr>
                <w:sz w:val="20"/>
                <w:lang w:val="fr-CA"/>
              </w:rPr>
              <w:t>La demande d’autorisation d’appel de l’arrêt de la Cour d’appel fédérale, numéro A-329-17, 2018 CAF 210, daté du 15 novembre 2018, est rejetée avec dépens en faveur de l’intimé, procureur général du Canada.</w:t>
            </w:r>
          </w:p>
          <w:p w:rsidR="009B1A2E" w:rsidRPr="0087010C" w:rsidRDefault="009B1A2E" w:rsidP="00211A38">
            <w:pPr>
              <w:pStyle w:val="SCCLsocParty"/>
              <w:jc w:val="both"/>
              <w:rPr>
                <w:b/>
                <w:sz w:val="20"/>
                <w:szCs w:val="20"/>
              </w:rPr>
            </w:pPr>
          </w:p>
        </w:tc>
      </w:tr>
      <w:tr w:rsidR="00F7565E" w:rsidRPr="003A218E" w:rsidTr="00211A38">
        <w:tc>
          <w:tcPr>
            <w:tcW w:w="5000" w:type="pct"/>
            <w:gridSpan w:val="4"/>
          </w:tcPr>
          <w:p w:rsidR="00F7565E" w:rsidRPr="0087010C" w:rsidRDefault="00F7565E" w:rsidP="00211A38">
            <w:pPr>
              <w:jc w:val="both"/>
              <w:rPr>
                <w:sz w:val="20"/>
                <w:lang w:val="fr-CA"/>
              </w:rPr>
            </w:pPr>
            <w:r w:rsidRPr="0087010C">
              <w:rPr>
                <w:sz w:val="20"/>
                <w:lang w:val="fr-CA"/>
              </w:rPr>
              <w:t xml:space="preserve">Droit administratif — Organismes et tribunaux administratifs — Tribunal de la protection des fonctionnaires divulgateurs d’actes répréhensibles — Une fonctionnaire a présenté une demande au Tribunal en raison des représailles dont elle aurait été victime relativement à une divulgation protégée — La Cour d’appel fédérale a rejeté la demande de contrôle judiciaire de la décision du Tribunal de rejeter la demande — Interprétation et application appropriées de la </w:t>
            </w:r>
            <w:r w:rsidRPr="0087010C">
              <w:rPr>
                <w:i/>
                <w:iCs/>
                <w:sz w:val="20"/>
                <w:lang w:val="fr-CA"/>
              </w:rPr>
              <w:t>Loi sur la protection des fonctionnaires divulgateurs d’actes répréhensibles</w:t>
            </w:r>
            <w:r w:rsidRPr="0087010C">
              <w:rPr>
                <w:sz w:val="20"/>
                <w:lang w:val="fr-CA"/>
              </w:rPr>
              <w:t>, L.C. 2005, ch. 46 — Une fonctionnaire peut-elle introduire des demandes de protection contre les représailles plus d’une fois pour une même divulgation d’actes répréhensibles?  — Les plaintes doivent-elles satisfaire à un critère « </w:t>
            </w:r>
            <w:r w:rsidRPr="0087010C">
              <w:rPr>
                <w:i/>
                <w:sz w:val="20"/>
                <w:lang w:val="fr-CA"/>
              </w:rPr>
              <w:t xml:space="preserve">de </w:t>
            </w:r>
            <w:proofErr w:type="spellStart"/>
            <w:r w:rsidRPr="0087010C">
              <w:rPr>
                <w:i/>
                <w:sz w:val="20"/>
                <w:lang w:val="fr-CA"/>
              </w:rPr>
              <w:t>minimis</w:t>
            </w:r>
            <w:proofErr w:type="spellEnd"/>
            <w:r w:rsidRPr="0087010C">
              <w:rPr>
                <w:sz w:val="20"/>
                <w:lang w:val="fr-CA"/>
              </w:rPr>
              <w:t> » pour que ses protections s’appliquent?</w:t>
            </w:r>
          </w:p>
        </w:tc>
      </w:tr>
      <w:tr w:rsidR="00F7565E" w:rsidRPr="003A218E" w:rsidTr="00211A38">
        <w:tc>
          <w:tcPr>
            <w:tcW w:w="5000" w:type="pct"/>
            <w:gridSpan w:val="4"/>
          </w:tcPr>
          <w:p w:rsidR="00F7565E" w:rsidRPr="0087010C" w:rsidRDefault="00F7565E" w:rsidP="00211A38">
            <w:pPr>
              <w:jc w:val="both"/>
              <w:rPr>
                <w:sz w:val="20"/>
                <w:lang w:val="fr-CA"/>
              </w:rPr>
            </w:pPr>
          </w:p>
        </w:tc>
      </w:tr>
      <w:tr w:rsidR="00F7565E" w:rsidRPr="0087010C" w:rsidTr="00211A38">
        <w:tc>
          <w:tcPr>
            <w:tcW w:w="5000" w:type="pct"/>
            <w:gridSpan w:val="4"/>
          </w:tcPr>
          <w:p w:rsidR="00F7565E" w:rsidRPr="0087010C" w:rsidRDefault="00F7565E" w:rsidP="00211A38">
            <w:pPr>
              <w:jc w:val="both"/>
              <w:rPr>
                <w:sz w:val="20"/>
                <w:lang w:val="fr-CA"/>
              </w:rPr>
            </w:pPr>
            <w:r w:rsidRPr="0087010C">
              <w:rPr>
                <w:sz w:val="20"/>
                <w:lang w:val="fr-CA"/>
              </w:rPr>
              <w:t>La demanderesse, Mme Dunn, est une fonctionnaire qui a présenté une demande au Tribunal de la protection des fonctionnaires divulgateurs d’actes répréhensibles. Le Tribunal a refusé de prendre les mesures de réparation qu’elle demandait au titre de la </w:t>
            </w:r>
            <w:r w:rsidRPr="0087010C">
              <w:rPr>
                <w:i/>
                <w:iCs/>
                <w:sz w:val="20"/>
                <w:lang w:val="fr-CA"/>
              </w:rPr>
              <w:t>Loi sur la protection des fonctionnaires divulgateurs d’actes répréhensibles</w:t>
            </w:r>
            <w:r w:rsidRPr="0087010C">
              <w:rPr>
                <w:sz w:val="20"/>
                <w:lang w:val="fr-CA"/>
              </w:rPr>
              <w:t>, L.C. 2005, ch. 46, en raison des représailles dont elle aurait été victime relativement à une divulgation protégée. Madame Dunn a demandé le contrôle judiciaire de la décision. La Cour d’appel fédérale a rejeté l’appel.</w:t>
            </w:r>
          </w:p>
          <w:p w:rsidR="00F7565E" w:rsidRPr="0087010C" w:rsidRDefault="00F7565E" w:rsidP="00211A38">
            <w:pPr>
              <w:jc w:val="both"/>
              <w:rPr>
                <w:sz w:val="20"/>
                <w:lang w:val="fr-CA"/>
              </w:rPr>
            </w:pPr>
          </w:p>
        </w:tc>
      </w:tr>
      <w:tr w:rsidR="00F7565E" w:rsidRPr="0087010C" w:rsidTr="00211A38">
        <w:tc>
          <w:tcPr>
            <w:tcW w:w="2427" w:type="pct"/>
            <w:gridSpan w:val="2"/>
          </w:tcPr>
          <w:p w:rsidR="00F7565E" w:rsidRPr="0087010C" w:rsidRDefault="00F7565E" w:rsidP="00211A38">
            <w:pPr>
              <w:jc w:val="both"/>
              <w:rPr>
                <w:sz w:val="20"/>
                <w:lang w:val="fr-CA"/>
              </w:rPr>
            </w:pPr>
            <w:r w:rsidRPr="0087010C">
              <w:rPr>
                <w:sz w:val="20"/>
                <w:lang w:val="fr-CA"/>
              </w:rPr>
              <w:t>3 octobre 2017</w:t>
            </w:r>
          </w:p>
          <w:p w:rsidR="00F7565E" w:rsidRPr="0087010C" w:rsidRDefault="00F7565E" w:rsidP="00211A38">
            <w:pPr>
              <w:jc w:val="both"/>
              <w:rPr>
                <w:sz w:val="20"/>
                <w:lang w:val="fr-CA"/>
              </w:rPr>
            </w:pPr>
            <w:r w:rsidRPr="0087010C">
              <w:rPr>
                <w:sz w:val="20"/>
                <w:lang w:val="fr-CA"/>
              </w:rPr>
              <w:t xml:space="preserve">Tribunal de la protection des fonctionnaires divulgateurs d’actes répréhensibles </w:t>
            </w:r>
          </w:p>
          <w:p w:rsidR="00F7565E" w:rsidRPr="0087010C" w:rsidRDefault="00F7565E" w:rsidP="00211A38">
            <w:pPr>
              <w:jc w:val="both"/>
              <w:rPr>
                <w:sz w:val="20"/>
                <w:lang w:val="fr-CA"/>
              </w:rPr>
            </w:pPr>
            <w:r w:rsidRPr="0087010C">
              <w:rPr>
                <w:sz w:val="20"/>
                <w:lang w:val="fr-CA"/>
              </w:rPr>
              <w:t xml:space="preserve">(Juge </w:t>
            </w:r>
            <w:proofErr w:type="spellStart"/>
            <w:r w:rsidRPr="0087010C">
              <w:rPr>
                <w:sz w:val="20"/>
                <w:lang w:val="fr-CA"/>
              </w:rPr>
              <w:t>Annis</w:t>
            </w:r>
            <w:proofErr w:type="spellEnd"/>
            <w:r w:rsidRPr="0087010C">
              <w:rPr>
                <w:sz w:val="20"/>
                <w:lang w:val="fr-CA"/>
              </w:rPr>
              <w:t>)</w:t>
            </w:r>
          </w:p>
          <w:p w:rsidR="00F7565E" w:rsidRPr="0087010C" w:rsidRDefault="003A218E" w:rsidP="00211A38">
            <w:pPr>
              <w:jc w:val="both"/>
              <w:rPr>
                <w:sz w:val="20"/>
                <w:lang w:val="fr-CA"/>
              </w:rPr>
            </w:pPr>
            <w:hyperlink r:id="rId45" w:history="1">
              <w:r w:rsidR="00F7565E" w:rsidRPr="0087010C">
                <w:rPr>
                  <w:rStyle w:val="Hyperlink"/>
                  <w:sz w:val="20"/>
                  <w:lang w:val="fr-CA"/>
                </w:rPr>
                <w:t>2017 TPFD 3</w:t>
              </w:r>
            </w:hyperlink>
          </w:p>
          <w:p w:rsidR="00F7565E" w:rsidRPr="0087010C" w:rsidRDefault="00F7565E" w:rsidP="00211A38">
            <w:pPr>
              <w:jc w:val="both"/>
              <w:rPr>
                <w:sz w:val="20"/>
                <w:lang w:val="fr-CA"/>
              </w:rPr>
            </w:pPr>
          </w:p>
        </w:tc>
        <w:tc>
          <w:tcPr>
            <w:tcW w:w="243" w:type="pct"/>
          </w:tcPr>
          <w:p w:rsidR="00F7565E" w:rsidRPr="0087010C" w:rsidRDefault="00F7565E" w:rsidP="00211A38">
            <w:pPr>
              <w:jc w:val="both"/>
              <w:rPr>
                <w:sz w:val="20"/>
                <w:lang w:val="fr-CA"/>
              </w:rPr>
            </w:pPr>
          </w:p>
        </w:tc>
        <w:tc>
          <w:tcPr>
            <w:tcW w:w="2330" w:type="pct"/>
          </w:tcPr>
          <w:p w:rsidR="00F7565E" w:rsidRPr="0087010C" w:rsidRDefault="00F7565E" w:rsidP="00211A38">
            <w:pPr>
              <w:jc w:val="both"/>
              <w:rPr>
                <w:sz w:val="20"/>
                <w:lang w:val="fr-CA"/>
              </w:rPr>
            </w:pPr>
            <w:r w:rsidRPr="0087010C">
              <w:rPr>
                <w:sz w:val="20"/>
                <w:lang w:val="fr-CA"/>
              </w:rPr>
              <w:t>Rejet de la demande.</w:t>
            </w:r>
          </w:p>
          <w:p w:rsidR="00F7565E" w:rsidRPr="0087010C" w:rsidRDefault="00F7565E" w:rsidP="00211A38">
            <w:pPr>
              <w:jc w:val="both"/>
              <w:rPr>
                <w:sz w:val="20"/>
                <w:lang w:val="fr-CA"/>
              </w:rPr>
            </w:pPr>
          </w:p>
        </w:tc>
      </w:tr>
      <w:tr w:rsidR="00F7565E" w:rsidRPr="003A218E" w:rsidTr="00211A38">
        <w:tc>
          <w:tcPr>
            <w:tcW w:w="2427" w:type="pct"/>
            <w:gridSpan w:val="2"/>
          </w:tcPr>
          <w:p w:rsidR="00F7565E" w:rsidRPr="0087010C" w:rsidRDefault="00F7565E" w:rsidP="00211A38">
            <w:pPr>
              <w:jc w:val="both"/>
              <w:rPr>
                <w:sz w:val="20"/>
                <w:lang w:val="fr-CA"/>
              </w:rPr>
            </w:pPr>
            <w:r w:rsidRPr="0087010C">
              <w:rPr>
                <w:sz w:val="20"/>
                <w:lang w:val="fr-CA"/>
              </w:rPr>
              <w:t>15 novembre 2018</w:t>
            </w:r>
          </w:p>
          <w:p w:rsidR="00F7565E" w:rsidRPr="0087010C" w:rsidRDefault="00F7565E" w:rsidP="00211A38">
            <w:pPr>
              <w:jc w:val="both"/>
              <w:rPr>
                <w:sz w:val="20"/>
                <w:lang w:val="fr-CA"/>
              </w:rPr>
            </w:pPr>
            <w:r w:rsidRPr="0087010C">
              <w:rPr>
                <w:sz w:val="20"/>
                <w:lang w:val="fr-CA"/>
              </w:rPr>
              <w:t>Cour d’appel fédérale</w:t>
            </w:r>
          </w:p>
          <w:p w:rsidR="00F7565E" w:rsidRPr="0087010C" w:rsidRDefault="00F7565E" w:rsidP="00211A38">
            <w:pPr>
              <w:jc w:val="both"/>
              <w:rPr>
                <w:sz w:val="20"/>
                <w:lang w:val="fr-CA"/>
              </w:rPr>
            </w:pPr>
            <w:r w:rsidRPr="0087010C">
              <w:rPr>
                <w:sz w:val="20"/>
                <w:lang w:val="fr-CA"/>
              </w:rPr>
              <w:t xml:space="preserve">(Juges </w:t>
            </w:r>
            <w:proofErr w:type="spellStart"/>
            <w:r w:rsidRPr="0087010C">
              <w:rPr>
                <w:sz w:val="20"/>
                <w:lang w:val="fr-CA"/>
              </w:rPr>
              <w:t>Stratas</w:t>
            </w:r>
            <w:proofErr w:type="spellEnd"/>
            <w:r w:rsidRPr="0087010C">
              <w:rPr>
                <w:sz w:val="20"/>
                <w:lang w:val="fr-CA"/>
              </w:rPr>
              <w:t xml:space="preserve">, Rennie et </w:t>
            </w:r>
            <w:proofErr w:type="spellStart"/>
            <w:r w:rsidRPr="0087010C">
              <w:rPr>
                <w:sz w:val="20"/>
                <w:lang w:val="fr-CA"/>
              </w:rPr>
              <w:t>Laskin</w:t>
            </w:r>
            <w:proofErr w:type="spellEnd"/>
            <w:r w:rsidRPr="0087010C">
              <w:rPr>
                <w:sz w:val="20"/>
                <w:lang w:val="fr-CA"/>
              </w:rPr>
              <w:t>)</w:t>
            </w:r>
          </w:p>
          <w:p w:rsidR="00F7565E" w:rsidRPr="0087010C" w:rsidRDefault="003A218E" w:rsidP="00211A38">
            <w:pPr>
              <w:jc w:val="both"/>
              <w:rPr>
                <w:sz w:val="20"/>
                <w:lang w:val="fr-CA"/>
              </w:rPr>
            </w:pPr>
            <w:hyperlink r:id="rId46" w:history="1">
              <w:r w:rsidR="00F7565E" w:rsidRPr="0087010C">
                <w:rPr>
                  <w:rStyle w:val="Hyperlink"/>
                  <w:sz w:val="20"/>
                  <w:lang w:val="fr-CA"/>
                </w:rPr>
                <w:t>2018 CAF 210</w:t>
              </w:r>
            </w:hyperlink>
          </w:p>
          <w:p w:rsidR="00F7565E" w:rsidRPr="0087010C" w:rsidRDefault="00F7565E" w:rsidP="00211A38">
            <w:pPr>
              <w:jc w:val="both"/>
              <w:rPr>
                <w:sz w:val="20"/>
                <w:lang w:val="fr-CA"/>
              </w:rPr>
            </w:pPr>
          </w:p>
        </w:tc>
        <w:tc>
          <w:tcPr>
            <w:tcW w:w="243" w:type="pct"/>
          </w:tcPr>
          <w:p w:rsidR="00F7565E" w:rsidRPr="0087010C" w:rsidRDefault="00F7565E" w:rsidP="00211A38">
            <w:pPr>
              <w:jc w:val="both"/>
              <w:rPr>
                <w:sz w:val="20"/>
                <w:lang w:val="fr-CA"/>
              </w:rPr>
            </w:pPr>
          </w:p>
        </w:tc>
        <w:tc>
          <w:tcPr>
            <w:tcW w:w="2330" w:type="pct"/>
          </w:tcPr>
          <w:p w:rsidR="00F7565E" w:rsidRPr="0087010C" w:rsidRDefault="00F7565E" w:rsidP="00211A38">
            <w:pPr>
              <w:jc w:val="both"/>
              <w:rPr>
                <w:sz w:val="20"/>
                <w:lang w:val="fr-CA"/>
              </w:rPr>
            </w:pPr>
            <w:r w:rsidRPr="0087010C">
              <w:rPr>
                <w:sz w:val="20"/>
                <w:lang w:val="fr-CA"/>
              </w:rPr>
              <w:t>Rejet de la demande de contrôle judiciaire.</w:t>
            </w:r>
          </w:p>
          <w:p w:rsidR="00F7565E" w:rsidRPr="0087010C" w:rsidRDefault="00F7565E" w:rsidP="00211A38">
            <w:pPr>
              <w:jc w:val="both"/>
              <w:rPr>
                <w:sz w:val="20"/>
                <w:lang w:val="fr-CA"/>
              </w:rPr>
            </w:pPr>
          </w:p>
        </w:tc>
      </w:tr>
      <w:tr w:rsidR="00F7565E" w:rsidRPr="003A218E" w:rsidTr="00211A38">
        <w:tc>
          <w:tcPr>
            <w:tcW w:w="2427" w:type="pct"/>
            <w:gridSpan w:val="2"/>
          </w:tcPr>
          <w:p w:rsidR="00F7565E" w:rsidRPr="0087010C" w:rsidRDefault="00F7565E" w:rsidP="00211A38">
            <w:pPr>
              <w:jc w:val="both"/>
              <w:rPr>
                <w:sz w:val="20"/>
                <w:lang w:val="fr-CA"/>
              </w:rPr>
            </w:pPr>
            <w:r w:rsidRPr="0087010C">
              <w:rPr>
                <w:sz w:val="20"/>
                <w:lang w:val="fr-CA"/>
              </w:rPr>
              <w:t>14 janvier 2019</w:t>
            </w:r>
          </w:p>
          <w:p w:rsidR="00F7565E" w:rsidRPr="0087010C" w:rsidRDefault="00F7565E" w:rsidP="00211A38">
            <w:pPr>
              <w:jc w:val="both"/>
              <w:rPr>
                <w:sz w:val="20"/>
                <w:lang w:val="fr-CA"/>
              </w:rPr>
            </w:pPr>
            <w:r w:rsidRPr="0087010C">
              <w:rPr>
                <w:sz w:val="20"/>
                <w:lang w:val="fr-CA"/>
              </w:rPr>
              <w:t>Cour suprême du Canada</w:t>
            </w:r>
          </w:p>
        </w:tc>
        <w:tc>
          <w:tcPr>
            <w:tcW w:w="243" w:type="pct"/>
          </w:tcPr>
          <w:p w:rsidR="00F7565E" w:rsidRPr="0087010C" w:rsidRDefault="00F7565E" w:rsidP="00211A38">
            <w:pPr>
              <w:jc w:val="both"/>
              <w:rPr>
                <w:sz w:val="20"/>
                <w:lang w:val="fr-CA"/>
              </w:rPr>
            </w:pPr>
          </w:p>
        </w:tc>
        <w:tc>
          <w:tcPr>
            <w:tcW w:w="2330" w:type="pct"/>
          </w:tcPr>
          <w:p w:rsidR="00F7565E" w:rsidRPr="0087010C" w:rsidRDefault="00F7565E" w:rsidP="00211A38">
            <w:pPr>
              <w:jc w:val="both"/>
              <w:rPr>
                <w:sz w:val="20"/>
                <w:lang w:val="fr-CA"/>
              </w:rPr>
            </w:pPr>
            <w:r w:rsidRPr="0087010C">
              <w:rPr>
                <w:sz w:val="20"/>
                <w:lang w:val="fr-CA"/>
              </w:rPr>
              <w:t>Dépôt de la demande d’autorisation d’appel.</w:t>
            </w:r>
          </w:p>
          <w:p w:rsidR="00F7565E" w:rsidRPr="0087010C" w:rsidRDefault="00F7565E" w:rsidP="00211A38">
            <w:pPr>
              <w:jc w:val="both"/>
              <w:rPr>
                <w:sz w:val="20"/>
                <w:lang w:val="fr-CA"/>
              </w:rPr>
            </w:pPr>
          </w:p>
        </w:tc>
      </w:tr>
    </w:tbl>
    <w:p w:rsidR="00F7565E" w:rsidRPr="0087010C" w:rsidRDefault="00F7565E" w:rsidP="00F7565E">
      <w:pPr>
        <w:jc w:val="both"/>
        <w:rPr>
          <w:sz w:val="20"/>
          <w:lang w:val="fr-CA"/>
        </w:rPr>
      </w:pPr>
    </w:p>
    <w:p w:rsidR="00F7565E" w:rsidRPr="0087010C" w:rsidRDefault="003A218E" w:rsidP="00F7565E">
      <w:pPr>
        <w:jc w:val="both"/>
        <w:rPr>
          <w:sz w:val="20"/>
          <w:lang w:val="fr-CA"/>
        </w:rPr>
      </w:pPr>
      <w:r>
        <w:rPr>
          <w:sz w:val="20"/>
        </w:rPr>
        <w:pict>
          <v:rect id="_x0000_i1047" style="width:2in;height:1pt" o:hrpct="0" o:hralign="center" o:hrstd="t" o:hrnoshade="t" o:hr="t" fillcolor="black [3213]" stroked="f"/>
        </w:pict>
      </w:r>
    </w:p>
    <w:p w:rsidR="00F7565E" w:rsidRPr="0087010C" w:rsidRDefault="00F7565E" w:rsidP="00F7565E">
      <w:pPr>
        <w:ind w:left="142" w:hanging="142"/>
        <w:jc w:val="both"/>
        <w:rPr>
          <w:sz w:val="20"/>
          <w:lang w:val="fr-CA"/>
        </w:rPr>
      </w:pPr>
    </w:p>
    <w:p w:rsidR="00F7565E" w:rsidRDefault="00F7565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565E" w:rsidRPr="0087010C" w:rsidTr="00211A38">
        <w:tc>
          <w:tcPr>
            <w:tcW w:w="543" w:type="pct"/>
          </w:tcPr>
          <w:p w:rsidR="00F7565E" w:rsidRPr="0087010C" w:rsidRDefault="00F7565E" w:rsidP="00211A38">
            <w:pPr>
              <w:jc w:val="both"/>
              <w:rPr>
                <w:sz w:val="20"/>
              </w:rPr>
            </w:pPr>
            <w:r w:rsidRPr="0087010C">
              <w:rPr>
                <w:rStyle w:val="SCCFileNumberChar"/>
                <w:sz w:val="20"/>
                <w:szCs w:val="20"/>
              </w:rPr>
              <w:lastRenderedPageBreak/>
              <w:t>38516</w:t>
            </w:r>
          </w:p>
        </w:tc>
        <w:tc>
          <w:tcPr>
            <w:tcW w:w="4457" w:type="pct"/>
            <w:gridSpan w:val="3"/>
          </w:tcPr>
          <w:p w:rsidR="00F7565E" w:rsidRPr="003A04FE" w:rsidRDefault="00F7565E" w:rsidP="00211A38">
            <w:pPr>
              <w:pStyle w:val="SCCLsocParty"/>
              <w:jc w:val="both"/>
              <w:rPr>
                <w:b/>
                <w:sz w:val="20"/>
                <w:szCs w:val="20"/>
              </w:rPr>
            </w:pPr>
            <w:r w:rsidRPr="003A04FE">
              <w:rPr>
                <w:b/>
                <w:sz w:val="20"/>
                <w:szCs w:val="20"/>
              </w:rPr>
              <w:t xml:space="preserve">Boisé Richelieu </w:t>
            </w:r>
            <w:proofErr w:type="spellStart"/>
            <w:r w:rsidRPr="003A04FE">
              <w:rPr>
                <w:b/>
                <w:sz w:val="20"/>
                <w:szCs w:val="20"/>
              </w:rPr>
              <w:t>inc.</w:t>
            </w:r>
            <w:proofErr w:type="spellEnd"/>
            <w:r w:rsidRPr="003A04FE">
              <w:rPr>
                <w:b/>
                <w:sz w:val="20"/>
                <w:szCs w:val="20"/>
              </w:rPr>
              <w:t>, 9149</w:t>
            </w:r>
            <w:r w:rsidRPr="003A04FE">
              <w:rPr>
                <w:b/>
                <w:sz w:val="20"/>
                <w:szCs w:val="20"/>
              </w:rPr>
              <w:noBreakHyphen/>
              <w:t xml:space="preserve">9178 Québec </w:t>
            </w:r>
            <w:proofErr w:type="spellStart"/>
            <w:r w:rsidRPr="003A04FE">
              <w:rPr>
                <w:b/>
                <w:sz w:val="20"/>
                <w:szCs w:val="20"/>
              </w:rPr>
              <w:t>inc.</w:t>
            </w:r>
            <w:proofErr w:type="spellEnd"/>
            <w:r w:rsidRPr="003A04FE">
              <w:rPr>
                <w:b/>
                <w:sz w:val="20"/>
                <w:szCs w:val="20"/>
              </w:rPr>
              <w:t xml:space="preserve"> </w:t>
            </w:r>
            <w:r>
              <w:rPr>
                <w:b/>
                <w:sz w:val="20"/>
                <w:szCs w:val="20"/>
              </w:rPr>
              <w:t>and</w:t>
            </w:r>
            <w:r w:rsidRPr="003A04FE">
              <w:rPr>
                <w:b/>
                <w:sz w:val="20"/>
                <w:szCs w:val="20"/>
              </w:rPr>
              <w:t xml:space="preserve"> Daniel Levasseur v. Monarque du Richelieu </w:t>
            </w:r>
            <w:proofErr w:type="spellStart"/>
            <w:r w:rsidRPr="003A04FE">
              <w:rPr>
                <w:b/>
                <w:sz w:val="20"/>
                <w:szCs w:val="20"/>
              </w:rPr>
              <w:t>inc.</w:t>
            </w:r>
            <w:proofErr w:type="spellEnd"/>
          </w:p>
          <w:p w:rsidR="00F7565E" w:rsidRPr="0087010C" w:rsidRDefault="00F7565E" w:rsidP="00211A38">
            <w:pPr>
              <w:jc w:val="both"/>
              <w:rPr>
                <w:sz w:val="20"/>
              </w:rPr>
            </w:pPr>
            <w:r w:rsidRPr="0087010C">
              <w:rPr>
                <w:sz w:val="20"/>
              </w:rPr>
              <w:t>(Que.) (Civil) (By Leave)</w:t>
            </w:r>
          </w:p>
        </w:tc>
      </w:tr>
      <w:tr w:rsidR="009B1A2E" w:rsidRPr="0087010C" w:rsidTr="009B1A2E">
        <w:tc>
          <w:tcPr>
            <w:tcW w:w="5000" w:type="pct"/>
            <w:gridSpan w:val="4"/>
          </w:tcPr>
          <w:p w:rsidR="009B1A2E" w:rsidRPr="00647612" w:rsidRDefault="009B1A2E" w:rsidP="009B1A2E">
            <w:pPr>
              <w:widowControl w:val="0"/>
              <w:rPr>
                <w:sz w:val="20"/>
              </w:rPr>
            </w:pPr>
            <w:r w:rsidRPr="00647612">
              <w:rPr>
                <w:sz w:val="20"/>
              </w:rPr>
              <w:t>The application for leave to appeal from the judgment of the Court of Appeal of Quebec (Québec), Number 200-09-009385-169, 2018 QCCA 2168, dated December 14, 2018, is dismissed with costs.</w:t>
            </w:r>
          </w:p>
          <w:p w:rsidR="009B1A2E" w:rsidRPr="009B1A2E" w:rsidRDefault="009B1A2E" w:rsidP="00211A38">
            <w:pPr>
              <w:pStyle w:val="SCCLsocParty"/>
              <w:jc w:val="both"/>
              <w:rPr>
                <w:b/>
                <w:sz w:val="20"/>
                <w:szCs w:val="20"/>
                <w:lang w:val="en-CA"/>
              </w:rPr>
            </w:pPr>
          </w:p>
        </w:tc>
      </w:tr>
      <w:tr w:rsidR="00F7565E" w:rsidRPr="0087010C" w:rsidTr="00211A38">
        <w:tc>
          <w:tcPr>
            <w:tcW w:w="5000" w:type="pct"/>
            <w:gridSpan w:val="4"/>
          </w:tcPr>
          <w:p w:rsidR="00F7565E" w:rsidRPr="0087010C" w:rsidRDefault="00F7565E" w:rsidP="00211A38">
            <w:pPr>
              <w:jc w:val="both"/>
              <w:rPr>
                <w:sz w:val="20"/>
              </w:rPr>
            </w:pPr>
            <w:r w:rsidRPr="0087010C">
              <w:rPr>
                <w:sz w:val="20"/>
              </w:rPr>
              <w:t xml:space="preserve">Civil liability — Contractual fault — </w:t>
            </w:r>
            <w:proofErr w:type="spellStart"/>
            <w:r w:rsidRPr="0087010C">
              <w:rPr>
                <w:sz w:val="20"/>
              </w:rPr>
              <w:t>Extracontractual</w:t>
            </w:r>
            <w:proofErr w:type="spellEnd"/>
            <w:r w:rsidRPr="0087010C">
              <w:rPr>
                <w:sz w:val="20"/>
              </w:rPr>
              <w:t xml:space="preserve"> fault — Fraud — Composition of soil —</w:t>
            </w:r>
            <w:proofErr w:type="spellStart"/>
            <w:r w:rsidRPr="0087010C">
              <w:rPr>
                <w:sz w:val="20"/>
              </w:rPr>
              <w:t>Underconsolidated</w:t>
            </w:r>
            <w:proofErr w:type="spellEnd"/>
            <w:r w:rsidRPr="0087010C">
              <w:rPr>
                <w:sz w:val="20"/>
              </w:rPr>
              <w:t xml:space="preserve"> clay — Soil study — Good faith — Contract of sale of immovable — Warranty clause — Duty to inform — Duty to inquire — Whether, in context of sale of </w:t>
            </w:r>
            <w:proofErr w:type="spellStart"/>
            <w:r w:rsidRPr="0087010C">
              <w:rPr>
                <w:sz w:val="20"/>
              </w:rPr>
              <w:t>immovables</w:t>
            </w:r>
            <w:proofErr w:type="spellEnd"/>
            <w:r w:rsidRPr="0087010C">
              <w:rPr>
                <w:sz w:val="20"/>
              </w:rPr>
              <w:t xml:space="preserve"> in form of unimproved lots where seller has encountered unconsolidated clay in limited area on neighbouring lots that are distinct from ones being sold, (1) mere “possibility” of clay being present amounts to “actual or presumed knowledge” of information to which duty to inform applies in accordance with criteria from </w:t>
            </w:r>
            <w:r w:rsidRPr="0087010C">
              <w:rPr>
                <w:i/>
                <w:sz w:val="20"/>
              </w:rPr>
              <w:t>Bail</w:t>
            </w:r>
            <w:r w:rsidRPr="0087010C">
              <w:rPr>
                <w:sz w:val="20"/>
              </w:rPr>
              <w:t xml:space="preserve">; (2) mere “possibility” of clay being present on certain of lots being sold constitutes determinative information such that failure to disclose it would constitute fraud by concealment within meaning of article 1401 of </w:t>
            </w:r>
            <w:r w:rsidRPr="0087010C">
              <w:rPr>
                <w:i/>
                <w:sz w:val="20"/>
              </w:rPr>
              <w:t>Civil Code of Québec</w:t>
            </w:r>
            <w:r w:rsidRPr="0087010C">
              <w:rPr>
                <w:sz w:val="20"/>
              </w:rPr>
              <w:t xml:space="preserve">, or breach of duty to inform; and (3) specialized and experienced party can justify having failed to conduct study on composition of soil on basis that it had “legitimately relied” on seller. </w:t>
            </w:r>
          </w:p>
        </w:tc>
      </w:tr>
      <w:tr w:rsidR="00F7565E" w:rsidRPr="0087010C" w:rsidTr="00211A38">
        <w:tc>
          <w:tcPr>
            <w:tcW w:w="5000" w:type="pct"/>
            <w:gridSpan w:val="4"/>
          </w:tcPr>
          <w:p w:rsidR="00F7565E" w:rsidRPr="0087010C" w:rsidRDefault="00F7565E" w:rsidP="00211A38">
            <w:pPr>
              <w:jc w:val="both"/>
              <w:rPr>
                <w:sz w:val="20"/>
              </w:rPr>
            </w:pPr>
          </w:p>
        </w:tc>
      </w:tr>
      <w:tr w:rsidR="00F7565E" w:rsidRPr="0087010C" w:rsidTr="00211A38">
        <w:tc>
          <w:tcPr>
            <w:tcW w:w="5000" w:type="pct"/>
            <w:gridSpan w:val="4"/>
          </w:tcPr>
          <w:p w:rsidR="00F7565E" w:rsidRPr="0087010C" w:rsidRDefault="00F7565E" w:rsidP="00211A38">
            <w:pPr>
              <w:jc w:val="both"/>
              <w:rPr>
                <w:sz w:val="20"/>
              </w:rPr>
            </w:pPr>
            <w:r w:rsidRPr="0087010C">
              <w:rPr>
                <w:sz w:val="20"/>
              </w:rPr>
              <w:t xml:space="preserve">In 2000, the applicants, </w:t>
            </w:r>
            <w:proofErr w:type="spellStart"/>
            <w:r w:rsidRPr="0087010C">
              <w:rPr>
                <w:sz w:val="20"/>
              </w:rPr>
              <w:t>Boisé</w:t>
            </w:r>
            <w:proofErr w:type="spellEnd"/>
            <w:r w:rsidRPr="0087010C">
              <w:rPr>
                <w:sz w:val="20"/>
              </w:rPr>
              <w:t xml:space="preserve"> Richelieu </w:t>
            </w:r>
            <w:proofErr w:type="spellStart"/>
            <w:r w:rsidRPr="0087010C">
              <w:rPr>
                <w:sz w:val="20"/>
              </w:rPr>
              <w:t>inc.</w:t>
            </w:r>
            <w:proofErr w:type="spellEnd"/>
            <w:r w:rsidRPr="0087010C">
              <w:rPr>
                <w:sz w:val="20"/>
              </w:rPr>
              <w:t>, 9149</w:t>
            </w:r>
            <w:r w:rsidRPr="0087010C">
              <w:rPr>
                <w:sz w:val="20"/>
              </w:rPr>
              <w:noBreakHyphen/>
              <w:t xml:space="preserve">9178 Québec </w:t>
            </w:r>
            <w:proofErr w:type="spellStart"/>
            <w:r w:rsidRPr="0087010C">
              <w:rPr>
                <w:sz w:val="20"/>
              </w:rPr>
              <w:t>inc.</w:t>
            </w:r>
            <w:proofErr w:type="spellEnd"/>
            <w:r w:rsidRPr="0087010C">
              <w:rPr>
                <w:sz w:val="20"/>
              </w:rPr>
              <w:t xml:space="preserve"> and Daniel </w:t>
            </w:r>
            <w:proofErr w:type="spellStart"/>
            <w:r w:rsidRPr="0087010C">
              <w:rPr>
                <w:sz w:val="20"/>
              </w:rPr>
              <w:t>Levasseur</w:t>
            </w:r>
            <w:proofErr w:type="spellEnd"/>
            <w:r w:rsidRPr="0087010C">
              <w:rPr>
                <w:sz w:val="20"/>
              </w:rPr>
              <w:t xml:space="preserve">, purchased land for a real estate development project. In 2001, the foundations of certain buildings sank, and an expert soil study uncovered the presence of </w:t>
            </w:r>
            <w:proofErr w:type="spellStart"/>
            <w:r w:rsidRPr="0087010C">
              <w:rPr>
                <w:sz w:val="20"/>
              </w:rPr>
              <w:t>underconsolidated</w:t>
            </w:r>
            <w:proofErr w:type="spellEnd"/>
            <w:r w:rsidRPr="0087010C">
              <w:rPr>
                <w:sz w:val="20"/>
              </w:rPr>
              <w:t xml:space="preserve"> clay. Corrective measures were then taken for the damaged buildings, and precautions were adopted for the subsequent construction of other buildings. The applicants experienced no other problems of soil subsidence in the further development of their lots. In 2009, the respondent, </w:t>
            </w:r>
            <w:proofErr w:type="spellStart"/>
            <w:r w:rsidRPr="0087010C">
              <w:rPr>
                <w:sz w:val="20"/>
              </w:rPr>
              <w:t>Monarque</w:t>
            </w:r>
            <w:proofErr w:type="spellEnd"/>
            <w:r w:rsidRPr="0087010C">
              <w:rPr>
                <w:sz w:val="20"/>
              </w:rPr>
              <w:t xml:space="preserve"> du Richelieu </w:t>
            </w:r>
            <w:proofErr w:type="spellStart"/>
            <w:r w:rsidRPr="0087010C">
              <w:rPr>
                <w:sz w:val="20"/>
              </w:rPr>
              <w:t>inc.</w:t>
            </w:r>
            <w:proofErr w:type="spellEnd"/>
            <w:r w:rsidRPr="0087010C">
              <w:rPr>
                <w:sz w:val="20"/>
              </w:rPr>
              <w:t xml:space="preserve">, acquired lots from the applicants. It carried out no soil analysis, but relied on the legal warranty stipulated in the contract of sale and on the sellers’ declaration that they granted no warranty for the soil because no expert study of any nature whatsoever had been conducted. In 2011, the respondent noticed problems with the foundations of certain of its buildings. A soil analysis revealed the presence of </w:t>
            </w:r>
            <w:proofErr w:type="spellStart"/>
            <w:r w:rsidRPr="0087010C">
              <w:rPr>
                <w:sz w:val="20"/>
              </w:rPr>
              <w:t>underconsolidated</w:t>
            </w:r>
            <w:proofErr w:type="spellEnd"/>
            <w:r w:rsidRPr="0087010C">
              <w:rPr>
                <w:sz w:val="20"/>
              </w:rPr>
              <w:t xml:space="preserve"> clay and a need to correct the problems with the foundations of the buildings in question by installing piles. In 2013, the respondent learned that the applicants had experienced the same problems in 2001. It brought an action against them for reimbursement of the cost of the corrective measures taken for its buildings; the applicants brought a cross</w:t>
            </w:r>
            <w:r w:rsidRPr="0087010C">
              <w:rPr>
                <w:sz w:val="20"/>
              </w:rPr>
              <w:noBreakHyphen/>
              <w:t>application. On October 3, 2016, the Superior Court dismissed the action for damages with costs, and also dismissed the cross</w:t>
            </w:r>
            <w:r w:rsidRPr="0087010C">
              <w:rPr>
                <w:sz w:val="20"/>
              </w:rPr>
              <w:noBreakHyphen/>
              <w:t xml:space="preserve">application. On December 14, 2018, the Court of Appeal allowed the respondent’s appeal, set aside the judgment at trial, and ordered the applicants, </w:t>
            </w:r>
            <w:r w:rsidRPr="0087010C">
              <w:rPr>
                <w:i/>
                <w:sz w:val="20"/>
              </w:rPr>
              <w:t xml:space="preserve">in </w:t>
            </w:r>
            <w:proofErr w:type="spellStart"/>
            <w:r w:rsidRPr="0087010C">
              <w:rPr>
                <w:i/>
                <w:sz w:val="20"/>
              </w:rPr>
              <w:t>solidum</w:t>
            </w:r>
            <w:proofErr w:type="spellEnd"/>
            <w:r w:rsidRPr="0087010C">
              <w:rPr>
                <w:sz w:val="20"/>
              </w:rPr>
              <w:t>, to pay the respondents $1,059,270.59 plus interest and the additional indemnity, with costs.</w:t>
            </w:r>
          </w:p>
          <w:p w:rsidR="00F7565E" w:rsidRPr="0087010C" w:rsidRDefault="00F7565E" w:rsidP="00211A38">
            <w:pPr>
              <w:jc w:val="both"/>
              <w:rPr>
                <w:sz w:val="20"/>
              </w:rPr>
            </w:pPr>
          </w:p>
        </w:tc>
      </w:tr>
      <w:tr w:rsidR="00F7565E" w:rsidRPr="0087010C" w:rsidTr="00211A38">
        <w:tc>
          <w:tcPr>
            <w:tcW w:w="2427" w:type="pct"/>
            <w:gridSpan w:val="2"/>
          </w:tcPr>
          <w:p w:rsidR="00F7565E" w:rsidRPr="0087010C" w:rsidRDefault="00F7565E" w:rsidP="00211A38">
            <w:pPr>
              <w:jc w:val="both"/>
              <w:rPr>
                <w:sz w:val="20"/>
                <w:lang w:val="fr-CA"/>
              </w:rPr>
            </w:pPr>
            <w:proofErr w:type="spellStart"/>
            <w:r w:rsidRPr="0087010C">
              <w:rPr>
                <w:sz w:val="20"/>
                <w:lang w:val="fr-CA"/>
              </w:rPr>
              <w:t>October</w:t>
            </w:r>
            <w:proofErr w:type="spellEnd"/>
            <w:r w:rsidRPr="0087010C">
              <w:rPr>
                <w:sz w:val="20"/>
                <w:lang w:val="fr-CA"/>
              </w:rPr>
              <w:t> 3, 2016</w:t>
            </w:r>
          </w:p>
          <w:p w:rsidR="00F7565E" w:rsidRPr="0087010C" w:rsidRDefault="00F7565E" w:rsidP="00211A38">
            <w:pPr>
              <w:jc w:val="both"/>
              <w:rPr>
                <w:sz w:val="20"/>
                <w:lang w:val="fr-CA"/>
              </w:rPr>
            </w:pPr>
            <w:proofErr w:type="spellStart"/>
            <w:r w:rsidRPr="0087010C">
              <w:rPr>
                <w:sz w:val="20"/>
                <w:lang w:val="fr-CA"/>
              </w:rPr>
              <w:t>Quebec</w:t>
            </w:r>
            <w:proofErr w:type="spellEnd"/>
            <w:r w:rsidRPr="0087010C">
              <w:rPr>
                <w:sz w:val="20"/>
                <w:lang w:val="fr-CA"/>
              </w:rPr>
              <w:t xml:space="preserve"> Superior Court (Trois</w:t>
            </w:r>
            <w:r w:rsidRPr="0087010C">
              <w:rPr>
                <w:sz w:val="20"/>
                <w:lang w:val="fr-CA"/>
              </w:rPr>
              <w:noBreakHyphen/>
              <w:t>Rivières)</w:t>
            </w:r>
          </w:p>
          <w:p w:rsidR="00F7565E" w:rsidRPr="0087010C" w:rsidRDefault="00F7565E" w:rsidP="00211A38">
            <w:pPr>
              <w:jc w:val="both"/>
              <w:rPr>
                <w:sz w:val="20"/>
                <w:lang w:val="fr-CA"/>
              </w:rPr>
            </w:pPr>
            <w:r w:rsidRPr="0087010C">
              <w:rPr>
                <w:sz w:val="20"/>
                <w:lang w:val="fr-CA"/>
              </w:rPr>
              <w:t>(Paradis J.)</w:t>
            </w:r>
          </w:p>
          <w:p w:rsidR="00F7565E" w:rsidRPr="0087010C" w:rsidRDefault="00F7565E" w:rsidP="00211A38">
            <w:pPr>
              <w:jc w:val="both"/>
              <w:rPr>
                <w:sz w:val="20"/>
                <w:lang w:val="fr-CA"/>
              </w:rPr>
            </w:pPr>
            <w:r w:rsidRPr="0087010C">
              <w:rPr>
                <w:sz w:val="20"/>
                <w:lang w:val="fr-CA"/>
              </w:rPr>
              <w:t>400</w:t>
            </w:r>
            <w:r w:rsidRPr="0087010C">
              <w:rPr>
                <w:sz w:val="20"/>
                <w:lang w:val="fr-CA"/>
              </w:rPr>
              <w:noBreakHyphen/>
              <w:t>17</w:t>
            </w:r>
            <w:r w:rsidRPr="0087010C">
              <w:rPr>
                <w:sz w:val="20"/>
                <w:lang w:val="fr-CA"/>
              </w:rPr>
              <w:noBreakHyphen/>
              <w:t>003398</w:t>
            </w:r>
            <w:r w:rsidRPr="0087010C">
              <w:rPr>
                <w:sz w:val="20"/>
                <w:lang w:val="fr-CA"/>
              </w:rPr>
              <w:noBreakHyphen/>
              <w:t>142</w:t>
            </w:r>
          </w:p>
          <w:p w:rsidR="00F7565E" w:rsidRPr="0087010C" w:rsidRDefault="003A218E" w:rsidP="00211A38">
            <w:pPr>
              <w:jc w:val="both"/>
              <w:rPr>
                <w:sz w:val="20"/>
                <w:lang w:val="fr-CA"/>
              </w:rPr>
            </w:pPr>
            <w:hyperlink r:id="rId47" w:history="1">
              <w:r w:rsidR="00F7565E" w:rsidRPr="0087010C">
                <w:rPr>
                  <w:rStyle w:val="Hyperlink"/>
                  <w:sz w:val="20"/>
                  <w:lang w:val="fr-CA"/>
                </w:rPr>
                <w:t>2016 QCCS 5164</w:t>
              </w:r>
            </w:hyperlink>
          </w:p>
          <w:p w:rsidR="00F7565E" w:rsidRPr="0087010C" w:rsidRDefault="00F7565E" w:rsidP="00211A38">
            <w:pPr>
              <w:jc w:val="both"/>
              <w:rPr>
                <w:sz w:val="20"/>
                <w:lang w:val="fr-CA"/>
              </w:rPr>
            </w:pPr>
          </w:p>
        </w:tc>
        <w:tc>
          <w:tcPr>
            <w:tcW w:w="243" w:type="pct"/>
          </w:tcPr>
          <w:p w:rsidR="00F7565E" w:rsidRPr="0087010C" w:rsidRDefault="00F7565E" w:rsidP="00211A38">
            <w:pPr>
              <w:jc w:val="both"/>
              <w:rPr>
                <w:sz w:val="20"/>
                <w:lang w:val="fr-CA"/>
              </w:rPr>
            </w:pPr>
          </w:p>
        </w:tc>
        <w:tc>
          <w:tcPr>
            <w:tcW w:w="2330" w:type="pct"/>
          </w:tcPr>
          <w:p w:rsidR="00F7565E" w:rsidRPr="0087010C" w:rsidRDefault="00F7565E" w:rsidP="00211A38">
            <w:pPr>
              <w:jc w:val="both"/>
              <w:rPr>
                <w:sz w:val="20"/>
              </w:rPr>
            </w:pPr>
            <w:r w:rsidRPr="0087010C">
              <w:rPr>
                <w:sz w:val="20"/>
              </w:rPr>
              <w:t>Action for damages dismissed; cross</w:t>
            </w:r>
            <w:r w:rsidRPr="0087010C">
              <w:rPr>
                <w:sz w:val="20"/>
              </w:rPr>
              <w:noBreakHyphen/>
              <w:t>application dismissed.</w:t>
            </w:r>
          </w:p>
        </w:tc>
      </w:tr>
      <w:tr w:rsidR="00F7565E" w:rsidRPr="0087010C" w:rsidTr="00211A38">
        <w:tc>
          <w:tcPr>
            <w:tcW w:w="2427" w:type="pct"/>
            <w:gridSpan w:val="2"/>
          </w:tcPr>
          <w:p w:rsidR="00F7565E" w:rsidRPr="0087010C" w:rsidRDefault="00F7565E" w:rsidP="00211A38">
            <w:pPr>
              <w:jc w:val="both"/>
              <w:rPr>
                <w:sz w:val="20"/>
              </w:rPr>
            </w:pPr>
            <w:r w:rsidRPr="0087010C">
              <w:rPr>
                <w:sz w:val="20"/>
              </w:rPr>
              <w:t>December 14, 2018</w:t>
            </w:r>
          </w:p>
          <w:p w:rsidR="00F7565E" w:rsidRPr="0087010C" w:rsidRDefault="00F7565E" w:rsidP="00211A38">
            <w:pPr>
              <w:jc w:val="both"/>
              <w:rPr>
                <w:sz w:val="20"/>
              </w:rPr>
            </w:pPr>
            <w:r w:rsidRPr="0087010C">
              <w:rPr>
                <w:sz w:val="20"/>
              </w:rPr>
              <w:t>Quebec Court of Appeal (Québec)</w:t>
            </w:r>
          </w:p>
          <w:p w:rsidR="00F7565E" w:rsidRPr="0087010C" w:rsidRDefault="00F7565E" w:rsidP="00211A38">
            <w:pPr>
              <w:jc w:val="both"/>
              <w:rPr>
                <w:sz w:val="20"/>
              </w:rPr>
            </w:pPr>
            <w:r w:rsidRPr="0087010C">
              <w:rPr>
                <w:sz w:val="20"/>
              </w:rPr>
              <w:t>(</w:t>
            </w:r>
            <w:proofErr w:type="spellStart"/>
            <w:r w:rsidRPr="0087010C">
              <w:rPr>
                <w:sz w:val="20"/>
              </w:rPr>
              <w:t>Dutil</w:t>
            </w:r>
            <w:proofErr w:type="spellEnd"/>
            <w:r w:rsidRPr="0087010C">
              <w:rPr>
                <w:sz w:val="20"/>
              </w:rPr>
              <w:t>, Dufresne and Bouchard JJ.A.)</w:t>
            </w:r>
          </w:p>
          <w:p w:rsidR="00F7565E" w:rsidRPr="0087010C" w:rsidRDefault="00F7565E" w:rsidP="00211A38">
            <w:pPr>
              <w:jc w:val="both"/>
              <w:rPr>
                <w:sz w:val="20"/>
              </w:rPr>
            </w:pPr>
            <w:r w:rsidRPr="0087010C">
              <w:rPr>
                <w:sz w:val="20"/>
              </w:rPr>
              <w:t>200</w:t>
            </w:r>
            <w:r w:rsidRPr="0087010C">
              <w:rPr>
                <w:sz w:val="20"/>
              </w:rPr>
              <w:noBreakHyphen/>
              <w:t>09</w:t>
            </w:r>
            <w:r w:rsidRPr="0087010C">
              <w:rPr>
                <w:sz w:val="20"/>
              </w:rPr>
              <w:noBreakHyphen/>
              <w:t>009385</w:t>
            </w:r>
            <w:r w:rsidRPr="0087010C">
              <w:rPr>
                <w:sz w:val="20"/>
              </w:rPr>
              <w:noBreakHyphen/>
              <w:t>169</w:t>
            </w:r>
          </w:p>
          <w:p w:rsidR="00F7565E" w:rsidRPr="0087010C" w:rsidRDefault="003A218E" w:rsidP="00211A38">
            <w:pPr>
              <w:jc w:val="both"/>
              <w:rPr>
                <w:sz w:val="20"/>
              </w:rPr>
            </w:pPr>
            <w:hyperlink r:id="rId48" w:history="1">
              <w:r w:rsidR="00F7565E" w:rsidRPr="0087010C">
                <w:rPr>
                  <w:rStyle w:val="Hyperlink"/>
                  <w:sz w:val="20"/>
                </w:rPr>
                <w:t>2018 QCCA 2168</w:t>
              </w:r>
            </w:hyperlink>
          </w:p>
          <w:p w:rsidR="00F7565E" w:rsidRPr="0087010C" w:rsidRDefault="00F7565E" w:rsidP="00211A38">
            <w:pPr>
              <w:jc w:val="both"/>
              <w:rPr>
                <w:sz w:val="20"/>
              </w:rPr>
            </w:pPr>
          </w:p>
        </w:tc>
        <w:tc>
          <w:tcPr>
            <w:tcW w:w="243" w:type="pct"/>
          </w:tcPr>
          <w:p w:rsidR="00F7565E" w:rsidRPr="0087010C" w:rsidRDefault="00F7565E" w:rsidP="00211A38">
            <w:pPr>
              <w:jc w:val="both"/>
              <w:rPr>
                <w:sz w:val="20"/>
              </w:rPr>
            </w:pPr>
          </w:p>
        </w:tc>
        <w:tc>
          <w:tcPr>
            <w:tcW w:w="2330" w:type="pct"/>
          </w:tcPr>
          <w:p w:rsidR="00F7565E" w:rsidRPr="0087010C" w:rsidRDefault="00F7565E" w:rsidP="00211A38">
            <w:pPr>
              <w:jc w:val="both"/>
              <w:rPr>
                <w:sz w:val="20"/>
              </w:rPr>
            </w:pPr>
            <w:r w:rsidRPr="0087010C">
              <w:rPr>
                <w:sz w:val="20"/>
              </w:rPr>
              <w:t>Appeal allowed.</w:t>
            </w:r>
          </w:p>
        </w:tc>
      </w:tr>
      <w:tr w:rsidR="00F7565E" w:rsidRPr="0087010C" w:rsidTr="00211A38">
        <w:tc>
          <w:tcPr>
            <w:tcW w:w="2427" w:type="pct"/>
            <w:gridSpan w:val="2"/>
          </w:tcPr>
          <w:p w:rsidR="00F7565E" w:rsidRPr="0087010C" w:rsidRDefault="00F7565E" w:rsidP="00211A38">
            <w:pPr>
              <w:jc w:val="both"/>
              <w:rPr>
                <w:sz w:val="20"/>
              </w:rPr>
            </w:pPr>
            <w:r w:rsidRPr="0087010C">
              <w:rPr>
                <w:sz w:val="20"/>
              </w:rPr>
              <w:t>February 12, 2019</w:t>
            </w:r>
          </w:p>
          <w:p w:rsidR="00F7565E" w:rsidRPr="0087010C" w:rsidRDefault="00F7565E" w:rsidP="00211A38">
            <w:pPr>
              <w:jc w:val="both"/>
              <w:rPr>
                <w:sz w:val="20"/>
              </w:rPr>
            </w:pPr>
            <w:r w:rsidRPr="0087010C">
              <w:rPr>
                <w:sz w:val="20"/>
              </w:rPr>
              <w:t>Supreme Court of Canada</w:t>
            </w:r>
          </w:p>
        </w:tc>
        <w:tc>
          <w:tcPr>
            <w:tcW w:w="243" w:type="pct"/>
          </w:tcPr>
          <w:p w:rsidR="00F7565E" w:rsidRPr="0087010C" w:rsidRDefault="00F7565E" w:rsidP="00211A38">
            <w:pPr>
              <w:jc w:val="both"/>
              <w:rPr>
                <w:sz w:val="20"/>
              </w:rPr>
            </w:pPr>
          </w:p>
        </w:tc>
        <w:tc>
          <w:tcPr>
            <w:tcW w:w="2330" w:type="pct"/>
          </w:tcPr>
          <w:p w:rsidR="00F7565E" w:rsidRPr="0087010C" w:rsidRDefault="00F7565E" w:rsidP="00211A38">
            <w:pPr>
              <w:jc w:val="both"/>
              <w:rPr>
                <w:sz w:val="20"/>
              </w:rPr>
            </w:pPr>
            <w:r w:rsidRPr="0087010C">
              <w:rPr>
                <w:sz w:val="20"/>
              </w:rPr>
              <w:t>Application for leave to appeal filed.</w:t>
            </w:r>
          </w:p>
        </w:tc>
      </w:tr>
    </w:tbl>
    <w:p w:rsidR="00F7565E" w:rsidRPr="0087010C" w:rsidRDefault="00F7565E" w:rsidP="00F7565E">
      <w:pPr>
        <w:jc w:val="both"/>
        <w:rPr>
          <w:sz w:val="20"/>
        </w:rPr>
      </w:pPr>
    </w:p>
    <w:p w:rsidR="00F7565E" w:rsidRPr="0087010C" w:rsidRDefault="00F7565E" w:rsidP="00F7565E">
      <w:pPr>
        <w:jc w:val="both"/>
        <w:rPr>
          <w:sz w:val="20"/>
        </w:rPr>
      </w:pPr>
    </w:p>
    <w:p w:rsidR="00F7565E" w:rsidRPr="0087010C" w:rsidRDefault="00F7565E" w:rsidP="00F7565E">
      <w:pPr>
        <w:jc w:val="both"/>
        <w:rPr>
          <w:sz w:val="20"/>
        </w:rPr>
      </w:pPr>
    </w:p>
    <w:p w:rsidR="00F7565E" w:rsidRDefault="00F7565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565E" w:rsidRPr="00097BC7" w:rsidTr="00211A38">
        <w:tc>
          <w:tcPr>
            <w:tcW w:w="543" w:type="pct"/>
          </w:tcPr>
          <w:p w:rsidR="00F7565E" w:rsidRPr="0087010C" w:rsidRDefault="00F7565E" w:rsidP="00211A38">
            <w:pPr>
              <w:jc w:val="both"/>
              <w:rPr>
                <w:sz w:val="20"/>
              </w:rPr>
            </w:pPr>
            <w:r w:rsidRPr="0087010C">
              <w:rPr>
                <w:rStyle w:val="SCCFileNumberChar"/>
                <w:sz w:val="20"/>
                <w:szCs w:val="20"/>
              </w:rPr>
              <w:lastRenderedPageBreak/>
              <w:t>38516</w:t>
            </w:r>
          </w:p>
        </w:tc>
        <w:tc>
          <w:tcPr>
            <w:tcW w:w="4457" w:type="pct"/>
            <w:gridSpan w:val="3"/>
          </w:tcPr>
          <w:p w:rsidR="00F7565E" w:rsidRPr="0087010C" w:rsidRDefault="00F7565E" w:rsidP="00211A38">
            <w:pPr>
              <w:pStyle w:val="SCCLsocParty"/>
              <w:jc w:val="both"/>
              <w:rPr>
                <w:b/>
                <w:sz w:val="20"/>
                <w:szCs w:val="20"/>
              </w:rPr>
            </w:pPr>
            <w:r w:rsidRPr="0087010C">
              <w:rPr>
                <w:b/>
                <w:sz w:val="20"/>
                <w:szCs w:val="20"/>
              </w:rPr>
              <w:t xml:space="preserve">Boisé Richelieu </w:t>
            </w:r>
            <w:proofErr w:type="spellStart"/>
            <w:r w:rsidRPr="0087010C">
              <w:rPr>
                <w:b/>
                <w:sz w:val="20"/>
                <w:szCs w:val="20"/>
              </w:rPr>
              <w:t>inc.</w:t>
            </w:r>
            <w:proofErr w:type="spellEnd"/>
            <w:r w:rsidRPr="0087010C">
              <w:rPr>
                <w:b/>
                <w:sz w:val="20"/>
                <w:szCs w:val="20"/>
              </w:rPr>
              <w:t xml:space="preserve">, 9149-9178 Québec </w:t>
            </w:r>
            <w:proofErr w:type="spellStart"/>
            <w:r w:rsidRPr="0087010C">
              <w:rPr>
                <w:b/>
                <w:sz w:val="20"/>
                <w:szCs w:val="20"/>
              </w:rPr>
              <w:t>inc</w:t>
            </w:r>
            <w:r>
              <w:rPr>
                <w:b/>
                <w:sz w:val="20"/>
                <w:szCs w:val="20"/>
              </w:rPr>
              <w:t>.</w:t>
            </w:r>
            <w:proofErr w:type="spellEnd"/>
            <w:r>
              <w:rPr>
                <w:b/>
                <w:sz w:val="20"/>
                <w:szCs w:val="20"/>
              </w:rPr>
              <w:t xml:space="preserve"> et</w:t>
            </w:r>
            <w:r w:rsidRPr="0087010C">
              <w:rPr>
                <w:b/>
                <w:sz w:val="20"/>
                <w:szCs w:val="20"/>
              </w:rPr>
              <w:t xml:space="preserve"> Daniel Levasseur c. Monarque du Richelieu </w:t>
            </w:r>
            <w:proofErr w:type="spellStart"/>
            <w:r w:rsidRPr="0087010C">
              <w:rPr>
                <w:b/>
                <w:sz w:val="20"/>
                <w:szCs w:val="20"/>
              </w:rPr>
              <w:t>inc.</w:t>
            </w:r>
            <w:proofErr w:type="spellEnd"/>
          </w:p>
          <w:p w:rsidR="00F7565E" w:rsidRPr="00097BC7" w:rsidRDefault="00F7565E" w:rsidP="00211A38">
            <w:pPr>
              <w:jc w:val="both"/>
              <w:rPr>
                <w:sz w:val="20"/>
                <w:lang w:val="fr-CA"/>
              </w:rPr>
            </w:pPr>
            <w:r w:rsidRPr="00097BC7">
              <w:rPr>
                <w:sz w:val="20"/>
                <w:lang w:val="fr-CA"/>
              </w:rPr>
              <w:t>(</w:t>
            </w:r>
            <w:proofErr w:type="spellStart"/>
            <w:r w:rsidRPr="00097BC7">
              <w:rPr>
                <w:sz w:val="20"/>
                <w:lang w:val="fr-CA"/>
              </w:rPr>
              <w:t>Qc</w:t>
            </w:r>
            <w:proofErr w:type="spellEnd"/>
            <w:r w:rsidRPr="00097BC7">
              <w:rPr>
                <w:sz w:val="20"/>
                <w:lang w:val="fr-CA"/>
              </w:rPr>
              <w:t>) (Civile) (Autorisation)</w:t>
            </w:r>
          </w:p>
        </w:tc>
      </w:tr>
      <w:tr w:rsidR="009B1A2E" w:rsidRPr="003A218E" w:rsidTr="009B1A2E">
        <w:tc>
          <w:tcPr>
            <w:tcW w:w="5000" w:type="pct"/>
            <w:gridSpan w:val="4"/>
          </w:tcPr>
          <w:p w:rsidR="009B1A2E" w:rsidRPr="00647612" w:rsidRDefault="009B1A2E" w:rsidP="009B1A2E">
            <w:pPr>
              <w:widowControl w:val="0"/>
              <w:rPr>
                <w:sz w:val="20"/>
                <w:lang w:val="fr-CA"/>
              </w:rPr>
            </w:pPr>
            <w:r w:rsidRPr="00647612">
              <w:rPr>
                <w:sz w:val="20"/>
                <w:lang w:val="fr-CA"/>
              </w:rPr>
              <w:t>La demande d’autorisation d’appel de l’arrêt de la Cour d’appel du Québec (Québec), numéro 200-09-009385-169, 2018 QCCA 2168, daté du 14 décembre 2018, est rejetée avec dépens.</w:t>
            </w:r>
          </w:p>
          <w:p w:rsidR="009B1A2E" w:rsidRPr="0087010C" w:rsidRDefault="009B1A2E" w:rsidP="00211A38">
            <w:pPr>
              <w:pStyle w:val="SCCLsocParty"/>
              <w:jc w:val="both"/>
              <w:rPr>
                <w:b/>
                <w:sz w:val="20"/>
                <w:szCs w:val="20"/>
              </w:rPr>
            </w:pPr>
          </w:p>
        </w:tc>
      </w:tr>
      <w:tr w:rsidR="00F7565E" w:rsidRPr="003A218E" w:rsidTr="00211A38">
        <w:tc>
          <w:tcPr>
            <w:tcW w:w="5000" w:type="pct"/>
            <w:gridSpan w:val="4"/>
          </w:tcPr>
          <w:p w:rsidR="00F7565E" w:rsidRPr="0087010C" w:rsidRDefault="00F7565E" w:rsidP="00211A38">
            <w:pPr>
              <w:jc w:val="both"/>
              <w:rPr>
                <w:sz w:val="20"/>
                <w:lang w:val="fr-CA"/>
              </w:rPr>
            </w:pPr>
            <w:r w:rsidRPr="0087010C">
              <w:rPr>
                <w:sz w:val="20"/>
                <w:lang w:val="fr-CA"/>
              </w:rPr>
              <w:t>Responsabilité civile — Faute contractuelle — Faute extracontractuelle — Dol — Composition du sol —Argile sous</w:t>
            </w:r>
            <w:r w:rsidRPr="0087010C">
              <w:rPr>
                <w:sz w:val="20"/>
                <w:lang w:val="fr-CA"/>
              </w:rPr>
              <w:noBreakHyphen/>
              <w:t>consolidée — Expertise de sols — Bonne foi — Contrat de vente immobilière — Clause de garantie — Obligation de renseignement — Obligation de se renseigner — Dans le contexte d’une vente de biens immobiliers de la nature de terrains non aménagés, et dans le cas où le vendeur a rencontré la présence d’argile sous</w:t>
            </w:r>
            <w:r w:rsidRPr="0087010C">
              <w:rPr>
                <w:sz w:val="20"/>
                <w:lang w:val="fr-CA"/>
              </w:rPr>
              <w:noBreakHyphen/>
              <w:t>consolidée à étendue limitée sur des lots avoisinants et distincts des terrains vendus : (1) la simple « possibilité » de la présence d’argile équivaut</w:t>
            </w:r>
            <w:r w:rsidRPr="0087010C">
              <w:rPr>
                <w:sz w:val="20"/>
                <w:lang w:val="fr-CA"/>
              </w:rPr>
              <w:noBreakHyphen/>
              <w:t xml:space="preserve">elle à la « connaissance réelle ou présumée » d’une information visée par l’obligation de renseignement selon les critères de l’arrêt </w:t>
            </w:r>
            <w:r w:rsidRPr="0087010C">
              <w:rPr>
                <w:i/>
                <w:sz w:val="20"/>
                <w:lang w:val="fr-CA"/>
              </w:rPr>
              <w:t>Bail</w:t>
            </w:r>
            <w:r w:rsidRPr="0087010C">
              <w:rPr>
                <w:sz w:val="20"/>
                <w:lang w:val="fr-CA"/>
              </w:rPr>
              <w:t>?; (2) la simple « possibilité » de présence d’argile dans certains des terrains vendus constitue</w:t>
            </w:r>
            <w:r w:rsidRPr="0087010C">
              <w:rPr>
                <w:sz w:val="20"/>
                <w:lang w:val="fr-CA"/>
              </w:rPr>
              <w:noBreakHyphen/>
              <w:t>t</w:t>
            </w:r>
            <w:r w:rsidRPr="0087010C">
              <w:rPr>
                <w:sz w:val="20"/>
                <w:lang w:val="fr-CA"/>
              </w:rPr>
              <w:noBreakHyphen/>
              <w:t>elle une information de nature déterminante dont la non</w:t>
            </w:r>
            <w:r w:rsidRPr="0087010C">
              <w:rPr>
                <w:sz w:val="20"/>
                <w:lang w:val="fr-CA"/>
              </w:rPr>
              <w:noBreakHyphen/>
              <w:t xml:space="preserve">divulgation constitue un dol par réticence au sens de l’article 1401 du </w:t>
            </w:r>
            <w:r w:rsidRPr="0087010C">
              <w:rPr>
                <w:i/>
                <w:sz w:val="20"/>
                <w:lang w:val="fr-CA"/>
              </w:rPr>
              <w:t>Code civil du Québec</w:t>
            </w:r>
            <w:r w:rsidRPr="0087010C">
              <w:rPr>
                <w:sz w:val="20"/>
                <w:lang w:val="fr-CA"/>
              </w:rPr>
              <w:t>, ou une violation à l’obligation de renseignement? (3) une partie spécialisée et expérimentée peut</w:t>
            </w:r>
            <w:r w:rsidRPr="0087010C">
              <w:rPr>
                <w:sz w:val="20"/>
                <w:lang w:val="fr-CA"/>
              </w:rPr>
              <w:noBreakHyphen/>
              <w:t>elle justifier de ne pas avoir effectué d’expertise de la composition des sols par une « confiance légitime » envers le vendeur?</w:t>
            </w:r>
          </w:p>
        </w:tc>
      </w:tr>
      <w:tr w:rsidR="00F7565E" w:rsidRPr="003A218E" w:rsidTr="00211A38">
        <w:tc>
          <w:tcPr>
            <w:tcW w:w="5000" w:type="pct"/>
            <w:gridSpan w:val="4"/>
          </w:tcPr>
          <w:p w:rsidR="00F7565E" w:rsidRPr="0087010C" w:rsidRDefault="00F7565E" w:rsidP="00211A38">
            <w:pPr>
              <w:jc w:val="both"/>
              <w:rPr>
                <w:sz w:val="20"/>
                <w:lang w:val="fr-CA"/>
              </w:rPr>
            </w:pPr>
          </w:p>
        </w:tc>
      </w:tr>
      <w:tr w:rsidR="00F7565E" w:rsidRPr="003A218E" w:rsidTr="00211A38">
        <w:tc>
          <w:tcPr>
            <w:tcW w:w="5000" w:type="pct"/>
            <w:gridSpan w:val="4"/>
          </w:tcPr>
          <w:p w:rsidR="00F7565E" w:rsidRPr="0087010C" w:rsidRDefault="00F7565E" w:rsidP="00211A38">
            <w:pPr>
              <w:jc w:val="both"/>
              <w:rPr>
                <w:sz w:val="20"/>
                <w:lang w:val="fr-CA"/>
              </w:rPr>
            </w:pPr>
            <w:r w:rsidRPr="0087010C">
              <w:rPr>
                <w:sz w:val="20"/>
                <w:lang w:val="fr-CA"/>
              </w:rPr>
              <w:t xml:space="preserve">En 2000, les demandeurs Boisé Richelieu </w:t>
            </w:r>
            <w:proofErr w:type="spellStart"/>
            <w:r w:rsidRPr="0087010C">
              <w:rPr>
                <w:sz w:val="20"/>
                <w:lang w:val="fr-CA"/>
              </w:rPr>
              <w:t>inc.</w:t>
            </w:r>
            <w:proofErr w:type="spellEnd"/>
            <w:r w:rsidRPr="0087010C">
              <w:rPr>
                <w:sz w:val="20"/>
                <w:lang w:val="fr-CA"/>
              </w:rPr>
              <w:t>, 9149</w:t>
            </w:r>
            <w:r w:rsidRPr="0087010C">
              <w:rPr>
                <w:sz w:val="20"/>
                <w:lang w:val="fr-CA"/>
              </w:rPr>
              <w:noBreakHyphen/>
              <w:t xml:space="preserve">9178 Québec </w:t>
            </w:r>
            <w:proofErr w:type="spellStart"/>
            <w:r w:rsidRPr="0087010C">
              <w:rPr>
                <w:sz w:val="20"/>
                <w:lang w:val="fr-CA"/>
              </w:rPr>
              <w:t>inc.</w:t>
            </w:r>
            <w:proofErr w:type="spellEnd"/>
            <w:r w:rsidRPr="0087010C">
              <w:rPr>
                <w:sz w:val="20"/>
                <w:lang w:val="fr-CA"/>
              </w:rPr>
              <w:t xml:space="preserve"> et Daniel Levasseur achètent des terrains pour un projet de développement immobilier. En 2001, les fondations de certains immeubles s’affaissent et une expertise de sols révèle la présence d’argile sous</w:t>
            </w:r>
            <w:r w:rsidRPr="0087010C">
              <w:rPr>
                <w:sz w:val="20"/>
                <w:lang w:val="fr-CA"/>
              </w:rPr>
              <w:noBreakHyphen/>
              <w:t xml:space="preserve">consolidée, à la suite de quoi des correctifs sont apportés aux immeubles endommagés et des précautions sont observées pour les constructions subséquentes. Les demandeurs ne sont plus confrontés à de tels problèmes d’affaissement du sol dans la poursuite du développement de leurs terrains. En 2009, l’intimée Monarque du Richelieu </w:t>
            </w:r>
            <w:proofErr w:type="spellStart"/>
            <w:r w:rsidRPr="0087010C">
              <w:rPr>
                <w:sz w:val="20"/>
                <w:lang w:val="fr-CA"/>
              </w:rPr>
              <w:t>inc.</w:t>
            </w:r>
            <w:proofErr w:type="spellEnd"/>
            <w:r w:rsidRPr="0087010C">
              <w:rPr>
                <w:sz w:val="20"/>
                <w:lang w:val="fr-CA"/>
              </w:rPr>
              <w:t xml:space="preserve"> acquiert des terrains des demandeurs. Elle n’effectue pas d’analyse de sols et s’en remet à garantie légale du contrat de vente ainsi qu’à la déclaration des vendeurs voulant qu’ils n’accordent aucune garantie du sol en raison de l’absence d’expertise de quelque nature que ce soit. En 2011, l’intimée constate des problèmes de fondations à certains de ses immeubles. Une analyse de sols révèle la présence d’argile sous</w:t>
            </w:r>
            <w:r w:rsidRPr="0087010C">
              <w:rPr>
                <w:sz w:val="20"/>
                <w:lang w:val="fr-CA"/>
              </w:rPr>
              <w:noBreakHyphen/>
              <w:t xml:space="preserve">consolidée et la nécessité de corriger les fondations des immeubles touchés par l’utilisation de pieux. En 2013, l’intimée apprend que les demandeurs ont connu les mêmes problèmes en 2001. Elle intente contre eux une action pour rembourser le coût des correctifs apportés à ses immeubles; ils se portent demandeurs reconventionnels. Le 3 octobre 2016, la Cour supérieure rejette la demande en dommages, avec frais de justice, et rejette également la demande reconventionnelle. Le 14 décembre 2018, la Cour d’appel accueille l’appel de l’intimée, infirme le jugement de première instance, condamne </w:t>
            </w:r>
            <w:r w:rsidRPr="0087010C">
              <w:rPr>
                <w:i/>
                <w:sz w:val="20"/>
                <w:lang w:val="fr-CA"/>
              </w:rPr>
              <w:t xml:space="preserve">in </w:t>
            </w:r>
            <w:proofErr w:type="spellStart"/>
            <w:r w:rsidRPr="0087010C">
              <w:rPr>
                <w:i/>
                <w:sz w:val="20"/>
                <w:lang w:val="fr-CA"/>
              </w:rPr>
              <w:t>solidum</w:t>
            </w:r>
            <w:proofErr w:type="spellEnd"/>
            <w:r w:rsidRPr="0087010C">
              <w:rPr>
                <w:sz w:val="20"/>
                <w:lang w:val="fr-CA"/>
              </w:rPr>
              <w:t xml:space="preserve"> les demandeurs à payer à l’intimée la somme de 1 059 270,59 $, avec intérêts et l’indemnité additionnelle, avec frais de justice.</w:t>
            </w:r>
          </w:p>
          <w:p w:rsidR="00F7565E" w:rsidRPr="0087010C" w:rsidRDefault="00F7565E" w:rsidP="00211A38">
            <w:pPr>
              <w:jc w:val="both"/>
              <w:rPr>
                <w:sz w:val="20"/>
                <w:lang w:val="fr-CA"/>
              </w:rPr>
            </w:pPr>
          </w:p>
        </w:tc>
      </w:tr>
      <w:tr w:rsidR="00F7565E" w:rsidRPr="003A218E" w:rsidTr="00211A38">
        <w:tc>
          <w:tcPr>
            <w:tcW w:w="2427" w:type="pct"/>
            <w:gridSpan w:val="2"/>
          </w:tcPr>
          <w:p w:rsidR="00F7565E" w:rsidRPr="0087010C" w:rsidRDefault="00F7565E" w:rsidP="00211A38">
            <w:pPr>
              <w:jc w:val="both"/>
              <w:rPr>
                <w:sz w:val="20"/>
                <w:lang w:val="fr-CA"/>
              </w:rPr>
            </w:pPr>
            <w:r w:rsidRPr="0087010C">
              <w:rPr>
                <w:sz w:val="20"/>
                <w:lang w:val="fr-CA"/>
              </w:rPr>
              <w:t>Le 3 octobre 2016</w:t>
            </w:r>
          </w:p>
          <w:p w:rsidR="00F7565E" w:rsidRPr="0087010C" w:rsidRDefault="00F7565E" w:rsidP="00211A38">
            <w:pPr>
              <w:jc w:val="both"/>
              <w:rPr>
                <w:sz w:val="20"/>
                <w:lang w:val="fr-CA"/>
              </w:rPr>
            </w:pPr>
            <w:r w:rsidRPr="0087010C">
              <w:rPr>
                <w:sz w:val="20"/>
                <w:lang w:val="fr-CA"/>
              </w:rPr>
              <w:t>Cour supérieure du Québec (Trois</w:t>
            </w:r>
            <w:r w:rsidRPr="0087010C">
              <w:rPr>
                <w:sz w:val="20"/>
                <w:lang w:val="fr-CA"/>
              </w:rPr>
              <w:noBreakHyphen/>
              <w:t>Rivières)</w:t>
            </w:r>
          </w:p>
          <w:p w:rsidR="00F7565E" w:rsidRPr="0087010C" w:rsidRDefault="00F7565E" w:rsidP="00211A38">
            <w:pPr>
              <w:jc w:val="both"/>
              <w:rPr>
                <w:sz w:val="20"/>
              </w:rPr>
            </w:pPr>
            <w:r w:rsidRPr="0087010C">
              <w:rPr>
                <w:sz w:val="20"/>
              </w:rPr>
              <w:t xml:space="preserve">(Le </w:t>
            </w:r>
            <w:proofErr w:type="spellStart"/>
            <w:r w:rsidRPr="0087010C">
              <w:rPr>
                <w:sz w:val="20"/>
              </w:rPr>
              <w:t>juge</w:t>
            </w:r>
            <w:proofErr w:type="spellEnd"/>
            <w:r w:rsidRPr="0087010C">
              <w:rPr>
                <w:sz w:val="20"/>
              </w:rPr>
              <w:t xml:space="preserve"> Paradis)</w:t>
            </w:r>
          </w:p>
          <w:p w:rsidR="00F7565E" w:rsidRPr="0087010C" w:rsidRDefault="00F7565E" w:rsidP="00211A38">
            <w:pPr>
              <w:jc w:val="both"/>
              <w:rPr>
                <w:sz w:val="20"/>
              </w:rPr>
            </w:pPr>
            <w:r w:rsidRPr="0087010C">
              <w:rPr>
                <w:sz w:val="20"/>
              </w:rPr>
              <w:t>400</w:t>
            </w:r>
            <w:r w:rsidRPr="0087010C">
              <w:rPr>
                <w:sz w:val="20"/>
              </w:rPr>
              <w:noBreakHyphen/>
              <w:t>17</w:t>
            </w:r>
            <w:r w:rsidRPr="0087010C">
              <w:rPr>
                <w:sz w:val="20"/>
              </w:rPr>
              <w:noBreakHyphen/>
              <w:t>003398</w:t>
            </w:r>
            <w:r w:rsidRPr="0087010C">
              <w:rPr>
                <w:sz w:val="20"/>
              </w:rPr>
              <w:noBreakHyphen/>
              <w:t>142</w:t>
            </w:r>
          </w:p>
          <w:p w:rsidR="00F7565E" w:rsidRPr="0087010C" w:rsidRDefault="003A218E" w:rsidP="00211A38">
            <w:pPr>
              <w:jc w:val="both"/>
              <w:rPr>
                <w:sz w:val="20"/>
              </w:rPr>
            </w:pPr>
            <w:hyperlink r:id="rId49" w:history="1">
              <w:r w:rsidR="00F7565E" w:rsidRPr="0087010C">
                <w:rPr>
                  <w:rStyle w:val="Hyperlink"/>
                  <w:sz w:val="20"/>
                </w:rPr>
                <w:t>2016 QCCS 5164</w:t>
              </w:r>
            </w:hyperlink>
          </w:p>
          <w:p w:rsidR="00F7565E" w:rsidRPr="0087010C" w:rsidRDefault="00F7565E" w:rsidP="00211A38">
            <w:pPr>
              <w:jc w:val="both"/>
              <w:rPr>
                <w:sz w:val="20"/>
              </w:rPr>
            </w:pPr>
          </w:p>
        </w:tc>
        <w:tc>
          <w:tcPr>
            <w:tcW w:w="243" w:type="pct"/>
          </w:tcPr>
          <w:p w:rsidR="00F7565E" w:rsidRPr="0087010C" w:rsidRDefault="00F7565E" w:rsidP="00211A38">
            <w:pPr>
              <w:jc w:val="both"/>
              <w:rPr>
                <w:sz w:val="20"/>
              </w:rPr>
            </w:pPr>
          </w:p>
        </w:tc>
        <w:tc>
          <w:tcPr>
            <w:tcW w:w="2330" w:type="pct"/>
          </w:tcPr>
          <w:p w:rsidR="00F7565E" w:rsidRPr="0087010C" w:rsidRDefault="00F7565E" w:rsidP="00211A38">
            <w:pPr>
              <w:jc w:val="both"/>
              <w:rPr>
                <w:sz w:val="20"/>
                <w:lang w:val="fr-CA"/>
              </w:rPr>
            </w:pPr>
            <w:r w:rsidRPr="0087010C">
              <w:rPr>
                <w:sz w:val="20"/>
                <w:lang w:val="fr-CA"/>
              </w:rPr>
              <w:t>Demande en dommages rejetée; demande reconventionnelle rejetée.</w:t>
            </w:r>
          </w:p>
        </w:tc>
      </w:tr>
      <w:tr w:rsidR="00F7565E" w:rsidRPr="0087010C" w:rsidTr="00211A38">
        <w:tc>
          <w:tcPr>
            <w:tcW w:w="2427" w:type="pct"/>
            <w:gridSpan w:val="2"/>
          </w:tcPr>
          <w:p w:rsidR="00F7565E" w:rsidRPr="0087010C" w:rsidRDefault="00F7565E" w:rsidP="00211A38">
            <w:pPr>
              <w:jc w:val="both"/>
              <w:rPr>
                <w:sz w:val="20"/>
                <w:lang w:val="fr-CA"/>
              </w:rPr>
            </w:pPr>
            <w:r w:rsidRPr="0087010C">
              <w:rPr>
                <w:sz w:val="20"/>
                <w:lang w:val="fr-CA"/>
              </w:rPr>
              <w:t>Le 14 décembre 2018</w:t>
            </w:r>
          </w:p>
          <w:p w:rsidR="00F7565E" w:rsidRPr="0087010C" w:rsidRDefault="00F7565E" w:rsidP="00211A38">
            <w:pPr>
              <w:jc w:val="both"/>
              <w:rPr>
                <w:sz w:val="20"/>
                <w:lang w:val="fr-CA"/>
              </w:rPr>
            </w:pPr>
            <w:r w:rsidRPr="0087010C">
              <w:rPr>
                <w:sz w:val="20"/>
                <w:lang w:val="fr-CA"/>
              </w:rPr>
              <w:t>Cour d’appel du Québec (Québec)</w:t>
            </w:r>
          </w:p>
          <w:p w:rsidR="00F7565E" w:rsidRPr="0087010C" w:rsidRDefault="00F7565E" w:rsidP="00211A38">
            <w:pPr>
              <w:jc w:val="both"/>
              <w:rPr>
                <w:sz w:val="20"/>
                <w:lang w:val="fr-CA"/>
              </w:rPr>
            </w:pPr>
            <w:r w:rsidRPr="0087010C">
              <w:rPr>
                <w:sz w:val="20"/>
                <w:lang w:val="fr-CA"/>
              </w:rPr>
              <w:t xml:space="preserve">(Les juges </w:t>
            </w:r>
            <w:proofErr w:type="spellStart"/>
            <w:r w:rsidRPr="0087010C">
              <w:rPr>
                <w:sz w:val="20"/>
                <w:lang w:val="fr-CA"/>
              </w:rPr>
              <w:t>Dutil</w:t>
            </w:r>
            <w:proofErr w:type="spellEnd"/>
            <w:r w:rsidRPr="0087010C">
              <w:rPr>
                <w:sz w:val="20"/>
                <w:lang w:val="fr-CA"/>
              </w:rPr>
              <w:t>, Dufresne et Bouchard)</w:t>
            </w:r>
          </w:p>
          <w:p w:rsidR="00F7565E" w:rsidRPr="0087010C" w:rsidRDefault="00F7565E" w:rsidP="00211A38">
            <w:pPr>
              <w:jc w:val="both"/>
              <w:rPr>
                <w:sz w:val="20"/>
              </w:rPr>
            </w:pPr>
            <w:r w:rsidRPr="0087010C">
              <w:rPr>
                <w:sz w:val="20"/>
              </w:rPr>
              <w:t>200</w:t>
            </w:r>
            <w:r w:rsidRPr="0087010C">
              <w:rPr>
                <w:sz w:val="20"/>
              </w:rPr>
              <w:noBreakHyphen/>
              <w:t>09</w:t>
            </w:r>
            <w:r w:rsidRPr="0087010C">
              <w:rPr>
                <w:sz w:val="20"/>
              </w:rPr>
              <w:noBreakHyphen/>
              <w:t>009385</w:t>
            </w:r>
            <w:r w:rsidRPr="0087010C">
              <w:rPr>
                <w:sz w:val="20"/>
              </w:rPr>
              <w:noBreakHyphen/>
              <w:t>169</w:t>
            </w:r>
          </w:p>
          <w:p w:rsidR="00F7565E" w:rsidRPr="0087010C" w:rsidRDefault="003A218E" w:rsidP="00211A38">
            <w:pPr>
              <w:jc w:val="both"/>
              <w:rPr>
                <w:sz w:val="20"/>
              </w:rPr>
            </w:pPr>
            <w:hyperlink r:id="rId50" w:history="1">
              <w:r w:rsidR="00F7565E" w:rsidRPr="0087010C">
                <w:rPr>
                  <w:rStyle w:val="Hyperlink"/>
                  <w:sz w:val="20"/>
                </w:rPr>
                <w:t>2018 QCCA 2168</w:t>
              </w:r>
            </w:hyperlink>
          </w:p>
          <w:p w:rsidR="00F7565E" w:rsidRPr="0087010C" w:rsidRDefault="00F7565E" w:rsidP="00211A38">
            <w:pPr>
              <w:jc w:val="both"/>
              <w:rPr>
                <w:sz w:val="20"/>
              </w:rPr>
            </w:pPr>
          </w:p>
        </w:tc>
        <w:tc>
          <w:tcPr>
            <w:tcW w:w="243" w:type="pct"/>
          </w:tcPr>
          <w:p w:rsidR="00F7565E" w:rsidRPr="0087010C" w:rsidRDefault="00F7565E" w:rsidP="00211A38">
            <w:pPr>
              <w:jc w:val="both"/>
              <w:rPr>
                <w:sz w:val="20"/>
              </w:rPr>
            </w:pPr>
          </w:p>
        </w:tc>
        <w:tc>
          <w:tcPr>
            <w:tcW w:w="2330" w:type="pct"/>
          </w:tcPr>
          <w:p w:rsidR="00F7565E" w:rsidRPr="0087010C" w:rsidRDefault="00F7565E" w:rsidP="00211A38">
            <w:pPr>
              <w:jc w:val="both"/>
              <w:rPr>
                <w:sz w:val="20"/>
              </w:rPr>
            </w:pPr>
            <w:r w:rsidRPr="0087010C">
              <w:rPr>
                <w:sz w:val="20"/>
              </w:rPr>
              <w:t xml:space="preserve">Appel </w:t>
            </w:r>
            <w:proofErr w:type="spellStart"/>
            <w:r w:rsidRPr="0087010C">
              <w:rPr>
                <w:sz w:val="20"/>
              </w:rPr>
              <w:t>accueilli</w:t>
            </w:r>
            <w:proofErr w:type="spellEnd"/>
            <w:r w:rsidRPr="0087010C">
              <w:rPr>
                <w:sz w:val="20"/>
              </w:rPr>
              <w:t>.</w:t>
            </w:r>
          </w:p>
        </w:tc>
      </w:tr>
      <w:tr w:rsidR="00F7565E" w:rsidRPr="0087010C" w:rsidTr="00211A38">
        <w:tc>
          <w:tcPr>
            <w:tcW w:w="2427" w:type="pct"/>
            <w:gridSpan w:val="2"/>
          </w:tcPr>
          <w:p w:rsidR="00F7565E" w:rsidRPr="0087010C" w:rsidRDefault="00F7565E" w:rsidP="00211A38">
            <w:pPr>
              <w:jc w:val="both"/>
              <w:rPr>
                <w:sz w:val="20"/>
                <w:lang w:val="fr-CA"/>
              </w:rPr>
            </w:pPr>
            <w:r w:rsidRPr="0087010C">
              <w:rPr>
                <w:sz w:val="20"/>
                <w:lang w:val="fr-CA"/>
              </w:rPr>
              <w:t>Le 12 février 2019</w:t>
            </w:r>
          </w:p>
          <w:p w:rsidR="00F7565E" w:rsidRPr="0087010C" w:rsidRDefault="00F7565E" w:rsidP="00211A38">
            <w:pPr>
              <w:jc w:val="both"/>
              <w:rPr>
                <w:sz w:val="20"/>
                <w:lang w:val="fr-CA"/>
              </w:rPr>
            </w:pPr>
            <w:r w:rsidRPr="0087010C">
              <w:rPr>
                <w:sz w:val="20"/>
                <w:lang w:val="fr-CA"/>
              </w:rPr>
              <w:t>Cour suprême du Canada</w:t>
            </w:r>
          </w:p>
        </w:tc>
        <w:tc>
          <w:tcPr>
            <w:tcW w:w="243" w:type="pct"/>
          </w:tcPr>
          <w:p w:rsidR="00F7565E" w:rsidRPr="0087010C" w:rsidRDefault="00F7565E" w:rsidP="00211A38">
            <w:pPr>
              <w:jc w:val="both"/>
              <w:rPr>
                <w:sz w:val="20"/>
                <w:lang w:val="fr-CA"/>
              </w:rPr>
            </w:pPr>
          </w:p>
        </w:tc>
        <w:tc>
          <w:tcPr>
            <w:tcW w:w="2330" w:type="pct"/>
          </w:tcPr>
          <w:p w:rsidR="00F7565E" w:rsidRPr="0087010C" w:rsidRDefault="00F7565E" w:rsidP="00211A38">
            <w:pPr>
              <w:jc w:val="both"/>
              <w:rPr>
                <w:sz w:val="20"/>
              </w:rPr>
            </w:pPr>
            <w:proofErr w:type="spellStart"/>
            <w:r w:rsidRPr="0087010C">
              <w:rPr>
                <w:sz w:val="20"/>
              </w:rPr>
              <w:t>Demande</w:t>
            </w:r>
            <w:proofErr w:type="spellEnd"/>
            <w:r w:rsidRPr="0087010C">
              <w:rPr>
                <w:sz w:val="20"/>
              </w:rPr>
              <w:t xml:space="preserve"> </w:t>
            </w:r>
            <w:proofErr w:type="spellStart"/>
            <w:r w:rsidRPr="0087010C">
              <w:rPr>
                <w:sz w:val="20"/>
              </w:rPr>
              <w:t>d’autorisation</w:t>
            </w:r>
            <w:proofErr w:type="spellEnd"/>
            <w:r w:rsidRPr="0087010C">
              <w:rPr>
                <w:sz w:val="20"/>
              </w:rPr>
              <w:t xml:space="preserve"> </w:t>
            </w:r>
            <w:proofErr w:type="spellStart"/>
            <w:r w:rsidRPr="0087010C">
              <w:rPr>
                <w:sz w:val="20"/>
              </w:rPr>
              <w:t>d’appel</w:t>
            </w:r>
            <w:proofErr w:type="spellEnd"/>
            <w:r w:rsidRPr="0087010C">
              <w:rPr>
                <w:sz w:val="20"/>
              </w:rPr>
              <w:t xml:space="preserve"> </w:t>
            </w:r>
            <w:proofErr w:type="spellStart"/>
            <w:r w:rsidRPr="0087010C">
              <w:rPr>
                <w:sz w:val="20"/>
              </w:rPr>
              <w:t>déposée</w:t>
            </w:r>
            <w:proofErr w:type="spellEnd"/>
            <w:r w:rsidRPr="0087010C">
              <w:rPr>
                <w:sz w:val="20"/>
              </w:rPr>
              <w:t>.</w:t>
            </w:r>
          </w:p>
        </w:tc>
      </w:tr>
    </w:tbl>
    <w:p w:rsidR="00F7565E" w:rsidRPr="0087010C" w:rsidRDefault="00F7565E" w:rsidP="00F7565E">
      <w:pPr>
        <w:jc w:val="both"/>
        <w:rPr>
          <w:sz w:val="20"/>
        </w:rPr>
      </w:pPr>
    </w:p>
    <w:p w:rsidR="00F7565E" w:rsidRPr="0087010C" w:rsidRDefault="003A218E" w:rsidP="00F7565E">
      <w:pPr>
        <w:jc w:val="both"/>
        <w:rPr>
          <w:sz w:val="20"/>
        </w:rPr>
      </w:pPr>
      <w:r>
        <w:rPr>
          <w:sz w:val="20"/>
        </w:rPr>
        <w:pict>
          <v:rect id="_x0000_i1048" style="width:2in;height:1pt" o:hrpct="0" o:hralign="center" o:hrstd="t" o:hrnoshade="t" o:hr="t" fillcolor="black [3213]" stroked="f"/>
        </w:pict>
      </w:r>
    </w:p>
    <w:p w:rsidR="00F7565E" w:rsidRDefault="00F7565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565E" w:rsidRPr="0087010C" w:rsidTr="00211A38">
        <w:tc>
          <w:tcPr>
            <w:tcW w:w="543" w:type="pct"/>
          </w:tcPr>
          <w:p w:rsidR="00F7565E" w:rsidRPr="0087010C" w:rsidRDefault="00F7565E" w:rsidP="00211A38">
            <w:pPr>
              <w:jc w:val="both"/>
              <w:rPr>
                <w:sz w:val="20"/>
              </w:rPr>
            </w:pPr>
            <w:r w:rsidRPr="0087010C">
              <w:rPr>
                <w:rStyle w:val="SCCFileNumberChar"/>
                <w:sz w:val="20"/>
                <w:szCs w:val="20"/>
              </w:rPr>
              <w:lastRenderedPageBreak/>
              <w:t>38475</w:t>
            </w:r>
          </w:p>
        </w:tc>
        <w:tc>
          <w:tcPr>
            <w:tcW w:w="4457" w:type="pct"/>
            <w:gridSpan w:val="3"/>
          </w:tcPr>
          <w:p w:rsidR="00F7565E" w:rsidRPr="0087010C" w:rsidRDefault="00F7565E" w:rsidP="00211A38">
            <w:pPr>
              <w:pStyle w:val="SCCLsocParty"/>
              <w:jc w:val="both"/>
              <w:rPr>
                <w:b/>
                <w:sz w:val="20"/>
                <w:szCs w:val="20"/>
                <w:lang w:val="en-US"/>
              </w:rPr>
            </w:pPr>
            <w:proofErr w:type="spellStart"/>
            <w:r w:rsidRPr="0087010C">
              <w:rPr>
                <w:b/>
                <w:sz w:val="20"/>
                <w:szCs w:val="20"/>
                <w:lang w:val="en-US"/>
              </w:rPr>
              <w:t>Lenworth</w:t>
            </w:r>
            <w:proofErr w:type="spellEnd"/>
            <w:r w:rsidRPr="0087010C">
              <w:rPr>
                <w:b/>
                <w:sz w:val="20"/>
                <w:szCs w:val="20"/>
                <w:lang w:val="en-US"/>
              </w:rPr>
              <w:t xml:space="preserve"> Spence v. Her Majesty the Queen</w:t>
            </w:r>
          </w:p>
          <w:p w:rsidR="00F7565E" w:rsidRPr="0087010C" w:rsidRDefault="00F7565E" w:rsidP="00211A38">
            <w:pPr>
              <w:jc w:val="both"/>
              <w:rPr>
                <w:sz w:val="20"/>
              </w:rPr>
            </w:pPr>
            <w:r w:rsidRPr="0087010C">
              <w:rPr>
                <w:sz w:val="20"/>
              </w:rPr>
              <w:t>(Ont.) (Criminal) (By Leave)</w:t>
            </w:r>
          </w:p>
        </w:tc>
      </w:tr>
      <w:tr w:rsidR="009B1A2E" w:rsidRPr="0087010C" w:rsidTr="009B1A2E">
        <w:tc>
          <w:tcPr>
            <w:tcW w:w="5000" w:type="pct"/>
            <w:gridSpan w:val="4"/>
          </w:tcPr>
          <w:p w:rsidR="009B1A2E" w:rsidRPr="00647612" w:rsidRDefault="009B1A2E" w:rsidP="009B1A2E">
            <w:pPr>
              <w:widowControl w:val="0"/>
              <w:rPr>
                <w:sz w:val="20"/>
              </w:rPr>
            </w:pPr>
            <w:r w:rsidRPr="00647612">
              <w:rPr>
                <w:sz w:val="20"/>
              </w:rPr>
              <w:t>The motion for an extension of time to serve and file the application for leave to appeal is granted. The motion to appoint counsel is granted. The application for leave to appeal from the judgment of the Court of Appeal for Ontario, Number C55613, 2018 ONCA 427, dated May 7, 2018, is dismissed.</w:t>
            </w:r>
          </w:p>
          <w:p w:rsidR="009B1A2E" w:rsidRPr="009B1A2E" w:rsidRDefault="009B1A2E" w:rsidP="00211A38">
            <w:pPr>
              <w:pStyle w:val="SCCLsocParty"/>
              <w:jc w:val="both"/>
              <w:rPr>
                <w:b/>
                <w:sz w:val="20"/>
                <w:szCs w:val="20"/>
                <w:lang w:val="en-CA"/>
              </w:rPr>
            </w:pPr>
          </w:p>
        </w:tc>
      </w:tr>
      <w:tr w:rsidR="00F7565E" w:rsidRPr="0087010C" w:rsidTr="00211A38">
        <w:tc>
          <w:tcPr>
            <w:tcW w:w="5000" w:type="pct"/>
            <w:gridSpan w:val="4"/>
          </w:tcPr>
          <w:p w:rsidR="00F7565E" w:rsidRPr="0087010C" w:rsidRDefault="00F7565E" w:rsidP="00211A38">
            <w:pPr>
              <w:jc w:val="both"/>
              <w:rPr>
                <w:sz w:val="20"/>
              </w:rPr>
            </w:pPr>
            <w:r w:rsidRPr="0087010C">
              <w:rPr>
                <w:sz w:val="20"/>
              </w:rPr>
              <w:t xml:space="preserve">Criminal law — Evidence — Independence of evidence — </w:t>
            </w:r>
            <w:proofErr w:type="spellStart"/>
            <w:r w:rsidRPr="0087010C">
              <w:rPr>
                <w:i/>
                <w:sz w:val="20"/>
              </w:rPr>
              <w:t>Vetrovec</w:t>
            </w:r>
            <w:proofErr w:type="spellEnd"/>
            <w:r w:rsidRPr="0087010C">
              <w:rPr>
                <w:sz w:val="20"/>
              </w:rPr>
              <w:t xml:space="preserve"> witnesses — Whether evidence is independent and potentially confirmatory of the testimony of </w:t>
            </w:r>
            <w:proofErr w:type="spellStart"/>
            <w:r w:rsidRPr="0087010C">
              <w:rPr>
                <w:i/>
                <w:sz w:val="20"/>
              </w:rPr>
              <w:t>Vetrovec</w:t>
            </w:r>
            <w:proofErr w:type="spellEnd"/>
            <w:r w:rsidRPr="0087010C">
              <w:rPr>
                <w:sz w:val="20"/>
              </w:rPr>
              <w:t xml:space="preserve"> witnesses —Principles applicable — Whether the Court of Appeal erred — Whether the Court of Appeal’s error is of fundamental importance to the proper litigation of major criminal cases and therefore is a matter of national importance that warrants consideration by this Court.</w:t>
            </w:r>
          </w:p>
        </w:tc>
      </w:tr>
      <w:tr w:rsidR="00F7565E" w:rsidRPr="0087010C" w:rsidTr="00211A38">
        <w:tc>
          <w:tcPr>
            <w:tcW w:w="5000" w:type="pct"/>
            <w:gridSpan w:val="4"/>
          </w:tcPr>
          <w:p w:rsidR="00F7565E" w:rsidRPr="0087010C" w:rsidRDefault="00F7565E" w:rsidP="00211A38">
            <w:pPr>
              <w:jc w:val="both"/>
              <w:rPr>
                <w:sz w:val="20"/>
              </w:rPr>
            </w:pPr>
          </w:p>
        </w:tc>
      </w:tr>
      <w:tr w:rsidR="00F7565E" w:rsidRPr="0087010C" w:rsidTr="00211A38">
        <w:tc>
          <w:tcPr>
            <w:tcW w:w="5000" w:type="pct"/>
            <w:gridSpan w:val="4"/>
          </w:tcPr>
          <w:p w:rsidR="00F7565E" w:rsidRPr="0087010C" w:rsidRDefault="00F7565E" w:rsidP="00211A38">
            <w:pPr>
              <w:shd w:val="clear" w:color="auto" w:fill="FFFFFF"/>
              <w:ind w:left="-3"/>
              <w:jc w:val="both"/>
              <w:rPr>
                <w:sz w:val="20"/>
                <w:lang w:val="en"/>
              </w:rPr>
            </w:pPr>
            <w:r w:rsidRPr="0087010C">
              <w:rPr>
                <w:sz w:val="20"/>
              </w:rPr>
              <w:t xml:space="preserve">Following a drug deal that went bad, Chambers was shot and killed. </w:t>
            </w:r>
            <w:r w:rsidRPr="0087010C">
              <w:rPr>
                <w:sz w:val="20"/>
                <w:lang w:val="en"/>
              </w:rPr>
              <w:t xml:space="preserve">The case for the Crown relied to a large extent on the evidence of Williams, Walker and Millar. All three had entered into plea agreements and had co-operated with the prosecution in exchange for reduced sentences. All three led criminal lifestyles and were involved in the events culminating in Chambers’ death. The parties agreed that the three witnesses called by the Crown meet the criteria for a </w:t>
            </w:r>
            <w:proofErr w:type="spellStart"/>
            <w:r w:rsidRPr="0087010C">
              <w:rPr>
                <w:i/>
                <w:sz w:val="20"/>
                <w:lang w:val="en"/>
              </w:rPr>
              <w:t>Vetrovec</w:t>
            </w:r>
            <w:proofErr w:type="spellEnd"/>
            <w:r w:rsidRPr="0087010C">
              <w:rPr>
                <w:sz w:val="20"/>
                <w:lang w:val="en"/>
              </w:rPr>
              <w:t xml:space="preserve"> caution. </w:t>
            </w:r>
            <w:r w:rsidRPr="0087010C">
              <w:rPr>
                <w:sz w:val="20"/>
              </w:rPr>
              <w:t xml:space="preserve">After a trial by judge alone, the applicant was convicted of first degree murder. </w:t>
            </w:r>
            <w:r w:rsidRPr="0087010C">
              <w:rPr>
                <w:sz w:val="20"/>
                <w:lang w:val="en"/>
              </w:rPr>
              <w:t>The applicant’s conviction appeal was dismissed.</w:t>
            </w:r>
          </w:p>
          <w:p w:rsidR="00F7565E" w:rsidRPr="0087010C" w:rsidRDefault="00F7565E" w:rsidP="00211A38">
            <w:pPr>
              <w:jc w:val="both"/>
              <w:rPr>
                <w:sz w:val="20"/>
              </w:rPr>
            </w:pPr>
          </w:p>
        </w:tc>
      </w:tr>
      <w:tr w:rsidR="00F7565E" w:rsidRPr="0087010C" w:rsidTr="00211A38">
        <w:tc>
          <w:tcPr>
            <w:tcW w:w="2427" w:type="pct"/>
            <w:gridSpan w:val="2"/>
          </w:tcPr>
          <w:p w:rsidR="00F7565E" w:rsidRPr="0087010C" w:rsidRDefault="00F7565E" w:rsidP="00211A38">
            <w:pPr>
              <w:jc w:val="both"/>
              <w:rPr>
                <w:sz w:val="20"/>
              </w:rPr>
            </w:pPr>
            <w:r w:rsidRPr="0087010C">
              <w:rPr>
                <w:sz w:val="20"/>
              </w:rPr>
              <w:t>September 23, 2011</w:t>
            </w:r>
          </w:p>
          <w:p w:rsidR="00F7565E" w:rsidRPr="0087010C" w:rsidRDefault="00F7565E" w:rsidP="00211A38">
            <w:pPr>
              <w:jc w:val="both"/>
              <w:rPr>
                <w:sz w:val="20"/>
              </w:rPr>
            </w:pPr>
            <w:r w:rsidRPr="0087010C">
              <w:rPr>
                <w:sz w:val="20"/>
              </w:rPr>
              <w:t>Ontario Superior Court of Justice</w:t>
            </w:r>
          </w:p>
          <w:p w:rsidR="00F7565E" w:rsidRPr="0087010C" w:rsidRDefault="00F7565E" w:rsidP="00211A38">
            <w:pPr>
              <w:jc w:val="both"/>
              <w:rPr>
                <w:sz w:val="20"/>
              </w:rPr>
            </w:pPr>
            <w:r w:rsidRPr="0087010C">
              <w:rPr>
                <w:sz w:val="20"/>
              </w:rPr>
              <w:t>(Howden J.)</w:t>
            </w:r>
          </w:p>
          <w:p w:rsidR="00F7565E" w:rsidRPr="0087010C" w:rsidRDefault="003A218E" w:rsidP="00211A38">
            <w:pPr>
              <w:jc w:val="both"/>
              <w:rPr>
                <w:sz w:val="20"/>
              </w:rPr>
            </w:pPr>
            <w:hyperlink r:id="rId51" w:history="1">
              <w:r w:rsidR="00F7565E" w:rsidRPr="0087010C">
                <w:rPr>
                  <w:rStyle w:val="Hyperlink"/>
                  <w:sz w:val="20"/>
                </w:rPr>
                <w:t>2011 ONSC 5587</w:t>
              </w:r>
            </w:hyperlink>
          </w:p>
          <w:p w:rsidR="00F7565E" w:rsidRPr="0087010C" w:rsidRDefault="00F7565E" w:rsidP="00211A38">
            <w:pPr>
              <w:jc w:val="both"/>
              <w:rPr>
                <w:sz w:val="20"/>
              </w:rPr>
            </w:pPr>
          </w:p>
        </w:tc>
        <w:tc>
          <w:tcPr>
            <w:tcW w:w="243" w:type="pct"/>
          </w:tcPr>
          <w:p w:rsidR="00F7565E" w:rsidRPr="0087010C" w:rsidRDefault="00F7565E" w:rsidP="00211A38">
            <w:pPr>
              <w:jc w:val="both"/>
              <w:rPr>
                <w:sz w:val="20"/>
              </w:rPr>
            </w:pPr>
          </w:p>
        </w:tc>
        <w:tc>
          <w:tcPr>
            <w:tcW w:w="2330" w:type="pct"/>
          </w:tcPr>
          <w:p w:rsidR="00F7565E" w:rsidRPr="0087010C" w:rsidRDefault="00F7565E" w:rsidP="00211A38">
            <w:pPr>
              <w:jc w:val="both"/>
              <w:rPr>
                <w:sz w:val="20"/>
              </w:rPr>
            </w:pPr>
            <w:r w:rsidRPr="0087010C">
              <w:rPr>
                <w:sz w:val="20"/>
              </w:rPr>
              <w:t>Conviction: first degree murder</w:t>
            </w:r>
          </w:p>
          <w:p w:rsidR="00F7565E" w:rsidRPr="0087010C" w:rsidRDefault="00F7565E" w:rsidP="00211A38">
            <w:pPr>
              <w:jc w:val="both"/>
              <w:rPr>
                <w:sz w:val="20"/>
              </w:rPr>
            </w:pPr>
          </w:p>
        </w:tc>
      </w:tr>
      <w:tr w:rsidR="00F7565E" w:rsidRPr="0087010C" w:rsidTr="00211A38">
        <w:tc>
          <w:tcPr>
            <w:tcW w:w="2427" w:type="pct"/>
            <w:gridSpan w:val="2"/>
          </w:tcPr>
          <w:p w:rsidR="00F7565E" w:rsidRPr="0087010C" w:rsidRDefault="00F7565E" w:rsidP="00211A38">
            <w:pPr>
              <w:jc w:val="both"/>
              <w:rPr>
                <w:sz w:val="20"/>
              </w:rPr>
            </w:pPr>
            <w:r w:rsidRPr="0087010C">
              <w:rPr>
                <w:sz w:val="20"/>
              </w:rPr>
              <w:t>May 7, 2018</w:t>
            </w:r>
          </w:p>
          <w:p w:rsidR="00F7565E" w:rsidRPr="0087010C" w:rsidRDefault="00F7565E" w:rsidP="00211A38">
            <w:pPr>
              <w:jc w:val="both"/>
              <w:rPr>
                <w:sz w:val="20"/>
              </w:rPr>
            </w:pPr>
            <w:r w:rsidRPr="0087010C">
              <w:rPr>
                <w:sz w:val="20"/>
              </w:rPr>
              <w:t>Court of Appeal for Ontario</w:t>
            </w:r>
          </w:p>
          <w:p w:rsidR="00F7565E" w:rsidRPr="0087010C" w:rsidRDefault="00F7565E" w:rsidP="00211A38">
            <w:pPr>
              <w:jc w:val="both"/>
              <w:rPr>
                <w:sz w:val="20"/>
              </w:rPr>
            </w:pPr>
            <w:r w:rsidRPr="0087010C">
              <w:rPr>
                <w:sz w:val="20"/>
              </w:rPr>
              <w:t xml:space="preserve">(Doherty, van </w:t>
            </w:r>
            <w:proofErr w:type="spellStart"/>
            <w:r w:rsidRPr="0087010C">
              <w:rPr>
                <w:sz w:val="20"/>
              </w:rPr>
              <w:t>Rensburg</w:t>
            </w:r>
            <w:proofErr w:type="spellEnd"/>
            <w:r w:rsidRPr="0087010C">
              <w:rPr>
                <w:sz w:val="20"/>
              </w:rPr>
              <w:t xml:space="preserve">, </w:t>
            </w:r>
            <w:proofErr w:type="spellStart"/>
            <w:r w:rsidRPr="0087010C">
              <w:rPr>
                <w:sz w:val="20"/>
              </w:rPr>
              <w:t>Nordheimer</w:t>
            </w:r>
            <w:proofErr w:type="spellEnd"/>
            <w:r w:rsidRPr="0087010C">
              <w:rPr>
                <w:sz w:val="20"/>
              </w:rPr>
              <w:t xml:space="preserve"> JJ.A.)</w:t>
            </w:r>
          </w:p>
          <w:p w:rsidR="00F7565E" w:rsidRPr="0087010C" w:rsidRDefault="003A218E" w:rsidP="00211A38">
            <w:pPr>
              <w:jc w:val="both"/>
              <w:rPr>
                <w:sz w:val="20"/>
              </w:rPr>
            </w:pPr>
            <w:hyperlink r:id="rId52" w:history="1">
              <w:r w:rsidR="00F7565E" w:rsidRPr="0087010C">
                <w:rPr>
                  <w:rStyle w:val="Hyperlink"/>
                  <w:sz w:val="20"/>
                </w:rPr>
                <w:t>2018 ONCA 427</w:t>
              </w:r>
            </w:hyperlink>
            <w:r w:rsidR="00F7565E" w:rsidRPr="0087010C">
              <w:rPr>
                <w:sz w:val="20"/>
              </w:rPr>
              <w:t>; C55613</w:t>
            </w:r>
          </w:p>
          <w:p w:rsidR="00F7565E" w:rsidRPr="0087010C" w:rsidRDefault="00F7565E" w:rsidP="00211A38">
            <w:pPr>
              <w:jc w:val="both"/>
              <w:rPr>
                <w:sz w:val="20"/>
              </w:rPr>
            </w:pPr>
          </w:p>
        </w:tc>
        <w:tc>
          <w:tcPr>
            <w:tcW w:w="243" w:type="pct"/>
          </w:tcPr>
          <w:p w:rsidR="00F7565E" w:rsidRPr="0087010C" w:rsidRDefault="00F7565E" w:rsidP="00211A38">
            <w:pPr>
              <w:jc w:val="both"/>
              <w:rPr>
                <w:sz w:val="20"/>
              </w:rPr>
            </w:pPr>
          </w:p>
        </w:tc>
        <w:tc>
          <w:tcPr>
            <w:tcW w:w="2330" w:type="pct"/>
          </w:tcPr>
          <w:p w:rsidR="00F7565E" w:rsidRPr="0087010C" w:rsidRDefault="00F7565E" w:rsidP="00211A38">
            <w:pPr>
              <w:jc w:val="both"/>
              <w:rPr>
                <w:sz w:val="20"/>
              </w:rPr>
            </w:pPr>
            <w:r w:rsidRPr="0087010C">
              <w:rPr>
                <w:sz w:val="20"/>
              </w:rPr>
              <w:t>Conviction appeal dismissed</w:t>
            </w:r>
          </w:p>
          <w:p w:rsidR="00F7565E" w:rsidRPr="0087010C" w:rsidRDefault="00F7565E" w:rsidP="00211A38">
            <w:pPr>
              <w:jc w:val="both"/>
              <w:rPr>
                <w:sz w:val="20"/>
              </w:rPr>
            </w:pPr>
          </w:p>
        </w:tc>
      </w:tr>
      <w:tr w:rsidR="00F7565E" w:rsidRPr="0087010C" w:rsidTr="00211A38">
        <w:tc>
          <w:tcPr>
            <w:tcW w:w="2427" w:type="pct"/>
            <w:gridSpan w:val="2"/>
          </w:tcPr>
          <w:p w:rsidR="00F7565E" w:rsidRPr="0087010C" w:rsidRDefault="00F7565E" w:rsidP="00211A38">
            <w:pPr>
              <w:jc w:val="both"/>
              <w:rPr>
                <w:sz w:val="20"/>
              </w:rPr>
            </w:pPr>
            <w:r w:rsidRPr="0087010C">
              <w:rPr>
                <w:sz w:val="20"/>
              </w:rPr>
              <w:t>January 11, 2019</w:t>
            </w:r>
          </w:p>
          <w:p w:rsidR="00F7565E" w:rsidRPr="0087010C" w:rsidRDefault="00F7565E" w:rsidP="00211A38">
            <w:pPr>
              <w:jc w:val="both"/>
              <w:rPr>
                <w:sz w:val="20"/>
              </w:rPr>
            </w:pPr>
            <w:r w:rsidRPr="0087010C">
              <w:rPr>
                <w:sz w:val="20"/>
              </w:rPr>
              <w:t>Supreme Court of Canada</w:t>
            </w:r>
          </w:p>
        </w:tc>
        <w:tc>
          <w:tcPr>
            <w:tcW w:w="243" w:type="pct"/>
          </w:tcPr>
          <w:p w:rsidR="00F7565E" w:rsidRPr="0087010C" w:rsidRDefault="00F7565E" w:rsidP="00211A38">
            <w:pPr>
              <w:jc w:val="both"/>
              <w:rPr>
                <w:sz w:val="20"/>
              </w:rPr>
            </w:pPr>
          </w:p>
        </w:tc>
        <w:tc>
          <w:tcPr>
            <w:tcW w:w="2330" w:type="pct"/>
          </w:tcPr>
          <w:p w:rsidR="00F7565E" w:rsidRPr="0087010C" w:rsidRDefault="00F7565E" w:rsidP="00211A38">
            <w:pPr>
              <w:jc w:val="both"/>
              <w:rPr>
                <w:sz w:val="20"/>
              </w:rPr>
            </w:pPr>
            <w:r w:rsidRPr="0087010C">
              <w:rPr>
                <w:sz w:val="20"/>
              </w:rPr>
              <w:t>Motion for an extension of time to serve and file the application for leave to appeal and motion to assign counsel and application for leave to appeal filed</w:t>
            </w:r>
          </w:p>
        </w:tc>
      </w:tr>
    </w:tbl>
    <w:p w:rsidR="00F7565E" w:rsidRPr="0087010C" w:rsidRDefault="00F7565E" w:rsidP="00F7565E">
      <w:pPr>
        <w:jc w:val="both"/>
        <w:rPr>
          <w:sz w:val="20"/>
        </w:rPr>
      </w:pPr>
    </w:p>
    <w:p w:rsidR="00F7565E" w:rsidRPr="0087010C" w:rsidRDefault="00F7565E" w:rsidP="00F7565E">
      <w:pPr>
        <w:jc w:val="both"/>
        <w:rPr>
          <w:sz w:val="20"/>
        </w:rPr>
      </w:pPr>
    </w:p>
    <w:p w:rsidR="00F7565E" w:rsidRPr="0087010C" w:rsidRDefault="00F7565E" w:rsidP="00F7565E">
      <w:pPr>
        <w:jc w:val="both"/>
        <w:rPr>
          <w:sz w:val="20"/>
        </w:rPr>
      </w:pPr>
    </w:p>
    <w:p w:rsidR="00F7565E" w:rsidRDefault="00F7565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565E" w:rsidRPr="0087010C" w:rsidTr="00211A38">
        <w:tc>
          <w:tcPr>
            <w:tcW w:w="543" w:type="pct"/>
          </w:tcPr>
          <w:p w:rsidR="00F7565E" w:rsidRPr="0087010C" w:rsidRDefault="00F7565E" w:rsidP="00211A38">
            <w:pPr>
              <w:jc w:val="both"/>
              <w:rPr>
                <w:sz w:val="20"/>
                <w:lang w:val="fr-CA"/>
              </w:rPr>
            </w:pPr>
            <w:r w:rsidRPr="0087010C">
              <w:rPr>
                <w:rStyle w:val="SCCFileNumberChar"/>
                <w:sz w:val="20"/>
                <w:szCs w:val="20"/>
                <w:lang w:val="fr-CA"/>
              </w:rPr>
              <w:lastRenderedPageBreak/>
              <w:t>38475</w:t>
            </w:r>
          </w:p>
        </w:tc>
        <w:tc>
          <w:tcPr>
            <w:tcW w:w="4457" w:type="pct"/>
            <w:gridSpan w:val="3"/>
          </w:tcPr>
          <w:p w:rsidR="00F7565E" w:rsidRPr="0087010C" w:rsidRDefault="00F7565E" w:rsidP="00211A38">
            <w:pPr>
              <w:pStyle w:val="SCCLsocParty"/>
              <w:jc w:val="both"/>
              <w:rPr>
                <w:b/>
                <w:sz w:val="20"/>
                <w:szCs w:val="20"/>
              </w:rPr>
            </w:pPr>
            <w:proofErr w:type="spellStart"/>
            <w:r w:rsidRPr="0087010C">
              <w:rPr>
                <w:b/>
                <w:sz w:val="20"/>
                <w:szCs w:val="20"/>
              </w:rPr>
              <w:t>Lenworth</w:t>
            </w:r>
            <w:proofErr w:type="spellEnd"/>
            <w:r w:rsidRPr="0087010C">
              <w:rPr>
                <w:b/>
                <w:sz w:val="20"/>
                <w:szCs w:val="20"/>
              </w:rPr>
              <w:t xml:space="preserve"> </w:t>
            </w:r>
            <w:proofErr w:type="spellStart"/>
            <w:r w:rsidRPr="0087010C">
              <w:rPr>
                <w:b/>
                <w:sz w:val="20"/>
                <w:szCs w:val="20"/>
              </w:rPr>
              <w:t>Spence</w:t>
            </w:r>
            <w:proofErr w:type="spellEnd"/>
            <w:r w:rsidRPr="0087010C">
              <w:rPr>
                <w:b/>
                <w:sz w:val="20"/>
                <w:szCs w:val="20"/>
              </w:rPr>
              <w:t xml:space="preserve"> c. Sa Majesté la Reine</w:t>
            </w:r>
          </w:p>
          <w:p w:rsidR="00F7565E" w:rsidRPr="0087010C" w:rsidRDefault="00F7565E" w:rsidP="00211A38">
            <w:pPr>
              <w:jc w:val="both"/>
              <w:rPr>
                <w:sz w:val="20"/>
                <w:lang w:val="fr-CA"/>
              </w:rPr>
            </w:pPr>
            <w:r w:rsidRPr="0087010C">
              <w:rPr>
                <w:sz w:val="20"/>
                <w:lang w:val="fr-CA"/>
              </w:rPr>
              <w:t>(Ont.) (Criminelle) (Autorisation)</w:t>
            </w:r>
          </w:p>
        </w:tc>
      </w:tr>
      <w:tr w:rsidR="009B1A2E" w:rsidRPr="003A218E" w:rsidTr="009B1A2E">
        <w:tc>
          <w:tcPr>
            <w:tcW w:w="5000" w:type="pct"/>
            <w:gridSpan w:val="4"/>
          </w:tcPr>
          <w:p w:rsidR="009B1A2E" w:rsidRPr="00647612" w:rsidRDefault="009B1A2E" w:rsidP="009B1A2E">
            <w:pPr>
              <w:widowControl w:val="0"/>
              <w:rPr>
                <w:sz w:val="20"/>
                <w:lang w:val="fr-CA"/>
              </w:rPr>
            </w:pPr>
            <w:r w:rsidRPr="00647612">
              <w:rPr>
                <w:sz w:val="20"/>
                <w:lang w:val="fr-CA"/>
              </w:rPr>
              <w:t>La requête en prorogation du délai de signification et de dépôt de la demande d’autorisation d’appel est accueillie. La requête en nomination d’un procureur est accueillie. La demande d’autorisation d’appel de l’arrêt de la Cour d’appel de l’Ontario, numéro C55613, 2018 ONCA 427, daté du 7 mai 2018, est rejetée.</w:t>
            </w:r>
          </w:p>
          <w:p w:rsidR="009B1A2E" w:rsidRPr="0087010C" w:rsidRDefault="009B1A2E" w:rsidP="00211A38">
            <w:pPr>
              <w:pStyle w:val="SCCLsocParty"/>
              <w:jc w:val="both"/>
              <w:rPr>
                <w:b/>
                <w:sz w:val="20"/>
                <w:szCs w:val="20"/>
              </w:rPr>
            </w:pPr>
          </w:p>
        </w:tc>
      </w:tr>
      <w:tr w:rsidR="00F7565E" w:rsidRPr="003A218E" w:rsidTr="00211A38">
        <w:tc>
          <w:tcPr>
            <w:tcW w:w="5000" w:type="pct"/>
            <w:gridSpan w:val="4"/>
          </w:tcPr>
          <w:p w:rsidR="00F7565E" w:rsidRPr="0087010C" w:rsidRDefault="00F7565E" w:rsidP="00211A38">
            <w:pPr>
              <w:jc w:val="both"/>
              <w:rPr>
                <w:sz w:val="20"/>
                <w:lang w:val="fr-CA"/>
              </w:rPr>
            </w:pPr>
            <w:r w:rsidRPr="0087010C">
              <w:rPr>
                <w:sz w:val="20"/>
                <w:lang w:val="fr-CA"/>
              </w:rPr>
              <w:t xml:space="preserve">Droit criminel — Preuve — Indépendance de la preuve — Témoins visés par l’arrêt </w:t>
            </w:r>
            <w:proofErr w:type="spellStart"/>
            <w:r w:rsidRPr="0087010C">
              <w:rPr>
                <w:i/>
                <w:sz w:val="20"/>
                <w:lang w:val="fr-CA"/>
              </w:rPr>
              <w:t>Vetrovec</w:t>
            </w:r>
            <w:proofErr w:type="spellEnd"/>
            <w:r w:rsidRPr="0087010C">
              <w:rPr>
                <w:sz w:val="20"/>
                <w:lang w:val="fr-CA"/>
              </w:rPr>
              <w:t xml:space="preserve"> — La preuve est-elle indépendante et susceptible de corroborer les témoignages des témoins visés par l’arrêt </w:t>
            </w:r>
            <w:proofErr w:type="spellStart"/>
            <w:r w:rsidRPr="0087010C">
              <w:rPr>
                <w:i/>
                <w:sz w:val="20"/>
                <w:lang w:val="fr-CA"/>
              </w:rPr>
              <w:t>Vetrovec</w:t>
            </w:r>
            <w:proofErr w:type="spellEnd"/>
            <w:r w:rsidRPr="0087010C">
              <w:rPr>
                <w:sz w:val="20"/>
                <w:lang w:val="fr-CA"/>
              </w:rPr>
              <w:t>? — Principes applicables — La Cour d’appel a</w:t>
            </w:r>
            <w:r w:rsidRPr="0087010C">
              <w:rPr>
                <w:sz w:val="20"/>
                <w:lang w:val="fr-CA"/>
              </w:rPr>
              <w:noBreakHyphen/>
              <w:t>t</w:t>
            </w:r>
            <w:r w:rsidRPr="0087010C">
              <w:rPr>
                <w:sz w:val="20"/>
                <w:lang w:val="fr-CA"/>
              </w:rPr>
              <w:noBreakHyphen/>
              <w:t>elle commis une erreur? — L’erreur de la Cour d’appel revêt</w:t>
            </w:r>
            <w:r w:rsidRPr="0087010C">
              <w:rPr>
                <w:sz w:val="20"/>
                <w:lang w:val="fr-CA"/>
              </w:rPr>
              <w:noBreakHyphen/>
              <w:t>elle une importance fondamentale pour la bonne instruction d’affaires criminelles d’envergure, ce qui en fait une question d’importance nationale qui justifie un examen par la Cour?</w:t>
            </w:r>
          </w:p>
        </w:tc>
      </w:tr>
      <w:tr w:rsidR="00F7565E" w:rsidRPr="003A218E" w:rsidTr="00211A38">
        <w:tc>
          <w:tcPr>
            <w:tcW w:w="5000" w:type="pct"/>
            <w:gridSpan w:val="4"/>
          </w:tcPr>
          <w:p w:rsidR="00F7565E" w:rsidRPr="0087010C" w:rsidRDefault="00F7565E" w:rsidP="00211A38">
            <w:pPr>
              <w:jc w:val="both"/>
              <w:rPr>
                <w:sz w:val="20"/>
                <w:lang w:val="fr-CA"/>
              </w:rPr>
            </w:pPr>
          </w:p>
        </w:tc>
      </w:tr>
      <w:tr w:rsidR="00F7565E" w:rsidRPr="003A218E" w:rsidTr="00211A38">
        <w:tc>
          <w:tcPr>
            <w:tcW w:w="5000" w:type="pct"/>
            <w:gridSpan w:val="4"/>
          </w:tcPr>
          <w:p w:rsidR="00F7565E" w:rsidRPr="0087010C" w:rsidRDefault="00F7565E" w:rsidP="00211A38">
            <w:pPr>
              <w:shd w:val="clear" w:color="auto" w:fill="FFFFFF"/>
              <w:ind w:left="-3"/>
              <w:jc w:val="both"/>
              <w:rPr>
                <w:sz w:val="20"/>
                <w:lang w:val="fr-CA"/>
              </w:rPr>
            </w:pPr>
            <w:r w:rsidRPr="0087010C">
              <w:rPr>
                <w:sz w:val="20"/>
                <w:lang w:val="fr-CA"/>
              </w:rPr>
              <w:t xml:space="preserve">À la suite d’une opération de trafic de drogue qui a mal tourné, M. Chambers a été tué par balle. La preuve du ministère public s’appuyait en grande partie sur les témoignages de MM. Williams, Walker et </w:t>
            </w:r>
            <w:proofErr w:type="spellStart"/>
            <w:r w:rsidRPr="0087010C">
              <w:rPr>
                <w:sz w:val="20"/>
                <w:lang w:val="fr-CA"/>
              </w:rPr>
              <w:t>Millar</w:t>
            </w:r>
            <w:proofErr w:type="spellEnd"/>
            <w:r w:rsidRPr="0087010C">
              <w:rPr>
                <w:sz w:val="20"/>
                <w:lang w:val="fr-CA"/>
              </w:rPr>
              <w:t xml:space="preserve">. Les trois avaient conclu des transactions pénales et avaient collaboré avec la poursuite en échange de peines réduites. Les trois avaient adopté des modes vie criminels et étaient impliqués dans les événements qui ont mené à la mort de M. Chambers. Les parties ont convenu que les trois témoins appelés par le ministère public répondaient aux critères justifiant une mise en garde de type </w:t>
            </w:r>
            <w:proofErr w:type="spellStart"/>
            <w:r w:rsidRPr="0087010C">
              <w:rPr>
                <w:i/>
                <w:sz w:val="20"/>
                <w:lang w:val="fr-CA"/>
              </w:rPr>
              <w:t>Vetrovec</w:t>
            </w:r>
            <w:proofErr w:type="spellEnd"/>
            <w:r w:rsidRPr="0087010C">
              <w:rPr>
                <w:sz w:val="20"/>
                <w:lang w:val="fr-CA"/>
              </w:rPr>
              <w:t>. Au terme d’un procès devant juge seul, le demandeur a été déclaré coupable de meurtre au premier degré. L’appel de la déclaration de culpabilité interjeté par le demandeur a été rejeté.</w:t>
            </w:r>
          </w:p>
          <w:p w:rsidR="00F7565E" w:rsidRPr="0087010C" w:rsidRDefault="00F7565E" w:rsidP="00211A38">
            <w:pPr>
              <w:jc w:val="both"/>
              <w:rPr>
                <w:sz w:val="20"/>
                <w:lang w:val="fr-CA"/>
              </w:rPr>
            </w:pPr>
          </w:p>
        </w:tc>
      </w:tr>
      <w:tr w:rsidR="00F7565E" w:rsidRPr="003A218E" w:rsidTr="00211A38">
        <w:tc>
          <w:tcPr>
            <w:tcW w:w="2427" w:type="pct"/>
            <w:gridSpan w:val="2"/>
          </w:tcPr>
          <w:p w:rsidR="00F7565E" w:rsidRPr="0087010C" w:rsidRDefault="00F7565E" w:rsidP="00211A38">
            <w:pPr>
              <w:jc w:val="both"/>
              <w:rPr>
                <w:sz w:val="20"/>
                <w:lang w:val="fr-CA"/>
              </w:rPr>
            </w:pPr>
            <w:r w:rsidRPr="0087010C">
              <w:rPr>
                <w:sz w:val="20"/>
                <w:lang w:val="fr-CA"/>
              </w:rPr>
              <w:t>23 septembre 2011</w:t>
            </w:r>
          </w:p>
          <w:p w:rsidR="00F7565E" w:rsidRPr="0087010C" w:rsidRDefault="00F7565E" w:rsidP="00211A38">
            <w:pPr>
              <w:jc w:val="both"/>
              <w:rPr>
                <w:sz w:val="20"/>
                <w:lang w:val="fr-CA"/>
              </w:rPr>
            </w:pPr>
            <w:r w:rsidRPr="0087010C">
              <w:rPr>
                <w:sz w:val="20"/>
                <w:lang w:val="fr-CA"/>
              </w:rPr>
              <w:t>Cour supérieure de justice de l’Ontario</w:t>
            </w:r>
          </w:p>
          <w:p w:rsidR="00F7565E" w:rsidRPr="0087010C" w:rsidRDefault="00F7565E" w:rsidP="00211A38">
            <w:pPr>
              <w:jc w:val="both"/>
              <w:rPr>
                <w:sz w:val="20"/>
                <w:lang w:val="fr-CA"/>
              </w:rPr>
            </w:pPr>
            <w:r w:rsidRPr="0087010C">
              <w:rPr>
                <w:sz w:val="20"/>
                <w:lang w:val="fr-CA"/>
              </w:rPr>
              <w:t>(Juge Howden)</w:t>
            </w:r>
          </w:p>
          <w:p w:rsidR="00F7565E" w:rsidRPr="0087010C" w:rsidRDefault="003A218E" w:rsidP="00211A38">
            <w:pPr>
              <w:jc w:val="both"/>
              <w:rPr>
                <w:sz w:val="20"/>
                <w:lang w:val="fr-CA"/>
              </w:rPr>
            </w:pPr>
            <w:hyperlink r:id="rId53" w:history="1">
              <w:r w:rsidR="00F7565E" w:rsidRPr="0087010C">
                <w:rPr>
                  <w:rStyle w:val="Hyperlink"/>
                  <w:sz w:val="20"/>
                  <w:lang w:val="fr-CA"/>
                </w:rPr>
                <w:t>2011 ONSC 5587</w:t>
              </w:r>
            </w:hyperlink>
          </w:p>
          <w:p w:rsidR="00F7565E" w:rsidRPr="0087010C" w:rsidRDefault="00F7565E" w:rsidP="00211A38">
            <w:pPr>
              <w:jc w:val="both"/>
              <w:rPr>
                <w:sz w:val="20"/>
                <w:lang w:val="fr-CA"/>
              </w:rPr>
            </w:pPr>
          </w:p>
        </w:tc>
        <w:tc>
          <w:tcPr>
            <w:tcW w:w="243" w:type="pct"/>
          </w:tcPr>
          <w:p w:rsidR="00F7565E" w:rsidRPr="0087010C" w:rsidRDefault="00F7565E" w:rsidP="00211A38">
            <w:pPr>
              <w:jc w:val="both"/>
              <w:rPr>
                <w:sz w:val="20"/>
                <w:lang w:val="fr-CA"/>
              </w:rPr>
            </w:pPr>
          </w:p>
        </w:tc>
        <w:tc>
          <w:tcPr>
            <w:tcW w:w="2330" w:type="pct"/>
          </w:tcPr>
          <w:p w:rsidR="00F7565E" w:rsidRPr="0087010C" w:rsidRDefault="00F7565E" w:rsidP="00211A38">
            <w:pPr>
              <w:jc w:val="both"/>
              <w:rPr>
                <w:sz w:val="20"/>
                <w:lang w:val="fr-CA"/>
              </w:rPr>
            </w:pPr>
            <w:r w:rsidRPr="0087010C">
              <w:rPr>
                <w:sz w:val="20"/>
                <w:lang w:val="fr-CA"/>
              </w:rPr>
              <w:t>Déclaration de culpabilité : meurtre au premier degré</w:t>
            </w:r>
          </w:p>
          <w:p w:rsidR="00F7565E" w:rsidRPr="0087010C" w:rsidRDefault="00F7565E" w:rsidP="00211A38">
            <w:pPr>
              <w:jc w:val="both"/>
              <w:rPr>
                <w:sz w:val="20"/>
                <w:lang w:val="fr-CA"/>
              </w:rPr>
            </w:pPr>
          </w:p>
        </w:tc>
      </w:tr>
      <w:tr w:rsidR="00F7565E" w:rsidRPr="003A218E" w:rsidTr="00211A38">
        <w:tc>
          <w:tcPr>
            <w:tcW w:w="2427" w:type="pct"/>
            <w:gridSpan w:val="2"/>
          </w:tcPr>
          <w:p w:rsidR="00F7565E" w:rsidRPr="0087010C" w:rsidRDefault="00F7565E" w:rsidP="00211A38">
            <w:pPr>
              <w:jc w:val="both"/>
              <w:rPr>
                <w:sz w:val="20"/>
                <w:lang w:val="fr-CA"/>
              </w:rPr>
            </w:pPr>
            <w:r w:rsidRPr="0087010C">
              <w:rPr>
                <w:sz w:val="20"/>
                <w:lang w:val="fr-CA"/>
              </w:rPr>
              <w:t>7 mai 2018</w:t>
            </w:r>
          </w:p>
          <w:p w:rsidR="00F7565E" w:rsidRPr="0087010C" w:rsidRDefault="00F7565E" w:rsidP="00211A38">
            <w:pPr>
              <w:jc w:val="both"/>
              <w:rPr>
                <w:sz w:val="20"/>
                <w:lang w:val="fr-CA"/>
              </w:rPr>
            </w:pPr>
            <w:r w:rsidRPr="0087010C">
              <w:rPr>
                <w:sz w:val="20"/>
                <w:lang w:val="fr-CA"/>
              </w:rPr>
              <w:t>Cour d’appel de l’Ontario</w:t>
            </w:r>
          </w:p>
          <w:p w:rsidR="00F7565E" w:rsidRPr="0087010C" w:rsidRDefault="00F7565E" w:rsidP="00211A38">
            <w:pPr>
              <w:jc w:val="both"/>
              <w:rPr>
                <w:sz w:val="20"/>
                <w:lang w:val="fr-CA"/>
              </w:rPr>
            </w:pPr>
            <w:r w:rsidRPr="0087010C">
              <w:rPr>
                <w:sz w:val="20"/>
                <w:lang w:val="fr-CA"/>
              </w:rPr>
              <w:t xml:space="preserve">(Juges Doherty, van </w:t>
            </w:r>
            <w:proofErr w:type="spellStart"/>
            <w:r w:rsidRPr="0087010C">
              <w:rPr>
                <w:sz w:val="20"/>
                <w:lang w:val="fr-CA"/>
              </w:rPr>
              <w:t>Rensburg</w:t>
            </w:r>
            <w:proofErr w:type="spellEnd"/>
            <w:r w:rsidRPr="0087010C">
              <w:rPr>
                <w:sz w:val="20"/>
                <w:lang w:val="fr-CA"/>
              </w:rPr>
              <w:t xml:space="preserve"> et </w:t>
            </w:r>
            <w:proofErr w:type="spellStart"/>
            <w:r w:rsidRPr="0087010C">
              <w:rPr>
                <w:sz w:val="20"/>
                <w:lang w:val="fr-CA"/>
              </w:rPr>
              <w:t>Nordheimer</w:t>
            </w:r>
            <w:proofErr w:type="spellEnd"/>
            <w:r w:rsidRPr="0087010C">
              <w:rPr>
                <w:sz w:val="20"/>
                <w:lang w:val="fr-CA"/>
              </w:rPr>
              <w:t>)</w:t>
            </w:r>
          </w:p>
          <w:p w:rsidR="00F7565E" w:rsidRPr="0087010C" w:rsidRDefault="003A218E" w:rsidP="00211A38">
            <w:pPr>
              <w:jc w:val="both"/>
              <w:rPr>
                <w:sz w:val="20"/>
                <w:lang w:val="fr-CA"/>
              </w:rPr>
            </w:pPr>
            <w:hyperlink r:id="rId54" w:history="1">
              <w:r w:rsidR="00F7565E" w:rsidRPr="0087010C">
                <w:rPr>
                  <w:rStyle w:val="Hyperlink"/>
                  <w:sz w:val="20"/>
                  <w:lang w:val="fr-CA"/>
                </w:rPr>
                <w:t>2018 ONCA 427</w:t>
              </w:r>
            </w:hyperlink>
            <w:r w:rsidR="00F7565E" w:rsidRPr="0087010C">
              <w:rPr>
                <w:sz w:val="20"/>
                <w:lang w:val="fr-CA"/>
              </w:rPr>
              <w:t>; C55613</w:t>
            </w:r>
          </w:p>
          <w:p w:rsidR="00F7565E" w:rsidRPr="0087010C" w:rsidRDefault="00F7565E" w:rsidP="00211A38">
            <w:pPr>
              <w:jc w:val="both"/>
              <w:rPr>
                <w:sz w:val="20"/>
                <w:lang w:val="fr-CA"/>
              </w:rPr>
            </w:pPr>
          </w:p>
        </w:tc>
        <w:tc>
          <w:tcPr>
            <w:tcW w:w="243" w:type="pct"/>
          </w:tcPr>
          <w:p w:rsidR="00F7565E" w:rsidRPr="0087010C" w:rsidRDefault="00F7565E" w:rsidP="00211A38">
            <w:pPr>
              <w:jc w:val="both"/>
              <w:rPr>
                <w:sz w:val="20"/>
                <w:lang w:val="fr-CA"/>
              </w:rPr>
            </w:pPr>
          </w:p>
        </w:tc>
        <w:tc>
          <w:tcPr>
            <w:tcW w:w="2330" w:type="pct"/>
          </w:tcPr>
          <w:p w:rsidR="00F7565E" w:rsidRPr="0087010C" w:rsidRDefault="00F7565E" w:rsidP="00211A38">
            <w:pPr>
              <w:jc w:val="both"/>
              <w:rPr>
                <w:sz w:val="20"/>
                <w:lang w:val="fr-CA"/>
              </w:rPr>
            </w:pPr>
            <w:r w:rsidRPr="0087010C">
              <w:rPr>
                <w:sz w:val="20"/>
                <w:lang w:val="fr-CA"/>
              </w:rPr>
              <w:t>Rejet de l’appel de la déclaration de culpabilité</w:t>
            </w:r>
          </w:p>
          <w:p w:rsidR="00F7565E" w:rsidRPr="0087010C" w:rsidRDefault="00F7565E" w:rsidP="00211A38">
            <w:pPr>
              <w:jc w:val="both"/>
              <w:rPr>
                <w:sz w:val="20"/>
                <w:lang w:val="fr-CA"/>
              </w:rPr>
            </w:pPr>
          </w:p>
        </w:tc>
      </w:tr>
      <w:tr w:rsidR="00F7565E" w:rsidRPr="003A218E" w:rsidTr="00211A38">
        <w:tc>
          <w:tcPr>
            <w:tcW w:w="2427" w:type="pct"/>
            <w:gridSpan w:val="2"/>
          </w:tcPr>
          <w:p w:rsidR="00F7565E" w:rsidRPr="0087010C" w:rsidRDefault="00F7565E" w:rsidP="00211A38">
            <w:pPr>
              <w:jc w:val="both"/>
              <w:rPr>
                <w:sz w:val="20"/>
                <w:lang w:val="fr-CA"/>
              </w:rPr>
            </w:pPr>
            <w:r w:rsidRPr="0087010C">
              <w:rPr>
                <w:sz w:val="20"/>
                <w:lang w:val="fr-CA"/>
              </w:rPr>
              <w:t>11 janvier 2019</w:t>
            </w:r>
          </w:p>
          <w:p w:rsidR="00F7565E" w:rsidRPr="0087010C" w:rsidRDefault="00F7565E" w:rsidP="00211A38">
            <w:pPr>
              <w:jc w:val="both"/>
              <w:rPr>
                <w:sz w:val="20"/>
                <w:lang w:val="fr-CA"/>
              </w:rPr>
            </w:pPr>
            <w:r w:rsidRPr="0087010C">
              <w:rPr>
                <w:sz w:val="20"/>
                <w:lang w:val="fr-CA"/>
              </w:rPr>
              <w:t>Cour suprême du Canada</w:t>
            </w:r>
          </w:p>
          <w:p w:rsidR="00F7565E" w:rsidRPr="0087010C" w:rsidRDefault="00F7565E" w:rsidP="00211A38">
            <w:pPr>
              <w:jc w:val="both"/>
              <w:rPr>
                <w:sz w:val="20"/>
                <w:lang w:val="fr-CA"/>
              </w:rPr>
            </w:pPr>
          </w:p>
        </w:tc>
        <w:tc>
          <w:tcPr>
            <w:tcW w:w="243" w:type="pct"/>
          </w:tcPr>
          <w:p w:rsidR="00F7565E" w:rsidRPr="0087010C" w:rsidRDefault="00F7565E" w:rsidP="00211A38">
            <w:pPr>
              <w:jc w:val="both"/>
              <w:rPr>
                <w:sz w:val="20"/>
                <w:lang w:val="fr-CA"/>
              </w:rPr>
            </w:pPr>
          </w:p>
        </w:tc>
        <w:tc>
          <w:tcPr>
            <w:tcW w:w="2330" w:type="pct"/>
          </w:tcPr>
          <w:p w:rsidR="00F7565E" w:rsidRPr="0087010C" w:rsidRDefault="00F7565E" w:rsidP="00211A38">
            <w:pPr>
              <w:jc w:val="both"/>
              <w:rPr>
                <w:sz w:val="20"/>
                <w:lang w:val="fr-CA"/>
              </w:rPr>
            </w:pPr>
            <w:r w:rsidRPr="0087010C">
              <w:rPr>
                <w:sz w:val="20"/>
                <w:lang w:val="fr-CA"/>
              </w:rPr>
              <w:t>Dépôt de la requête en prorogation du délai de signification et de dépôt de la demande d’autorisation d’appel et de la requête en nomination de procureur et de la demande d’autorisation d’appel</w:t>
            </w:r>
          </w:p>
        </w:tc>
      </w:tr>
    </w:tbl>
    <w:p w:rsidR="00F7565E" w:rsidRPr="0087010C" w:rsidRDefault="00F7565E" w:rsidP="00F7565E">
      <w:pPr>
        <w:jc w:val="both"/>
        <w:rPr>
          <w:sz w:val="20"/>
          <w:lang w:val="fr-CA"/>
        </w:rPr>
      </w:pPr>
    </w:p>
    <w:p w:rsidR="00F7565E" w:rsidRPr="0087010C" w:rsidRDefault="003A218E" w:rsidP="00F7565E">
      <w:pPr>
        <w:jc w:val="both"/>
        <w:rPr>
          <w:sz w:val="20"/>
          <w:lang w:val="fr-CA"/>
        </w:rPr>
      </w:pPr>
      <w:r>
        <w:rPr>
          <w:sz w:val="20"/>
        </w:rPr>
        <w:pict>
          <v:rect id="_x0000_i1049" style="width:2in;height:1pt" o:hrpct="0" o:hralign="center" o:hrstd="t" o:hrnoshade="t" o:hr="t" fillcolor="black [3213]" stroked="f"/>
        </w:pict>
      </w:r>
    </w:p>
    <w:p w:rsidR="00F7565E" w:rsidRPr="0087010C" w:rsidRDefault="00F7565E" w:rsidP="00F7565E">
      <w:pPr>
        <w:ind w:left="142" w:hanging="142"/>
        <w:jc w:val="both"/>
        <w:rPr>
          <w:sz w:val="20"/>
          <w:lang w:val="fr-CA"/>
        </w:rPr>
      </w:pPr>
    </w:p>
    <w:p w:rsidR="00F7565E" w:rsidRDefault="00F7565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565E" w:rsidRPr="0087010C" w:rsidTr="00211A38">
        <w:tc>
          <w:tcPr>
            <w:tcW w:w="543" w:type="pct"/>
          </w:tcPr>
          <w:p w:rsidR="00F7565E" w:rsidRPr="0087010C" w:rsidRDefault="00F7565E" w:rsidP="00211A38">
            <w:pPr>
              <w:jc w:val="both"/>
              <w:rPr>
                <w:sz w:val="20"/>
              </w:rPr>
            </w:pPr>
            <w:r w:rsidRPr="0087010C">
              <w:rPr>
                <w:rStyle w:val="SCCFileNumberChar"/>
                <w:sz w:val="20"/>
                <w:szCs w:val="20"/>
              </w:rPr>
              <w:lastRenderedPageBreak/>
              <w:t>38489</w:t>
            </w:r>
          </w:p>
        </w:tc>
        <w:tc>
          <w:tcPr>
            <w:tcW w:w="4457" w:type="pct"/>
            <w:gridSpan w:val="3"/>
          </w:tcPr>
          <w:p w:rsidR="00F7565E" w:rsidRPr="008768EF" w:rsidRDefault="00F7565E" w:rsidP="00211A38">
            <w:pPr>
              <w:pStyle w:val="SCCLsocParty"/>
              <w:jc w:val="both"/>
              <w:rPr>
                <w:b/>
                <w:sz w:val="20"/>
                <w:szCs w:val="20"/>
                <w:lang w:val="en-US"/>
              </w:rPr>
            </w:pPr>
            <w:r w:rsidRPr="0087010C">
              <w:rPr>
                <w:b/>
                <w:sz w:val="20"/>
                <w:szCs w:val="20"/>
                <w:lang w:val="en-US"/>
              </w:rPr>
              <w:t xml:space="preserve">N.E.T. v. </w:t>
            </w:r>
            <w:r w:rsidRPr="008768EF">
              <w:rPr>
                <w:b/>
                <w:sz w:val="20"/>
                <w:szCs w:val="20"/>
                <w:lang w:val="en-US"/>
              </w:rPr>
              <w:t xml:space="preserve">Her Majesty the Queen in Right of the Province of British Columbia, Interior Health Authority, Royal Inland Hospital, Kamloops Mental Health &amp; Substance Use, Kurt Buller and James </w:t>
            </w:r>
            <w:proofErr w:type="spellStart"/>
            <w:r w:rsidRPr="008768EF">
              <w:rPr>
                <w:b/>
                <w:sz w:val="20"/>
                <w:szCs w:val="20"/>
                <w:lang w:val="en-US"/>
              </w:rPr>
              <w:t>Mabee</w:t>
            </w:r>
            <w:proofErr w:type="spellEnd"/>
          </w:p>
          <w:p w:rsidR="00F7565E" w:rsidRPr="0087010C" w:rsidRDefault="00F7565E" w:rsidP="00211A38">
            <w:pPr>
              <w:jc w:val="both"/>
              <w:rPr>
                <w:sz w:val="20"/>
              </w:rPr>
            </w:pPr>
            <w:r w:rsidRPr="0087010C">
              <w:rPr>
                <w:sz w:val="20"/>
              </w:rPr>
              <w:t>(B.C.) (Civil) (By Leave)</w:t>
            </w:r>
          </w:p>
        </w:tc>
      </w:tr>
      <w:tr w:rsidR="009B1A2E" w:rsidRPr="0087010C" w:rsidTr="009B1A2E">
        <w:tc>
          <w:tcPr>
            <w:tcW w:w="5000" w:type="pct"/>
            <w:gridSpan w:val="4"/>
          </w:tcPr>
          <w:p w:rsidR="009B1A2E" w:rsidRPr="00647612" w:rsidRDefault="009B1A2E" w:rsidP="009B1A2E">
            <w:pPr>
              <w:widowControl w:val="0"/>
              <w:rPr>
                <w:sz w:val="20"/>
              </w:rPr>
            </w:pPr>
            <w:r w:rsidRPr="00647612">
              <w:rPr>
                <w:sz w:val="20"/>
              </w:rPr>
              <w:t>The motions to adduce new evidence are dismissed. The application for leave to appeal from the judgment of the Court of Appeal for British Columbia (Vancouver), Number CA44844, 2018 BCCA 380, dated October 17, 2018, is dismissed with costs to the respondent, Her Majesty the Queen in Right of the Province of British Columbia.</w:t>
            </w:r>
          </w:p>
          <w:p w:rsidR="009B1A2E" w:rsidRPr="009B1A2E" w:rsidRDefault="009B1A2E" w:rsidP="00211A38">
            <w:pPr>
              <w:pStyle w:val="SCCLsocParty"/>
              <w:jc w:val="both"/>
              <w:rPr>
                <w:b/>
                <w:sz w:val="20"/>
                <w:szCs w:val="20"/>
                <w:lang w:val="en-CA"/>
              </w:rPr>
            </w:pPr>
          </w:p>
        </w:tc>
      </w:tr>
      <w:tr w:rsidR="00F7565E" w:rsidRPr="0087010C" w:rsidTr="00211A38">
        <w:tc>
          <w:tcPr>
            <w:tcW w:w="5000" w:type="pct"/>
            <w:gridSpan w:val="4"/>
          </w:tcPr>
          <w:p w:rsidR="00F7565E" w:rsidRPr="0087010C" w:rsidRDefault="00F7565E" w:rsidP="00211A38">
            <w:pPr>
              <w:pStyle w:val="SCCBanSummary0"/>
              <w:rPr>
                <w:i/>
                <w:sz w:val="20"/>
                <w:szCs w:val="20"/>
              </w:rPr>
            </w:pPr>
            <w:r w:rsidRPr="0087010C">
              <w:rPr>
                <w:sz w:val="20"/>
                <w:szCs w:val="20"/>
              </w:rPr>
              <w:t>(Publication ban in case) (Publication ban on party)</w:t>
            </w:r>
            <w:r w:rsidRPr="0087010C">
              <w:rPr>
                <w:i/>
                <w:sz w:val="20"/>
                <w:szCs w:val="20"/>
              </w:rPr>
              <w:t xml:space="preserve"> </w:t>
            </w:r>
          </w:p>
          <w:p w:rsidR="00F7565E" w:rsidRPr="0087010C" w:rsidRDefault="00F7565E" w:rsidP="00211A38">
            <w:pPr>
              <w:jc w:val="both"/>
              <w:rPr>
                <w:sz w:val="20"/>
              </w:rPr>
            </w:pPr>
          </w:p>
          <w:p w:rsidR="00F7565E" w:rsidRPr="0087010C" w:rsidRDefault="00F7565E" w:rsidP="00211A38">
            <w:pPr>
              <w:jc w:val="both"/>
              <w:rPr>
                <w:sz w:val="20"/>
              </w:rPr>
            </w:pPr>
            <w:r w:rsidRPr="0087010C">
              <w:rPr>
                <w:i/>
                <w:sz w:val="20"/>
              </w:rPr>
              <w:t>Charter of Rights</w:t>
            </w:r>
            <w:r w:rsidRPr="0087010C">
              <w:rPr>
                <w:sz w:val="20"/>
              </w:rPr>
              <w:t xml:space="preserve"> — Right to security of person — Discrimination — Limitation of Actions —Applicant commencing action for negligence assault and battery after expiry of applicable limitation period — Respondents seeking dismissal of action as statute</w:t>
            </w:r>
            <w:r w:rsidRPr="0087010C">
              <w:rPr>
                <w:sz w:val="20"/>
              </w:rPr>
              <w:noBreakHyphen/>
              <w:t xml:space="preserve">barred — Whether </w:t>
            </w:r>
            <w:r w:rsidRPr="0087010C">
              <w:rPr>
                <w:i/>
                <w:sz w:val="20"/>
              </w:rPr>
              <w:t>Mental Health Act</w:t>
            </w:r>
            <w:r w:rsidRPr="0087010C">
              <w:rPr>
                <w:sz w:val="20"/>
              </w:rPr>
              <w:t xml:space="preserve">, R.S.B.C. 1996, c. 288 violates </w:t>
            </w:r>
            <w:r w:rsidRPr="0087010C">
              <w:rPr>
                <w:i/>
                <w:sz w:val="20"/>
              </w:rPr>
              <w:t>Charter</w:t>
            </w:r>
            <w:r w:rsidRPr="0087010C">
              <w:rPr>
                <w:sz w:val="20"/>
              </w:rPr>
              <w:t xml:space="preserve"> — Whether there has been arbitrary adherence to limitation period in face of many marginalizing factors</w:t>
            </w:r>
          </w:p>
        </w:tc>
      </w:tr>
      <w:tr w:rsidR="00F7565E" w:rsidRPr="0087010C" w:rsidTr="00211A38">
        <w:tc>
          <w:tcPr>
            <w:tcW w:w="5000" w:type="pct"/>
            <w:gridSpan w:val="4"/>
          </w:tcPr>
          <w:p w:rsidR="00F7565E" w:rsidRPr="0087010C" w:rsidRDefault="00F7565E" w:rsidP="00211A38">
            <w:pPr>
              <w:jc w:val="both"/>
              <w:rPr>
                <w:sz w:val="20"/>
              </w:rPr>
            </w:pPr>
          </w:p>
        </w:tc>
      </w:tr>
      <w:tr w:rsidR="00F7565E" w:rsidRPr="0087010C" w:rsidTr="00211A38">
        <w:tc>
          <w:tcPr>
            <w:tcW w:w="5000" w:type="pct"/>
            <w:gridSpan w:val="4"/>
          </w:tcPr>
          <w:p w:rsidR="00F7565E" w:rsidRPr="0087010C" w:rsidRDefault="00F7565E" w:rsidP="00211A38">
            <w:pPr>
              <w:jc w:val="both"/>
              <w:rPr>
                <w:sz w:val="20"/>
              </w:rPr>
            </w:pPr>
            <w:r w:rsidRPr="0087010C">
              <w:rPr>
                <w:sz w:val="20"/>
              </w:rPr>
              <w:t xml:space="preserve">From 2000 to 2013, the applicant was certified by the respondent physicians as an involuntary patient under the </w:t>
            </w:r>
            <w:r w:rsidRPr="0087010C">
              <w:rPr>
                <w:i/>
                <w:sz w:val="20"/>
              </w:rPr>
              <w:t>Mental Health Act</w:t>
            </w:r>
            <w:r w:rsidRPr="0087010C">
              <w:rPr>
                <w:sz w:val="20"/>
              </w:rPr>
              <w:t xml:space="preserve">, R.S.B.C. 1996, </w:t>
            </w:r>
            <w:proofErr w:type="gramStart"/>
            <w:r w:rsidRPr="0087010C">
              <w:rPr>
                <w:sz w:val="20"/>
              </w:rPr>
              <w:t>c</w:t>
            </w:r>
            <w:proofErr w:type="gramEnd"/>
            <w:r w:rsidRPr="0087010C">
              <w:rPr>
                <w:sz w:val="20"/>
              </w:rPr>
              <w:t xml:space="preserve">. 288. He received treatment at the respondent hospital and in the community from the Kamloops Mental Health &amp; Substance Use, both of which were operated at the relevant times by the respondent, Interior Health Authority.    In July, 2016, the applicant brought an actions against the respondents seeking damages for, </w:t>
            </w:r>
            <w:r w:rsidRPr="0087010C">
              <w:rPr>
                <w:i/>
                <w:sz w:val="20"/>
              </w:rPr>
              <w:t>inter alia</w:t>
            </w:r>
            <w:r w:rsidRPr="0087010C">
              <w:rPr>
                <w:sz w:val="20"/>
              </w:rPr>
              <w:t xml:space="preserve">, negligent certification and treatment under the </w:t>
            </w:r>
            <w:r w:rsidRPr="0087010C">
              <w:rPr>
                <w:i/>
                <w:sz w:val="20"/>
              </w:rPr>
              <w:t>Mental Health Act</w:t>
            </w:r>
            <w:r w:rsidRPr="0087010C">
              <w:rPr>
                <w:sz w:val="20"/>
              </w:rPr>
              <w:t>, assault and battery in connection with his involuntary hospitalization and treatment. The respondents collectively applied for a summary trial for an order dismissing the action on the basis that it was barred by the two</w:t>
            </w:r>
            <w:r w:rsidRPr="0087010C">
              <w:rPr>
                <w:sz w:val="20"/>
              </w:rPr>
              <w:noBreakHyphen/>
              <w:t>year limitation period applicable to personal injury claims. The trial judge granted the order and dismissed the applicant’s action. The applicant’s appeal was dismissed.</w:t>
            </w:r>
          </w:p>
          <w:p w:rsidR="00F7565E" w:rsidRPr="0087010C" w:rsidRDefault="00F7565E" w:rsidP="00211A38">
            <w:pPr>
              <w:jc w:val="both"/>
              <w:rPr>
                <w:sz w:val="20"/>
              </w:rPr>
            </w:pPr>
          </w:p>
        </w:tc>
      </w:tr>
      <w:tr w:rsidR="00F7565E" w:rsidRPr="0087010C" w:rsidTr="00211A38">
        <w:tc>
          <w:tcPr>
            <w:tcW w:w="2427" w:type="pct"/>
            <w:gridSpan w:val="2"/>
          </w:tcPr>
          <w:p w:rsidR="00F7565E" w:rsidRPr="0087010C" w:rsidRDefault="00F7565E" w:rsidP="00211A38">
            <w:pPr>
              <w:jc w:val="both"/>
              <w:rPr>
                <w:sz w:val="20"/>
              </w:rPr>
            </w:pPr>
            <w:r w:rsidRPr="0087010C">
              <w:rPr>
                <w:sz w:val="20"/>
              </w:rPr>
              <w:t>September 29, 2017</w:t>
            </w:r>
          </w:p>
          <w:p w:rsidR="00F7565E" w:rsidRPr="0087010C" w:rsidRDefault="00F7565E" w:rsidP="00211A38">
            <w:pPr>
              <w:jc w:val="both"/>
              <w:rPr>
                <w:sz w:val="20"/>
              </w:rPr>
            </w:pPr>
            <w:r w:rsidRPr="0087010C">
              <w:rPr>
                <w:sz w:val="20"/>
              </w:rPr>
              <w:t>Supreme Court of British Columbia</w:t>
            </w:r>
          </w:p>
          <w:p w:rsidR="00F7565E" w:rsidRPr="0087010C" w:rsidRDefault="00F7565E" w:rsidP="00211A38">
            <w:pPr>
              <w:jc w:val="both"/>
              <w:rPr>
                <w:sz w:val="20"/>
              </w:rPr>
            </w:pPr>
            <w:r w:rsidRPr="0087010C">
              <w:rPr>
                <w:sz w:val="20"/>
              </w:rPr>
              <w:t>(</w:t>
            </w:r>
            <w:proofErr w:type="spellStart"/>
            <w:r w:rsidRPr="0087010C">
              <w:rPr>
                <w:sz w:val="20"/>
              </w:rPr>
              <w:t>Meiklem</w:t>
            </w:r>
            <w:proofErr w:type="spellEnd"/>
            <w:r w:rsidRPr="0087010C">
              <w:rPr>
                <w:sz w:val="20"/>
              </w:rPr>
              <w:t xml:space="preserve"> J.)</w:t>
            </w:r>
          </w:p>
          <w:p w:rsidR="00F7565E" w:rsidRPr="0087010C" w:rsidRDefault="003A218E" w:rsidP="00211A38">
            <w:pPr>
              <w:jc w:val="both"/>
              <w:rPr>
                <w:sz w:val="20"/>
              </w:rPr>
            </w:pPr>
            <w:hyperlink r:id="rId55" w:history="1">
              <w:r w:rsidR="00F7565E" w:rsidRPr="0087010C">
                <w:rPr>
                  <w:rStyle w:val="Hyperlink"/>
                  <w:sz w:val="20"/>
                </w:rPr>
                <w:t>2017 BCSC 1742</w:t>
              </w:r>
            </w:hyperlink>
          </w:p>
        </w:tc>
        <w:tc>
          <w:tcPr>
            <w:tcW w:w="243" w:type="pct"/>
          </w:tcPr>
          <w:p w:rsidR="00F7565E" w:rsidRPr="0087010C" w:rsidRDefault="00F7565E" w:rsidP="00211A38">
            <w:pPr>
              <w:jc w:val="both"/>
              <w:rPr>
                <w:sz w:val="20"/>
              </w:rPr>
            </w:pPr>
          </w:p>
        </w:tc>
        <w:tc>
          <w:tcPr>
            <w:tcW w:w="2330" w:type="pct"/>
          </w:tcPr>
          <w:p w:rsidR="00F7565E" w:rsidRPr="0087010C" w:rsidRDefault="00F7565E" w:rsidP="00211A38">
            <w:pPr>
              <w:jc w:val="both"/>
              <w:rPr>
                <w:sz w:val="20"/>
              </w:rPr>
            </w:pPr>
            <w:r w:rsidRPr="0087010C">
              <w:rPr>
                <w:sz w:val="20"/>
              </w:rPr>
              <w:t>Respondents’ motion for summary judgment granted; Applicant’s action for damages for negligence and battery and assault dismissed as statute</w:t>
            </w:r>
            <w:r w:rsidRPr="0087010C">
              <w:rPr>
                <w:sz w:val="20"/>
              </w:rPr>
              <w:noBreakHyphen/>
              <w:t>barred</w:t>
            </w:r>
          </w:p>
          <w:p w:rsidR="00F7565E" w:rsidRPr="0087010C" w:rsidRDefault="00F7565E" w:rsidP="00211A38">
            <w:pPr>
              <w:jc w:val="both"/>
              <w:rPr>
                <w:sz w:val="20"/>
              </w:rPr>
            </w:pPr>
          </w:p>
        </w:tc>
      </w:tr>
      <w:tr w:rsidR="00F7565E" w:rsidRPr="0087010C" w:rsidTr="00211A38">
        <w:tc>
          <w:tcPr>
            <w:tcW w:w="2427" w:type="pct"/>
            <w:gridSpan w:val="2"/>
          </w:tcPr>
          <w:p w:rsidR="00F7565E" w:rsidRPr="0087010C" w:rsidRDefault="00F7565E" w:rsidP="00211A38">
            <w:pPr>
              <w:jc w:val="both"/>
              <w:rPr>
                <w:sz w:val="20"/>
              </w:rPr>
            </w:pPr>
            <w:r w:rsidRPr="0087010C">
              <w:rPr>
                <w:sz w:val="20"/>
              </w:rPr>
              <w:t>October 17, 2018</w:t>
            </w:r>
          </w:p>
          <w:p w:rsidR="00F7565E" w:rsidRPr="0087010C" w:rsidRDefault="00F7565E" w:rsidP="00211A38">
            <w:pPr>
              <w:jc w:val="both"/>
              <w:rPr>
                <w:sz w:val="20"/>
              </w:rPr>
            </w:pPr>
            <w:r w:rsidRPr="0087010C">
              <w:rPr>
                <w:sz w:val="20"/>
              </w:rPr>
              <w:t xml:space="preserve">Court of Appeal for British Columbia </w:t>
            </w:r>
          </w:p>
          <w:p w:rsidR="00F7565E" w:rsidRPr="0087010C" w:rsidRDefault="00F7565E" w:rsidP="00211A38">
            <w:pPr>
              <w:jc w:val="both"/>
              <w:rPr>
                <w:sz w:val="20"/>
              </w:rPr>
            </w:pPr>
            <w:r w:rsidRPr="0087010C">
              <w:rPr>
                <w:sz w:val="20"/>
              </w:rPr>
              <w:t>(Vancouver)</w:t>
            </w:r>
          </w:p>
          <w:p w:rsidR="00F7565E" w:rsidRPr="0087010C" w:rsidRDefault="00F7565E" w:rsidP="00211A38">
            <w:pPr>
              <w:jc w:val="both"/>
              <w:rPr>
                <w:sz w:val="20"/>
              </w:rPr>
            </w:pPr>
            <w:r w:rsidRPr="0087010C">
              <w:rPr>
                <w:sz w:val="20"/>
              </w:rPr>
              <w:t>(</w:t>
            </w:r>
            <w:proofErr w:type="spellStart"/>
            <w:r w:rsidRPr="0087010C">
              <w:rPr>
                <w:sz w:val="20"/>
              </w:rPr>
              <w:t>Willcock</w:t>
            </w:r>
            <w:proofErr w:type="spellEnd"/>
            <w:r w:rsidRPr="0087010C">
              <w:rPr>
                <w:sz w:val="20"/>
              </w:rPr>
              <w:t xml:space="preserve">, </w:t>
            </w:r>
            <w:proofErr w:type="spellStart"/>
            <w:r w:rsidRPr="0087010C">
              <w:rPr>
                <w:sz w:val="20"/>
              </w:rPr>
              <w:t>Fenlon</w:t>
            </w:r>
            <w:proofErr w:type="spellEnd"/>
            <w:r w:rsidRPr="0087010C">
              <w:rPr>
                <w:sz w:val="20"/>
              </w:rPr>
              <w:t xml:space="preserve"> and Fisher JJ.A.)</w:t>
            </w:r>
          </w:p>
          <w:p w:rsidR="00F7565E" w:rsidRPr="0087010C" w:rsidRDefault="003A218E" w:rsidP="00211A38">
            <w:pPr>
              <w:jc w:val="both"/>
              <w:rPr>
                <w:sz w:val="20"/>
              </w:rPr>
            </w:pPr>
            <w:hyperlink r:id="rId56" w:history="1">
              <w:r w:rsidR="00F7565E" w:rsidRPr="0087010C">
                <w:rPr>
                  <w:rStyle w:val="Hyperlink"/>
                  <w:sz w:val="20"/>
                </w:rPr>
                <w:t>2018 BCCA 380</w:t>
              </w:r>
            </w:hyperlink>
          </w:p>
          <w:p w:rsidR="00F7565E" w:rsidRPr="0087010C" w:rsidRDefault="00F7565E" w:rsidP="00211A38">
            <w:pPr>
              <w:jc w:val="both"/>
              <w:rPr>
                <w:sz w:val="20"/>
              </w:rPr>
            </w:pPr>
          </w:p>
        </w:tc>
        <w:tc>
          <w:tcPr>
            <w:tcW w:w="243" w:type="pct"/>
          </w:tcPr>
          <w:p w:rsidR="00F7565E" w:rsidRPr="0087010C" w:rsidRDefault="00F7565E" w:rsidP="00211A38">
            <w:pPr>
              <w:jc w:val="both"/>
              <w:rPr>
                <w:sz w:val="20"/>
              </w:rPr>
            </w:pPr>
          </w:p>
        </w:tc>
        <w:tc>
          <w:tcPr>
            <w:tcW w:w="2330" w:type="pct"/>
          </w:tcPr>
          <w:p w:rsidR="00F7565E" w:rsidRPr="0087010C" w:rsidRDefault="00F7565E" w:rsidP="00211A38">
            <w:pPr>
              <w:jc w:val="both"/>
              <w:rPr>
                <w:sz w:val="20"/>
              </w:rPr>
            </w:pPr>
            <w:r w:rsidRPr="0087010C">
              <w:rPr>
                <w:sz w:val="20"/>
              </w:rPr>
              <w:t>Applicant’s appeal dismissed</w:t>
            </w:r>
          </w:p>
          <w:p w:rsidR="00F7565E" w:rsidRPr="0087010C" w:rsidRDefault="00F7565E" w:rsidP="00211A38">
            <w:pPr>
              <w:jc w:val="both"/>
              <w:rPr>
                <w:sz w:val="20"/>
              </w:rPr>
            </w:pPr>
          </w:p>
        </w:tc>
      </w:tr>
      <w:tr w:rsidR="00F7565E" w:rsidRPr="0087010C" w:rsidTr="00211A38">
        <w:tc>
          <w:tcPr>
            <w:tcW w:w="2427" w:type="pct"/>
            <w:gridSpan w:val="2"/>
          </w:tcPr>
          <w:p w:rsidR="00F7565E" w:rsidRPr="0087010C" w:rsidRDefault="00F7565E" w:rsidP="00211A38">
            <w:pPr>
              <w:jc w:val="both"/>
              <w:rPr>
                <w:sz w:val="20"/>
              </w:rPr>
            </w:pPr>
            <w:r w:rsidRPr="0087010C">
              <w:rPr>
                <w:sz w:val="20"/>
              </w:rPr>
              <w:t>December 7, 2018</w:t>
            </w:r>
          </w:p>
          <w:p w:rsidR="00F7565E" w:rsidRPr="0087010C" w:rsidRDefault="00F7565E" w:rsidP="00211A38">
            <w:pPr>
              <w:jc w:val="both"/>
              <w:rPr>
                <w:sz w:val="20"/>
              </w:rPr>
            </w:pPr>
            <w:r w:rsidRPr="0087010C">
              <w:rPr>
                <w:sz w:val="20"/>
              </w:rPr>
              <w:t>Supreme Court of Canada</w:t>
            </w:r>
          </w:p>
        </w:tc>
        <w:tc>
          <w:tcPr>
            <w:tcW w:w="243" w:type="pct"/>
          </w:tcPr>
          <w:p w:rsidR="00F7565E" w:rsidRPr="0087010C" w:rsidRDefault="00F7565E" w:rsidP="00211A38">
            <w:pPr>
              <w:jc w:val="both"/>
              <w:rPr>
                <w:sz w:val="20"/>
              </w:rPr>
            </w:pPr>
          </w:p>
        </w:tc>
        <w:tc>
          <w:tcPr>
            <w:tcW w:w="2330" w:type="pct"/>
          </w:tcPr>
          <w:p w:rsidR="00F7565E" w:rsidRPr="0087010C" w:rsidRDefault="00F7565E" w:rsidP="00211A38">
            <w:pPr>
              <w:jc w:val="both"/>
              <w:rPr>
                <w:sz w:val="20"/>
              </w:rPr>
            </w:pPr>
            <w:r w:rsidRPr="0087010C">
              <w:rPr>
                <w:sz w:val="20"/>
              </w:rPr>
              <w:t>Application for leave to appeal filed</w:t>
            </w:r>
          </w:p>
          <w:p w:rsidR="00F7565E" w:rsidRPr="0087010C" w:rsidRDefault="00F7565E" w:rsidP="00211A38">
            <w:pPr>
              <w:jc w:val="both"/>
              <w:rPr>
                <w:sz w:val="20"/>
              </w:rPr>
            </w:pPr>
          </w:p>
        </w:tc>
      </w:tr>
    </w:tbl>
    <w:p w:rsidR="00F7565E" w:rsidRPr="0087010C" w:rsidRDefault="00F7565E" w:rsidP="00F7565E">
      <w:pPr>
        <w:jc w:val="both"/>
        <w:rPr>
          <w:sz w:val="20"/>
        </w:rPr>
      </w:pPr>
    </w:p>
    <w:p w:rsidR="00F7565E" w:rsidRPr="0087010C" w:rsidRDefault="00F7565E" w:rsidP="00F7565E">
      <w:pPr>
        <w:jc w:val="both"/>
        <w:rPr>
          <w:sz w:val="20"/>
        </w:rPr>
      </w:pPr>
    </w:p>
    <w:p w:rsidR="00F7565E" w:rsidRPr="0087010C" w:rsidRDefault="00F7565E" w:rsidP="00F7565E">
      <w:pPr>
        <w:jc w:val="both"/>
        <w:rPr>
          <w:sz w:val="20"/>
        </w:rPr>
      </w:pPr>
    </w:p>
    <w:p w:rsidR="00F7565E" w:rsidRDefault="00F7565E">
      <w:r>
        <w:br w:type="page"/>
      </w:r>
    </w:p>
    <w:tbl>
      <w:tblPr>
        <w:tblW w:w="4912" w:type="pct"/>
        <w:tblLayout w:type="fixed"/>
        <w:tblCellMar>
          <w:left w:w="0" w:type="dxa"/>
          <w:bottom w:w="99" w:type="dxa"/>
          <w:right w:w="0" w:type="dxa"/>
        </w:tblCellMar>
        <w:tblLook w:val="04A0" w:firstRow="1" w:lastRow="0" w:firstColumn="1" w:lastColumn="0" w:noHBand="0" w:noVBand="1"/>
      </w:tblPr>
      <w:tblGrid>
        <w:gridCol w:w="1034"/>
        <w:gridCol w:w="3591"/>
        <w:gridCol w:w="463"/>
        <w:gridCol w:w="4362"/>
      </w:tblGrid>
      <w:tr w:rsidR="00F7565E" w:rsidRPr="0087010C" w:rsidTr="00EE3188">
        <w:tc>
          <w:tcPr>
            <w:tcW w:w="547" w:type="pct"/>
          </w:tcPr>
          <w:p w:rsidR="00F7565E" w:rsidRPr="0087010C" w:rsidRDefault="00F7565E" w:rsidP="00211A38">
            <w:pPr>
              <w:jc w:val="both"/>
              <w:rPr>
                <w:sz w:val="20"/>
                <w:lang w:val="fr-CA"/>
              </w:rPr>
            </w:pPr>
            <w:r w:rsidRPr="0087010C">
              <w:rPr>
                <w:rStyle w:val="SCCFileNumberChar"/>
                <w:sz w:val="20"/>
                <w:szCs w:val="20"/>
                <w:lang w:val="fr-CA"/>
              </w:rPr>
              <w:lastRenderedPageBreak/>
              <w:t>38489</w:t>
            </w:r>
          </w:p>
        </w:tc>
        <w:tc>
          <w:tcPr>
            <w:tcW w:w="4453" w:type="pct"/>
            <w:gridSpan w:val="3"/>
          </w:tcPr>
          <w:p w:rsidR="00F7565E" w:rsidRPr="001D18A6" w:rsidRDefault="00F7565E" w:rsidP="00211A38">
            <w:pPr>
              <w:pStyle w:val="SCCLsocParty"/>
              <w:jc w:val="both"/>
              <w:rPr>
                <w:b/>
                <w:sz w:val="20"/>
                <w:szCs w:val="20"/>
              </w:rPr>
            </w:pPr>
            <w:r w:rsidRPr="001D18A6">
              <w:rPr>
                <w:b/>
                <w:sz w:val="20"/>
                <w:szCs w:val="20"/>
              </w:rPr>
              <w:t xml:space="preserve">N.E.T. c. Sa Majesté la Reine du chef de la Province de la Colombie-Britannique, </w:t>
            </w:r>
            <w:proofErr w:type="spellStart"/>
            <w:r w:rsidRPr="001D18A6">
              <w:rPr>
                <w:b/>
                <w:sz w:val="20"/>
                <w:szCs w:val="20"/>
              </w:rPr>
              <w:t>Interior</w:t>
            </w:r>
            <w:proofErr w:type="spellEnd"/>
            <w:r w:rsidRPr="001D18A6">
              <w:rPr>
                <w:b/>
                <w:sz w:val="20"/>
                <w:szCs w:val="20"/>
              </w:rPr>
              <w:t xml:space="preserve"> </w:t>
            </w:r>
            <w:proofErr w:type="spellStart"/>
            <w:r w:rsidRPr="001D18A6">
              <w:rPr>
                <w:b/>
                <w:sz w:val="20"/>
                <w:szCs w:val="20"/>
              </w:rPr>
              <w:t>Health</w:t>
            </w:r>
            <w:proofErr w:type="spellEnd"/>
            <w:r w:rsidRPr="001D18A6">
              <w:rPr>
                <w:b/>
                <w:sz w:val="20"/>
                <w:szCs w:val="20"/>
              </w:rPr>
              <w:t xml:space="preserve"> </w:t>
            </w:r>
            <w:proofErr w:type="spellStart"/>
            <w:r w:rsidRPr="001D18A6">
              <w:rPr>
                <w:b/>
                <w:sz w:val="20"/>
                <w:szCs w:val="20"/>
              </w:rPr>
              <w:t>Authority</w:t>
            </w:r>
            <w:proofErr w:type="spellEnd"/>
            <w:r w:rsidRPr="001D18A6">
              <w:rPr>
                <w:b/>
                <w:sz w:val="20"/>
                <w:szCs w:val="20"/>
              </w:rPr>
              <w:t xml:space="preserve">, Royal </w:t>
            </w:r>
            <w:proofErr w:type="spellStart"/>
            <w:r w:rsidRPr="001D18A6">
              <w:rPr>
                <w:b/>
                <w:sz w:val="20"/>
                <w:szCs w:val="20"/>
              </w:rPr>
              <w:t>Inland</w:t>
            </w:r>
            <w:proofErr w:type="spellEnd"/>
            <w:r w:rsidRPr="001D18A6">
              <w:rPr>
                <w:b/>
                <w:sz w:val="20"/>
                <w:szCs w:val="20"/>
              </w:rPr>
              <w:t xml:space="preserve"> </w:t>
            </w:r>
            <w:proofErr w:type="spellStart"/>
            <w:r w:rsidRPr="001D18A6">
              <w:rPr>
                <w:b/>
                <w:sz w:val="20"/>
                <w:szCs w:val="20"/>
              </w:rPr>
              <w:t>Hospital</w:t>
            </w:r>
            <w:proofErr w:type="spellEnd"/>
            <w:r w:rsidRPr="001D18A6">
              <w:rPr>
                <w:b/>
                <w:sz w:val="20"/>
                <w:szCs w:val="20"/>
              </w:rPr>
              <w:t xml:space="preserve">, Kamloops Mental </w:t>
            </w:r>
            <w:proofErr w:type="spellStart"/>
            <w:r w:rsidRPr="001D18A6">
              <w:rPr>
                <w:b/>
                <w:sz w:val="20"/>
                <w:szCs w:val="20"/>
              </w:rPr>
              <w:t>Health</w:t>
            </w:r>
            <w:proofErr w:type="spellEnd"/>
            <w:r w:rsidRPr="001D18A6">
              <w:rPr>
                <w:b/>
                <w:sz w:val="20"/>
                <w:szCs w:val="20"/>
              </w:rPr>
              <w:t xml:space="preserve"> &amp; Substance Use, Kurt Buller et James </w:t>
            </w:r>
            <w:proofErr w:type="spellStart"/>
            <w:r w:rsidRPr="001D18A6">
              <w:rPr>
                <w:b/>
                <w:sz w:val="20"/>
                <w:szCs w:val="20"/>
              </w:rPr>
              <w:t>Mabee</w:t>
            </w:r>
            <w:proofErr w:type="spellEnd"/>
          </w:p>
          <w:p w:rsidR="00F7565E" w:rsidRPr="0087010C" w:rsidRDefault="00F7565E" w:rsidP="00211A38">
            <w:pPr>
              <w:jc w:val="both"/>
              <w:rPr>
                <w:sz w:val="20"/>
                <w:lang w:val="fr-CA"/>
              </w:rPr>
            </w:pPr>
            <w:r w:rsidRPr="0087010C">
              <w:rPr>
                <w:sz w:val="20"/>
                <w:lang w:val="fr-CA"/>
              </w:rPr>
              <w:t>(C.</w:t>
            </w:r>
            <w:r w:rsidRPr="0087010C">
              <w:rPr>
                <w:sz w:val="20"/>
                <w:lang w:val="fr-CA"/>
              </w:rPr>
              <w:noBreakHyphen/>
              <w:t>B.) (Civile) (Autorisation)</w:t>
            </w:r>
          </w:p>
        </w:tc>
      </w:tr>
      <w:tr w:rsidR="009B1A2E" w:rsidRPr="003A218E" w:rsidTr="00EE3188">
        <w:tc>
          <w:tcPr>
            <w:tcW w:w="5000" w:type="pct"/>
            <w:gridSpan w:val="4"/>
          </w:tcPr>
          <w:p w:rsidR="009B1A2E" w:rsidRPr="00647612" w:rsidRDefault="009B1A2E" w:rsidP="009B1A2E">
            <w:pPr>
              <w:widowControl w:val="0"/>
              <w:rPr>
                <w:sz w:val="20"/>
                <w:lang w:val="fr-CA"/>
              </w:rPr>
            </w:pPr>
            <w:r w:rsidRPr="00647612">
              <w:rPr>
                <w:sz w:val="20"/>
                <w:lang w:val="fr-CA"/>
              </w:rPr>
              <w:t>Les requêtes sollicitant l’autorisation de présenter une nouvelle preuve sont rejetées. La demande d’autorisation d’appel de l’arrêt de la Cour d’appel de la Colombie-Britannique (Vancouver), numéro CA44844, 2018 BCCA 380, daté du 17 octobre 2018, est rejetée avec dépens en faveur de l’intimée, Sa Majesté la Reine du chef de la Province de la Colombie-Britannique.</w:t>
            </w:r>
          </w:p>
          <w:p w:rsidR="009B1A2E" w:rsidRPr="001D18A6" w:rsidRDefault="009B1A2E" w:rsidP="00211A38">
            <w:pPr>
              <w:pStyle w:val="SCCLsocParty"/>
              <w:jc w:val="both"/>
              <w:rPr>
                <w:b/>
                <w:sz w:val="20"/>
                <w:szCs w:val="20"/>
              </w:rPr>
            </w:pPr>
          </w:p>
        </w:tc>
      </w:tr>
      <w:tr w:rsidR="00F7565E" w:rsidRPr="003A218E" w:rsidTr="00EE3188">
        <w:tc>
          <w:tcPr>
            <w:tcW w:w="5000" w:type="pct"/>
            <w:gridSpan w:val="4"/>
          </w:tcPr>
          <w:p w:rsidR="00F7565E" w:rsidRPr="0087010C" w:rsidRDefault="00F7565E" w:rsidP="00211A38">
            <w:pPr>
              <w:pStyle w:val="SCCBanSummary0"/>
              <w:rPr>
                <w:i/>
                <w:sz w:val="20"/>
                <w:szCs w:val="20"/>
                <w:lang w:val="fr-CA"/>
              </w:rPr>
            </w:pPr>
            <w:r w:rsidRPr="0087010C">
              <w:rPr>
                <w:sz w:val="20"/>
                <w:szCs w:val="20"/>
                <w:lang w:val="fr-CA"/>
              </w:rPr>
              <w:t>(Ordonnance de non</w:t>
            </w:r>
            <w:r w:rsidRPr="0087010C">
              <w:rPr>
                <w:sz w:val="20"/>
                <w:szCs w:val="20"/>
                <w:lang w:val="fr-CA"/>
              </w:rPr>
              <w:noBreakHyphen/>
              <w:t>publication dans le dossier) (Ordonnance de non</w:t>
            </w:r>
            <w:r w:rsidRPr="0087010C">
              <w:rPr>
                <w:sz w:val="20"/>
                <w:szCs w:val="20"/>
                <w:lang w:val="fr-CA"/>
              </w:rPr>
              <w:noBreakHyphen/>
              <w:t>publication visant une partie)</w:t>
            </w:r>
          </w:p>
          <w:p w:rsidR="00F7565E" w:rsidRPr="0087010C" w:rsidRDefault="00F7565E" w:rsidP="00211A38">
            <w:pPr>
              <w:jc w:val="both"/>
              <w:rPr>
                <w:sz w:val="20"/>
                <w:lang w:val="fr-CA"/>
              </w:rPr>
            </w:pPr>
          </w:p>
          <w:p w:rsidR="00F7565E" w:rsidRPr="0087010C" w:rsidRDefault="00F7565E" w:rsidP="00211A38">
            <w:pPr>
              <w:jc w:val="both"/>
              <w:rPr>
                <w:sz w:val="20"/>
                <w:lang w:val="fr-CA"/>
              </w:rPr>
            </w:pPr>
            <w:r w:rsidRPr="0087010C">
              <w:rPr>
                <w:i/>
                <w:sz w:val="20"/>
                <w:lang w:val="fr-CA"/>
              </w:rPr>
              <w:t>Charte des droits</w:t>
            </w:r>
            <w:r w:rsidRPr="0087010C">
              <w:rPr>
                <w:sz w:val="20"/>
                <w:lang w:val="fr-CA"/>
              </w:rPr>
              <w:t xml:space="preserve"> — Droit à la sécurité de la personne — Discrimination — Prescription — Le demandeur a intenté une action en négligence et en voies de fait et batterie après l’expiration du délai de prescription applicable — Les intimés demandent le rejet de l’action pour cause de prescription — La </w:t>
            </w:r>
            <w:r w:rsidRPr="0087010C">
              <w:rPr>
                <w:i/>
                <w:sz w:val="20"/>
                <w:lang w:val="fr-CA"/>
              </w:rPr>
              <w:t xml:space="preserve">Mental </w:t>
            </w:r>
            <w:proofErr w:type="spellStart"/>
            <w:r w:rsidRPr="0087010C">
              <w:rPr>
                <w:i/>
                <w:sz w:val="20"/>
                <w:lang w:val="fr-CA"/>
              </w:rPr>
              <w:t>Health</w:t>
            </w:r>
            <w:proofErr w:type="spellEnd"/>
            <w:r w:rsidRPr="0087010C">
              <w:rPr>
                <w:i/>
                <w:sz w:val="20"/>
                <w:lang w:val="fr-CA"/>
              </w:rPr>
              <w:t xml:space="preserve"> </w:t>
            </w:r>
            <w:proofErr w:type="spellStart"/>
            <w:r w:rsidRPr="0087010C">
              <w:rPr>
                <w:i/>
                <w:sz w:val="20"/>
                <w:lang w:val="fr-CA"/>
              </w:rPr>
              <w:t>Act</w:t>
            </w:r>
            <w:proofErr w:type="spellEnd"/>
            <w:r w:rsidRPr="0087010C">
              <w:rPr>
                <w:sz w:val="20"/>
                <w:lang w:val="fr-CA"/>
              </w:rPr>
              <w:t>, R.S.B.C. 1996, ch. 288 viole</w:t>
            </w:r>
            <w:r w:rsidRPr="0087010C">
              <w:rPr>
                <w:sz w:val="20"/>
                <w:lang w:val="fr-CA"/>
              </w:rPr>
              <w:noBreakHyphen/>
              <w:t>t</w:t>
            </w:r>
            <w:r w:rsidRPr="0087010C">
              <w:rPr>
                <w:sz w:val="20"/>
                <w:lang w:val="fr-CA"/>
              </w:rPr>
              <w:noBreakHyphen/>
              <w:t xml:space="preserve">elle la </w:t>
            </w:r>
            <w:r w:rsidRPr="0087010C">
              <w:rPr>
                <w:i/>
                <w:sz w:val="20"/>
                <w:lang w:val="fr-CA"/>
              </w:rPr>
              <w:t>Charte</w:t>
            </w:r>
            <w:r w:rsidRPr="0087010C">
              <w:rPr>
                <w:sz w:val="20"/>
                <w:lang w:val="fr-CA"/>
              </w:rPr>
              <w:t>? — A</w:t>
            </w:r>
            <w:r w:rsidRPr="0087010C">
              <w:rPr>
                <w:sz w:val="20"/>
                <w:lang w:val="fr-CA"/>
              </w:rPr>
              <w:noBreakHyphen/>
              <w:t>t</w:t>
            </w:r>
            <w:r w:rsidRPr="0087010C">
              <w:rPr>
                <w:sz w:val="20"/>
                <w:lang w:val="fr-CA"/>
              </w:rPr>
              <w:noBreakHyphen/>
              <w:t>on arbitrairement respecté le délai de prescription malgré plusieurs facteurs de marginalisation?</w:t>
            </w:r>
          </w:p>
        </w:tc>
      </w:tr>
      <w:tr w:rsidR="00F7565E" w:rsidRPr="003A218E" w:rsidTr="00EE3188">
        <w:tc>
          <w:tcPr>
            <w:tcW w:w="5000" w:type="pct"/>
            <w:gridSpan w:val="4"/>
          </w:tcPr>
          <w:p w:rsidR="00F7565E" w:rsidRPr="0087010C" w:rsidRDefault="00F7565E" w:rsidP="00211A38">
            <w:pPr>
              <w:jc w:val="both"/>
              <w:rPr>
                <w:sz w:val="20"/>
                <w:lang w:val="fr-CA"/>
              </w:rPr>
            </w:pPr>
          </w:p>
        </w:tc>
      </w:tr>
      <w:tr w:rsidR="00F7565E" w:rsidRPr="0087010C" w:rsidTr="00EE3188">
        <w:tc>
          <w:tcPr>
            <w:tcW w:w="5000" w:type="pct"/>
            <w:gridSpan w:val="4"/>
          </w:tcPr>
          <w:p w:rsidR="00F7565E" w:rsidRPr="0087010C" w:rsidRDefault="00F7565E" w:rsidP="00211A38">
            <w:pPr>
              <w:jc w:val="both"/>
              <w:rPr>
                <w:sz w:val="20"/>
                <w:lang w:val="fr-CA"/>
              </w:rPr>
            </w:pPr>
            <w:r w:rsidRPr="0087010C">
              <w:rPr>
                <w:sz w:val="20"/>
                <w:lang w:val="fr-CA"/>
              </w:rPr>
              <w:t xml:space="preserve">De 2000 à 2013, les médecins intimés ont certifié que le demandeur était un patient involontaire sous le régime de la </w:t>
            </w:r>
            <w:r w:rsidRPr="0087010C">
              <w:rPr>
                <w:i/>
                <w:sz w:val="20"/>
                <w:lang w:val="fr-CA"/>
              </w:rPr>
              <w:t xml:space="preserve">Mental </w:t>
            </w:r>
            <w:proofErr w:type="spellStart"/>
            <w:r w:rsidRPr="0087010C">
              <w:rPr>
                <w:i/>
                <w:sz w:val="20"/>
                <w:lang w:val="fr-CA"/>
              </w:rPr>
              <w:t>Health</w:t>
            </w:r>
            <w:proofErr w:type="spellEnd"/>
            <w:r w:rsidRPr="0087010C">
              <w:rPr>
                <w:i/>
                <w:sz w:val="20"/>
                <w:lang w:val="fr-CA"/>
              </w:rPr>
              <w:t xml:space="preserve"> </w:t>
            </w:r>
            <w:proofErr w:type="spellStart"/>
            <w:r w:rsidRPr="0087010C">
              <w:rPr>
                <w:i/>
                <w:sz w:val="20"/>
                <w:lang w:val="fr-CA"/>
              </w:rPr>
              <w:t>Act</w:t>
            </w:r>
            <w:proofErr w:type="spellEnd"/>
            <w:r w:rsidRPr="0087010C">
              <w:rPr>
                <w:sz w:val="20"/>
                <w:lang w:val="fr-CA"/>
              </w:rPr>
              <w:t xml:space="preserve">, R.S.B.C. 1996, ch. 288. Le demandeur a reçu des traitements dispensés à l’hôpital intimé et dans la collectivité par Kamloops Mental </w:t>
            </w:r>
            <w:proofErr w:type="spellStart"/>
            <w:r w:rsidRPr="0087010C">
              <w:rPr>
                <w:sz w:val="20"/>
                <w:lang w:val="fr-CA"/>
              </w:rPr>
              <w:t>Health</w:t>
            </w:r>
            <w:proofErr w:type="spellEnd"/>
            <w:r w:rsidRPr="0087010C">
              <w:rPr>
                <w:sz w:val="20"/>
                <w:lang w:val="fr-CA"/>
              </w:rPr>
              <w:t xml:space="preserve"> &amp; Substance Use, exploités tous les deux, aux époques pertinentes, par l’</w:t>
            </w:r>
            <w:proofErr w:type="spellStart"/>
            <w:r w:rsidRPr="0087010C">
              <w:rPr>
                <w:sz w:val="20"/>
                <w:lang w:val="fr-CA"/>
              </w:rPr>
              <w:t>Interior</w:t>
            </w:r>
            <w:proofErr w:type="spellEnd"/>
            <w:r w:rsidRPr="0087010C">
              <w:rPr>
                <w:sz w:val="20"/>
                <w:lang w:val="fr-CA"/>
              </w:rPr>
              <w:t xml:space="preserve"> </w:t>
            </w:r>
            <w:proofErr w:type="spellStart"/>
            <w:r w:rsidRPr="0087010C">
              <w:rPr>
                <w:sz w:val="20"/>
                <w:lang w:val="fr-CA"/>
              </w:rPr>
              <w:t>Health</w:t>
            </w:r>
            <w:proofErr w:type="spellEnd"/>
            <w:r w:rsidRPr="0087010C">
              <w:rPr>
                <w:sz w:val="20"/>
                <w:lang w:val="fr-CA"/>
              </w:rPr>
              <w:t xml:space="preserve"> </w:t>
            </w:r>
            <w:proofErr w:type="spellStart"/>
            <w:r w:rsidRPr="0087010C">
              <w:rPr>
                <w:sz w:val="20"/>
                <w:lang w:val="fr-CA"/>
              </w:rPr>
              <w:t>Authority</w:t>
            </w:r>
            <w:proofErr w:type="spellEnd"/>
            <w:r w:rsidRPr="0087010C">
              <w:rPr>
                <w:sz w:val="20"/>
                <w:lang w:val="fr-CA"/>
              </w:rPr>
              <w:t>, intimée. En juillet 2016, le demandeur a intenté contre les intimés des actions en dommages</w:t>
            </w:r>
            <w:r w:rsidRPr="0087010C">
              <w:rPr>
                <w:sz w:val="20"/>
                <w:lang w:val="fr-CA"/>
              </w:rPr>
              <w:noBreakHyphen/>
              <w:t xml:space="preserve">intérêts, notamment pour certification et traitement négligents sous le régime de la </w:t>
            </w:r>
            <w:r w:rsidRPr="0087010C">
              <w:rPr>
                <w:i/>
                <w:sz w:val="20"/>
                <w:lang w:val="fr-CA"/>
              </w:rPr>
              <w:t xml:space="preserve">Mental </w:t>
            </w:r>
            <w:proofErr w:type="spellStart"/>
            <w:r w:rsidRPr="0087010C">
              <w:rPr>
                <w:i/>
                <w:sz w:val="20"/>
                <w:lang w:val="fr-CA"/>
              </w:rPr>
              <w:t>Health</w:t>
            </w:r>
            <w:proofErr w:type="spellEnd"/>
            <w:r w:rsidRPr="0087010C">
              <w:rPr>
                <w:i/>
                <w:sz w:val="20"/>
                <w:lang w:val="fr-CA"/>
              </w:rPr>
              <w:t xml:space="preserve"> </w:t>
            </w:r>
            <w:proofErr w:type="spellStart"/>
            <w:r w:rsidRPr="0087010C">
              <w:rPr>
                <w:i/>
                <w:sz w:val="20"/>
                <w:lang w:val="fr-CA"/>
              </w:rPr>
              <w:t>Act</w:t>
            </w:r>
            <w:proofErr w:type="spellEnd"/>
            <w:r w:rsidRPr="0087010C">
              <w:rPr>
                <w:sz w:val="20"/>
                <w:lang w:val="fr-CA"/>
              </w:rPr>
              <w:t>, voies de fait et batterie en lien avec son hospitalisation et son traitement involontaires. Les intimés ont collectivement demandé par voie sommaire le rejet de l’action pour cause d’expiration du délai de prescription de deux ans applicable aux demandes pour préjudices corporels. Le juge de première instance a prononcé une ordonnance en ce sens et a rejeté l’action du demandeur. L’appel du demandeur a été rejeté.</w:t>
            </w:r>
          </w:p>
          <w:p w:rsidR="00F7565E" w:rsidRPr="0087010C" w:rsidRDefault="00F7565E" w:rsidP="00211A38">
            <w:pPr>
              <w:jc w:val="both"/>
              <w:rPr>
                <w:sz w:val="20"/>
                <w:lang w:val="fr-CA"/>
              </w:rPr>
            </w:pPr>
          </w:p>
        </w:tc>
      </w:tr>
      <w:tr w:rsidR="00F7565E" w:rsidRPr="003A218E" w:rsidTr="00EE3188">
        <w:tc>
          <w:tcPr>
            <w:tcW w:w="2447" w:type="pct"/>
            <w:gridSpan w:val="2"/>
          </w:tcPr>
          <w:p w:rsidR="00F7565E" w:rsidRPr="0087010C" w:rsidRDefault="00F7565E" w:rsidP="00211A38">
            <w:pPr>
              <w:jc w:val="both"/>
              <w:rPr>
                <w:sz w:val="20"/>
                <w:lang w:val="fr-CA"/>
              </w:rPr>
            </w:pPr>
            <w:r w:rsidRPr="0087010C">
              <w:rPr>
                <w:sz w:val="20"/>
                <w:lang w:val="fr-CA"/>
              </w:rPr>
              <w:t>29 septembre 2017</w:t>
            </w:r>
          </w:p>
          <w:p w:rsidR="00F7565E" w:rsidRPr="0087010C" w:rsidRDefault="00F7565E" w:rsidP="00211A38">
            <w:pPr>
              <w:jc w:val="both"/>
              <w:rPr>
                <w:sz w:val="20"/>
                <w:lang w:val="fr-CA"/>
              </w:rPr>
            </w:pPr>
            <w:r w:rsidRPr="0087010C">
              <w:rPr>
                <w:sz w:val="20"/>
                <w:lang w:val="fr-CA"/>
              </w:rPr>
              <w:t>Cour suprême de la Colombie</w:t>
            </w:r>
            <w:r w:rsidRPr="0087010C">
              <w:rPr>
                <w:sz w:val="20"/>
                <w:lang w:val="fr-CA"/>
              </w:rPr>
              <w:noBreakHyphen/>
              <w:t>Britannique</w:t>
            </w:r>
          </w:p>
          <w:p w:rsidR="00F7565E" w:rsidRPr="0087010C" w:rsidRDefault="00F7565E" w:rsidP="00211A38">
            <w:pPr>
              <w:jc w:val="both"/>
              <w:rPr>
                <w:sz w:val="20"/>
                <w:lang w:val="fr-CA"/>
              </w:rPr>
            </w:pPr>
            <w:r w:rsidRPr="0087010C">
              <w:rPr>
                <w:sz w:val="20"/>
                <w:lang w:val="fr-CA"/>
              </w:rPr>
              <w:t xml:space="preserve">(Juge </w:t>
            </w:r>
            <w:proofErr w:type="spellStart"/>
            <w:r w:rsidRPr="0087010C">
              <w:rPr>
                <w:sz w:val="20"/>
                <w:lang w:val="fr-CA"/>
              </w:rPr>
              <w:t>Meiklem</w:t>
            </w:r>
            <w:proofErr w:type="spellEnd"/>
            <w:r w:rsidRPr="0087010C">
              <w:rPr>
                <w:sz w:val="20"/>
                <w:lang w:val="fr-CA"/>
              </w:rPr>
              <w:t>)</w:t>
            </w:r>
          </w:p>
          <w:p w:rsidR="00F7565E" w:rsidRPr="0087010C" w:rsidRDefault="003A218E" w:rsidP="00211A38">
            <w:pPr>
              <w:jc w:val="both"/>
              <w:rPr>
                <w:sz w:val="20"/>
                <w:lang w:val="fr-CA"/>
              </w:rPr>
            </w:pPr>
            <w:hyperlink r:id="rId57" w:history="1">
              <w:r w:rsidR="00F7565E" w:rsidRPr="0087010C">
                <w:rPr>
                  <w:rStyle w:val="Hyperlink"/>
                  <w:sz w:val="20"/>
                  <w:lang w:val="fr-CA"/>
                </w:rPr>
                <w:t>2017 BCSC 1742</w:t>
              </w:r>
            </w:hyperlink>
          </w:p>
        </w:tc>
        <w:tc>
          <w:tcPr>
            <w:tcW w:w="245" w:type="pct"/>
          </w:tcPr>
          <w:p w:rsidR="00F7565E" w:rsidRPr="0087010C" w:rsidRDefault="00F7565E" w:rsidP="00211A38">
            <w:pPr>
              <w:jc w:val="both"/>
              <w:rPr>
                <w:sz w:val="20"/>
                <w:lang w:val="fr-CA"/>
              </w:rPr>
            </w:pPr>
          </w:p>
        </w:tc>
        <w:tc>
          <w:tcPr>
            <w:tcW w:w="2308" w:type="pct"/>
          </w:tcPr>
          <w:p w:rsidR="00F7565E" w:rsidRPr="0087010C" w:rsidRDefault="00F7565E" w:rsidP="00211A38">
            <w:pPr>
              <w:jc w:val="both"/>
              <w:rPr>
                <w:sz w:val="20"/>
                <w:lang w:val="fr-CA"/>
              </w:rPr>
            </w:pPr>
            <w:r w:rsidRPr="0087010C">
              <w:rPr>
                <w:sz w:val="20"/>
                <w:lang w:val="fr-CA"/>
              </w:rPr>
              <w:t>Jugement accueillant la requête en jugement sommaire et rejetant pour cause de prescription l’action du demandeur en dommages</w:t>
            </w:r>
            <w:r w:rsidRPr="0087010C">
              <w:rPr>
                <w:sz w:val="20"/>
                <w:lang w:val="fr-CA"/>
              </w:rPr>
              <w:noBreakHyphen/>
              <w:t>intérêts pour négligence et voies de fait et batterie</w:t>
            </w:r>
          </w:p>
          <w:p w:rsidR="00F7565E" w:rsidRPr="0087010C" w:rsidRDefault="00F7565E" w:rsidP="00211A38">
            <w:pPr>
              <w:jc w:val="both"/>
              <w:rPr>
                <w:sz w:val="20"/>
                <w:lang w:val="fr-CA"/>
              </w:rPr>
            </w:pPr>
          </w:p>
        </w:tc>
      </w:tr>
      <w:tr w:rsidR="00F7565E" w:rsidRPr="0087010C" w:rsidTr="00EE3188">
        <w:tc>
          <w:tcPr>
            <w:tcW w:w="2447" w:type="pct"/>
            <w:gridSpan w:val="2"/>
          </w:tcPr>
          <w:p w:rsidR="00F7565E" w:rsidRPr="0087010C" w:rsidRDefault="00F7565E" w:rsidP="00211A38">
            <w:pPr>
              <w:jc w:val="both"/>
              <w:rPr>
                <w:sz w:val="20"/>
                <w:lang w:val="fr-CA"/>
              </w:rPr>
            </w:pPr>
            <w:r w:rsidRPr="0087010C">
              <w:rPr>
                <w:sz w:val="20"/>
                <w:lang w:val="fr-CA"/>
              </w:rPr>
              <w:t>17 octobre 2018</w:t>
            </w:r>
          </w:p>
          <w:p w:rsidR="00F7565E" w:rsidRPr="0087010C" w:rsidRDefault="00F7565E" w:rsidP="00211A38">
            <w:pPr>
              <w:jc w:val="both"/>
              <w:rPr>
                <w:sz w:val="20"/>
                <w:lang w:val="fr-CA"/>
              </w:rPr>
            </w:pPr>
            <w:r w:rsidRPr="0087010C">
              <w:rPr>
                <w:sz w:val="20"/>
                <w:lang w:val="fr-CA"/>
              </w:rPr>
              <w:t>Cour d’appel de la Colombie</w:t>
            </w:r>
            <w:r w:rsidRPr="0087010C">
              <w:rPr>
                <w:sz w:val="20"/>
                <w:lang w:val="fr-CA"/>
              </w:rPr>
              <w:noBreakHyphen/>
              <w:t xml:space="preserve">Britannique </w:t>
            </w:r>
          </w:p>
          <w:p w:rsidR="00F7565E" w:rsidRPr="0087010C" w:rsidRDefault="00F7565E" w:rsidP="00211A38">
            <w:pPr>
              <w:jc w:val="both"/>
              <w:rPr>
                <w:sz w:val="20"/>
                <w:lang w:val="fr-CA"/>
              </w:rPr>
            </w:pPr>
            <w:r w:rsidRPr="0087010C">
              <w:rPr>
                <w:sz w:val="20"/>
                <w:lang w:val="fr-CA"/>
              </w:rPr>
              <w:t>(Vancouver)</w:t>
            </w:r>
          </w:p>
          <w:p w:rsidR="00F7565E" w:rsidRPr="0087010C" w:rsidRDefault="00F7565E" w:rsidP="00211A38">
            <w:pPr>
              <w:jc w:val="both"/>
              <w:rPr>
                <w:sz w:val="20"/>
                <w:lang w:val="fr-CA"/>
              </w:rPr>
            </w:pPr>
            <w:r w:rsidRPr="0087010C">
              <w:rPr>
                <w:sz w:val="20"/>
                <w:lang w:val="fr-CA"/>
              </w:rPr>
              <w:t xml:space="preserve">(Juges </w:t>
            </w:r>
            <w:proofErr w:type="spellStart"/>
            <w:r w:rsidRPr="0087010C">
              <w:rPr>
                <w:sz w:val="20"/>
                <w:lang w:val="fr-CA"/>
              </w:rPr>
              <w:t>Willcock</w:t>
            </w:r>
            <w:proofErr w:type="spellEnd"/>
            <w:r w:rsidRPr="0087010C">
              <w:rPr>
                <w:sz w:val="20"/>
                <w:lang w:val="fr-CA"/>
              </w:rPr>
              <w:t xml:space="preserve">, </w:t>
            </w:r>
            <w:proofErr w:type="spellStart"/>
            <w:r w:rsidRPr="0087010C">
              <w:rPr>
                <w:sz w:val="20"/>
                <w:lang w:val="fr-CA"/>
              </w:rPr>
              <w:t>Fenlon</w:t>
            </w:r>
            <w:proofErr w:type="spellEnd"/>
            <w:r w:rsidRPr="0087010C">
              <w:rPr>
                <w:sz w:val="20"/>
                <w:lang w:val="fr-CA"/>
              </w:rPr>
              <w:t xml:space="preserve"> et Fisher)</w:t>
            </w:r>
          </w:p>
          <w:p w:rsidR="00F7565E" w:rsidRPr="0087010C" w:rsidRDefault="003A218E" w:rsidP="00211A38">
            <w:pPr>
              <w:jc w:val="both"/>
              <w:rPr>
                <w:sz w:val="20"/>
                <w:lang w:val="fr-CA"/>
              </w:rPr>
            </w:pPr>
            <w:hyperlink r:id="rId58" w:history="1">
              <w:r w:rsidR="00F7565E" w:rsidRPr="0087010C">
                <w:rPr>
                  <w:rStyle w:val="Hyperlink"/>
                  <w:sz w:val="20"/>
                  <w:lang w:val="fr-CA"/>
                </w:rPr>
                <w:t>2018 BCCA 380</w:t>
              </w:r>
            </w:hyperlink>
          </w:p>
          <w:p w:rsidR="00F7565E" w:rsidRPr="0087010C" w:rsidRDefault="00F7565E" w:rsidP="00211A38">
            <w:pPr>
              <w:jc w:val="both"/>
              <w:rPr>
                <w:sz w:val="20"/>
                <w:lang w:val="fr-CA"/>
              </w:rPr>
            </w:pPr>
          </w:p>
        </w:tc>
        <w:tc>
          <w:tcPr>
            <w:tcW w:w="245" w:type="pct"/>
          </w:tcPr>
          <w:p w:rsidR="00F7565E" w:rsidRPr="0087010C" w:rsidRDefault="00F7565E" w:rsidP="00211A38">
            <w:pPr>
              <w:jc w:val="both"/>
              <w:rPr>
                <w:sz w:val="20"/>
                <w:lang w:val="fr-CA"/>
              </w:rPr>
            </w:pPr>
          </w:p>
        </w:tc>
        <w:tc>
          <w:tcPr>
            <w:tcW w:w="2308" w:type="pct"/>
          </w:tcPr>
          <w:p w:rsidR="00F7565E" w:rsidRPr="0087010C" w:rsidRDefault="00F7565E" w:rsidP="00211A38">
            <w:pPr>
              <w:jc w:val="both"/>
              <w:rPr>
                <w:sz w:val="20"/>
                <w:lang w:val="fr-CA"/>
              </w:rPr>
            </w:pPr>
            <w:r w:rsidRPr="0087010C">
              <w:rPr>
                <w:sz w:val="20"/>
                <w:lang w:val="fr-CA"/>
              </w:rPr>
              <w:t>Rejet de l’appel du demandeur</w:t>
            </w:r>
          </w:p>
          <w:p w:rsidR="00F7565E" w:rsidRPr="0087010C" w:rsidRDefault="00F7565E" w:rsidP="00211A38">
            <w:pPr>
              <w:jc w:val="both"/>
              <w:rPr>
                <w:sz w:val="20"/>
                <w:lang w:val="fr-CA"/>
              </w:rPr>
            </w:pPr>
          </w:p>
        </w:tc>
      </w:tr>
      <w:tr w:rsidR="00F7565E" w:rsidRPr="003A218E" w:rsidTr="00EE3188">
        <w:tc>
          <w:tcPr>
            <w:tcW w:w="2447" w:type="pct"/>
            <w:gridSpan w:val="2"/>
          </w:tcPr>
          <w:p w:rsidR="00F7565E" w:rsidRPr="0087010C" w:rsidRDefault="00F7565E" w:rsidP="00211A38">
            <w:pPr>
              <w:jc w:val="both"/>
              <w:rPr>
                <w:sz w:val="20"/>
                <w:lang w:val="fr-CA"/>
              </w:rPr>
            </w:pPr>
            <w:r w:rsidRPr="0087010C">
              <w:rPr>
                <w:sz w:val="20"/>
                <w:lang w:val="fr-CA"/>
              </w:rPr>
              <w:t>7 décembre 2018</w:t>
            </w:r>
          </w:p>
          <w:p w:rsidR="00F7565E" w:rsidRPr="0087010C" w:rsidRDefault="00F7565E" w:rsidP="00211A38">
            <w:pPr>
              <w:jc w:val="both"/>
              <w:rPr>
                <w:sz w:val="20"/>
                <w:lang w:val="fr-CA"/>
              </w:rPr>
            </w:pPr>
            <w:r w:rsidRPr="0087010C">
              <w:rPr>
                <w:sz w:val="20"/>
                <w:lang w:val="fr-CA"/>
              </w:rPr>
              <w:t>Cour suprême du Canada</w:t>
            </w:r>
          </w:p>
        </w:tc>
        <w:tc>
          <w:tcPr>
            <w:tcW w:w="245" w:type="pct"/>
          </w:tcPr>
          <w:p w:rsidR="00F7565E" w:rsidRPr="0087010C" w:rsidRDefault="00F7565E" w:rsidP="00211A38">
            <w:pPr>
              <w:jc w:val="both"/>
              <w:rPr>
                <w:sz w:val="20"/>
                <w:lang w:val="fr-CA"/>
              </w:rPr>
            </w:pPr>
          </w:p>
        </w:tc>
        <w:tc>
          <w:tcPr>
            <w:tcW w:w="2308" w:type="pct"/>
          </w:tcPr>
          <w:p w:rsidR="00F7565E" w:rsidRPr="0087010C" w:rsidRDefault="00F7565E" w:rsidP="00211A38">
            <w:pPr>
              <w:jc w:val="both"/>
              <w:rPr>
                <w:sz w:val="20"/>
                <w:lang w:val="fr-CA"/>
              </w:rPr>
            </w:pPr>
            <w:r w:rsidRPr="0087010C">
              <w:rPr>
                <w:sz w:val="20"/>
                <w:lang w:val="fr-CA"/>
              </w:rPr>
              <w:t>Dépôt de la demande d’autorisation d’appel</w:t>
            </w:r>
          </w:p>
          <w:p w:rsidR="00F7565E" w:rsidRPr="0087010C" w:rsidRDefault="00F7565E" w:rsidP="00211A38">
            <w:pPr>
              <w:jc w:val="both"/>
              <w:rPr>
                <w:sz w:val="20"/>
                <w:lang w:val="fr-CA"/>
              </w:rPr>
            </w:pPr>
          </w:p>
        </w:tc>
      </w:tr>
    </w:tbl>
    <w:p w:rsidR="00F7565E" w:rsidRPr="0087010C" w:rsidRDefault="00F7565E" w:rsidP="00F7565E">
      <w:pPr>
        <w:jc w:val="both"/>
        <w:rPr>
          <w:sz w:val="20"/>
          <w:lang w:val="fr-CA"/>
        </w:rPr>
      </w:pPr>
    </w:p>
    <w:p w:rsidR="00F7565E" w:rsidRPr="0087010C" w:rsidRDefault="003A218E" w:rsidP="00F7565E">
      <w:pPr>
        <w:jc w:val="both"/>
        <w:rPr>
          <w:sz w:val="20"/>
          <w:lang w:val="fr-CA"/>
        </w:rPr>
      </w:pPr>
      <w:r>
        <w:rPr>
          <w:sz w:val="20"/>
        </w:rPr>
        <w:pict>
          <v:rect id="_x0000_i1050" style="width:2in;height:1pt" o:hrpct="0" o:hralign="center" o:hrstd="t" o:hrnoshade="t" o:hr="t" fillcolor="black [3213]" stroked="f"/>
        </w:pict>
      </w:r>
    </w:p>
    <w:p w:rsidR="00F7565E" w:rsidRPr="0087010C" w:rsidRDefault="00F7565E" w:rsidP="00F7565E">
      <w:pPr>
        <w:ind w:left="142" w:hanging="142"/>
        <w:jc w:val="both"/>
        <w:rPr>
          <w:sz w:val="20"/>
          <w:lang w:val="fr-CA"/>
        </w:rPr>
      </w:pPr>
    </w:p>
    <w:p w:rsidR="00F7565E" w:rsidRDefault="00F7565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565E" w:rsidRPr="0087010C" w:rsidTr="00211A38">
        <w:tc>
          <w:tcPr>
            <w:tcW w:w="543" w:type="pct"/>
          </w:tcPr>
          <w:p w:rsidR="00F7565E" w:rsidRPr="0087010C" w:rsidRDefault="00F7565E" w:rsidP="00211A38">
            <w:pPr>
              <w:jc w:val="both"/>
              <w:rPr>
                <w:sz w:val="20"/>
              </w:rPr>
            </w:pPr>
            <w:r w:rsidRPr="0087010C">
              <w:rPr>
                <w:rStyle w:val="SCCFileNumberChar"/>
                <w:sz w:val="20"/>
                <w:szCs w:val="20"/>
              </w:rPr>
              <w:lastRenderedPageBreak/>
              <w:t>38502</w:t>
            </w:r>
          </w:p>
        </w:tc>
        <w:tc>
          <w:tcPr>
            <w:tcW w:w="4457" w:type="pct"/>
            <w:gridSpan w:val="3"/>
          </w:tcPr>
          <w:p w:rsidR="00F7565E" w:rsidRPr="0087010C" w:rsidRDefault="00F7565E" w:rsidP="00211A38">
            <w:pPr>
              <w:pStyle w:val="SCCLsocParty"/>
              <w:jc w:val="both"/>
              <w:rPr>
                <w:b/>
                <w:sz w:val="20"/>
                <w:szCs w:val="20"/>
                <w:lang w:val="en-US"/>
              </w:rPr>
            </w:pPr>
            <w:r w:rsidRPr="0087010C">
              <w:rPr>
                <w:b/>
                <w:sz w:val="20"/>
                <w:szCs w:val="20"/>
                <w:lang w:val="en-US"/>
              </w:rPr>
              <w:t xml:space="preserve">Glen </w:t>
            </w:r>
            <w:proofErr w:type="spellStart"/>
            <w:r w:rsidRPr="0087010C">
              <w:rPr>
                <w:b/>
                <w:sz w:val="20"/>
                <w:szCs w:val="20"/>
                <w:lang w:val="en-US"/>
              </w:rPr>
              <w:t>Glady</w:t>
            </w:r>
            <w:proofErr w:type="spellEnd"/>
            <w:r w:rsidRPr="0087010C">
              <w:rPr>
                <w:b/>
                <w:sz w:val="20"/>
                <w:szCs w:val="20"/>
                <w:lang w:val="en-US"/>
              </w:rPr>
              <w:t xml:space="preserve"> Anderson v. Her Majesty the Queen</w:t>
            </w:r>
          </w:p>
          <w:p w:rsidR="00F7565E" w:rsidRPr="0087010C" w:rsidRDefault="00F7565E" w:rsidP="00211A38">
            <w:pPr>
              <w:jc w:val="both"/>
              <w:rPr>
                <w:sz w:val="20"/>
              </w:rPr>
            </w:pPr>
            <w:r w:rsidRPr="0087010C">
              <w:rPr>
                <w:sz w:val="20"/>
              </w:rPr>
              <w:t>(Alta.) (Criminal) (By Leave)</w:t>
            </w:r>
          </w:p>
        </w:tc>
      </w:tr>
      <w:tr w:rsidR="009B1A2E" w:rsidRPr="0087010C" w:rsidTr="00211A38">
        <w:tc>
          <w:tcPr>
            <w:tcW w:w="5000" w:type="pct"/>
            <w:gridSpan w:val="4"/>
          </w:tcPr>
          <w:p w:rsidR="009B1A2E" w:rsidRDefault="009B1A2E" w:rsidP="009B1A2E">
            <w:r w:rsidRPr="00C138FF">
              <w:rPr>
                <w:sz w:val="20"/>
              </w:rPr>
              <w:t>The application for leave to appeal from the judgment of the Court of Appeal of Alberta (Edmonton), Number 1703-0281-A, 2018 ABCA 412, dated December 4, 2018, is dismissed.</w:t>
            </w:r>
          </w:p>
        </w:tc>
      </w:tr>
      <w:tr w:rsidR="00F7565E" w:rsidRPr="0087010C" w:rsidTr="00211A38">
        <w:tc>
          <w:tcPr>
            <w:tcW w:w="5000" w:type="pct"/>
            <w:gridSpan w:val="4"/>
          </w:tcPr>
          <w:p w:rsidR="00F7565E" w:rsidRPr="0087010C" w:rsidRDefault="00F7565E" w:rsidP="00211A38">
            <w:pPr>
              <w:autoSpaceDE w:val="0"/>
              <w:autoSpaceDN w:val="0"/>
              <w:adjustRightInd w:val="0"/>
              <w:jc w:val="both"/>
              <w:rPr>
                <w:sz w:val="20"/>
              </w:rPr>
            </w:pPr>
            <w:r w:rsidRPr="0087010C">
              <w:rPr>
                <w:sz w:val="20"/>
              </w:rPr>
              <w:t>Courts — Judges — Impartiality — Whether reasonable apprehension of bias established — Under what circumstances will a trial judge’s outside knowledge of a case or an accused raise a reasonable apprehension of bias?</w:t>
            </w:r>
          </w:p>
          <w:p w:rsidR="00F7565E" w:rsidRPr="0087010C" w:rsidRDefault="00F7565E" w:rsidP="00211A38">
            <w:pPr>
              <w:jc w:val="both"/>
              <w:rPr>
                <w:sz w:val="20"/>
              </w:rPr>
            </w:pPr>
          </w:p>
        </w:tc>
      </w:tr>
      <w:tr w:rsidR="00F7565E" w:rsidRPr="0087010C" w:rsidTr="00211A38">
        <w:tc>
          <w:tcPr>
            <w:tcW w:w="5000" w:type="pct"/>
            <w:gridSpan w:val="4"/>
          </w:tcPr>
          <w:p w:rsidR="00F7565E" w:rsidRPr="0087010C" w:rsidRDefault="00F7565E" w:rsidP="00211A38">
            <w:pPr>
              <w:jc w:val="both"/>
              <w:rPr>
                <w:sz w:val="20"/>
              </w:rPr>
            </w:pPr>
            <w:r w:rsidRPr="0087010C">
              <w:rPr>
                <w:sz w:val="20"/>
              </w:rPr>
              <w:t xml:space="preserve">The applicant was charged with respect to two unrelated shooting incidents. The applicant was charged with recklessly discharging a firearm and possession of a restricted firearm. In order to preserve the applicant’s right to make full answer and defence, two separate judges were bought into the city of Peace River. Campbell J. accepted the applicant’s guilty plea on the manslaughter charge. </w:t>
            </w:r>
            <w:proofErr w:type="spellStart"/>
            <w:r w:rsidRPr="0087010C">
              <w:rPr>
                <w:sz w:val="20"/>
              </w:rPr>
              <w:t>LoVecchio</w:t>
            </w:r>
            <w:proofErr w:type="spellEnd"/>
            <w:r w:rsidRPr="0087010C">
              <w:rPr>
                <w:sz w:val="20"/>
              </w:rPr>
              <w:t xml:space="preserve"> J. was the trial judge for the firearms charges. No evidence was led at that trial about the other shooting incident, or the guilty plea to manslaughter. After all of the evidence had been entered, and final arguments had been made, but before the trial judge had announced his decision and convicted the applicant, </w:t>
            </w:r>
            <w:proofErr w:type="spellStart"/>
            <w:r w:rsidRPr="0087010C">
              <w:rPr>
                <w:sz w:val="20"/>
              </w:rPr>
              <w:t>LoVecchio</w:t>
            </w:r>
            <w:proofErr w:type="spellEnd"/>
            <w:r w:rsidRPr="0087010C">
              <w:rPr>
                <w:sz w:val="20"/>
              </w:rPr>
              <w:t xml:space="preserve"> J. called counsel into his private chambers. </w:t>
            </w:r>
            <w:proofErr w:type="spellStart"/>
            <w:r w:rsidRPr="0087010C">
              <w:rPr>
                <w:sz w:val="20"/>
              </w:rPr>
              <w:t>LoVecchio</w:t>
            </w:r>
            <w:proofErr w:type="spellEnd"/>
            <w:r w:rsidRPr="0087010C">
              <w:rPr>
                <w:sz w:val="20"/>
              </w:rPr>
              <w:t xml:space="preserve"> J. advised counsel that he was aware of the guilty plea to manslaughter and suggested to counsel that a joint sentencing hearing be held with respect to both charges. The applicant brought an application for a mistrial. The applicant argued that the off-the-record comments by </w:t>
            </w:r>
            <w:proofErr w:type="spellStart"/>
            <w:r w:rsidRPr="0087010C">
              <w:rPr>
                <w:sz w:val="20"/>
              </w:rPr>
              <w:t>LoVecchio</w:t>
            </w:r>
            <w:proofErr w:type="spellEnd"/>
            <w:r w:rsidRPr="0087010C">
              <w:rPr>
                <w:sz w:val="20"/>
              </w:rPr>
              <w:t xml:space="preserve"> J., before a verdict had been rendered, created a reasonable apprehension of bias warranting a mistrial. </w:t>
            </w:r>
            <w:proofErr w:type="spellStart"/>
            <w:r w:rsidRPr="0087010C">
              <w:rPr>
                <w:sz w:val="20"/>
              </w:rPr>
              <w:t>LoVecchio</w:t>
            </w:r>
            <w:proofErr w:type="spellEnd"/>
            <w:r w:rsidRPr="0087010C">
              <w:rPr>
                <w:sz w:val="20"/>
              </w:rPr>
              <w:t xml:space="preserve"> J. dismissed the application for a mistrial. The applicant was convicted of recklessly discharging a firearm and possession of a prohibited or restricted firearm. The Court of Appeal dismissed the appeal.</w:t>
            </w:r>
          </w:p>
        </w:tc>
      </w:tr>
      <w:tr w:rsidR="00F7565E" w:rsidRPr="0087010C" w:rsidTr="00211A38">
        <w:tc>
          <w:tcPr>
            <w:tcW w:w="5000" w:type="pct"/>
            <w:gridSpan w:val="4"/>
          </w:tcPr>
          <w:p w:rsidR="00F7565E" w:rsidRPr="0087010C" w:rsidRDefault="00F7565E" w:rsidP="00211A38">
            <w:pPr>
              <w:jc w:val="both"/>
              <w:rPr>
                <w:sz w:val="20"/>
              </w:rPr>
            </w:pPr>
          </w:p>
        </w:tc>
      </w:tr>
      <w:tr w:rsidR="00F7565E" w:rsidRPr="0087010C" w:rsidTr="00211A38">
        <w:tc>
          <w:tcPr>
            <w:tcW w:w="2427" w:type="pct"/>
            <w:gridSpan w:val="2"/>
          </w:tcPr>
          <w:p w:rsidR="00F7565E" w:rsidRPr="0087010C" w:rsidRDefault="00F7565E" w:rsidP="00211A38">
            <w:pPr>
              <w:jc w:val="both"/>
              <w:rPr>
                <w:sz w:val="20"/>
              </w:rPr>
            </w:pPr>
            <w:r w:rsidRPr="0087010C">
              <w:rPr>
                <w:sz w:val="20"/>
              </w:rPr>
              <w:t>April 15, 2016</w:t>
            </w:r>
          </w:p>
          <w:p w:rsidR="00F7565E" w:rsidRPr="0087010C" w:rsidRDefault="00F7565E" w:rsidP="00211A38">
            <w:pPr>
              <w:jc w:val="both"/>
              <w:rPr>
                <w:sz w:val="20"/>
              </w:rPr>
            </w:pPr>
            <w:r w:rsidRPr="0087010C">
              <w:rPr>
                <w:sz w:val="20"/>
              </w:rPr>
              <w:t>Court of Queen’s Bench of Alberta</w:t>
            </w:r>
          </w:p>
          <w:p w:rsidR="00F7565E" w:rsidRPr="0087010C" w:rsidRDefault="00F7565E" w:rsidP="00211A38">
            <w:pPr>
              <w:jc w:val="both"/>
              <w:rPr>
                <w:sz w:val="20"/>
              </w:rPr>
            </w:pPr>
            <w:r w:rsidRPr="0087010C">
              <w:rPr>
                <w:sz w:val="20"/>
              </w:rPr>
              <w:t>(</w:t>
            </w:r>
            <w:proofErr w:type="spellStart"/>
            <w:r w:rsidRPr="0087010C">
              <w:rPr>
                <w:sz w:val="20"/>
              </w:rPr>
              <w:t>LoVecchio</w:t>
            </w:r>
            <w:proofErr w:type="spellEnd"/>
            <w:r w:rsidRPr="0087010C">
              <w:rPr>
                <w:sz w:val="20"/>
              </w:rPr>
              <w:t xml:space="preserve"> J.)</w:t>
            </w:r>
          </w:p>
          <w:p w:rsidR="00F7565E" w:rsidRPr="0087010C" w:rsidRDefault="00F7565E" w:rsidP="00211A38">
            <w:pPr>
              <w:jc w:val="both"/>
              <w:rPr>
                <w:sz w:val="20"/>
              </w:rPr>
            </w:pPr>
          </w:p>
        </w:tc>
        <w:tc>
          <w:tcPr>
            <w:tcW w:w="243" w:type="pct"/>
          </w:tcPr>
          <w:p w:rsidR="00F7565E" w:rsidRPr="0087010C" w:rsidRDefault="00F7565E" w:rsidP="00211A38">
            <w:pPr>
              <w:jc w:val="both"/>
              <w:rPr>
                <w:sz w:val="20"/>
              </w:rPr>
            </w:pPr>
          </w:p>
        </w:tc>
        <w:tc>
          <w:tcPr>
            <w:tcW w:w="2330" w:type="pct"/>
          </w:tcPr>
          <w:p w:rsidR="00F7565E" w:rsidRPr="0087010C" w:rsidRDefault="00F7565E" w:rsidP="00211A38">
            <w:pPr>
              <w:jc w:val="both"/>
              <w:rPr>
                <w:sz w:val="20"/>
              </w:rPr>
            </w:pPr>
            <w:r w:rsidRPr="0087010C">
              <w:rPr>
                <w:sz w:val="20"/>
              </w:rPr>
              <w:t>Convictions: recklessly discharging a firearm; possession of a prohibited or restricted firearm</w:t>
            </w:r>
          </w:p>
          <w:p w:rsidR="00F7565E" w:rsidRPr="0087010C" w:rsidRDefault="00F7565E" w:rsidP="00211A38">
            <w:pPr>
              <w:jc w:val="both"/>
              <w:rPr>
                <w:sz w:val="20"/>
              </w:rPr>
            </w:pPr>
          </w:p>
        </w:tc>
      </w:tr>
      <w:tr w:rsidR="00F7565E" w:rsidRPr="0087010C" w:rsidTr="00211A38">
        <w:tc>
          <w:tcPr>
            <w:tcW w:w="2427" w:type="pct"/>
            <w:gridSpan w:val="2"/>
          </w:tcPr>
          <w:p w:rsidR="00F7565E" w:rsidRPr="0087010C" w:rsidRDefault="00F7565E" w:rsidP="00211A38">
            <w:pPr>
              <w:jc w:val="both"/>
              <w:rPr>
                <w:sz w:val="20"/>
              </w:rPr>
            </w:pPr>
            <w:r w:rsidRPr="0087010C">
              <w:rPr>
                <w:sz w:val="20"/>
              </w:rPr>
              <w:t>December 4, 2018</w:t>
            </w:r>
          </w:p>
          <w:p w:rsidR="00F7565E" w:rsidRPr="0087010C" w:rsidRDefault="00F7565E" w:rsidP="00211A38">
            <w:pPr>
              <w:jc w:val="both"/>
              <w:rPr>
                <w:sz w:val="20"/>
              </w:rPr>
            </w:pPr>
            <w:r w:rsidRPr="0087010C">
              <w:rPr>
                <w:sz w:val="20"/>
              </w:rPr>
              <w:t>Court of Appeal of Alberta (Edmonton)</w:t>
            </w:r>
          </w:p>
          <w:p w:rsidR="00F7565E" w:rsidRPr="0087010C" w:rsidRDefault="00F7565E" w:rsidP="00211A38">
            <w:pPr>
              <w:jc w:val="both"/>
              <w:rPr>
                <w:sz w:val="20"/>
              </w:rPr>
            </w:pPr>
            <w:r w:rsidRPr="0087010C">
              <w:rPr>
                <w:sz w:val="20"/>
              </w:rPr>
              <w:t>(</w:t>
            </w:r>
            <w:proofErr w:type="spellStart"/>
            <w:r w:rsidRPr="0087010C">
              <w:rPr>
                <w:sz w:val="20"/>
              </w:rPr>
              <w:t>Slatter</w:t>
            </w:r>
            <w:proofErr w:type="spellEnd"/>
            <w:r w:rsidRPr="0087010C">
              <w:rPr>
                <w:sz w:val="20"/>
              </w:rPr>
              <w:t xml:space="preserve">, </w:t>
            </w:r>
            <w:proofErr w:type="spellStart"/>
            <w:r w:rsidRPr="0087010C">
              <w:rPr>
                <w:sz w:val="20"/>
              </w:rPr>
              <w:t>Bielby</w:t>
            </w:r>
            <w:proofErr w:type="spellEnd"/>
            <w:r w:rsidRPr="0087010C">
              <w:rPr>
                <w:sz w:val="20"/>
              </w:rPr>
              <w:t xml:space="preserve">, </w:t>
            </w:r>
            <w:proofErr w:type="spellStart"/>
            <w:r w:rsidRPr="0087010C">
              <w:rPr>
                <w:sz w:val="20"/>
              </w:rPr>
              <w:t>Wakeling</w:t>
            </w:r>
            <w:proofErr w:type="spellEnd"/>
            <w:r w:rsidRPr="0087010C">
              <w:rPr>
                <w:sz w:val="20"/>
              </w:rPr>
              <w:t xml:space="preserve"> JJ.A.)</w:t>
            </w:r>
          </w:p>
          <w:p w:rsidR="00F7565E" w:rsidRPr="0087010C" w:rsidRDefault="003A218E" w:rsidP="00211A38">
            <w:pPr>
              <w:jc w:val="both"/>
              <w:rPr>
                <w:sz w:val="20"/>
              </w:rPr>
            </w:pPr>
            <w:hyperlink r:id="rId59" w:history="1">
              <w:r w:rsidR="00F7565E" w:rsidRPr="0087010C">
                <w:rPr>
                  <w:rStyle w:val="Hyperlink"/>
                  <w:sz w:val="20"/>
                </w:rPr>
                <w:t>2018 ABCA 412</w:t>
              </w:r>
            </w:hyperlink>
            <w:r w:rsidR="00F7565E" w:rsidRPr="0087010C">
              <w:rPr>
                <w:sz w:val="20"/>
              </w:rPr>
              <w:t>; 1703</w:t>
            </w:r>
            <w:r w:rsidR="00F7565E" w:rsidRPr="0087010C">
              <w:rPr>
                <w:sz w:val="20"/>
              </w:rPr>
              <w:noBreakHyphen/>
              <w:t>0281</w:t>
            </w:r>
            <w:r w:rsidR="00F7565E" w:rsidRPr="0087010C">
              <w:rPr>
                <w:sz w:val="20"/>
              </w:rPr>
              <w:noBreakHyphen/>
              <w:t>A</w:t>
            </w:r>
          </w:p>
          <w:p w:rsidR="00F7565E" w:rsidRPr="0087010C" w:rsidRDefault="00F7565E" w:rsidP="00211A38">
            <w:pPr>
              <w:jc w:val="both"/>
              <w:rPr>
                <w:sz w:val="20"/>
              </w:rPr>
            </w:pPr>
          </w:p>
        </w:tc>
        <w:tc>
          <w:tcPr>
            <w:tcW w:w="243" w:type="pct"/>
          </w:tcPr>
          <w:p w:rsidR="00F7565E" w:rsidRPr="0087010C" w:rsidRDefault="00F7565E" w:rsidP="00211A38">
            <w:pPr>
              <w:jc w:val="both"/>
              <w:rPr>
                <w:sz w:val="20"/>
              </w:rPr>
            </w:pPr>
          </w:p>
        </w:tc>
        <w:tc>
          <w:tcPr>
            <w:tcW w:w="2330" w:type="pct"/>
          </w:tcPr>
          <w:p w:rsidR="00F7565E" w:rsidRPr="0087010C" w:rsidRDefault="00F7565E" w:rsidP="00211A38">
            <w:pPr>
              <w:jc w:val="both"/>
              <w:rPr>
                <w:sz w:val="20"/>
              </w:rPr>
            </w:pPr>
            <w:r w:rsidRPr="0087010C">
              <w:rPr>
                <w:sz w:val="20"/>
              </w:rPr>
              <w:t>Appeal dismissed</w:t>
            </w:r>
          </w:p>
          <w:p w:rsidR="00F7565E" w:rsidRPr="0087010C" w:rsidRDefault="00F7565E" w:rsidP="00211A38">
            <w:pPr>
              <w:jc w:val="both"/>
              <w:rPr>
                <w:sz w:val="20"/>
              </w:rPr>
            </w:pPr>
          </w:p>
        </w:tc>
      </w:tr>
      <w:tr w:rsidR="00F7565E" w:rsidRPr="0087010C" w:rsidTr="00211A38">
        <w:tc>
          <w:tcPr>
            <w:tcW w:w="2427" w:type="pct"/>
            <w:gridSpan w:val="2"/>
          </w:tcPr>
          <w:p w:rsidR="00F7565E" w:rsidRPr="0087010C" w:rsidRDefault="00F7565E" w:rsidP="00211A38">
            <w:pPr>
              <w:jc w:val="both"/>
              <w:rPr>
                <w:sz w:val="20"/>
              </w:rPr>
            </w:pPr>
            <w:r w:rsidRPr="0087010C">
              <w:rPr>
                <w:sz w:val="20"/>
              </w:rPr>
              <w:t>February 1, 2019</w:t>
            </w:r>
          </w:p>
          <w:p w:rsidR="00F7565E" w:rsidRPr="0087010C" w:rsidRDefault="00F7565E" w:rsidP="00211A38">
            <w:pPr>
              <w:jc w:val="both"/>
              <w:rPr>
                <w:sz w:val="20"/>
              </w:rPr>
            </w:pPr>
            <w:r w:rsidRPr="0087010C">
              <w:rPr>
                <w:sz w:val="20"/>
              </w:rPr>
              <w:t>Supreme Court of Canada</w:t>
            </w:r>
          </w:p>
        </w:tc>
        <w:tc>
          <w:tcPr>
            <w:tcW w:w="243" w:type="pct"/>
          </w:tcPr>
          <w:p w:rsidR="00F7565E" w:rsidRPr="0087010C" w:rsidRDefault="00F7565E" w:rsidP="00211A38">
            <w:pPr>
              <w:jc w:val="both"/>
              <w:rPr>
                <w:sz w:val="20"/>
              </w:rPr>
            </w:pPr>
          </w:p>
        </w:tc>
        <w:tc>
          <w:tcPr>
            <w:tcW w:w="2330" w:type="pct"/>
          </w:tcPr>
          <w:p w:rsidR="00F7565E" w:rsidRPr="0087010C" w:rsidRDefault="00F7565E" w:rsidP="00211A38">
            <w:pPr>
              <w:jc w:val="both"/>
              <w:rPr>
                <w:sz w:val="20"/>
              </w:rPr>
            </w:pPr>
            <w:r w:rsidRPr="0087010C">
              <w:rPr>
                <w:sz w:val="20"/>
              </w:rPr>
              <w:t>Application for leave to appeal filed</w:t>
            </w:r>
          </w:p>
          <w:p w:rsidR="00F7565E" w:rsidRPr="0087010C" w:rsidRDefault="00F7565E" w:rsidP="00211A38">
            <w:pPr>
              <w:jc w:val="both"/>
              <w:rPr>
                <w:sz w:val="20"/>
              </w:rPr>
            </w:pPr>
          </w:p>
        </w:tc>
      </w:tr>
    </w:tbl>
    <w:p w:rsidR="00F7565E" w:rsidRPr="0087010C" w:rsidRDefault="00F7565E" w:rsidP="00F7565E">
      <w:pPr>
        <w:jc w:val="both"/>
        <w:rPr>
          <w:sz w:val="20"/>
        </w:rPr>
      </w:pPr>
    </w:p>
    <w:p w:rsidR="00F7565E" w:rsidRPr="0087010C" w:rsidRDefault="00F7565E" w:rsidP="00F7565E">
      <w:pPr>
        <w:jc w:val="both"/>
        <w:rPr>
          <w:sz w:val="20"/>
        </w:rPr>
      </w:pPr>
    </w:p>
    <w:p w:rsidR="00F7565E" w:rsidRPr="0087010C" w:rsidRDefault="00F7565E" w:rsidP="00F7565E">
      <w:pPr>
        <w:jc w:val="both"/>
        <w:rPr>
          <w:sz w:val="20"/>
        </w:rPr>
      </w:pPr>
    </w:p>
    <w:p w:rsidR="00F7565E" w:rsidRDefault="00F7565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565E" w:rsidRPr="0087010C" w:rsidTr="00211A38">
        <w:tc>
          <w:tcPr>
            <w:tcW w:w="543" w:type="pct"/>
          </w:tcPr>
          <w:p w:rsidR="00F7565E" w:rsidRPr="0087010C" w:rsidRDefault="00F7565E" w:rsidP="00211A38">
            <w:pPr>
              <w:jc w:val="both"/>
              <w:rPr>
                <w:sz w:val="20"/>
                <w:lang w:val="fr-CA"/>
              </w:rPr>
            </w:pPr>
            <w:r w:rsidRPr="0087010C">
              <w:rPr>
                <w:rStyle w:val="SCCFileNumberChar"/>
                <w:sz w:val="20"/>
                <w:szCs w:val="20"/>
                <w:lang w:val="fr-CA"/>
              </w:rPr>
              <w:lastRenderedPageBreak/>
              <w:t>38502</w:t>
            </w:r>
          </w:p>
        </w:tc>
        <w:tc>
          <w:tcPr>
            <w:tcW w:w="4457" w:type="pct"/>
            <w:gridSpan w:val="3"/>
          </w:tcPr>
          <w:p w:rsidR="00F7565E" w:rsidRPr="0087010C" w:rsidRDefault="00F7565E" w:rsidP="00211A38">
            <w:pPr>
              <w:pStyle w:val="SCCLsocParty"/>
              <w:jc w:val="both"/>
              <w:rPr>
                <w:b/>
                <w:sz w:val="20"/>
                <w:szCs w:val="20"/>
              </w:rPr>
            </w:pPr>
            <w:r w:rsidRPr="0087010C">
              <w:rPr>
                <w:b/>
                <w:sz w:val="20"/>
                <w:szCs w:val="20"/>
              </w:rPr>
              <w:t xml:space="preserve">Glen </w:t>
            </w:r>
            <w:proofErr w:type="spellStart"/>
            <w:r w:rsidRPr="0087010C">
              <w:rPr>
                <w:b/>
                <w:sz w:val="20"/>
                <w:szCs w:val="20"/>
              </w:rPr>
              <w:t>Glady</w:t>
            </w:r>
            <w:proofErr w:type="spellEnd"/>
            <w:r w:rsidRPr="0087010C">
              <w:rPr>
                <w:b/>
                <w:sz w:val="20"/>
                <w:szCs w:val="20"/>
              </w:rPr>
              <w:t xml:space="preserve"> Anderson </w:t>
            </w:r>
            <w:r>
              <w:rPr>
                <w:b/>
                <w:sz w:val="20"/>
                <w:szCs w:val="20"/>
              </w:rPr>
              <w:t>c</w:t>
            </w:r>
            <w:r w:rsidRPr="0087010C">
              <w:rPr>
                <w:b/>
                <w:sz w:val="20"/>
                <w:szCs w:val="20"/>
              </w:rPr>
              <w:t>. Sa Majesté la Reine</w:t>
            </w:r>
          </w:p>
          <w:p w:rsidR="00F7565E" w:rsidRPr="0087010C" w:rsidRDefault="00F7565E" w:rsidP="00211A38">
            <w:pPr>
              <w:jc w:val="both"/>
              <w:rPr>
                <w:sz w:val="20"/>
                <w:lang w:val="fr-CA"/>
              </w:rPr>
            </w:pPr>
            <w:r w:rsidRPr="0087010C">
              <w:rPr>
                <w:sz w:val="20"/>
                <w:lang w:val="fr-CA"/>
              </w:rPr>
              <w:t>(</w:t>
            </w:r>
            <w:proofErr w:type="spellStart"/>
            <w:r w:rsidRPr="0087010C">
              <w:rPr>
                <w:sz w:val="20"/>
                <w:lang w:val="fr-CA"/>
              </w:rPr>
              <w:t>Alb</w:t>
            </w:r>
            <w:proofErr w:type="spellEnd"/>
            <w:r w:rsidRPr="0087010C">
              <w:rPr>
                <w:sz w:val="20"/>
                <w:lang w:val="fr-CA"/>
              </w:rPr>
              <w:t>.) (Criminelle) (Autorisation)</w:t>
            </w:r>
          </w:p>
        </w:tc>
      </w:tr>
      <w:tr w:rsidR="009B1A2E" w:rsidRPr="003A218E" w:rsidTr="009B1A2E">
        <w:tc>
          <w:tcPr>
            <w:tcW w:w="5000" w:type="pct"/>
            <w:gridSpan w:val="4"/>
          </w:tcPr>
          <w:p w:rsidR="009B1A2E" w:rsidRPr="00647612" w:rsidRDefault="009B1A2E" w:rsidP="009B1A2E">
            <w:pPr>
              <w:jc w:val="both"/>
              <w:rPr>
                <w:sz w:val="20"/>
                <w:lang w:val="fr-CA"/>
              </w:rPr>
            </w:pPr>
            <w:r w:rsidRPr="00647612">
              <w:rPr>
                <w:sz w:val="20"/>
                <w:lang w:val="fr-CA"/>
              </w:rPr>
              <w:t>La demande d’autorisation d’appel de l’arrêt de la Cour d’appel de l’Alberta (Edmonton), numéro 1703-0281-A, 2018 ABCA 412, daté du 4 décembre 2018, est rejetée.</w:t>
            </w:r>
          </w:p>
          <w:p w:rsidR="009B1A2E" w:rsidRPr="0087010C" w:rsidRDefault="009B1A2E" w:rsidP="00211A38">
            <w:pPr>
              <w:pStyle w:val="SCCLsocParty"/>
              <w:jc w:val="both"/>
              <w:rPr>
                <w:b/>
                <w:sz w:val="20"/>
                <w:szCs w:val="20"/>
              </w:rPr>
            </w:pPr>
          </w:p>
        </w:tc>
      </w:tr>
      <w:tr w:rsidR="00F7565E" w:rsidRPr="003A218E" w:rsidTr="00211A38">
        <w:tc>
          <w:tcPr>
            <w:tcW w:w="5000" w:type="pct"/>
            <w:gridSpan w:val="4"/>
          </w:tcPr>
          <w:p w:rsidR="00F7565E" w:rsidRPr="0087010C" w:rsidRDefault="00F7565E" w:rsidP="00211A38">
            <w:pPr>
              <w:autoSpaceDE w:val="0"/>
              <w:autoSpaceDN w:val="0"/>
              <w:adjustRightInd w:val="0"/>
              <w:jc w:val="both"/>
              <w:rPr>
                <w:sz w:val="20"/>
                <w:lang w:val="fr-CA"/>
              </w:rPr>
            </w:pPr>
            <w:r w:rsidRPr="0087010C">
              <w:rPr>
                <w:sz w:val="20"/>
                <w:lang w:val="fr-CA"/>
              </w:rPr>
              <w:t>Tribunaux — Juges — Impartialité — Une crainte raisonnable de partialité a</w:t>
            </w:r>
            <w:r w:rsidRPr="0087010C">
              <w:rPr>
                <w:sz w:val="20"/>
                <w:lang w:val="fr-CA"/>
              </w:rPr>
              <w:noBreakHyphen/>
              <w:t>t</w:t>
            </w:r>
            <w:r w:rsidRPr="0087010C">
              <w:rPr>
                <w:sz w:val="20"/>
                <w:lang w:val="fr-CA"/>
              </w:rPr>
              <w:noBreakHyphen/>
              <w:t>elle été établie? — Dans quelles circonstances la connaissance extérieure du juge du procès d’une affaire ou de l’accusé soulève</w:t>
            </w:r>
            <w:r w:rsidRPr="0087010C">
              <w:rPr>
                <w:sz w:val="20"/>
                <w:lang w:val="fr-CA"/>
              </w:rPr>
              <w:noBreakHyphen/>
              <w:t>t</w:t>
            </w:r>
            <w:r w:rsidRPr="0087010C">
              <w:rPr>
                <w:sz w:val="20"/>
                <w:lang w:val="fr-CA"/>
              </w:rPr>
              <w:noBreakHyphen/>
              <w:t>elle une crainte raisonnable de partialité?</w:t>
            </w:r>
          </w:p>
          <w:p w:rsidR="00F7565E" w:rsidRPr="0087010C" w:rsidRDefault="00F7565E" w:rsidP="00211A38">
            <w:pPr>
              <w:jc w:val="both"/>
              <w:rPr>
                <w:sz w:val="20"/>
                <w:lang w:val="fr-CA"/>
              </w:rPr>
            </w:pPr>
          </w:p>
        </w:tc>
      </w:tr>
      <w:tr w:rsidR="00F7565E" w:rsidRPr="0087010C" w:rsidTr="00211A38">
        <w:tc>
          <w:tcPr>
            <w:tcW w:w="5000" w:type="pct"/>
            <w:gridSpan w:val="4"/>
          </w:tcPr>
          <w:p w:rsidR="00F7565E" w:rsidRPr="0087010C" w:rsidRDefault="00F7565E" w:rsidP="00211A38">
            <w:pPr>
              <w:jc w:val="both"/>
              <w:rPr>
                <w:sz w:val="20"/>
                <w:lang w:val="fr-CA"/>
              </w:rPr>
            </w:pPr>
            <w:r w:rsidRPr="0087010C">
              <w:rPr>
                <w:sz w:val="20"/>
                <w:lang w:val="fr-CA"/>
              </w:rPr>
              <w:t xml:space="preserve">Le demandeur a été accusé relativement à deux incidents de fusillade non liés. Le demandeur a été accusé d’avoir déchargé avec insouciance une arme à feu et de possession d’une arme à feu à autorisation restreinte. Afin de protéger le droit du demandeur à une défense pleine et entière, deux juges se sont rendus en la ville de </w:t>
            </w:r>
            <w:proofErr w:type="spellStart"/>
            <w:r w:rsidRPr="0087010C">
              <w:rPr>
                <w:sz w:val="20"/>
                <w:lang w:val="fr-CA"/>
              </w:rPr>
              <w:t>Peace</w:t>
            </w:r>
            <w:proofErr w:type="spellEnd"/>
            <w:r w:rsidRPr="0087010C">
              <w:rPr>
                <w:sz w:val="20"/>
                <w:lang w:val="fr-CA"/>
              </w:rPr>
              <w:t xml:space="preserve"> River. Le juge Campbell a accueilli le plaidoyer de culpabilité du demandeur relativement à l’accusation d’homicide involontaire coupable. Le juge </w:t>
            </w:r>
            <w:proofErr w:type="spellStart"/>
            <w:r w:rsidRPr="0087010C">
              <w:rPr>
                <w:sz w:val="20"/>
                <w:lang w:val="fr-CA"/>
              </w:rPr>
              <w:t>LoVecchio</w:t>
            </w:r>
            <w:proofErr w:type="spellEnd"/>
            <w:r w:rsidRPr="0087010C">
              <w:rPr>
                <w:sz w:val="20"/>
                <w:lang w:val="fr-CA"/>
              </w:rPr>
              <w:t xml:space="preserve"> était le juge du procès relativement aux accusations relatives aux armes à feu. Aucune preuve n’a été présentée à ce procès relativement à l’autre incident de fusillade ou au plaidoyer de culpabilité pour homicide involontaire coupable. Après que toute la preuve a été présentée et avant les plaidoiries, mais avant d’annoncer son jugement et d’avoir déclaré le demandeur coupable, le juge </w:t>
            </w:r>
            <w:proofErr w:type="spellStart"/>
            <w:r w:rsidRPr="0087010C">
              <w:rPr>
                <w:sz w:val="20"/>
                <w:lang w:val="fr-CA"/>
              </w:rPr>
              <w:t>LoVecchio</w:t>
            </w:r>
            <w:proofErr w:type="spellEnd"/>
            <w:r w:rsidRPr="0087010C">
              <w:rPr>
                <w:sz w:val="20"/>
                <w:lang w:val="fr-CA"/>
              </w:rPr>
              <w:t xml:space="preserve"> a invité les avocats dans son cabinet. Le juge </w:t>
            </w:r>
            <w:proofErr w:type="spellStart"/>
            <w:r w:rsidRPr="0087010C">
              <w:rPr>
                <w:sz w:val="20"/>
                <w:lang w:val="fr-CA"/>
              </w:rPr>
              <w:t>LoVecchio</w:t>
            </w:r>
            <w:proofErr w:type="spellEnd"/>
            <w:r w:rsidRPr="0087010C">
              <w:rPr>
                <w:sz w:val="20"/>
                <w:lang w:val="fr-CA"/>
              </w:rPr>
              <w:t xml:space="preserve"> a informé les avocats qu’il était au courant du plaidoyer de culpabilité pour homicide involontaire coupable et a suggéré aux avocats la tenue d’une audience conjointe de détermination de la peine relativement aux deux accusations. Le demandeur a présenté une demande d’annulation du procès. Le demandeur a plaidé que les commentaires officieux du juge </w:t>
            </w:r>
            <w:proofErr w:type="spellStart"/>
            <w:r w:rsidRPr="0087010C">
              <w:rPr>
                <w:sz w:val="20"/>
                <w:lang w:val="fr-CA"/>
              </w:rPr>
              <w:t>LoVecchio</w:t>
            </w:r>
            <w:proofErr w:type="spellEnd"/>
            <w:r w:rsidRPr="0087010C">
              <w:rPr>
                <w:sz w:val="20"/>
                <w:lang w:val="fr-CA"/>
              </w:rPr>
              <w:t xml:space="preserve"> avant le prononcé du verdict avaient suscité une crainte raisonnable de partialité justifiant la nullité du procès. Le juge </w:t>
            </w:r>
            <w:proofErr w:type="spellStart"/>
            <w:r w:rsidRPr="0087010C">
              <w:rPr>
                <w:sz w:val="20"/>
                <w:lang w:val="fr-CA"/>
              </w:rPr>
              <w:t>LoVecchio</w:t>
            </w:r>
            <w:proofErr w:type="spellEnd"/>
            <w:r w:rsidRPr="0087010C">
              <w:rPr>
                <w:sz w:val="20"/>
                <w:lang w:val="fr-CA"/>
              </w:rPr>
              <w:t xml:space="preserve"> a rejeté la demande d’annulation du procès. Le demandeur a été déclaré coupable d’avoir déchargé avec insouciante une arme à feu et de possession d’une arme à feu prohibée ou à autorisation restreinte. La Cour d’appel a rejeté l’appel.</w:t>
            </w:r>
          </w:p>
        </w:tc>
      </w:tr>
      <w:tr w:rsidR="00F7565E" w:rsidRPr="0087010C" w:rsidTr="00211A38">
        <w:tc>
          <w:tcPr>
            <w:tcW w:w="5000" w:type="pct"/>
            <w:gridSpan w:val="4"/>
          </w:tcPr>
          <w:p w:rsidR="00F7565E" w:rsidRPr="0087010C" w:rsidRDefault="00F7565E" w:rsidP="00211A38">
            <w:pPr>
              <w:jc w:val="both"/>
              <w:rPr>
                <w:sz w:val="20"/>
                <w:lang w:val="fr-CA"/>
              </w:rPr>
            </w:pPr>
          </w:p>
        </w:tc>
      </w:tr>
      <w:tr w:rsidR="00F7565E" w:rsidRPr="003A218E" w:rsidTr="00211A38">
        <w:tc>
          <w:tcPr>
            <w:tcW w:w="2427" w:type="pct"/>
            <w:gridSpan w:val="2"/>
          </w:tcPr>
          <w:p w:rsidR="00F7565E" w:rsidRPr="0087010C" w:rsidRDefault="00F7565E" w:rsidP="00211A38">
            <w:pPr>
              <w:jc w:val="both"/>
              <w:rPr>
                <w:sz w:val="20"/>
                <w:lang w:val="fr-CA"/>
              </w:rPr>
            </w:pPr>
            <w:r w:rsidRPr="0087010C">
              <w:rPr>
                <w:sz w:val="20"/>
                <w:lang w:val="fr-CA"/>
              </w:rPr>
              <w:t>15 avril 2016</w:t>
            </w:r>
          </w:p>
          <w:p w:rsidR="00F7565E" w:rsidRPr="0087010C" w:rsidRDefault="00F7565E" w:rsidP="00211A38">
            <w:pPr>
              <w:jc w:val="both"/>
              <w:rPr>
                <w:sz w:val="20"/>
                <w:lang w:val="fr-CA"/>
              </w:rPr>
            </w:pPr>
            <w:r w:rsidRPr="0087010C">
              <w:rPr>
                <w:sz w:val="20"/>
                <w:lang w:val="fr-CA"/>
              </w:rPr>
              <w:t>Cour du Banc de la Reine de l’Alberta</w:t>
            </w:r>
          </w:p>
          <w:p w:rsidR="00F7565E" w:rsidRPr="0087010C" w:rsidRDefault="00F7565E" w:rsidP="00211A38">
            <w:pPr>
              <w:jc w:val="both"/>
              <w:rPr>
                <w:sz w:val="20"/>
                <w:lang w:val="fr-CA"/>
              </w:rPr>
            </w:pPr>
            <w:r w:rsidRPr="0087010C">
              <w:rPr>
                <w:sz w:val="20"/>
                <w:lang w:val="fr-CA"/>
              </w:rPr>
              <w:t xml:space="preserve">(Juge </w:t>
            </w:r>
            <w:proofErr w:type="spellStart"/>
            <w:r w:rsidRPr="0087010C">
              <w:rPr>
                <w:sz w:val="20"/>
                <w:lang w:val="fr-CA"/>
              </w:rPr>
              <w:t>LoVecchio</w:t>
            </w:r>
            <w:proofErr w:type="spellEnd"/>
            <w:r w:rsidRPr="0087010C">
              <w:rPr>
                <w:sz w:val="20"/>
                <w:lang w:val="fr-CA"/>
              </w:rPr>
              <w:t>)</w:t>
            </w:r>
          </w:p>
          <w:p w:rsidR="00F7565E" w:rsidRPr="0087010C" w:rsidRDefault="00F7565E" w:rsidP="00211A38">
            <w:pPr>
              <w:jc w:val="both"/>
              <w:rPr>
                <w:sz w:val="20"/>
                <w:lang w:val="fr-CA"/>
              </w:rPr>
            </w:pPr>
          </w:p>
        </w:tc>
        <w:tc>
          <w:tcPr>
            <w:tcW w:w="243" w:type="pct"/>
          </w:tcPr>
          <w:p w:rsidR="00F7565E" w:rsidRPr="0087010C" w:rsidRDefault="00F7565E" w:rsidP="00211A38">
            <w:pPr>
              <w:jc w:val="both"/>
              <w:rPr>
                <w:sz w:val="20"/>
                <w:lang w:val="fr-CA"/>
              </w:rPr>
            </w:pPr>
          </w:p>
        </w:tc>
        <w:tc>
          <w:tcPr>
            <w:tcW w:w="2330" w:type="pct"/>
          </w:tcPr>
          <w:p w:rsidR="00F7565E" w:rsidRPr="0087010C" w:rsidRDefault="00F7565E" w:rsidP="00211A38">
            <w:pPr>
              <w:jc w:val="both"/>
              <w:rPr>
                <w:sz w:val="20"/>
                <w:lang w:val="fr-CA"/>
              </w:rPr>
            </w:pPr>
            <w:r w:rsidRPr="0087010C">
              <w:rPr>
                <w:sz w:val="20"/>
                <w:lang w:val="fr-CA"/>
              </w:rPr>
              <w:t xml:space="preserve">Déclarations de culpabilité : avoir déchargé par insouciance une arme à feu, possession d’une arme à feu prohibée ou à autorisation restreinte </w:t>
            </w:r>
          </w:p>
        </w:tc>
      </w:tr>
      <w:tr w:rsidR="00F7565E" w:rsidRPr="0087010C" w:rsidTr="00211A38">
        <w:tc>
          <w:tcPr>
            <w:tcW w:w="2427" w:type="pct"/>
            <w:gridSpan w:val="2"/>
          </w:tcPr>
          <w:p w:rsidR="00F7565E" w:rsidRPr="0087010C" w:rsidRDefault="00F7565E" w:rsidP="00211A38">
            <w:pPr>
              <w:jc w:val="both"/>
              <w:rPr>
                <w:sz w:val="20"/>
                <w:lang w:val="fr-CA"/>
              </w:rPr>
            </w:pPr>
            <w:r w:rsidRPr="0087010C">
              <w:rPr>
                <w:sz w:val="20"/>
                <w:lang w:val="fr-CA"/>
              </w:rPr>
              <w:t>4 décembre 2018</w:t>
            </w:r>
          </w:p>
          <w:p w:rsidR="00F7565E" w:rsidRPr="0087010C" w:rsidRDefault="00F7565E" w:rsidP="00211A38">
            <w:pPr>
              <w:jc w:val="both"/>
              <w:rPr>
                <w:sz w:val="20"/>
                <w:lang w:val="fr-CA"/>
              </w:rPr>
            </w:pPr>
            <w:r w:rsidRPr="0087010C">
              <w:rPr>
                <w:sz w:val="20"/>
                <w:lang w:val="fr-CA"/>
              </w:rPr>
              <w:t>Cour d’appel de l’Alberta (Edmonton)</w:t>
            </w:r>
          </w:p>
          <w:p w:rsidR="00F7565E" w:rsidRPr="0087010C" w:rsidRDefault="00F7565E" w:rsidP="00211A38">
            <w:pPr>
              <w:jc w:val="both"/>
              <w:rPr>
                <w:sz w:val="20"/>
              </w:rPr>
            </w:pPr>
            <w:r w:rsidRPr="0087010C">
              <w:rPr>
                <w:sz w:val="20"/>
              </w:rPr>
              <w:t>(</w:t>
            </w:r>
            <w:proofErr w:type="spellStart"/>
            <w:r w:rsidRPr="0087010C">
              <w:rPr>
                <w:sz w:val="20"/>
              </w:rPr>
              <w:t>Juges</w:t>
            </w:r>
            <w:proofErr w:type="spellEnd"/>
            <w:r w:rsidRPr="0087010C">
              <w:rPr>
                <w:sz w:val="20"/>
              </w:rPr>
              <w:t xml:space="preserve"> </w:t>
            </w:r>
            <w:proofErr w:type="spellStart"/>
            <w:r w:rsidRPr="0087010C">
              <w:rPr>
                <w:sz w:val="20"/>
              </w:rPr>
              <w:t>Slatter</w:t>
            </w:r>
            <w:proofErr w:type="spellEnd"/>
            <w:r w:rsidRPr="0087010C">
              <w:rPr>
                <w:sz w:val="20"/>
              </w:rPr>
              <w:t xml:space="preserve">, </w:t>
            </w:r>
            <w:proofErr w:type="spellStart"/>
            <w:r w:rsidRPr="0087010C">
              <w:rPr>
                <w:sz w:val="20"/>
              </w:rPr>
              <w:t>Bielby</w:t>
            </w:r>
            <w:proofErr w:type="spellEnd"/>
            <w:r w:rsidRPr="0087010C">
              <w:rPr>
                <w:sz w:val="20"/>
              </w:rPr>
              <w:t xml:space="preserve"> et </w:t>
            </w:r>
            <w:proofErr w:type="spellStart"/>
            <w:r w:rsidRPr="0087010C">
              <w:rPr>
                <w:sz w:val="20"/>
              </w:rPr>
              <w:t>Wakeling</w:t>
            </w:r>
            <w:proofErr w:type="spellEnd"/>
            <w:r w:rsidRPr="0087010C">
              <w:rPr>
                <w:sz w:val="20"/>
              </w:rPr>
              <w:t>)</w:t>
            </w:r>
          </w:p>
          <w:p w:rsidR="00F7565E" w:rsidRPr="0087010C" w:rsidRDefault="003A218E" w:rsidP="00211A38">
            <w:pPr>
              <w:jc w:val="both"/>
              <w:rPr>
                <w:sz w:val="20"/>
              </w:rPr>
            </w:pPr>
            <w:hyperlink r:id="rId60" w:history="1">
              <w:r w:rsidR="00F7565E" w:rsidRPr="0087010C">
                <w:rPr>
                  <w:rStyle w:val="Hyperlink"/>
                  <w:sz w:val="20"/>
                </w:rPr>
                <w:t>2018 ABCA 412</w:t>
              </w:r>
            </w:hyperlink>
            <w:r w:rsidR="00F7565E" w:rsidRPr="0087010C">
              <w:rPr>
                <w:sz w:val="20"/>
              </w:rPr>
              <w:t>; 1703</w:t>
            </w:r>
            <w:r w:rsidR="00F7565E" w:rsidRPr="0087010C">
              <w:rPr>
                <w:sz w:val="20"/>
              </w:rPr>
              <w:noBreakHyphen/>
              <w:t>0281</w:t>
            </w:r>
            <w:r w:rsidR="00F7565E" w:rsidRPr="0087010C">
              <w:rPr>
                <w:sz w:val="20"/>
              </w:rPr>
              <w:noBreakHyphen/>
              <w:t>A</w:t>
            </w:r>
          </w:p>
          <w:p w:rsidR="00F7565E" w:rsidRPr="0087010C" w:rsidRDefault="00F7565E" w:rsidP="00211A38">
            <w:pPr>
              <w:jc w:val="both"/>
              <w:rPr>
                <w:sz w:val="20"/>
              </w:rPr>
            </w:pPr>
          </w:p>
        </w:tc>
        <w:tc>
          <w:tcPr>
            <w:tcW w:w="243" w:type="pct"/>
          </w:tcPr>
          <w:p w:rsidR="00F7565E" w:rsidRPr="0087010C" w:rsidRDefault="00F7565E" w:rsidP="00211A38">
            <w:pPr>
              <w:jc w:val="both"/>
              <w:rPr>
                <w:sz w:val="20"/>
              </w:rPr>
            </w:pPr>
          </w:p>
        </w:tc>
        <w:tc>
          <w:tcPr>
            <w:tcW w:w="2330" w:type="pct"/>
          </w:tcPr>
          <w:p w:rsidR="00F7565E" w:rsidRPr="0087010C" w:rsidRDefault="00F7565E" w:rsidP="00211A38">
            <w:pPr>
              <w:jc w:val="both"/>
              <w:rPr>
                <w:sz w:val="20"/>
                <w:lang w:val="fr-CA"/>
              </w:rPr>
            </w:pPr>
            <w:r w:rsidRPr="0087010C">
              <w:rPr>
                <w:sz w:val="20"/>
                <w:lang w:val="fr-CA"/>
              </w:rPr>
              <w:t>Rejet de l’appel</w:t>
            </w:r>
          </w:p>
          <w:p w:rsidR="00F7565E" w:rsidRPr="0087010C" w:rsidRDefault="00F7565E" w:rsidP="00211A38">
            <w:pPr>
              <w:jc w:val="both"/>
              <w:rPr>
                <w:sz w:val="20"/>
                <w:lang w:val="fr-CA"/>
              </w:rPr>
            </w:pPr>
          </w:p>
        </w:tc>
      </w:tr>
      <w:tr w:rsidR="00F7565E" w:rsidRPr="003A218E" w:rsidTr="00211A38">
        <w:tc>
          <w:tcPr>
            <w:tcW w:w="2427" w:type="pct"/>
            <w:gridSpan w:val="2"/>
          </w:tcPr>
          <w:p w:rsidR="00F7565E" w:rsidRPr="0087010C" w:rsidRDefault="00F7565E" w:rsidP="00211A38">
            <w:pPr>
              <w:jc w:val="both"/>
              <w:rPr>
                <w:sz w:val="20"/>
                <w:lang w:val="fr-CA"/>
              </w:rPr>
            </w:pPr>
            <w:r w:rsidRPr="0087010C">
              <w:rPr>
                <w:sz w:val="20"/>
                <w:lang w:val="fr-CA"/>
              </w:rPr>
              <w:t>1</w:t>
            </w:r>
            <w:r w:rsidRPr="0087010C">
              <w:rPr>
                <w:sz w:val="20"/>
                <w:vertAlign w:val="superscript"/>
                <w:lang w:val="fr-CA"/>
              </w:rPr>
              <w:t>er</w:t>
            </w:r>
            <w:r w:rsidRPr="0087010C">
              <w:rPr>
                <w:sz w:val="20"/>
                <w:lang w:val="fr-CA"/>
              </w:rPr>
              <w:t> février 2019</w:t>
            </w:r>
          </w:p>
          <w:p w:rsidR="00F7565E" w:rsidRPr="0087010C" w:rsidRDefault="00F7565E" w:rsidP="00211A38">
            <w:pPr>
              <w:jc w:val="both"/>
              <w:rPr>
                <w:sz w:val="20"/>
                <w:lang w:val="fr-CA"/>
              </w:rPr>
            </w:pPr>
            <w:r w:rsidRPr="0087010C">
              <w:rPr>
                <w:sz w:val="20"/>
                <w:lang w:val="fr-CA"/>
              </w:rPr>
              <w:t>Cour suprême du Canada</w:t>
            </w:r>
          </w:p>
        </w:tc>
        <w:tc>
          <w:tcPr>
            <w:tcW w:w="243" w:type="pct"/>
          </w:tcPr>
          <w:p w:rsidR="00F7565E" w:rsidRPr="0087010C" w:rsidRDefault="00F7565E" w:rsidP="00211A38">
            <w:pPr>
              <w:jc w:val="both"/>
              <w:rPr>
                <w:sz w:val="20"/>
                <w:lang w:val="fr-CA"/>
              </w:rPr>
            </w:pPr>
          </w:p>
        </w:tc>
        <w:tc>
          <w:tcPr>
            <w:tcW w:w="2330" w:type="pct"/>
          </w:tcPr>
          <w:p w:rsidR="00F7565E" w:rsidRPr="0087010C" w:rsidRDefault="00F7565E" w:rsidP="00211A38">
            <w:pPr>
              <w:jc w:val="both"/>
              <w:rPr>
                <w:sz w:val="20"/>
                <w:lang w:val="fr-CA"/>
              </w:rPr>
            </w:pPr>
            <w:r w:rsidRPr="0087010C">
              <w:rPr>
                <w:sz w:val="20"/>
                <w:lang w:val="fr-CA"/>
              </w:rPr>
              <w:t>Dépôt de la demande d’autorisation d’appel</w:t>
            </w:r>
          </w:p>
          <w:p w:rsidR="00F7565E" w:rsidRPr="0087010C" w:rsidRDefault="00F7565E" w:rsidP="00211A38">
            <w:pPr>
              <w:jc w:val="both"/>
              <w:rPr>
                <w:sz w:val="20"/>
                <w:lang w:val="fr-CA"/>
              </w:rPr>
            </w:pPr>
          </w:p>
        </w:tc>
      </w:tr>
    </w:tbl>
    <w:p w:rsidR="00F7565E" w:rsidRPr="0087010C" w:rsidRDefault="00F7565E" w:rsidP="00F7565E">
      <w:pPr>
        <w:jc w:val="both"/>
        <w:rPr>
          <w:sz w:val="20"/>
          <w:lang w:val="fr-CA"/>
        </w:rPr>
      </w:pPr>
    </w:p>
    <w:p w:rsidR="00F7565E" w:rsidRPr="0087010C" w:rsidRDefault="003A218E" w:rsidP="00F7565E">
      <w:pPr>
        <w:jc w:val="both"/>
        <w:rPr>
          <w:sz w:val="20"/>
          <w:lang w:val="fr-CA"/>
        </w:rPr>
      </w:pPr>
      <w:r>
        <w:rPr>
          <w:sz w:val="20"/>
        </w:rPr>
        <w:pict>
          <v:rect id="_x0000_i1051" style="width:2in;height:1pt" o:hrpct="0" o:hralign="center" o:hrstd="t" o:hrnoshade="t" o:hr="t" fillcolor="black [3213]" stroked="f"/>
        </w:pict>
      </w:r>
    </w:p>
    <w:p w:rsidR="00F7565E" w:rsidRPr="0087010C" w:rsidRDefault="00F7565E" w:rsidP="00F7565E">
      <w:pPr>
        <w:ind w:left="142" w:hanging="142"/>
        <w:jc w:val="both"/>
        <w:rPr>
          <w:sz w:val="20"/>
          <w:lang w:val="fr-CA"/>
        </w:rPr>
      </w:pPr>
    </w:p>
    <w:p w:rsidR="00F7565E" w:rsidRDefault="00F7565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565E" w:rsidRPr="0087010C" w:rsidTr="00211A38">
        <w:tc>
          <w:tcPr>
            <w:tcW w:w="543" w:type="pct"/>
          </w:tcPr>
          <w:p w:rsidR="00F7565E" w:rsidRPr="0087010C" w:rsidRDefault="00F7565E" w:rsidP="00211A38">
            <w:pPr>
              <w:jc w:val="both"/>
              <w:rPr>
                <w:sz w:val="20"/>
              </w:rPr>
            </w:pPr>
            <w:r w:rsidRPr="0087010C">
              <w:rPr>
                <w:rStyle w:val="SCCFileNumberChar"/>
                <w:sz w:val="20"/>
                <w:szCs w:val="20"/>
              </w:rPr>
              <w:lastRenderedPageBreak/>
              <w:t>38498</w:t>
            </w:r>
          </w:p>
        </w:tc>
        <w:tc>
          <w:tcPr>
            <w:tcW w:w="4457" w:type="pct"/>
            <w:gridSpan w:val="3"/>
          </w:tcPr>
          <w:p w:rsidR="00F7565E" w:rsidRPr="0087010C" w:rsidRDefault="00F7565E" w:rsidP="00211A38">
            <w:pPr>
              <w:pStyle w:val="SCCLsocParty"/>
              <w:jc w:val="both"/>
              <w:rPr>
                <w:b/>
                <w:sz w:val="20"/>
                <w:szCs w:val="20"/>
                <w:lang w:val="en-US"/>
              </w:rPr>
            </w:pPr>
            <w:proofErr w:type="spellStart"/>
            <w:r w:rsidRPr="0087010C">
              <w:rPr>
                <w:b/>
                <w:sz w:val="20"/>
                <w:szCs w:val="20"/>
                <w:lang w:val="en-US"/>
              </w:rPr>
              <w:t>Danelle</w:t>
            </w:r>
            <w:proofErr w:type="spellEnd"/>
            <w:r w:rsidRPr="0087010C">
              <w:rPr>
                <w:b/>
                <w:sz w:val="20"/>
                <w:szCs w:val="20"/>
                <w:lang w:val="en-US"/>
              </w:rPr>
              <w:t xml:space="preserve"> Michel v. Sean </w:t>
            </w:r>
            <w:proofErr w:type="spellStart"/>
            <w:r w:rsidRPr="0087010C">
              <w:rPr>
                <w:b/>
                <w:sz w:val="20"/>
                <w:szCs w:val="20"/>
                <w:lang w:val="en-US"/>
              </w:rPr>
              <w:t>Graydon</w:t>
            </w:r>
            <w:proofErr w:type="spellEnd"/>
          </w:p>
          <w:p w:rsidR="00F7565E" w:rsidRPr="0087010C" w:rsidRDefault="00F7565E" w:rsidP="00211A38">
            <w:pPr>
              <w:jc w:val="both"/>
              <w:rPr>
                <w:sz w:val="20"/>
              </w:rPr>
            </w:pPr>
            <w:r w:rsidRPr="0087010C">
              <w:rPr>
                <w:sz w:val="20"/>
              </w:rPr>
              <w:t>(B.C.) (Civil) (By Leave)</w:t>
            </w:r>
          </w:p>
        </w:tc>
      </w:tr>
      <w:tr w:rsidR="009B1A2E" w:rsidRPr="0087010C" w:rsidTr="009B1A2E">
        <w:tc>
          <w:tcPr>
            <w:tcW w:w="5000" w:type="pct"/>
            <w:gridSpan w:val="4"/>
          </w:tcPr>
          <w:p w:rsidR="009B1A2E" w:rsidRPr="00647612" w:rsidRDefault="009B1A2E" w:rsidP="009B1A2E">
            <w:pPr>
              <w:widowControl w:val="0"/>
              <w:jc w:val="both"/>
              <w:rPr>
                <w:sz w:val="20"/>
              </w:rPr>
            </w:pPr>
            <w:r w:rsidRPr="00647612">
              <w:rPr>
                <w:sz w:val="20"/>
              </w:rPr>
              <w:t>The application for leave to appeal from the judgment of the Court of Appeal for British Columbia (Vancouver), Number CA44543, 2018 BCCA 449, dated November 30, 2018, is granted with costs in the cause.</w:t>
            </w:r>
          </w:p>
          <w:p w:rsidR="009B1A2E" w:rsidRPr="009B1A2E" w:rsidRDefault="009B1A2E" w:rsidP="00211A38">
            <w:pPr>
              <w:pStyle w:val="SCCLsocParty"/>
              <w:jc w:val="both"/>
              <w:rPr>
                <w:b/>
                <w:sz w:val="20"/>
                <w:szCs w:val="20"/>
                <w:lang w:val="en-CA"/>
              </w:rPr>
            </w:pPr>
          </w:p>
        </w:tc>
      </w:tr>
      <w:tr w:rsidR="00F7565E" w:rsidRPr="0087010C" w:rsidTr="00211A38">
        <w:tc>
          <w:tcPr>
            <w:tcW w:w="5000" w:type="pct"/>
            <w:gridSpan w:val="4"/>
          </w:tcPr>
          <w:p w:rsidR="00F7565E" w:rsidRPr="0087010C" w:rsidRDefault="00F7565E" w:rsidP="00211A38">
            <w:pPr>
              <w:pStyle w:val="SCCBanSummary0"/>
              <w:rPr>
                <w:sz w:val="20"/>
                <w:szCs w:val="20"/>
              </w:rPr>
            </w:pPr>
            <w:r w:rsidRPr="0087010C">
              <w:rPr>
                <w:sz w:val="20"/>
                <w:szCs w:val="20"/>
              </w:rPr>
              <w:t>(Court file contains information that is not available for inspection by the public)</w:t>
            </w:r>
          </w:p>
          <w:p w:rsidR="00F7565E" w:rsidRPr="0087010C" w:rsidRDefault="00F7565E" w:rsidP="00211A38">
            <w:pPr>
              <w:jc w:val="both"/>
              <w:rPr>
                <w:sz w:val="20"/>
              </w:rPr>
            </w:pPr>
          </w:p>
          <w:p w:rsidR="00F7565E" w:rsidRPr="0087010C" w:rsidRDefault="00F7565E" w:rsidP="00211A38">
            <w:pPr>
              <w:jc w:val="both"/>
              <w:rPr>
                <w:sz w:val="20"/>
              </w:rPr>
            </w:pPr>
            <w:r w:rsidRPr="0087010C">
              <w:rPr>
                <w:sz w:val="20"/>
              </w:rPr>
              <w:t>Family law — Support — Child support — Retroactive support — Mother of child seeking retroactive variation of child support for child who was adult at time of application — Whether a court has jurisdiction to make a retroactive child support award where the application is made after child has ceased to be child of marriage.</w:t>
            </w:r>
          </w:p>
        </w:tc>
      </w:tr>
      <w:tr w:rsidR="00F7565E" w:rsidRPr="0087010C" w:rsidTr="00211A38">
        <w:tc>
          <w:tcPr>
            <w:tcW w:w="5000" w:type="pct"/>
            <w:gridSpan w:val="4"/>
          </w:tcPr>
          <w:p w:rsidR="00F7565E" w:rsidRPr="0087010C" w:rsidRDefault="00F7565E" w:rsidP="00211A38">
            <w:pPr>
              <w:jc w:val="both"/>
              <w:rPr>
                <w:sz w:val="20"/>
              </w:rPr>
            </w:pPr>
          </w:p>
        </w:tc>
      </w:tr>
      <w:tr w:rsidR="00F7565E" w:rsidRPr="0087010C" w:rsidTr="00211A38">
        <w:tc>
          <w:tcPr>
            <w:tcW w:w="5000" w:type="pct"/>
            <w:gridSpan w:val="4"/>
          </w:tcPr>
          <w:p w:rsidR="00F7565E" w:rsidRPr="0087010C" w:rsidRDefault="00F7565E" w:rsidP="00211A38">
            <w:pPr>
              <w:jc w:val="both"/>
              <w:rPr>
                <w:sz w:val="20"/>
              </w:rPr>
            </w:pPr>
            <w:r w:rsidRPr="0087010C">
              <w:rPr>
                <w:sz w:val="20"/>
              </w:rPr>
              <w:t>The applicant and respondent resided with one another as common law spouses from 1990 until 1994.  Their daughter, A.G., was born in1991. When the relationship ended, A.G. lived with Ms. Michel.   Child support was originally dealt with by way of a Provincial Court order that was subsequently subject to a consent variation order in March, 2001, whereby Mr. </w:t>
            </w:r>
            <w:proofErr w:type="spellStart"/>
            <w:r w:rsidRPr="0087010C">
              <w:rPr>
                <w:sz w:val="20"/>
              </w:rPr>
              <w:t>Graydon</w:t>
            </w:r>
            <w:proofErr w:type="spellEnd"/>
            <w:r w:rsidRPr="0087010C">
              <w:rPr>
                <w:sz w:val="20"/>
              </w:rPr>
              <w:t xml:space="preserve"> agreed to pay child support in the amount of $341 per month, based on his </w:t>
            </w:r>
            <w:r w:rsidRPr="0087010C">
              <w:rPr>
                <w:i/>
                <w:sz w:val="20"/>
              </w:rPr>
              <w:t>Federal Child Support Guidelines</w:t>
            </w:r>
            <w:r w:rsidRPr="0087010C">
              <w:rPr>
                <w:sz w:val="20"/>
              </w:rPr>
              <w:t>, SOR/97</w:t>
            </w:r>
            <w:r w:rsidRPr="0087010C">
              <w:rPr>
                <w:sz w:val="20"/>
              </w:rPr>
              <w:noBreakHyphen/>
              <w:t>175 income. Mr. </w:t>
            </w:r>
            <w:proofErr w:type="spellStart"/>
            <w:r w:rsidRPr="0087010C">
              <w:rPr>
                <w:sz w:val="20"/>
              </w:rPr>
              <w:t>Graydon</w:t>
            </w:r>
            <w:proofErr w:type="spellEnd"/>
            <w:r w:rsidRPr="0087010C">
              <w:rPr>
                <w:sz w:val="20"/>
              </w:rPr>
              <w:t xml:space="preserve"> refused Ms. Michel’s request at the time for an annual review of the child support amount and no review was conducted during the period that A.G. was a child. In 2012, Mr. </w:t>
            </w:r>
            <w:proofErr w:type="spellStart"/>
            <w:r w:rsidRPr="0087010C">
              <w:rPr>
                <w:sz w:val="20"/>
              </w:rPr>
              <w:t>Graydon</w:t>
            </w:r>
            <w:proofErr w:type="spellEnd"/>
            <w:r w:rsidRPr="0087010C">
              <w:rPr>
                <w:sz w:val="20"/>
              </w:rPr>
              <w:t xml:space="preserve"> obtained an order cancelling the child support on the ground that A.G. had reached the age of majority, had completed a certificate program and was working. In 2015, Ms. Michel applied for a retroactive increase of child support back to 2001 pursuant to s. 152 of the </w:t>
            </w:r>
            <w:r w:rsidRPr="0087010C">
              <w:rPr>
                <w:i/>
                <w:sz w:val="20"/>
              </w:rPr>
              <w:t>Family Law Act</w:t>
            </w:r>
            <w:r w:rsidRPr="0087010C">
              <w:rPr>
                <w:sz w:val="20"/>
              </w:rPr>
              <w:t xml:space="preserve">, S.B.C. 2011, </w:t>
            </w:r>
            <w:proofErr w:type="gramStart"/>
            <w:r w:rsidRPr="0087010C">
              <w:rPr>
                <w:sz w:val="20"/>
              </w:rPr>
              <w:t>c</w:t>
            </w:r>
            <w:proofErr w:type="gramEnd"/>
            <w:r w:rsidRPr="0087010C">
              <w:rPr>
                <w:sz w:val="20"/>
              </w:rPr>
              <w:t>. 25. Mr. </w:t>
            </w:r>
            <w:proofErr w:type="spellStart"/>
            <w:r w:rsidRPr="0087010C">
              <w:rPr>
                <w:sz w:val="20"/>
              </w:rPr>
              <w:t>Graydon</w:t>
            </w:r>
            <w:proofErr w:type="spellEnd"/>
            <w:r w:rsidRPr="0087010C">
              <w:rPr>
                <w:sz w:val="20"/>
              </w:rPr>
              <w:t xml:space="preserve"> contested the jurisdiction of the court to make such an order on the basis that A.G. was not a “child of the marriage”. At the time the application was heard in Provincial Court, A.G. was 24 years of age. The trial judge concluded that Mr. </w:t>
            </w:r>
            <w:proofErr w:type="spellStart"/>
            <w:r w:rsidRPr="0087010C">
              <w:rPr>
                <w:sz w:val="20"/>
              </w:rPr>
              <w:t>Graydon</w:t>
            </w:r>
            <w:proofErr w:type="spellEnd"/>
            <w:r w:rsidRPr="0087010C">
              <w:rPr>
                <w:sz w:val="20"/>
              </w:rPr>
              <w:t xml:space="preserve"> was obliged to pay $23,000 in retroactive child support. This decision was overturned on appeal. Ms. Michel’s appeal was dismissed.</w:t>
            </w:r>
          </w:p>
          <w:p w:rsidR="00F7565E" w:rsidRPr="0087010C" w:rsidRDefault="00F7565E" w:rsidP="00211A38">
            <w:pPr>
              <w:jc w:val="both"/>
              <w:rPr>
                <w:sz w:val="20"/>
              </w:rPr>
            </w:pPr>
          </w:p>
        </w:tc>
      </w:tr>
      <w:tr w:rsidR="00F7565E" w:rsidRPr="0087010C" w:rsidTr="00211A38">
        <w:tc>
          <w:tcPr>
            <w:tcW w:w="2427" w:type="pct"/>
            <w:gridSpan w:val="2"/>
          </w:tcPr>
          <w:p w:rsidR="00F7565E" w:rsidRPr="0087010C" w:rsidRDefault="00F7565E" w:rsidP="00211A38">
            <w:pPr>
              <w:jc w:val="both"/>
              <w:rPr>
                <w:sz w:val="20"/>
              </w:rPr>
            </w:pPr>
            <w:r w:rsidRPr="0087010C">
              <w:rPr>
                <w:sz w:val="20"/>
              </w:rPr>
              <w:t>September 26, 2016</w:t>
            </w:r>
          </w:p>
          <w:p w:rsidR="00F7565E" w:rsidRPr="0087010C" w:rsidRDefault="00F7565E" w:rsidP="00211A38">
            <w:pPr>
              <w:jc w:val="both"/>
              <w:rPr>
                <w:sz w:val="20"/>
              </w:rPr>
            </w:pPr>
            <w:r w:rsidRPr="0087010C">
              <w:rPr>
                <w:sz w:val="20"/>
              </w:rPr>
              <w:t>Provincial Court of British Columbia</w:t>
            </w:r>
          </w:p>
          <w:p w:rsidR="00F7565E" w:rsidRPr="0087010C" w:rsidRDefault="00F7565E" w:rsidP="00211A38">
            <w:pPr>
              <w:jc w:val="both"/>
              <w:rPr>
                <w:sz w:val="20"/>
              </w:rPr>
            </w:pPr>
            <w:r w:rsidRPr="0087010C">
              <w:rPr>
                <w:sz w:val="20"/>
              </w:rPr>
              <w:t>(Smith J.)</w:t>
            </w:r>
          </w:p>
          <w:p w:rsidR="00F7565E" w:rsidRPr="0087010C" w:rsidRDefault="00F7565E" w:rsidP="00211A38">
            <w:pPr>
              <w:jc w:val="both"/>
              <w:rPr>
                <w:sz w:val="20"/>
              </w:rPr>
            </w:pPr>
            <w:r w:rsidRPr="0087010C">
              <w:rPr>
                <w:sz w:val="20"/>
              </w:rPr>
              <w:t>Unreported</w:t>
            </w:r>
          </w:p>
          <w:p w:rsidR="00F7565E" w:rsidRPr="0087010C" w:rsidRDefault="00F7565E" w:rsidP="00211A38">
            <w:pPr>
              <w:jc w:val="both"/>
              <w:rPr>
                <w:sz w:val="20"/>
              </w:rPr>
            </w:pPr>
          </w:p>
        </w:tc>
        <w:tc>
          <w:tcPr>
            <w:tcW w:w="243" w:type="pct"/>
          </w:tcPr>
          <w:p w:rsidR="00F7565E" w:rsidRPr="0087010C" w:rsidRDefault="00F7565E" w:rsidP="00211A38">
            <w:pPr>
              <w:jc w:val="both"/>
              <w:rPr>
                <w:sz w:val="20"/>
              </w:rPr>
            </w:pPr>
          </w:p>
        </w:tc>
        <w:tc>
          <w:tcPr>
            <w:tcW w:w="2330" w:type="pct"/>
          </w:tcPr>
          <w:p w:rsidR="00F7565E" w:rsidRPr="0087010C" w:rsidRDefault="00F7565E" w:rsidP="00211A38">
            <w:pPr>
              <w:jc w:val="both"/>
              <w:rPr>
                <w:sz w:val="20"/>
              </w:rPr>
            </w:pPr>
            <w:r w:rsidRPr="0087010C">
              <w:rPr>
                <w:sz w:val="20"/>
              </w:rPr>
              <w:t>Order requiring respondent to pay retroactive child support of $23,000</w:t>
            </w:r>
          </w:p>
          <w:p w:rsidR="00F7565E" w:rsidRPr="0087010C" w:rsidRDefault="00F7565E" w:rsidP="00211A38">
            <w:pPr>
              <w:jc w:val="both"/>
              <w:rPr>
                <w:sz w:val="20"/>
              </w:rPr>
            </w:pPr>
          </w:p>
          <w:p w:rsidR="00F7565E" w:rsidRPr="0087010C" w:rsidRDefault="00F7565E" w:rsidP="00211A38">
            <w:pPr>
              <w:jc w:val="both"/>
              <w:rPr>
                <w:sz w:val="20"/>
              </w:rPr>
            </w:pPr>
          </w:p>
        </w:tc>
      </w:tr>
      <w:tr w:rsidR="00F7565E" w:rsidRPr="0087010C" w:rsidTr="00211A38">
        <w:tc>
          <w:tcPr>
            <w:tcW w:w="2427" w:type="pct"/>
            <w:gridSpan w:val="2"/>
          </w:tcPr>
          <w:p w:rsidR="00F7565E" w:rsidRPr="0087010C" w:rsidRDefault="00F7565E" w:rsidP="00211A38">
            <w:pPr>
              <w:jc w:val="both"/>
              <w:rPr>
                <w:sz w:val="20"/>
              </w:rPr>
            </w:pPr>
            <w:r w:rsidRPr="0087010C">
              <w:rPr>
                <w:sz w:val="20"/>
              </w:rPr>
              <w:t>May 30, 2017</w:t>
            </w:r>
          </w:p>
          <w:p w:rsidR="00F7565E" w:rsidRPr="0087010C" w:rsidRDefault="00F7565E" w:rsidP="00211A38">
            <w:pPr>
              <w:jc w:val="both"/>
              <w:rPr>
                <w:sz w:val="20"/>
              </w:rPr>
            </w:pPr>
            <w:r w:rsidRPr="0087010C">
              <w:rPr>
                <w:sz w:val="20"/>
              </w:rPr>
              <w:t>Supreme Court of British Columbia</w:t>
            </w:r>
          </w:p>
          <w:p w:rsidR="00F7565E" w:rsidRPr="0087010C" w:rsidRDefault="00F7565E" w:rsidP="00211A38">
            <w:pPr>
              <w:jc w:val="both"/>
              <w:rPr>
                <w:sz w:val="20"/>
              </w:rPr>
            </w:pPr>
            <w:r w:rsidRPr="0087010C">
              <w:rPr>
                <w:sz w:val="20"/>
              </w:rPr>
              <w:t>(Young J.)</w:t>
            </w:r>
          </w:p>
          <w:p w:rsidR="00F7565E" w:rsidRPr="0087010C" w:rsidRDefault="003A218E" w:rsidP="00211A38">
            <w:pPr>
              <w:jc w:val="both"/>
              <w:rPr>
                <w:sz w:val="20"/>
              </w:rPr>
            </w:pPr>
            <w:hyperlink r:id="rId61" w:history="1">
              <w:r w:rsidR="00F7565E" w:rsidRPr="0087010C">
                <w:rPr>
                  <w:rStyle w:val="Hyperlink"/>
                  <w:sz w:val="20"/>
                </w:rPr>
                <w:t>2017 BCSC 887</w:t>
              </w:r>
            </w:hyperlink>
          </w:p>
          <w:p w:rsidR="00F7565E" w:rsidRPr="0087010C" w:rsidRDefault="00F7565E" w:rsidP="00211A38">
            <w:pPr>
              <w:jc w:val="both"/>
              <w:rPr>
                <w:sz w:val="20"/>
              </w:rPr>
            </w:pPr>
          </w:p>
        </w:tc>
        <w:tc>
          <w:tcPr>
            <w:tcW w:w="243" w:type="pct"/>
          </w:tcPr>
          <w:p w:rsidR="00F7565E" w:rsidRPr="0087010C" w:rsidRDefault="00F7565E" w:rsidP="00211A38">
            <w:pPr>
              <w:jc w:val="both"/>
              <w:rPr>
                <w:sz w:val="20"/>
              </w:rPr>
            </w:pPr>
          </w:p>
        </w:tc>
        <w:tc>
          <w:tcPr>
            <w:tcW w:w="2330" w:type="pct"/>
          </w:tcPr>
          <w:p w:rsidR="00F7565E" w:rsidRPr="0087010C" w:rsidRDefault="00F7565E" w:rsidP="00211A38">
            <w:pPr>
              <w:jc w:val="both"/>
              <w:rPr>
                <w:sz w:val="20"/>
              </w:rPr>
            </w:pPr>
            <w:r w:rsidRPr="0087010C">
              <w:rPr>
                <w:sz w:val="20"/>
              </w:rPr>
              <w:t>Respondent’s appeal allowed; Order of trial judge set aside</w:t>
            </w:r>
          </w:p>
          <w:p w:rsidR="00F7565E" w:rsidRPr="0087010C" w:rsidRDefault="00F7565E" w:rsidP="00211A38">
            <w:pPr>
              <w:jc w:val="both"/>
              <w:rPr>
                <w:sz w:val="20"/>
              </w:rPr>
            </w:pPr>
          </w:p>
          <w:p w:rsidR="00F7565E" w:rsidRPr="0087010C" w:rsidRDefault="00F7565E" w:rsidP="00211A38">
            <w:pPr>
              <w:jc w:val="both"/>
              <w:rPr>
                <w:sz w:val="20"/>
              </w:rPr>
            </w:pPr>
          </w:p>
        </w:tc>
      </w:tr>
      <w:tr w:rsidR="00F7565E" w:rsidRPr="0087010C" w:rsidTr="00211A38">
        <w:tc>
          <w:tcPr>
            <w:tcW w:w="2427" w:type="pct"/>
            <w:gridSpan w:val="2"/>
          </w:tcPr>
          <w:p w:rsidR="00F7565E" w:rsidRPr="0087010C" w:rsidRDefault="00F7565E" w:rsidP="00211A38">
            <w:pPr>
              <w:jc w:val="both"/>
              <w:rPr>
                <w:sz w:val="20"/>
              </w:rPr>
            </w:pPr>
            <w:r w:rsidRPr="0087010C">
              <w:rPr>
                <w:sz w:val="20"/>
              </w:rPr>
              <w:t>November 30, 2018</w:t>
            </w:r>
          </w:p>
          <w:p w:rsidR="00F7565E" w:rsidRPr="0087010C" w:rsidRDefault="00F7565E" w:rsidP="00211A38">
            <w:pPr>
              <w:jc w:val="both"/>
              <w:rPr>
                <w:sz w:val="20"/>
              </w:rPr>
            </w:pPr>
            <w:r w:rsidRPr="0087010C">
              <w:rPr>
                <w:sz w:val="20"/>
              </w:rPr>
              <w:t xml:space="preserve">Court of Appeal for British Columbia </w:t>
            </w:r>
          </w:p>
          <w:p w:rsidR="00F7565E" w:rsidRPr="0087010C" w:rsidRDefault="00F7565E" w:rsidP="00211A38">
            <w:pPr>
              <w:jc w:val="both"/>
              <w:rPr>
                <w:sz w:val="20"/>
              </w:rPr>
            </w:pPr>
            <w:r w:rsidRPr="0087010C">
              <w:rPr>
                <w:sz w:val="20"/>
              </w:rPr>
              <w:t>(Vancouver)</w:t>
            </w:r>
          </w:p>
          <w:p w:rsidR="00F7565E" w:rsidRPr="0087010C" w:rsidRDefault="00F7565E" w:rsidP="00211A38">
            <w:pPr>
              <w:jc w:val="both"/>
              <w:rPr>
                <w:sz w:val="20"/>
              </w:rPr>
            </w:pPr>
            <w:r w:rsidRPr="0087010C">
              <w:rPr>
                <w:sz w:val="20"/>
              </w:rPr>
              <w:t>(</w:t>
            </w:r>
            <w:proofErr w:type="spellStart"/>
            <w:r w:rsidRPr="0087010C">
              <w:rPr>
                <w:sz w:val="20"/>
              </w:rPr>
              <w:t>Willcock</w:t>
            </w:r>
            <w:proofErr w:type="spellEnd"/>
            <w:r w:rsidRPr="0087010C">
              <w:rPr>
                <w:sz w:val="20"/>
              </w:rPr>
              <w:t>, Savage and Hunter JJ.A.)</w:t>
            </w:r>
          </w:p>
          <w:p w:rsidR="00F7565E" w:rsidRPr="0087010C" w:rsidRDefault="003A218E" w:rsidP="00211A38">
            <w:pPr>
              <w:jc w:val="both"/>
              <w:rPr>
                <w:sz w:val="20"/>
              </w:rPr>
            </w:pPr>
            <w:hyperlink r:id="rId62" w:history="1">
              <w:r w:rsidR="00F7565E" w:rsidRPr="0087010C">
                <w:rPr>
                  <w:rStyle w:val="Hyperlink"/>
                  <w:sz w:val="20"/>
                </w:rPr>
                <w:t>2018 BCCA 449</w:t>
              </w:r>
            </w:hyperlink>
            <w:r w:rsidR="00F7565E" w:rsidRPr="0087010C">
              <w:rPr>
                <w:sz w:val="20"/>
              </w:rPr>
              <w:t xml:space="preserve"> </w:t>
            </w:r>
          </w:p>
          <w:p w:rsidR="00F7565E" w:rsidRPr="0087010C" w:rsidRDefault="00F7565E" w:rsidP="00211A38">
            <w:pPr>
              <w:jc w:val="both"/>
              <w:rPr>
                <w:sz w:val="20"/>
              </w:rPr>
            </w:pPr>
          </w:p>
        </w:tc>
        <w:tc>
          <w:tcPr>
            <w:tcW w:w="243" w:type="pct"/>
          </w:tcPr>
          <w:p w:rsidR="00F7565E" w:rsidRPr="0087010C" w:rsidRDefault="00F7565E" w:rsidP="00211A38">
            <w:pPr>
              <w:jc w:val="both"/>
              <w:rPr>
                <w:sz w:val="20"/>
              </w:rPr>
            </w:pPr>
          </w:p>
        </w:tc>
        <w:tc>
          <w:tcPr>
            <w:tcW w:w="2330" w:type="pct"/>
          </w:tcPr>
          <w:p w:rsidR="00F7565E" w:rsidRPr="0087010C" w:rsidRDefault="00F7565E" w:rsidP="00211A38">
            <w:pPr>
              <w:jc w:val="both"/>
              <w:rPr>
                <w:sz w:val="20"/>
              </w:rPr>
            </w:pPr>
            <w:r w:rsidRPr="0087010C">
              <w:rPr>
                <w:sz w:val="20"/>
              </w:rPr>
              <w:t>Applicant’s appeal dismissed</w:t>
            </w:r>
          </w:p>
          <w:p w:rsidR="00F7565E" w:rsidRPr="0087010C" w:rsidRDefault="00F7565E" w:rsidP="00211A38">
            <w:pPr>
              <w:jc w:val="both"/>
              <w:rPr>
                <w:sz w:val="20"/>
              </w:rPr>
            </w:pPr>
          </w:p>
        </w:tc>
      </w:tr>
      <w:tr w:rsidR="00F7565E" w:rsidRPr="0087010C" w:rsidTr="00211A38">
        <w:tc>
          <w:tcPr>
            <w:tcW w:w="2427" w:type="pct"/>
            <w:gridSpan w:val="2"/>
          </w:tcPr>
          <w:p w:rsidR="00F7565E" w:rsidRPr="0087010C" w:rsidRDefault="00F7565E" w:rsidP="00211A38">
            <w:pPr>
              <w:jc w:val="both"/>
              <w:rPr>
                <w:sz w:val="20"/>
              </w:rPr>
            </w:pPr>
            <w:r w:rsidRPr="0087010C">
              <w:rPr>
                <w:sz w:val="20"/>
              </w:rPr>
              <w:t>January 25, 2019</w:t>
            </w:r>
          </w:p>
          <w:p w:rsidR="00F7565E" w:rsidRPr="0087010C" w:rsidRDefault="00F7565E" w:rsidP="00211A38">
            <w:pPr>
              <w:jc w:val="both"/>
              <w:rPr>
                <w:sz w:val="20"/>
              </w:rPr>
            </w:pPr>
            <w:r w:rsidRPr="0087010C">
              <w:rPr>
                <w:sz w:val="20"/>
              </w:rPr>
              <w:t>Supreme Court of Canada</w:t>
            </w:r>
          </w:p>
        </w:tc>
        <w:tc>
          <w:tcPr>
            <w:tcW w:w="243" w:type="pct"/>
          </w:tcPr>
          <w:p w:rsidR="00F7565E" w:rsidRPr="0087010C" w:rsidRDefault="00F7565E" w:rsidP="00211A38">
            <w:pPr>
              <w:jc w:val="both"/>
              <w:rPr>
                <w:sz w:val="20"/>
              </w:rPr>
            </w:pPr>
          </w:p>
        </w:tc>
        <w:tc>
          <w:tcPr>
            <w:tcW w:w="2330" w:type="pct"/>
          </w:tcPr>
          <w:p w:rsidR="00F7565E" w:rsidRPr="0087010C" w:rsidRDefault="00F7565E" w:rsidP="00211A38">
            <w:pPr>
              <w:jc w:val="both"/>
              <w:rPr>
                <w:sz w:val="20"/>
              </w:rPr>
            </w:pPr>
            <w:r w:rsidRPr="0087010C">
              <w:rPr>
                <w:sz w:val="20"/>
              </w:rPr>
              <w:t>Application for leave to appeal filed</w:t>
            </w:r>
          </w:p>
          <w:p w:rsidR="00F7565E" w:rsidRPr="0087010C" w:rsidRDefault="00F7565E" w:rsidP="00211A38">
            <w:pPr>
              <w:jc w:val="both"/>
              <w:rPr>
                <w:sz w:val="20"/>
              </w:rPr>
            </w:pPr>
          </w:p>
        </w:tc>
      </w:tr>
    </w:tbl>
    <w:p w:rsidR="00F7565E" w:rsidRPr="0087010C" w:rsidRDefault="00F7565E" w:rsidP="00F7565E">
      <w:pPr>
        <w:jc w:val="both"/>
        <w:rPr>
          <w:sz w:val="20"/>
        </w:rPr>
      </w:pPr>
    </w:p>
    <w:p w:rsidR="00F7565E" w:rsidRPr="0087010C" w:rsidRDefault="00F7565E" w:rsidP="00F7565E">
      <w:pPr>
        <w:jc w:val="both"/>
        <w:rPr>
          <w:sz w:val="20"/>
        </w:rPr>
      </w:pPr>
    </w:p>
    <w:p w:rsidR="00F7565E" w:rsidRPr="0087010C" w:rsidRDefault="00F7565E" w:rsidP="00F7565E">
      <w:pPr>
        <w:jc w:val="both"/>
        <w:rPr>
          <w:sz w:val="20"/>
        </w:rPr>
      </w:pPr>
    </w:p>
    <w:p w:rsidR="00F7565E" w:rsidRDefault="00F7565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565E" w:rsidRPr="0087010C" w:rsidTr="00211A38">
        <w:tc>
          <w:tcPr>
            <w:tcW w:w="543" w:type="pct"/>
          </w:tcPr>
          <w:p w:rsidR="00F7565E" w:rsidRPr="0087010C" w:rsidRDefault="00F7565E" w:rsidP="00211A38">
            <w:pPr>
              <w:jc w:val="both"/>
              <w:rPr>
                <w:sz w:val="20"/>
                <w:lang w:val="fr-CA"/>
              </w:rPr>
            </w:pPr>
            <w:r w:rsidRPr="0087010C">
              <w:rPr>
                <w:rStyle w:val="SCCFileNumberChar"/>
                <w:sz w:val="20"/>
                <w:szCs w:val="20"/>
                <w:lang w:val="fr-CA"/>
              </w:rPr>
              <w:lastRenderedPageBreak/>
              <w:t>38498</w:t>
            </w:r>
          </w:p>
        </w:tc>
        <w:tc>
          <w:tcPr>
            <w:tcW w:w="4457" w:type="pct"/>
            <w:gridSpan w:val="3"/>
          </w:tcPr>
          <w:p w:rsidR="00F7565E" w:rsidRPr="0087010C" w:rsidRDefault="00F7565E" w:rsidP="00211A38">
            <w:pPr>
              <w:pStyle w:val="SCCLsocParty"/>
              <w:jc w:val="both"/>
              <w:rPr>
                <w:b/>
                <w:sz w:val="20"/>
                <w:szCs w:val="20"/>
              </w:rPr>
            </w:pPr>
            <w:proofErr w:type="spellStart"/>
            <w:r w:rsidRPr="0087010C">
              <w:rPr>
                <w:b/>
                <w:sz w:val="20"/>
                <w:szCs w:val="20"/>
              </w:rPr>
              <w:t>Danelle</w:t>
            </w:r>
            <w:proofErr w:type="spellEnd"/>
            <w:r w:rsidRPr="0087010C">
              <w:rPr>
                <w:b/>
                <w:sz w:val="20"/>
                <w:szCs w:val="20"/>
              </w:rPr>
              <w:t xml:space="preserve"> Michel c. Sean </w:t>
            </w:r>
            <w:proofErr w:type="spellStart"/>
            <w:r w:rsidRPr="0087010C">
              <w:rPr>
                <w:b/>
                <w:sz w:val="20"/>
                <w:szCs w:val="20"/>
              </w:rPr>
              <w:t>Graydon</w:t>
            </w:r>
            <w:proofErr w:type="spellEnd"/>
          </w:p>
          <w:p w:rsidR="00F7565E" w:rsidRPr="0087010C" w:rsidRDefault="00F7565E" w:rsidP="00211A38">
            <w:pPr>
              <w:jc w:val="both"/>
              <w:rPr>
                <w:sz w:val="20"/>
                <w:lang w:val="fr-CA"/>
              </w:rPr>
            </w:pPr>
            <w:r w:rsidRPr="0087010C">
              <w:rPr>
                <w:sz w:val="20"/>
                <w:lang w:val="fr-CA"/>
              </w:rPr>
              <w:t>(C.</w:t>
            </w:r>
            <w:r w:rsidRPr="0087010C">
              <w:rPr>
                <w:sz w:val="20"/>
                <w:lang w:val="fr-CA"/>
              </w:rPr>
              <w:noBreakHyphen/>
              <w:t>B.) (Civile) (Autorisation)</w:t>
            </w:r>
          </w:p>
        </w:tc>
      </w:tr>
      <w:tr w:rsidR="009B1A2E" w:rsidRPr="003A218E" w:rsidTr="009B1A2E">
        <w:tc>
          <w:tcPr>
            <w:tcW w:w="5000" w:type="pct"/>
            <w:gridSpan w:val="4"/>
          </w:tcPr>
          <w:p w:rsidR="009B1A2E" w:rsidRPr="00647612" w:rsidRDefault="009B1A2E" w:rsidP="009B1A2E">
            <w:pPr>
              <w:widowControl w:val="0"/>
              <w:jc w:val="both"/>
              <w:rPr>
                <w:sz w:val="20"/>
                <w:lang w:val="fr-CA"/>
              </w:rPr>
            </w:pPr>
            <w:r w:rsidRPr="00647612">
              <w:rPr>
                <w:sz w:val="20"/>
                <w:lang w:val="fr-CA"/>
              </w:rPr>
              <w:t>La demande d’autorisation d’appel de l’arrêt de la Cour d’appel de la Colombie-Britannique (Vancouver), numéro CA44543, 2018 BCCA 449, daté du 30 novembre 2018, est accueillie avec dépens suivant l’issue de la cause.</w:t>
            </w:r>
          </w:p>
          <w:p w:rsidR="009B1A2E" w:rsidRPr="0087010C" w:rsidRDefault="009B1A2E" w:rsidP="00211A38">
            <w:pPr>
              <w:pStyle w:val="SCCLsocParty"/>
              <w:jc w:val="both"/>
              <w:rPr>
                <w:b/>
                <w:sz w:val="20"/>
                <w:szCs w:val="20"/>
              </w:rPr>
            </w:pPr>
          </w:p>
        </w:tc>
      </w:tr>
      <w:tr w:rsidR="00F7565E" w:rsidRPr="003A218E" w:rsidTr="00211A38">
        <w:tc>
          <w:tcPr>
            <w:tcW w:w="5000" w:type="pct"/>
            <w:gridSpan w:val="4"/>
          </w:tcPr>
          <w:p w:rsidR="00F7565E" w:rsidRPr="0087010C" w:rsidRDefault="00F7565E" w:rsidP="00211A38">
            <w:pPr>
              <w:pStyle w:val="SCCBanSummary0"/>
              <w:rPr>
                <w:sz w:val="20"/>
                <w:szCs w:val="20"/>
                <w:lang w:val="fr-CA"/>
              </w:rPr>
            </w:pPr>
            <w:r w:rsidRPr="0087010C">
              <w:rPr>
                <w:sz w:val="20"/>
                <w:szCs w:val="20"/>
                <w:lang w:val="fr-CA"/>
              </w:rPr>
              <w:t>(Le dossier de la Cour renferme des données que le public n’est pas autorisé à consulter)</w:t>
            </w:r>
          </w:p>
          <w:p w:rsidR="00F7565E" w:rsidRPr="0087010C" w:rsidRDefault="00F7565E" w:rsidP="00211A38">
            <w:pPr>
              <w:jc w:val="both"/>
              <w:rPr>
                <w:sz w:val="20"/>
                <w:lang w:val="fr-CA"/>
              </w:rPr>
            </w:pPr>
          </w:p>
          <w:p w:rsidR="00F7565E" w:rsidRPr="0087010C" w:rsidRDefault="00F7565E" w:rsidP="00211A38">
            <w:pPr>
              <w:jc w:val="both"/>
              <w:rPr>
                <w:sz w:val="20"/>
                <w:lang w:val="fr-CA"/>
              </w:rPr>
            </w:pPr>
            <w:r w:rsidRPr="0087010C">
              <w:rPr>
                <w:sz w:val="20"/>
                <w:lang w:val="fr-CA"/>
              </w:rPr>
              <w:t xml:space="preserve">Droit de la famille — Aliments — Pension alimentaire pour enfants — Pension alimentaire rétroactive — La mère demande la modification rétroactive de la pension alimentaire pour une enfant qui était adulte au moment de la demande — Un tribunal </w:t>
            </w:r>
            <w:proofErr w:type="spellStart"/>
            <w:r w:rsidRPr="0087010C">
              <w:rPr>
                <w:sz w:val="20"/>
                <w:lang w:val="fr-CA"/>
              </w:rPr>
              <w:t>a</w:t>
            </w:r>
            <w:r w:rsidRPr="0087010C">
              <w:rPr>
                <w:sz w:val="20"/>
                <w:lang w:val="fr-CA"/>
              </w:rPr>
              <w:noBreakHyphen/>
              <w:t>t</w:t>
            </w:r>
            <w:r w:rsidRPr="0087010C">
              <w:rPr>
                <w:sz w:val="20"/>
                <w:lang w:val="fr-CA"/>
              </w:rPr>
              <w:noBreakHyphen/>
              <w:t>il</w:t>
            </w:r>
            <w:proofErr w:type="spellEnd"/>
            <w:r w:rsidRPr="0087010C">
              <w:rPr>
                <w:sz w:val="20"/>
                <w:lang w:val="fr-CA"/>
              </w:rPr>
              <w:t xml:space="preserve"> compétence pour </w:t>
            </w:r>
            <w:r w:rsidRPr="0087010C">
              <w:rPr>
                <w:iCs/>
                <w:sz w:val="20"/>
                <w:lang w:val="fr-CA"/>
              </w:rPr>
              <w:t xml:space="preserve">rendre une ordonnance alimentaire rétroactive au profit d’une enfant </w:t>
            </w:r>
            <w:r w:rsidRPr="0087010C">
              <w:rPr>
                <w:sz w:val="20"/>
                <w:lang w:val="fr-CA"/>
              </w:rPr>
              <w:t>lorsque la demande est faite après que l’enfant a cessé d’être une enfant à charge?</w:t>
            </w:r>
          </w:p>
        </w:tc>
      </w:tr>
      <w:tr w:rsidR="00F7565E" w:rsidRPr="003A218E" w:rsidTr="00211A38">
        <w:tc>
          <w:tcPr>
            <w:tcW w:w="5000" w:type="pct"/>
            <w:gridSpan w:val="4"/>
          </w:tcPr>
          <w:p w:rsidR="00F7565E" w:rsidRPr="0087010C" w:rsidRDefault="00F7565E" w:rsidP="00211A38">
            <w:pPr>
              <w:jc w:val="both"/>
              <w:rPr>
                <w:sz w:val="20"/>
                <w:lang w:val="fr-CA"/>
              </w:rPr>
            </w:pPr>
          </w:p>
        </w:tc>
      </w:tr>
      <w:tr w:rsidR="00F7565E" w:rsidRPr="003A218E" w:rsidTr="00211A38">
        <w:tc>
          <w:tcPr>
            <w:tcW w:w="5000" w:type="pct"/>
            <w:gridSpan w:val="4"/>
          </w:tcPr>
          <w:p w:rsidR="00F7565E" w:rsidRPr="0087010C" w:rsidRDefault="00F7565E" w:rsidP="00211A38">
            <w:pPr>
              <w:jc w:val="both"/>
              <w:rPr>
                <w:sz w:val="20"/>
                <w:lang w:val="fr-CA"/>
              </w:rPr>
            </w:pPr>
            <w:r w:rsidRPr="0087010C">
              <w:rPr>
                <w:sz w:val="20"/>
                <w:lang w:val="fr-CA"/>
              </w:rPr>
              <w:t>La demanderesse et l’intimé ont cohabité en union libre de 1990 à 1994. Leur fille, A.G., est née en 1991. Lorsque la relation a pris fin, A.G. vivait avec Mme Michel. La pension alimentaire pour l’enfant a d’abord été traitée par voie d’ordonnance de la Cour provinciale, qui a fait l’objet d’une ordonnance de modification sur consentement en mars 2001, en vertu de laquelle M. </w:t>
            </w:r>
            <w:proofErr w:type="spellStart"/>
            <w:r w:rsidRPr="0087010C">
              <w:rPr>
                <w:sz w:val="20"/>
                <w:lang w:val="fr-CA"/>
              </w:rPr>
              <w:t>Graydon</w:t>
            </w:r>
            <w:proofErr w:type="spellEnd"/>
            <w:r w:rsidRPr="0087010C">
              <w:rPr>
                <w:sz w:val="20"/>
                <w:lang w:val="fr-CA"/>
              </w:rPr>
              <w:t xml:space="preserve"> a accepté de verser une pension alimentaire de 341 $ par mois, en fonction de son revenu suivant les  </w:t>
            </w:r>
            <w:r w:rsidRPr="0087010C">
              <w:rPr>
                <w:i/>
                <w:sz w:val="20"/>
                <w:lang w:val="fr-CA"/>
              </w:rPr>
              <w:t>Lignes directrices fédérales sur les pensions alimentaires pour enfants</w:t>
            </w:r>
            <w:r w:rsidRPr="0087010C">
              <w:rPr>
                <w:sz w:val="20"/>
                <w:lang w:val="fr-CA"/>
              </w:rPr>
              <w:t>, DORS/97</w:t>
            </w:r>
            <w:r w:rsidRPr="0087010C">
              <w:rPr>
                <w:sz w:val="20"/>
                <w:lang w:val="fr-CA"/>
              </w:rPr>
              <w:noBreakHyphen/>
              <w:t>175. Monsieur </w:t>
            </w:r>
            <w:proofErr w:type="spellStart"/>
            <w:r w:rsidRPr="0087010C">
              <w:rPr>
                <w:sz w:val="20"/>
                <w:lang w:val="fr-CA"/>
              </w:rPr>
              <w:t>Graydon</w:t>
            </w:r>
            <w:proofErr w:type="spellEnd"/>
            <w:r w:rsidRPr="0087010C">
              <w:rPr>
                <w:sz w:val="20"/>
                <w:lang w:val="fr-CA"/>
              </w:rPr>
              <w:t xml:space="preserve"> a rejeté la demande que Mme Michel avait faite à l’époque pour une révision annuelle du montant de la pension alimentaire pour l’enfant et aucune révision n’a été faite pendant la période où A.G. était une enfant. En 2012, M. </w:t>
            </w:r>
            <w:proofErr w:type="spellStart"/>
            <w:r w:rsidRPr="0087010C">
              <w:rPr>
                <w:sz w:val="20"/>
                <w:lang w:val="fr-CA"/>
              </w:rPr>
              <w:t>Graydon</w:t>
            </w:r>
            <w:proofErr w:type="spellEnd"/>
            <w:r w:rsidRPr="0087010C">
              <w:rPr>
                <w:sz w:val="20"/>
                <w:lang w:val="fr-CA"/>
              </w:rPr>
              <w:t xml:space="preserve"> a obtenu une ordonnance annulant la pension alimentaire pour l’enfant au motif qu’A.G. avait atteint l’âge de la majorité, qu’elle avait réussi un programme menant à un certificat et qu’elle travaillait. En 2015, Mme Michel a demandé une augmentation rétroactive de la pension alimentaire pour l’enfant, remontant à 2001, en vertu de l’art. 152 de la </w:t>
            </w:r>
            <w:proofErr w:type="spellStart"/>
            <w:r w:rsidRPr="0087010C">
              <w:rPr>
                <w:i/>
                <w:sz w:val="20"/>
                <w:lang w:val="fr-CA"/>
              </w:rPr>
              <w:t>Family</w:t>
            </w:r>
            <w:proofErr w:type="spellEnd"/>
            <w:r w:rsidRPr="0087010C">
              <w:rPr>
                <w:i/>
                <w:sz w:val="20"/>
                <w:lang w:val="fr-CA"/>
              </w:rPr>
              <w:t xml:space="preserve"> Law </w:t>
            </w:r>
            <w:proofErr w:type="spellStart"/>
            <w:r w:rsidRPr="0087010C">
              <w:rPr>
                <w:i/>
                <w:sz w:val="20"/>
                <w:lang w:val="fr-CA"/>
              </w:rPr>
              <w:t>Act</w:t>
            </w:r>
            <w:proofErr w:type="spellEnd"/>
            <w:r w:rsidRPr="0087010C">
              <w:rPr>
                <w:sz w:val="20"/>
                <w:lang w:val="fr-CA"/>
              </w:rPr>
              <w:t>, S.B.C. 2011, ch. 25. Monsieur </w:t>
            </w:r>
            <w:proofErr w:type="spellStart"/>
            <w:r w:rsidRPr="0087010C">
              <w:rPr>
                <w:sz w:val="20"/>
                <w:lang w:val="fr-CA"/>
              </w:rPr>
              <w:t>Graydon</w:t>
            </w:r>
            <w:proofErr w:type="spellEnd"/>
            <w:r w:rsidRPr="0087010C">
              <w:rPr>
                <w:sz w:val="20"/>
                <w:lang w:val="fr-CA"/>
              </w:rPr>
              <w:t xml:space="preserve"> a contesté la compétence du tribunal pour rendre une telle ordonnance, plaidant qu’A.G. n’était pas une « enfant à charge ». Au moment où la demande a été instruite en Cour provinciale, A.G. était âgée de 24 ans. Le juge de première instance a conclu que M. </w:t>
            </w:r>
            <w:proofErr w:type="spellStart"/>
            <w:r w:rsidRPr="0087010C">
              <w:rPr>
                <w:sz w:val="20"/>
                <w:lang w:val="fr-CA"/>
              </w:rPr>
              <w:t>Graydon</w:t>
            </w:r>
            <w:proofErr w:type="spellEnd"/>
            <w:r w:rsidRPr="0087010C">
              <w:rPr>
                <w:sz w:val="20"/>
                <w:lang w:val="fr-CA"/>
              </w:rPr>
              <w:t xml:space="preserve"> était obligé de verser 23 000 $ à titre de pension alimentaire rétroactive pour l’enfant. Cette décision a été infirmée en appel. L’appel de Mme Michel a été rejeté.</w:t>
            </w:r>
          </w:p>
          <w:p w:rsidR="00F7565E" w:rsidRPr="0087010C" w:rsidRDefault="00F7565E" w:rsidP="00211A38">
            <w:pPr>
              <w:jc w:val="both"/>
              <w:rPr>
                <w:sz w:val="20"/>
                <w:lang w:val="fr-CA"/>
              </w:rPr>
            </w:pPr>
          </w:p>
        </w:tc>
      </w:tr>
      <w:tr w:rsidR="00F7565E" w:rsidRPr="003A218E" w:rsidTr="00211A38">
        <w:tc>
          <w:tcPr>
            <w:tcW w:w="2427" w:type="pct"/>
            <w:gridSpan w:val="2"/>
          </w:tcPr>
          <w:p w:rsidR="00F7565E" w:rsidRPr="0087010C" w:rsidRDefault="00F7565E" w:rsidP="00211A38">
            <w:pPr>
              <w:jc w:val="both"/>
              <w:rPr>
                <w:sz w:val="20"/>
                <w:lang w:val="fr-CA"/>
              </w:rPr>
            </w:pPr>
            <w:r w:rsidRPr="0087010C">
              <w:rPr>
                <w:sz w:val="20"/>
                <w:lang w:val="fr-CA"/>
              </w:rPr>
              <w:t>26 septembre 2016</w:t>
            </w:r>
          </w:p>
          <w:p w:rsidR="00F7565E" w:rsidRPr="0087010C" w:rsidRDefault="00F7565E" w:rsidP="00211A38">
            <w:pPr>
              <w:jc w:val="both"/>
              <w:rPr>
                <w:sz w:val="20"/>
                <w:lang w:val="fr-CA"/>
              </w:rPr>
            </w:pPr>
            <w:r w:rsidRPr="0087010C">
              <w:rPr>
                <w:sz w:val="20"/>
                <w:lang w:val="fr-CA"/>
              </w:rPr>
              <w:t>Cour provinciale de la Colombie</w:t>
            </w:r>
            <w:r w:rsidRPr="0087010C">
              <w:rPr>
                <w:sz w:val="20"/>
                <w:lang w:val="fr-CA"/>
              </w:rPr>
              <w:noBreakHyphen/>
              <w:t>Britannique</w:t>
            </w:r>
          </w:p>
          <w:p w:rsidR="00F7565E" w:rsidRPr="0087010C" w:rsidRDefault="00F7565E" w:rsidP="00211A38">
            <w:pPr>
              <w:jc w:val="both"/>
              <w:rPr>
                <w:sz w:val="20"/>
                <w:lang w:val="fr-CA"/>
              </w:rPr>
            </w:pPr>
            <w:r w:rsidRPr="0087010C">
              <w:rPr>
                <w:sz w:val="20"/>
                <w:lang w:val="fr-CA"/>
              </w:rPr>
              <w:t>(Juge Smith)</w:t>
            </w:r>
          </w:p>
          <w:p w:rsidR="00F7565E" w:rsidRPr="0087010C" w:rsidRDefault="00F7565E" w:rsidP="00211A38">
            <w:pPr>
              <w:jc w:val="both"/>
              <w:rPr>
                <w:sz w:val="20"/>
                <w:lang w:val="fr-CA"/>
              </w:rPr>
            </w:pPr>
            <w:r w:rsidRPr="0087010C">
              <w:rPr>
                <w:sz w:val="20"/>
                <w:lang w:val="fr-CA"/>
              </w:rPr>
              <w:t>Non publié</w:t>
            </w:r>
          </w:p>
          <w:p w:rsidR="00F7565E" w:rsidRPr="0087010C" w:rsidRDefault="00F7565E" w:rsidP="00211A38">
            <w:pPr>
              <w:jc w:val="both"/>
              <w:rPr>
                <w:sz w:val="20"/>
                <w:lang w:val="fr-CA"/>
              </w:rPr>
            </w:pPr>
          </w:p>
        </w:tc>
        <w:tc>
          <w:tcPr>
            <w:tcW w:w="243" w:type="pct"/>
          </w:tcPr>
          <w:p w:rsidR="00F7565E" w:rsidRPr="0087010C" w:rsidRDefault="00F7565E" w:rsidP="00211A38">
            <w:pPr>
              <w:jc w:val="both"/>
              <w:rPr>
                <w:sz w:val="20"/>
                <w:lang w:val="fr-CA"/>
              </w:rPr>
            </w:pPr>
          </w:p>
        </w:tc>
        <w:tc>
          <w:tcPr>
            <w:tcW w:w="2330" w:type="pct"/>
          </w:tcPr>
          <w:p w:rsidR="00F7565E" w:rsidRPr="0087010C" w:rsidRDefault="00F7565E" w:rsidP="00211A38">
            <w:pPr>
              <w:jc w:val="both"/>
              <w:rPr>
                <w:sz w:val="20"/>
                <w:lang w:val="fr-CA"/>
              </w:rPr>
            </w:pPr>
            <w:r w:rsidRPr="0087010C">
              <w:rPr>
                <w:sz w:val="20"/>
                <w:lang w:val="fr-CA"/>
              </w:rPr>
              <w:t>Ordonnance obligeant l’intimé à verser une pension alimentaire rétroactive pour enfant de 23 000 $</w:t>
            </w:r>
          </w:p>
          <w:p w:rsidR="00F7565E" w:rsidRPr="0087010C" w:rsidRDefault="00F7565E" w:rsidP="00211A38">
            <w:pPr>
              <w:jc w:val="both"/>
              <w:rPr>
                <w:sz w:val="20"/>
                <w:lang w:val="fr-CA"/>
              </w:rPr>
            </w:pPr>
          </w:p>
          <w:p w:rsidR="00F7565E" w:rsidRPr="0087010C" w:rsidRDefault="00F7565E" w:rsidP="00211A38">
            <w:pPr>
              <w:jc w:val="both"/>
              <w:rPr>
                <w:sz w:val="20"/>
                <w:lang w:val="fr-CA"/>
              </w:rPr>
            </w:pPr>
          </w:p>
        </w:tc>
      </w:tr>
      <w:tr w:rsidR="00F7565E" w:rsidRPr="003A218E" w:rsidTr="00211A38">
        <w:tc>
          <w:tcPr>
            <w:tcW w:w="2427" w:type="pct"/>
            <w:gridSpan w:val="2"/>
          </w:tcPr>
          <w:p w:rsidR="00F7565E" w:rsidRPr="0087010C" w:rsidRDefault="00F7565E" w:rsidP="00211A38">
            <w:pPr>
              <w:jc w:val="both"/>
              <w:rPr>
                <w:sz w:val="20"/>
                <w:lang w:val="fr-CA"/>
              </w:rPr>
            </w:pPr>
            <w:r w:rsidRPr="0087010C">
              <w:rPr>
                <w:sz w:val="20"/>
                <w:lang w:val="fr-CA"/>
              </w:rPr>
              <w:t>30 mai 2017</w:t>
            </w:r>
          </w:p>
          <w:p w:rsidR="00F7565E" w:rsidRPr="0087010C" w:rsidRDefault="00F7565E" w:rsidP="00211A38">
            <w:pPr>
              <w:jc w:val="both"/>
              <w:rPr>
                <w:sz w:val="20"/>
                <w:lang w:val="fr-CA"/>
              </w:rPr>
            </w:pPr>
            <w:r w:rsidRPr="0087010C">
              <w:rPr>
                <w:sz w:val="20"/>
                <w:lang w:val="fr-CA"/>
              </w:rPr>
              <w:t>Cour suprême de la Colombie</w:t>
            </w:r>
            <w:r w:rsidRPr="0087010C">
              <w:rPr>
                <w:sz w:val="20"/>
                <w:lang w:val="fr-CA"/>
              </w:rPr>
              <w:noBreakHyphen/>
              <w:t>Britannique</w:t>
            </w:r>
          </w:p>
          <w:p w:rsidR="00F7565E" w:rsidRPr="0087010C" w:rsidRDefault="00F7565E" w:rsidP="00211A38">
            <w:pPr>
              <w:jc w:val="both"/>
              <w:rPr>
                <w:sz w:val="20"/>
                <w:lang w:val="fr-CA"/>
              </w:rPr>
            </w:pPr>
            <w:r w:rsidRPr="0087010C">
              <w:rPr>
                <w:sz w:val="20"/>
                <w:lang w:val="fr-CA"/>
              </w:rPr>
              <w:t>(Juge Young)</w:t>
            </w:r>
          </w:p>
          <w:p w:rsidR="00F7565E" w:rsidRPr="0087010C" w:rsidRDefault="003A218E" w:rsidP="00211A38">
            <w:pPr>
              <w:jc w:val="both"/>
              <w:rPr>
                <w:sz w:val="20"/>
                <w:lang w:val="fr-CA"/>
              </w:rPr>
            </w:pPr>
            <w:hyperlink r:id="rId63" w:history="1">
              <w:r w:rsidR="00F7565E" w:rsidRPr="0087010C">
                <w:rPr>
                  <w:rStyle w:val="Hyperlink"/>
                  <w:sz w:val="20"/>
                  <w:lang w:val="fr-CA"/>
                </w:rPr>
                <w:t>2017 BCSC 887</w:t>
              </w:r>
            </w:hyperlink>
          </w:p>
          <w:p w:rsidR="00F7565E" w:rsidRPr="0087010C" w:rsidRDefault="00F7565E" w:rsidP="00211A38">
            <w:pPr>
              <w:jc w:val="both"/>
              <w:rPr>
                <w:sz w:val="20"/>
                <w:lang w:val="fr-CA"/>
              </w:rPr>
            </w:pPr>
          </w:p>
        </w:tc>
        <w:tc>
          <w:tcPr>
            <w:tcW w:w="243" w:type="pct"/>
          </w:tcPr>
          <w:p w:rsidR="00F7565E" w:rsidRPr="0087010C" w:rsidRDefault="00F7565E" w:rsidP="00211A38">
            <w:pPr>
              <w:jc w:val="both"/>
              <w:rPr>
                <w:sz w:val="20"/>
                <w:lang w:val="fr-CA"/>
              </w:rPr>
            </w:pPr>
          </w:p>
        </w:tc>
        <w:tc>
          <w:tcPr>
            <w:tcW w:w="2330" w:type="pct"/>
          </w:tcPr>
          <w:p w:rsidR="00F7565E" w:rsidRPr="0087010C" w:rsidRDefault="00F7565E" w:rsidP="00211A38">
            <w:pPr>
              <w:jc w:val="both"/>
              <w:rPr>
                <w:sz w:val="20"/>
                <w:lang w:val="fr-CA"/>
              </w:rPr>
            </w:pPr>
            <w:r w:rsidRPr="0087010C">
              <w:rPr>
                <w:sz w:val="20"/>
                <w:lang w:val="fr-CA"/>
              </w:rPr>
              <w:t>Jugement accueillant l’appel de l’intimé et annulant l’ordonnance du juge de première instance</w:t>
            </w:r>
          </w:p>
          <w:p w:rsidR="00F7565E" w:rsidRPr="0087010C" w:rsidRDefault="00F7565E" w:rsidP="00211A38">
            <w:pPr>
              <w:jc w:val="both"/>
              <w:rPr>
                <w:sz w:val="20"/>
                <w:lang w:val="fr-CA"/>
              </w:rPr>
            </w:pPr>
          </w:p>
          <w:p w:rsidR="00F7565E" w:rsidRPr="0087010C" w:rsidRDefault="00F7565E" w:rsidP="00211A38">
            <w:pPr>
              <w:jc w:val="both"/>
              <w:rPr>
                <w:sz w:val="20"/>
                <w:lang w:val="fr-CA"/>
              </w:rPr>
            </w:pPr>
          </w:p>
        </w:tc>
      </w:tr>
      <w:tr w:rsidR="00F7565E" w:rsidRPr="003A218E" w:rsidTr="00211A38">
        <w:tc>
          <w:tcPr>
            <w:tcW w:w="2427" w:type="pct"/>
            <w:gridSpan w:val="2"/>
          </w:tcPr>
          <w:p w:rsidR="00F7565E" w:rsidRPr="0087010C" w:rsidRDefault="00F7565E" w:rsidP="00211A38">
            <w:pPr>
              <w:jc w:val="both"/>
              <w:rPr>
                <w:sz w:val="20"/>
                <w:lang w:val="fr-CA"/>
              </w:rPr>
            </w:pPr>
            <w:r w:rsidRPr="0087010C">
              <w:rPr>
                <w:sz w:val="20"/>
                <w:lang w:val="fr-CA"/>
              </w:rPr>
              <w:t>30 novembre 2018</w:t>
            </w:r>
          </w:p>
          <w:p w:rsidR="00F7565E" w:rsidRPr="0087010C" w:rsidRDefault="00F7565E" w:rsidP="00211A38">
            <w:pPr>
              <w:jc w:val="both"/>
              <w:rPr>
                <w:sz w:val="20"/>
                <w:lang w:val="fr-CA"/>
              </w:rPr>
            </w:pPr>
            <w:r w:rsidRPr="0087010C">
              <w:rPr>
                <w:sz w:val="20"/>
                <w:lang w:val="fr-CA"/>
              </w:rPr>
              <w:t>Cour d’appel de la Colombie-Britannique</w:t>
            </w:r>
          </w:p>
          <w:p w:rsidR="00F7565E" w:rsidRPr="0087010C" w:rsidRDefault="00F7565E" w:rsidP="00211A38">
            <w:pPr>
              <w:jc w:val="both"/>
              <w:rPr>
                <w:sz w:val="20"/>
                <w:lang w:val="fr-CA"/>
              </w:rPr>
            </w:pPr>
            <w:r w:rsidRPr="0087010C">
              <w:rPr>
                <w:sz w:val="20"/>
                <w:lang w:val="fr-CA"/>
              </w:rPr>
              <w:t>(Vancouver)</w:t>
            </w:r>
          </w:p>
          <w:p w:rsidR="00F7565E" w:rsidRPr="0087010C" w:rsidRDefault="00F7565E" w:rsidP="00211A38">
            <w:pPr>
              <w:jc w:val="both"/>
              <w:rPr>
                <w:sz w:val="20"/>
                <w:lang w:val="fr-CA"/>
              </w:rPr>
            </w:pPr>
            <w:r w:rsidRPr="0087010C">
              <w:rPr>
                <w:sz w:val="20"/>
                <w:lang w:val="fr-CA"/>
              </w:rPr>
              <w:t xml:space="preserve">(Juges </w:t>
            </w:r>
            <w:proofErr w:type="spellStart"/>
            <w:r w:rsidRPr="0087010C">
              <w:rPr>
                <w:sz w:val="20"/>
                <w:lang w:val="fr-CA"/>
              </w:rPr>
              <w:t>Willcock</w:t>
            </w:r>
            <w:proofErr w:type="spellEnd"/>
            <w:r w:rsidRPr="0087010C">
              <w:rPr>
                <w:sz w:val="20"/>
                <w:lang w:val="fr-CA"/>
              </w:rPr>
              <w:t>, Savage et Hunter)</w:t>
            </w:r>
          </w:p>
          <w:p w:rsidR="00F7565E" w:rsidRPr="0087010C" w:rsidRDefault="003A218E" w:rsidP="00211A38">
            <w:pPr>
              <w:jc w:val="both"/>
              <w:rPr>
                <w:sz w:val="20"/>
                <w:lang w:val="fr-CA"/>
              </w:rPr>
            </w:pPr>
            <w:hyperlink r:id="rId64" w:history="1">
              <w:r w:rsidR="00F7565E" w:rsidRPr="0087010C">
                <w:rPr>
                  <w:rStyle w:val="Hyperlink"/>
                  <w:sz w:val="20"/>
                  <w:lang w:val="fr-CA"/>
                </w:rPr>
                <w:t>2018 BCCA 449</w:t>
              </w:r>
            </w:hyperlink>
            <w:r w:rsidR="00F7565E" w:rsidRPr="0087010C">
              <w:rPr>
                <w:sz w:val="20"/>
                <w:lang w:val="fr-CA"/>
              </w:rPr>
              <w:t xml:space="preserve"> </w:t>
            </w:r>
          </w:p>
          <w:p w:rsidR="00F7565E" w:rsidRPr="0087010C" w:rsidRDefault="00F7565E" w:rsidP="00211A38">
            <w:pPr>
              <w:jc w:val="both"/>
              <w:rPr>
                <w:sz w:val="20"/>
                <w:lang w:val="fr-CA"/>
              </w:rPr>
            </w:pPr>
          </w:p>
        </w:tc>
        <w:tc>
          <w:tcPr>
            <w:tcW w:w="243" w:type="pct"/>
          </w:tcPr>
          <w:p w:rsidR="00F7565E" w:rsidRPr="0087010C" w:rsidRDefault="00F7565E" w:rsidP="00211A38">
            <w:pPr>
              <w:jc w:val="both"/>
              <w:rPr>
                <w:sz w:val="20"/>
                <w:lang w:val="fr-CA"/>
              </w:rPr>
            </w:pPr>
          </w:p>
        </w:tc>
        <w:tc>
          <w:tcPr>
            <w:tcW w:w="2330" w:type="pct"/>
          </w:tcPr>
          <w:p w:rsidR="00F7565E" w:rsidRPr="0087010C" w:rsidRDefault="00F7565E" w:rsidP="00211A38">
            <w:pPr>
              <w:jc w:val="both"/>
              <w:rPr>
                <w:sz w:val="20"/>
                <w:lang w:val="fr-CA"/>
              </w:rPr>
            </w:pPr>
            <w:r w:rsidRPr="0087010C">
              <w:rPr>
                <w:sz w:val="20"/>
                <w:lang w:val="fr-CA"/>
              </w:rPr>
              <w:t>Rejet de l’appel de la demanderesse</w:t>
            </w:r>
          </w:p>
          <w:p w:rsidR="00F7565E" w:rsidRPr="0087010C" w:rsidRDefault="00F7565E" w:rsidP="00211A38">
            <w:pPr>
              <w:jc w:val="both"/>
              <w:rPr>
                <w:sz w:val="20"/>
                <w:lang w:val="fr-CA"/>
              </w:rPr>
            </w:pPr>
          </w:p>
        </w:tc>
      </w:tr>
      <w:tr w:rsidR="00F7565E" w:rsidRPr="003A218E" w:rsidTr="00211A38">
        <w:tc>
          <w:tcPr>
            <w:tcW w:w="2427" w:type="pct"/>
            <w:gridSpan w:val="2"/>
          </w:tcPr>
          <w:p w:rsidR="00F7565E" w:rsidRPr="0087010C" w:rsidRDefault="00F7565E" w:rsidP="00211A38">
            <w:pPr>
              <w:jc w:val="both"/>
              <w:rPr>
                <w:sz w:val="20"/>
                <w:lang w:val="fr-CA"/>
              </w:rPr>
            </w:pPr>
            <w:r w:rsidRPr="0087010C">
              <w:rPr>
                <w:sz w:val="20"/>
                <w:lang w:val="fr-CA"/>
              </w:rPr>
              <w:t>25 janvier 2019</w:t>
            </w:r>
          </w:p>
          <w:p w:rsidR="00F7565E" w:rsidRPr="0087010C" w:rsidRDefault="00F7565E" w:rsidP="00211A38">
            <w:pPr>
              <w:jc w:val="both"/>
              <w:rPr>
                <w:sz w:val="20"/>
                <w:lang w:val="fr-CA"/>
              </w:rPr>
            </w:pPr>
            <w:r w:rsidRPr="0087010C">
              <w:rPr>
                <w:sz w:val="20"/>
                <w:lang w:val="fr-CA"/>
              </w:rPr>
              <w:t>Cour suprême du Canada</w:t>
            </w:r>
          </w:p>
        </w:tc>
        <w:tc>
          <w:tcPr>
            <w:tcW w:w="243" w:type="pct"/>
          </w:tcPr>
          <w:p w:rsidR="00F7565E" w:rsidRPr="0087010C" w:rsidRDefault="00F7565E" w:rsidP="00211A38">
            <w:pPr>
              <w:jc w:val="both"/>
              <w:rPr>
                <w:sz w:val="20"/>
                <w:lang w:val="fr-CA"/>
              </w:rPr>
            </w:pPr>
          </w:p>
        </w:tc>
        <w:tc>
          <w:tcPr>
            <w:tcW w:w="2330" w:type="pct"/>
          </w:tcPr>
          <w:p w:rsidR="00F7565E" w:rsidRPr="0087010C" w:rsidRDefault="00F7565E" w:rsidP="00211A38">
            <w:pPr>
              <w:jc w:val="both"/>
              <w:rPr>
                <w:sz w:val="20"/>
                <w:lang w:val="fr-CA"/>
              </w:rPr>
            </w:pPr>
            <w:r w:rsidRPr="0087010C">
              <w:rPr>
                <w:sz w:val="20"/>
                <w:lang w:val="fr-CA"/>
              </w:rPr>
              <w:t>Dépôt de la demande d’autorisation d’appel</w:t>
            </w:r>
          </w:p>
          <w:p w:rsidR="00F7565E" w:rsidRPr="0087010C" w:rsidRDefault="00F7565E" w:rsidP="00211A38">
            <w:pPr>
              <w:jc w:val="both"/>
              <w:rPr>
                <w:sz w:val="20"/>
                <w:lang w:val="fr-CA"/>
              </w:rPr>
            </w:pPr>
          </w:p>
        </w:tc>
      </w:tr>
    </w:tbl>
    <w:p w:rsidR="00F7565E" w:rsidRPr="0087010C" w:rsidRDefault="00F7565E" w:rsidP="00F7565E">
      <w:pPr>
        <w:jc w:val="both"/>
        <w:rPr>
          <w:sz w:val="20"/>
          <w:lang w:val="fr-CA"/>
        </w:rPr>
      </w:pPr>
    </w:p>
    <w:p w:rsidR="00F7565E" w:rsidRPr="0087010C" w:rsidRDefault="003A218E" w:rsidP="00F7565E">
      <w:pPr>
        <w:ind w:left="142" w:hanging="142"/>
        <w:jc w:val="both"/>
        <w:rPr>
          <w:sz w:val="20"/>
          <w:lang w:val="fr-CA"/>
        </w:rPr>
      </w:pPr>
      <w:r>
        <w:rPr>
          <w:sz w:val="20"/>
        </w:rPr>
        <w:pict>
          <v:rect id="_x0000_i1052" style="width:2in;height:1pt" o:hrpct="0" o:hralign="center" o:hrstd="t" o:hrnoshade="t" o:hr="t" fillcolor="black [3213]" stroked="f"/>
        </w:pict>
      </w:r>
    </w:p>
    <w:p w:rsidR="00F7565E" w:rsidRPr="0087010C" w:rsidRDefault="00F7565E" w:rsidP="00F7565E">
      <w:pPr>
        <w:ind w:left="142" w:hanging="142"/>
        <w:jc w:val="both"/>
        <w:rPr>
          <w:sz w:val="20"/>
          <w:lang w:val="fr-CA"/>
        </w:rPr>
      </w:pPr>
    </w:p>
    <w:p w:rsidR="00F7565E" w:rsidRDefault="00F7565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565E" w:rsidRPr="0087010C" w:rsidTr="00211A38">
        <w:tc>
          <w:tcPr>
            <w:tcW w:w="543" w:type="pct"/>
          </w:tcPr>
          <w:p w:rsidR="00F7565E" w:rsidRPr="0087010C" w:rsidRDefault="00F7565E" w:rsidP="00211A38">
            <w:pPr>
              <w:jc w:val="both"/>
              <w:rPr>
                <w:sz w:val="20"/>
              </w:rPr>
            </w:pPr>
            <w:r w:rsidRPr="0087010C">
              <w:rPr>
                <w:rStyle w:val="SCCFileNumberChar"/>
                <w:sz w:val="20"/>
                <w:szCs w:val="20"/>
              </w:rPr>
              <w:lastRenderedPageBreak/>
              <w:t>38505</w:t>
            </w:r>
          </w:p>
        </w:tc>
        <w:tc>
          <w:tcPr>
            <w:tcW w:w="4457" w:type="pct"/>
            <w:gridSpan w:val="3"/>
          </w:tcPr>
          <w:p w:rsidR="00F7565E" w:rsidRPr="0087010C" w:rsidRDefault="00F7565E" w:rsidP="00211A38">
            <w:pPr>
              <w:pStyle w:val="SCCLsocParty"/>
              <w:jc w:val="both"/>
              <w:rPr>
                <w:b/>
                <w:sz w:val="20"/>
                <w:szCs w:val="20"/>
                <w:lang w:val="en-US"/>
              </w:rPr>
            </w:pPr>
            <w:r w:rsidRPr="0087010C">
              <w:rPr>
                <w:b/>
                <w:sz w:val="20"/>
                <w:szCs w:val="20"/>
                <w:lang w:val="en-US"/>
              </w:rPr>
              <w:t>Joanne Fraser, Allison Pilgrim</w:t>
            </w:r>
            <w:r>
              <w:rPr>
                <w:b/>
                <w:sz w:val="20"/>
                <w:szCs w:val="20"/>
                <w:lang w:val="en-US"/>
              </w:rPr>
              <w:t xml:space="preserve"> and</w:t>
            </w:r>
            <w:r w:rsidRPr="0087010C">
              <w:rPr>
                <w:b/>
                <w:sz w:val="20"/>
                <w:szCs w:val="20"/>
                <w:lang w:val="en-US"/>
              </w:rPr>
              <w:t xml:space="preserve"> Colleen Fox v. Attorney General of Canada</w:t>
            </w:r>
          </w:p>
          <w:p w:rsidR="00F7565E" w:rsidRPr="0087010C" w:rsidRDefault="00F7565E" w:rsidP="00211A38">
            <w:pPr>
              <w:jc w:val="both"/>
              <w:rPr>
                <w:sz w:val="20"/>
              </w:rPr>
            </w:pPr>
            <w:r w:rsidRPr="0087010C">
              <w:rPr>
                <w:sz w:val="20"/>
              </w:rPr>
              <w:t>(F.C.) (Civil) (By Leave)</w:t>
            </w:r>
          </w:p>
        </w:tc>
      </w:tr>
      <w:tr w:rsidR="009B1A2E" w:rsidRPr="0087010C" w:rsidTr="009B1A2E">
        <w:tc>
          <w:tcPr>
            <w:tcW w:w="5000" w:type="pct"/>
            <w:gridSpan w:val="4"/>
          </w:tcPr>
          <w:p w:rsidR="009B1A2E" w:rsidRPr="00647612" w:rsidRDefault="009B1A2E" w:rsidP="009B1A2E">
            <w:pPr>
              <w:widowControl w:val="0"/>
              <w:jc w:val="both"/>
              <w:rPr>
                <w:sz w:val="20"/>
              </w:rPr>
            </w:pPr>
            <w:r w:rsidRPr="00647612">
              <w:rPr>
                <w:sz w:val="20"/>
              </w:rPr>
              <w:t>The application for leave to appeal from the judgment of the Federal Court of Appeal, Number A-206-17, 2018 FCA 223, dated December 7, 2018, is granted with costs in the cause.</w:t>
            </w:r>
          </w:p>
          <w:p w:rsidR="009B1A2E" w:rsidRPr="009B1A2E" w:rsidRDefault="009B1A2E" w:rsidP="00211A38">
            <w:pPr>
              <w:pStyle w:val="SCCLsocParty"/>
              <w:jc w:val="both"/>
              <w:rPr>
                <w:b/>
                <w:sz w:val="20"/>
                <w:szCs w:val="20"/>
                <w:lang w:val="en-CA"/>
              </w:rPr>
            </w:pPr>
          </w:p>
        </w:tc>
      </w:tr>
      <w:tr w:rsidR="00F7565E" w:rsidRPr="0087010C" w:rsidTr="00211A38">
        <w:tc>
          <w:tcPr>
            <w:tcW w:w="5000" w:type="pct"/>
            <w:gridSpan w:val="4"/>
          </w:tcPr>
          <w:p w:rsidR="00F7565E" w:rsidRPr="0087010C" w:rsidRDefault="00F7565E" w:rsidP="00211A38">
            <w:pPr>
              <w:jc w:val="both"/>
              <w:rPr>
                <w:sz w:val="20"/>
              </w:rPr>
            </w:pPr>
            <w:r w:rsidRPr="0087010C">
              <w:rPr>
                <w:iCs/>
                <w:sz w:val="20"/>
                <w:lang w:val="en"/>
              </w:rPr>
              <w:t xml:space="preserve">Constitutional law — </w:t>
            </w:r>
            <w:r w:rsidRPr="0087010C">
              <w:rPr>
                <w:i/>
                <w:iCs/>
                <w:sz w:val="20"/>
                <w:lang w:val="en"/>
              </w:rPr>
              <w:t>Charter of Rights</w:t>
            </w:r>
            <w:r w:rsidRPr="0087010C">
              <w:rPr>
                <w:iCs/>
                <w:sz w:val="20"/>
                <w:lang w:val="en"/>
              </w:rPr>
              <w:t xml:space="preserve"> — Right to equality — Pensions — Job</w:t>
            </w:r>
            <w:r w:rsidRPr="0087010C">
              <w:rPr>
                <w:iCs/>
                <w:sz w:val="20"/>
                <w:lang w:val="en"/>
              </w:rPr>
              <w:noBreakHyphen/>
              <w:t xml:space="preserve">sharing </w:t>
            </w:r>
            <w:r w:rsidRPr="0087010C">
              <w:rPr>
                <w:sz w:val="20"/>
              </w:rPr>
              <w:t>—</w:t>
            </w:r>
            <w:r w:rsidRPr="0087010C">
              <w:rPr>
                <w:iCs/>
                <w:sz w:val="20"/>
                <w:lang w:val="en"/>
              </w:rPr>
              <w:t>Applicants opting to temporarily job</w:t>
            </w:r>
            <w:r w:rsidRPr="0087010C">
              <w:rPr>
                <w:iCs/>
                <w:sz w:val="20"/>
                <w:lang w:val="en"/>
              </w:rPr>
              <w:noBreakHyphen/>
              <w:t xml:space="preserve">share when their children were young — Applicants denied opportunity to buy back their pension for period of time they did not work — </w:t>
            </w:r>
            <w:r w:rsidRPr="0087010C">
              <w:rPr>
                <w:iCs/>
                <w:sz w:val="20"/>
              </w:rPr>
              <w:t>Applicants alleging that pro</w:t>
            </w:r>
            <w:r w:rsidRPr="0087010C">
              <w:rPr>
                <w:iCs/>
                <w:sz w:val="20"/>
              </w:rPr>
              <w:noBreakHyphen/>
              <w:t xml:space="preserve">rated calculation of their pensions infringed their equality rights guaranteed by s. 15(1) of the </w:t>
            </w:r>
            <w:r w:rsidRPr="0087010C">
              <w:rPr>
                <w:i/>
                <w:iCs/>
                <w:sz w:val="20"/>
              </w:rPr>
              <w:t>Canadian Charter of Rights and Freedoms</w:t>
            </w:r>
            <w:r w:rsidRPr="0087010C">
              <w:rPr>
                <w:iCs/>
                <w:sz w:val="20"/>
              </w:rPr>
              <w:t xml:space="preserve"> — Federal Court and Federal Court of Appeal dismissing applicants’ claim — Whether certain provisions of </w:t>
            </w:r>
            <w:r w:rsidRPr="0087010C">
              <w:rPr>
                <w:i/>
                <w:sz w:val="20"/>
              </w:rPr>
              <w:t>Royal Canadian Mounted Police Superannuation Act</w:t>
            </w:r>
            <w:r w:rsidRPr="0087010C">
              <w:rPr>
                <w:sz w:val="20"/>
              </w:rPr>
              <w:t>, R.S.C. 1985, c. R</w:t>
            </w:r>
            <w:r w:rsidRPr="0087010C">
              <w:rPr>
                <w:sz w:val="20"/>
              </w:rPr>
              <w:noBreakHyphen/>
              <w:t xml:space="preserve">11, and </w:t>
            </w:r>
            <w:r w:rsidRPr="0087010C">
              <w:rPr>
                <w:i/>
                <w:sz w:val="20"/>
              </w:rPr>
              <w:t>Royal Canadian Mounted Police Superannuation Regulations</w:t>
            </w:r>
            <w:r w:rsidRPr="0087010C">
              <w:rPr>
                <w:sz w:val="20"/>
              </w:rPr>
              <w:t xml:space="preserve">, C.R.C., c. 1393, discriminatory on enumerated ground of sex and analogous ground of parental status — Whether courts below applied appropriate test for benefit under the law under s. 15 of </w:t>
            </w:r>
            <w:r w:rsidRPr="0087010C">
              <w:rPr>
                <w:i/>
                <w:sz w:val="20"/>
              </w:rPr>
              <w:t>Charter</w:t>
            </w:r>
            <w:r w:rsidRPr="0087010C">
              <w:rPr>
                <w:sz w:val="20"/>
              </w:rPr>
              <w:t xml:space="preserve"> — Whether lower courts erred in legal characterization of full versus part</w:t>
            </w:r>
            <w:r w:rsidRPr="0087010C">
              <w:rPr>
                <w:sz w:val="20"/>
              </w:rPr>
              <w:noBreakHyphen/>
              <w:t>time employment status and impact on supplementary employment rights of applicants.</w:t>
            </w:r>
          </w:p>
        </w:tc>
      </w:tr>
      <w:tr w:rsidR="00F7565E" w:rsidRPr="0087010C" w:rsidTr="00211A38">
        <w:tc>
          <w:tcPr>
            <w:tcW w:w="5000" w:type="pct"/>
            <w:gridSpan w:val="4"/>
          </w:tcPr>
          <w:p w:rsidR="00F7565E" w:rsidRPr="0087010C" w:rsidRDefault="00F7565E" w:rsidP="00211A38">
            <w:pPr>
              <w:jc w:val="both"/>
              <w:rPr>
                <w:sz w:val="20"/>
              </w:rPr>
            </w:pPr>
          </w:p>
        </w:tc>
      </w:tr>
      <w:tr w:rsidR="00F7565E" w:rsidRPr="0087010C" w:rsidTr="00211A38">
        <w:tc>
          <w:tcPr>
            <w:tcW w:w="5000" w:type="pct"/>
            <w:gridSpan w:val="4"/>
          </w:tcPr>
          <w:p w:rsidR="00F7565E" w:rsidRPr="0087010C" w:rsidRDefault="00F7565E" w:rsidP="00211A38">
            <w:pPr>
              <w:jc w:val="both"/>
              <w:rPr>
                <w:sz w:val="20"/>
              </w:rPr>
            </w:pPr>
            <w:r w:rsidRPr="0087010C">
              <w:rPr>
                <w:sz w:val="20"/>
              </w:rPr>
              <w:t>The applicants are women and mothers who are former regular members of the Royal Canadian Mounted Police (“RCMP”). In order to care for their young children, they temporarily reduced their hours of work through a job</w:t>
            </w:r>
            <w:r w:rsidRPr="0087010C">
              <w:rPr>
                <w:sz w:val="20"/>
              </w:rPr>
              <w:noBreakHyphen/>
              <w:t>sharing program offered by the RCMP. The women’s pension benefits were adjusted accordingly and were calculated in the same fashion as those calculated for members who worked part</w:t>
            </w:r>
            <w:r w:rsidRPr="0087010C">
              <w:rPr>
                <w:sz w:val="20"/>
              </w:rPr>
              <w:noBreakHyphen/>
              <w:t>time hours. The women were not given the option of treating the period for which they did not work as pensionable time, even though individuals who opted not to work at all and who took unpaid care and nurturing leave were given the option of buying back their pension. The women alleged that this pro</w:t>
            </w:r>
            <w:r w:rsidRPr="0087010C">
              <w:rPr>
                <w:sz w:val="20"/>
              </w:rPr>
              <w:noBreakHyphen/>
              <w:t xml:space="preserve">rated calculation infringed their equality rights guaranteed by s. 15(1) of the </w:t>
            </w:r>
            <w:r w:rsidRPr="0087010C">
              <w:rPr>
                <w:i/>
                <w:sz w:val="20"/>
              </w:rPr>
              <w:t>Canadian Charter of Rights and Freedoms</w:t>
            </w:r>
            <w:r w:rsidRPr="0087010C">
              <w:rPr>
                <w:sz w:val="20"/>
              </w:rPr>
              <w:t xml:space="preserve">. Specifically, they argued that the </w:t>
            </w:r>
            <w:r w:rsidRPr="0087010C">
              <w:rPr>
                <w:i/>
                <w:sz w:val="20"/>
              </w:rPr>
              <w:t>Royal Canadian Mounted Police Superannuation Act</w:t>
            </w:r>
            <w:r w:rsidRPr="0087010C">
              <w:rPr>
                <w:sz w:val="20"/>
              </w:rPr>
              <w:t>, R.S.C. 1985, c. R</w:t>
            </w:r>
            <w:r w:rsidRPr="0087010C">
              <w:rPr>
                <w:sz w:val="20"/>
              </w:rPr>
              <w:noBreakHyphen/>
              <w:t xml:space="preserve">11 and the </w:t>
            </w:r>
            <w:r w:rsidRPr="0087010C">
              <w:rPr>
                <w:i/>
                <w:sz w:val="20"/>
              </w:rPr>
              <w:t>Royal Canadian Mounted Police Superannuation Regulations</w:t>
            </w:r>
            <w:r w:rsidRPr="0087010C">
              <w:rPr>
                <w:sz w:val="20"/>
              </w:rPr>
              <w:t>, C.R.C., c. 1393 were discriminatory on the enumerated ground of sex and the analogous ground of parental status. The Federal Court dismissed the application and the Federal Court of Appeal dismissed the appeal.</w:t>
            </w:r>
          </w:p>
          <w:p w:rsidR="00F7565E" w:rsidRPr="0087010C" w:rsidRDefault="00F7565E" w:rsidP="00211A38">
            <w:pPr>
              <w:jc w:val="both"/>
              <w:rPr>
                <w:sz w:val="20"/>
              </w:rPr>
            </w:pPr>
          </w:p>
        </w:tc>
      </w:tr>
      <w:tr w:rsidR="00F7565E" w:rsidRPr="0087010C" w:rsidTr="00211A38">
        <w:tc>
          <w:tcPr>
            <w:tcW w:w="2427" w:type="pct"/>
            <w:gridSpan w:val="2"/>
          </w:tcPr>
          <w:p w:rsidR="00F7565E" w:rsidRPr="0087010C" w:rsidRDefault="00F7565E" w:rsidP="00211A38">
            <w:pPr>
              <w:jc w:val="both"/>
              <w:rPr>
                <w:sz w:val="20"/>
              </w:rPr>
            </w:pPr>
            <w:r w:rsidRPr="0087010C">
              <w:rPr>
                <w:sz w:val="20"/>
              </w:rPr>
              <w:t>June 8, 2017</w:t>
            </w:r>
          </w:p>
          <w:p w:rsidR="00F7565E" w:rsidRPr="0087010C" w:rsidRDefault="00F7565E" w:rsidP="00211A38">
            <w:pPr>
              <w:jc w:val="both"/>
              <w:rPr>
                <w:sz w:val="20"/>
              </w:rPr>
            </w:pPr>
            <w:r w:rsidRPr="0087010C">
              <w:rPr>
                <w:sz w:val="20"/>
              </w:rPr>
              <w:t>Federal Court</w:t>
            </w:r>
          </w:p>
          <w:p w:rsidR="00F7565E" w:rsidRPr="0087010C" w:rsidRDefault="00F7565E" w:rsidP="00211A38">
            <w:pPr>
              <w:jc w:val="both"/>
              <w:rPr>
                <w:sz w:val="20"/>
              </w:rPr>
            </w:pPr>
            <w:r w:rsidRPr="0087010C">
              <w:rPr>
                <w:sz w:val="20"/>
              </w:rPr>
              <w:t>(Kane J.)</w:t>
            </w:r>
          </w:p>
          <w:p w:rsidR="00F7565E" w:rsidRPr="0087010C" w:rsidRDefault="003A218E" w:rsidP="00211A38">
            <w:pPr>
              <w:jc w:val="both"/>
              <w:rPr>
                <w:sz w:val="20"/>
              </w:rPr>
            </w:pPr>
            <w:hyperlink r:id="rId65" w:history="1">
              <w:r w:rsidR="00F7565E" w:rsidRPr="0087010C">
                <w:rPr>
                  <w:rStyle w:val="Hyperlink"/>
                  <w:sz w:val="20"/>
                </w:rPr>
                <w:t>2017 FC 557</w:t>
              </w:r>
            </w:hyperlink>
          </w:p>
          <w:p w:rsidR="00F7565E" w:rsidRPr="0087010C" w:rsidRDefault="00F7565E" w:rsidP="00211A38">
            <w:pPr>
              <w:jc w:val="both"/>
              <w:rPr>
                <w:sz w:val="20"/>
              </w:rPr>
            </w:pPr>
          </w:p>
        </w:tc>
        <w:tc>
          <w:tcPr>
            <w:tcW w:w="243" w:type="pct"/>
          </w:tcPr>
          <w:p w:rsidR="00F7565E" w:rsidRPr="0087010C" w:rsidRDefault="00F7565E" w:rsidP="00211A38">
            <w:pPr>
              <w:jc w:val="both"/>
              <w:rPr>
                <w:sz w:val="20"/>
              </w:rPr>
            </w:pPr>
          </w:p>
        </w:tc>
        <w:tc>
          <w:tcPr>
            <w:tcW w:w="2330" w:type="pct"/>
          </w:tcPr>
          <w:p w:rsidR="00F7565E" w:rsidRPr="0087010C" w:rsidRDefault="00F7565E" w:rsidP="00211A38">
            <w:pPr>
              <w:jc w:val="both"/>
              <w:rPr>
                <w:sz w:val="20"/>
              </w:rPr>
            </w:pPr>
            <w:r w:rsidRPr="0087010C">
              <w:rPr>
                <w:sz w:val="20"/>
              </w:rPr>
              <w:t xml:space="preserve">Application pursuant to ss. 18 and 18.1 of the </w:t>
            </w:r>
            <w:r w:rsidRPr="0087010C">
              <w:rPr>
                <w:i/>
                <w:sz w:val="20"/>
              </w:rPr>
              <w:t>Federal Courts Act</w:t>
            </w:r>
            <w:r w:rsidRPr="0087010C">
              <w:rPr>
                <w:sz w:val="20"/>
              </w:rPr>
              <w:t>, R.S.C. 1985, c. F</w:t>
            </w:r>
            <w:r w:rsidRPr="0087010C">
              <w:rPr>
                <w:sz w:val="20"/>
              </w:rPr>
              <w:noBreakHyphen/>
              <w:t xml:space="preserve">7, for declaratory and other relief dismissed </w:t>
            </w:r>
          </w:p>
        </w:tc>
      </w:tr>
      <w:tr w:rsidR="00F7565E" w:rsidRPr="0087010C" w:rsidTr="00211A38">
        <w:tc>
          <w:tcPr>
            <w:tcW w:w="2427" w:type="pct"/>
            <w:gridSpan w:val="2"/>
          </w:tcPr>
          <w:p w:rsidR="00F7565E" w:rsidRPr="0087010C" w:rsidRDefault="00F7565E" w:rsidP="00211A38">
            <w:pPr>
              <w:jc w:val="both"/>
              <w:rPr>
                <w:sz w:val="20"/>
              </w:rPr>
            </w:pPr>
            <w:r w:rsidRPr="0087010C">
              <w:rPr>
                <w:sz w:val="20"/>
              </w:rPr>
              <w:t>December 7, 2018</w:t>
            </w:r>
          </w:p>
          <w:p w:rsidR="00F7565E" w:rsidRPr="0087010C" w:rsidRDefault="00F7565E" w:rsidP="00211A38">
            <w:pPr>
              <w:jc w:val="both"/>
              <w:rPr>
                <w:sz w:val="20"/>
              </w:rPr>
            </w:pPr>
            <w:r w:rsidRPr="0087010C">
              <w:rPr>
                <w:sz w:val="20"/>
              </w:rPr>
              <w:t>Federal Court of Appeal</w:t>
            </w:r>
          </w:p>
          <w:p w:rsidR="00F7565E" w:rsidRPr="0087010C" w:rsidRDefault="00F7565E" w:rsidP="00211A38">
            <w:pPr>
              <w:jc w:val="both"/>
              <w:rPr>
                <w:sz w:val="20"/>
              </w:rPr>
            </w:pPr>
            <w:r w:rsidRPr="0087010C">
              <w:rPr>
                <w:sz w:val="20"/>
              </w:rPr>
              <w:t>(Gauthier, Gleason and Woods JJ.A.)</w:t>
            </w:r>
          </w:p>
          <w:p w:rsidR="00F7565E" w:rsidRPr="0087010C" w:rsidRDefault="003A218E" w:rsidP="00211A38">
            <w:pPr>
              <w:jc w:val="both"/>
              <w:rPr>
                <w:sz w:val="20"/>
              </w:rPr>
            </w:pPr>
            <w:hyperlink r:id="rId66" w:history="1">
              <w:r w:rsidR="00F7565E" w:rsidRPr="0087010C">
                <w:rPr>
                  <w:rStyle w:val="Hyperlink"/>
                  <w:sz w:val="20"/>
                </w:rPr>
                <w:t>2018 FCA 223</w:t>
              </w:r>
            </w:hyperlink>
          </w:p>
          <w:p w:rsidR="00F7565E" w:rsidRPr="0087010C" w:rsidRDefault="00F7565E" w:rsidP="00211A38">
            <w:pPr>
              <w:jc w:val="both"/>
              <w:rPr>
                <w:sz w:val="20"/>
              </w:rPr>
            </w:pPr>
          </w:p>
        </w:tc>
        <w:tc>
          <w:tcPr>
            <w:tcW w:w="243" w:type="pct"/>
          </w:tcPr>
          <w:p w:rsidR="00F7565E" w:rsidRPr="0087010C" w:rsidRDefault="00F7565E" w:rsidP="00211A38">
            <w:pPr>
              <w:jc w:val="both"/>
              <w:rPr>
                <w:sz w:val="20"/>
              </w:rPr>
            </w:pPr>
          </w:p>
        </w:tc>
        <w:tc>
          <w:tcPr>
            <w:tcW w:w="2330" w:type="pct"/>
          </w:tcPr>
          <w:p w:rsidR="00F7565E" w:rsidRPr="0087010C" w:rsidRDefault="00F7565E" w:rsidP="00211A38">
            <w:pPr>
              <w:jc w:val="both"/>
              <w:rPr>
                <w:sz w:val="20"/>
              </w:rPr>
            </w:pPr>
            <w:r w:rsidRPr="0087010C">
              <w:rPr>
                <w:sz w:val="20"/>
              </w:rPr>
              <w:t>Appeal dismissed</w:t>
            </w:r>
          </w:p>
          <w:p w:rsidR="00F7565E" w:rsidRPr="0087010C" w:rsidRDefault="00F7565E" w:rsidP="00211A38">
            <w:pPr>
              <w:jc w:val="both"/>
              <w:rPr>
                <w:sz w:val="20"/>
              </w:rPr>
            </w:pPr>
          </w:p>
        </w:tc>
      </w:tr>
      <w:tr w:rsidR="00F7565E" w:rsidRPr="0087010C" w:rsidTr="00211A38">
        <w:tc>
          <w:tcPr>
            <w:tcW w:w="2427" w:type="pct"/>
            <w:gridSpan w:val="2"/>
          </w:tcPr>
          <w:p w:rsidR="00F7565E" w:rsidRPr="0087010C" w:rsidRDefault="00F7565E" w:rsidP="00211A38">
            <w:pPr>
              <w:jc w:val="both"/>
              <w:rPr>
                <w:sz w:val="20"/>
              </w:rPr>
            </w:pPr>
            <w:r w:rsidRPr="0087010C">
              <w:rPr>
                <w:sz w:val="20"/>
              </w:rPr>
              <w:t>February 5, 2019</w:t>
            </w:r>
          </w:p>
          <w:p w:rsidR="00F7565E" w:rsidRPr="0087010C" w:rsidRDefault="00F7565E" w:rsidP="00211A38">
            <w:pPr>
              <w:jc w:val="both"/>
              <w:rPr>
                <w:sz w:val="20"/>
              </w:rPr>
            </w:pPr>
            <w:r w:rsidRPr="0087010C">
              <w:rPr>
                <w:sz w:val="20"/>
              </w:rPr>
              <w:t>Supreme Court of Canada</w:t>
            </w:r>
          </w:p>
        </w:tc>
        <w:tc>
          <w:tcPr>
            <w:tcW w:w="243" w:type="pct"/>
          </w:tcPr>
          <w:p w:rsidR="00F7565E" w:rsidRPr="0087010C" w:rsidRDefault="00F7565E" w:rsidP="00211A38">
            <w:pPr>
              <w:jc w:val="both"/>
              <w:rPr>
                <w:sz w:val="20"/>
              </w:rPr>
            </w:pPr>
          </w:p>
        </w:tc>
        <w:tc>
          <w:tcPr>
            <w:tcW w:w="2330" w:type="pct"/>
          </w:tcPr>
          <w:p w:rsidR="00F7565E" w:rsidRPr="0087010C" w:rsidRDefault="00F7565E" w:rsidP="00211A38">
            <w:pPr>
              <w:jc w:val="both"/>
              <w:rPr>
                <w:sz w:val="20"/>
              </w:rPr>
            </w:pPr>
            <w:r w:rsidRPr="0087010C">
              <w:rPr>
                <w:sz w:val="20"/>
              </w:rPr>
              <w:t>Application for leave to appeal filed</w:t>
            </w:r>
          </w:p>
          <w:p w:rsidR="00F7565E" w:rsidRPr="0087010C" w:rsidRDefault="00F7565E" w:rsidP="00211A38">
            <w:pPr>
              <w:jc w:val="both"/>
              <w:rPr>
                <w:sz w:val="20"/>
              </w:rPr>
            </w:pPr>
          </w:p>
        </w:tc>
      </w:tr>
    </w:tbl>
    <w:p w:rsidR="00F7565E" w:rsidRPr="0087010C" w:rsidRDefault="00F7565E" w:rsidP="00F7565E">
      <w:pPr>
        <w:jc w:val="both"/>
        <w:rPr>
          <w:sz w:val="20"/>
        </w:rPr>
      </w:pPr>
    </w:p>
    <w:p w:rsidR="00F7565E" w:rsidRPr="0087010C" w:rsidRDefault="00F7565E" w:rsidP="00F7565E">
      <w:pPr>
        <w:jc w:val="both"/>
        <w:rPr>
          <w:sz w:val="20"/>
        </w:rPr>
      </w:pPr>
    </w:p>
    <w:p w:rsidR="00F7565E" w:rsidRPr="0087010C" w:rsidRDefault="00F7565E" w:rsidP="00F7565E">
      <w:pPr>
        <w:jc w:val="both"/>
        <w:rPr>
          <w:sz w:val="20"/>
        </w:rPr>
      </w:pPr>
    </w:p>
    <w:p w:rsidR="00F7565E" w:rsidRDefault="00F7565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565E" w:rsidRPr="0087010C" w:rsidTr="00211A38">
        <w:tc>
          <w:tcPr>
            <w:tcW w:w="543" w:type="pct"/>
          </w:tcPr>
          <w:p w:rsidR="00F7565E" w:rsidRPr="0087010C" w:rsidRDefault="00F7565E" w:rsidP="00211A38">
            <w:pPr>
              <w:jc w:val="both"/>
              <w:rPr>
                <w:sz w:val="20"/>
                <w:lang w:val="fr-CA"/>
              </w:rPr>
            </w:pPr>
            <w:r w:rsidRPr="0087010C">
              <w:rPr>
                <w:rStyle w:val="SCCFileNumberChar"/>
                <w:sz w:val="20"/>
                <w:szCs w:val="20"/>
                <w:lang w:val="fr-CA"/>
              </w:rPr>
              <w:lastRenderedPageBreak/>
              <w:t>38505</w:t>
            </w:r>
          </w:p>
        </w:tc>
        <w:tc>
          <w:tcPr>
            <w:tcW w:w="4457" w:type="pct"/>
            <w:gridSpan w:val="3"/>
          </w:tcPr>
          <w:p w:rsidR="00F7565E" w:rsidRPr="0087010C" w:rsidRDefault="00F7565E" w:rsidP="00211A38">
            <w:pPr>
              <w:pStyle w:val="SCCLsocParty"/>
              <w:jc w:val="both"/>
              <w:rPr>
                <w:b/>
                <w:sz w:val="20"/>
                <w:szCs w:val="20"/>
              </w:rPr>
            </w:pPr>
            <w:r w:rsidRPr="0087010C">
              <w:rPr>
                <w:b/>
                <w:sz w:val="20"/>
                <w:szCs w:val="20"/>
              </w:rPr>
              <w:t xml:space="preserve">Joanne Fraser, Allison </w:t>
            </w:r>
            <w:proofErr w:type="spellStart"/>
            <w:r w:rsidRPr="0087010C">
              <w:rPr>
                <w:b/>
                <w:sz w:val="20"/>
                <w:szCs w:val="20"/>
              </w:rPr>
              <w:t>Pilgrim</w:t>
            </w:r>
            <w:proofErr w:type="spellEnd"/>
            <w:r>
              <w:rPr>
                <w:b/>
                <w:sz w:val="20"/>
                <w:szCs w:val="20"/>
              </w:rPr>
              <w:t xml:space="preserve"> et</w:t>
            </w:r>
            <w:r w:rsidRPr="0087010C">
              <w:rPr>
                <w:b/>
                <w:sz w:val="20"/>
                <w:szCs w:val="20"/>
              </w:rPr>
              <w:t xml:space="preserve"> </w:t>
            </w:r>
            <w:proofErr w:type="spellStart"/>
            <w:r w:rsidRPr="0087010C">
              <w:rPr>
                <w:b/>
                <w:sz w:val="20"/>
                <w:szCs w:val="20"/>
              </w:rPr>
              <w:t>Colleen</w:t>
            </w:r>
            <w:proofErr w:type="spellEnd"/>
            <w:r w:rsidRPr="0087010C">
              <w:rPr>
                <w:b/>
                <w:sz w:val="20"/>
                <w:szCs w:val="20"/>
              </w:rPr>
              <w:t xml:space="preserve"> Fox c. Procureur général du Canada</w:t>
            </w:r>
          </w:p>
          <w:p w:rsidR="00F7565E" w:rsidRPr="0087010C" w:rsidRDefault="00F7565E" w:rsidP="00211A38">
            <w:pPr>
              <w:jc w:val="both"/>
              <w:rPr>
                <w:sz w:val="20"/>
                <w:lang w:val="fr-CA"/>
              </w:rPr>
            </w:pPr>
            <w:r w:rsidRPr="0087010C">
              <w:rPr>
                <w:sz w:val="20"/>
                <w:lang w:val="fr-CA"/>
              </w:rPr>
              <w:t>(C.F.) (Civile) (Autorisation)</w:t>
            </w:r>
          </w:p>
        </w:tc>
      </w:tr>
      <w:tr w:rsidR="009B1A2E" w:rsidRPr="003A218E" w:rsidTr="009B1A2E">
        <w:tc>
          <w:tcPr>
            <w:tcW w:w="5000" w:type="pct"/>
            <w:gridSpan w:val="4"/>
          </w:tcPr>
          <w:p w:rsidR="009B1A2E" w:rsidRPr="00647612" w:rsidRDefault="009B1A2E" w:rsidP="009B1A2E">
            <w:pPr>
              <w:widowControl w:val="0"/>
              <w:jc w:val="both"/>
              <w:rPr>
                <w:sz w:val="20"/>
                <w:lang w:val="fr-CA"/>
              </w:rPr>
            </w:pPr>
            <w:r w:rsidRPr="00647612">
              <w:rPr>
                <w:sz w:val="20"/>
                <w:lang w:val="fr-CA"/>
              </w:rPr>
              <w:t>La demande d’autorisation d’appel de l’arrêt de la Cour d’appel fédérale, numéro A-206-17, 2018 FCA 223, daté du 7 décembre 2018, est accueillie avec dépens suivant l’issue de la cause.</w:t>
            </w:r>
          </w:p>
          <w:p w:rsidR="009B1A2E" w:rsidRPr="0087010C" w:rsidRDefault="009B1A2E" w:rsidP="00211A38">
            <w:pPr>
              <w:pStyle w:val="SCCLsocParty"/>
              <w:jc w:val="both"/>
              <w:rPr>
                <w:b/>
                <w:sz w:val="20"/>
                <w:szCs w:val="20"/>
              </w:rPr>
            </w:pPr>
          </w:p>
        </w:tc>
      </w:tr>
      <w:tr w:rsidR="00F7565E" w:rsidRPr="003A218E" w:rsidTr="00211A38">
        <w:tc>
          <w:tcPr>
            <w:tcW w:w="5000" w:type="pct"/>
            <w:gridSpan w:val="4"/>
          </w:tcPr>
          <w:p w:rsidR="00F7565E" w:rsidRPr="0087010C" w:rsidRDefault="00F7565E" w:rsidP="00211A38">
            <w:pPr>
              <w:jc w:val="both"/>
              <w:rPr>
                <w:sz w:val="20"/>
                <w:lang w:val="fr-CA"/>
              </w:rPr>
            </w:pPr>
            <w:r w:rsidRPr="0087010C">
              <w:rPr>
                <w:iCs/>
                <w:sz w:val="20"/>
                <w:lang w:val="fr-CA"/>
              </w:rPr>
              <w:t xml:space="preserve">Droit constitutionnel — </w:t>
            </w:r>
            <w:r w:rsidRPr="0087010C">
              <w:rPr>
                <w:i/>
                <w:iCs/>
                <w:sz w:val="20"/>
                <w:lang w:val="fr-CA"/>
              </w:rPr>
              <w:t>Charte des droits</w:t>
            </w:r>
            <w:r w:rsidRPr="0087010C">
              <w:rPr>
                <w:iCs/>
                <w:sz w:val="20"/>
                <w:lang w:val="fr-CA"/>
              </w:rPr>
              <w:t xml:space="preserve"> — Droit à l’égalité — Pensions — Partage de poste </w:t>
            </w:r>
            <w:r w:rsidRPr="0087010C">
              <w:rPr>
                <w:sz w:val="20"/>
                <w:lang w:val="fr-CA"/>
              </w:rPr>
              <w:t xml:space="preserve">— </w:t>
            </w:r>
            <w:r w:rsidRPr="0087010C">
              <w:rPr>
                <w:iCs/>
                <w:sz w:val="20"/>
                <w:lang w:val="fr-CA"/>
              </w:rPr>
              <w:t xml:space="preserve">Les demanderesses ont choisi de partager temporairement leurs postes lorsque leurs enfants étaient en bas âge — Les demanderesses se sont vu refuser l’occasion de racheter des périodes de service ouvrant droit à pension pour la période où elles n’ont pas travaillé — Les demanderesses allèguent que le calcul de leurs pensions au prorata viole les droits à l’égalité que leur garantit le par. 15(1) de la </w:t>
            </w:r>
            <w:r w:rsidRPr="0087010C">
              <w:rPr>
                <w:i/>
                <w:iCs/>
                <w:sz w:val="20"/>
                <w:lang w:val="fr-CA"/>
              </w:rPr>
              <w:t>Charte canadienne des droits et libertés</w:t>
            </w:r>
            <w:r w:rsidRPr="0087010C">
              <w:rPr>
                <w:iCs/>
                <w:sz w:val="20"/>
                <w:lang w:val="fr-CA"/>
              </w:rPr>
              <w:t xml:space="preserve"> — La Cour fédérale et la Cour d’appel fédéral ont rejeté la demande des demanderesses — Certaines dispositions de la </w:t>
            </w:r>
            <w:r w:rsidRPr="0087010C">
              <w:rPr>
                <w:i/>
                <w:sz w:val="20"/>
                <w:lang w:val="fr-CA"/>
              </w:rPr>
              <w:t>Loi sur la pension de retraite de la Gendarmerie royale du Canada</w:t>
            </w:r>
            <w:r w:rsidRPr="0087010C">
              <w:rPr>
                <w:sz w:val="20"/>
                <w:lang w:val="fr-CA"/>
              </w:rPr>
              <w:t>, L.R.C. 1985, ch. R</w:t>
            </w:r>
            <w:r w:rsidRPr="0087010C">
              <w:rPr>
                <w:sz w:val="20"/>
                <w:lang w:val="fr-CA"/>
              </w:rPr>
              <w:noBreakHyphen/>
              <w:t xml:space="preserve">11, et du </w:t>
            </w:r>
            <w:r w:rsidRPr="0087010C">
              <w:rPr>
                <w:i/>
                <w:sz w:val="20"/>
                <w:lang w:val="fr-CA"/>
              </w:rPr>
              <w:t>Règlement sur la pension de retraite de la Gendarmerie royale du Canada</w:t>
            </w:r>
            <w:r w:rsidRPr="0087010C">
              <w:rPr>
                <w:sz w:val="20"/>
                <w:lang w:val="fr-CA"/>
              </w:rPr>
              <w:t>, C.R.C., ch. 1393, sont</w:t>
            </w:r>
            <w:r w:rsidRPr="0087010C">
              <w:rPr>
                <w:sz w:val="20"/>
                <w:lang w:val="fr-CA"/>
              </w:rPr>
              <w:noBreakHyphen/>
              <w:t xml:space="preserve">elles discriminatoires pour le motif énuméré du sexe et pour le motif analogue du statut de parent? — Les juridictions inférieures </w:t>
            </w:r>
            <w:proofErr w:type="spellStart"/>
            <w:r w:rsidRPr="0087010C">
              <w:rPr>
                <w:sz w:val="20"/>
                <w:lang w:val="fr-CA"/>
              </w:rPr>
              <w:t>ont</w:t>
            </w:r>
            <w:r w:rsidRPr="0087010C">
              <w:rPr>
                <w:sz w:val="20"/>
                <w:lang w:val="fr-CA"/>
              </w:rPr>
              <w:noBreakHyphen/>
              <w:t>elles</w:t>
            </w:r>
            <w:proofErr w:type="spellEnd"/>
            <w:r w:rsidRPr="0087010C">
              <w:rPr>
                <w:sz w:val="20"/>
                <w:lang w:val="fr-CA"/>
              </w:rPr>
              <w:t xml:space="preserve"> appliqué le critère approprié relatif au bénéfice de la loi en application de l’art. 15 de la </w:t>
            </w:r>
            <w:r w:rsidRPr="0087010C">
              <w:rPr>
                <w:i/>
                <w:sz w:val="20"/>
                <w:lang w:val="fr-CA"/>
              </w:rPr>
              <w:t>Charte</w:t>
            </w:r>
            <w:r w:rsidRPr="0087010C">
              <w:rPr>
                <w:sz w:val="20"/>
                <w:lang w:val="fr-CA"/>
              </w:rPr>
              <w:t xml:space="preserve">? — Les juridictions inférieures </w:t>
            </w:r>
            <w:proofErr w:type="spellStart"/>
            <w:r w:rsidRPr="0087010C">
              <w:rPr>
                <w:sz w:val="20"/>
                <w:lang w:val="fr-CA"/>
              </w:rPr>
              <w:t>ont</w:t>
            </w:r>
            <w:r w:rsidRPr="0087010C">
              <w:rPr>
                <w:sz w:val="20"/>
                <w:lang w:val="fr-CA"/>
              </w:rPr>
              <w:noBreakHyphen/>
              <w:t>elles</w:t>
            </w:r>
            <w:proofErr w:type="spellEnd"/>
            <w:r w:rsidRPr="0087010C">
              <w:rPr>
                <w:sz w:val="20"/>
                <w:lang w:val="fr-CA"/>
              </w:rPr>
              <w:t xml:space="preserve"> commis une erreur dans la caractérisation juridique du statut d’employées à temps plein par opposition au statut d’employées à temps partiel et son incidence sur les droits supplémentaires des demanderesses en matière d’emploi?</w:t>
            </w:r>
          </w:p>
        </w:tc>
      </w:tr>
      <w:tr w:rsidR="00F7565E" w:rsidRPr="003A218E" w:rsidTr="00211A38">
        <w:tc>
          <w:tcPr>
            <w:tcW w:w="5000" w:type="pct"/>
            <w:gridSpan w:val="4"/>
          </w:tcPr>
          <w:p w:rsidR="00F7565E" w:rsidRPr="0087010C" w:rsidRDefault="00F7565E" w:rsidP="00211A38">
            <w:pPr>
              <w:jc w:val="both"/>
              <w:rPr>
                <w:sz w:val="20"/>
                <w:lang w:val="fr-CA"/>
              </w:rPr>
            </w:pPr>
          </w:p>
        </w:tc>
      </w:tr>
      <w:tr w:rsidR="00F7565E" w:rsidRPr="003A218E" w:rsidTr="00211A38">
        <w:tc>
          <w:tcPr>
            <w:tcW w:w="5000" w:type="pct"/>
            <w:gridSpan w:val="4"/>
          </w:tcPr>
          <w:p w:rsidR="00F7565E" w:rsidRPr="0087010C" w:rsidRDefault="00F7565E" w:rsidP="00211A38">
            <w:pPr>
              <w:jc w:val="both"/>
              <w:rPr>
                <w:sz w:val="20"/>
                <w:lang w:val="fr-CA"/>
              </w:rPr>
            </w:pPr>
            <w:r w:rsidRPr="0087010C">
              <w:rPr>
                <w:sz w:val="20"/>
                <w:lang w:val="fr-CA"/>
              </w:rPr>
              <w:t xml:space="preserve">Les demanderesses sont mères et anciennes membres régulières de la Gendarmerie royale du Canada (« GRC »). Pour s’occuper de leurs enfants en bas âge, elles ont temporairement réduit leurs heures de travail dans le cadre d’un programme de partage de poste offert par la GRC. Les prestations de pension des femmes ont été ajustées en conséquence et ont été calculées de la même façon que celles calculées pour les membres qui travaillaient à temps partiel. Les femmes ne se sont pas vu offrir la possibilité de traiter la période pendant laquelle elles n’avaient pas travaillé comme une période ouvrant droit à pension, même si les personnes qui choisissaient de ne pas travailler du tout et qui prenaient un congé parental sans solde se voyaient offrir la possibilité de racheter </w:t>
            </w:r>
            <w:r w:rsidRPr="0087010C">
              <w:rPr>
                <w:iCs/>
                <w:sz w:val="20"/>
                <w:lang w:val="fr-CA"/>
              </w:rPr>
              <w:t>des périodes de service ouvrant droit à pension</w:t>
            </w:r>
            <w:r w:rsidRPr="0087010C">
              <w:rPr>
                <w:sz w:val="20"/>
                <w:lang w:val="fr-CA"/>
              </w:rPr>
              <w:t xml:space="preserve">. Les femmes ont allégué que </w:t>
            </w:r>
            <w:r w:rsidRPr="0087010C">
              <w:rPr>
                <w:iCs/>
                <w:sz w:val="20"/>
                <w:lang w:val="fr-CA"/>
              </w:rPr>
              <w:t xml:space="preserve">ce calcul de leurs pensions au prorata violait les droits à l’égalité que leur garantit le par. 15(1) de la </w:t>
            </w:r>
            <w:r w:rsidRPr="0087010C">
              <w:rPr>
                <w:i/>
                <w:iCs/>
                <w:sz w:val="20"/>
                <w:lang w:val="fr-CA"/>
              </w:rPr>
              <w:t>Charte canadienne des droits et libertés</w:t>
            </w:r>
            <w:r w:rsidRPr="0087010C">
              <w:rPr>
                <w:sz w:val="20"/>
                <w:lang w:val="fr-CA"/>
              </w:rPr>
              <w:t xml:space="preserve">. Plus particulièrement, elles ont plaidé que </w:t>
            </w:r>
            <w:r w:rsidRPr="0087010C">
              <w:rPr>
                <w:iCs/>
                <w:sz w:val="20"/>
                <w:lang w:val="fr-CA"/>
              </w:rPr>
              <w:t xml:space="preserve">la </w:t>
            </w:r>
            <w:r w:rsidRPr="0087010C">
              <w:rPr>
                <w:i/>
                <w:sz w:val="20"/>
                <w:lang w:val="fr-CA"/>
              </w:rPr>
              <w:t>Loi sur la pension de retraite de la Gendarmerie royale du Canada</w:t>
            </w:r>
            <w:r w:rsidRPr="0087010C">
              <w:rPr>
                <w:sz w:val="20"/>
                <w:lang w:val="fr-CA"/>
              </w:rPr>
              <w:t>, L.R.C. 1985, ch. R</w:t>
            </w:r>
            <w:r w:rsidRPr="0087010C">
              <w:rPr>
                <w:sz w:val="20"/>
                <w:lang w:val="fr-CA"/>
              </w:rPr>
              <w:noBreakHyphen/>
              <w:t xml:space="preserve">11, et le </w:t>
            </w:r>
            <w:r w:rsidRPr="0087010C">
              <w:rPr>
                <w:i/>
                <w:sz w:val="20"/>
                <w:lang w:val="fr-CA"/>
              </w:rPr>
              <w:t>Règlement sur la pension de retraite de la Gendarmerie royale du Canada</w:t>
            </w:r>
            <w:r w:rsidRPr="0087010C">
              <w:rPr>
                <w:sz w:val="20"/>
                <w:lang w:val="fr-CA"/>
              </w:rPr>
              <w:t>, C.R.C., ch. 1393, étaient discriminatoires  pour le motif énuméré du sexe et pour le motif analogue du statut de parent. La Cour fédérale a rejeté la demande et la Cour d’appel fédérale a rejeté l’appel.</w:t>
            </w:r>
          </w:p>
          <w:p w:rsidR="00F7565E" w:rsidRPr="0087010C" w:rsidRDefault="00F7565E" w:rsidP="00211A38">
            <w:pPr>
              <w:jc w:val="both"/>
              <w:rPr>
                <w:sz w:val="20"/>
                <w:lang w:val="fr-CA"/>
              </w:rPr>
            </w:pPr>
          </w:p>
        </w:tc>
      </w:tr>
      <w:tr w:rsidR="00F7565E" w:rsidRPr="0087010C" w:rsidTr="00211A38">
        <w:tc>
          <w:tcPr>
            <w:tcW w:w="2427" w:type="pct"/>
            <w:gridSpan w:val="2"/>
          </w:tcPr>
          <w:p w:rsidR="00F7565E" w:rsidRPr="0087010C" w:rsidRDefault="00F7565E" w:rsidP="00211A38">
            <w:pPr>
              <w:jc w:val="both"/>
              <w:rPr>
                <w:sz w:val="20"/>
                <w:lang w:val="fr-CA"/>
              </w:rPr>
            </w:pPr>
            <w:r w:rsidRPr="0087010C">
              <w:rPr>
                <w:sz w:val="20"/>
                <w:lang w:val="fr-CA"/>
              </w:rPr>
              <w:t>8 juin 2017</w:t>
            </w:r>
          </w:p>
          <w:p w:rsidR="00F7565E" w:rsidRPr="0087010C" w:rsidRDefault="00F7565E" w:rsidP="00211A38">
            <w:pPr>
              <w:jc w:val="both"/>
              <w:rPr>
                <w:sz w:val="20"/>
                <w:lang w:val="fr-CA"/>
              </w:rPr>
            </w:pPr>
            <w:r w:rsidRPr="0087010C">
              <w:rPr>
                <w:sz w:val="20"/>
                <w:lang w:val="fr-CA"/>
              </w:rPr>
              <w:t>Cour fédérale</w:t>
            </w:r>
          </w:p>
          <w:p w:rsidR="00F7565E" w:rsidRPr="0087010C" w:rsidRDefault="00F7565E" w:rsidP="00211A38">
            <w:pPr>
              <w:jc w:val="both"/>
              <w:rPr>
                <w:sz w:val="20"/>
                <w:lang w:val="fr-CA"/>
              </w:rPr>
            </w:pPr>
            <w:r w:rsidRPr="0087010C">
              <w:rPr>
                <w:sz w:val="20"/>
                <w:lang w:val="fr-CA"/>
              </w:rPr>
              <w:t>(Juge Kane)</w:t>
            </w:r>
          </w:p>
          <w:p w:rsidR="00F7565E" w:rsidRPr="0087010C" w:rsidRDefault="003A218E" w:rsidP="00211A38">
            <w:pPr>
              <w:jc w:val="both"/>
              <w:rPr>
                <w:sz w:val="20"/>
                <w:lang w:val="fr-CA"/>
              </w:rPr>
            </w:pPr>
            <w:hyperlink r:id="rId67" w:history="1">
              <w:r w:rsidR="00F7565E" w:rsidRPr="0087010C">
                <w:rPr>
                  <w:rStyle w:val="Hyperlink"/>
                  <w:sz w:val="20"/>
                  <w:lang w:val="fr-CA"/>
                </w:rPr>
                <w:t>2017 CF 557</w:t>
              </w:r>
            </w:hyperlink>
          </w:p>
          <w:p w:rsidR="00F7565E" w:rsidRPr="0087010C" w:rsidRDefault="00F7565E" w:rsidP="00211A38">
            <w:pPr>
              <w:jc w:val="both"/>
              <w:rPr>
                <w:sz w:val="20"/>
                <w:lang w:val="fr-CA"/>
              </w:rPr>
            </w:pPr>
          </w:p>
        </w:tc>
        <w:tc>
          <w:tcPr>
            <w:tcW w:w="243" w:type="pct"/>
          </w:tcPr>
          <w:p w:rsidR="00F7565E" w:rsidRPr="0087010C" w:rsidRDefault="00F7565E" w:rsidP="00211A38">
            <w:pPr>
              <w:jc w:val="both"/>
              <w:rPr>
                <w:sz w:val="20"/>
                <w:lang w:val="fr-CA"/>
              </w:rPr>
            </w:pPr>
          </w:p>
        </w:tc>
        <w:tc>
          <w:tcPr>
            <w:tcW w:w="2330" w:type="pct"/>
          </w:tcPr>
          <w:p w:rsidR="00F7565E" w:rsidRPr="0087010C" w:rsidRDefault="00F7565E" w:rsidP="00211A38">
            <w:pPr>
              <w:jc w:val="both"/>
              <w:rPr>
                <w:sz w:val="20"/>
                <w:lang w:val="fr-CA"/>
              </w:rPr>
            </w:pPr>
            <w:r w:rsidRPr="0087010C">
              <w:rPr>
                <w:sz w:val="20"/>
                <w:lang w:val="fr-CA"/>
              </w:rPr>
              <w:t xml:space="preserve">Rejet de la demande fondée sur </w:t>
            </w:r>
            <w:proofErr w:type="gramStart"/>
            <w:r w:rsidRPr="0087010C">
              <w:rPr>
                <w:sz w:val="20"/>
                <w:lang w:val="fr-CA"/>
              </w:rPr>
              <w:t>les art</w:t>
            </w:r>
            <w:proofErr w:type="gramEnd"/>
            <w:r w:rsidRPr="0087010C">
              <w:rPr>
                <w:sz w:val="20"/>
                <w:lang w:val="fr-CA"/>
              </w:rPr>
              <w:t xml:space="preserve">. 18 et 18.1 de la </w:t>
            </w:r>
            <w:r w:rsidRPr="0087010C">
              <w:rPr>
                <w:i/>
                <w:sz w:val="20"/>
                <w:lang w:val="fr-CA"/>
              </w:rPr>
              <w:t>Loi sur les Cours fédérales</w:t>
            </w:r>
            <w:r w:rsidRPr="0087010C">
              <w:rPr>
                <w:sz w:val="20"/>
                <w:lang w:val="fr-CA"/>
              </w:rPr>
              <w:t>, L.R.C. 1985, ch. F</w:t>
            </w:r>
            <w:r w:rsidRPr="0087010C">
              <w:rPr>
                <w:sz w:val="20"/>
                <w:lang w:val="fr-CA"/>
              </w:rPr>
              <w:noBreakHyphen/>
              <w:t xml:space="preserve">7, réclamant un jugement déclaratoire et d’autres réparations </w:t>
            </w:r>
          </w:p>
        </w:tc>
      </w:tr>
      <w:tr w:rsidR="00F7565E" w:rsidRPr="0087010C" w:rsidTr="00211A38">
        <w:tc>
          <w:tcPr>
            <w:tcW w:w="2427" w:type="pct"/>
            <w:gridSpan w:val="2"/>
          </w:tcPr>
          <w:p w:rsidR="00F7565E" w:rsidRPr="0087010C" w:rsidRDefault="00F7565E" w:rsidP="00211A38">
            <w:pPr>
              <w:jc w:val="both"/>
              <w:rPr>
                <w:sz w:val="20"/>
                <w:lang w:val="fr-CA"/>
              </w:rPr>
            </w:pPr>
            <w:r w:rsidRPr="0087010C">
              <w:rPr>
                <w:sz w:val="20"/>
                <w:lang w:val="fr-CA"/>
              </w:rPr>
              <w:t>7 décembre 2018</w:t>
            </w:r>
          </w:p>
          <w:p w:rsidR="00F7565E" w:rsidRPr="0087010C" w:rsidRDefault="00F7565E" w:rsidP="00211A38">
            <w:pPr>
              <w:jc w:val="both"/>
              <w:rPr>
                <w:sz w:val="20"/>
                <w:lang w:val="fr-CA"/>
              </w:rPr>
            </w:pPr>
            <w:r w:rsidRPr="0087010C">
              <w:rPr>
                <w:sz w:val="20"/>
                <w:lang w:val="fr-CA"/>
              </w:rPr>
              <w:t>Cour d’appel fédérale</w:t>
            </w:r>
          </w:p>
          <w:p w:rsidR="00F7565E" w:rsidRPr="0087010C" w:rsidRDefault="00F7565E" w:rsidP="00211A38">
            <w:pPr>
              <w:jc w:val="both"/>
              <w:rPr>
                <w:sz w:val="20"/>
                <w:lang w:val="fr-CA"/>
              </w:rPr>
            </w:pPr>
            <w:r w:rsidRPr="0087010C">
              <w:rPr>
                <w:sz w:val="20"/>
                <w:lang w:val="fr-CA"/>
              </w:rPr>
              <w:t xml:space="preserve">(Juges Gauthier, </w:t>
            </w:r>
            <w:proofErr w:type="spellStart"/>
            <w:r w:rsidRPr="0087010C">
              <w:rPr>
                <w:sz w:val="20"/>
                <w:lang w:val="fr-CA"/>
              </w:rPr>
              <w:t>Gleason</w:t>
            </w:r>
            <w:proofErr w:type="spellEnd"/>
            <w:r w:rsidRPr="0087010C">
              <w:rPr>
                <w:sz w:val="20"/>
                <w:lang w:val="fr-CA"/>
              </w:rPr>
              <w:t xml:space="preserve"> et Woods)</w:t>
            </w:r>
          </w:p>
          <w:p w:rsidR="00F7565E" w:rsidRPr="0087010C" w:rsidRDefault="003A218E" w:rsidP="00211A38">
            <w:pPr>
              <w:jc w:val="both"/>
              <w:rPr>
                <w:sz w:val="20"/>
                <w:lang w:val="fr-CA"/>
              </w:rPr>
            </w:pPr>
            <w:hyperlink r:id="rId68" w:history="1">
              <w:r w:rsidR="00F7565E" w:rsidRPr="0087010C">
                <w:rPr>
                  <w:rStyle w:val="Hyperlink"/>
                  <w:sz w:val="20"/>
                  <w:lang w:val="fr-CA"/>
                </w:rPr>
                <w:t>2018 FCA 223</w:t>
              </w:r>
            </w:hyperlink>
          </w:p>
          <w:p w:rsidR="00F7565E" w:rsidRPr="0087010C" w:rsidRDefault="00F7565E" w:rsidP="00211A38">
            <w:pPr>
              <w:jc w:val="both"/>
              <w:rPr>
                <w:sz w:val="20"/>
                <w:lang w:val="fr-CA"/>
              </w:rPr>
            </w:pPr>
          </w:p>
        </w:tc>
        <w:tc>
          <w:tcPr>
            <w:tcW w:w="243" w:type="pct"/>
          </w:tcPr>
          <w:p w:rsidR="00F7565E" w:rsidRPr="0087010C" w:rsidRDefault="00F7565E" w:rsidP="00211A38">
            <w:pPr>
              <w:jc w:val="both"/>
              <w:rPr>
                <w:sz w:val="20"/>
                <w:lang w:val="fr-CA"/>
              </w:rPr>
            </w:pPr>
          </w:p>
        </w:tc>
        <w:tc>
          <w:tcPr>
            <w:tcW w:w="2330" w:type="pct"/>
          </w:tcPr>
          <w:p w:rsidR="00F7565E" w:rsidRPr="0087010C" w:rsidRDefault="00F7565E" w:rsidP="00211A38">
            <w:pPr>
              <w:jc w:val="both"/>
              <w:rPr>
                <w:sz w:val="20"/>
                <w:lang w:val="fr-CA"/>
              </w:rPr>
            </w:pPr>
            <w:r w:rsidRPr="0087010C">
              <w:rPr>
                <w:sz w:val="20"/>
                <w:lang w:val="fr-CA"/>
              </w:rPr>
              <w:t>Rejet de l’appel</w:t>
            </w:r>
          </w:p>
          <w:p w:rsidR="00F7565E" w:rsidRPr="0087010C" w:rsidRDefault="00F7565E" w:rsidP="00211A38">
            <w:pPr>
              <w:jc w:val="both"/>
              <w:rPr>
                <w:sz w:val="20"/>
                <w:lang w:val="fr-CA"/>
              </w:rPr>
            </w:pPr>
          </w:p>
        </w:tc>
      </w:tr>
      <w:tr w:rsidR="00F7565E" w:rsidRPr="003A218E" w:rsidTr="00211A38">
        <w:tc>
          <w:tcPr>
            <w:tcW w:w="2427" w:type="pct"/>
            <w:gridSpan w:val="2"/>
          </w:tcPr>
          <w:p w:rsidR="00F7565E" w:rsidRPr="0087010C" w:rsidRDefault="00F7565E" w:rsidP="00211A38">
            <w:pPr>
              <w:jc w:val="both"/>
              <w:rPr>
                <w:sz w:val="20"/>
                <w:lang w:val="fr-CA"/>
              </w:rPr>
            </w:pPr>
            <w:r w:rsidRPr="0087010C">
              <w:rPr>
                <w:sz w:val="20"/>
                <w:lang w:val="fr-CA"/>
              </w:rPr>
              <w:t>5 février 2019</w:t>
            </w:r>
          </w:p>
          <w:p w:rsidR="00F7565E" w:rsidRPr="0087010C" w:rsidRDefault="00F7565E" w:rsidP="00211A38">
            <w:pPr>
              <w:jc w:val="both"/>
              <w:rPr>
                <w:sz w:val="20"/>
                <w:lang w:val="fr-CA"/>
              </w:rPr>
            </w:pPr>
            <w:r w:rsidRPr="0087010C">
              <w:rPr>
                <w:sz w:val="20"/>
                <w:lang w:val="fr-CA"/>
              </w:rPr>
              <w:t>Cour suprême du Canada</w:t>
            </w:r>
          </w:p>
        </w:tc>
        <w:tc>
          <w:tcPr>
            <w:tcW w:w="243" w:type="pct"/>
          </w:tcPr>
          <w:p w:rsidR="00F7565E" w:rsidRPr="0087010C" w:rsidRDefault="00F7565E" w:rsidP="00211A38">
            <w:pPr>
              <w:jc w:val="both"/>
              <w:rPr>
                <w:sz w:val="20"/>
                <w:lang w:val="fr-CA"/>
              </w:rPr>
            </w:pPr>
          </w:p>
        </w:tc>
        <w:tc>
          <w:tcPr>
            <w:tcW w:w="2330" w:type="pct"/>
          </w:tcPr>
          <w:p w:rsidR="00F7565E" w:rsidRPr="0087010C" w:rsidRDefault="00F7565E" w:rsidP="00211A38">
            <w:pPr>
              <w:jc w:val="both"/>
              <w:rPr>
                <w:sz w:val="20"/>
                <w:lang w:val="fr-CA"/>
              </w:rPr>
            </w:pPr>
            <w:r w:rsidRPr="0087010C">
              <w:rPr>
                <w:sz w:val="20"/>
                <w:lang w:val="fr-CA"/>
              </w:rPr>
              <w:t>Dépôt de la demande d’autorisation d’appel</w:t>
            </w:r>
          </w:p>
          <w:p w:rsidR="00F7565E" w:rsidRPr="0087010C" w:rsidRDefault="00F7565E" w:rsidP="00211A38">
            <w:pPr>
              <w:jc w:val="both"/>
              <w:rPr>
                <w:sz w:val="20"/>
                <w:lang w:val="fr-CA"/>
              </w:rPr>
            </w:pPr>
          </w:p>
        </w:tc>
      </w:tr>
    </w:tbl>
    <w:p w:rsidR="00F7565E" w:rsidRPr="0087010C" w:rsidRDefault="00F7565E" w:rsidP="00F7565E">
      <w:pPr>
        <w:jc w:val="both"/>
        <w:rPr>
          <w:sz w:val="20"/>
          <w:lang w:val="fr-CA"/>
        </w:rPr>
      </w:pPr>
    </w:p>
    <w:p w:rsidR="00F7565E" w:rsidRPr="0087010C" w:rsidRDefault="003A218E" w:rsidP="00F7565E">
      <w:pPr>
        <w:jc w:val="both"/>
        <w:rPr>
          <w:sz w:val="20"/>
          <w:lang w:val="fr-CA"/>
        </w:rPr>
      </w:pPr>
      <w:r>
        <w:rPr>
          <w:sz w:val="20"/>
        </w:rPr>
        <w:pict>
          <v:rect id="_x0000_i1053" style="width:2in;height:1pt" o:hrpct="0" o:hralign="center" o:hrstd="t" o:hrnoshade="t" o:hr="t" fillcolor="black [3213]" stroked="f"/>
        </w:pict>
      </w:r>
    </w:p>
    <w:p w:rsidR="00F7565E" w:rsidRPr="0087010C" w:rsidRDefault="00F7565E" w:rsidP="00F7565E">
      <w:pPr>
        <w:ind w:left="142" w:hanging="142"/>
        <w:jc w:val="both"/>
        <w:rPr>
          <w:sz w:val="20"/>
          <w:lang w:val="fr-CA"/>
        </w:rPr>
      </w:pPr>
    </w:p>
    <w:p w:rsidR="00F7565E" w:rsidRDefault="00F7565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565E" w:rsidRPr="0087010C" w:rsidTr="00211A38">
        <w:tc>
          <w:tcPr>
            <w:tcW w:w="543" w:type="pct"/>
          </w:tcPr>
          <w:p w:rsidR="00F7565E" w:rsidRPr="0087010C" w:rsidRDefault="00F7565E" w:rsidP="00211A38">
            <w:pPr>
              <w:jc w:val="both"/>
              <w:rPr>
                <w:sz w:val="20"/>
              </w:rPr>
            </w:pPr>
            <w:r w:rsidRPr="0087010C">
              <w:rPr>
                <w:rStyle w:val="SCCFileNumberChar"/>
                <w:sz w:val="20"/>
                <w:szCs w:val="20"/>
              </w:rPr>
              <w:lastRenderedPageBreak/>
              <w:t>38487</w:t>
            </w:r>
          </w:p>
        </w:tc>
        <w:tc>
          <w:tcPr>
            <w:tcW w:w="4457" w:type="pct"/>
            <w:gridSpan w:val="3"/>
          </w:tcPr>
          <w:p w:rsidR="00F7565E" w:rsidRPr="0087010C" w:rsidRDefault="00F7565E" w:rsidP="00211A38">
            <w:pPr>
              <w:pStyle w:val="SCCLsocParty"/>
              <w:jc w:val="both"/>
              <w:rPr>
                <w:b/>
                <w:sz w:val="20"/>
                <w:szCs w:val="20"/>
                <w:lang w:val="en-US"/>
              </w:rPr>
            </w:pPr>
            <w:r w:rsidRPr="0087010C">
              <w:rPr>
                <w:b/>
                <w:sz w:val="20"/>
                <w:szCs w:val="20"/>
                <w:lang w:val="en-US"/>
              </w:rPr>
              <w:t xml:space="preserve">Workers' Compensation Board of British Columbia v. Flanagan Enterprises (Nevada) Inc., Bill </w:t>
            </w:r>
            <w:proofErr w:type="spellStart"/>
            <w:r w:rsidRPr="0087010C">
              <w:rPr>
                <w:b/>
                <w:sz w:val="20"/>
                <w:szCs w:val="20"/>
                <w:lang w:val="en-US"/>
              </w:rPr>
              <w:t>Dause</w:t>
            </w:r>
            <w:proofErr w:type="spellEnd"/>
            <w:r>
              <w:rPr>
                <w:b/>
                <w:sz w:val="20"/>
                <w:szCs w:val="20"/>
                <w:lang w:val="en-US"/>
              </w:rPr>
              <w:t xml:space="preserve"> and</w:t>
            </w:r>
            <w:r w:rsidRPr="0087010C">
              <w:rPr>
                <w:b/>
                <w:sz w:val="20"/>
                <w:szCs w:val="20"/>
                <w:lang w:val="en-US"/>
              </w:rPr>
              <w:t xml:space="preserve"> Attorney General of Canada</w:t>
            </w:r>
          </w:p>
          <w:p w:rsidR="00F7565E" w:rsidRPr="0087010C" w:rsidRDefault="00F7565E" w:rsidP="00211A38">
            <w:pPr>
              <w:jc w:val="both"/>
              <w:rPr>
                <w:sz w:val="20"/>
              </w:rPr>
            </w:pPr>
            <w:r w:rsidRPr="0087010C">
              <w:rPr>
                <w:sz w:val="20"/>
              </w:rPr>
              <w:t>(B.C.) (Civil) (By Leave)</w:t>
            </w:r>
          </w:p>
        </w:tc>
      </w:tr>
      <w:tr w:rsidR="009B1A2E" w:rsidRPr="0087010C" w:rsidTr="009B1A2E">
        <w:tc>
          <w:tcPr>
            <w:tcW w:w="5000" w:type="pct"/>
            <w:gridSpan w:val="4"/>
          </w:tcPr>
          <w:p w:rsidR="009B1A2E" w:rsidRPr="00647612" w:rsidRDefault="009B1A2E" w:rsidP="009B1A2E">
            <w:pPr>
              <w:widowControl w:val="0"/>
              <w:rPr>
                <w:sz w:val="20"/>
              </w:rPr>
            </w:pPr>
            <w:r w:rsidRPr="00647612">
              <w:rPr>
                <w:sz w:val="20"/>
              </w:rPr>
              <w:t xml:space="preserve">The application for leave to appeal from the judgment of the Court of Appeal for British </w:t>
            </w:r>
            <w:r w:rsidRPr="00647612">
              <w:rPr>
                <w:spacing w:val="-2"/>
                <w:sz w:val="20"/>
              </w:rPr>
              <w:t xml:space="preserve">Columbia (Vancouver), Number CA44253, 2018 BCCA 459, dated November 23, 2018, is dismissed with </w:t>
            </w:r>
            <w:r w:rsidRPr="00647612">
              <w:rPr>
                <w:sz w:val="20"/>
              </w:rPr>
              <w:t>costs to the respondent, Attorney General of Canada.</w:t>
            </w:r>
          </w:p>
          <w:p w:rsidR="009B1A2E" w:rsidRPr="009B1A2E" w:rsidRDefault="009B1A2E" w:rsidP="00211A38">
            <w:pPr>
              <w:pStyle w:val="SCCLsocParty"/>
              <w:jc w:val="both"/>
              <w:rPr>
                <w:b/>
                <w:sz w:val="20"/>
                <w:szCs w:val="20"/>
                <w:lang w:val="en-CA"/>
              </w:rPr>
            </w:pPr>
          </w:p>
        </w:tc>
      </w:tr>
      <w:tr w:rsidR="00F7565E" w:rsidRPr="0087010C" w:rsidTr="00211A38">
        <w:tc>
          <w:tcPr>
            <w:tcW w:w="5000" w:type="pct"/>
            <w:gridSpan w:val="4"/>
          </w:tcPr>
          <w:p w:rsidR="00F7565E" w:rsidRPr="0087010C" w:rsidRDefault="00F7565E" w:rsidP="00211A38">
            <w:pPr>
              <w:jc w:val="both"/>
              <w:rPr>
                <w:sz w:val="20"/>
              </w:rPr>
            </w:pPr>
            <w:r w:rsidRPr="0087010C">
              <w:rPr>
                <w:sz w:val="20"/>
              </w:rPr>
              <w:t xml:space="preserve">Torts — Negligence — Duty of care — Subrogated claim — Workers’ Compensation Board of British Columbia — Aircraft crash — Aircraft registered in United States — Aircraft operating in Canada pursuant to arrangement between civil aviation authorities in Canada, United States and Mexico following ratification of </w:t>
            </w:r>
            <w:r w:rsidRPr="0087010C">
              <w:rPr>
                <w:i/>
                <w:sz w:val="20"/>
              </w:rPr>
              <w:t>North American Free Trade Agreement</w:t>
            </w:r>
            <w:r w:rsidRPr="0087010C">
              <w:rPr>
                <w:sz w:val="20"/>
              </w:rPr>
              <w:t xml:space="preserve"> — Ministry of Transport found not to have a duty of care — Whether the duties of care recognized prior to </w:t>
            </w:r>
            <w:r w:rsidRPr="0087010C">
              <w:rPr>
                <w:i/>
                <w:sz w:val="20"/>
              </w:rPr>
              <w:t>Cooper v. Hobart</w:t>
            </w:r>
            <w:r w:rsidRPr="0087010C">
              <w:rPr>
                <w:sz w:val="20"/>
              </w:rPr>
              <w:t>, 2001 SCC 79, are still good law — Whether policy procedures that were designed to implement international agreements that had not been adopted into domestic law transfer primary regulatory authority to foreign government agency, thereby immunizing the Canadian regulator from potential tort liability.</w:t>
            </w:r>
          </w:p>
        </w:tc>
      </w:tr>
      <w:tr w:rsidR="00F7565E" w:rsidRPr="0087010C" w:rsidTr="00211A38">
        <w:tc>
          <w:tcPr>
            <w:tcW w:w="5000" w:type="pct"/>
            <w:gridSpan w:val="4"/>
          </w:tcPr>
          <w:p w:rsidR="00F7565E" w:rsidRPr="0087010C" w:rsidRDefault="00F7565E" w:rsidP="00211A38">
            <w:pPr>
              <w:jc w:val="both"/>
              <w:rPr>
                <w:sz w:val="20"/>
              </w:rPr>
            </w:pPr>
          </w:p>
        </w:tc>
      </w:tr>
      <w:tr w:rsidR="00F7565E" w:rsidRPr="0087010C" w:rsidTr="00211A38">
        <w:tc>
          <w:tcPr>
            <w:tcW w:w="5000" w:type="pct"/>
            <w:gridSpan w:val="4"/>
          </w:tcPr>
          <w:p w:rsidR="00F7565E" w:rsidRPr="0087010C" w:rsidRDefault="00F7565E" w:rsidP="00211A38">
            <w:pPr>
              <w:jc w:val="both"/>
              <w:rPr>
                <w:sz w:val="20"/>
              </w:rPr>
            </w:pPr>
            <w:r w:rsidRPr="0087010C">
              <w:rPr>
                <w:sz w:val="20"/>
              </w:rPr>
              <w:t xml:space="preserve">On August 3, 2008, an aircraft registered in the United States, and leased to Pacific Skydivers by Bill </w:t>
            </w:r>
            <w:proofErr w:type="spellStart"/>
            <w:r w:rsidRPr="0087010C">
              <w:rPr>
                <w:sz w:val="20"/>
              </w:rPr>
              <w:t>Dause</w:t>
            </w:r>
            <w:proofErr w:type="spellEnd"/>
            <w:r w:rsidRPr="0087010C">
              <w:rPr>
                <w:sz w:val="20"/>
              </w:rPr>
              <w:t xml:space="preserve"> for the purposes of skydiving, crashed when its left engine lost power and Ian Flanagan, the pilot, mistakenly turned the right engine off. It was later found that the left engine lost power due to problems with its fuel pump. Transport Canada had knowledge of issues relating to another aircraft leased to Pacific Skydiving by Mr. </w:t>
            </w:r>
            <w:proofErr w:type="spellStart"/>
            <w:r w:rsidRPr="0087010C">
              <w:rPr>
                <w:sz w:val="20"/>
              </w:rPr>
              <w:t>Dause</w:t>
            </w:r>
            <w:proofErr w:type="spellEnd"/>
            <w:r w:rsidRPr="0087010C">
              <w:rPr>
                <w:sz w:val="20"/>
              </w:rPr>
              <w:t>. An injured passenger launched suit against several parties including Transport Canada. The passenger alleged that Transport Canada had a duty of care, and that it had failed to meet that duty.</w:t>
            </w:r>
          </w:p>
          <w:p w:rsidR="00F7565E" w:rsidRPr="0087010C" w:rsidRDefault="00F7565E" w:rsidP="00211A38">
            <w:pPr>
              <w:jc w:val="both"/>
              <w:rPr>
                <w:sz w:val="20"/>
              </w:rPr>
            </w:pPr>
          </w:p>
          <w:p w:rsidR="00F7565E" w:rsidRPr="0087010C" w:rsidRDefault="00F7565E" w:rsidP="00211A38">
            <w:pPr>
              <w:jc w:val="both"/>
              <w:rPr>
                <w:sz w:val="20"/>
              </w:rPr>
            </w:pPr>
            <w:r w:rsidRPr="0087010C">
              <w:rPr>
                <w:sz w:val="20"/>
              </w:rPr>
              <w:t>The trial judge found the pilot and the American mechanic who had inspected the left engine liable. He found that Transport Canada was not liable as it did not owe a duty of care to the injured party. The Court of Appeal dismissed the appeal.</w:t>
            </w:r>
          </w:p>
          <w:p w:rsidR="00F7565E" w:rsidRPr="0087010C" w:rsidRDefault="00F7565E" w:rsidP="00211A38">
            <w:pPr>
              <w:jc w:val="both"/>
              <w:rPr>
                <w:sz w:val="20"/>
              </w:rPr>
            </w:pPr>
          </w:p>
        </w:tc>
      </w:tr>
      <w:tr w:rsidR="00F7565E" w:rsidRPr="0087010C" w:rsidTr="00211A38">
        <w:tc>
          <w:tcPr>
            <w:tcW w:w="2427" w:type="pct"/>
            <w:gridSpan w:val="2"/>
          </w:tcPr>
          <w:p w:rsidR="00F7565E" w:rsidRPr="0087010C" w:rsidRDefault="00F7565E" w:rsidP="00211A38">
            <w:pPr>
              <w:jc w:val="both"/>
              <w:rPr>
                <w:sz w:val="20"/>
              </w:rPr>
            </w:pPr>
            <w:r w:rsidRPr="0087010C">
              <w:rPr>
                <w:sz w:val="20"/>
              </w:rPr>
              <w:t>January 23, 2017</w:t>
            </w:r>
          </w:p>
          <w:p w:rsidR="00F7565E" w:rsidRPr="0087010C" w:rsidRDefault="00F7565E" w:rsidP="00211A38">
            <w:pPr>
              <w:jc w:val="both"/>
              <w:rPr>
                <w:sz w:val="20"/>
              </w:rPr>
            </w:pPr>
            <w:r w:rsidRPr="0087010C">
              <w:rPr>
                <w:sz w:val="20"/>
              </w:rPr>
              <w:t>Supreme Court of British Columbia</w:t>
            </w:r>
          </w:p>
          <w:p w:rsidR="00F7565E" w:rsidRPr="0087010C" w:rsidRDefault="00F7565E" w:rsidP="00211A38">
            <w:pPr>
              <w:jc w:val="both"/>
              <w:rPr>
                <w:sz w:val="20"/>
              </w:rPr>
            </w:pPr>
            <w:r w:rsidRPr="0087010C">
              <w:rPr>
                <w:sz w:val="20"/>
              </w:rPr>
              <w:t>(</w:t>
            </w:r>
            <w:proofErr w:type="spellStart"/>
            <w:r w:rsidRPr="0087010C">
              <w:rPr>
                <w:sz w:val="20"/>
              </w:rPr>
              <w:t>Grauer</w:t>
            </w:r>
            <w:proofErr w:type="spellEnd"/>
            <w:r w:rsidRPr="0087010C">
              <w:rPr>
                <w:sz w:val="20"/>
              </w:rPr>
              <w:t xml:space="preserve"> J.)</w:t>
            </w:r>
          </w:p>
          <w:p w:rsidR="00F7565E" w:rsidRPr="0087010C" w:rsidRDefault="003A218E" w:rsidP="00211A38">
            <w:pPr>
              <w:jc w:val="both"/>
              <w:rPr>
                <w:sz w:val="20"/>
              </w:rPr>
            </w:pPr>
            <w:hyperlink r:id="rId69" w:history="1">
              <w:r w:rsidR="00F7565E" w:rsidRPr="0087010C">
                <w:rPr>
                  <w:rStyle w:val="Hyperlink"/>
                  <w:sz w:val="20"/>
                </w:rPr>
                <w:t>2017 BCSC 99</w:t>
              </w:r>
            </w:hyperlink>
          </w:p>
          <w:p w:rsidR="00F7565E" w:rsidRPr="0087010C" w:rsidRDefault="00F7565E" w:rsidP="00211A38">
            <w:pPr>
              <w:jc w:val="both"/>
              <w:rPr>
                <w:sz w:val="20"/>
              </w:rPr>
            </w:pPr>
          </w:p>
        </w:tc>
        <w:tc>
          <w:tcPr>
            <w:tcW w:w="243" w:type="pct"/>
          </w:tcPr>
          <w:p w:rsidR="00F7565E" w:rsidRPr="0087010C" w:rsidRDefault="00F7565E" w:rsidP="00211A38">
            <w:pPr>
              <w:jc w:val="both"/>
              <w:rPr>
                <w:sz w:val="20"/>
              </w:rPr>
            </w:pPr>
          </w:p>
        </w:tc>
        <w:tc>
          <w:tcPr>
            <w:tcW w:w="2330" w:type="pct"/>
          </w:tcPr>
          <w:p w:rsidR="00F7565E" w:rsidRPr="0087010C" w:rsidRDefault="00F7565E" w:rsidP="00211A38">
            <w:pPr>
              <w:jc w:val="both"/>
              <w:rPr>
                <w:sz w:val="20"/>
              </w:rPr>
            </w:pPr>
            <w:r w:rsidRPr="0087010C">
              <w:rPr>
                <w:sz w:val="20"/>
              </w:rPr>
              <w:t xml:space="preserve">Claims against the Attorney General of Canada, Flanagan Enterprises (Nevada) Inc., and Bill </w:t>
            </w:r>
            <w:proofErr w:type="spellStart"/>
            <w:r w:rsidRPr="0087010C">
              <w:rPr>
                <w:sz w:val="20"/>
              </w:rPr>
              <w:t>Dause</w:t>
            </w:r>
            <w:proofErr w:type="spellEnd"/>
            <w:r w:rsidRPr="0087010C">
              <w:rPr>
                <w:sz w:val="20"/>
              </w:rPr>
              <w:t xml:space="preserve"> dismissed; claim against Gary Wendell Johnson allowed; Ashe Aircraft Enterprises Ltd. found not liable; fault apportioned at 50% to Johnson and 50% to Ian Flanagan/Pacific Skydivers Ltd. </w:t>
            </w:r>
          </w:p>
          <w:p w:rsidR="00F7565E" w:rsidRPr="0087010C" w:rsidRDefault="00F7565E" w:rsidP="00211A38">
            <w:pPr>
              <w:jc w:val="both"/>
              <w:rPr>
                <w:sz w:val="20"/>
              </w:rPr>
            </w:pPr>
          </w:p>
        </w:tc>
      </w:tr>
      <w:tr w:rsidR="00F7565E" w:rsidRPr="0087010C" w:rsidTr="00211A38">
        <w:tc>
          <w:tcPr>
            <w:tcW w:w="2427" w:type="pct"/>
            <w:gridSpan w:val="2"/>
          </w:tcPr>
          <w:p w:rsidR="00F7565E" w:rsidRPr="0087010C" w:rsidRDefault="00F7565E" w:rsidP="00211A38">
            <w:pPr>
              <w:jc w:val="both"/>
              <w:rPr>
                <w:sz w:val="20"/>
              </w:rPr>
            </w:pPr>
            <w:r w:rsidRPr="0087010C">
              <w:rPr>
                <w:sz w:val="20"/>
              </w:rPr>
              <w:t>November 23, 2018</w:t>
            </w:r>
          </w:p>
          <w:p w:rsidR="00F7565E" w:rsidRPr="0087010C" w:rsidRDefault="00F7565E" w:rsidP="00211A38">
            <w:pPr>
              <w:jc w:val="both"/>
              <w:rPr>
                <w:sz w:val="20"/>
              </w:rPr>
            </w:pPr>
            <w:r w:rsidRPr="0087010C">
              <w:rPr>
                <w:sz w:val="20"/>
              </w:rPr>
              <w:t xml:space="preserve">Court of Appeal for British Columbia </w:t>
            </w:r>
          </w:p>
          <w:p w:rsidR="00F7565E" w:rsidRPr="0087010C" w:rsidRDefault="00F7565E" w:rsidP="00211A38">
            <w:pPr>
              <w:jc w:val="both"/>
              <w:rPr>
                <w:sz w:val="20"/>
              </w:rPr>
            </w:pPr>
            <w:r w:rsidRPr="0087010C">
              <w:rPr>
                <w:sz w:val="20"/>
              </w:rPr>
              <w:t>(Vancouver)</w:t>
            </w:r>
          </w:p>
          <w:p w:rsidR="00F7565E" w:rsidRPr="0087010C" w:rsidRDefault="00F7565E" w:rsidP="00211A38">
            <w:pPr>
              <w:jc w:val="both"/>
              <w:rPr>
                <w:sz w:val="20"/>
              </w:rPr>
            </w:pPr>
            <w:r w:rsidRPr="0087010C">
              <w:rPr>
                <w:sz w:val="20"/>
              </w:rPr>
              <w:t>(Frankel, MacKenzie, Harris JJ.A.)</w:t>
            </w:r>
          </w:p>
          <w:p w:rsidR="00F7565E" w:rsidRPr="0087010C" w:rsidRDefault="003A218E" w:rsidP="00211A38">
            <w:pPr>
              <w:jc w:val="both"/>
              <w:rPr>
                <w:sz w:val="20"/>
              </w:rPr>
            </w:pPr>
            <w:hyperlink r:id="rId70" w:history="1">
              <w:r w:rsidR="00F7565E" w:rsidRPr="0087010C">
                <w:rPr>
                  <w:rStyle w:val="Hyperlink"/>
                  <w:sz w:val="20"/>
                </w:rPr>
                <w:t>2018 BCCA 459</w:t>
              </w:r>
            </w:hyperlink>
          </w:p>
          <w:p w:rsidR="00F7565E" w:rsidRPr="0087010C" w:rsidRDefault="00F7565E" w:rsidP="00211A38">
            <w:pPr>
              <w:jc w:val="both"/>
              <w:rPr>
                <w:sz w:val="20"/>
              </w:rPr>
            </w:pPr>
          </w:p>
        </w:tc>
        <w:tc>
          <w:tcPr>
            <w:tcW w:w="243" w:type="pct"/>
          </w:tcPr>
          <w:p w:rsidR="00F7565E" w:rsidRPr="0087010C" w:rsidRDefault="00F7565E" w:rsidP="00211A38">
            <w:pPr>
              <w:jc w:val="both"/>
              <w:rPr>
                <w:sz w:val="20"/>
              </w:rPr>
            </w:pPr>
          </w:p>
        </w:tc>
        <w:tc>
          <w:tcPr>
            <w:tcW w:w="2330" w:type="pct"/>
          </w:tcPr>
          <w:p w:rsidR="00F7565E" w:rsidRPr="0087010C" w:rsidRDefault="00F7565E" w:rsidP="00211A38">
            <w:pPr>
              <w:jc w:val="both"/>
              <w:rPr>
                <w:sz w:val="20"/>
              </w:rPr>
            </w:pPr>
            <w:r w:rsidRPr="0087010C">
              <w:rPr>
                <w:sz w:val="20"/>
              </w:rPr>
              <w:t>Appeal dismissed</w:t>
            </w:r>
          </w:p>
        </w:tc>
      </w:tr>
      <w:tr w:rsidR="00F7565E" w:rsidRPr="0087010C" w:rsidTr="00211A38">
        <w:tc>
          <w:tcPr>
            <w:tcW w:w="2427" w:type="pct"/>
            <w:gridSpan w:val="2"/>
          </w:tcPr>
          <w:p w:rsidR="00F7565E" w:rsidRPr="0087010C" w:rsidRDefault="00F7565E" w:rsidP="00211A38">
            <w:pPr>
              <w:jc w:val="both"/>
              <w:rPr>
                <w:sz w:val="20"/>
              </w:rPr>
            </w:pPr>
            <w:r w:rsidRPr="0087010C">
              <w:rPr>
                <w:sz w:val="20"/>
              </w:rPr>
              <w:t>January 22, 2019</w:t>
            </w:r>
          </w:p>
          <w:p w:rsidR="00F7565E" w:rsidRPr="0087010C" w:rsidRDefault="00F7565E" w:rsidP="00211A38">
            <w:pPr>
              <w:jc w:val="both"/>
              <w:rPr>
                <w:sz w:val="20"/>
              </w:rPr>
            </w:pPr>
            <w:r w:rsidRPr="0087010C">
              <w:rPr>
                <w:sz w:val="20"/>
              </w:rPr>
              <w:t>Supreme Court of Canada</w:t>
            </w:r>
          </w:p>
        </w:tc>
        <w:tc>
          <w:tcPr>
            <w:tcW w:w="243" w:type="pct"/>
          </w:tcPr>
          <w:p w:rsidR="00F7565E" w:rsidRPr="0087010C" w:rsidRDefault="00F7565E" w:rsidP="00211A38">
            <w:pPr>
              <w:jc w:val="both"/>
              <w:rPr>
                <w:sz w:val="20"/>
              </w:rPr>
            </w:pPr>
          </w:p>
        </w:tc>
        <w:tc>
          <w:tcPr>
            <w:tcW w:w="2330" w:type="pct"/>
          </w:tcPr>
          <w:p w:rsidR="00F7565E" w:rsidRPr="0087010C" w:rsidRDefault="00F7565E" w:rsidP="00211A38">
            <w:pPr>
              <w:jc w:val="both"/>
              <w:rPr>
                <w:sz w:val="20"/>
              </w:rPr>
            </w:pPr>
            <w:r w:rsidRPr="0087010C">
              <w:rPr>
                <w:sz w:val="20"/>
              </w:rPr>
              <w:t>Application for leave to appeal filed</w:t>
            </w:r>
          </w:p>
          <w:p w:rsidR="00F7565E" w:rsidRPr="0087010C" w:rsidRDefault="00F7565E" w:rsidP="00211A38">
            <w:pPr>
              <w:jc w:val="both"/>
              <w:rPr>
                <w:sz w:val="20"/>
              </w:rPr>
            </w:pPr>
          </w:p>
        </w:tc>
      </w:tr>
    </w:tbl>
    <w:p w:rsidR="00F7565E" w:rsidRPr="0087010C" w:rsidRDefault="00F7565E" w:rsidP="00F7565E">
      <w:pPr>
        <w:jc w:val="both"/>
        <w:rPr>
          <w:sz w:val="20"/>
        </w:rPr>
      </w:pPr>
    </w:p>
    <w:p w:rsidR="00F7565E" w:rsidRPr="0087010C" w:rsidRDefault="00F7565E" w:rsidP="00F7565E">
      <w:pPr>
        <w:jc w:val="both"/>
        <w:rPr>
          <w:sz w:val="20"/>
        </w:rPr>
      </w:pPr>
    </w:p>
    <w:p w:rsidR="00F7565E" w:rsidRPr="0087010C" w:rsidRDefault="00F7565E" w:rsidP="00F7565E">
      <w:pPr>
        <w:jc w:val="both"/>
        <w:rPr>
          <w:sz w:val="20"/>
        </w:rPr>
      </w:pPr>
    </w:p>
    <w:p w:rsidR="00F7565E" w:rsidRDefault="00F7565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7565E" w:rsidRPr="0087010C" w:rsidTr="00211A38">
        <w:tc>
          <w:tcPr>
            <w:tcW w:w="543" w:type="pct"/>
          </w:tcPr>
          <w:p w:rsidR="00F7565E" w:rsidRPr="0087010C" w:rsidRDefault="00F7565E" w:rsidP="00211A38">
            <w:pPr>
              <w:jc w:val="both"/>
              <w:rPr>
                <w:sz w:val="20"/>
                <w:lang w:val="fr-CA"/>
              </w:rPr>
            </w:pPr>
            <w:r w:rsidRPr="0087010C">
              <w:rPr>
                <w:rStyle w:val="SCCFileNumberChar"/>
                <w:sz w:val="20"/>
                <w:szCs w:val="20"/>
                <w:lang w:val="fr-CA"/>
              </w:rPr>
              <w:lastRenderedPageBreak/>
              <w:t>38487</w:t>
            </w:r>
          </w:p>
        </w:tc>
        <w:tc>
          <w:tcPr>
            <w:tcW w:w="4457" w:type="pct"/>
            <w:gridSpan w:val="3"/>
          </w:tcPr>
          <w:p w:rsidR="00F7565E" w:rsidRPr="0087010C" w:rsidRDefault="00F7565E" w:rsidP="00211A38">
            <w:pPr>
              <w:pStyle w:val="SCCLsocParty"/>
              <w:jc w:val="both"/>
              <w:rPr>
                <w:b/>
                <w:sz w:val="20"/>
                <w:szCs w:val="20"/>
                <w:lang w:val="en-US"/>
              </w:rPr>
            </w:pPr>
            <w:r w:rsidRPr="0087010C">
              <w:rPr>
                <w:b/>
                <w:sz w:val="20"/>
                <w:szCs w:val="20"/>
                <w:lang w:val="en-US"/>
              </w:rPr>
              <w:t xml:space="preserve">Workers' Compensation Board of British Columbia c. Flanagan Enterprises (Nevada) Inc., Bill </w:t>
            </w:r>
            <w:proofErr w:type="spellStart"/>
            <w:r w:rsidRPr="0087010C">
              <w:rPr>
                <w:b/>
                <w:sz w:val="20"/>
                <w:szCs w:val="20"/>
                <w:lang w:val="en-US"/>
              </w:rPr>
              <w:t>Dause</w:t>
            </w:r>
            <w:proofErr w:type="spellEnd"/>
            <w:r>
              <w:rPr>
                <w:b/>
                <w:sz w:val="20"/>
                <w:szCs w:val="20"/>
                <w:lang w:val="en-US"/>
              </w:rPr>
              <w:t xml:space="preserve"> et</w:t>
            </w:r>
            <w:r w:rsidRPr="0087010C">
              <w:rPr>
                <w:b/>
                <w:sz w:val="20"/>
                <w:szCs w:val="20"/>
                <w:lang w:val="en-US"/>
              </w:rPr>
              <w:t xml:space="preserve"> </w:t>
            </w:r>
            <w:proofErr w:type="spellStart"/>
            <w:r>
              <w:rPr>
                <w:b/>
                <w:sz w:val="20"/>
                <w:szCs w:val="20"/>
                <w:lang w:val="en-US"/>
              </w:rPr>
              <w:t>p</w:t>
            </w:r>
            <w:r w:rsidRPr="0087010C">
              <w:rPr>
                <w:b/>
                <w:sz w:val="20"/>
                <w:szCs w:val="20"/>
                <w:lang w:val="en-US"/>
              </w:rPr>
              <w:t>rocureur</w:t>
            </w:r>
            <w:proofErr w:type="spellEnd"/>
            <w:r w:rsidRPr="0087010C">
              <w:rPr>
                <w:b/>
                <w:sz w:val="20"/>
                <w:szCs w:val="20"/>
                <w:lang w:val="en-US"/>
              </w:rPr>
              <w:t xml:space="preserve"> </w:t>
            </w:r>
            <w:proofErr w:type="spellStart"/>
            <w:r w:rsidRPr="0087010C">
              <w:rPr>
                <w:b/>
                <w:sz w:val="20"/>
                <w:szCs w:val="20"/>
                <w:lang w:val="en-US"/>
              </w:rPr>
              <w:t>général</w:t>
            </w:r>
            <w:proofErr w:type="spellEnd"/>
            <w:r w:rsidRPr="0087010C">
              <w:rPr>
                <w:b/>
                <w:sz w:val="20"/>
                <w:szCs w:val="20"/>
                <w:lang w:val="en-US"/>
              </w:rPr>
              <w:t xml:space="preserve"> du Canada</w:t>
            </w:r>
          </w:p>
          <w:p w:rsidR="00F7565E" w:rsidRPr="0087010C" w:rsidRDefault="00F7565E" w:rsidP="00211A38">
            <w:pPr>
              <w:jc w:val="both"/>
              <w:rPr>
                <w:sz w:val="20"/>
                <w:lang w:val="fr-CA"/>
              </w:rPr>
            </w:pPr>
            <w:r w:rsidRPr="0087010C">
              <w:rPr>
                <w:sz w:val="20"/>
                <w:lang w:val="fr-CA"/>
              </w:rPr>
              <w:t>(C.-B.) (Civile) (Autorisation)</w:t>
            </w:r>
          </w:p>
        </w:tc>
      </w:tr>
      <w:tr w:rsidR="009B1A2E" w:rsidRPr="003A218E" w:rsidTr="009B1A2E">
        <w:tc>
          <w:tcPr>
            <w:tcW w:w="5000" w:type="pct"/>
            <w:gridSpan w:val="4"/>
          </w:tcPr>
          <w:p w:rsidR="009B1A2E" w:rsidRPr="00647612" w:rsidRDefault="009B1A2E" w:rsidP="009B1A2E">
            <w:pPr>
              <w:widowControl w:val="0"/>
              <w:rPr>
                <w:sz w:val="20"/>
                <w:lang w:val="fr-CA"/>
              </w:rPr>
            </w:pPr>
            <w:r w:rsidRPr="00647612">
              <w:rPr>
                <w:sz w:val="20"/>
                <w:lang w:val="fr-CA"/>
              </w:rPr>
              <w:t>La demande d’autorisation d’appel de l’arrêt de la Cour d’appel de la Colombie-Britannique (Vancouver), numéro CA44253, 2018 BCCA 459, daté du 23 novembre 2018, est rejetée avec dépens en faveur de l’intimé, procureur général du Canada.</w:t>
            </w:r>
          </w:p>
          <w:p w:rsidR="009B1A2E" w:rsidRPr="009B1A2E" w:rsidRDefault="009B1A2E" w:rsidP="00211A38">
            <w:pPr>
              <w:pStyle w:val="SCCLsocParty"/>
              <w:jc w:val="both"/>
              <w:rPr>
                <w:b/>
                <w:sz w:val="20"/>
                <w:szCs w:val="20"/>
              </w:rPr>
            </w:pPr>
          </w:p>
        </w:tc>
      </w:tr>
      <w:tr w:rsidR="00F7565E" w:rsidRPr="003A218E" w:rsidTr="00211A38">
        <w:tc>
          <w:tcPr>
            <w:tcW w:w="5000" w:type="pct"/>
            <w:gridSpan w:val="4"/>
          </w:tcPr>
          <w:p w:rsidR="00F7565E" w:rsidRPr="0087010C" w:rsidRDefault="00F7565E" w:rsidP="00211A38">
            <w:pPr>
              <w:jc w:val="both"/>
              <w:rPr>
                <w:sz w:val="20"/>
                <w:lang w:val="fr-CA"/>
              </w:rPr>
            </w:pPr>
            <w:r w:rsidRPr="0087010C">
              <w:rPr>
                <w:sz w:val="20"/>
                <w:lang w:val="fr-CA"/>
              </w:rPr>
              <w:t>Responsabilité délictuelle — Négligence — Obligation de diligence — Droit de recours par subrogation — Commission des accidents du travail de la Colombie</w:t>
            </w:r>
            <w:r w:rsidRPr="0087010C">
              <w:rPr>
                <w:sz w:val="20"/>
                <w:lang w:val="fr-CA"/>
              </w:rPr>
              <w:noBreakHyphen/>
              <w:t>Britannique — Écrasement d’un aéronef — Aéronef immatriculé aux États</w:t>
            </w:r>
            <w:r w:rsidRPr="0087010C">
              <w:rPr>
                <w:sz w:val="20"/>
                <w:lang w:val="fr-CA"/>
              </w:rPr>
              <w:noBreakHyphen/>
              <w:t>Unis — L’aéronef était exploité au Canada en vertu d’une entente entre les autorités d’aviation civile au Canada, aux États</w:t>
            </w:r>
            <w:r w:rsidRPr="0087010C">
              <w:rPr>
                <w:sz w:val="20"/>
                <w:lang w:val="fr-CA"/>
              </w:rPr>
              <w:noBreakHyphen/>
              <w:t>Unis et au Mexique après la ratification de l’</w:t>
            </w:r>
            <w:r w:rsidRPr="0087010C">
              <w:rPr>
                <w:i/>
                <w:sz w:val="20"/>
                <w:lang w:val="fr-CA"/>
              </w:rPr>
              <w:t>Accord de libre</w:t>
            </w:r>
            <w:r w:rsidRPr="0087010C">
              <w:rPr>
                <w:i/>
                <w:sz w:val="20"/>
                <w:lang w:val="fr-CA"/>
              </w:rPr>
              <w:noBreakHyphen/>
              <w:t>échange nord</w:t>
            </w:r>
            <w:r w:rsidRPr="0087010C">
              <w:rPr>
                <w:i/>
                <w:sz w:val="20"/>
                <w:lang w:val="fr-CA"/>
              </w:rPr>
              <w:noBreakHyphen/>
              <w:t>américain</w:t>
            </w:r>
            <w:r w:rsidRPr="0087010C">
              <w:rPr>
                <w:sz w:val="20"/>
                <w:lang w:val="fr-CA"/>
              </w:rPr>
              <w:t xml:space="preserve"> — Le tribunal a conclu que le ministère des Transports n’avait aucune obligation de diligence — Les obligations de diligence reconnues avant l’arrêt </w:t>
            </w:r>
            <w:r w:rsidRPr="0087010C">
              <w:rPr>
                <w:i/>
                <w:sz w:val="20"/>
                <w:lang w:val="fr-CA"/>
              </w:rPr>
              <w:t>Cooper c. Hobart</w:t>
            </w:r>
            <w:r w:rsidRPr="0087010C">
              <w:rPr>
                <w:sz w:val="20"/>
                <w:lang w:val="fr-CA"/>
              </w:rPr>
              <w:t>, 2001 CSC 79 correspondent</w:t>
            </w:r>
            <w:r w:rsidRPr="0087010C">
              <w:rPr>
                <w:sz w:val="20"/>
                <w:lang w:val="fr-CA"/>
              </w:rPr>
              <w:noBreakHyphen/>
              <w:t xml:space="preserve">elles encore à l’état du droit? — Les procédures de politique conçues pour mettre en œuvre des accords internationaux qui n’ont pas été adoptés dans le droit interne </w:t>
            </w:r>
            <w:proofErr w:type="spellStart"/>
            <w:r w:rsidRPr="0087010C">
              <w:rPr>
                <w:sz w:val="20"/>
                <w:lang w:val="fr-CA"/>
              </w:rPr>
              <w:t>ont-elles</w:t>
            </w:r>
            <w:proofErr w:type="spellEnd"/>
            <w:r w:rsidRPr="0087010C">
              <w:rPr>
                <w:sz w:val="20"/>
                <w:lang w:val="fr-CA"/>
              </w:rPr>
              <w:t xml:space="preserve"> pour effet de transférer le pouvoir réglementaire primaire à une agence gouvernementale étrangère, mettant ainsi l’organisme de réglementation canadien à l’abri d’une éventuelle responsabilité délictuelle?</w:t>
            </w:r>
          </w:p>
        </w:tc>
      </w:tr>
      <w:tr w:rsidR="00F7565E" w:rsidRPr="003A218E" w:rsidTr="00211A38">
        <w:tc>
          <w:tcPr>
            <w:tcW w:w="5000" w:type="pct"/>
            <w:gridSpan w:val="4"/>
          </w:tcPr>
          <w:p w:rsidR="00F7565E" w:rsidRPr="0087010C" w:rsidRDefault="00F7565E" w:rsidP="00211A38">
            <w:pPr>
              <w:jc w:val="both"/>
              <w:rPr>
                <w:sz w:val="20"/>
                <w:lang w:val="fr-CA"/>
              </w:rPr>
            </w:pPr>
          </w:p>
        </w:tc>
      </w:tr>
      <w:tr w:rsidR="00F7565E" w:rsidRPr="0087010C" w:rsidTr="00211A38">
        <w:tc>
          <w:tcPr>
            <w:tcW w:w="5000" w:type="pct"/>
            <w:gridSpan w:val="4"/>
          </w:tcPr>
          <w:p w:rsidR="00F7565E" w:rsidRPr="0087010C" w:rsidRDefault="00F7565E" w:rsidP="00211A38">
            <w:pPr>
              <w:jc w:val="both"/>
              <w:rPr>
                <w:sz w:val="20"/>
                <w:lang w:val="fr-CA"/>
              </w:rPr>
            </w:pPr>
            <w:r w:rsidRPr="0087010C">
              <w:rPr>
                <w:sz w:val="20"/>
                <w:lang w:val="fr-CA"/>
              </w:rPr>
              <w:t>Le 3 août 2008, un aéronef immatriculé aux États</w:t>
            </w:r>
            <w:r w:rsidRPr="0087010C">
              <w:rPr>
                <w:sz w:val="20"/>
                <w:lang w:val="fr-CA"/>
              </w:rPr>
              <w:noBreakHyphen/>
              <w:t xml:space="preserve">Unis et loué à Pacific </w:t>
            </w:r>
            <w:proofErr w:type="spellStart"/>
            <w:r w:rsidRPr="0087010C">
              <w:rPr>
                <w:sz w:val="20"/>
                <w:lang w:val="fr-CA"/>
              </w:rPr>
              <w:t>Skydivers</w:t>
            </w:r>
            <w:proofErr w:type="spellEnd"/>
            <w:r w:rsidRPr="0087010C">
              <w:rPr>
                <w:sz w:val="20"/>
                <w:lang w:val="fr-CA"/>
              </w:rPr>
              <w:t xml:space="preserve"> par Bill </w:t>
            </w:r>
            <w:proofErr w:type="spellStart"/>
            <w:r w:rsidRPr="0087010C">
              <w:rPr>
                <w:sz w:val="20"/>
                <w:lang w:val="fr-CA"/>
              </w:rPr>
              <w:t>Dause</w:t>
            </w:r>
            <w:proofErr w:type="spellEnd"/>
            <w:r w:rsidRPr="0087010C">
              <w:rPr>
                <w:sz w:val="20"/>
                <w:lang w:val="fr-CA"/>
              </w:rPr>
              <w:t xml:space="preserve"> pour la pratique du parachutisme s’est écrasé lorsque son moteur gauche a cessé de fonctionner et Ian Flanagan, le pilote, a éteint par erreur le moteur droit. Il a été déterminé par la suite que le moteur gauche avait cessé de fonctionner en raison de problèmes touchant la pompe à carburant. Transports Canada avait connaissance de problèmes touchant un autre aéronef loué à Pacific </w:t>
            </w:r>
            <w:proofErr w:type="spellStart"/>
            <w:r w:rsidRPr="0087010C">
              <w:rPr>
                <w:sz w:val="20"/>
                <w:lang w:val="fr-CA"/>
              </w:rPr>
              <w:t>Skydiving</w:t>
            </w:r>
            <w:proofErr w:type="spellEnd"/>
            <w:r w:rsidRPr="0087010C">
              <w:rPr>
                <w:sz w:val="20"/>
                <w:lang w:val="fr-CA"/>
              </w:rPr>
              <w:t xml:space="preserve"> par M. </w:t>
            </w:r>
            <w:proofErr w:type="spellStart"/>
            <w:r w:rsidRPr="0087010C">
              <w:rPr>
                <w:sz w:val="20"/>
                <w:lang w:val="fr-CA"/>
              </w:rPr>
              <w:t>Dause</w:t>
            </w:r>
            <w:proofErr w:type="spellEnd"/>
            <w:r w:rsidRPr="0087010C">
              <w:rPr>
                <w:sz w:val="20"/>
                <w:lang w:val="fr-CA"/>
              </w:rPr>
              <w:t>. Un passager blessé a intenté une poursuite contre plusieurs parties, y compris Transports Canada. Le passager a allégué que Transports Canada avait une obligation de diligence et qu’il avait manqué à cette obligation.</w:t>
            </w:r>
          </w:p>
          <w:p w:rsidR="00F7565E" w:rsidRPr="0087010C" w:rsidRDefault="00F7565E" w:rsidP="00211A38">
            <w:pPr>
              <w:jc w:val="both"/>
              <w:rPr>
                <w:sz w:val="20"/>
                <w:lang w:val="fr-CA"/>
              </w:rPr>
            </w:pPr>
          </w:p>
          <w:p w:rsidR="00F7565E" w:rsidRPr="0087010C" w:rsidRDefault="00F7565E" w:rsidP="00211A38">
            <w:pPr>
              <w:jc w:val="both"/>
              <w:rPr>
                <w:sz w:val="20"/>
                <w:lang w:val="fr-CA"/>
              </w:rPr>
            </w:pPr>
            <w:r w:rsidRPr="0087010C">
              <w:rPr>
                <w:sz w:val="20"/>
                <w:lang w:val="fr-CA"/>
              </w:rPr>
              <w:t>Le juge de première instance a jugé responsables le pilote et le mécanicien américain qui avait inspecté le moteur gauche. Il a conclu que Transports Canada n’avait aucune obligation de diligence envers la partie lésée. La Cour d’appel a rejeté l’appel.</w:t>
            </w:r>
          </w:p>
          <w:p w:rsidR="00F7565E" w:rsidRPr="0087010C" w:rsidRDefault="00F7565E" w:rsidP="00211A38">
            <w:pPr>
              <w:jc w:val="both"/>
              <w:rPr>
                <w:sz w:val="20"/>
                <w:lang w:val="fr-CA"/>
              </w:rPr>
            </w:pPr>
          </w:p>
        </w:tc>
      </w:tr>
      <w:tr w:rsidR="00F7565E" w:rsidRPr="003A218E" w:rsidTr="00211A38">
        <w:tc>
          <w:tcPr>
            <w:tcW w:w="2427" w:type="pct"/>
            <w:gridSpan w:val="2"/>
          </w:tcPr>
          <w:p w:rsidR="00F7565E" w:rsidRPr="0087010C" w:rsidRDefault="00F7565E" w:rsidP="00211A38">
            <w:pPr>
              <w:jc w:val="both"/>
              <w:rPr>
                <w:sz w:val="20"/>
                <w:lang w:val="fr-CA"/>
              </w:rPr>
            </w:pPr>
            <w:r w:rsidRPr="0087010C">
              <w:rPr>
                <w:sz w:val="20"/>
                <w:lang w:val="fr-CA"/>
              </w:rPr>
              <w:t>23 janvier 2017</w:t>
            </w:r>
          </w:p>
          <w:p w:rsidR="00F7565E" w:rsidRPr="0087010C" w:rsidRDefault="00F7565E" w:rsidP="00211A38">
            <w:pPr>
              <w:jc w:val="both"/>
              <w:rPr>
                <w:sz w:val="20"/>
                <w:lang w:val="fr-CA"/>
              </w:rPr>
            </w:pPr>
            <w:r w:rsidRPr="0087010C">
              <w:rPr>
                <w:sz w:val="20"/>
                <w:lang w:val="fr-CA"/>
              </w:rPr>
              <w:t>Cour suprême de la Colombie-Britannique</w:t>
            </w:r>
          </w:p>
          <w:p w:rsidR="00F7565E" w:rsidRPr="0087010C" w:rsidRDefault="00F7565E" w:rsidP="00211A38">
            <w:pPr>
              <w:jc w:val="both"/>
              <w:rPr>
                <w:sz w:val="20"/>
                <w:lang w:val="fr-CA"/>
              </w:rPr>
            </w:pPr>
            <w:r w:rsidRPr="0087010C">
              <w:rPr>
                <w:sz w:val="20"/>
                <w:lang w:val="fr-CA"/>
              </w:rPr>
              <w:t xml:space="preserve">(Juge </w:t>
            </w:r>
            <w:proofErr w:type="spellStart"/>
            <w:r w:rsidRPr="0087010C">
              <w:rPr>
                <w:sz w:val="20"/>
                <w:lang w:val="fr-CA"/>
              </w:rPr>
              <w:t>Grauer</w:t>
            </w:r>
            <w:proofErr w:type="spellEnd"/>
            <w:r w:rsidRPr="0087010C">
              <w:rPr>
                <w:sz w:val="20"/>
                <w:lang w:val="fr-CA"/>
              </w:rPr>
              <w:t>)</w:t>
            </w:r>
          </w:p>
          <w:p w:rsidR="00F7565E" w:rsidRPr="0087010C" w:rsidRDefault="003A218E" w:rsidP="00211A38">
            <w:pPr>
              <w:jc w:val="both"/>
              <w:rPr>
                <w:sz w:val="20"/>
                <w:lang w:val="fr-CA"/>
              </w:rPr>
            </w:pPr>
            <w:hyperlink r:id="rId71" w:history="1">
              <w:r w:rsidR="00F7565E" w:rsidRPr="0087010C">
                <w:rPr>
                  <w:rStyle w:val="Hyperlink"/>
                  <w:sz w:val="20"/>
                  <w:lang w:val="fr-CA"/>
                </w:rPr>
                <w:t>2017 BCSC 99</w:t>
              </w:r>
            </w:hyperlink>
          </w:p>
          <w:p w:rsidR="00F7565E" w:rsidRPr="0087010C" w:rsidRDefault="00F7565E" w:rsidP="00211A38">
            <w:pPr>
              <w:jc w:val="both"/>
              <w:rPr>
                <w:sz w:val="20"/>
                <w:lang w:val="fr-CA"/>
              </w:rPr>
            </w:pPr>
          </w:p>
        </w:tc>
        <w:tc>
          <w:tcPr>
            <w:tcW w:w="243" w:type="pct"/>
          </w:tcPr>
          <w:p w:rsidR="00F7565E" w:rsidRPr="0087010C" w:rsidRDefault="00F7565E" w:rsidP="00211A38">
            <w:pPr>
              <w:jc w:val="both"/>
              <w:rPr>
                <w:sz w:val="20"/>
                <w:lang w:val="fr-CA"/>
              </w:rPr>
            </w:pPr>
          </w:p>
        </w:tc>
        <w:tc>
          <w:tcPr>
            <w:tcW w:w="2330" w:type="pct"/>
          </w:tcPr>
          <w:p w:rsidR="00F7565E" w:rsidRPr="0087010C" w:rsidRDefault="00F7565E" w:rsidP="00211A38">
            <w:pPr>
              <w:jc w:val="both"/>
              <w:rPr>
                <w:sz w:val="20"/>
                <w:lang w:val="fr-CA"/>
              </w:rPr>
            </w:pPr>
            <w:r w:rsidRPr="0087010C">
              <w:rPr>
                <w:sz w:val="20"/>
                <w:lang w:val="fr-CA"/>
              </w:rPr>
              <w:t xml:space="preserve">Jugement rejetant les demandes contre le procureur général du Canada, Flanagan </w:t>
            </w:r>
            <w:proofErr w:type="spellStart"/>
            <w:r w:rsidRPr="0087010C">
              <w:rPr>
                <w:sz w:val="20"/>
                <w:lang w:val="fr-CA"/>
              </w:rPr>
              <w:t>Enterprises</w:t>
            </w:r>
            <w:proofErr w:type="spellEnd"/>
            <w:r w:rsidRPr="0087010C">
              <w:rPr>
                <w:sz w:val="20"/>
                <w:lang w:val="fr-CA"/>
              </w:rPr>
              <w:t xml:space="preserve"> (Nevada) Inc. et Bill </w:t>
            </w:r>
            <w:proofErr w:type="spellStart"/>
            <w:r w:rsidRPr="0087010C">
              <w:rPr>
                <w:sz w:val="20"/>
                <w:lang w:val="fr-CA"/>
              </w:rPr>
              <w:t>Dause</w:t>
            </w:r>
            <w:proofErr w:type="spellEnd"/>
            <w:r w:rsidRPr="0087010C">
              <w:rPr>
                <w:sz w:val="20"/>
                <w:lang w:val="fr-CA"/>
              </w:rPr>
              <w:t>, accueillant la demande contre Gary Wendell Johnson, concluant à la non-responsabilité d’</w:t>
            </w:r>
            <w:proofErr w:type="spellStart"/>
            <w:r w:rsidRPr="0087010C">
              <w:rPr>
                <w:sz w:val="20"/>
                <w:lang w:val="fr-CA"/>
              </w:rPr>
              <w:t>Ashe</w:t>
            </w:r>
            <w:proofErr w:type="spellEnd"/>
            <w:r w:rsidRPr="0087010C">
              <w:rPr>
                <w:sz w:val="20"/>
                <w:lang w:val="fr-CA"/>
              </w:rPr>
              <w:t xml:space="preserve"> Aircraft </w:t>
            </w:r>
            <w:proofErr w:type="spellStart"/>
            <w:r w:rsidRPr="0087010C">
              <w:rPr>
                <w:sz w:val="20"/>
                <w:lang w:val="fr-CA"/>
              </w:rPr>
              <w:t>Enterprises</w:t>
            </w:r>
            <w:proofErr w:type="spellEnd"/>
            <w:r w:rsidRPr="0087010C">
              <w:rPr>
                <w:sz w:val="20"/>
                <w:lang w:val="fr-CA"/>
              </w:rPr>
              <w:t xml:space="preserve"> Ltd. et partageant la responsabilité, imputant  50 % de celle-ci à Johnson et 50 % à Ian Flanagan/Pacific </w:t>
            </w:r>
            <w:proofErr w:type="spellStart"/>
            <w:r w:rsidRPr="0087010C">
              <w:rPr>
                <w:sz w:val="20"/>
                <w:lang w:val="fr-CA"/>
              </w:rPr>
              <w:t>Skydivers</w:t>
            </w:r>
            <w:proofErr w:type="spellEnd"/>
            <w:r w:rsidRPr="0087010C">
              <w:rPr>
                <w:sz w:val="20"/>
                <w:lang w:val="fr-CA"/>
              </w:rPr>
              <w:t xml:space="preserve"> Ltd. </w:t>
            </w:r>
          </w:p>
          <w:p w:rsidR="00F7565E" w:rsidRPr="0087010C" w:rsidRDefault="00F7565E" w:rsidP="00211A38">
            <w:pPr>
              <w:jc w:val="both"/>
              <w:rPr>
                <w:sz w:val="20"/>
                <w:lang w:val="fr-CA"/>
              </w:rPr>
            </w:pPr>
          </w:p>
        </w:tc>
      </w:tr>
      <w:tr w:rsidR="00F7565E" w:rsidRPr="0087010C" w:rsidTr="00211A38">
        <w:tc>
          <w:tcPr>
            <w:tcW w:w="2427" w:type="pct"/>
            <w:gridSpan w:val="2"/>
          </w:tcPr>
          <w:p w:rsidR="00F7565E" w:rsidRPr="0087010C" w:rsidRDefault="00F7565E" w:rsidP="00211A38">
            <w:pPr>
              <w:jc w:val="both"/>
              <w:rPr>
                <w:sz w:val="20"/>
                <w:lang w:val="fr-CA"/>
              </w:rPr>
            </w:pPr>
            <w:r w:rsidRPr="0087010C">
              <w:rPr>
                <w:sz w:val="20"/>
                <w:lang w:val="fr-CA"/>
              </w:rPr>
              <w:t>23 novembre 2018</w:t>
            </w:r>
          </w:p>
          <w:p w:rsidR="00F7565E" w:rsidRPr="0087010C" w:rsidRDefault="00F7565E" w:rsidP="00211A38">
            <w:pPr>
              <w:jc w:val="both"/>
              <w:rPr>
                <w:sz w:val="20"/>
                <w:lang w:val="fr-CA"/>
              </w:rPr>
            </w:pPr>
            <w:r w:rsidRPr="0087010C">
              <w:rPr>
                <w:sz w:val="20"/>
                <w:lang w:val="fr-CA"/>
              </w:rPr>
              <w:t>Cour d’appel de la Colombie-Britannique</w:t>
            </w:r>
          </w:p>
          <w:p w:rsidR="00F7565E" w:rsidRPr="0087010C" w:rsidRDefault="00F7565E" w:rsidP="00211A38">
            <w:pPr>
              <w:jc w:val="both"/>
              <w:rPr>
                <w:sz w:val="20"/>
                <w:lang w:val="fr-CA"/>
              </w:rPr>
            </w:pPr>
            <w:r w:rsidRPr="0087010C">
              <w:rPr>
                <w:sz w:val="20"/>
                <w:lang w:val="fr-CA"/>
              </w:rPr>
              <w:t>(Vancouver)</w:t>
            </w:r>
          </w:p>
          <w:p w:rsidR="00F7565E" w:rsidRPr="0087010C" w:rsidRDefault="00F7565E" w:rsidP="00211A38">
            <w:pPr>
              <w:jc w:val="both"/>
              <w:rPr>
                <w:sz w:val="20"/>
                <w:lang w:val="fr-CA"/>
              </w:rPr>
            </w:pPr>
            <w:r w:rsidRPr="0087010C">
              <w:rPr>
                <w:sz w:val="20"/>
                <w:lang w:val="fr-CA"/>
              </w:rPr>
              <w:t xml:space="preserve">(Juges </w:t>
            </w:r>
            <w:proofErr w:type="spellStart"/>
            <w:r w:rsidRPr="0087010C">
              <w:rPr>
                <w:sz w:val="20"/>
                <w:lang w:val="fr-CA"/>
              </w:rPr>
              <w:t>Frankel</w:t>
            </w:r>
            <w:proofErr w:type="spellEnd"/>
            <w:r w:rsidRPr="0087010C">
              <w:rPr>
                <w:sz w:val="20"/>
                <w:lang w:val="fr-CA"/>
              </w:rPr>
              <w:t>, MacKenzie et Harris)</w:t>
            </w:r>
          </w:p>
          <w:p w:rsidR="00F7565E" w:rsidRPr="0087010C" w:rsidRDefault="003A218E" w:rsidP="00211A38">
            <w:pPr>
              <w:jc w:val="both"/>
              <w:rPr>
                <w:sz w:val="20"/>
                <w:lang w:val="fr-CA"/>
              </w:rPr>
            </w:pPr>
            <w:hyperlink r:id="rId72" w:history="1">
              <w:r w:rsidR="00F7565E" w:rsidRPr="0087010C">
                <w:rPr>
                  <w:rStyle w:val="Hyperlink"/>
                  <w:sz w:val="20"/>
                  <w:lang w:val="fr-CA"/>
                </w:rPr>
                <w:t>2018 BCCA 459</w:t>
              </w:r>
            </w:hyperlink>
          </w:p>
          <w:p w:rsidR="00F7565E" w:rsidRPr="0087010C" w:rsidRDefault="00F7565E" w:rsidP="00211A38">
            <w:pPr>
              <w:jc w:val="both"/>
              <w:rPr>
                <w:sz w:val="20"/>
                <w:lang w:val="fr-CA"/>
              </w:rPr>
            </w:pPr>
          </w:p>
        </w:tc>
        <w:tc>
          <w:tcPr>
            <w:tcW w:w="243" w:type="pct"/>
          </w:tcPr>
          <w:p w:rsidR="00F7565E" w:rsidRPr="0087010C" w:rsidRDefault="00F7565E" w:rsidP="00211A38">
            <w:pPr>
              <w:jc w:val="both"/>
              <w:rPr>
                <w:sz w:val="20"/>
                <w:lang w:val="fr-CA"/>
              </w:rPr>
            </w:pPr>
          </w:p>
        </w:tc>
        <w:tc>
          <w:tcPr>
            <w:tcW w:w="2330" w:type="pct"/>
          </w:tcPr>
          <w:p w:rsidR="00F7565E" w:rsidRPr="0087010C" w:rsidRDefault="00F7565E" w:rsidP="00211A38">
            <w:pPr>
              <w:jc w:val="both"/>
              <w:rPr>
                <w:sz w:val="20"/>
                <w:lang w:val="fr-CA"/>
              </w:rPr>
            </w:pPr>
            <w:r w:rsidRPr="0087010C">
              <w:rPr>
                <w:sz w:val="20"/>
                <w:lang w:val="fr-CA"/>
              </w:rPr>
              <w:t>Rejet de l’appel</w:t>
            </w:r>
          </w:p>
        </w:tc>
      </w:tr>
      <w:tr w:rsidR="00F7565E" w:rsidRPr="003A218E" w:rsidTr="00211A38">
        <w:tc>
          <w:tcPr>
            <w:tcW w:w="2427" w:type="pct"/>
            <w:gridSpan w:val="2"/>
          </w:tcPr>
          <w:p w:rsidR="00F7565E" w:rsidRPr="0087010C" w:rsidRDefault="00F7565E" w:rsidP="00211A38">
            <w:pPr>
              <w:jc w:val="both"/>
              <w:rPr>
                <w:sz w:val="20"/>
                <w:lang w:val="fr-CA"/>
              </w:rPr>
            </w:pPr>
            <w:r w:rsidRPr="0087010C">
              <w:rPr>
                <w:sz w:val="20"/>
                <w:lang w:val="fr-CA"/>
              </w:rPr>
              <w:t>22 janvier 2019</w:t>
            </w:r>
          </w:p>
          <w:p w:rsidR="00F7565E" w:rsidRPr="0087010C" w:rsidRDefault="00F7565E" w:rsidP="00211A38">
            <w:pPr>
              <w:jc w:val="both"/>
              <w:rPr>
                <w:sz w:val="20"/>
                <w:lang w:val="fr-CA"/>
              </w:rPr>
            </w:pPr>
            <w:r w:rsidRPr="0087010C">
              <w:rPr>
                <w:sz w:val="20"/>
                <w:lang w:val="fr-CA"/>
              </w:rPr>
              <w:t>Cour suprême du Canada</w:t>
            </w:r>
          </w:p>
        </w:tc>
        <w:tc>
          <w:tcPr>
            <w:tcW w:w="243" w:type="pct"/>
          </w:tcPr>
          <w:p w:rsidR="00F7565E" w:rsidRPr="0087010C" w:rsidRDefault="00F7565E" w:rsidP="00211A38">
            <w:pPr>
              <w:jc w:val="both"/>
              <w:rPr>
                <w:sz w:val="20"/>
                <w:lang w:val="fr-CA"/>
              </w:rPr>
            </w:pPr>
          </w:p>
        </w:tc>
        <w:tc>
          <w:tcPr>
            <w:tcW w:w="2330" w:type="pct"/>
          </w:tcPr>
          <w:p w:rsidR="00F7565E" w:rsidRPr="0087010C" w:rsidRDefault="00F7565E" w:rsidP="00211A38">
            <w:pPr>
              <w:jc w:val="both"/>
              <w:rPr>
                <w:sz w:val="20"/>
                <w:lang w:val="fr-CA"/>
              </w:rPr>
            </w:pPr>
            <w:r w:rsidRPr="0087010C">
              <w:rPr>
                <w:sz w:val="20"/>
                <w:lang w:val="fr-CA"/>
              </w:rPr>
              <w:t>Dépôt de la demande d’autorisation d’appel</w:t>
            </w:r>
          </w:p>
          <w:p w:rsidR="00F7565E" w:rsidRPr="0087010C" w:rsidRDefault="00F7565E" w:rsidP="00211A38">
            <w:pPr>
              <w:jc w:val="both"/>
              <w:rPr>
                <w:sz w:val="20"/>
                <w:lang w:val="fr-CA"/>
              </w:rPr>
            </w:pPr>
          </w:p>
        </w:tc>
      </w:tr>
    </w:tbl>
    <w:p w:rsidR="00F7565E" w:rsidRPr="0087010C" w:rsidRDefault="00F7565E" w:rsidP="00F7565E">
      <w:pPr>
        <w:ind w:left="142" w:hanging="142"/>
        <w:jc w:val="both"/>
        <w:rPr>
          <w:sz w:val="20"/>
          <w:lang w:val="fr-CA"/>
        </w:rPr>
      </w:pPr>
    </w:p>
    <w:p w:rsidR="00634F42" w:rsidRDefault="003A218E" w:rsidP="00102792">
      <w:pPr>
        <w:jc w:val="both"/>
        <w:rPr>
          <w:sz w:val="20"/>
          <w:lang w:val="fr-CA"/>
        </w:rPr>
      </w:pPr>
      <w:r>
        <w:rPr>
          <w:sz w:val="20"/>
          <w:szCs w:val="20"/>
        </w:rPr>
        <w:pict>
          <v:rect id="_x0000_i1054" style="width:2in;height:1pt" o:hrpct="0" o:hralign="center" o:hrstd="t" o:hrnoshade="t" o:hr="t" fillcolor="black" stroked="f"/>
        </w:pict>
      </w:r>
      <w:r w:rsidR="00102792" w:rsidRPr="009B3B5D">
        <w:rPr>
          <w:sz w:val="20"/>
          <w:lang w:val="fr-CA"/>
        </w:rPr>
        <w:t> </w:t>
      </w:r>
    </w:p>
    <w:p w:rsidR="00634F42" w:rsidRDefault="00634F42">
      <w:pPr>
        <w:rPr>
          <w:sz w:val="20"/>
          <w:lang w:val="fr-CA"/>
        </w:rPr>
      </w:pPr>
    </w:p>
    <w:p w:rsidR="00102792" w:rsidRPr="009B3B5D" w:rsidRDefault="00102792" w:rsidP="00102792">
      <w:pPr>
        <w:jc w:val="both"/>
        <w:rPr>
          <w:sz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73"/>
          <w:headerReference w:type="default" r:id="rId74"/>
          <w:footerReference w:type="even" r:id="rId75"/>
          <w:footerReference w:type="default" r:id="rId76"/>
          <w:headerReference w:type="first" r:id="rId77"/>
          <w:footerReference w:type="first" r:id="rId78"/>
          <w:pgSz w:w="12240" w:h="15840"/>
          <w:pgMar w:top="720" w:right="965" w:bottom="1080" w:left="1656" w:header="720" w:footer="965" w:gutter="0"/>
          <w:cols w:space="720"/>
          <w:titlePg/>
          <w:docGrid w:linePitch="326"/>
        </w:sectPr>
      </w:pPr>
    </w:p>
    <w:p w:rsidR="00693C38" w:rsidRPr="008859F1" w:rsidRDefault="00DD0BDC" w:rsidP="00567602">
      <w:pPr>
        <w:pStyle w:val="Header1StyleE"/>
        <w:pBdr>
          <w:bottom w:val="single" w:sz="12" w:space="1" w:color="auto"/>
        </w:pBdr>
        <w:rPr>
          <w:lang w:val="fr-CA"/>
        </w:rPr>
      </w:pPr>
      <w:bookmarkStart w:id="5" w:name="_Toc8998618"/>
      <w:r w:rsidRPr="008859F1">
        <w:rPr>
          <w:lang w:val="fr-CA"/>
        </w:rPr>
        <w:lastRenderedPageBreak/>
        <w:t>Motions</w:t>
      </w:r>
      <w:r w:rsidR="00271E1E" w:rsidRPr="008859F1">
        <w:rPr>
          <w:lang w:val="fr-CA"/>
        </w:rPr>
        <w:t xml:space="preserve"> / </w:t>
      </w:r>
      <w:r w:rsidR="00693C38" w:rsidRPr="008859F1">
        <w:rPr>
          <w:lang w:val="fr-CA"/>
        </w:rPr>
        <w:br/>
      </w:r>
      <w:r w:rsidRPr="008859F1">
        <w:rPr>
          <w:lang w:val="fr-CA"/>
        </w:rPr>
        <w:t>Requêtes</w:t>
      </w:r>
      <w:bookmarkEnd w:id="5"/>
    </w:p>
    <w:p w:rsidR="00890FEB" w:rsidRPr="008859F1" w:rsidRDefault="00890FEB" w:rsidP="00890FEB">
      <w:pPr>
        <w:rPr>
          <w:sz w:val="20"/>
          <w:szCs w:val="20"/>
          <w:lang w:val="fr-CA"/>
        </w:rPr>
      </w:pPr>
    </w:p>
    <w:p w:rsidR="008859F1" w:rsidRPr="00E7542A" w:rsidRDefault="00F7565E" w:rsidP="008859F1">
      <w:pPr>
        <w:rPr>
          <w:b/>
          <w:sz w:val="20"/>
          <w:szCs w:val="20"/>
          <w:lang w:val="fr-CA"/>
        </w:rPr>
      </w:pPr>
      <w:r w:rsidRPr="00E7542A">
        <w:rPr>
          <w:b/>
          <w:sz w:val="20"/>
          <w:szCs w:val="20"/>
          <w:lang w:val="fr-CA"/>
        </w:rPr>
        <w:t>MAY 8</w:t>
      </w:r>
      <w:r w:rsidR="008859F1" w:rsidRPr="00E7542A">
        <w:rPr>
          <w:b/>
          <w:sz w:val="20"/>
          <w:szCs w:val="20"/>
          <w:lang w:val="fr-CA"/>
        </w:rPr>
        <w:t xml:space="preserve">, 2019 / LE </w:t>
      </w:r>
      <w:r w:rsidRPr="00E7542A">
        <w:rPr>
          <w:b/>
          <w:sz w:val="20"/>
          <w:szCs w:val="20"/>
          <w:lang w:val="fr-CA"/>
        </w:rPr>
        <w:t>8 MAI</w:t>
      </w:r>
      <w:r w:rsidR="008859F1" w:rsidRPr="00E7542A">
        <w:rPr>
          <w:b/>
          <w:sz w:val="20"/>
          <w:szCs w:val="20"/>
          <w:lang w:val="fr-CA"/>
        </w:rPr>
        <w:t xml:space="preserve"> 2019</w:t>
      </w:r>
    </w:p>
    <w:p w:rsidR="00102792" w:rsidRPr="00E7542A" w:rsidRDefault="00102792" w:rsidP="00102792">
      <w:pPr>
        <w:spacing w:line="232" w:lineRule="auto"/>
        <w:jc w:val="both"/>
        <w:rPr>
          <w:rFonts w:cs="Times New Roman"/>
          <w:b/>
          <w:sz w:val="20"/>
          <w:szCs w:val="24"/>
          <w:lang w:val="fr-CA"/>
        </w:rPr>
      </w:pPr>
    </w:p>
    <w:tbl>
      <w:tblPr>
        <w:tblStyle w:val="TableGrid"/>
        <w:tblpPr w:leftFromText="180" w:rightFromText="180" w:vertAnchor="text" w:horzAnchor="margin"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04"/>
      </w:tblGrid>
      <w:tr w:rsidR="00F7565E" w:rsidRPr="003A218E" w:rsidTr="00211A38">
        <w:trPr>
          <w:trHeight w:val="181"/>
        </w:trPr>
        <w:tc>
          <w:tcPr>
            <w:tcW w:w="4804" w:type="dxa"/>
          </w:tcPr>
          <w:p w:rsidR="00F7565E" w:rsidRPr="00F7565E" w:rsidRDefault="00F7565E" w:rsidP="00F7565E">
            <w:pPr>
              <w:spacing w:line="232" w:lineRule="auto"/>
              <w:jc w:val="both"/>
              <w:rPr>
                <w:rFonts w:cs="Times New Roman"/>
                <w:b/>
                <w:sz w:val="20"/>
                <w:szCs w:val="24"/>
                <w:lang w:val="en-US"/>
              </w:rPr>
            </w:pPr>
            <w:r>
              <w:rPr>
                <w:rFonts w:cs="Times New Roman"/>
                <w:b/>
                <w:sz w:val="20"/>
                <w:szCs w:val="24"/>
                <w:lang w:val="en-US"/>
              </w:rPr>
              <w:t xml:space="preserve">Motion </w:t>
            </w:r>
            <w:r w:rsidRPr="00F7565E">
              <w:rPr>
                <w:rFonts w:cs="Times New Roman"/>
                <w:b/>
                <w:sz w:val="20"/>
                <w:szCs w:val="24"/>
                <w:lang w:val="en-US"/>
              </w:rPr>
              <w:t>to serve and file all documents and materials related to the application for leave to appeal and appeal in electronic format </w:t>
            </w:r>
          </w:p>
        </w:tc>
        <w:tc>
          <w:tcPr>
            <w:tcW w:w="4804" w:type="dxa"/>
          </w:tcPr>
          <w:p w:rsidR="00F7565E" w:rsidRPr="00F7565E" w:rsidRDefault="00F7565E" w:rsidP="00F7565E">
            <w:pPr>
              <w:spacing w:line="232" w:lineRule="auto"/>
              <w:jc w:val="both"/>
              <w:rPr>
                <w:rFonts w:cs="Times New Roman"/>
                <w:b/>
                <w:sz w:val="20"/>
                <w:szCs w:val="24"/>
                <w:lang w:val="fr-CA"/>
              </w:rPr>
            </w:pPr>
            <w:r w:rsidRPr="00F7565E">
              <w:rPr>
                <w:rFonts w:cs="Times New Roman"/>
                <w:b/>
                <w:sz w:val="20"/>
                <w:szCs w:val="24"/>
                <w:lang w:val="fr-CA"/>
              </w:rPr>
              <w:t>Ordonnance autorisant à signifier et à déposer en format électronique tous les documents et autres éléments liés à la demande d’autorisation d’appel et à l’appel</w:t>
            </w:r>
          </w:p>
        </w:tc>
      </w:tr>
    </w:tbl>
    <w:p w:rsidR="00102792" w:rsidRPr="00F7565E" w:rsidRDefault="00102792" w:rsidP="00102792">
      <w:pPr>
        <w:spacing w:line="232" w:lineRule="auto"/>
        <w:jc w:val="both"/>
        <w:rPr>
          <w:rFonts w:cs="Times New Roman"/>
          <w:b/>
          <w:sz w:val="20"/>
          <w:szCs w:val="20"/>
          <w:lang w:val="fr-CA"/>
        </w:rPr>
      </w:pPr>
    </w:p>
    <w:p w:rsidR="00F7565E" w:rsidRPr="00F7565E" w:rsidRDefault="00F7565E" w:rsidP="00F7565E">
      <w:pPr>
        <w:jc w:val="both"/>
        <w:rPr>
          <w:b/>
          <w:sz w:val="20"/>
          <w:szCs w:val="20"/>
        </w:rPr>
      </w:pPr>
      <w:r w:rsidRPr="00F7565E">
        <w:rPr>
          <w:b/>
          <w:sz w:val="20"/>
          <w:szCs w:val="20"/>
        </w:rPr>
        <w:t>SAJJAD ASGHAR v. JAOLLORE ALON</w:t>
      </w:r>
    </w:p>
    <w:p w:rsidR="00F7565E" w:rsidRPr="00F7565E" w:rsidRDefault="00F7565E" w:rsidP="00F7565E">
      <w:pPr>
        <w:jc w:val="both"/>
        <w:rPr>
          <w:sz w:val="20"/>
          <w:szCs w:val="20"/>
        </w:rPr>
      </w:pPr>
      <w:r w:rsidRPr="00F7565E">
        <w:rPr>
          <w:sz w:val="20"/>
          <w:szCs w:val="20"/>
        </w:rPr>
        <w:t>(Ont.) (38608)</w:t>
      </w:r>
    </w:p>
    <w:p w:rsidR="00F7565E" w:rsidRDefault="00F7565E" w:rsidP="00F7565E">
      <w:pPr>
        <w:rPr>
          <w:sz w:val="20"/>
          <w:szCs w:val="20"/>
        </w:rPr>
      </w:pPr>
    </w:p>
    <w:p w:rsidR="00F7565E" w:rsidRPr="00F7565E" w:rsidRDefault="00F7565E" w:rsidP="00F7565E">
      <w:pPr>
        <w:rPr>
          <w:sz w:val="20"/>
          <w:szCs w:val="20"/>
        </w:rPr>
      </w:pPr>
    </w:p>
    <w:p w:rsidR="00F7565E" w:rsidRPr="00F7565E" w:rsidRDefault="00F7565E" w:rsidP="00F7565E">
      <w:pPr>
        <w:rPr>
          <w:sz w:val="20"/>
          <w:szCs w:val="20"/>
        </w:rPr>
      </w:pPr>
      <w:r w:rsidRPr="00F7565E">
        <w:rPr>
          <w:b/>
          <w:bCs/>
          <w:sz w:val="20"/>
          <w:szCs w:val="20"/>
          <w:u w:val="single"/>
        </w:rPr>
        <w:t>THE REGISTRAR</w:t>
      </w:r>
      <w:r w:rsidRPr="00F7565E">
        <w:rPr>
          <w:sz w:val="20"/>
          <w:szCs w:val="20"/>
        </w:rPr>
        <w:t>:</w:t>
      </w:r>
    </w:p>
    <w:p w:rsidR="00F7565E" w:rsidRPr="00F7565E" w:rsidRDefault="00F7565E" w:rsidP="00F7565E">
      <w:pPr>
        <w:rPr>
          <w:sz w:val="20"/>
          <w:szCs w:val="20"/>
        </w:rPr>
      </w:pPr>
    </w:p>
    <w:p w:rsidR="00F7565E" w:rsidRPr="00F7565E" w:rsidRDefault="00F7565E" w:rsidP="00F7565E">
      <w:pPr>
        <w:jc w:val="both"/>
        <w:rPr>
          <w:sz w:val="20"/>
          <w:szCs w:val="20"/>
        </w:rPr>
      </w:pPr>
      <w:r w:rsidRPr="00F7565E">
        <w:rPr>
          <w:b/>
          <w:bCs/>
          <w:sz w:val="20"/>
          <w:szCs w:val="20"/>
        </w:rPr>
        <w:t xml:space="preserve">UPON APPLICATION </w:t>
      </w:r>
      <w:r w:rsidRPr="00F7565E">
        <w:rPr>
          <w:sz w:val="20"/>
          <w:szCs w:val="20"/>
        </w:rPr>
        <w:t>by the applicant for an order granting leave to serve and file all documents and materials related to the application for leave to appeal and, if leave is granted, the appeal in electronic format on a CD-ROM or by email, size permitting</w:t>
      </w:r>
      <w:r w:rsidRPr="00F7565E">
        <w:rPr>
          <w:rFonts w:ascii="PMingLiU" w:eastAsia="PMingLiU" w:cs="PMingLiU"/>
          <w:sz w:val="20"/>
          <w:szCs w:val="20"/>
          <w:lang w:val="en-GB"/>
        </w:rPr>
        <w:t>;</w:t>
      </w:r>
    </w:p>
    <w:p w:rsidR="00F7565E" w:rsidRPr="00F7565E" w:rsidRDefault="00F7565E" w:rsidP="00F7565E">
      <w:pPr>
        <w:rPr>
          <w:sz w:val="20"/>
          <w:szCs w:val="20"/>
        </w:rPr>
      </w:pPr>
    </w:p>
    <w:p w:rsidR="00F7565E" w:rsidRPr="00F7565E" w:rsidRDefault="00F7565E" w:rsidP="00F7565E">
      <w:pPr>
        <w:rPr>
          <w:sz w:val="20"/>
          <w:szCs w:val="20"/>
        </w:rPr>
      </w:pPr>
      <w:r w:rsidRPr="00F7565E">
        <w:rPr>
          <w:b/>
          <w:bCs/>
          <w:sz w:val="20"/>
          <w:szCs w:val="20"/>
        </w:rPr>
        <w:t>AND THE MATERIAL FILED</w:t>
      </w:r>
      <w:r w:rsidRPr="00F7565E">
        <w:rPr>
          <w:sz w:val="20"/>
          <w:szCs w:val="20"/>
        </w:rPr>
        <w:t xml:space="preserve"> having been read;</w:t>
      </w:r>
    </w:p>
    <w:p w:rsidR="00F7565E" w:rsidRPr="00F7565E" w:rsidRDefault="00F7565E" w:rsidP="00F7565E">
      <w:pPr>
        <w:rPr>
          <w:sz w:val="20"/>
          <w:szCs w:val="20"/>
        </w:rPr>
      </w:pPr>
    </w:p>
    <w:p w:rsidR="00F7565E" w:rsidRPr="00F7565E" w:rsidRDefault="00F7565E" w:rsidP="00F7565E">
      <w:pPr>
        <w:rPr>
          <w:sz w:val="20"/>
          <w:szCs w:val="20"/>
        </w:rPr>
      </w:pPr>
      <w:r w:rsidRPr="00F7565E">
        <w:rPr>
          <w:b/>
          <w:bCs/>
          <w:sz w:val="20"/>
          <w:szCs w:val="20"/>
        </w:rPr>
        <w:t>IT IS HEREBY ORDERED THAT:</w:t>
      </w:r>
    </w:p>
    <w:p w:rsidR="00F7565E" w:rsidRPr="00F7565E" w:rsidRDefault="00F7565E" w:rsidP="00F7565E">
      <w:pPr>
        <w:rPr>
          <w:sz w:val="20"/>
          <w:szCs w:val="20"/>
        </w:rPr>
      </w:pPr>
    </w:p>
    <w:p w:rsidR="00F7565E" w:rsidRPr="00F7565E" w:rsidRDefault="00F7565E" w:rsidP="00F7565E">
      <w:pPr>
        <w:rPr>
          <w:sz w:val="20"/>
          <w:szCs w:val="20"/>
        </w:rPr>
      </w:pPr>
      <w:r w:rsidRPr="00F7565E">
        <w:rPr>
          <w:sz w:val="20"/>
          <w:szCs w:val="20"/>
        </w:rPr>
        <w:t>The motion is granted in part.</w:t>
      </w:r>
    </w:p>
    <w:p w:rsidR="00F7565E" w:rsidRPr="00F7565E" w:rsidRDefault="00F7565E" w:rsidP="00F7565E">
      <w:pPr>
        <w:rPr>
          <w:sz w:val="20"/>
          <w:szCs w:val="20"/>
        </w:rPr>
      </w:pPr>
    </w:p>
    <w:p w:rsidR="00F7565E" w:rsidRPr="00F7565E" w:rsidRDefault="00F7565E" w:rsidP="00F7565E">
      <w:pPr>
        <w:jc w:val="both"/>
        <w:rPr>
          <w:sz w:val="20"/>
          <w:szCs w:val="20"/>
        </w:rPr>
      </w:pPr>
      <w:r w:rsidRPr="00F7565E">
        <w:rPr>
          <w:sz w:val="20"/>
          <w:szCs w:val="20"/>
        </w:rPr>
        <w:t>The applicant is granted permission to serve and file all documents and materials related to the application for leave to appeal in electronic format, as an attachment to an email, size permitting (less than 15 megabytes (MB)), or on a CD/DVD-ROM.</w:t>
      </w:r>
    </w:p>
    <w:p w:rsidR="00F7565E" w:rsidRPr="00F7565E" w:rsidRDefault="00F7565E" w:rsidP="00F7565E">
      <w:pPr>
        <w:jc w:val="both"/>
        <w:rPr>
          <w:sz w:val="20"/>
          <w:szCs w:val="20"/>
        </w:rPr>
      </w:pPr>
    </w:p>
    <w:p w:rsidR="00F7565E" w:rsidRPr="00F7565E" w:rsidRDefault="00F7565E" w:rsidP="00F7565E">
      <w:pPr>
        <w:jc w:val="both"/>
        <w:rPr>
          <w:sz w:val="20"/>
          <w:szCs w:val="20"/>
        </w:rPr>
      </w:pPr>
      <w:r w:rsidRPr="00F7565E">
        <w:rPr>
          <w:sz w:val="20"/>
          <w:szCs w:val="20"/>
        </w:rPr>
        <w:t>The request to serve and file all appeal documents in electronic format, if leave is granted, is deferred to a date after which leave to appeal has been decided by the Court.</w:t>
      </w:r>
    </w:p>
    <w:p w:rsidR="00F7565E" w:rsidRPr="00F7565E" w:rsidRDefault="00F7565E" w:rsidP="00F7565E">
      <w:pPr>
        <w:rPr>
          <w:sz w:val="20"/>
          <w:szCs w:val="20"/>
        </w:rPr>
      </w:pPr>
    </w:p>
    <w:p w:rsidR="00F7565E" w:rsidRPr="00F7565E" w:rsidRDefault="00F7565E" w:rsidP="00F7565E">
      <w:pPr>
        <w:rPr>
          <w:sz w:val="20"/>
          <w:szCs w:val="20"/>
        </w:rPr>
      </w:pPr>
      <w:r w:rsidRPr="00F7565E">
        <w:rPr>
          <w:b/>
          <w:bCs/>
          <w:sz w:val="20"/>
          <w:szCs w:val="20"/>
        </w:rPr>
        <w:t>IT IS HEREBY FURTHER ORDERED THAT:</w:t>
      </w:r>
    </w:p>
    <w:p w:rsidR="00F7565E" w:rsidRPr="00F7565E" w:rsidRDefault="00F7565E" w:rsidP="00F7565E">
      <w:pPr>
        <w:jc w:val="both"/>
        <w:rPr>
          <w:sz w:val="20"/>
          <w:szCs w:val="20"/>
        </w:rPr>
      </w:pPr>
    </w:p>
    <w:p w:rsidR="00F7565E" w:rsidRPr="00F7565E" w:rsidRDefault="00F7565E" w:rsidP="00F7565E">
      <w:pPr>
        <w:jc w:val="both"/>
        <w:rPr>
          <w:sz w:val="20"/>
          <w:szCs w:val="20"/>
        </w:rPr>
      </w:pPr>
      <w:r w:rsidRPr="00F7565E">
        <w:rPr>
          <w:sz w:val="20"/>
          <w:szCs w:val="20"/>
        </w:rPr>
        <w:t>The respondent is granted permission to serve and file his response to the application for leave to appeal in electronic format, as an attachment to an email, size permitting (less than 15 megabytes (MB)), or on a CD/DVD-ROM.</w:t>
      </w:r>
    </w:p>
    <w:p w:rsidR="00F7565E" w:rsidRDefault="00F7565E" w:rsidP="00F7565E">
      <w:pPr>
        <w:jc w:val="both"/>
        <w:rPr>
          <w:sz w:val="20"/>
          <w:szCs w:val="20"/>
        </w:rPr>
      </w:pPr>
    </w:p>
    <w:p w:rsidR="00F7565E" w:rsidRPr="00F7565E" w:rsidRDefault="00F7565E" w:rsidP="00F7565E">
      <w:pPr>
        <w:jc w:val="both"/>
        <w:rPr>
          <w:sz w:val="20"/>
          <w:szCs w:val="20"/>
        </w:rPr>
      </w:pPr>
    </w:p>
    <w:p w:rsidR="00F7565E" w:rsidRPr="00F7565E" w:rsidRDefault="00F7565E" w:rsidP="00F7565E">
      <w:pPr>
        <w:jc w:val="both"/>
        <w:rPr>
          <w:sz w:val="20"/>
          <w:szCs w:val="20"/>
          <w:lang w:val="fr-CA"/>
        </w:rPr>
      </w:pPr>
      <w:r w:rsidRPr="00F7565E">
        <w:rPr>
          <w:b/>
          <w:bCs/>
          <w:sz w:val="20"/>
          <w:szCs w:val="20"/>
          <w:lang w:val="fr-CA"/>
        </w:rPr>
        <w:t xml:space="preserve">À LA SUITE DE LA DEMANDE </w:t>
      </w:r>
      <w:r w:rsidRPr="00F7565E">
        <w:rPr>
          <w:sz w:val="20"/>
          <w:szCs w:val="20"/>
          <w:lang w:val="fr-CA"/>
        </w:rPr>
        <w:t xml:space="preserve">présentée par le demandeur en vue d’obtenir l’autorisation de signifier et de déposer tous les documents relatifs à la demande d’autorisation d’appel et, si cette demande est accueillie, tous les documents relatifs à l’appel, sur support électronique, que ce soit sur CD-ROM ou par courriel, selon la taille des fichiers;  </w:t>
      </w:r>
    </w:p>
    <w:p w:rsidR="00F7565E" w:rsidRPr="00F7565E" w:rsidRDefault="00F7565E" w:rsidP="00F7565E">
      <w:pPr>
        <w:rPr>
          <w:sz w:val="20"/>
          <w:szCs w:val="20"/>
          <w:lang w:val="fr-CA"/>
        </w:rPr>
      </w:pPr>
    </w:p>
    <w:p w:rsidR="00F7565E" w:rsidRPr="00F7565E" w:rsidRDefault="00F7565E" w:rsidP="00F7565E">
      <w:pPr>
        <w:rPr>
          <w:sz w:val="20"/>
          <w:szCs w:val="20"/>
          <w:lang w:val="fr-CA"/>
        </w:rPr>
      </w:pPr>
      <w:r w:rsidRPr="00F7565E">
        <w:rPr>
          <w:b/>
          <w:bCs/>
          <w:sz w:val="20"/>
          <w:szCs w:val="20"/>
          <w:lang w:val="fr-CA"/>
        </w:rPr>
        <w:t>ET APRÈS EXAMEN</w:t>
      </w:r>
      <w:r w:rsidRPr="00F7565E">
        <w:rPr>
          <w:sz w:val="20"/>
          <w:szCs w:val="20"/>
          <w:lang w:val="fr-CA"/>
        </w:rPr>
        <w:t xml:space="preserve"> des documents déposés;</w:t>
      </w:r>
    </w:p>
    <w:p w:rsidR="00F7565E" w:rsidRPr="00F7565E" w:rsidRDefault="00F7565E" w:rsidP="00F7565E">
      <w:pPr>
        <w:rPr>
          <w:sz w:val="20"/>
          <w:szCs w:val="20"/>
          <w:lang w:val="fr-CA"/>
        </w:rPr>
      </w:pPr>
    </w:p>
    <w:p w:rsidR="00F7565E" w:rsidRPr="00F7565E" w:rsidRDefault="00F7565E" w:rsidP="00F7565E">
      <w:pPr>
        <w:rPr>
          <w:sz w:val="20"/>
          <w:szCs w:val="20"/>
          <w:lang w:val="fr-CA"/>
        </w:rPr>
      </w:pPr>
      <w:r w:rsidRPr="00F7565E">
        <w:rPr>
          <w:b/>
          <w:bCs/>
          <w:sz w:val="20"/>
          <w:szCs w:val="20"/>
          <w:lang w:val="fr-CA"/>
        </w:rPr>
        <w:t>IL EST ORDONNÉ CE QUI SUIT :</w:t>
      </w:r>
    </w:p>
    <w:p w:rsidR="00F7565E" w:rsidRPr="00F7565E" w:rsidRDefault="00F7565E" w:rsidP="00F7565E">
      <w:pPr>
        <w:rPr>
          <w:sz w:val="20"/>
          <w:szCs w:val="20"/>
          <w:lang w:val="fr-CA"/>
        </w:rPr>
      </w:pPr>
    </w:p>
    <w:p w:rsidR="00F7565E" w:rsidRPr="00F7565E" w:rsidRDefault="00F7565E" w:rsidP="00F7565E">
      <w:pPr>
        <w:rPr>
          <w:sz w:val="20"/>
          <w:szCs w:val="20"/>
          <w:lang w:val="fr-CA"/>
        </w:rPr>
      </w:pPr>
      <w:r w:rsidRPr="00F7565E">
        <w:rPr>
          <w:sz w:val="20"/>
          <w:szCs w:val="20"/>
          <w:lang w:val="fr-CA"/>
        </w:rPr>
        <w:t>La requête est accueillie en partie.</w:t>
      </w:r>
    </w:p>
    <w:p w:rsidR="00F7565E" w:rsidRPr="00F7565E" w:rsidRDefault="00F7565E" w:rsidP="00F7565E">
      <w:pPr>
        <w:rPr>
          <w:sz w:val="20"/>
          <w:szCs w:val="20"/>
          <w:lang w:val="fr-CA"/>
        </w:rPr>
      </w:pPr>
    </w:p>
    <w:p w:rsidR="00F7565E" w:rsidRPr="00F7565E" w:rsidRDefault="00F7565E" w:rsidP="00F7565E">
      <w:pPr>
        <w:jc w:val="both"/>
        <w:rPr>
          <w:sz w:val="20"/>
          <w:szCs w:val="20"/>
          <w:lang w:val="fr-CA"/>
        </w:rPr>
      </w:pPr>
      <w:r w:rsidRPr="00F7565E">
        <w:rPr>
          <w:sz w:val="20"/>
          <w:szCs w:val="20"/>
          <w:lang w:val="fr-CA"/>
        </w:rPr>
        <w:t xml:space="preserve">Le demandeur est autorisé à signifier et déposer tous les documents relatifs à la demande d’autorisation d’appel sur support électronique, que ce soit en pièce jointe à un courriel, si la taille des fichiers le permet (moins de 15 mégaoctets (Mo)), ou sur CD/DVD-ROM. </w:t>
      </w:r>
    </w:p>
    <w:p w:rsidR="00F7565E" w:rsidRPr="00F7565E" w:rsidRDefault="00F7565E" w:rsidP="00F7565E">
      <w:pPr>
        <w:jc w:val="both"/>
        <w:rPr>
          <w:sz w:val="20"/>
          <w:szCs w:val="20"/>
          <w:lang w:val="fr-CA"/>
        </w:rPr>
      </w:pPr>
    </w:p>
    <w:p w:rsidR="00F7565E" w:rsidRPr="00F7565E" w:rsidRDefault="00F7565E" w:rsidP="00F7565E">
      <w:pPr>
        <w:jc w:val="both"/>
        <w:rPr>
          <w:sz w:val="20"/>
          <w:szCs w:val="20"/>
          <w:lang w:val="fr-CA"/>
        </w:rPr>
      </w:pPr>
      <w:r w:rsidRPr="00F7565E">
        <w:rPr>
          <w:sz w:val="20"/>
          <w:szCs w:val="20"/>
          <w:lang w:val="fr-CA"/>
        </w:rPr>
        <w:t>La décision sur la demande visant le dépôt et la signification de tous les documents relatifs à l’appel sur support électronique, si la demande d’autorisation d’appel est accueillie, sera rendue une fois que la Cour se sera prononcée sur la demande d’autorisation d’appel.</w:t>
      </w:r>
    </w:p>
    <w:p w:rsidR="00F7565E" w:rsidRPr="00F7565E" w:rsidRDefault="00F7565E" w:rsidP="00F7565E">
      <w:pPr>
        <w:rPr>
          <w:sz w:val="20"/>
          <w:szCs w:val="20"/>
          <w:lang w:val="fr-CA"/>
        </w:rPr>
      </w:pPr>
    </w:p>
    <w:p w:rsidR="00F7565E" w:rsidRPr="00F7565E" w:rsidRDefault="00F7565E" w:rsidP="00F7565E">
      <w:pPr>
        <w:rPr>
          <w:sz w:val="20"/>
          <w:szCs w:val="20"/>
          <w:lang w:val="fr-CA"/>
        </w:rPr>
      </w:pPr>
      <w:r w:rsidRPr="00F7565E">
        <w:rPr>
          <w:b/>
          <w:bCs/>
          <w:sz w:val="20"/>
          <w:szCs w:val="20"/>
          <w:lang w:val="fr-CA"/>
        </w:rPr>
        <w:t>IL EST EN OUTRE ORDONNÉ CE QUI SUIT :</w:t>
      </w:r>
    </w:p>
    <w:p w:rsidR="00F7565E" w:rsidRPr="00F7565E" w:rsidRDefault="00F7565E" w:rsidP="00F7565E">
      <w:pPr>
        <w:jc w:val="both"/>
        <w:rPr>
          <w:sz w:val="20"/>
          <w:szCs w:val="20"/>
          <w:lang w:val="fr-CA"/>
        </w:rPr>
      </w:pPr>
    </w:p>
    <w:p w:rsidR="00F7565E" w:rsidRPr="00F7565E" w:rsidRDefault="00F7565E" w:rsidP="00F7565E">
      <w:pPr>
        <w:jc w:val="both"/>
        <w:rPr>
          <w:sz w:val="20"/>
          <w:szCs w:val="20"/>
          <w:lang w:val="fr-CA"/>
        </w:rPr>
      </w:pPr>
      <w:r w:rsidRPr="00F7565E">
        <w:rPr>
          <w:sz w:val="20"/>
          <w:szCs w:val="20"/>
          <w:lang w:val="fr-CA"/>
        </w:rPr>
        <w:t>L’intimé est autorisé à signifier et déposer sa réponse à la demande d’autorisation d’appel sur support électronique, que ce soit en pièce jointe à un courriel, si la taille des fichiers le permet (moins de 15 mégaoctets (Mo)), ou sur CD/DVD-ROM.</w:t>
      </w:r>
    </w:p>
    <w:p w:rsidR="00890FEB" w:rsidRPr="00F7565E" w:rsidRDefault="003A218E" w:rsidP="00F7565E">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57" style="width:2in;height:1pt" o:hrpct="0" o:hralign="center" o:hrstd="t" o:hrnoshade="t" o:hr="t" fillcolor="black [3213]" stroked="f"/>
        </w:pict>
      </w:r>
    </w:p>
    <w:p w:rsidR="00831CA9" w:rsidRPr="00C50A5C" w:rsidRDefault="00831CA9" w:rsidP="00831CA9">
      <w:pPr>
        <w:jc w:val="both"/>
        <w:rPr>
          <w:sz w:val="20"/>
          <w:szCs w:val="20"/>
          <w:lang w:val="fr-CA"/>
        </w:rPr>
        <w:sectPr w:rsidR="00831CA9" w:rsidRPr="00C50A5C" w:rsidSect="00831CA9">
          <w:headerReference w:type="even" r:id="rId79"/>
          <w:headerReference w:type="default" r:id="rId80"/>
          <w:footerReference w:type="even" r:id="rId81"/>
          <w:footerReference w:type="default" r:id="rId82"/>
          <w:headerReference w:type="first" r:id="rId83"/>
          <w:footerReference w:type="first" r:id="rId84"/>
          <w:pgSz w:w="12240" w:h="15840"/>
          <w:pgMar w:top="720" w:right="965" w:bottom="1080" w:left="1656" w:header="720" w:footer="965" w:gutter="0"/>
          <w:cols w:space="720"/>
          <w:titlePg/>
          <w:docGrid w:linePitch="326"/>
        </w:sectPr>
      </w:pPr>
    </w:p>
    <w:p w:rsidR="00567602" w:rsidRPr="00C1697B" w:rsidRDefault="001434B9" w:rsidP="00567602">
      <w:pPr>
        <w:pStyle w:val="Header1StyleE"/>
        <w:pBdr>
          <w:bottom w:val="single" w:sz="12" w:space="1" w:color="auto"/>
        </w:pBdr>
        <w:rPr>
          <w:lang w:val="fr-CA"/>
        </w:rPr>
      </w:pPr>
      <w:bookmarkStart w:id="6" w:name="_Toc8998619"/>
      <w:proofErr w:type="spellStart"/>
      <w:r w:rsidRPr="00567602">
        <w:rPr>
          <w:lang w:val="fr-CA"/>
        </w:rPr>
        <w:lastRenderedPageBreak/>
        <w:t>Appeals</w:t>
      </w:r>
      <w:proofErr w:type="spellEnd"/>
      <w:r w:rsidRPr="00567602">
        <w:rPr>
          <w:lang w:val="fr-CA"/>
        </w:rPr>
        <w:t xml:space="preserve"> </w:t>
      </w:r>
      <w:proofErr w:type="spellStart"/>
      <w:r w:rsidRPr="00567602">
        <w:rPr>
          <w:lang w:val="fr-CA"/>
        </w:rPr>
        <w:t>heard</w:t>
      </w:r>
      <w:proofErr w:type="spellEnd"/>
      <w:r w:rsidRPr="00567602">
        <w:rPr>
          <w:lang w:val="fr-CA"/>
        </w:rPr>
        <w:t xml:space="preserve"> </w:t>
      </w:r>
      <w:proofErr w:type="spellStart"/>
      <w:r w:rsidRPr="00567602">
        <w:rPr>
          <w:lang w:val="fr-CA"/>
        </w:rPr>
        <w:t>since</w:t>
      </w:r>
      <w:proofErr w:type="spellEnd"/>
      <w:r w:rsidRPr="00567602">
        <w:rPr>
          <w:lang w:val="fr-CA"/>
        </w:rPr>
        <w:t xml:space="preserve"> the last issue and disposition</w:t>
      </w:r>
      <w:r w:rsidR="00271E1E">
        <w:rPr>
          <w:lang w:val="fr-CA"/>
        </w:rPr>
        <w:t xml:space="preserve"> / </w:t>
      </w:r>
      <w:r w:rsidR="00567602" w:rsidRPr="00567602">
        <w:rPr>
          <w:lang w:val="fr-CA"/>
        </w:rPr>
        <w:br/>
      </w:r>
      <w:r>
        <w:rPr>
          <w:lang w:val="fr-CA"/>
        </w:rPr>
        <w:t>A</w:t>
      </w:r>
      <w:r w:rsidRPr="00C1697B">
        <w:rPr>
          <w:lang w:val="fr-CA"/>
        </w:rPr>
        <w:t>ppels entendus depuis la dernière parution et résultat</w:t>
      </w:r>
      <w:bookmarkEnd w:id="6"/>
    </w:p>
    <w:p w:rsidR="005500A8" w:rsidRDefault="005500A8" w:rsidP="00717608">
      <w:pPr>
        <w:rPr>
          <w:b/>
          <w:szCs w:val="24"/>
          <w:lang w:val="fr-CA"/>
        </w:rPr>
      </w:pPr>
    </w:p>
    <w:p w:rsidR="00717608" w:rsidRDefault="005500A8" w:rsidP="00717608">
      <w:pPr>
        <w:rPr>
          <w:b/>
          <w:sz w:val="20"/>
          <w:szCs w:val="20"/>
        </w:rPr>
      </w:pPr>
      <w:r w:rsidRPr="001C00B1">
        <w:rPr>
          <w:b/>
          <w:sz w:val="20"/>
          <w:szCs w:val="24"/>
          <w:lang w:val="en-US"/>
        </w:rPr>
        <w:t>MAY 1</w:t>
      </w:r>
      <w:r>
        <w:rPr>
          <w:b/>
          <w:sz w:val="20"/>
          <w:szCs w:val="20"/>
        </w:rPr>
        <w:t>3</w:t>
      </w:r>
      <w:r w:rsidR="00717608" w:rsidRPr="00C50A5C">
        <w:rPr>
          <w:b/>
          <w:sz w:val="20"/>
          <w:szCs w:val="20"/>
        </w:rPr>
        <w:t xml:space="preserve">, </w:t>
      </w:r>
      <w:r w:rsidR="00717608">
        <w:rPr>
          <w:b/>
          <w:sz w:val="20"/>
          <w:szCs w:val="20"/>
        </w:rPr>
        <w:t>2019</w:t>
      </w:r>
      <w:r w:rsidR="00717608" w:rsidRPr="00C50A5C">
        <w:rPr>
          <w:b/>
          <w:sz w:val="20"/>
          <w:szCs w:val="20"/>
        </w:rPr>
        <w:t xml:space="preserve"> / LE </w:t>
      </w:r>
      <w:r w:rsidR="00717608">
        <w:rPr>
          <w:b/>
          <w:sz w:val="20"/>
          <w:szCs w:val="20"/>
        </w:rPr>
        <w:t>1</w:t>
      </w:r>
      <w:r>
        <w:rPr>
          <w:b/>
          <w:sz w:val="20"/>
          <w:szCs w:val="20"/>
        </w:rPr>
        <w:t>3 MAI</w:t>
      </w:r>
      <w:r w:rsidR="00717608" w:rsidRPr="00C50A5C">
        <w:rPr>
          <w:b/>
          <w:sz w:val="20"/>
          <w:szCs w:val="20"/>
        </w:rPr>
        <w:t xml:space="preserve"> </w:t>
      </w:r>
      <w:r w:rsidR="00717608">
        <w:rPr>
          <w:b/>
          <w:sz w:val="20"/>
          <w:szCs w:val="20"/>
        </w:rPr>
        <w:t>2019</w:t>
      </w:r>
    </w:p>
    <w:p w:rsidR="00F03849" w:rsidRDefault="00A234E1" w:rsidP="005500A8">
      <w:pPr>
        <w:widowControl w:val="0"/>
        <w:rPr>
          <w:b/>
          <w:sz w:val="20"/>
          <w:szCs w:val="24"/>
        </w:rPr>
      </w:pPr>
      <w:r>
        <w:rPr>
          <w:rStyle w:val="sccssocchar"/>
          <w:b/>
          <w:bCs/>
          <w:color w:val="000000"/>
          <w:sz w:val="20"/>
          <w:szCs w:val="27"/>
        </w:rPr>
        <w:br/>
      </w:r>
      <w:r w:rsidR="005500A8" w:rsidRPr="005500A8">
        <w:rPr>
          <w:b/>
          <w:sz w:val="20"/>
          <w:szCs w:val="24"/>
        </w:rPr>
        <w:t xml:space="preserve">Attorney General of Canada v. British Columbia Investment Management Corporation, et al. </w:t>
      </w:r>
    </w:p>
    <w:p w:rsidR="005500A8" w:rsidRPr="005500A8" w:rsidRDefault="005500A8" w:rsidP="005500A8">
      <w:pPr>
        <w:widowControl w:val="0"/>
        <w:rPr>
          <w:sz w:val="20"/>
          <w:szCs w:val="24"/>
        </w:rPr>
      </w:pPr>
      <w:r w:rsidRPr="005500A8">
        <w:rPr>
          <w:sz w:val="20"/>
          <w:szCs w:val="24"/>
        </w:rPr>
        <w:t>(B.C.) (Civil) (By Leave)</w:t>
      </w:r>
      <w:r w:rsidRPr="005500A8">
        <w:rPr>
          <w:color w:val="333333"/>
          <w:sz w:val="20"/>
          <w:szCs w:val="24"/>
        </w:rPr>
        <w:t xml:space="preserve"> (</w:t>
      </w:r>
      <w:hyperlink r:id="rId85" w:history="1">
        <w:r w:rsidRPr="005500A8">
          <w:rPr>
            <w:rStyle w:val="Hyperlink"/>
            <w:sz w:val="20"/>
            <w:szCs w:val="24"/>
          </w:rPr>
          <w:t>38059</w:t>
        </w:r>
      </w:hyperlink>
      <w:r w:rsidRPr="005500A8">
        <w:rPr>
          <w:color w:val="333333"/>
          <w:sz w:val="20"/>
          <w:szCs w:val="24"/>
        </w:rPr>
        <w:t>)</w:t>
      </w:r>
    </w:p>
    <w:p w:rsidR="005500A8" w:rsidRPr="005500A8" w:rsidRDefault="005500A8" w:rsidP="005500A8">
      <w:pPr>
        <w:widowControl w:val="0"/>
        <w:ind w:left="1109" w:hanging="1109"/>
        <w:rPr>
          <w:sz w:val="20"/>
        </w:rPr>
      </w:pPr>
    </w:p>
    <w:p w:rsidR="005500A8" w:rsidRPr="005500A8" w:rsidRDefault="005500A8" w:rsidP="005500A8">
      <w:pPr>
        <w:widowControl w:val="0"/>
        <w:ind w:left="1109" w:hanging="1109"/>
        <w:rPr>
          <w:sz w:val="20"/>
        </w:rPr>
      </w:pPr>
      <w:r w:rsidRPr="005500A8">
        <w:rPr>
          <w:sz w:val="20"/>
        </w:rPr>
        <w:t xml:space="preserve">Coram: </w:t>
      </w:r>
      <w:r w:rsidRPr="005500A8">
        <w:rPr>
          <w:sz w:val="20"/>
        </w:rPr>
        <w:tab/>
        <w:t>Wagner C.J. and Abella, Moldaver, Karakatsanis, Brown, Rowe and Martin JJ.</w:t>
      </w:r>
    </w:p>
    <w:p w:rsidR="005500A8" w:rsidRPr="005500A8" w:rsidRDefault="005500A8" w:rsidP="005500A8">
      <w:pPr>
        <w:widowControl w:val="0"/>
        <w:ind w:left="1109" w:hanging="1109"/>
        <w:rPr>
          <w:sz w:val="20"/>
        </w:rPr>
      </w:pPr>
    </w:p>
    <w:p w:rsidR="005500A8" w:rsidRPr="005500A8" w:rsidRDefault="005500A8" w:rsidP="005500A8">
      <w:pPr>
        <w:widowControl w:val="0"/>
        <w:ind w:left="1109" w:hanging="1109"/>
        <w:rPr>
          <w:b/>
          <w:sz w:val="20"/>
        </w:rPr>
      </w:pPr>
      <w:r w:rsidRPr="005500A8">
        <w:rPr>
          <w:b/>
          <w:sz w:val="20"/>
        </w:rPr>
        <w:t>RESERVED / EN DÉLIBÉRÉ</w:t>
      </w:r>
    </w:p>
    <w:p w:rsidR="00102792" w:rsidRDefault="003A218E" w:rsidP="005500A8">
      <w:pPr>
        <w:rPr>
          <w:sz w:val="20"/>
          <w:szCs w:val="20"/>
        </w:rPr>
      </w:pPr>
      <w:r>
        <w:rPr>
          <w:sz w:val="20"/>
          <w:szCs w:val="20"/>
          <w:lang w:val="fr-CA"/>
        </w:rPr>
        <w:pict>
          <v:rect id="_x0000_i1060" style="width:108pt;height:1pt" o:hrpct="0" o:hralign="center" o:hrstd="t" o:hrnoshade="t" o:hr="t" fillcolor="black [3213]" stroked="f"/>
        </w:pict>
      </w:r>
    </w:p>
    <w:p w:rsidR="00102792" w:rsidRDefault="00102792" w:rsidP="00102792">
      <w:pPr>
        <w:widowControl w:val="0"/>
        <w:rPr>
          <w:sz w:val="20"/>
          <w:szCs w:val="20"/>
        </w:rPr>
      </w:pPr>
    </w:p>
    <w:p w:rsidR="005500A8" w:rsidRPr="005500A8" w:rsidRDefault="005500A8" w:rsidP="005500A8">
      <w:pPr>
        <w:rPr>
          <w:b/>
          <w:sz w:val="20"/>
          <w:szCs w:val="20"/>
        </w:rPr>
      </w:pPr>
      <w:r w:rsidRPr="005500A8">
        <w:rPr>
          <w:b/>
          <w:sz w:val="20"/>
          <w:szCs w:val="20"/>
        </w:rPr>
        <w:t>MAY 14, 2019 / LE 14 MAI 2019</w:t>
      </w:r>
    </w:p>
    <w:p w:rsidR="00A234E1" w:rsidRPr="005500A8" w:rsidRDefault="00A234E1" w:rsidP="00A234E1">
      <w:pPr>
        <w:widowControl w:val="0"/>
        <w:rPr>
          <w:b/>
          <w:sz w:val="20"/>
          <w:szCs w:val="20"/>
        </w:rPr>
      </w:pPr>
    </w:p>
    <w:p w:rsidR="00F03849" w:rsidRDefault="005500A8" w:rsidP="005500A8">
      <w:pPr>
        <w:widowControl w:val="0"/>
        <w:rPr>
          <w:b/>
          <w:sz w:val="20"/>
          <w:szCs w:val="20"/>
        </w:rPr>
      </w:pPr>
      <w:r w:rsidRPr="005500A8">
        <w:rPr>
          <w:b/>
          <w:sz w:val="20"/>
          <w:szCs w:val="20"/>
        </w:rPr>
        <w:t xml:space="preserve">Christine DeJong Medicine Professional Corporation v. DBDC </w:t>
      </w:r>
      <w:proofErr w:type="spellStart"/>
      <w:r w:rsidRPr="005500A8">
        <w:rPr>
          <w:b/>
          <w:sz w:val="20"/>
          <w:szCs w:val="20"/>
        </w:rPr>
        <w:t>Spadina</w:t>
      </w:r>
      <w:proofErr w:type="spellEnd"/>
      <w:r w:rsidRPr="005500A8">
        <w:rPr>
          <w:b/>
          <w:sz w:val="20"/>
          <w:szCs w:val="20"/>
        </w:rPr>
        <w:t xml:space="preserve"> Ltd., et al. </w:t>
      </w:r>
    </w:p>
    <w:p w:rsidR="005500A8" w:rsidRPr="005500A8" w:rsidRDefault="005500A8" w:rsidP="005500A8">
      <w:pPr>
        <w:widowControl w:val="0"/>
        <w:rPr>
          <w:sz w:val="20"/>
          <w:szCs w:val="20"/>
        </w:rPr>
      </w:pPr>
      <w:r w:rsidRPr="005500A8">
        <w:rPr>
          <w:sz w:val="20"/>
          <w:szCs w:val="20"/>
        </w:rPr>
        <w:t>(Ont.) (Civil) (By Leave)</w:t>
      </w:r>
      <w:r w:rsidRPr="005500A8">
        <w:rPr>
          <w:color w:val="333333"/>
          <w:sz w:val="20"/>
          <w:szCs w:val="20"/>
        </w:rPr>
        <w:t xml:space="preserve"> (</w:t>
      </w:r>
      <w:hyperlink r:id="rId86" w:history="1">
        <w:r w:rsidRPr="005500A8">
          <w:rPr>
            <w:rStyle w:val="Hyperlink"/>
            <w:sz w:val="20"/>
            <w:szCs w:val="20"/>
          </w:rPr>
          <w:t>38051</w:t>
        </w:r>
      </w:hyperlink>
      <w:r w:rsidRPr="005500A8">
        <w:rPr>
          <w:color w:val="333333"/>
          <w:sz w:val="20"/>
          <w:szCs w:val="20"/>
        </w:rPr>
        <w:t>)</w:t>
      </w:r>
    </w:p>
    <w:p w:rsidR="005500A8" w:rsidRPr="005500A8" w:rsidRDefault="005500A8" w:rsidP="005500A8">
      <w:pPr>
        <w:widowControl w:val="0"/>
        <w:ind w:left="1109" w:hanging="1109"/>
        <w:rPr>
          <w:sz w:val="20"/>
          <w:szCs w:val="20"/>
        </w:rPr>
      </w:pPr>
      <w:r w:rsidRPr="005500A8">
        <w:rPr>
          <w:b/>
          <w:sz w:val="20"/>
          <w:szCs w:val="20"/>
        </w:rPr>
        <w:t>2019 SCC 30 / 2019 CSC 30</w:t>
      </w:r>
    </w:p>
    <w:p w:rsidR="005500A8" w:rsidRPr="005500A8" w:rsidRDefault="005500A8" w:rsidP="005500A8">
      <w:pPr>
        <w:widowControl w:val="0"/>
        <w:ind w:left="1109" w:hanging="1109"/>
        <w:rPr>
          <w:sz w:val="20"/>
          <w:szCs w:val="20"/>
        </w:rPr>
      </w:pPr>
    </w:p>
    <w:p w:rsidR="005500A8" w:rsidRPr="005500A8" w:rsidRDefault="005500A8" w:rsidP="005500A8">
      <w:pPr>
        <w:widowControl w:val="0"/>
        <w:ind w:left="1109" w:hanging="1109"/>
        <w:rPr>
          <w:sz w:val="20"/>
          <w:szCs w:val="20"/>
        </w:rPr>
      </w:pPr>
      <w:r w:rsidRPr="005500A8">
        <w:rPr>
          <w:sz w:val="20"/>
          <w:szCs w:val="20"/>
        </w:rPr>
        <w:t xml:space="preserve">Coram: </w:t>
      </w:r>
      <w:r w:rsidRPr="005500A8">
        <w:rPr>
          <w:sz w:val="20"/>
          <w:szCs w:val="20"/>
        </w:rPr>
        <w:tab/>
        <w:t>Wagner C.J. and Abella, Karakatsanis, Côté, Brown, Rowe and Martin JJ.</w:t>
      </w:r>
    </w:p>
    <w:p w:rsidR="005500A8" w:rsidRPr="005500A8" w:rsidRDefault="005500A8" w:rsidP="005500A8">
      <w:pPr>
        <w:widowControl w:val="0"/>
        <w:ind w:left="1109" w:hanging="1109"/>
        <w:rPr>
          <w:sz w:val="20"/>
          <w:szCs w:val="20"/>
        </w:rPr>
      </w:pPr>
    </w:p>
    <w:p w:rsidR="005500A8" w:rsidRDefault="005500A8" w:rsidP="005500A8">
      <w:pPr>
        <w:widowControl w:val="0"/>
        <w:tabs>
          <w:tab w:val="left" w:pos="720"/>
          <w:tab w:val="left" w:pos="1440"/>
          <w:tab w:val="left" w:pos="2851"/>
          <w:tab w:val="left" w:pos="4320"/>
          <w:tab w:val="left" w:pos="10224"/>
          <w:tab w:val="left" w:pos="11376"/>
        </w:tabs>
        <w:rPr>
          <w:b/>
          <w:sz w:val="20"/>
          <w:szCs w:val="20"/>
        </w:rPr>
      </w:pPr>
      <w:r w:rsidRPr="005500A8">
        <w:rPr>
          <w:b/>
          <w:sz w:val="20"/>
          <w:szCs w:val="20"/>
        </w:rPr>
        <w:t>ALLOWED / ACCUEILLI</w:t>
      </w:r>
    </w:p>
    <w:p w:rsidR="001B47EB" w:rsidRDefault="001B47EB" w:rsidP="005500A8">
      <w:pPr>
        <w:widowControl w:val="0"/>
        <w:tabs>
          <w:tab w:val="left" w:pos="720"/>
          <w:tab w:val="left" w:pos="1440"/>
          <w:tab w:val="left" w:pos="2851"/>
          <w:tab w:val="left" w:pos="4320"/>
          <w:tab w:val="left" w:pos="10224"/>
          <w:tab w:val="left" w:pos="11376"/>
        </w:tabs>
        <w:rPr>
          <w:b/>
          <w:sz w:val="20"/>
          <w:szCs w:val="20"/>
        </w:rPr>
      </w:pPr>
    </w:p>
    <w:p w:rsidR="00D004FC" w:rsidRDefault="003A218E" w:rsidP="00102792">
      <w:pPr>
        <w:rPr>
          <w:sz w:val="20"/>
          <w:szCs w:val="20"/>
          <w:lang w:val="fr-CA"/>
        </w:rPr>
      </w:pPr>
      <w:r>
        <w:rPr>
          <w:sz w:val="20"/>
          <w:szCs w:val="20"/>
          <w:lang w:val="fr-CA"/>
        </w:rPr>
        <w:pict>
          <v:rect id="_x0000_i1061" style="width:108pt;height:1pt" o:hrpct="0" o:hralign="center" o:hrstd="t" o:hrnoshade="t" o:hr="t" fillcolor="black [3213]" stroked="f"/>
        </w:pict>
      </w:r>
    </w:p>
    <w:p w:rsidR="002526FA" w:rsidRDefault="002526FA" w:rsidP="002526FA">
      <w:pPr>
        <w:rPr>
          <w:b/>
          <w:sz w:val="20"/>
          <w:szCs w:val="20"/>
        </w:rPr>
      </w:pPr>
    </w:p>
    <w:p w:rsidR="002526FA" w:rsidRPr="00B44C30" w:rsidRDefault="002526FA" w:rsidP="002526FA">
      <w:pPr>
        <w:rPr>
          <w:b/>
          <w:sz w:val="20"/>
          <w:szCs w:val="20"/>
          <w:lang w:val="fr-CA"/>
        </w:rPr>
      </w:pPr>
      <w:r w:rsidRPr="00B44C30">
        <w:rPr>
          <w:b/>
          <w:sz w:val="20"/>
          <w:szCs w:val="20"/>
          <w:lang w:val="fr-CA"/>
        </w:rPr>
        <w:t>MAY 15, 2019 / LE 15 MAI 2019</w:t>
      </w:r>
    </w:p>
    <w:p w:rsidR="0056248C" w:rsidRPr="00C1697B" w:rsidRDefault="0056248C" w:rsidP="00732DB7">
      <w:pPr>
        <w:widowControl w:val="0"/>
        <w:rPr>
          <w:sz w:val="20"/>
          <w:szCs w:val="20"/>
          <w:lang w:val="fr-CA"/>
        </w:rPr>
      </w:pPr>
    </w:p>
    <w:p w:rsidR="002526FA" w:rsidRPr="00B44C30" w:rsidRDefault="002526FA" w:rsidP="002526FA">
      <w:pPr>
        <w:widowControl w:val="0"/>
        <w:rPr>
          <w:sz w:val="20"/>
          <w:szCs w:val="24"/>
        </w:rPr>
      </w:pPr>
      <w:r w:rsidRPr="00B44C30">
        <w:rPr>
          <w:b/>
          <w:sz w:val="20"/>
          <w:szCs w:val="24"/>
          <w:lang w:val="fr-CA"/>
        </w:rPr>
        <w:t xml:space="preserve">Mitra </w:t>
      </w:r>
      <w:proofErr w:type="spellStart"/>
      <w:r w:rsidRPr="00B44C30">
        <w:rPr>
          <w:b/>
          <w:sz w:val="20"/>
          <w:szCs w:val="24"/>
          <w:lang w:val="fr-CA"/>
        </w:rPr>
        <w:t>Javanmardi</w:t>
      </w:r>
      <w:proofErr w:type="spellEnd"/>
      <w:r w:rsidRPr="00B44C30">
        <w:rPr>
          <w:b/>
          <w:sz w:val="20"/>
          <w:szCs w:val="24"/>
          <w:lang w:val="fr-CA"/>
        </w:rPr>
        <w:t xml:space="preserve"> v. </w:t>
      </w:r>
      <w:proofErr w:type="spellStart"/>
      <w:r w:rsidRPr="00B44C30">
        <w:rPr>
          <w:b/>
          <w:sz w:val="20"/>
          <w:szCs w:val="24"/>
          <w:lang w:val="fr-CA"/>
        </w:rPr>
        <w:t>Her</w:t>
      </w:r>
      <w:proofErr w:type="spellEnd"/>
      <w:r w:rsidRPr="00B44C30">
        <w:rPr>
          <w:b/>
          <w:sz w:val="20"/>
          <w:szCs w:val="24"/>
          <w:lang w:val="fr-CA"/>
        </w:rPr>
        <w:t xml:space="preserve"> </w:t>
      </w:r>
      <w:proofErr w:type="spellStart"/>
      <w:r w:rsidRPr="00B44C30">
        <w:rPr>
          <w:b/>
          <w:sz w:val="20"/>
          <w:szCs w:val="24"/>
          <w:lang w:val="fr-CA"/>
        </w:rPr>
        <w:t>Majesty</w:t>
      </w:r>
      <w:proofErr w:type="spellEnd"/>
      <w:r w:rsidRPr="00B44C30">
        <w:rPr>
          <w:b/>
          <w:sz w:val="20"/>
          <w:szCs w:val="24"/>
          <w:lang w:val="fr-CA"/>
        </w:rPr>
        <w:t xml:space="preserve"> the </w:t>
      </w:r>
      <w:proofErr w:type="spellStart"/>
      <w:r w:rsidRPr="00B44C30">
        <w:rPr>
          <w:b/>
          <w:sz w:val="20"/>
          <w:szCs w:val="24"/>
          <w:lang w:val="fr-CA"/>
        </w:rPr>
        <w:t>Queen</w:t>
      </w:r>
      <w:proofErr w:type="spellEnd"/>
      <w:r w:rsidRPr="00B44C30">
        <w:rPr>
          <w:b/>
          <w:sz w:val="20"/>
          <w:szCs w:val="24"/>
          <w:lang w:val="fr-CA"/>
        </w:rPr>
        <w:t xml:space="preserve">, et al. </w:t>
      </w:r>
      <w:r w:rsidRPr="00B44C30">
        <w:rPr>
          <w:sz w:val="20"/>
          <w:szCs w:val="24"/>
        </w:rPr>
        <w:t>(Que.) (Criminal) (As of Right / By Leave)</w:t>
      </w:r>
      <w:r w:rsidRPr="00B44C30">
        <w:rPr>
          <w:color w:val="333333"/>
          <w:sz w:val="20"/>
          <w:szCs w:val="24"/>
        </w:rPr>
        <w:t xml:space="preserve"> (</w:t>
      </w:r>
      <w:hyperlink r:id="rId87" w:history="1">
        <w:r w:rsidRPr="00B44C30">
          <w:rPr>
            <w:rStyle w:val="Hyperlink"/>
            <w:sz w:val="20"/>
            <w:szCs w:val="24"/>
          </w:rPr>
          <w:t>38188</w:t>
        </w:r>
      </w:hyperlink>
      <w:r w:rsidRPr="00B44C30">
        <w:rPr>
          <w:color w:val="333333"/>
          <w:sz w:val="20"/>
          <w:szCs w:val="24"/>
        </w:rPr>
        <w:t>)</w:t>
      </w:r>
    </w:p>
    <w:p w:rsidR="002526FA" w:rsidRPr="00B44C30" w:rsidRDefault="002526FA" w:rsidP="002526FA">
      <w:pPr>
        <w:widowControl w:val="0"/>
        <w:ind w:left="1109" w:hanging="1109"/>
        <w:rPr>
          <w:sz w:val="20"/>
        </w:rPr>
      </w:pPr>
    </w:p>
    <w:p w:rsidR="002526FA" w:rsidRPr="00B44C30" w:rsidRDefault="002526FA" w:rsidP="002526FA">
      <w:pPr>
        <w:widowControl w:val="0"/>
        <w:ind w:left="1109" w:hanging="1109"/>
        <w:rPr>
          <w:sz w:val="20"/>
        </w:rPr>
      </w:pPr>
      <w:r w:rsidRPr="00B44C30">
        <w:rPr>
          <w:sz w:val="20"/>
        </w:rPr>
        <w:t xml:space="preserve">Coram: </w:t>
      </w:r>
      <w:r w:rsidRPr="00B44C30">
        <w:rPr>
          <w:sz w:val="20"/>
        </w:rPr>
        <w:tab/>
        <w:t>Wagner C.J. and Abella, Moldaver, Karakatsanis, Côté, Brown and Rowe JJ.</w:t>
      </w:r>
    </w:p>
    <w:p w:rsidR="002526FA" w:rsidRPr="00B44C30" w:rsidRDefault="002526FA" w:rsidP="002526FA">
      <w:pPr>
        <w:widowControl w:val="0"/>
        <w:ind w:left="1109" w:hanging="1109"/>
        <w:rPr>
          <w:sz w:val="20"/>
        </w:rPr>
      </w:pPr>
    </w:p>
    <w:p w:rsidR="002526FA" w:rsidRPr="002526FA" w:rsidRDefault="002526FA" w:rsidP="002526FA">
      <w:pPr>
        <w:widowControl w:val="0"/>
        <w:ind w:left="1109" w:hanging="1109"/>
        <w:rPr>
          <w:b/>
          <w:sz w:val="20"/>
        </w:rPr>
      </w:pPr>
      <w:r w:rsidRPr="00B44C30">
        <w:rPr>
          <w:b/>
          <w:sz w:val="20"/>
        </w:rPr>
        <w:t>RESERVED / EN DÉLIBÉRÉ</w:t>
      </w:r>
    </w:p>
    <w:p w:rsidR="002526FA" w:rsidRDefault="003A218E" w:rsidP="00732DB7">
      <w:pPr>
        <w:widowControl w:val="0"/>
        <w:rPr>
          <w:sz w:val="20"/>
          <w:szCs w:val="20"/>
          <w:lang w:val="fr-CA"/>
        </w:rPr>
      </w:pPr>
      <w:r>
        <w:rPr>
          <w:sz w:val="20"/>
          <w:szCs w:val="20"/>
          <w:lang w:val="fr-CA"/>
        </w:rPr>
        <w:pict>
          <v:rect id="_x0000_i1062" style="width:108pt;height:1pt" o:hrpct="0" o:hralign="center" o:hrstd="t" o:hrnoshade="t" o:hr="t" fillcolor="black [3213]" stroked="f"/>
        </w:pict>
      </w:r>
    </w:p>
    <w:p w:rsidR="002526FA" w:rsidRDefault="002526FA" w:rsidP="002526FA">
      <w:pPr>
        <w:rPr>
          <w:b/>
          <w:sz w:val="20"/>
          <w:szCs w:val="20"/>
        </w:rPr>
      </w:pPr>
    </w:p>
    <w:p w:rsidR="002526FA" w:rsidRPr="00FA3B66" w:rsidRDefault="002526FA" w:rsidP="002526FA">
      <w:pPr>
        <w:rPr>
          <w:b/>
          <w:sz w:val="20"/>
          <w:szCs w:val="20"/>
          <w:lang w:val="fr-CA"/>
        </w:rPr>
      </w:pPr>
      <w:r w:rsidRPr="00FA3B66">
        <w:rPr>
          <w:b/>
          <w:sz w:val="20"/>
          <w:szCs w:val="20"/>
          <w:lang w:val="fr-CA"/>
        </w:rPr>
        <w:t>MAY 16, 2019 / LE 16 MAI 2019</w:t>
      </w:r>
    </w:p>
    <w:p w:rsidR="002526FA" w:rsidRPr="00FA3B66" w:rsidRDefault="002526FA" w:rsidP="00732DB7">
      <w:pPr>
        <w:widowControl w:val="0"/>
        <w:rPr>
          <w:sz w:val="20"/>
          <w:szCs w:val="20"/>
          <w:lang w:val="fr-CA"/>
        </w:rPr>
      </w:pPr>
    </w:p>
    <w:p w:rsidR="002526FA" w:rsidRPr="00FA3B66" w:rsidRDefault="002526FA" w:rsidP="002526FA">
      <w:pPr>
        <w:widowControl w:val="0"/>
        <w:rPr>
          <w:sz w:val="20"/>
          <w:szCs w:val="24"/>
          <w:lang w:val="fr-CA"/>
        </w:rPr>
      </w:pPr>
      <w:r w:rsidRPr="00FA3B66">
        <w:rPr>
          <w:b/>
          <w:sz w:val="20"/>
          <w:szCs w:val="24"/>
          <w:lang w:val="fr-CA"/>
        </w:rPr>
        <w:t xml:space="preserve">Marie-Maude Denis c. Marc-Yvan Côté </w:t>
      </w:r>
      <w:r w:rsidRPr="00FA3B66">
        <w:rPr>
          <w:sz w:val="20"/>
          <w:szCs w:val="24"/>
          <w:lang w:val="fr-CA"/>
        </w:rPr>
        <w:t>(</w:t>
      </w:r>
      <w:proofErr w:type="spellStart"/>
      <w:r w:rsidRPr="00FA3B66">
        <w:rPr>
          <w:sz w:val="20"/>
          <w:szCs w:val="24"/>
          <w:lang w:val="fr-CA"/>
        </w:rPr>
        <w:t>Qc</w:t>
      </w:r>
      <w:proofErr w:type="spellEnd"/>
      <w:r w:rsidRPr="00FA3B66">
        <w:rPr>
          <w:sz w:val="20"/>
          <w:szCs w:val="24"/>
          <w:lang w:val="fr-CA"/>
        </w:rPr>
        <w:t>) (Civile) (Autorisation)</w:t>
      </w:r>
      <w:r w:rsidRPr="00FA3B66">
        <w:rPr>
          <w:sz w:val="20"/>
          <w:lang w:val="fr-CA"/>
        </w:rPr>
        <w:t xml:space="preserve"> </w:t>
      </w:r>
      <w:r w:rsidRPr="00FA3B66">
        <w:rPr>
          <w:color w:val="333333"/>
          <w:sz w:val="20"/>
          <w:szCs w:val="24"/>
          <w:lang w:val="fr-CA"/>
        </w:rPr>
        <w:t>(</w:t>
      </w:r>
      <w:hyperlink r:id="rId88" w:history="1">
        <w:r w:rsidRPr="00FA3B66">
          <w:rPr>
            <w:rStyle w:val="Hyperlink"/>
            <w:sz w:val="20"/>
            <w:szCs w:val="24"/>
            <w:lang w:val="fr-CA"/>
          </w:rPr>
          <w:t>38114</w:t>
        </w:r>
      </w:hyperlink>
      <w:r w:rsidRPr="00FA3B66">
        <w:rPr>
          <w:color w:val="333333"/>
          <w:sz w:val="20"/>
          <w:szCs w:val="24"/>
          <w:lang w:val="fr-CA"/>
        </w:rPr>
        <w:t>)</w:t>
      </w:r>
    </w:p>
    <w:p w:rsidR="002526FA" w:rsidRPr="00FA3B66" w:rsidRDefault="002526FA" w:rsidP="002526FA">
      <w:pPr>
        <w:widowControl w:val="0"/>
        <w:ind w:left="1109" w:hanging="1109"/>
        <w:rPr>
          <w:sz w:val="20"/>
          <w:lang w:val="fr-CA"/>
        </w:rPr>
      </w:pPr>
    </w:p>
    <w:p w:rsidR="00D90AF5" w:rsidRPr="00D90AF5" w:rsidRDefault="00A22DDE" w:rsidP="00D90AF5">
      <w:pPr>
        <w:ind w:left="1109" w:hanging="1109"/>
        <w:rPr>
          <w:sz w:val="20"/>
          <w:lang w:val="fr-CA"/>
        </w:rPr>
      </w:pPr>
      <w:r>
        <w:rPr>
          <w:sz w:val="20"/>
          <w:lang w:val="fr-CA"/>
        </w:rPr>
        <w:t xml:space="preserve">Coram: </w:t>
      </w:r>
      <w:r>
        <w:rPr>
          <w:sz w:val="20"/>
          <w:lang w:val="fr-CA"/>
        </w:rPr>
        <w:tab/>
      </w:r>
      <w:r w:rsidR="00D90AF5" w:rsidRPr="00D90AF5">
        <w:rPr>
          <w:sz w:val="20"/>
          <w:lang w:val="fr-CA"/>
        </w:rPr>
        <w:t>Le juge en chef Wagner et les juges Abella, Moldaver, Karakatsanis, Gascon, Côté, Brown, Rowe et Martin</w:t>
      </w:r>
    </w:p>
    <w:p w:rsidR="002526FA" w:rsidRPr="00FA3B66" w:rsidRDefault="002526FA" w:rsidP="002526FA">
      <w:pPr>
        <w:widowControl w:val="0"/>
        <w:ind w:left="1109" w:hanging="1109"/>
        <w:rPr>
          <w:sz w:val="20"/>
          <w:lang w:val="fr-CA"/>
        </w:rPr>
      </w:pPr>
    </w:p>
    <w:p w:rsidR="002526FA" w:rsidRDefault="002526FA" w:rsidP="00EB19D5">
      <w:pPr>
        <w:widowControl w:val="0"/>
        <w:ind w:left="1109" w:hanging="1109"/>
        <w:rPr>
          <w:sz w:val="20"/>
          <w:szCs w:val="20"/>
          <w:lang w:val="fr-CA"/>
        </w:rPr>
      </w:pPr>
      <w:r w:rsidRPr="00FA3B66">
        <w:rPr>
          <w:b/>
          <w:sz w:val="20"/>
          <w:lang w:val="fr-CA"/>
        </w:rPr>
        <w:t>RESERVED / EN DÉLIBÉRÉ</w:t>
      </w:r>
      <w:r w:rsidR="003A218E">
        <w:rPr>
          <w:sz w:val="20"/>
          <w:szCs w:val="20"/>
          <w:lang w:val="fr-CA"/>
        </w:rPr>
        <w:pict>
          <v:rect id="_x0000_i1063" style="width:108pt;height:1pt" o:hrpct="0" o:hralign="center" o:hrstd="t" o:hrnoshade="t" o:hr="t" fillcolor="black [3213]" stroked="f"/>
        </w:pict>
      </w:r>
    </w:p>
    <w:p w:rsidR="002526FA" w:rsidRPr="00C1697B" w:rsidRDefault="002526FA"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89"/>
          <w:headerReference w:type="default" r:id="rId90"/>
          <w:footerReference w:type="even" r:id="rId91"/>
          <w:footerReference w:type="default" r:id="rId92"/>
          <w:headerReference w:type="first" r:id="rId93"/>
          <w:footerReference w:type="first" r:id="rId94"/>
          <w:pgSz w:w="12240" w:h="15840"/>
          <w:pgMar w:top="720" w:right="965" w:bottom="1080" w:left="1656" w:header="720" w:footer="960" w:gutter="0"/>
          <w:cols w:space="720"/>
          <w:titlePg/>
          <w:docGrid w:linePitch="326"/>
        </w:sectPr>
      </w:pPr>
    </w:p>
    <w:p w:rsidR="00567602" w:rsidRPr="00567602" w:rsidRDefault="001434B9" w:rsidP="00567602">
      <w:pPr>
        <w:pStyle w:val="Header1StyleE"/>
        <w:pBdr>
          <w:bottom w:val="single" w:sz="12" w:space="1" w:color="auto"/>
        </w:pBdr>
        <w:rPr>
          <w:lang w:val="fr-CA"/>
        </w:rPr>
      </w:pPr>
      <w:bookmarkStart w:id="7" w:name="_Toc8998620"/>
      <w:proofErr w:type="spellStart"/>
      <w:r w:rsidRPr="00567602">
        <w:rPr>
          <w:lang w:val="fr-CA"/>
        </w:rPr>
        <w:lastRenderedPageBreak/>
        <w:t>Pronouncements</w:t>
      </w:r>
      <w:proofErr w:type="spellEnd"/>
      <w:r w:rsidRPr="00567602">
        <w:rPr>
          <w:lang w:val="fr-CA"/>
        </w:rPr>
        <w:t xml:space="preserve"> of </w:t>
      </w:r>
      <w:proofErr w:type="spellStart"/>
      <w:r w:rsidRPr="00567602">
        <w:rPr>
          <w:lang w:val="fr-CA"/>
        </w:rPr>
        <w:t>reserved</w:t>
      </w:r>
      <w:proofErr w:type="spellEnd"/>
      <w:r w:rsidR="00271E1E">
        <w:rPr>
          <w:lang w:val="fr-CA"/>
        </w:rPr>
        <w:t xml:space="preserve"> </w:t>
      </w:r>
      <w:proofErr w:type="spellStart"/>
      <w:r w:rsidR="00271E1E">
        <w:rPr>
          <w:lang w:val="fr-CA"/>
        </w:rPr>
        <w:t>appeals</w:t>
      </w:r>
      <w:proofErr w:type="spellEnd"/>
      <w:r w:rsidR="00271E1E">
        <w:rPr>
          <w:lang w:val="fr-CA"/>
        </w:rPr>
        <w:t xml:space="preserve"> / </w:t>
      </w:r>
      <w:r w:rsidR="00567602" w:rsidRPr="00567602">
        <w:rPr>
          <w:lang w:val="fr-CA"/>
        </w:rPr>
        <w:br/>
      </w:r>
      <w:r>
        <w:rPr>
          <w:lang w:val="fr-CA"/>
        </w:rPr>
        <w:t>J</w:t>
      </w:r>
      <w:r w:rsidRPr="00C1697B">
        <w:rPr>
          <w:lang w:val="fr-CA"/>
        </w:rPr>
        <w:t>ugements rendus sur les appels en délibéré</w:t>
      </w:r>
      <w:bookmarkEnd w:id="7"/>
    </w:p>
    <w:p w:rsidR="00FF6EEC" w:rsidRPr="003B3977" w:rsidRDefault="00FF6EEC" w:rsidP="00FF6EEC">
      <w:pPr>
        <w:rPr>
          <w:b/>
          <w:sz w:val="20"/>
          <w:szCs w:val="20"/>
          <w:lang w:val="fr-CA"/>
        </w:rPr>
      </w:pPr>
    </w:p>
    <w:p w:rsidR="00102792" w:rsidRPr="00C42C54" w:rsidRDefault="00111010" w:rsidP="00102792">
      <w:pPr>
        <w:rPr>
          <w:b/>
          <w:sz w:val="20"/>
          <w:szCs w:val="20"/>
          <w:lang w:val="fr-CA"/>
        </w:rPr>
      </w:pPr>
      <w:r>
        <w:rPr>
          <w:b/>
          <w:sz w:val="20"/>
          <w:szCs w:val="20"/>
          <w:lang w:val="fr-CA"/>
        </w:rPr>
        <w:t>MAY</w:t>
      </w:r>
      <w:r w:rsidR="00102792">
        <w:rPr>
          <w:b/>
          <w:sz w:val="20"/>
          <w:szCs w:val="20"/>
          <w:lang w:val="fr-CA"/>
        </w:rPr>
        <w:t xml:space="preserve"> 16</w:t>
      </w:r>
      <w:r w:rsidR="00102792" w:rsidRPr="00C42C54">
        <w:rPr>
          <w:b/>
          <w:sz w:val="20"/>
          <w:szCs w:val="20"/>
          <w:lang w:val="fr-CA"/>
        </w:rPr>
        <w:t xml:space="preserve">, </w:t>
      </w:r>
      <w:r w:rsidR="0034657E">
        <w:rPr>
          <w:b/>
          <w:sz w:val="20"/>
          <w:szCs w:val="20"/>
          <w:lang w:val="fr-CA"/>
        </w:rPr>
        <w:t>2019</w:t>
      </w:r>
      <w:r>
        <w:rPr>
          <w:b/>
          <w:sz w:val="20"/>
          <w:szCs w:val="20"/>
          <w:lang w:val="fr-CA"/>
        </w:rPr>
        <w:t xml:space="preserve"> / LE 16 MAI </w:t>
      </w:r>
      <w:r w:rsidR="0034657E">
        <w:rPr>
          <w:b/>
          <w:sz w:val="20"/>
          <w:szCs w:val="20"/>
          <w:lang w:val="fr-CA"/>
        </w:rPr>
        <w:t>2019</w:t>
      </w:r>
    </w:p>
    <w:p w:rsidR="00102792" w:rsidRPr="00C42C54" w:rsidRDefault="00102792" w:rsidP="00102792">
      <w:pPr>
        <w:rPr>
          <w:sz w:val="20"/>
          <w:szCs w:val="20"/>
          <w:lang w:val="fr-CA"/>
        </w:rPr>
      </w:pPr>
    </w:p>
    <w:p w:rsidR="00111010" w:rsidRPr="00647612" w:rsidRDefault="00111010" w:rsidP="00111010">
      <w:pPr>
        <w:ind w:left="1440" w:hanging="1440"/>
        <w:jc w:val="both"/>
        <w:rPr>
          <w:sz w:val="20"/>
          <w:lang w:val="fr-CA"/>
        </w:rPr>
      </w:pPr>
      <w:r w:rsidRPr="00647612">
        <w:rPr>
          <w:b/>
          <w:sz w:val="20"/>
        </w:rPr>
        <w:fldChar w:fldCharType="begin"/>
      </w:r>
      <w:r w:rsidRPr="00647612">
        <w:rPr>
          <w:b/>
          <w:sz w:val="20"/>
          <w:lang w:val="fr-CA"/>
        </w:rPr>
        <w:instrText xml:space="preserve"> SEQ CHAPTER \h \r 1</w:instrText>
      </w:r>
      <w:r w:rsidRPr="00647612">
        <w:rPr>
          <w:b/>
          <w:sz w:val="20"/>
        </w:rPr>
        <w:fldChar w:fldCharType="end"/>
      </w:r>
      <w:r w:rsidRPr="00647612">
        <w:rPr>
          <w:b/>
          <w:sz w:val="20"/>
          <w:lang w:val="fr-CA"/>
        </w:rPr>
        <w:t>37790</w:t>
      </w:r>
      <w:r w:rsidRPr="00647612">
        <w:rPr>
          <w:color w:val="FF0000"/>
          <w:sz w:val="20"/>
          <w:lang w:val="fr-CA"/>
        </w:rPr>
        <w:tab/>
      </w:r>
      <w:r w:rsidRPr="00647612">
        <w:rPr>
          <w:b/>
          <w:sz w:val="20"/>
          <w:lang w:val="fr-CA"/>
        </w:rPr>
        <w:t xml:space="preserve">Joseph Roy Éric Bessette c. Procureur général de la Colombie-Britannique - et - Commissaire aux langues officielles du Canada et Fédération des associations de juristes d’expression française de </w:t>
      </w:r>
      <w:proofErr w:type="spellStart"/>
      <w:r w:rsidRPr="00647612">
        <w:rPr>
          <w:b/>
          <w:sz w:val="20"/>
          <w:lang w:val="fr-CA"/>
        </w:rPr>
        <w:t>common</w:t>
      </w:r>
      <w:proofErr w:type="spellEnd"/>
      <w:r w:rsidRPr="00647612">
        <w:rPr>
          <w:b/>
          <w:sz w:val="20"/>
          <w:lang w:val="fr-CA"/>
        </w:rPr>
        <w:t xml:space="preserve"> </w:t>
      </w:r>
      <w:proofErr w:type="spellStart"/>
      <w:r w:rsidRPr="00647612">
        <w:rPr>
          <w:b/>
          <w:sz w:val="20"/>
          <w:lang w:val="fr-CA"/>
        </w:rPr>
        <w:t>law</w:t>
      </w:r>
      <w:proofErr w:type="spellEnd"/>
      <w:r w:rsidRPr="00647612">
        <w:rPr>
          <w:b/>
          <w:sz w:val="20"/>
          <w:lang w:val="fr-CA"/>
        </w:rPr>
        <w:t xml:space="preserve"> </w:t>
      </w:r>
      <w:proofErr w:type="spellStart"/>
      <w:r w:rsidRPr="00647612">
        <w:rPr>
          <w:b/>
          <w:sz w:val="20"/>
          <w:lang w:val="fr-CA"/>
        </w:rPr>
        <w:t>inc.</w:t>
      </w:r>
      <w:proofErr w:type="spellEnd"/>
      <w:r w:rsidRPr="00647612">
        <w:rPr>
          <w:b/>
          <w:sz w:val="20"/>
          <w:lang w:val="fr-CA"/>
        </w:rPr>
        <w:t xml:space="preserve"> </w:t>
      </w:r>
      <w:r w:rsidRPr="00647612">
        <w:rPr>
          <w:iCs/>
          <w:sz w:val="20"/>
          <w:lang w:val="fr-CA"/>
        </w:rPr>
        <w:t>(C.-B.)</w:t>
      </w:r>
    </w:p>
    <w:p w:rsidR="00111010" w:rsidRPr="00EB19D5" w:rsidRDefault="00111010" w:rsidP="00111010">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B44C30">
        <w:rPr>
          <w:b/>
          <w:sz w:val="20"/>
          <w:lang w:val="fr-CA"/>
        </w:rPr>
        <w:t>2019 SCC 3</w:t>
      </w:r>
      <w:r w:rsidR="007A4837" w:rsidRPr="00B44C30">
        <w:rPr>
          <w:b/>
          <w:sz w:val="20"/>
          <w:lang w:val="fr-CA"/>
        </w:rPr>
        <w:t>1</w:t>
      </w:r>
      <w:r w:rsidRPr="00B44C30">
        <w:rPr>
          <w:b/>
          <w:sz w:val="20"/>
          <w:lang w:val="fr-CA"/>
        </w:rPr>
        <w:t xml:space="preserve"> / 2019 CSC 3</w:t>
      </w:r>
      <w:r w:rsidR="007A4837" w:rsidRPr="00B44C30">
        <w:rPr>
          <w:b/>
          <w:sz w:val="20"/>
          <w:lang w:val="fr-CA"/>
        </w:rPr>
        <w:t>1</w:t>
      </w:r>
    </w:p>
    <w:p w:rsidR="00111010" w:rsidRPr="00647612" w:rsidRDefault="00111010" w:rsidP="00111010">
      <w:pPr>
        <w:ind w:left="1440" w:hanging="1440"/>
        <w:jc w:val="both"/>
        <w:rPr>
          <w:sz w:val="20"/>
          <w:lang w:val="fr-CA"/>
        </w:rPr>
      </w:pPr>
    </w:p>
    <w:p w:rsidR="00111010" w:rsidRPr="00647612" w:rsidRDefault="00111010" w:rsidP="00111010">
      <w:pPr>
        <w:ind w:left="1440" w:hanging="1440"/>
        <w:rPr>
          <w:sz w:val="20"/>
          <w:lang w:val="fr-CA"/>
        </w:rPr>
      </w:pPr>
      <w:r w:rsidRPr="00647612">
        <w:rPr>
          <w:sz w:val="20"/>
          <w:lang w:val="fr-CA"/>
        </w:rPr>
        <w:t>Coram:</w:t>
      </w:r>
      <w:r w:rsidRPr="00647612">
        <w:rPr>
          <w:sz w:val="20"/>
          <w:lang w:val="fr-CA"/>
        </w:rPr>
        <w:tab/>
        <w:t>Le juge en chef Wagner et les juges Abella, Moldaver, Karakatsanis, Gascon, Côté, Brown, Rowe et Martin.</w:t>
      </w:r>
    </w:p>
    <w:p w:rsidR="00111010" w:rsidRPr="00647612" w:rsidRDefault="00111010" w:rsidP="00111010">
      <w:pPr>
        <w:jc w:val="both"/>
        <w:rPr>
          <w:sz w:val="20"/>
          <w:lang w:val="fr-CA"/>
        </w:rPr>
      </w:pPr>
    </w:p>
    <w:p w:rsidR="00111010" w:rsidRPr="00647612" w:rsidRDefault="00111010" w:rsidP="00111010">
      <w:pPr>
        <w:rPr>
          <w:sz w:val="20"/>
          <w:lang w:val="fr-CA"/>
        </w:rPr>
      </w:pPr>
      <w:r w:rsidRPr="00647612">
        <w:rPr>
          <w:sz w:val="20"/>
          <w:lang w:val="fr-CA"/>
        </w:rPr>
        <w:t>L’appel interjeté contre l’arrêt de la Cour d’appel de la Colombie-Britannique (Vancouver), numéro CA44200, 2017 BCCA 264, daté du 13 juillet 2017, entendu le 15 novembre 2018, est accueilli sans dépens. L’ordonnance de la Cour provinciale est annulée. M. Bessette est autorisé à subir son procès en français.</w:t>
      </w:r>
    </w:p>
    <w:p w:rsidR="00111010" w:rsidRPr="00647612" w:rsidRDefault="00111010" w:rsidP="00111010">
      <w:pPr>
        <w:jc w:val="both"/>
        <w:rPr>
          <w:sz w:val="20"/>
          <w:lang w:val="fr-CA"/>
        </w:rPr>
      </w:pPr>
    </w:p>
    <w:p w:rsidR="00111010" w:rsidRPr="00647612" w:rsidRDefault="00111010" w:rsidP="00111010">
      <w:pPr>
        <w:jc w:val="both"/>
        <w:rPr>
          <w:sz w:val="20"/>
        </w:rPr>
      </w:pPr>
      <w:r w:rsidRPr="00647612">
        <w:rPr>
          <w:sz w:val="20"/>
        </w:rPr>
        <w:t xml:space="preserve">The appeal from the judgment </w:t>
      </w:r>
      <w:bookmarkStart w:id="8" w:name="BM_1_"/>
      <w:bookmarkEnd w:id="8"/>
      <w:r w:rsidRPr="00647612">
        <w:rPr>
          <w:sz w:val="20"/>
        </w:rPr>
        <w:t xml:space="preserve">of the Court of Appeal for British Columbia (Vancouver), Number CA44200, 2017 BCCA 264, dated July 13, 2017, heard on November 15, 2018, is allowed without costs. The order of the Provincial Court is quashed. Mr. </w:t>
      </w:r>
      <w:proofErr w:type="spellStart"/>
      <w:r w:rsidRPr="00647612">
        <w:rPr>
          <w:sz w:val="20"/>
        </w:rPr>
        <w:t>Bessette</w:t>
      </w:r>
      <w:proofErr w:type="spellEnd"/>
      <w:r w:rsidRPr="00647612">
        <w:rPr>
          <w:sz w:val="20"/>
        </w:rPr>
        <w:t xml:space="preserve"> is allowed to stand trial in French.</w:t>
      </w:r>
    </w:p>
    <w:p w:rsidR="00102792" w:rsidRPr="00111010" w:rsidRDefault="00102792" w:rsidP="00102792">
      <w:pPr>
        <w:rPr>
          <w:sz w:val="20"/>
          <w:szCs w:val="20"/>
        </w:rPr>
      </w:pPr>
    </w:p>
    <w:p w:rsidR="00102792" w:rsidRDefault="003A218E" w:rsidP="00102792">
      <w:pPr>
        <w:rPr>
          <w:sz w:val="20"/>
          <w:szCs w:val="20"/>
          <w:lang w:val="fr-CA"/>
        </w:rPr>
      </w:pPr>
      <w:hyperlink r:id="rId95" w:history="1">
        <w:r w:rsidR="00506BE1" w:rsidRPr="00735D75">
          <w:rPr>
            <w:rStyle w:val="Hyperlink"/>
            <w:sz w:val="20"/>
            <w:szCs w:val="20"/>
            <w:lang w:val="fr-CA"/>
          </w:rPr>
          <w:t xml:space="preserve">LINK TO </w:t>
        </w:r>
        <w:r w:rsidR="00D82BFF" w:rsidRPr="00735D75">
          <w:rPr>
            <w:rStyle w:val="Hyperlink"/>
            <w:sz w:val="20"/>
            <w:szCs w:val="20"/>
            <w:lang w:val="fr-CA"/>
          </w:rPr>
          <w:t>REASONS</w:t>
        </w:r>
      </w:hyperlink>
      <w:r w:rsidR="00102792">
        <w:rPr>
          <w:sz w:val="20"/>
          <w:szCs w:val="20"/>
          <w:lang w:val="fr-CA"/>
        </w:rPr>
        <w:t xml:space="preserve"> / </w:t>
      </w:r>
      <w:hyperlink r:id="rId96" w:history="1">
        <w:r w:rsidR="00D82BFF" w:rsidRPr="00735D75">
          <w:rPr>
            <w:rStyle w:val="Hyperlink"/>
            <w:sz w:val="20"/>
            <w:szCs w:val="20"/>
            <w:lang w:val="fr-CA"/>
          </w:rPr>
          <w:t>LIEN VERS LES MOTIFS</w:t>
        </w:r>
      </w:hyperlink>
    </w:p>
    <w:p w:rsidR="00102792" w:rsidRPr="00EC5730" w:rsidRDefault="00102792" w:rsidP="00102792">
      <w:pPr>
        <w:rPr>
          <w:sz w:val="20"/>
          <w:szCs w:val="20"/>
          <w:lang w:val="fr-CA"/>
        </w:rPr>
      </w:pPr>
    </w:p>
    <w:p w:rsidR="00D004FC" w:rsidRDefault="003A218E" w:rsidP="00102792">
      <w:pPr>
        <w:jc w:val="both"/>
        <w:rPr>
          <w:rFonts w:cs="Times New Roman"/>
          <w:b/>
          <w:sz w:val="20"/>
          <w:szCs w:val="20"/>
        </w:rPr>
      </w:pPr>
      <w:r>
        <w:rPr>
          <w:b/>
          <w:sz w:val="20"/>
          <w:szCs w:val="20"/>
        </w:rPr>
        <w:pict>
          <v:rect id="_x0000_i1066"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56248C" w:rsidRPr="00091BA6" w:rsidRDefault="0056248C" w:rsidP="00091BA6">
      <w:pPr>
        <w:rPr>
          <w:lang w:val="fr-CA"/>
        </w:rPr>
      </w:pPr>
    </w:p>
    <w:p w:rsidR="00102926" w:rsidRPr="00C50A5C" w:rsidRDefault="00102926" w:rsidP="00782AE4">
      <w:pPr>
        <w:jc w:val="both"/>
        <w:rPr>
          <w:sz w:val="20"/>
          <w:szCs w:val="20"/>
        </w:rPr>
        <w:sectPr w:rsidR="00102926" w:rsidRPr="00C50A5C" w:rsidSect="00782AE4">
          <w:headerReference w:type="even" r:id="rId97"/>
          <w:headerReference w:type="default" r:id="rId98"/>
          <w:footerReference w:type="even" r:id="rId99"/>
          <w:footerReference w:type="default" r:id="rId100"/>
          <w:headerReference w:type="first" r:id="rId101"/>
          <w:footerReference w:type="first" r:id="rId102"/>
          <w:pgSz w:w="12240" w:h="15840"/>
          <w:pgMar w:top="720" w:right="965" w:bottom="1080" w:left="1656" w:header="576" w:footer="960" w:gutter="0"/>
          <w:cols w:space="720"/>
          <w:titlePg/>
          <w:docGrid w:linePitch="272"/>
        </w:sectPr>
      </w:pPr>
    </w:p>
    <w:p w:rsidR="00BE34F7" w:rsidRDefault="0041245B" w:rsidP="00BE34F7">
      <w:pPr>
        <w:tabs>
          <w:tab w:val="center" w:pos="5220"/>
          <w:tab w:val="right" w:pos="10800"/>
        </w:tabs>
        <w:rPr>
          <w:rFonts w:ascii="Arial" w:hAnsi="Arial" w:cs="Arial"/>
          <w:sz w:val="16"/>
          <w:szCs w:val="18"/>
          <w:lang w:val="fr-CA"/>
        </w:rPr>
      </w:pPr>
      <w:bookmarkStart w:id="9" w:name="1"/>
      <w:bookmarkStart w:id="10" w:name="QuickMark"/>
      <w:bookmarkEnd w:id="9"/>
      <w:bookmarkEnd w:id="10"/>
      <w:r>
        <w:rPr>
          <w:rFonts w:ascii="Arial" w:hAnsi="Arial" w:cs="Arial"/>
          <w:sz w:val="20"/>
          <w:lang w:val="fr-FR"/>
        </w:rPr>
        <w:lastRenderedPageBreak/>
        <w:tab/>
      </w:r>
      <w:r w:rsidR="00BE34F7">
        <w:rPr>
          <w:rFonts w:ascii="Arial" w:hAnsi="Arial" w:cs="Arial"/>
          <w:sz w:val="18"/>
          <w:lang w:val="fr-FR"/>
        </w:rPr>
        <w:t xml:space="preserve">   </w:t>
      </w:r>
      <w:r w:rsidR="00BE34F7">
        <w:rPr>
          <w:rFonts w:ascii="Arial" w:hAnsi="Arial" w:cs="Arial"/>
          <w:b/>
          <w:i/>
          <w:szCs w:val="28"/>
          <w:lang w:val="fr-FR"/>
        </w:rPr>
        <w:t>- 2018 -</w:t>
      </w:r>
      <w:r w:rsidR="00BE34F7">
        <w:rPr>
          <w:rFonts w:ascii="Arial" w:hAnsi="Arial" w:cs="Arial"/>
          <w:sz w:val="18"/>
          <w:lang w:val="fr-FR"/>
        </w:rPr>
        <w:t xml:space="preserve"> </w:t>
      </w:r>
      <w:r w:rsidR="00BE34F7">
        <w:rPr>
          <w:rFonts w:ascii="Arial" w:hAnsi="Arial" w:cs="Arial"/>
          <w:sz w:val="18"/>
          <w:lang w:val="fr-FR"/>
        </w:rPr>
        <w:tab/>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BE34F7" w:rsidTr="00211A38">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211A38">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211A38">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BE34F7" w:rsidTr="00211A38">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4"/>
                <w:szCs w:val="14"/>
                <w:lang w:val="fr-FR"/>
              </w:rPr>
            </w:pPr>
            <w:r>
              <w:rPr>
                <w:rFonts w:ascii="Arial" w:hAnsi="Arial" w:cs="Arial"/>
                <w:b/>
                <w:sz w:val="14"/>
                <w:szCs w:val="14"/>
                <w:lang w:val="fr-FR"/>
              </w:rPr>
              <w:t>S</w:t>
            </w:r>
          </w:p>
          <w:p w:rsidR="00BE34F7" w:rsidRDefault="00BE34F7" w:rsidP="00211A38">
            <w:pPr>
              <w:tabs>
                <w:tab w:val="center" w:pos="5220"/>
                <w:tab w:val="right" w:pos="10440"/>
              </w:tabs>
              <w:jc w:val="center"/>
              <w:rPr>
                <w:rFonts w:ascii="Arial" w:hAnsi="Arial" w:cs="Arial"/>
                <w:b/>
                <w:sz w:val="14"/>
                <w:szCs w:val="14"/>
                <w:lang w:val="fr-FR"/>
              </w:rPr>
            </w:pPr>
            <w:r>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211A3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211A3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BE34F7" w:rsidRDefault="00BE34F7" w:rsidP="00211A3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211A3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BE34F7" w:rsidRDefault="00BE34F7" w:rsidP="00211A3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211A3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211A38">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211A3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211A3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211A3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BE34F7" w:rsidRDefault="00BE34F7" w:rsidP="00211A3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211A3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BE34F7" w:rsidRDefault="00BE34F7" w:rsidP="00211A3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211A3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211A38">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211A3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211A3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211A38">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11A38">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11A38">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w:t>
            </w:r>
          </w:p>
        </w:tc>
      </w:tr>
      <w:tr w:rsidR="00BE34F7" w:rsidTr="00211A38">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7</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211A38">
            <w:pPr>
              <w:jc w:val="center"/>
              <w:rPr>
                <w:rFonts w:ascii="Arial" w:hAnsi="Arial" w:cs="Arial"/>
                <w:b/>
                <w:sz w:val="13"/>
                <w:szCs w:val="13"/>
              </w:rPr>
            </w:pPr>
            <w:r>
              <w:rPr>
                <w:rFonts w:ascii="Arial" w:hAnsi="Arial" w:cs="Arial"/>
                <w:b/>
                <w:sz w:val="13"/>
                <w:szCs w:val="13"/>
              </w:rPr>
              <w:t>H</w:t>
            </w:r>
          </w:p>
          <w:p w:rsidR="00BE34F7" w:rsidRDefault="00BE34F7" w:rsidP="00211A38">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b/>
                <w:sz w:val="13"/>
                <w:szCs w:val="13"/>
              </w:rPr>
            </w:pPr>
            <w:r>
              <w:rPr>
                <w:rFonts w:ascii="Arial" w:hAnsi="Arial" w:cs="Arial"/>
                <w:b/>
                <w:sz w:val="13"/>
                <w:szCs w:val="13"/>
              </w:rPr>
              <w:t>CC</w:t>
            </w:r>
          </w:p>
          <w:p w:rsidR="00BE34F7" w:rsidRDefault="00BE34F7" w:rsidP="00211A38">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13</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11A38">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b/>
                <w:sz w:val="13"/>
                <w:szCs w:val="13"/>
              </w:rPr>
            </w:pPr>
            <w:r>
              <w:rPr>
                <w:rFonts w:ascii="Arial" w:hAnsi="Arial" w:cs="Arial"/>
                <w:b/>
                <w:sz w:val="13"/>
                <w:szCs w:val="13"/>
              </w:rPr>
              <w:t>CC</w:t>
            </w:r>
          </w:p>
          <w:p w:rsidR="00BE34F7" w:rsidRDefault="00BE34F7" w:rsidP="00211A38">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11A38">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b/>
                <w:sz w:val="13"/>
                <w:szCs w:val="13"/>
              </w:rPr>
            </w:pPr>
            <w:r>
              <w:rPr>
                <w:rFonts w:ascii="Arial" w:hAnsi="Arial" w:cs="Arial"/>
                <w:b/>
                <w:sz w:val="13"/>
                <w:szCs w:val="13"/>
              </w:rPr>
              <w:t>CC</w:t>
            </w:r>
          </w:p>
          <w:p w:rsidR="00BE34F7" w:rsidRDefault="00BE34F7" w:rsidP="00211A38">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8</w:t>
            </w:r>
          </w:p>
        </w:tc>
      </w:tr>
      <w:tr w:rsidR="00BE34F7" w:rsidTr="00211A38">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14</w:t>
            </w:r>
          </w:p>
        </w:tc>
        <w:tc>
          <w:tcPr>
            <w:tcW w:w="224" w:type="pct"/>
            <w:tcBorders>
              <w:top w:val="double" w:sz="6"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20</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11A38">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11</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211A38">
            <w:pPr>
              <w:jc w:val="center"/>
              <w:rPr>
                <w:rFonts w:ascii="Arial" w:hAnsi="Arial" w:cs="Arial"/>
                <w:b/>
                <w:sz w:val="13"/>
                <w:szCs w:val="13"/>
              </w:rPr>
            </w:pPr>
            <w:r>
              <w:rPr>
                <w:rFonts w:ascii="Arial" w:hAnsi="Arial" w:cs="Arial"/>
                <w:b/>
                <w:sz w:val="13"/>
                <w:szCs w:val="13"/>
              </w:rPr>
              <w:t>H</w:t>
            </w:r>
          </w:p>
          <w:p w:rsidR="00BE34F7" w:rsidRDefault="00BE34F7" w:rsidP="00211A38">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16</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11A38">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15</w:t>
            </w:r>
          </w:p>
        </w:tc>
      </w:tr>
      <w:tr w:rsidR="00BE34F7" w:rsidTr="00211A38">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27</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11A38">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18</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11A38">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19</w:t>
            </w:r>
          </w:p>
        </w:tc>
        <w:tc>
          <w:tcPr>
            <w:tcW w:w="225"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22</w:t>
            </w:r>
          </w:p>
        </w:tc>
      </w:tr>
      <w:tr w:rsidR="00BE34F7" w:rsidTr="00211A38">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31</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11A38">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11A38">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211A38">
            <w:pPr>
              <w:rPr>
                <w:rFonts w:ascii="Arial" w:hAnsi="Arial" w:cs="Arial"/>
                <w:sz w:val="13"/>
                <w:szCs w:val="13"/>
              </w:rPr>
            </w:pPr>
            <w:r>
              <w:rPr>
                <w:rFonts w:ascii="Arial" w:hAnsi="Arial" w:cs="Arial"/>
                <w:sz w:val="13"/>
                <w:szCs w:val="13"/>
              </w:rPr>
              <w:t xml:space="preserve"> 23 /</w:t>
            </w:r>
          </w:p>
          <w:p w:rsidR="00BE34F7" w:rsidRDefault="00BE34F7" w:rsidP="00211A38">
            <w:pPr>
              <w:rPr>
                <w:rFonts w:ascii="Arial" w:hAnsi="Arial" w:cs="Arial"/>
                <w:sz w:val="13"/>
                <w:szCs w:val="13"/>
              </w:rPr>
            </w:pPr>
            <w:r>
              <w:rPr>
                <w:rFonts w:ascii="Arial" w:hAnsi="Arial" w:cs="Arial"/>
                <w:sz w:val="13"/>
                <w:szCs w:val="13"/>
              </w:rPr>
              <w:t xml:space="preserve">       30</w:t>
            </w:r>
          </w:p>
        </w:tc>
        <w:tc>
          <w:tcPr>
            <w:tcW w:w="225" w:type="pct"/>
            <w:tcBorders>
              <w:top w:val="single" w:sz="4" w:space="0" w:color="auto"/>
              <w:left w:val="single" w:sz="4"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211A38">
            <w:pPr>
              <w:rPr>
                <w:rFonts w:ascii="Arial" w:hAnsi="Arial" w:cs="Arial"/>
                <w:sz w:val="13"/>
                <w:szCs w:val="13"/>
              </w:rPr>
            </w:pPr>
            <w:r>
              <w:rPr>
                <w:rFonts w:ascii="Arial" w:hAnsi="Arial" w:cs="Arial"/>
                <w:sz w:val="13"/>
                <w:szCs w:val="13"/>
              </w:rPr>
              <w:t xml:space="preserve"> 24 /</w:t>
            </w:r>
          </w:p>
          <w:p w:rsidR="00BE34F7" w:rsidRDefault="00BE34F7" w:rsidP="00211A38">
            <w:pPr>
              <w:rPr>
                <w:rFonts w:ascii="Arial" w:hAnsi="Arial" w:cs="Arial"/>
                <w:sz w:val="13"/>
                <w:szCs w:val="13"/>
              </w:rPr>
            </w:pPr>
            <w:r>
              <w:rPr>
                <w:rFonts w:ascii="Arial" w:hAnsi="Arial" w:cs="Arial"/>
                <w:sz w:val="13"/>
                <w:szCs w:val="13"/>
              </w:rPr>
              <w:t xml:space="preserve">       31</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211A38">
            <w:pPr>
              <w:jc w:val="center"/>
              <w:rPr>
                <w:rFonts w:ascii="Arial" w:hAnsi="Arial" w:cs="Arial"/>
                <w:b/>
                <w:sz w:val="13"/>
                <w:szCs w:val="13"/>
              </w:rPr>
            </w:pPr>
            <w:r>
              <w:rPr>
                <w:rFonts w:ascii="Arial" w:hAnsi="Arial" w:cs="Arial"/>
                <w:b/>
                <w:sz w:val="13"/>
                <w:szCs w:val="13"/>
              </w:rPr>
              <w:t>H</w:t>
            </w:r>
          </w:p>
          <w:p w:rsidR="00BE34F7" w:rsidRDefault="00BE34F7" w:rsidP="00211A38">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211A38">
            <w:pPr>
              <w:jc w:val="center"/>
              <w:rPr>
                <w:rFonts w:ascii="Arial" w:hAnsi="Arial" w:cs="Arial"/>
                <w:b/>
                <w:sz w:val="13"/>
                <w:szCs w:val="13"/>
              </w:rPr>
            </w:pPr>
            <w:r>
              <w:rPr>
                <w:rFonts w:ascii="Arial" w:hAnsi="Arial" w:cs="Arial"/>
                <w:b/>
                <w:sz w:val="13"/>
                <w:szCs w:val="13"/>
              </w:rPr>
              <w:t>H</w:t>
            </w:r>
          </w:p>
          <w:p w:rsidR="00BE34F7" w:rsidRDefault="00BE34F7" w:rsidP="00211A38">
            <w:pPr>
              <w:jc w:val="center"/>
              <w:rPr>
                <w:rFonts w:ascii="Arial" w:hAnsi="Arial" w:cs="Arial"/>
                <w:sz w:val="13"/>
                <w:szCs w:val="13"/>
              </w:rPr>
            </w:pPr>
            <w:r>
              <w:rPr>
                <w:rFonts w:ascii="Arial" w:hAnsi="Arial" w:cs="Arial"/>
                <w:sz w:val="13"/>
                <w:szCs w:val="13"/>
              </w:rPr>
              <w:t>26</w:t>
            </w:r>
          </w:p>
        </w:tc>
        <w:tc>
          <w:tcPr>
            <w:tcW w:w="225" w:type="pct"/>
            <w:tcBorders>
              <w:top w:val="single" w:sz="4" w:space="0" w:color="auto"/>
              <w:left w:val="double" w:sz="6"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29</w:t>
            </w:r>
          </w:p>
        </w:tc>
      </w:tr>
    </w:tbl>
    <w:p w:rsidR="00BE34F7" w:rsidRDefault="00BE34F7" w:rsidP="00BE34F7">
      <w:pPr>
        <w:tabs>
          <w:tab w:val="center" w:pos="5220"/>
          <w:tab w:val="right" w:pos="10440"/>
        </w:tabs>
        <w:jc w:val="center"/>
        <w:rPr>
          <w:rFonts w:ascii="Arial" w:hAnsi="Arial" w:cs="Arial"/>
          <w:szCs w:val="28"/>
        </w:rPr>
      </w:pPr>
      <w:r>
        <w:rPr>
          <w:rFonts w:ascii="Arial" w:hAnsi="Arial" w:cs="Arial"/>
          <w:b/>
          <w:i/>
          <w:szCs w:val="28"/>
        </w:rPr>
        <w:t>- 2019 -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BE34F7" w:rsidTr="00211A38">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211A38">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211A38">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BE34F7" w:rsidTr="00211A38">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211A38">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211A38">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211A38">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auto"/>
            </w:tcBorders>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211A38">
            <w:pPr>
              <w:jc w:val="center"/>
              <w:rPr>
                <w:rFonts w:ascii="Arial" w:hAnsi="Arial" w:cs="Arial"/>
                <w:b/>
                <w:sz w:val="13"/>
                <w:szCs w:val="13"/>
              </w:rPr>
            </w:pPr>
            <w:r>
              <w:rPr>
                <w:rFonts w:ascii="Arial" w:hAnsi="Arial" w:cs="Arial"/>
                <w:b/>
                <w:sz w:val="13"/>
                <w:szCs w:val="13"/>
              </w:rPr>
              <w:t>H</w:t>
            </w:r>
          </w:p>
          <w:p w:rsidR="00BE34F7" w:rsidRDefault="00BE34F7" w:rsidP="00211A38">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11A3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11A3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w:t>
            </w:r>
          </w:p>
        </w:tc>
      </w:tr>
      <w:tr w:rsidR="00BE34F7" w:rsidTr="00211A38">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11A3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3</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11A3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9</w:t>
            </w:r>
          </w:p>
        </w:tc>
      </w:tr>
      <w:tr w:rsidR="00BE34F7" w:rsidTr="00211A38">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b/>
                <w:sz w:val="13"/>
                <w:szCs w:val="13"/>
              </w:rPr>
            </w:pPr>
            <w:r>
              <w:rPr>
                <w:rFonts w:ascii="Arial" w:hAnsi="Arial" w:cs="Arial"/>
                <w:b/>
                <w:sz w:val="13"/>
                <w:szCs w:val="13"/>
              </w:rPr>
              <w:t>CC</w:t>
            </w:r>
          </w:p>
          <w:p w:rsidR="00BE34F7" w:rsidRDefault="00BE34F7" w:rsidP="00211A38">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19</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11A3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b/>
                <w:sz w:val="13"/>
                <w:szCs w:val="13"/>
              </w:rPr>
            </w:pPr>
            <w:r>
              <w:rPr>
                <w:rFonts w:ascii="Arial" w:hAnsi="Arial" w:cs="Arial"/>
                <w:b/>
                <w:sz w:val="13"/>
                <w:szCs w:val="13"/>
              </w:rPr>
              <w:t>CC</w:t>
            </w:r>
          </w:p>
          <w:p w:rsidR="00BE34F7" w:rsidRDefault="00BE34F7" w:rsidP="00211A38">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11A3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10</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16</w:t>
            </w:r>
          </w:p>
        </w:tc>
      </w:tr>
      <w:tr w:rsidR="00BE34F7" w:rsidTr="00211A38">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11A3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11A3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b/>
                <w:sz w:val="13"/>
                <w:szCs w:val="13"/>
              </w:rPr>
            </w:pPr>
            <w:r>
              <w:rPr>
                <w:rFonts w:ascii="Arial" w:hAnsi="Arial" w:cs="Arial"/>
                <w:b/>
                <w:sz w:val="13"/>
                <w:szCs w:val="13"/>
              </w:rPr>
              <w:t>CC</w:t>
            </w:r>
          </w:p>
          <w:p w:rsidR="00BE34F7" w:rsidRDefault="00BE34F7" w:rsidP="00211A38">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23</w:t>
            </w:r>
          </w:p>
        </w:tc>
      </w:tr>
      <w:tr w:rsidR="00BE34F7" w:rsidTr="00211A38">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11A3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11A3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211A38">
            <w:pPr>
              <w:rPr>
                <w:rFonts w:ascii="Arial" w:hAnsi="Arial" w:cs="Arial"/>
                <w:sz w:val="13"/>
                <w:szCs w:val="13"/>
              </w:rPr>
            </w:pPr>
            <w:r>
              <w:rPr>
                <w:rFonts w:ascii="Arial" w:hAnsi="Arial" w:cs="Arial"/>
                <w:sz w:val="13"/>
                <w:szCs w:val="13"/>
              </w:rPr>
              <w:t xml:space="preserve"> 24 /</w:t>
            </w:r>
          </w:p>
          <w:p w:rsidR="00BE34F7" w:rsidRDefault="00BE34F7" w:rsidP="00211A38">
            <w:pPr>
              <w:rPr>
                <w:rFonts w:ascii="Arial" w:hAnsi="Arial" w:cs="Arial"/>
                <w:sz w:val="13"/>
                <w:szCs w:val="13"/>
              </w:rPr>
            </w:pPr>
            <w:r>
              <w:rPr>
                <w:rFonts w:ascii="Arial" w:hAnsi="Arial" w:cs="Arial"/>
                <w:sz w:val="13"/>
                <w:szCs w:val="13"/>
              </w:rPr>
              <w:t xml:space="preserve">       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28</w:t>
            </w:r>
          </w:p>
        </w:tc>
        <w:tc>
          <w:tcPr>
            <w:tcW w:w="224" w:type="pct"/>
            <w:tcBorders>
              <w:top w:val="single" w:sz="4" w:space="0" w:color="auto"/>
              <w:left w:val="single" w:sz="4" w:space="0" w:color="auto"/>
              <w:bottom w:val="nil"/>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30</w:t>
            </w:r>
          </w:p>
        </w:tc>
      </w:tr>
      <w:tr w:rsidR="00BE34F7" w:rsidTr="00211A38">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211A38">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211A38">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BE34F7" w:rsidTr="00211A38">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211A38">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211A38">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211A38">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5</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11A3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11A3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w:t>
            </w:r>
          </w:p>
        </w:tc>
      </w:tr>
      <w:tr w:rsidR="00BE34F7" w:rsidTr="00211A38">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7</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000000" w:themeColor="text1"/>
              <w:bottom w:val="doub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11A3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10</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11A3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8</w:t>
            </w:r>
          </w:p>
        </w:tc>
      </w:tr>
      <w:tr w:rsidR="00BE34F7" w:rsidTr="00211A38">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14</w:t>
            </w:r>
          </w:p>
        </w:tc>
        <w:tc>
          <w:tcPr>
            <w:tcW w:w="222"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b/>
                <w:sz w:val="13"/>
                <w:szCs w:val="13"/>
              </w:rPr>
            </w:pPr>
            <w:r>
              <w:rPr>
                <w:rFonts w:ascii="Arial" w:hAnsi="Arial" w:cs="Arial"/>
                <w:b/>
                <w:sz w:val="13"/>
                <w:szCs w:val="13"/>
              </w:rPr>
              <w:t>CC</w:t>
            </w:r>
          </w:p>
          <w:p w:rsidR="00BE34F7" w:rsidRDefault="00BE34F7" w:rsidP="00211A38">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18</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211A38">
            <w:pPr>
              <w:jc w:val="center"/>
              <w:rPr>
                <w:rFonts w:ascii="Arial" w:hAnsi="Arial" w:cs="Arial"/>
                <w:b/>
                <w:sz w:val="13"/>
                <w:szCs w:val="13"/>
              </w:rPr>
            </w:pPr>
            <w:r>
              <w:rPr>
                <w:rFonts w:ascii="Arial" w:hAnsi="Arial" w:cs="Arial"/>
                <w:b/>
                <w:sz w:val="13"/>
                <w:szCs w:val="13"/>
              </w:rPr>
              <w:t>H</w:t>
            </w:r>
          </w:p>
          <w:p w:rsidR="00BE34F7" w:rsidRDefault="00BE34F7" w:rsidP="00211A38">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11A3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b/>
                <w:sz w:val="13"/>
                <w:szCs w:val="13"/>
              </w:rPr>
            </w:pPr>
            <w:r>
              <w:rPr>
                <w:rFonts w:ascii="Arial" w:hAnsi="Arial" w:cs="Arial"/>
                <w:b/>
                <w:sz w:val="13"/>
                <w:szCs w:val="13"/>
              </w:rPr>
              <w:t>CC</w:t>
            </w:r>
          </w:p>
          <w:p w:rsidR="00BE34F7" w:rsidRDefault="00BE34F7" w:rsidP="00211A38">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11A3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b/>
                <w:sz w:val="13"/>
                <w:szCs w:val="13"/>
              </w:rPr>
            </w:pPr>
            <w:r>
              <w:rPr>
                <w:rFonts w:ascii="Arial" w:hAnsi="Arial" w:cs="Arial"/>
                <w:b/>
                <w:sz w:val="13"/>
                <w:szCs w:val="13"/>
              </w:rPr>
              <w:t>CC</w:t>
            </w:r>
          </w:p>
          <w:p w:rsidR="00BE34F7" w:rsidRDefault="00BE34F7" w:rsidP="00211A38">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15</w:t>
            </w:r>
          </w:p>
        </w:tc>
      </w:tr>
      <w:tr w:rsidR="00BE34F7" w:rsidTr="00211A38">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21</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211A38">
            <w:pPr>
              <w:jc w:val="center"/>
              <w:rPr>
                <w:rFonts w:ascii="Arial" w:hAnsi="Arial" w:cs="Arial"/>
                <w:b/>
                <w:sz w:val="13"/>
                <w:szCs w:val="13"/>
              </w:rPr>
            </w:pPr>
            <w:r>
              <w:rPr>
                <w:rFonts w:ascii="Arial" w:hAnsi="Arial" w:cs="Arial"/>
                <w:b/>
                <w:sz w:val="13"/>
                <w:szCs w:val="13"/>
              </w:rPr>
              <w:t>H</w:t>
            </w:r>
          </w:p>
          <w:p w:rsidR="00BE34F7" w:rsidRDefault="00BE34F7" w:rsidP="00211A38">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25</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11A3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19</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211A38">
            <w:pPr>
              <w:jc w:val="center"/>
              <w:rPr>
                <w:rFonts w:ascii="Arial" w:hAnsi="Arial" w:cs="Arial"/>
                <w:b/>
                <w:sz w:val="13"/>
                <w:szCs w:val="13"/>
              </w:rPr>
            </w:pPr>
            <w:r>
              <w:rPr>
                <w:rFonts w:ascii="Arial" w:hAnsi="Arial" w:cs="Arial"/>
                <w:b/>
                <w:sz w:val="13"/>
                <w:szCs w:val="13"/>
              </w:rPr>
              <w:t>H</w:t>
            </w:r>
          </w:p>
          <w:p w:rsidR="00BE34F7" w:rsidRDefault="00BE34F7" w:rsidP="00211A38">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11A3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22</w:t>
            </w:r>
          </w:p>
        </w:tc>
      </w:tr>
      <w:tr w:rsidR="00BE34F7" w:rsidTr="00211A38">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28</w:t>
            </w:r>
          </w:p>
        </w:tc>
        <w:tc>
          <w:tcPr>
            <w:tcW w:w="222"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11A38">
            <w:pP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11A3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26</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31</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11A3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211A38">
            <w:pPr>
              <w:jc w:val="both"/>
              <w:rPr>
                <w:rFonts w:ascii="Arial" w:hAnsi="Arial" w:cs="Arial"/>
                <w:sz w:val="13"/>
                <w:szCs w:val="13"/>
              </w:rPr>
            </w:pPr>
            <w:r>
              <w:rPr>
                <w:rFonts w:ascii="Arial" w:hAnsi="Arial" w:cs="Arial"/>
                <w:sz w:val="13"/>
                <w:szCs w:val="13"/>
              </w:rPr>
              <w:t xml:space="preserve"> 23 /</w:t>
            </w:r>
          </w:p>
          <w:p w:rsidR="00BE34F7" w:rsidRDefault="00BE34F7" w:rsidP="00211A38">
            <w:pPr>
              <w:jc w:val="both"/>
              <w:rPr>
                <w:rFonts w:ascii="Arial" w:hAnsi="Arial" w:cs="Arial"/>
                <w:sz w:val="13"/>
                <w:szCs w:val="13"/>
              </w:rPr>
            </w:pPr>
            <w:r>
              <w:rPr>
                <w:rFonts w:ascii="Arial" w:hAnsi="Arial" w:cs="Arial"/>
                <w:sz w:val="13"/>
                <w:szCs w:val="13"/>
              </w:rPr>
              <w:t xml:space="preserve">       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29</w:t>
            </w:r>
          </w:p>
        </w:tc>
      </w:tr>
      <w:tr w:rsidR="00BE34F7" w:rsidTr="00211A38">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211A38">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211A38">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SEPTEMBER – SEPTEMBRE</w:t>
            </w:r>
          </w:p>
        </w:tc>
      </w:tr>
      <w:tr w:rsidR="00BE34F7" w:rsidTr="00211A38">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11A38">
            <w:pPr>
              <w:tabs>
                <w:tab w:val="center" w:pos="5220"/>
                <w:tab w:val="right" w:pos="10440"/>
              </w:tabs>
              <w:jc w:val="center"/>
              <w:rPr>
                <w:rFonts w:ascii="Arial" w:hAnsi="Arial" w:cs="Arial"/>
                <w:b/>
                <w:sz w:val="16"/>
                <w:szCs w:val="16"/>
              </w:rPr>
            </w:pPr>
            <w:r>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211A38">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211A38">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11A38">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211A38">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211A38">
            <w:pPr>
              <w:jc w:val="center"/>
              <w:rPr>
                <w:rFonts w:ascii="Arial" w:hAnsi="Arial" w:cs="Arial"/>
                <w:b/>
                <w:sz w:val="13"/>
                <w:szCs w:val="13"/>
              </w:rPr>
            </w:pPr>
            <w:r>
              <w:rPr>
                <w:rFonts w:ascii="Arial" w:hAnsi="Arial" w:cs="Arial"/>
                <w:b/>
                <w:sz w:val="13"/>
                <w:szCs w:val="13"/>
              </w:rPr>
              <w:t>H</w:t>
            </w:r>
          </w:p>
          <w:p w:rsidR="00BE34F7" w:rsidRDefault="00BE34F7" w:rsidP="00211A38">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11A3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11A3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211A38">
            <w:pPr>
              <w:jc w:val="center"/>
              <w:rPr>
                <w:rFonts w:ascii="Arial" w:hAnsi="Arial" w:cs="Arial"/>
                <w:b/>
                <w:sz w:val="13"/>
                <w:szCs w:val="13"/>
              </w:rPr>
            </w:pPr>
            <w:r>
              <w:rPr>
                <w:rFonts w:ascii="Arial" w:hAnsi="Arial" w:cs="Arial"/>
                <w:b/>
                <w:sz w:val="13"/>
                <w:szCs w:val="13"/>
              </w:rPr>
              <w:t>H</w:t>
            </w:r>
          </w:p>
          <w:p w:rsidR="00BE34F7" w:rsidRDefault="00BE34F7" w:rsidP="00211A38">
            <w:pPr>
              <w:jc w:val="center"/>
              <w:rPr>
                <w:rFonts w:ascii="Arial" w:hAnsi="Arial" w:cs="Arial"/>
                <w:b/>
                <w:sz w:val="13"/>
                <w:szCs w:val="13"/>
              </w:rPr>
            </w:pPr>
            <w:r>
              <w:rPr>
                <w:rFonts w:ascii="Arial" w:hAnsi="Arial" w:cs="Arial"/>
                <w:sz w:val="13"/>
                <w:szCs w:val="13"/>
              </w:rPr>
              <w:t>2</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7</w:t>
            </w:r>
          </w:p>
        </w:tc>
      </w:tr>
      <w:tr w:rsidR="00BE34F7" w:rsidTr="00211A38">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12</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11A3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4</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211A38">
            <w:pPr>
              <w:jc w:val="center"/>
              <w:rPr>
                <w:rFonts w:ascii="Arial" w:hAnsi="Arial" w:cs="Arial"/>
                <w:b/>
                <w:sz w:val="13"/>
                <w:szCs w:val="13"/>
              </w:rPr>
            </w:pPr>
            <w:r>
              <w:rPr>
                <w:rFonts w:ascii="Arial" w:hAnsi="Arial" w:cs="Arial"/>
                <w:b/>
                <w:sz w:val="13"/>
                <w:szCs w:val="13"/>
              </w:rPr>
              <w:t>H</w:t>
            </w:r>
          </w:p>
          <w:p w:rsidR="00BE34F7" w:rsidRDefault="00BE34F7" w:rsidP="00211A38">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9</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11A3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8</w:t>
            </w:r>
          </w:p>
        </w:tc>
        <w:tc>
          <w:tcPr>
            <w:tcW w:w="224"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14</w:t>
            </w:r>
          </w:p>
        </w:tc>
      </w:tr>
      <w:tr w:rsidR="00BE34F7" w:rsidTr="00211A38">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11A3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16</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11A3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21</w:t>
            </w:r>
          </w:p>
        </w:tc>
      </w:tr>
      <w:tr w:rsidR="00BE34F7" w:rsidTr="00211A38">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11A3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11A3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28</w:t>
            </w:r>
          </w:p>
        </w:tc>
      </w:tr>
      <w:tr w:rsidR="00BE34F7" w:rsidTr="00211A38">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11A3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30</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11A3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211A38">
            <w:pPr>
              <w:jc w:val="center"/>
              <w:rPr>
                <w:rFonts w:ascii="Arial" w:hAnsi="Arial" w:cs="Arial"/>
                <w:sz w:val="13"/>
                <w:szCs w:val="13"/>
              </w:rPr>
            </w:pPr>
            <w:r>
              <w:rPr>
                <w:rFonts w:ascii="Arial" w:hAnsi="Arial" w:cs="Arial"/>
                <w:sz w:val="13"/>
                <w:szCs w:val="13"/>
              </w:rPr>
              <w:t>29</w:t>
            </w:r>
          </w:p>
        </w:tc>
        <w:tc>
          <w:tcPr>
            <w:tcW w:w="224" w:type="pct"/>
            <w:tcBorders>
              <w:top w:val="double" w:sz="6"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211A38">
            <w:pPr>
              <w:jc w:val="center"/>
              <w:rPr>
                <w:rFonts w:ascii="Arial" w:hAnsi="Arial" w:cs="Arial"/>
                <w:b/>
                <w:sz w:val="13"/>
                <w:szCs w:val="13"/>
              </w:rPr>
            </w:pPr>
            <w:r>
              <w:rPr>
                <w:rFonts w:ascii="Arial" w:hAnsi="Arial" w:cs="Arial"/>
                <w:b/>
                <w:sz w:val="13"/>
                <w:szCs w:val="13"/>
              </w:rPr>
              <w:t>RH</w:t>
            </w:r>
          </w:p>
          <w:p w:rsidR="00BE34F7" w:rsidRDefault="00BE34F7" w:rsidP="00211A38">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211A38">
            <w:pPr>
              <w:jc w:val="center"/>
              <w:rPr>
                <w:rFonts w:ascii="Arial" w:hAnsi="Arial" w:cs="Arial"/>
                <w:sz w:val="13"/>
                <w:szCs w:val="13"/>
              </w:rPr>
            </w:pPr>
          </w:p>
        </w:tc>
      </w:tr>
    </w:tbl>
    <w:p w:rsidR="00BE34F7" w:rsidRDefault="00BE34F7" w:rsidP="00BE34F7">
      <w:pPr>
        <w:tabs>
          <w:tab w:val="center" w:pos="5220"/>
          <w:tab w:val="right" w:pos="10440"/>
        </w:tabs>
        <w:rPr>
          <w:rFonts w:ascii="Arial" w:hAnsi="Arial" w:cs="Arial"/>
          <w:sz w:val="14"/>
          <w:szCs w:val="14"/>
          <w:lang w:val="fr-CA"/>
        </w:rPr>
      </w:pPr>
    </w:p>
    <w:tbl>
      <w:tblPr>
        <w:tblStyle w:val="TableGrid"/>
        <w:tblW w:w="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3580"/>
        <w:gridCol w:w="4140"/>
        <w:gridCol w:w="720"/>
      </w:tblGrid>
      <w:tr w:rsidR="00BE34F7" w:rsidTr="00211A38">
        <w:tc>
          <w:tcPr>
            <w:tcW w:w="1782" w:type="dxa"/>
            <w:tcBorders>
              <w:top w:val="nil"/>
              <w:left w:val="nil"/>
              <w:bottom w:val="nil"/>
              <w:right w:val="single" w:sz="4" w:space="0" w:color="000000" w:themeColor="text1"/>
            </w:tcBorders>
            <w:vAlign w:val="center"/>
            <w:hideMark/>
          </w:tcPr>
          <w:p w:rsidR="00BE34F7" w:rsidRDefault="00BE34F7" w:rsidP="00211A38">
            <w:pPr>
              <w:rPr>
                <w:rFonts w:ascii="Arial" w:hAnsi="Arial" w:cs="Arial"/>
                <w:b/>
                <w:sz w:val="14"/>
                <w:szCs w:val="14"/>
              </w:rPr>
            </w:pPr>
            <w:r>
              <w:rPr>
                <w:rFonts w:ascii="Arial" w:hAnsi="Arial" w:cs="Arial"/>
                <w:b/>
                <w:sz w:val="14"/>
                <w:szCs w:val="14"/>
              </w:rPr>
              <w:t>Sitting of the Court /</w:t>
            </w:r>
          </w:p>
          <w:p w:rsidR="00BE34F7" w:rsidRDefault="00BE34F7" w:rsidP="00211A38">
            <w:pPr>
              <w:rPr>
                <w:rFonts w:ascii="Arial" w:hAnsi="Arial" w:cs="Arial"/>
                <w:b/>
                <w:sz w:val="14"/>
                <w:szCs w:val="14"/>
              </w:rPr>
            </w:pPr>
            <w:r>
              <w:rPr>
                <w:rFonts w:ascii="Arial" w:hAnsi="Arial" w:cs="Arial"/>
                <w:b/>
                <w:sz w:val="14"/>
                <w:szCs w:val="14"/>
              </w:rPr>
              <w:t xml:space="preserve">Séance de la </w:t>
            </w:r>
            <w:proofErr w:type="spellStart"/>
            <w:r>
              <w:rPr>
                <w:rFonts w:ascii="Arial" w:hAnsi="Arial" w:cs="Arial"/>
                <w:b/>
                <w:sz w:val="14"/>
                <w:szCs w:val="14"/>
              </w:rPr>
              <w:t>Cour</w:t>
            </w:r>
            <w:proofErr w:type="spellEnd"/>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E34F7" w:rsidRDefault="00BE34F7" w:rsidP="00211A38">
            <w:pPr>
              <w:jc w:val="center"/>
              <w:rPr>
                <w:rFonts w:ascii="Arial" w:hAnsi="Arial" w:cs="Arial"/>
                <w:b/>
                <w:sz w:val="14"/>
                <w:szCs w:val="14"/>
              </w:rPr>
            </w:pPr>
          </w:p>
        </w:tc>
        <w:tc>
          <w:tcPr>
            <w:tcW w:w="3580" w:type="dxa"/>
            <w:tcBorders>
              <w:top w:val="nil"/>
              <w:left w:val="single" w:sz="4" w:space="0" w:color="000000" w:themeColor="text1"/>
              <w:bottom w:val="nil"/>
              <w:right w:val="nil"/>
            </w:tcBorders>
            <w:hideMark/>
          </w:tcPr>
          <w:p w:rsidR="00BE34F7" w:rsidRDefault="00BE34F7" w:rsidP="00211A38">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weeks</w:t>
            </w:r>
            <w:proofErr w:type="spellEnd"/>
            <w:r>
              <w:rPr>
                <w:rFonts w:ascii="Arial" w:hAnsi="Arial" w:cs="Arial"/>
                <w:b/>
                <w:sz w:val="14"/>
                <w:szCs w:val="14"/>
                <w:lang w:val="fr-CA"/>
              </w:rPr>
              <w:t xml:space="preserve"> / semaines séances de la Cour</w:t>
            </w:r>
          </w:p>
          <w:p w:rsidR="00BE34F7" w:rsidRDefault="00BE34F7" w:rsidP="00211A38">
            <w:pPr>
              <w:tabs>
                <w:tab w:val="left" w:pos="203"/>
              </w:tabs>
              <w:rPr>
                <w:rFonts w:ascii="Arial" w:hAnsi="Arial" w:cs="Arial"/>
                <w:b/>
                <w:sz w:val="14"/>
                <w:szCs w:val="14"/>
                <w:lang w:val="fr-CA"/>
              </w:rPr>
            </w:pPr>
            <w:r>
              <w:rPr>
                <w:rFonts w:ascii="Arial" w:hAnsi="Arial" w:cs="Arial"/>
                <w:b/>
                <w:sz w:val="14"/>
                <w:szCs w:val="14"/>
                <w:lang w:val="fr-CA"/>
              </w:rPr>
              <w:t xml:space="preserve">85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days</w:t>
            </w:r>
            <w:proofErr w:type="spellEnd"/>
            <w:r>
              <w:rPr>
                <w:rFonts w:ascii="Arial" w:hAnsi="Arial" w:cs="Arial"/>
                <w:b/>
                <w:sz w:val="14"/>
                <w:szCs w:val="14"/>
                <w:lang w:val="fr-CA"/>
              </w:rPr>
              <w:t xml:space="preserve"> / journées séances de la Cour</w:t>
            </w:r>
          </w:p>
        </w:tc>
        <w:tc>
          <w:tcPr>
            <w:tcW w:w="4140" w:type="dxa"/>
            <w:tcMar>
              <w:top w:w="0" w:type="dxa"/>
              <w:left w:w="58" w:type="dxa"/>
              <w:bottom w:w="0" w:type="dxa"/>
              <w:right w:w="58" w:type="dxa"/>
            </w:tcMar>
            <w:hideMark/>
          </w:tcPr>
          <w:p w:rsidR="00BE34F7" w:rsidRDefault="00BE34F7" w:rsidP="00211A38">
            <w:pPr>
              <w:spacing w:after="120"/>
              <w:rPr>
                <w:rFonts w:ascii="Arial" w:hAnsi="Arial" w:cs="Arial"/>
                <w:b/>
                <w:sz w:val="14"/>
                <w:szCs w:val="14"/>
              </w:rPr>
            </w:pPr>
            <w:r>
              <w:rPr>
                <w:rFonts w:ascii="Arial" w:hAnsi="Arial" w:cs="Arial"/>
                <w:b/>
                <w:sz w:val="14"/>
                <w:szCs w:val="14"/>
              </w:rPr>
              <w:t xml:space="preserve">Rosh Hashanah / </w:t>
            </w:r>
            <w:proofErr w:type="spellStart"/>
            <w:r>
              <w:rPr>
                <w:rFonts w:ascii="Arial" w:hAnsi="Arial" w:cs="Arial"/>
                <w:b/>
                <w:sz w:val="14"/>
                <w:szCs w:val="14"/>
              </w:rPr>
              <w:t>Nouvel</w:t>
            </w:r>
            <w:proofErr w:type="spellEnd"/>
            <w:r>
              <w:rPr>
                <w:rFonts w:ascii="Arial" w:hAnsi="Arial" w:cs="Arial"/>
                <w:b/>
                <w:sz w:val="14"/>
                <w:szCs w:val="14"/>
              </w:rPr>
              <w:t xml:space="preserve"> An </w:t>
            </w:r>
            <w:proofErr w:type="spellStart"/>
            <w:r>
              <w:rPr>
                <w:rFonts w:ascii="Arial" w:hAnsi="Arial" w:cs="Arial"/>
                <w:b/>
                <w:sz w:val="14"/>
                <w:szCs w:val="14"/>
              </w:rPr>
              <w:t>juif</w:t>
            </w:r>
            <w:proofErr w:type="spellEnd"/>
            <w:r>
              <w:rPr>
                <w:rFonts w:ascii="Arial" w:hAnsi="Arial" w:cs="Arial"/>
                <w:b/>
                <w:sz w:val="14"/>
                <w:szCs w:val="14"/>
              </w:rPr>
              <w:t xml:space="preserve"> (2019-09-30 &amp; 2019-10-01)</w:t>
            </w:r>
          </w:p>
          <w:p w:rsidR="00BE34F7" w:rsidRDefault="00BE34F7" w:rsidP="00211A38">
            <w:pPr>
              <w:rPr>
                <w:rFonts w:ascii="Arial" w:hAnsi="Arial" w:cs="Arial"/>
                <w:b/>
                <w:sz w:val="14"/>
                <w:szCs w:val="14"/>
                <w:lang w:val="fr-CA"/>
              </w:rPr>
            </w:pPr>
            <w:r>
              <w:rPr>
                <w:rFonts w:ascii="Arial" w:hAnsi="Arial" w:cs="Arial"/>
                <w:b/>
                <w:sz w:val="14"/>
                <w:szCs w:val="14"/>
              </w:rPr>
              <w:t xml:space="preserve">Yom Kippur / Yom </w:t>
            </w:r>
            <w:proofErr w:type="spellStart"/>
            <w:r>
              <w:rPr>
                <w:rFonts w:ascii="Arial" w:hAnsi="Arial" w:cs="Arial"/>
                <w:b/>
                <w:sz w:val="14"/>
                <w:szCs w:val="14"/>
              </w:rPr>
              <w:t>Kippour</w:t>
            </w:r>
            <w:proofErr w:type="spellEnd"/>
            <w:r>
              <w:rPr>
                <w:rFonts w:ascii="Arial" w:hAnsi="Arial" w:cs="Arial"/>
                <w:b/>
                <w:sz w:val="14"/>
                <w:szCs w:val="14"/>
              </w:rPr>
              <w:t xml:space="preserve"> (2019-10-09)</w:t>
            </w:r>
          </w:p>
        </w:tc>
        <w:tc>
          <w:tcPr>
            <w:tcW w:w="720" w:type="dxa"/>
            <w:hideMark/>
          </w:tcPr>
          <w:p w:rsidR="00BE34F7" w:rsidRDefault="00BE34F7" w:rsidP="00211A38">
            <w:pPr>
              <w:spacing w:after="120"/>
              <w:jc w:val="center"/>
              <w:rPr>
                <w:rFonts w:ascii="Arial" w:hAnsi="Arial" w:cs="Arial"/>
                <w:b/>
                <w:sz w:val="14"/>
                <w:szCs w:val="14"/>
                <w:lang w:val="fr-CA"/>
              </w:rPr>
            </w:pPr>
            <w:r>
              <w:rPr>
                <w:rFonts w:ascii="Arial" w:hAnsi="Arial" w:cs="Arial"/>
                <w:b/>
                <w:sz w:val="14"/>
                <w:szCs w:val="14"/>
                <w:lang w:val="fr-CA"/>
              </w:rPr>
              <w:t>RH</w:t>
            </w:r>
          </w:p>
          <w:p w:rsidR="00BE34F7" w:rsidRDefault="00BE34F7" w:rsidP="00211A38">
            <w:pPr>
              <w:jc w:val="center"/>
              <w:rPr>
                <w:rFonts w:ascii="Arial" w:hAnsi="Arial" w:cs="Arial"/>
                <w:b/>
                <w:sz w:val="14"/>
                <w:szCs w:val="14"/>
                <w:lang w:val="fr-CA"/>
              </w:rPr>
            </w:pPr>
            <w:r>
              <w:rPr>
                <w:rFonts w:ascii="Arial" w:hAnsi="Arial" w:cs="Arial"/>
                <w:b/>
                <w:sz w:val="14"/>
                <w:szCs w:val="14"/>
                <w:lang w:val="fr-CA"/>
              </w:rPr>
              <w:t>YK</w:t>
            </w:r>
          </w:p>
        </w:tc>
      </w:tr>
      <w:tr w:rsidR="00BE34F7" w:rsidRPr="001B47EB" w:rsidTr="00211A38">
        <w:tc>
          <w:tcPr>
            <w:tcW w:w="1782" w:type="dxa"/>
            <w:tcBorders>
              <w:top w:val="nil"/>
              <w:left w:val="nil"/>
              <w:bottom w:val="nil"/>
              <w:right w:val="double" w:sz="4" w:space="0" w:color="auto"/>
            </w:tcBorders>
            <w:vAlign w:val="center"/>
            <w:hideMark/>
          </w:tcPr>
          <w:p w:rsidR="00BE34F7" w:rsidRDefault="00BE34F7" w:rsidP="00211A38">
            <w:pPr>
              <w:spacing w:before="60"/>
              <w:rPr>
                <w:rFonts w:ascii="Arial" w:hAnsi="Arial" w:cs="Arial"/>
                <w:b/>
                <w:sz w:val="14"/>
                <w:szCs w:val="14"/>
                <w:lang w:val="fr-CA"/>
              </w:rPr>
            </w:pPr>
            <w:r>
              <w:rPr>
                <w:rFonts w:ascii="Arial" w:hAnsi="Arial" w:cs="Arial"/>
                <w:b/>
                <w:sz w:val="14"/>
                <w:szCs w:val="14"/>
                <w:lang w:val="fr-CA"/>
              </w:rPr>
              <w:t xml:space="preserve">Court </w:t>
            </w:r>
            <w:proofErr w:type="spellStart"/>
            <w:r>
              <w:rPr>
                <w:rFonts w:ascii="Arial" w:hAnsi="Arial" w:cs="Arial"/>
                <w:b/>
                <w:sz w:val="14"/>
                <w:szCs w:val="14"/>
                <w:lang w:val="fr-CA"/>
              </w:rPr>
              <w:t>conference</w:t>
            </w:r>
            <w:proofErr w:type="spellEnd"/>
            <w:r>
              <w:rPr>
                <w:rFonts w:ascii="Arial" w:hAnsi="Arial" w:cs="Arial"/>
                <w:b/>
                <w:sz w:val="14"/>
                <w:szCs w:val="14"/>
                <w:lang w:val="fr-CA"/>
              </w:rPr>
              <w:t xml:space="preserve"> /</w:t>
            </w:r>
          </w:p>
          <w:p w:rsidR="00BE34F7" w:rsidRDefault="00BE34F7" w:rsidP="00211A38">
            <w:pPr>
              <w:rPr>
                <w:rFonts w:ascii="Arial" w:hAnsi="Arial" w:cs="Arial"/>
                <w:b/>
                <w:sz w:val="14"/>
                <w:szCs w:val="14"/>
                <w:lang w:val="fr-CA"/>
              </w:rPr>
            </w:pPr>
            <w:r>
              <w:rPr>
                <w:rFonts w:ascii="Arial" w:hAnsi="Arial" w:cs="Arial"/>
                <w:b/>
                <w:sz w:val="14"/>
                <w:szCs w:val="14"/>
                <w:lang w:val="fr-CA"/>
              </w:rPr>
              <w:t>Conférence de la Cour</w:t>
            </w:r>
          </w:p>
        </w:tc>
        <w:tc>
          <w:tcPr>
            <w:tcW w:w="4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BE34F7" w:rsidRDefault="00BE34F7" w:rsidP="00211A38">
            <w:pPr>
              <w:jc w:val="center"/>
              <w:rPr>
                <w:rFonts w:ascii="Arial" w:hAnsi="Arial" w:cs="Arial"/>
                <w:b/>
                <w:sz w:val="14"/>
                <w:szCs w:val="14"/>
              </w:rPr>
            </w:pPr>
            <w:r>
              <w:rPr>
                <w:rFonts w:ascii="Arial" w:hAnsi="Arial" w:cs="Arial"/>
                <w:b/>
                <w:sz w:val="14"/>
                <w:szCs w:val="14"/>
              </w:rPr>
              <w:t>CC</w:t>
            </w:r>
          </w:p>
        </w:tc>
        <w:tc>
          <w:tcPr>
            <w:tcW w:w="3580" w:type="dxa"/>
            <w:tcBorders>
              <w:top w:val="nil"/>
              <w:left w:val="double" w:sz="4" w:space="0" w:color="auto"/>
              <w:bottom w:val="nil"/>
              <w:right w:val="nil"/>
            </w:tcBorders>
            <w:hideMark/>
          </w:tcPr>
          <w:p w:rsidR="00BE34F7" w:rsidRDefault="00BE34F7" w:rsidP="00211A38">
            <w:pPr>
              <w:tabs>
                <w:tab w:val="left" w:pos="203"/>
              </w:tabs>
              <w:spacing w:before="120"/>
              <w:rPr>
                <w:rFonts w:ascii="Arial" w:hAnsi="Arial" w:cs="Arial"/>
                <w:b/>
                <w:sz w:val="14"/>
                <w:szCs w:val="14"/>
                <w:lang w:val="fr-CA"/>
              </w:rPr>
            </w:pPr>
            <w:r>
              <w:rPr>
                <w:rFonts w:ascii="Arial" w:hAnsi="Arial" w:cs="Arial"/>
                <w:b/>
                <w:sz w:val="14"/>
                <w:szCs w:val="14"/>
                <w:lang w:val="fr-CA"/>
              </w:rPr>
              <w:t>9</w:t>
            </w:r>
            <w:r>
              <w:rPr>
                <w:rFonts w:ascii="Arial" w:hAnsi="Arial" w:cs="Arial"/>
                <w:b/>
                <w:sz w:val="14"/>
                <w:szCs w:val="14"/>
                <w:lang w:val="fr-CA"/>
              </w:rPr>
              <w:tab/>
              <w:t xml:space="preserve">Court </w:t>
            </w:r>
            <w:proofErr w:type="spellStart"/>
            <w:r>
              <w:rPr>
                <w:rFonts w:ascii="Arial" w:hAnsi="Arial" w:cs="Arial"/>
                <w:b/>
                <w:sz w:val="14"/>
                <w:szCs w:val="14"/>
                <w:lang w:val="fr-CA"/>
              </w:rPr>
              <w:t>conference</w:t>
            </w:r>
            <w:proofErr w:type="spellEnd"/>
            <w:r>
              <w:rPr>
                <w:rFonts w:ascii="Arial" w:hAnsi="Arial" w:cs="Arial"/>
                <w:b/>
                <w:sz w:val="14"/>
                <w:szCs w:val="14"/>
                <w:lang w:val="fr-CA"/>
              </w:rPr>
              <w:t xml:space="preserve"> </w:t>
            </w:r>
            <w:proofErr w:type="spellStart"/>
            <w:r>
              <w:rPr>
                <w:rFonts w:ascii="Arial" w:hAnsi="Arial" w:cs="Arial"/>
                <w:b/>
                <w:sz w:val="14"/>
                <w:szCs w:val="14"/>
                <w:lang w:val="fr-CA"/>
              </w:rPr>
              <w:t>days</w:t>
            </w:r>
            <w:proofErr w:type="spellEnd"/>
            <w:r>
              <w:rPr>
                <w:rFonts w:ascii="Arial" w:hAnsi="Arial" w:cs="Arial"/>
                <w:b/>
                <w:sz w:val="14"/>
                <w:szCs w:val="14"/>
                <w:lang w:val="fr-CA"/>
              </w:rPr>
              <w:t xml:space="preserve"> /</w:t>
            </w:r>
          </w:p>
          <w:p w:rsidR="00BE34F7" w:rsidRDefault="00BE34F7" w:rsidP="00211A38">
            <w:pPr>
              <w:tabs>
                <w:tab w:val="left" w:pos="203"/>
              </w:tabs>
              <w:rPr>
                <w:rFonts w:ascii="Arial" w:hAnsi="Arial" w:cs="Arial"/>
                <w:b/>
                <w:sz w:val="14"/>
                <w:szCs w:val="14"/>
                <w:lang w:val="fr-CA"/>
              </w:rPr>
            </w:pPr>
            <w:r>
              <w:rPr>
                <w:rFonts w:ascii="Arial" w:hAnsi="Arial" w:cs="Arial"/>
                <w:b/>
                <w:sz w:val="14"/>
                <w:szCs w:val="14"/>
                <w:lang w:val="fr-CA"/>
              </w:rPr>
              <w:tab/>
              <w:t>jours de conférence de la Cour</w:t>
            </w:r>
          </w:p>
        </w:tc>
        <w:tc>
          <w:tcPr>
            <w:tcW w:w="4140" w:type="dxa"/>
            <w:tcMar>
              <w:top w:w="0" w:type="dxa"/>
              <w:left w:w="58" w:type="dxa"/>
              <w:bottom w:w="0" w:type="dxa"/>
              <w:right w:w="58" w:type="dxa"/>
            </w:tcMar>
          </w:tcPr>
          <w:p w:rsidR="00BE34F7" w:rsidRDefault="00BE34F7" w:rsidP="00211A38">
            <w:pPr>
              <w:rPr>
                <w:rFonts w:ascii="Arial" w:hAnsi="Arial" w:cs="Arial"/>
                <w:b/>
                <w:sz w:val="14"/>
                <w:szCs w:val="14"/>
                <w:lang w:val="fr-FR"/>
              </w:rPr>
            </w:pPr>
          </w:p>
        </w:tc>
        <w:tc>
          <w:tcPr>
            <w:tcW w:w="720" w:type="dxa"/>
          </w:tcPr>
          <w:p w:rsidR="00BE34F7" w:rsidRDefault="00BE34F7" w:rsidP="00211A38">
            <w:pPr>
              <w:jc w:val="center"/>
              <w:rPr>
                <w:rFonts w:ascii="Arial" w:hAnsi="Arial" w:cs="Arial"/>
                <w:b/>
                <w:sz w:val="14"/>
                <w:szCs w:val="14"/>
                <w:lang w:val="fr-FR"/>
              </w:rPr>
            </w:pPr>
          </w:p>
        </w:tc>
      </w:tr>
      <w:tr w:rsidR="00BE34F7" w:rsidTr="00211A38">
        <w:trPr>
          <w:trHeight w:val="528"/>
        </w:trPr>
        <w:tc>
          <w:tcPr>
            <w:tcW w:w="1782" w:type="dxa"/>
            <w:tcBorders>
              <w:top w:val="nil"/>
              <w:left w:val="nil"/>
              <w:bottom w:val="nil"/>
              <w:right w:val="double" w:sz="4" w:space="0" w:color="auto"/>
            </w:tcBorders>
            <w:vAlign w:val="center"/>
            <w:hideMark/>
          </w:tcPr>
          <w:p w:rsidR="00BE34F7" w:rsidRDefault="00BE34F7" w:rsidP="00211A38">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BE34F7" w:rsidRDefault="00BE34F7" w:rsidP="00211A38">
            <w:pPr>
              <w:jc w:val="center"/>
              <w:rPr>
                <w:rFonts w:ascii="Arial" w:hAnsi="Arial" w:cs="Arial"/>
                <w:b/>
                <w:sz w:val="14"/>
                <w:szCs w:val="14"/>
              </w:rPr>
            </w:pPr>
            <w:r>
              <w:rPr>
                <w:rFonts w:ascii="Arial" w:hAnsi="Arial" w:cs="Arial"/>
                <w:b/>
                <w:sz w:val="14"/>
                <w:szCs w:val="14"/>
              </w:rPr>
              <w:t>H</w:t>
            </w:r>
          </w:p>
        </w:tc>
        <w:tc>
          <w:tcPr>
            <w:tcW w:w="3580" w:type="dxa"/>
            <w:tcBorders>
              <w:top w:val="nil"/>
              <w:left w:val="double" w:sz="4" w:space="0" w:color="auto"/>
              <w:bottom w:val="nil"/>
              <w:right w:val="nil"/>
            </w:tcBorders>
            <w:hideMark/>
          </w:tcPr>
          <w:p w:rsidR="00BE34F7" w:rsidRDefault="00BE34F7" w:rsidP="00211A38">
            <w:pPr>
              <w:tabs>
                <w:tab w:val="left" w:pos="203"/>
              </w:tabs>
              <w:spacing w:before="120"/>
              <w:rPr>
                <w:rFonts w:ascii="Arial" w:hAnsi="Arial" w:cs="Arial"/>
                <w:b/>
                <w:sz w:val="14"/>
                <w:szCs w:val="14"/>
                <w:lang w:val="fr-CA"/>
              </w:rPr>
            </w:pPr>
            <w:r>
              <w:rPr>
                <w:rFonts w:ascii="Arial" w:hAnsi="Arial" w:cs="Arial"/>
                <w:b/>
                <w:sz w:val="14"/>
                <w:szCs w:val="14"/>
                <w:lang w:val="fr-FR"/>
              </w:rPr>
              <w:t>5</w:t>
            </w:r>
            <w:r>
              <w:rPr>
                <w:rFonts w:ascii="Arial" w:hAnsi="Arial" w:cs="Arial"/>
                <w:b/>
                <w:sz w:val="14"/>
                <w:szCs w:val="14"/>
                <w:lang w:val="fr-FR"/>
              </w:rPr>
              <w:tab/>
            </w:r>
            <w:proofErr w:type="spellStart"/>
            <w:r>
              <w:rPr>
                <w:rFonts w:ascii="Arial" w:hAnsi="Arial" w:cs="Arial"/>
                <w:b/>
                <w:sz w:val="14"/>
                <w:szCs w:val="14"/>
                <w:lang w:val="fr-FR"/>
              </w:rPr>
              <w:t>holidays</w:t>
            </w:r>
            <w:proofErr w:type="spellEnd"/>
            <w:r>
              <w:rPr>
                <w:rFonts w:ascii="Arial" w:hAnsi="Arial" w:cs="Arial"/>
                <w:b/>
                <w:sz w:val="14"/>
                <w:szCs w:val="14"/>
                <w:lang w:val="fr-FR"/>
              </w:rPr>
              <w:t xml:space="preserve"> </w:t>
            </w:r>
            <w:proofErr w:type="spellStart"/>
            <w:r>
              <w:rPr>
                <w:rFonts w:ascii="Arial" w:hAnsi="Arial" w:cs="Arial"/>
                <w:b/>
                <w:sz w:val="14"/>
                <w:szCs w:val="14"/>
                <w:lang w:val="fr-FR"/>
              </w:rPr>
              <w:t>during</w:t>
            </w:r>
            <w:proofErr w:type="spellEnd"/>
            <w:r>
              <w:rPr>
                <w:rFonts w:ascii="Arial" w:hAnsi="Arial" w:cs="Arial"/>
                <w:b/>
                <w:sz w:val="14"/>
                <w:szCs w:val="14"/>
                <w:lang w:val="fr-FR"/>
              </w:rPr>
              <w:t xml:space="preserve"> </w:t>
            </w:r>
            <w:proofErr w:type="spellStart"/>
            <w:r>
              <w:rPr>
                <w:rFonts w:ascii="Arial" w:hAnsi="Arial" w:cs="Arial"/>
                <w:b/>
                <w:sz w:val="14"/>
                <w:szCs w:val="14"/>
                <w:lang w:val="fr-FR"/>
              </w:rPr>
              <w:t>sitting</w:t>
            </w:r>
            <w:proofErr w:type="spellEnd"/>
            <w:r>
              <w:rPr>
                <w:rFonts w:ascii="Arial" w:hAnsi="Arial" w:cs="Arial"/>
                <w:b/>
                <w:sz w:val="14"/>
                <w:szCs w:val="14"/>
                <w:lang w:val="fr-FR"/>
              </w:rPr>
              <w:t xml:space="preserve"> </w:t>
            </w:r>
            <w:proofErr w:type="spellStart"/>
            <w:r>
              <w:rPr>
                <w:rFonts w:ascii="Arial" w:hAnsi="Arial" w:cs="Arial"/>
                <w:b/>
                <w:sz w:val="14"/>
                <w:szCs w:val="14"/>
                <w:lang w:val="fr-FR"/>
              </w:rPr>
              <w:t>days</w:t>
            </w:r>
            <w:proofErr w:type="spellEnd"/>
            <w:r>
              <w:rPr>
                <w:rFonts w:ascii="Arial" w:hAnsi="Arial" w:cs="Arial"/>
                <w:b/>
                <w:sz w:val="14"/>
                <w:szCs w:val="14"/>
                <w:lang w:val="fr-FR"/>
              </w:rPr>
              <w:t xml:space="preserve"> / </w:t>
            </w:r>
          </w:p>
          <w:p w:rsidR="00BE34F7" w:rsidRDefault="00BE34F7" w:rsidP="00211A38">
            <w:pPr>
              <w:tabs>
                <w:tab w:val="left" w:pos="203"/>
              </w:tabs>
              <w:rPr>
                <w:rFonts w:ascii="Arial" w:hAnsi="Arial" w:cs="Arial"/>
                <w:b/>
                <w:sz w:val="14"/>
                <w:szCs w:val="14"/>
                <w:lang w:val="fr-CA"/>
              </w:rPr>
            </w:pPr>
            <w:r>
              <w:rPr>
                <w:rFonts w:ascii="Arial" w:hAnsi="Arial" w:cs="Arial"/>
                <w:b/>
                <w:sz w:val="14"/>
                <w:szCs w:val="14"/>
                <w:lang w:val="fr-CA"/>
              </w:rPr>
              <w:tab/>
              <w:t>jours fériés durant les séances</w:t>
            </w:r>
          </w:p>
        </w:tc>
        <w:tc>
          <w:tcPr>
            <w:tcW w:w="4140" w:type="dxa"/>
            <w:tcMar>
              <w:top w:w="0" w:type="dxa"/>
              <w:left w:w="58" w:type="dxa"/>
              <w:bottom w:w="0" w:type="dxa"/>
              <w:right w:w="58" w:type="dxa"/>
            </w:tcMar>
          </w:tcPr>
          <w:p w:rsidR="00BE34F7" w:rsidRDefault="00BE34F7" w:rsidP="00211A38">
            <w:pPr>
              <w:rPr>
                <w:rFonts w:ascii="Arial" w:hAnsi="Arial" w:cs="Arial"/>
                <w:b/>
                <w:sz w:val="14"/>
                <w:szCs w:val="14"/>
                <w:lang w:val="fr-FR"/>
              </w:rPr>
            </w:pPr>
          </w:p>
        </w:tc>
        <w:tc>
          <w:tcPr>
            <w:tcW w:w="720" w:type="dxa"/>
          </w:tcPr>
          <w:p w:rsidR="00BE34F7" w:rsidRDefault="00BE34F7" w:rsidP="00211A38">
            <w:pPr>
              <w:jc w:val="center"/>
              <w:rPr>
                <w:rFonts w:ascii="Arial" w:hAnsi="Arial" w:cs="Arial"/>
                <w:b/>
                <w:sz w:val="14"/>
                <w:szCs w:val="14"/>
                <w:lang w:val="fr-FR"/>
              </w:rPr>
            </w:pPr>
          </w:p>
        </w:tc>
      </w:tr>
    </w:tbl>
    <w:p w:rsidR="002410B8" w:rsidRPr="0022323B" w:rsidRDefault="002410B8" w:rsidP="00BE34F7">
      <w:pPr>
        <w:tabs>
          <w:tab w:val="center" w:pos="5220"/>
          <w:tab w:val="right" w:pos="10800"/>
        </w:tabs>
        <w:rPr>
          <w:lang w:val="fr-CA"/>
        </w:rPr>
      </w:pPr>
    </w:p>
    <w:sectPr w:rsidR="002410B8" w:rsidRPr="0022323B" w:rsidSect="003008F5">
      <w:headerReference w:type="default" r:id="rId103"/>
      <w:footerReference w:type="default" r:id="rId104"/>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A38" w:rsidRDefault="00211A38" w:rsidP="00A87207">
      <w:r>
        <w:separator/>
      </w:r>
    </w:p>
  </w:endnote>
  <w:endnote w:type="continuationSeparator" w:id="0">
    <w:p w:rsidR="00211A38" w:rsidRDefault="00211A38"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A38" w:rsidRDefault="003A218E" w:rsidP="00A87207">
    <w:pPr>
      <w:pStyle w:val="Footer"/>
    </w:pPr>
    <w:r>
      <w:pict>
        <v:rect id="_x0000_i1037" style="width:480.95pt;height:1pt" o:hralign="center" o:hrstd="t" o:hrnoshade="t" o:hr="t" fillcolor="black [3213]" stroked="f"/>
      </w:pict>
    </w:r>
  </w:p>
  <w:p w:rsidR="00211A38" w:rsidRPr="00B7374B" w:rsidRDefault="00211A3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3A218E">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A38" w:rsidRDefault="003A218E" w:rsidP="00EB2B90">
    <w:pPr>
      <w:tabs>
        <w:tab w:val="center" w:pos="4680"/>
      </w:tabs>
    </w:pPr>
    <w:r>
      <w:pict>
        <v:rect id="_x0000_i1059" style="width:480.95pt;height:1pt" o:hralign="center" o:hrstd="t" o:hrnoshade="t" o:hr="t" fillcolor="black [3213]" stroked="f"/>
      </w:pict>
    </w:r>
  </w:p>
  <w:p w:rsidR="00211A38" w:rsidRPr="0031432F" w:rsidRDefault="00211A38" w:rsidP="00EB2B90">
    <w:pPr>
      <w:tabs>
        <w:tab w:val="center" w:pos="4680"/>
      </w:tabs>
    </w:pPr>
    <w:r>
      <w:tab/>
      <w:t xml:space="preserve">- </w:t>
    </w:r>
    <w:r>
      <w:fldChar w:fldCharType="begin"/>
    </w:r>
    <w:r>
      <w:instrText xml:space="preserve"> PAGE   \* MERGEFORMAT </w:instrText>
    </w:r>
    <w:r>
      <w:fldChar w:fldCharType="separate"/>
    </w:r>
    <w:r w:rsidR="003A218E">
      <w:rPr>
        <w:noProof/>
      </w:rPr>
      <w:t>30</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A38" w:rsidRDefault="00211A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11A38" w:rsidRDefault="00211A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11A38" w:rsidRDefault="00211A38">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A38" w:rsidRDefault="003A218E" w:rsidP="00732DB7">
    <w:r>
      <w:pict>
        <v:rect id="_x0000_i1064" style="width:480.95pt;height:1pt" o:hralign="center" o:hrstd="t" o:hrnoshade="t" o:hr="t" fillcolor="black" stroked="f"/>
      </w:pict>
    </w:r>
  </w:p>
  <w:p w:rsidR="00211A38" w:rsidRDefault="00211A38">
    <w:pPr>
      <w:tabs>
        <w:tab w:val="center" w:pos="4740"/>
      </w:tabs>
      <w:spacing w:line="0" w:lineRule="atLeast"/>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A38" w:rsidRDefault="003A218E">
    <w:pPr>
      <w:pStyle w:val="Footer"/>
    </w:pPr>
    <w:r>
      <w:pict>
        <v:rect id="_x0000_i1065" style="width:480.95pt;height:1pt" o:hralign="center" o:hrstd="t" o:hrnoshade="t" o:hr="t" fillcolor="black" stroked="f"/>
      </w:pict>
    </w:r>
  </w:p>
  <w:p w:rsidR="00211A38" w:rsidRPr="00283C52" w:rsidRDefault="00211A38">
    <w:pPr>
      <w:pStyle w:val="Footer"/>
    </w:pPr>
    <w:r>
      <w:tab/>
    </w:r>
    <w:r w:rsidRPr="00283C52">
      <w:t xml:space="preserve">- </w:t>
    </w:r>
    <w:r w:rsidRPr="00283C52">
      <w:pgNum/>
    </w:r>
    <w:r w:rsidRPr="00283C52">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A38" w:rsidRDefault="00211A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11A38" w:rsidRDefault="00211A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11A38" w:rsidRDefault="00211A38">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A38" w:rsidRDefault="00211A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11A38" w:rsidRDefault="003A21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7" style="width:480.95pt;height:1pt" o:hralign="center" o:hrstd="t" o:hrnoshade="t" o:hr="t" fillcolor="black [3213]" stroked="f"/>
      </w:pict>
    </w:r>
  </w:p>
  <w:p w:rsidR="00211A38" w:rsidRDefault="00211A38"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523</w:t>
    </w:r>
    <w:r w:rsidRPr="001775C1">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A38" w:rsidRDefault="003A218E" w:rsidP="00782AE4">
    <w:pPr>
      <w:tabs>
        <w:tab w:val="center" w:pos="4680"/>
      </w:tabs>
    </w:pPr>
    <w:r>
      <w:pict>
        <v:rect id="_x0000_i1068" style="width:480.95pt;height:1pt" o:hralign="center" o:hrstd="t" o:hrnoshade="t" o:hr="t" fillcolor="black [3213]" stroked="f"/>
      </w:pict>
    </w:r>
  </w:p>
  <w:p w:rsidR="00211A38" w:rsidRDefault="00211A38"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E438D9">
      <w:rPr>
        <w:noProof/>
        <w:szCs w:val="24"/>
      </w:rPr>
      <w:t>33</w:t>
    </w:r>
    <w:r w:rsidRPr="001775C1">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A38" w:rsidRPr="00924065" w:rsidRDefault="00211A38"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A38" w:rsidRDefault="003A218E" w:rsidP="00755F22">
    <w:pPr>
      <w:tabs>
        <w:tab w:val="left" w:pos="-1440"/>
        <w:tab w:val="left" w:pos="-720"/>
      </w:tabs>
    </w:pPr>
    <w:r>
      <w:pict>
        <v:rect id="_x0000_i1038" style="width:480.95pt;height:1pt" o:hralign="center" o:hrstd="t" o:hrnoshade="t" o:hr="t" fillcolor="black [3213]" stroked="f"/>
      </w:pict>
    </w:r>
  </w:p>
  <w:p w:rsidR="00211A38" w:rsidRPr="00954D22" w:rsidRDefault="00211A38"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3A218E">
      <w:rPr>
        <w:noProof/>
        <w:szCs w:val="24"/>
      </w:rPr>
      <w:t>1</w:t>
    </w:r>
    <w:r>
      <w:rPr>
        <w:szCs w:val="24"/>
      </w:rPr>
      <w:fldChar w:fldCharType="end"/>
    </w:r>
    <w:r w:rsidRPr="00954D22">
      <w:rPr>
        <w:szCs w:val="24"/>
      </w:rPr>
      <w:t xml:space="preserve"> -</w:t>
    </w:r>
  </w:p>
  <w:p w:rsidR="00211A38" w:rsidRDefault="00211A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A38" w:rsidRDefault="003A218E" w:rsidP="00A87207">
    <w:pPr>
      <w:pStyle w:val="Footer"/>
    </w:pPr>
    <w:r>
      <w:pict>
        <v:rect id="_x0000_i1040" style="width:480.95pt;height:1pt" o:hralign="center" o:hrstd="t" o:hrnoshade="t" o:hr="t" fillcolor="black [3213]" stroked="f"/>
      </w:pict>
    </w:r>
  </w:p>
  <w:p w:rsidR="00211A38" w:rsidRPr="00B7374B" w:rsidRDefault="00211A3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A38" w:rsidRDefault="003A218E"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1" style="width:480.95pt;height:1pt" o:hralign="center" o:hrstd="t" o:hrnoshade="t" o:hr="t" fillcolor="black [3213]" stroked="f"/>
      </w:pict>
    </w:r>
  </w:p>
  <w:p w:rsidR="00211A38" w:rsidRPr="00954D22" w:rsidRDefault="00211A3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3A218E">
      <w:rPr>
        <w:noProof/>
        <w:szCs w:val="24"/>
      </w:rPr>
      <w:t>3</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A38" w:rsidRDefault="00211A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211A38" w:rsidRDefault="00211A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11A38" w:rsidRDefault="00211A38">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A38" w:rsidRDefault="003A21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5" style="width:480.95pt;height:1pt" o:hralign="center" o:hrstd="t" o:hrnoshade="t" o:hr="t" fillcolor="black [3213]" stroked="f"/>
      </w:pict>
    </w:r>
  </w:p>
  <w:p w:rsidR="00211A38" w:rsidRPr="0009648D" w:rsidRDefault="00211A38" w:rsidP="00ED7E83">
    <w:pPr>
      <w:tabs>
        <w:tab w:val="center" w:pos="4680"/>
      </w:tabs>
    </w:pPr>
    <w:r>
      <w:tab/>
    </w:r>
    <w:r w:rsidRPr="0009648D">
      <w:t xml:space="preserve">- </w:t>
    </w:r>
    <w:r>
      <w:fldChar w:fldCharType="begin"/>
    </w:r>
    <w:r>
      <w:instrText xml:space="preserve"> PAGE   \* MERGEFORMAT </w:instrText>
    </w:r>
    <w:r>
      <w:fldChar w:fldCharType="separate"/>
    </w:r>
    <w:r w:rsidR="003A218E">
      <w:rPr>
        <w:noProof/>
      </w:rPr>
      <w:t>20</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A38" w:rsidRDefault="003A218E">
    <w:pPr>
      <w:pStyle w:val="Footer"/>
      <w:rPr>
        <w:lang w:val="fr-CA"/>
      </w:rPr>
    </w:pPr>
    <w:r>
      <w:rPr>
        <w:lang w:val="fr-CA"/>
      </w:rPr>
      <w:pict>
        <v:rect id="_x0000_i1056" style="width:480.95pt;height:1pt" o:hralign="center" o:hrstd="t" o:hrnoshade="t" o:hr="t" fillcolor="black [3213]" stroked="f"/>
      </w:pict>
    </w:r>
  </w:p>
  <w:p w:rsidR="00211A38" w:rsidRDefault="00211A38" w:rsidP="00245129">
    <w:pPr>
      <w:tabs>
        <w:tab w:val="center" w:pos="4680"/>
      </w:tabs>
    </w:pPr>
    <w:r>
      <w:tab/>
    </w:r>
    <w:r w:rsidRPr="0009648D">
      <w:t xml:space="preserve">- </w:t>
    </w:r>
    <w:r>
      <w:fldChar w:fldCharType="begin"/>
    </w:r>
    <w:r>
      <w:instrText xml:space="preserve"> PAGE   \* MERGEFORMAT </w:instrText>
    </w:r>
    <w:r>
      <w:fldChar w:fldCharType="separate"/>
    </w:r>
    <w:r w:rsidR="003A218E">
      <w:rPr>
        <w:noProof/>
      </w:rPr>
      <w:t>4</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A38" w:rsidRDefault="00211A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11A38" w:rsidRDefault="00211A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11A38" w:rsidRDefault="00211A38">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A38" w:rsidRDefault="003A218E" w:rsidP="00755F22">
    <w:pPr>
      <w:tabs>
        <w:tab w:val="left" w:pos="-1440"/>
        <w:tab w:val="left" w:pos="-720"/>
      </w:tabs>
    </w:pPr>
    <w:r>
      <w:pict>
        <v:rect id="_x0000_i1058" style="width:480.95pt;height:1pt" o:hralign="center" o:hrstd="t" o:hrnoshade="t" o:hr="t" fillcolor="black [3213]" stroked="f"/>
      </w:pict>
    </w:r>
  </w:p>
  <w:p w:rsidR="00211A38" w:rsidRDefault="00211A38" w:rsidP="00EB2B90">
    <w:pPr>
      <w:tabs>
        <w:tab w:val="center" w:pos="4680"/>
      </w:tabs>
    </w:pPr>
    <w:r>
      <w:tab/>
      <w:t xml:space="preserve">- </w:t>
    </w:r>
    <w:r>
      <w:fldChar w:fldCharType="begin"/>
    </w:r>
    <w:r>
      <w:instrText xml:space="preserve"> PAGE   \* MERGEFORMAT </w:instrText>
    </w:r>
    <w:r>
      <w:fldChar w:fldCharType="separate"/>
    </w:r>
    <w:r w:rsidR="003A218E">
      <w:rPr>
        <w:noProof/>
      </w:rPr>
      <w:t>31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A38" w:rsidRDefault="00211A38" w:rsidP="00A87207">
      <w:r>
        <w:separator/>
      </w:r>
    </w:p>
  </w:footnote>
  <w:footnote w:type="continuationSeparator" w:id="0">
    <w:p w:rsidR="00211A38" w:rsidRDefault="00211A38"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211A38" w:rsidRPr="0044776A" w:rsidTr="00245129">
      <w:tc>
        <w:tcPr>
          <w:tcW w:w="4290" w:type="dxa"/>
          <w:tcMar>
            <w:left w:w="0" w:type="dxa"/>
            <w:right w:w="0" w:type="dxa"/>
          </w:tcMar>
        </w:tcPr>
        <w:p w:rsidR="00211A38" w:rsidRPr="00EB19D5" w:rsidRDefault="00EB19D5" w:rsidP="00EB19D5">
          <w:pPr>
            <w:keepNext/>
            <w:keepLines/>
            <w:rPr>
              <w:sz w:val="20"/>
              <w:szCs w:val="20"/>
              <w:lang w:val="en-US"/>
            </w:rPr>
          </w:pPr>
          <w:r w:rsidRPr="00EB19D5">
            <w:rPr>
              <w:sz w:val="20"/>
              <w:szCs w:val="20"/>
              <w:lang w:val="en-US"/>
            </w:rPr>
            <w:t>Applications for leave to appeal filed</w:t>
          </w:r>
          <w:r>
            <w:rPr>
              <w:sz w:val="20"/>
              <w:szCs w:val="20"/>
              <w:lang w:val="en-US"/>
            </w:rPr>
            <w:t xml:space="preserve"> </w:t>
          </w:r>
        </w:p>
      </w:tc>
      <w:tc>
        <w:tcPr>
          <w:tcW w:w="1200" w:type="dxa"/>
          <w:tcMar>
            <w:left w:w="0" w:type="dxa"/>
            <w:right w:w="0" w:type="dxa"/>
          </w:tcMar>
        </w:tcPr>
        <w:p w:rsidR="00211A38" w:rsidRPr="0044776A" w:rsidRDefault="00211A38" w:rsidP="002E2327">
          <w:pPr>
            <w:keepNext/>
            <w:keepLines/>
            <w:tabs>
              <w:tab w:val="left" w:pos="-1440"/>
              <w:tab w:val="left" w:pos="-720"/>
            </w:tabs>
            <w:jc w:val="center"/>
            <w:rPr>
              <w:sz w:val="20"/>
              <w:szCs w:val="20"/>
            </w:rPr>
          </w:pPr>
        </w:p>
        <w:p w:rsidR="00211A38" w:rsidRPr="0044776A" w:rsidRDefault="00211A38" w:rsidP="002E2327">
          <w:pPr>
            <w:keepNext/>
            <w:keepLines/>
            <w:tabs>
              <w:tab w:val="left" w:pos="-1440"/>
              <w:tab w:val="left" w:pos="-720"/>
            </w:tabs>
            <w:jc w:val="center"/>
            <w:rPr>
              <w:sz w:val="20"/>
              <w:szCs w:val="20"/>
            </w:rPr>
          </w:pPr>
        </w:p>
      </w:tc>
      <w:tc>
        <w:tcPr>
          <w:tcW w:w="4320" w:type="dxa"/>
          <w:tcMar>
            <w:left w:w="0" w:type="dxa"/>
            <w:right w:w="0" w:type="dxa"/>
          </w:tcMar>
        </w:tcPr>
        <w:p w:rsidR="00211A38" w:rsidRPr="0044776A" w:rsidRDefault="00EB19D5" w:rsidP="002E2327">
          <w:pPr>
            <w:keepLines/>
            <w:rPr>
              <w:sz w:val="20"/>
              <w:szCs w:val="20"/>
              <w:lang w:val="fr-CA"/>
            </w:rPr>
          </w:pPr>
          <w:r w:rsidRPr="00EB19D5">
            <w:rPr>
              <w:sz w:val="20"/>
              <w:szCs w:val="20"/>
              <w:lang w:val="fr-CA"/>
            </w:rPr>
            <w:t>Demandes d’autorisation d’appel déposées</w:t>
          </w:r>
        </w:p>
      </w:tc>
    </w:tr>
  </w:tbl>
  <w:p w:rsidR="00211A38" w:rsidRDefault="00211A3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A38" w:rsidRDefault="00211A3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11A38" w:rsidRPr="00740145">
      <w:tc>
        <w:tcPr>
          <w:tcW w:w="4200" w:type="dxa"/>
          <w:tcMar>
            <w:left w:w="0" w:type="dxa"/>
            <w:right w:w="0" w:type="dxa"/>
          </w:tcMar>
        </w:tcPr>
        <w:p w:rsidR="00211A38" w:rsidRDefault="00211A3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211A38" w:rsidRDefault="00211A3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11A38" w:rsidRPr="00283C52" w:rsidRDefault="00211A3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211A38" w:rsidRPr="00283C52" w:rsidRDefault="00211A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211A38" w:rsidRPr="00283C52" w:rsidRDefault="00211A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11A38" w:rsidRPr="00740145" w:rsidTr="00245129">
      <w:tc>
        <w:tcPr>
          <w:tcW w:w="4200" w:type="dxa"/>
          <w:tcMar>
            <w:left w:w="0" w:type="dxa"/>
            <w:right w:w="0" w:type="dxa"/>
          </w:tcMar>
        </w:tcPr>
        <w:p w:rsidR="00211A38" w:rsidRPr="00740145" w:rsidRDefault="00740145" w:rsidP="00740145">
          <w:pPr>
            <w:keepNext/>
            <w:keepLines/>
            <w:tabs>
              <w:tab w:val="left" w:pos="-1440"/>
              <w:tab w:val="left" w:pos="-720"/>
            </w:tabs>
            <w:rPr>
              <w:sz w:val="20"/>
              <w:szCs w:val="20"/>
              <w:lang w:val="en-US"/>
            </w:rPr>
          </w:pPr>
          <w:r w:rsidRPr="00740145">
            <w:rPr>
              <w:sz w:val="20"/>
              <w:szCs w:val="20"/>
              <w:lang w:val="en-US"/>
            </w:rPr>
            <w:t xml:space="preserve">Appeals heard since the last issue and disposition </w:t>
          </w:r>
          <w:r w:rsidRPr="00740145">
            <w:rPr>
              <w:sz w:val="20"/>
              <w:szCs w:val="20"/>
              <w:lang w:val="en-US"/>
            </w:rPr>
            <w:br/>
          </w:r>
        </w:p>
      </w:tc>
      <w:tc>
        <w:tcPr>
          <w:tcW w:w="1200" w:type="dxa"/>
          <w:tcMar>
            <w:left w:w="0" w:type="dxa"/>
            <w:right w:w="0" w:type="dxa"/>
          </w:tcMar>
        </w:tcPr>
        <w:p w:rsidR="00211A38" w:rsidRPr="00740145" w:rsidRDefault="00211A38" w:rsidP="00732DB7">
          <w:pPr>
            <w:keepNext/>
            <w:keepLines/>
            <w:tabs>
              <w:tab w:val="left" w:pos="-1440"/>
              <w:tab w:val="left" w:pos="-720"/>
            </w:tabs>
            <w:jc w:val="center"/>
            <w:rPr>
              <w:sz w:val="20"/>
              <w:szCs w:val="20"/>
              <w:lang w:val="en-US"/>
            </w:rPr>
          </w:pPr>
        </w:p>
        <w:p w:rsidR="00211A38" w:rsidRPr="00740145" w:rsidRDefault="00211A38" w:rsidP="00732DB7">
          <w:pPr>
            <w:keepNext/>
            <w:keepLines/>
            <w:tabs>
              <w:tab w:val="left" w:pos="-1440"/>
              <w:tab w:val="left" w:pos="-720"/>
            </w:tabs>
            <w:jc w:val="center"/>
            <w:rPr>
              <w:sz w:val="20"/>
              <w:szCs w:val="20"/>
              <w:lang w:val="en-US"/>
            </w:rPr>
          </w:pPr>
        </w:p>
        <w:p w:rsidR="00211A38" w:rsidRPr="00740145" w:rsidRDefault="00211A38" w:rsidP="00732DB7">
          <w:pPr>
            <w:keepNext/>
            <w:keepLines/>
            <w:tabs>
              <w:tab w:val="left" w:pos="-1440"/>
              <w:tab w:val="left" w:pos="-720"/>
            </w:tabs>
            <w:jc w:val="center"/>
            <w:rPr>
              <w:sz w:val="20"/>
              <w:szCs w:val="20"/>
              <w:lang w:val="en-US"/>
            </w:rPr>
          </w:pPr>
        </w:p>
      </w:tc>
      <w:tc>
        <w:tcPr>
          <w:tcW w:w="4080" w:type="dxa"/>
          <w:tcMar>
            <w:left w:w="0" w:type="dxa"/>
            <w:right w:w="0" w:type="dxa"/>
          </w:tcMar>
        </w:tcPr>
        <w:p w:rsidR="00211A38" w:rsidRPr="00732DB7" w:rsidRDefault="00740145" w:rsidP="00732DB7">
          <w:pPr>
            <w:keepLines/>
            <w:tabs>
              <w:tab w:val="left" w:pos="-1440"/>
              <w:tab w:val="left" w:pos="-720"/>
            </w:tabs>
            <w:rPr>
              <w:sz w:val="20"/>
              <w:szCs w:val="20"/>
              <w:lang w:val="fr-CA"/>
            </w:rPr>
          </w:pPr>
          <w:r w:rsidRPr="00740145">
            <w:rPr>
              <w:sz w:val="20"/>
              <w:szCs w:val="20"/>
              <w:lang w:val="fr-CA"/>
            </w:rPr>
            <w:t>Appels entendus depuis la dernière parution et résultat</w:t>
          </w:r>
        </w:p>
      </w:tc>
    </w:tr>
  </w:tbl>
  <w:p w:rsidR="00211A38" w:rsidRPr="00283C52" w:rsidRDefault="00211A38"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A38" w:rsidRDefault="00211A3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211A38">
      <w:tc>
        <w:tcPr>
          <w:tcW w:w="4230" w:type="dxa"/>
          <w:tcMar>
            <w:left w:w="0" w:type="dxa"/>
            <w:right w:w="0" w:type="dxa"/>
          </w:tcMar>
        </w:tcPr>
        <w:p w:rsidR="00211A38" w:rsidRDefault="00211A3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211A38" w:rsidRDefault="00211A3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211A38" w:rsidRDefault="00211A3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211A38" w:rsidRDefault="00211A3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11A38" w:rsidRDefault="00211A3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211A38" w:rsidRDefault="00211A3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211A38" w:rsidRDefault="00211A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11A38" w:rsidRDefault="00211A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211A38" w:rsidRPr="00782AE4" w:rsidTr="00245129">
      <w:tc>
        <w:tcPr>
          <w:tcW w:w="4230" w:type="dxa"/>
          <w:tcMar>
            <w:left w:w="0" w:type="dxa"/>
            <w:right w:w="0" w:type="dxa"/>
          </w:tcMar>
        </w:tcPr>
        <w:p w:rsidR="00211A38" w:rsidRPr="00782AE4" w:rsidRDefault="00211A38" w:rsidP="00102926">
          <w:pPr>
            <w:keepNext/>
            <w:keepLines/>
            <w:tabs>
              <w:tab w:val="left" w:pos="-1440"/>
              <w:tab w:val="left" w:pos="-720"/>
            </w:tabs>
            <w:rPr>
              <w:sz w:val="20"/>
              <w:szCs w:val="20"/>
            </w:rPr>
          </w:pPr>
          <w:r w:rsidRPr="00782AE4">
            <w:rPr>
              <w:sz w:val="20"/>
              <w:szCs w:val="20"/>
            </w:rPr>
            <w:t xml:space="preserve">HEADNOTES OF RECENT </w:t>
          </w:r>
        </w:p>
        <w:p w:rsidR="00211A38" w:rsidRPr="00782AE4" w:rsidRDefault="00211A3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211A38" w:rsidRDefault="00211A38" w:rsidP="00102926">
          <w:pPr>
            <w:keepNext/>
            <w:keepLines/>
            <w:tabs>
              <w:tab w:val="left" w:pos="-1440"/>
              <w:tab w:val="left" w:pos="-720"/>
            </w:tabs>
            <w:jc w:val="center"/>
            <w:rPr>
              <w:sz w:val="20"/>
              <w:szCs w:val="20"/>
            </w:rPr>
          </w:pPr>
        </w:p>
        <w:p w:rsidR="00211A38" w:rsidRDefault="00211A38" w:rsidP="00102926">
          <w:pPr>
            <w:keepNext/>
            <w:keepLines/>
            <w:tabs>
              <w:tab w:val="left" w:pos="-1440"/>
              <w:tab w:val="left" w:pos="-720"/>
            </w:tabs>
            <w:jc w:val="center"/>
            <w:rPr>
              <w:sz w:val="20"/>
              <w:szCs w:val="20"/>
            </w:rPr>
          </w:pPr>
        </w:p>
        <w:p w:rsidR="00211A38" w:rsidRPr="00782AE4" w:rsidRDefault="00211A38" w:rsidP="00102926">
          <w:pPr>
            <w:keepNext/>
            <w:keepLines/>
            <w:tabs>
              <w:tab w:val="left" w:pos="-1440"/>
              <w:tab w:val="left" w:pos="-720"/>
            </w:tabs>
            <w:jc w:val="center"/>
            <w:rPr>
              <w:sz w:val="20"/>
              <w:szCs w:val="20"/>
            </w:rPr>
          </w:pPr>
        </w:p>
      </w:tc>
      <w:tc>
        <w:tcPr>
          <w:tcW w:w="4080" w:type="dxa"/>
          <w:tcMar>
            <w:left w:w="0" w:type="dxa"/>
            <w:right w:w="0" w:type="dxa"/>
          </w:tcMar>
        </w:tcPr>
        <w:p w:rsidR="00211A38" w:rsidRPr="00102926" w:rsidRDefault="00211A3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211A38" w:rsidRPr="00782AE4" w:rsidRDefault="00211A38" w:rsidP="00102926">
          <w:pPr>
            <w:keepLines/>
            <w:tabs>
              <w:tab w:val="left" w:pos="-1440"/>
              <w:tab w:val="left" w:pos="-720"/>
            </w:tabs>
            <w:rPr>
              <w:sz w:val="20"/>
              <w:szCs w:val="20"/>
            </w:rPr>
          </w:pPr>
          <w:r w:rsidRPr="00102926">
            <w:rPr>
              <w:sz w:val="20"/>
              <w:szCs w:val="20"/>
              <w:lang w:val="fr-CA"/>
            </w:rPr>
            <w:t>RÉCENTS</w:t>
          </w:r>
        </w:p>
      </w:tc>
    </w:tr>
  </w:tbl>
  <w:p w:rsidR="00211A38" w:rsidRDefault="00211A38"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A38" w:rsidRDefault="00211A3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A38" w:rsidRDefault="00211A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A38" w:rsidRDefault="00211A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11A38" w:rsidRPr="00740145" w:rsidTr="00245129">
      <w:tc>
        <w:tcPr>
          <w:tcW w:w="4200" w:type="dxa"/>
          <w:tcMar>
            <w:left w:w="0" w:type="dxa"/>
            <w:right w:w="0" w:type="dxa"/>
          </w:tcMar>
        </w:tcPr>
        <w:p w:rsidR="00211A38" w:rsidRPr="0044776A" w:rsidRDefault="00211A38" w:rsidP="0044776A">
          <w:pPr>
            <w:keepNext/>
            <w:keepLines/>
            <w:widowControl w:val="0"/>
            <w:rPr>
              <w:sz w:val="20"/>
              <w:szCs w:val="20"/>
            </w:rPr>
          </w:pPr>
          <w:r>
            <w:rPr>
              <w:sz w:val="20"/>
              <w:szCs w:val="20"/>
            </w:rPr>
            <w:t>APPLICATIONS FOR LEAVE</w:t>
          </w:r>
        </w:p>
        <w:p w:rsidR="00211A38" w:rsidRPr="0044776A" w:rsidRDefault="00211A38"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211A38" w:rsidRPr="0044776A" w:rsidRDefault="00211A38" w:rsidP="0044776A">
          <w:pPr>
            <w:keepNext/>
            <w:keepLines/>
            <w:widowControl w:val="0"/>
            <w:jc w:val="center"/>
            <w:rPr>
              <w:sz w:val="20"/>
              <w:szCs w:val="20"/>
            </w:rPr>
          </w:pPr>
        </w:p>
        <w:p w:rsidR="00211A38" w:rsidRPr="0044776A" w:rsidRDefault="00211A38" w:rsidP="0044776A">
          <w:pPr>
            <w:keepNext/>
            <w:keepLines/>
            <w:widowControl w:val="0"/>
            <w:jc w:val="center"/>
            <w:rPr>
              <w:sz w:val="20"/>
              <w:szCs w:val="20"/>
            </w:rPr>
          </w:pPr>
        </w:p>
        <w:p w:rsidR="00211A38" w:rsidRPr="0044776A" w:rsidRDefault="00211A38" w:rsidP="0044776A">
          <w:pPr>
            <w:keepNext/>
            <w:keepLines/>
            <w:widowControl w:val="0"/>
            <w:jc w:val="center"/>
            <w:rPr>
              <w:sz w:val="20"/>
              <w:szCs w:val="20"/>
            </w:rPr>
          </w:pPr>
        </w:p>
      </w:tc>
      <w:tc>
        <w:tcPr>
          <w:tcW w:w="4080" w:type="dxa"/>
          <w:tcMar>
            <w:left w:w="0" w:type="dxa"/>
            <w:right w:w="0" w:type="dxa"/>
          </w:tcMar>
        </w:tcPr>
        <w:p w:rsidR="00211A38" w:rsidRPr="0044776A" w:rsidRDefault="00211A38" w:rsidP="0044776A">
          <w:pPr>
            <w:keepLines/>
            <w:widowControl w:val="0"/>
            <w:rPr>
              <w:sz w:val="20"/>
              <w:szCs w:val="20"/>
              <w:lang w:val="fr-CA"/>
            </w:rPr>
          </w:pPr>
          <w:r w:rsidRPr="0044776A">
            <w:rPr>
              <w:sz w:val="20"/>
              <w:szCs w:val="20"/>
              <w:lang w:val="fr-CA"/>
            </w:rPr>
            <w:t>DEMANDES SOUMISES À LA COUR DEPUIS LA DERNIÈRE PARUTION</w:t>
          </w:r>
        </w:p>
        <w:p w:rsidR="00211A38" w:rsidRPr="0044776A" w:rsidRDefault="00211A38" w:rsidP="0044776A">
          <w:pPr>
            <w:widowControl w:val="0"/>
            <w:rPr>
              <w:sz w:val="20"/>
              <w:szCs w:val="20"/>
              <w:lang w:val="fr-CA"/>
            </w:rPr>
          </w:pPr>
        </w:p>
      </w:tc>
    </w:tr>
  </w:tbl>
  <w:p w:rsidR="00211A38" w:rsidRPr="002E2327" w:rsidRDefault="00211A38">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A38" w:rsidRDefault="00211A3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11A38" w:rsidRPr="00740145">
      <w:tc>
        <w:tcPr>
          <w:tcW w:w="4200" w:type="dxa"/>
          <w:tcMar>
            <w:left w:w="0" w:type="dxa"/>
            <w:right w:w="0" w:type="dxa"/>
          </w:tcMar>
        </w:tcPr>
        <w:p w:rsidR="00211A38" w:rsidRDefault="00211A3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211A38" w:rsidRDefault="00211A3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211A38" w:rsidRDefault="00211A3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11A38" w:rsidRPr="00FF6BA5" w:rsidRDefault="00211A3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211A38" w:rsidRPr="00FF6BA5" w:rsidRDefault="00211A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211A38" w:rsidRPr="00FF6BA5" w:rsidRDefault="00211A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211A38" w:rsidRPr="00FF6BA5" w:rsidRDefault="00211A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11A38" w:rsidRPr="00740145" w:rsidTr="00245129">
      <w:tc>
        <w:tcPr>
          <w:tcW w:w="4200" w:type="dxa"/>
          <w:tcMar>
            <w:left w:w="0" w:type="dxa"/>
            <w:right w:w="0" w:type="dxa"/>
          </w:tcMar>
        </w:tcPr>
        <w:p w:rsidR="00211A38" w:rsidRPr="00634F42" w:rsidRDefault="00211A38"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211A38" w:rsidRPr="00755F22" w:rsidRDefault="00211A3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11A38" w:rsidRPr="00755F22" w:rsidRDefault="00211A3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11A38" w:rsidRPr="00755F22" w:rsidRDefault="00211A3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211A38" w:rsidRPr="00755F22" w:rsidRDefault="00211A3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211A38" w:rsidRPr="00FF6BA5" w:rsidRDefault="00211A38"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A38" w:rsidRDefault="00211A3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211A38">
      <w:tc>
        <w:tcPr>
          <w:tcW w:w="4230" w:type="dxa"/>
          <w:tcMar>
            <w:left w:w="0" w:type="dxa"/>
            <w:right w:w="0" w:type="dxa"/>
          </w:tcMar>
        </w:tcPr>
        <w:p w:rsidR="00211A38" w:rsidRDefault="00211A3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211A38" w:rsidRDefault="00211A3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11A38" w:rsidRDefault="00211A3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211A38">
      <w:trPr>
        <w:gridAfter w:val="2"/>
        <w:wAfter w:w="5250" w:type="dxa"/>
      </w:trPr>
      <w:tc>
        <w:tcPr>
          <w:tcW w:w="4230" w:type="dxa"/>
          <w:tcMar>
            <w:left w:w="0" w:type="dxa"/>
            <w:right w:w="0" w:type="dxa"/>
          </w:tcMar>
        </w:tcPr>
        <w:p w:rsidR="00211A38" w:rsidRDefault="00211A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11A38" w:rsidRDefault="00211A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211A38" w:rsidRPr="00755F22" w:rsidTr="00245129">
      <w:tc>
        <w:tcPr>
          <w:tcW w:w="4230" w:type="dxa"/>
          <w:tcMar>
            <w:left w:w="0" w:type="dxa"/>
            <w:right w:w="0" w:type="dxa"/>
          </w:tcMar>
        </w:tcPr>
        <w:p w:rsidR="00211A38" w:rsidRPr="00755F22" w:rsidRDefault="00211A38" w:rsidP="00831CA9">
          <w:pPr>
            <w:keepNext/>
            <w:keepLines/>
            <w:rPr>
              <w:sz w:val="20"/>
              <w:szCs w:val="20"/>
            </w:rPr>
          </w:pPr>
          <w:r w:rsidRPr="00755F22">
            <w:rPr>
              <w:sz w:val="20"/>
              <w:szCs w:val="20"/>
            </w:rPr>
            <w:t>Motions</w:t>
          </w:r>
        </w:p>
      </w:tc>
      <w:tc>
        <w:tcPr>
          <w:tcW w:w="1170" w:type="dxa"/>
          <w:tcMar>
            <w:left w:w="0" w:type="dxa"/>
            <w:right w:w="0" w:type="dxa"/>
          </w:tcMar>
        </w:tcPr>
        <w:p w:rsidR="00211A38" w:rsidRPr="00755F22" w:rsidRDefault="00211A38" w:rsidP="00831CA9">
          <w:pPr>
            <w:keepLines/>
            <w:jc w:val="center"/>
            <w:rPr>
              <w:sz w:val="20"/>
              <w:szCs w:val="20"/>
            </w:rPr>
          </w:pPr>
        </w:p>
        <w:p w:rsidR="00211A38" w:rsidRPr="00755F22" w:rsidRDefault="00211A38" w:rsidP="00831CA9">
          <w:pPr>
            <w:keepLines/>
            <w:tabs>
              <w:tab w:val="left" w:pos="-1440"/>
              <w:tab w:val="left" w:pos="-720"/>
            </w:tabs>
            <w:jc w:val="center"/>
            <w:rPr>
              <w:sz w:val="20"/>
              <w:szCs w:val="20"/>
            </w:rPr>
          </w:pPr>
        </w:p>
      </w:tc>
      <w:tc>
        <w:tcPr>
          <w:tcW w:w="4080" w:type="dxa"/>
          <w:tcMar>
            <w:left w:w="0" w:type="dxa"/>
            <w:right w:w="0" w:type="dxa"/>
          </w:tcMar>
        </w:tcPr>
        <w:p w:rsidR="00211A38" w:rsidRPr="00BA6468" w:rsidRDefault="00211A38" w:rsidP="00BA6468">
          <w:pPr>
            <w:keepLines/>
            <w:rPr>
              <w:sz w:val="20"/>
              <w:szCs w:val="20"/>
              <w:lang w:val="fr-CA"/>
            </w:rPr>
          </w:pPr>
          <w:r w:rsidRPr="00BA6468">
            <w:rPr>
              <w:sz w:val="20"/>
              <w:szCs w:val="20"/>
              <w:lang w:val="fr-CA"/>
            </w:rPr>
            <w:t>Requêtes</w:t>
          </w:r>
        </w:p>
      </w:tc>
    </w:tr>
  </w:tbl>
  <w:p w:rsidR="00211A38" w:rsidRDefault="00211A38"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E57"/>
    <w:multiLevelType w:val="hybridMultilevel"/>
    <w:tmpl w:val="58287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62598"/>
    <w:multiLevelType w:val="hybridMultilevel"/>
    <w:tmpl w:val="212C0E3C"/>
    <w:lvl w:ilvl="0" w:tplc="65887394">
      <w:start w:val="3"/>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71A2ADC"/>
    <w:multiLevelType w:val="hybridMultilevel"/>
    <w:tmpl w:val="CFC0B0D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26600E"/>
    <w:multiLevelType w:val="hybridMultilevel"/>
    <w:tmpl w:val="0A4EC428"/>
    <w:lvl w:ilvl="0" w:tplc="BAC461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933E7"/>
    <w:multiLevelType w:val="hybridMultilevel"/>
    <w:tmpl w:val="DB0E3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0147E"/>
    <w:multiLevelType w:val="hybridMultilevel"/>
    <w:tmpl w:val="EB2CB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A0DEC"/>
    <w:multiLevelType w:val="hybridMultilevel"/>
    <w:tmpl w:val="E4449AFC"/>
    <w:lvl w:ilvl="0" w:tplc="1DDC0A7E">
      <w:start w:val="2"/>
      <w:numFmt w:val="decimal"/>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930F6B"/>
    <w:multiLevelType w:val="hybridMultilevel"/>
    <w:tmpl w:val="F490D576"/>
    <w:lvl w:ilvl="0" w:tplc="983469B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13BA9"/>
    <w:multiLevelType w:val="hybridMultilevel"/>
    <w:tmpl w:val="F17CD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12E33"/>
    <w:multiLevelType w:val="hybridMultilevel"/>
    <w:tmpl w:val="317A7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A37E5"/>
    <w:multiLevelType w:val="hybridMultilevel"/>
    <w:tmpl w:val="295400B2"/>
    <w:lvl w:ilvl="0" w:tplc="0902CFB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778335B"/>
    <w:multiLevelType w:val="hybridMultilevel"/>
    <w:tmpl w:val="1F2433A0"/>
    <w:lvl w:ilvl="0" w:tplc="673E3DA4">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506E7"/>
    <w:multiLevelType w:val="hybridMultilevel"/>
    <w:tmpl w:val="FBAEE016"/>
    <w:lvl w:ilvl="0" w:tplc="C4B61B8E">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8D404C"/>
    <w:multiLevelType w:val="hybridMultilevel"/>
    <w:tmpl w:val="2FD41E04"/>
    <w:lvl w:ilvl="0" w:tplc="70A86474">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06C85"/>
    <w:multiLevelType w:val="hybridMultilevel"/>
    <w:tmpl w:val="91E6900A"/>
    <w:lvl w:ilvl="0" w:tplc="AFF61A1E">
      <w:start w:val="4"/>
      <w:numFmt w:val="decimal"/>
      <w:lvlText w:val="%1."/>
      <w:lvlJc w:val="left"/>
      <w:pPr>
        <w:ind w:left="720" w:hanging="360"/>
      </w:pPr>
      <w:rPr>
        <w:rFonts w:hint="default"/>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F42F99"/>
    <w:multiLevelType w:val="hybridMultilevel"/>
    <w:tmpl w:val="5906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EB1F6F"/>
    <w:multiLevelType w:val="hybridMultilevel"/>
    <w:tmpl w:val="19787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429611D"/>
    <w:multiLevelType w:val="hybridMultilevel"/>
    <w:tmpl w:val="5DB2F802"/>
    <w:lvl w:ilvl="0" w:tplc="0B4A5340">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9FF45BD"/>
    <w:multiLevelType w:val="hybridMultilevel"/>
    <w:tmpl w:val="502866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592DF0"/>
    <w:multiLevelType w:val="hybridMultilevel"/>
    <w:tmpl w:val="4134EA22"/>
    <w:lvl w:ilvl="0" w:tplc="AA1C70E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3E5EA6"/>
    <w:multiLevelType w:val="hybridMultilevel"/>
    <w:tmpl w:val="5928B8D8"/>
    <w:lvl w:ilvl="0" w:tplc="D85E4A5C">
      <w:start w:val="6"/>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FEA36D4"/>
    <w:multiLevelType w:val="hybridMultilevel"/>
    <w:tmpl w:val="4ED46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356B44"/>
    <w:multiLevelType w:val="hybridMultilevel"/>
    <w:tmpl w:val="03B0CB3A"/>
    <w:lvl w:ilvl="0" w:tplc="1904EF8A">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8C7FF5"/>
    <w:multiLevelType w:val="hybridMultilevel"/>
    <w:tmpl w:val="45681954"/>
    <w:lvl w:ilvl="0" w:tplc="6602F5DA">
      <w:start w:val="6"/>
      <w:numFmt w:val="decimal"/>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A42E1B"/>
    <w:multiLevelType w:val="hybridMultilevel"/>
    <w:tmpl w:val="1FB2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6"/>
  </w:num>
  <w:num w:numId="3">
    <w:abstractNumId w:val="26"/>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3"/>
  </w:num>
  <w:num w:numId="9">
    <w:abstractNumId w:val="5"/>
  </w:num>
  <w:num w:numId="10">
    <w:abstractNumId w:val="36"/>
  </w:num>
  <w:num w:numId="11">
    <w:abstractNumId w:val="30"/>
  </w:num>
  <w:num w:numId="12">
    <w:abstractNumId w:val="3"/>
  </w:num>
  <w:num w:numId="13">
    <w:abstractNumId w:val="31"/>
  </w:num>
  <w:num w:numId="14">
    <w:abstractNumId w:val="22"/>
  </w:num>
  <w:num w:numId="15">
    <w:abstractNumId w:val="17"/>
  </w:num>
  <w:num w:numId="16">
    <w:abstractNumId w:val="16"/>
  </w:num>
  <w:num w:numId="17">
    <w:abstractNumId w:val="15"/>
  </w:num>
  <w:num w:numId="18">
    <w:abstractNumId w:val="37"/>
  </w:num>
  <w:num w:numId="19">
    <w:abstractNumId w:val="10"/>
  </w:num>
  <w:num w:numId="20">
    <w:abstractNumId w:val="25"/>
  </w:num>
  <w:num w:numId="21">
    <w:abstractNumId w:val="33"/>
  </w:num>
  <w:num w:numId="22">
    <w:abstractNumId w:val="34"/>
  </w:num>
  <w:num w:numId="23">
    <w:abstractNumId w:val="18"/>
  </w:num>
  <w:num w:numId="24">
    <w:abstractNumId w:val="29"/>
  </w:num>
  <w:num w:numId="2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8"/>
  </w:num>
  <w:num w:numId="29">
    <w:abstractNumId w:val="2"/>
  </w:num>
  <w:num w:numId="30">
    <w:abstractNumId w:val="27"/>
  </w:num>
  <w:num w:numId="31">
    <w:abstractNumId w:val="0"/>
  </w:num>
  <w:num w:numId="32">
    <w:abstractNumId w:val="9"/>
  </w:num>
  <w:num w:numId="33">
    <w:abstractNumId w:val="32"/>
  </w:num>
  <w:num w:numId="34">
    <w:abstractNumId w:val="24"/>
  </w:num>
  <w:num w:numId="35">
    <w:abstractNumId w:val="19"/>
  </w:num>
  <w:num w:numId="36">
    <w:abstractNumId w:val="8"/>
  </w:num>
  <w:num w:numId="37">
    <w:abstractNumId w:val="38"/>
  </w:num>
  <w:num w:numId="38">
    <w:abstractNumId w:val="11"/>
  </w:num>
  <w:num w:numId="39">
    <w:abstractNumId w:val="14"/>
  </w:num>
  <w:num w:numId="40">
    <w:abstractNumId w:val="7"/>
  </w:num>
  <w:num w:numId="41">
    <w:abstractNumId w:val="6"/>
  </w:num>
  <w:num w:numId="42">
    <w:abstractNumId w:val="35"/>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63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57E"/>
    <w:rsid w:val="00002704"/>
    <w:rsid w:val="00006CAF"/>
    <w:rsid w:val="00020DC3"/>
    <w:rsid w:val="0003223B"/>
    <w:rsid w:val="000327B2"/>
    <w:rsid w:val="00033A57"/>
    <w:rsid w:val="0004528B"/>
    <w:rsid w:val="00064FBA"/>
    <w:rsid w:val="00074A9E"/>
    <w:rsid w:val="00091BA6"/>
    <w:rsid w:val="00091FA6"/>
    <w:rsid w:val="0009686C"/>
    <w:rsid w:val="00096BD9"/>
    <w:rsid w:val="000B3C9A"/>
    <w:rsid w:val="000B40A2"/>
    <w:rsid w:val="000B4624"/>
    <w:rsid w:val="000B70BD"/>
    <w:rsid w:val="000C0ACD"/>
    <w:rsid w:val="000C0D2A"/>
    <w:rsid w:val="000C1D9D"/>
    <w:rsid w:val="000C5CE8"/>
    <w:rsid w:val="000E27A5"/>
    <w:rsid w:val="000E2959"/>
    <w:rsid w:val="000F0B60"/>
    <w:rsid w:val="000F2CA3"/>
    <w:rsid w:val="00102792"/>
    <w:rsid w:val="00102926"/>
    <w:rsid w:val="0010587F"/>
    <w:rsid w:val="00111010"/>
    <w:rsid w:val="00111C6B"/>
    <w:rsid w:val="0012102B"/>
    <w:rsid w:val="00124D41"/>
    <w:rsid w:val="0013369E"/>
    <w:rsid w:val="0013595D"/>
    <w:rsid w:val="001434B9"/>
    <w:rsid w:val="00143EF6"/>
    <w:rsid w:val="00152E76"/>
    <w:rsid w:val="00164E6D"/>
    <w:rsid w:val="0016538E"/>
    <w:rsid w:val="00183454"/>
    <w:rsid w:val="0019203D"/>
    <w:rsid w:val="00195F99"/>
    <w:rsid w:val="001B157C"/>
    <w:rsid w:val="001B1994"/>
    <w:rsid w:val="001B4006"/>
    <w:rsid w:val="001B47EB"/>
    <w:rsid w:val="001B5C23"/>
    <w:rsid w:val="001C00B1"/>
    <w:rsid w:val="001D0D5F"/>
    <w:rsid w:val="001D6B8C"/>
    <w:rsid w:val="001F1F83"/>
    <w:rsid w:val="001F40DF"/>
    <w:rsid w:val="001F43F8"/>
    <w:rsid w:val="001F6B2D"/>
    <w:rsid w:val="002021A9"/>
    <w:rsid w:val="00211A38"/>
    <w:rsid w:val="002139A7"/>
    <w:rsid w:val="00215574"/>
    <w:rsid w:val="00215F7C"/>
    <w:rsid w:val="00221DEF"/>
    <w:rsid w:val="0022323B"/>
    <w:rsid w:val="002410B8"/>
    <w:rsid w:val="00242AEE"/>
    <w:rsid w:val="00245129"/>
    <w:rsid w:val="00245879"/>
    <w:rsid w:val="002526FA"/>
    <w:rsid w:val="00253236"/>
    <w:rsid w:val="002534CE"/>
    <w:rsid w:val="00267FD5"/>
    <w:rsid w:val="00271E1E"/>
    <w:rsid w:val="00274D34"/>
    <w:rsid w:val="00283AFF"/>
    <w:rsid w:val="00283ED8"/>
    <w:rsid w:val="002868D0"/>
    <w:rsid w:val="0028760B"/>
    <w:rsid w:val="002A008C"/>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A218E"/>
    <w:rsid w:val="003B3977"/>
    <w:rsid w:val="003D49B1"/>
    <w:rsid w:val="003E1D4C"/>
    <w:rsid w:val="003E5F3E"/>
    <w:rsid w:val="00407C5D"/>
    <w:rsid w:val="0041245B"/>
    <w:rsid w:val="004137A0"/>
    <w:rsid w:val="00422D9A"/>
    <w:rsid w:val="004317DE"/>
    <w:rsid w:val="00432989"/>
    <w:rsid w:val="004342A0"/>
    <w:rsid w:val="00440E24"/>
    <w:rsid w:val="0044776A"/>
    <w:rsid w:val="00460AFC"/>
    <w:rsid w:val="0047471F"/>
    <w:rsid w:val="004B195E"/>
    <w:rsid w:val="004B66B4"/>
    <w:rsid w:val="004B7F60"/>
    <w:rsid w:val="004C1AAC"/>
    <w:rsid w:val="004C1C35"/>
    <w:rsid w:val="004E1E0A"/>
    <w:rsid w:val="004E44A7"/>
    <w:rsid w:val="004E5524"/>
    <w:rsid w:val="004F090E"/>
    <w:rsid w:val="00501F3C"/>
    <w:rsid w:val="00506BE1"/>
    <w:rsid w:val="00520F9E"/>
    <w:rsid w:val="0052229C"/>
    <w:rsid w:val="00527CC7"/>
    <w:rsid w:val="005500A8"/>
    <w:rsid w:val="00560DF1"/>
    <w:rsid w:val="0056248C"/>
    <w:rsid w:val="00564B09"/>
    <w:rsid w:val="00567602"/>
    <w:rsid w:val="00567680"/>
    <w:rsid w:val="00571CA4"/>
    <w:rsid w:val="00573AF2"/>
    <w:rsid w:val="00576230"/>
    <w:rsid w:val="00582136"/>
    <w:rsid w:val="0059499E"/>
    <w:rsid w:val="005C6840"/>
    <w:rsid w:val="005F1ED8"/>
    <w:rsid w:val="005F263E"/>
    <w:rsid w:val="00600252"/>
    <w:rsid w:val="00612A40"/>
    <w:rsid w:val="006260DC"/>
    <w:rsid w:val="0062714A"/>
    <w:rsid w:val="00634F42"/>
    <w:rsid w:val="006615F4"/>
    <w:rsid w:val="00675479"/>
    <w:rsid w:val="00680709"/>
    <w:rsid w:val="00681F61"/>
    <w:rsid w:val="00684F23"/>
    <w:rsid w:val="00693C38"/>
    <w:rsid w:val="00696BF9"/>
    <w:rsid w:val="00697C62"/>
    <w:rsid w:val="006A329B"/>
    <w:rsid w:val="006A7EB8"/>
    <w:rsid w:val="006B6926"/>
    <w:rsid w:val="006B6FD0"/>
    <w:rsid w:val="006C3F47"/>
    <w:rsid w:val="006C5F7A"/>
    <w:rsid w:val="006E06AF"/>
    <w:rsid w:val="006E1CB0"/>
    <w:rsid w:val="006F350F"/>
    <w:rsid w:val="00717608"/>
    <w:rsid w:val="00727571"/>
    <w:rsid w:val="00732DB7"/>
    <w:rsid w:val="00735D75"/>
    <w:rsid w:val="00740145"/>
    <w:rsid w:val="0074238B"/>
    <w:rsid w:val="00745EF7"/>
    <w:rsid w:val="00755F22"/>
    <w:rsid w:val="00766E4A"/>
    <w:rsid w:val="007820CE"/>
    <w:rsid w:val="00782AE4"/>
    <w:rsid w:val="0079724F"/>
    <w:rsid w:val="007A327D"/>
    <w:rsid w:val="007A3EAE"/>
    <w:rsid w:val="007A4837"/>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3577A"/>
    <w:rsid w:val="00842B6B"/>
    <w:rsid w:val="00844E40"/>
    <w:rsid w:val="00845C2A"/>
    <w:rsid w:val="00850E1F"/>
    <w:rsid w:val="0085476B"/>
    <w:rsid w:val="0086340B"/>
    <w:rsid w:val="008859F1"/>
    <w:rsid w:val="008902B1"/>
    <w:rsid w:val="00890FEB"/>
    <w:rsid w:val="00893449"/>
    <w:rsid w:val="00895E7E"/>
    <w:rsid w:val="008961FD"/>
    <w:rsid w:val="008A5C1A"/>
    <w:rsid w:val="008C2318"/>
    <w:rsid w:val="008D085E"/>
    <w:rsid w:val="008D292F"/>
    <w:rsid w:val="008D3D4B"/>
    <w:rsid w:val="008E03DC"/>
    <w:rsid w:val="00902E51"/>
    <w:rsid w:val="00924065"/>
    <w:rsid w:val="00930B8A"/>
    <w:rsid w:val="00930D68"/>
    <w:rsid w:val="00932DB4"/>
    <w:rsid w:val="00941A4B"/>
    <w:rsid w:val="00946242"/>
    <w:rsid w:val="0095096B"/>
    <w:rsid w:val="00955827"/>
    <w:rsid w:val="00957556"/>
    <w:rsid w:val="00970CD3"/>
    <w:rsid w:val="009723FA"/>
    <w:rsid w:val="00984546"/>
    <w:rsid w:val="00996510"/>
    <w:rsid w:val="0099657E"/>
    <w:rsid w:val="009A75CF"/>
    <w:rsid w:val="009B1A2E"/>
    <w:rsid w:val="009C4E23"/>
    <w:rsid w:val="009D1F15"/>
    <w:rsid w:val="009D555E"/>
    <w:rsid w:val="009F3024"/>
    <w:rsid w:val="009F39BA"/>
    <w:rsid w:val="00A0355E"/>
    <w:rsid w:val="00A22DDE"/>
    <w:rsid w:val="00A234E1"/>
    <w:rsid w:val="00A242F4"/>
    <w:rsid w:val="00A375D1"/>
    <w:rsid w:val="00A41D2B"/>
    <w:rsid w:val="00A51D10"/>
    <w:rsid w:val="00A52A83"/>
    <w:rsid w:val="00A61252"/>
    <w:rsid w:val="00A6552C"/>
    <w:rsid w:val="00A744AF"/>
    <w:rsid w:val="00A760C7"/>
    <w:rsid w:val="00A87207"/>
    <w:rsid w:val="00A935AA"/>
    <w:rsid w:val="00A956D3"/>
    <w:rsid w:val="00AB2201"/>
    <w:rsid w:val="00AC3CBD"/>
    <w:rsid w:val="00AD1D34"/>
    <w:rsid w:val="00AD3259"/>
    <w:rsid w:val="00AE043C"/>
    <w:rsid w:val="00AF1715"/>
    <w:rsid w:val="00AF3904"/>
    <w:rsid w:val="00B010C0"/>
    <w:rsid w:val="00B15CBE"/>
    <w:rsid w:val="00B40FD9"/>
    <w:rsid w:val="00B44C30"/>
    <w:rsid w:val="00B4740D"/>
    <w:rsid w:val="00B61629"/>
    <w:rsid w:val="00B635E0"/>
    <w:rsid w:val="00B7374B"/>
    <w:rsid w:val="00B90DC0"/>
    <w:rsid w:val="00BA116A"/>
    <w:rsid w:val="00BA5582"/>
    <w:rsid w:val="00BA6468"/>
    <w:rsid w:val="00BB15A8"/>
    <w:rsid w:val="00BB1D44"/>
    <w:rsid w:val="00BC680C"/>
    <w:rsid w:val="00BD06DA"/>
    <w:rsid w:val="00BD264E"/>
    <w:rsid w:val="00BD4217"/>
    <w:rsid w:val="00BE34F7"/>
    <w:rsid w:val="00BF25F3"/>
    <w:rsid w:val="00C01FCB"/>
    <w:rsid w:val="00C1697B"/>
    <w:rsid w:val="00C21644"/>
    <w:rsid w:val="00C21CB5"/>
    <w:rsid w:val="00C23504"/>
    <w:rsid w:val="00C257CD"/>
    <w:rsid w:val="00C27015"/>
    <w:rsid w:val="00C406CA"/>
    <w:rsid w:val="00C46376"/>
    <w:rsid w:val="00C474A3"/>
    <w:rsid w:val="00C50A5C"/>
    <w:rsid w:val="00C50FDF"/>
    <w:rsid w:val="00C63381"/>
    <w:rsid w:val="00C73D06"/>
    <w:rsid w:val="00C73E1B"/>
    <w:rsid w:val="00C73EE8"/>
    <w:rsid w:val="00C7556C"/>
    <w:rsid w:val="00C759B4"/>
    <w:rsid w:val="00C77713"/>
    <w:rsid w:val="00C8528C"/>
    <w:rsid w:val="00C85BB7"/>
    <w:rsid w:val="00C86E0F"/>
    <w:rsid w:val="00CA2DEA"/>
    <w:rsid w:val="00CB26A3"/>
    <w:rsid w:val="00CB3520"/>
    <w:rsid w:val="00CB43D5"/>
    <w:rsid w:val="00CC4D84"/>
    <w:rsid w:val="00CE198A"/>
    <w:rsid w:val="00CF08C8"/>
    <w:rsid w:val="00D004FC"/>
    <w:rsid w:val="00D22BC0"/>
    <w:rsid w:val="00D443FD"/>
    <w:rsid w:val="00D6331A"/>
    <w:rsid w:val="00D64901"/>
    <w:rsid w:val="00D76BDF"/>
    <w:rsid w:val="00D818B6"/>
    <w:rsid w:val="00D82A57"/>
    <w:rsid w:val="00D82BFF"/>
    <w:rsid w:val="00D8443D"/>
    <w:rsid w:val="00D862C1"/>
    <w:rsid w:val="00D90AF5"/>
    <w:rsid w:val="00D93B50"/>
    <w:rsid w:val="00D94028"/>
    <w:rsid w:val="00D94670"/>
    <w:rsid w:val="00DA46F6"/>
    <w:rsid w:val="00DA756F"/>
    <w:rsid w:val="00DC0577"/>
    <w:rsid w:val="00DC6B2E"/>
    <w:rsid w:val="00DD0B49"/>
    <w:rsid w:val="00DD0BDC"/>
    <w:rsid w:val="00DE0502"/>
    <w:rsid w:val="00DE349D"/>
    <w:rsid w:val="00E0270C"/>
    <w:rsid w:val="00E06DFA"/>
    <w:rsid w:val="00E20A0A"/>
    <w:rsid w:val="00E240C2"/>
    <w:rsid w:val="00E356C7"/>
    <w:rsid w:val="00E414CA"/>
    <w:rsid w:val="00E41A5A"/>
    <w:rsid w:val="00E438D9"/>
    <w:rsid w:val="00E45FE4"/>
    <w:rsid w:val="00E64FA7"/>
    <w:rsid w:val="00E65960"/>
    <w:rsid w:val="00E664DA"/>
    <w:rsid w:val="00E670F7"/>
    <w:rsid w:val="00E7542A"/>
    <w:rsid w:val="00E75CFD"/>
    <w:rsid w:val="00E770CB"/>
    <w:rsid w:val="00E8544A"/>
    <w:rsid w:val="00E903A1"/>
    <w:rsid w:val="00E92A37"/>
    <w:rsid w:val="00E940EB"/>
    <w:rsid w:val="00E942C2"/>
    <w:rsid w:val="00E9703F"/>
    <w:rsid w:val="00E97984"/>
    <w:rsid w:val="00EB19D5"/>
    <w:rsid w:val="00EB2B90"/>
    <w:rsid w:val="00ED078F"/>
    <w:rsid w:val="00ED7E83"/>
    <w:rsid w:val="00EE091F"/>
    <w:rsid w:val="00EE3188"/>
    <w:rsid w:val="00EF4B63"/>
    <w:rsid w:val="00F0068D"/>
    <w:rsid w:val="00F03849"/>
    <w:rsid w:val="00F0576D"/>
    <w:rsid w:val="00F14E6D"/>
    <w:rsid w:val="00F15EA8"/>
    <w:rsid w:val="00F16063"/>
    <w:rsid w:val="00F16C8D"/>
    <w:rsid w:val="00F253CC"/>
    <w:rsid w:val="00F26C61"/>
    <w:rsid w:val="00F33CCE"/>
    <w:rsid w:val="00F40249"/>
    <w:rsid w:val="00F526C8"/>
    <w:rsid w:val="00F554B5"/>
    <w:rsid w:val="00F56A6C"/>
    <w:rsid w:val="00F663FF"/>
    <w:rsid w:val="00F7565E"/>
    <w:rsid w:val="00F75954"/>
    <w:rsid w:val="00F761A3"/>
    <w:rsid w:val="00F9272D"/>
    <w:rsid w:val="00F9518C"/>
    <w:rsid w:val="00FA316E"/>
    <w:rsid w:val="00FA3373"/>
    <w:rsid w:val="00FA3B66"/>
    <w:rsid w:val="00FA59EF"/>
    <w:rsid w:val="00FB19A2"/>
    <w:rsid w:val="00FB1DB6"/>
    <w:rsid w:val="00FB4A2E"/>
    <w:rsid w:val="00FD053D"/>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Coram">
    <w:name w:val="SCC.AppellantInfo.Coram"/>
    <w:basedOn w:val="Normal"/>
    <w:next w:val="Normal"/>
    <w:link w:val="SCCAppellantInfoCoramChar"/>
    <w:rsid w:val="0099657E"/>
    <w:rPr>
      <w:b/>
      <w:szCs w:val="24"/>
    </w:rPr>
  </w:style>
  <w:style w:type="character" w:customStyle="1" w:styleId="SCCAppellantInfoCoramChar">
    <w:name w:val="SCC.AppellantInfo.Coram Char"/>
    <w:basedOn w:val="DefaultParagraphFont"/>
    <w:link w:val="SCCAppellantInfoCoram"/>
    <w:rsid w:val="0099657E"/>
    <w:rPr>
      <w:b/>
      <w:szCs w:val="24"/>
      <w:lang w:val="en-CA"/>
    </w:rPr>
  </w:style>
  <w:style w:type="paragraph" w:customStyle="1" w:styleId="SCCAppellantInfoTypeOfCase">
    <w:name w:val="SCC.AppellantInfo.TypeOfCase"/>
    <w:basedOn w:val="Normal"/>
    <w:next w:val="Normal"/>
    <w:link w:val="SCCAppellantInfoTypeOfCaseChar"/>
    <w:rsid w:val="0099657E"/>
    <w:rPr>
      <w:b/>
      <w:szCs w:val="24"/>
    </w:rPr>
  </w:style>
  <w:style w:type="character" w:customStyle="1" w:styleId="SCCAppellantInfoTypeOfCaseChar">
    <w:name w:val="SCC.AppellantInfo.TypeOfCase Char"/>
    <w:basedOn w:val="DefaultParagraphFont"/>
    <w:link w:val="SCCAppellantInfoTypeOfCase"/>
    <w:rsid w:val="0099657E"/>
    <w:rPr>
      <w:b/>
      <w:szCs w:val="24"/>
      <w:lang w:val="en-CA"/>
    </w:rPr>
  </w:style>
  <w:style w:type="paragraph" w:customStyle="1" w:styleId="SCCAppellantInfoAppellantInfo">
    <w:name w:val="SCC.AppellantInfo.AppellantInfo"/>
    <w:basedOn w:val="Normal"/>
    <w:next w:val="Normal"/>
    <w:link w:val="SCCAppellantInfoAppellantInfoChar"/>
    <w:rsid w:val="0099657E"/>
    <w:rPr>
      <w:szCs w:val="24"/>
    </w:rPr>
  </w:style>
  <w:style w:type="character" w:customStyle="1" w:styleId="SCCAppellantInfoAppellantInfoChar">
    <w:name w:val="SCC.AppellantInfo.AppellantInfo Char"/>
    <w:basedOn w:val="DefaultParagraphFont"/>
    <w:link w:val="SCCAppellantInfoAppellantInfo"/>
    <w:rsid w:val="0099657E"/>
    <w:rPr>
      <w:szCs w:val="24"/>
      <w:lang w:val="en-CA"/>
    </w:rPr>
  </w:style>
  <w:style w:type="paragraph" w:customStyle="1" w:styleId="SCCBanSummary0">
    <w:name w:val="SCC.BanSummary"/>
    <w:basedOn w:val="Normal"/>
    <w:next w:val="Normal"/>
    <w:link w:val="SCCBanSummaryChar"/>
    <w:rsid w:val="00F7565E"/>
    <w:pPr>
      <w:jc w:val="both"/>
    </w:pPr>
    <w:rPr>
      <w:rFonts w:eastAsia="Calibri" w:cs="Times New Roman"/>
      <w:smallCaps/>
    </w:rPr>
  </w:style>
  <w:style w:type="character" w:customStyle="1" w:styleId="SCCBanSummaryChar">
    <w:name w:val="SCC.BanSummary Char"/>
    <w:basedOn w:val="DefaultParagraphFont"/>
    <w:link w:val="SCCBanSummary0"/>
    <w:rsid w:val="00F7565E"/>
    <w:rPr>
      <w:rFonts w:eastAsia="Calibri" w:cs="Times New Roman"/>
      <w:smallCaps/>
      <w:lang w:val="en-CA"/>
    </w:rPr>
  </w:style>
  <w:style w:type="paragraph" w:styleId="NoSpacing">
    <w:name w:val="No Spacing"/>
    <w:uiPriority w:val="1"/>
    <w:qFormat/>
    <w:rsid w:val="00F7565E"/>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F7565E"/>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F7565E"/>
    <w:rPr>
      <w:rFonts w:ascii="Tahoma" w:eastAsia="Times New Roman" w:hAnsi="Tahoma" w:cs="Tahoma"/>
      <w:sz w:val="16"/>
      <w:szCs w:val="16"/>
    </w:rPr>
  </w:style>
  <w:style w:type="paragraph" w:customStyle="1" w:styleId="Style268435469">
    <w:name w:val="Style268435469"/>
    <w:rsid w:val="00F7565E"/>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F7565E"/>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F7565E"/>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F7565E"/>
    <w:rPr>
      <w:sz w:val="16"/>
      <w:szCs w:val="16"/>
    </w:rPr>
  </w:style>
  <w:style w:type="paragraph" w:styleId="CommentText">
    <w:name w:val="annotation text"/>
    <w:basedOn w:val="Normal"/>
    <w:link w:val="CommentTextChar"/>
    <w:uiPriority w:val="99"/>
    <w:semiHidden/>
    <w:unhideWhenUsed/>
    <w:rsid w:val="00F7565E"/>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F7565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565E"/>
    <w:rPr>
      <w:b/>
      <w:bCs/>
    </w:rPr>
  </w:style>
  <w:style w:type="character" w:customStyle="1" w:styleId="CommentSubjectChar">
    <w:name w:val="Comment Subject Char"/>
    <w:basedOn w:val="CommentTextChar"/>
    <w:link w:val="CommentSubject"/>
    <w:uiPriority w:val="99"/>
    <w:semiHidden/>
    <w:rsid w:val="00F7565E"/>
    <w:rPr>
      <w:rFonts w:eastAsia="Times New Roman" w:cs="Times New Roman"/>
      <w:b/>
      <w:bCs/>
      <w:sz w:val="20"/>
      <w:szCs w:val="20"/>
    </w:rPr>
  </w:style>
  <w:style w:type="paragraph" w:customStyle="1" w:styleId="SCCLsocSubfileSeparator0">
    <w:name w:val="SCC.Lsoc.SubfileSeparator"/>
    <w:basedOn w:val="Normal"/>
    <w:next w:val="Normal"/>
    <w:link w:val="SCCLsocSubfileSeparatorChar"/>
    <w:rsid w:val="00F7565E"/>
    <w:pPr>
      <w:jc w:val="both"/>
    </w:pPr>
    <w:rPr>
      <w:rFonts w:cs="Times New Roman"/>
      <w:b/>
      <w:szCs w:val="24"/>
    </w:rPr>
  </w:style>
  <w:style w:type="character" w:customStyle="1" w:styleId="SCCLsocSubfileSeparatorChar">
    <w:name w:val="SCC.Lsoc.SubfileSeparator Char"/>
    <w:basedOn w:val="DefaultParagraphFont"/>
    <w:link w:val="SCCLsocSubfileSeparator0"/>
    <w:rsid w:val="00F7565E"/>
    <w:rPr>
      <w:rFonts w:cs="Times New Roman"/>
      <w:b/>
      <w:szCs w:val="24"/>
      <w:lang w:val="en-CA"/>
    </w:rPr>
  </w:style>
  <w:style w:type="paragraph" w:customStyle="1" w:styleId="aparanumbering1">
    <w:name w:val="aparanumbering1"/>
    <w:basedOn w:val="Normal"/>
    <w:rsid w:val="00F7565E"/>
    <w:pPr>
      <w:spacing w:before="120" w:after="120"/>
      <w:jc w:val="both"/>
    </w:pPr>
    <w:rPr>
      <w:rFonts w:ascii="Arial" w:eastAsia="Times New Roman" w:hAnsi="Arial" w:cs="Arial"/>
      <w:sz w:val="26"/>
      <w:szCs w:val="26"/>
      <w:lang w:val="en-US"/>
    </w:rPr>
  </w:style>
  <w:style w:type="character" w:customStyle="1" w:styleId="reflex3-block">
    <w:name w:val="reflex3-block"/>
    <w:basedOn w:val="DefaultParagraphFont"/>
    <w:rsid w:val="00F75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8975">
      <w:bodyDiv w:val="1"/>
      <w:marLeft w:val="0"/>
      <w:marRight w:val="0"/>
      <w:marTop w:val="0"/>
      <w:marBottom w:val="0"/>
      <w:divBdr>
        <w:top w:val="none" w:sz="0" w:space="0" w:color="auto"/>
        <w:left w:val="none" w:sz="0" w:space="0" w:color="auto"/>
        <w:bottom w:val="none" w:sz="0" w:space="0" w:color="auto"/>
        <w:right w:val="none" w:sz="0" w:space="0" w:color="auto"/>
      </w:divBdr>
      <w:divsChild>
        <w:div w:id="1801413943">
          <w:marLeft w:val="-225"/>
          <w:marRight w:val="-225"/>
          <w:marTop w:val="60"/>
          <w:marBottom w:val="60"/>
          <w:divBdr>
            <w:top w:val="none" w:sz="0" w:space="0" w:color="auto"/>
            <w:left w:val="none" w:sz="0" w:space="0" w:color="auto"/>
            <w:bottom w:val="none" w:sz="0" w:space="0" w:color="auto"/>
            <w:right w:val="none" w:sz="0" w:space="0" w:color="auto"/>
          </w:divBdr>
          <w:divsChild>
            <w:div w:id="202736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222913140">
      <w:bodyDiv w:val="1"/>
      <w:marLeft w:val="0"/>
      <w:marRight w:val="0"/>
      <w:marTop w:val="0"/>
      <w:marBottom w:val="0"/>
      <w:divBdr>
        <w:top w:val="none" w:sz="0" w:space="0" w:color="auto"/>
        <w:left w:val="none" w:sz="0" w:space="0" w:color="auto"/>
        <w:bottom w:val="none" w:sz="0" w:space="0" w:color="auto"/>
        <w:right w:val="none" w:sz="0" w:space="0" w:color="auto"/>
      </w:divBdr>
      <w:divsChild>
        <w:div w:id="1065910085">
          <w:marLeft w:val="-225"/>
          <w:marRight w:val="-225"/>
          <w:marTop w:val="60"/>
          <w:marBottom w:val="60"/>
          <w:divBdr>
            <w:top w:val="none" w:sz="0" w:space="0" w:color="auto"/>
            <w:left w:val="none" w:sz="0" w:space="0" w:color="auto"/>
            <w:bottom w:val="none" w:sz="0" w:space="0" w:color="auto"/>
            <w:right w:val="none" w:sz="0" w:space="0" w:color="auto"/>
          </w:divBdr>
          <w:divsChild>
            <w:div w:id="20196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40891">
      <w:bodyDiv w:val="1"/>
      <w:marLeft w:val="0"/>
      <w:marRight w:val="0"/>
      <w:marTop w:val="0"/>
      <w:marBottom w:val="0"/>
      <w:divBdr>
        <w:top w:val="none" w:sz="0" w:space="0" w:color="auto"/>
        <w:left w:val="none" w:sz="0" w:space="0" w:color="auto"/>
        <w:bottom w:val="none" w:sz="0" w:space="0" w:color="auto"/>
        <w:right w:val="none" w:sz="0" w:space="0" w:color="auto"/>
      </w:divBdr>
      <w:divsChild>
        <w:div w:id="1136609357">
          <w:marLeft w:val="-225"/>
          <w:marRight w:val="-225"/>
          <w:marTop w:val="60"/>
          <w:marBottom w:val="60"/>
          <w:divBdr>
            <w:top w:val="none" w:sz="0" w:space="0" w:color="auto"/>
            <w:left w:val="none" w:sz="0" w:space="0" w:color="auto"/>
            <w:bottom w:val="none" w:sz="0" w:space="0" w:color="auto"/>
            <w:right w:val="none" w:sz="0" w:space="0" w:color="auto"/>
          </w:divBdr>
          <w:divsChild>
            <w:div w:id="17531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7594">
      <w:bodyDiv w:val="1"/>
      <w:marLeft w:val="0"/>
      <w:marRight w:val="0"/>
      <w:marTop w:val="0"/>
      <w:marBottom w:val="0"/>
      <w:divBdr>
        <w:top w:val="none" w:sz="0" w:space="0" w:color="auto"/>
        <w:left w:val="none" w:sz="0" w:space="0" w:color="auto"/>
        <w:bottom w:val="none" w:sz="0" w:space="0" w:color="auto"/>
        <w:right w:val="none" w:sz="0" w:space="0" w:color="auto"/>
      </w:divBdr>
      <w:divsChild>
        <w:div w:id="565994777">
          <w:marLeft w:val="-225"/>
          <w:marRight w:val="-225"/>
          <w:marTop w:val="60"/>
          <w:marBottom w:val="60"/>
          <w:divBdr>
            <w:top w:val="none" w:sz="0" w:space="0" w:color="auto"/>
            <w:left w:val="none" w:sz="0" w:space="0" w:color="auto"/>
            <w:bottom w:val="none" w:sz="0" w:space="0" w:color="auto"/>
            <w:right w:val="none" w:sz="0" w:space="0" w:color="auto"/>
          </w:divBdr>
          <w:divsChild>
            <w:div w:id="843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21243">
      <w:bodyDiv w:val="1"/>
      <w:marLeft w:val="0"/>
      <w:marRight w:val="0"/>
      <w:marTop w:val="0"/>
      <w:marBottom w:val="0"/>
      <w:divBdr>
        <w:top w:val="none" w:sz="0" w:space="0" w:color="auto"/>
        <w:left w:val="none" w:sz="0" w:space="0" w:color="auto"/>
        <w:bottom w:val="none" w:sz="0" w:space="0" w:color="auto"/>
        <w:right w:val="none" w:sz="0" w:space="0" w:color="auto"/>
      </w:divBdr>
      <w:divsChild>
        <w:div w:id="863523656">
          <w:marLeft w:val="-225"/>
          <w:marRight w:val="-225"/>
          <w:marTop w:val="60"/>
          <w:marBottom w:val="60"/>
          <w:divBdr>
            <w:top w:val="none" w:sz="0" w:space="0" w:color="auto"/>
            <w:left w:val="none" w:sz="0" w:space="0" w:color="auto"/>
            <w:bottom w:val="none" w:sz="0" w:space="0" w:color="auto"/>
            <w:right w:val="none" w:sz="0" w:space="0" w:color="auto"/>
          </w:divBdr>
          <w:divsChild>
            <w:div w:id="8709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411122131">
      <w:bodyDiv w:val="1"/>
      <w:marLeft w:val="0"/>
      <w:marRight w:val="0"/>
      <w:marTop w:val="0"/>
      <w:marBottom w:val="0"/>
      <w:divBdr>
        <w:top w:val="none" w:sz="0" w:space="0" w:color="auto"/>
        <w:left w:val="none" w:sz="0" w:space="0" w:color="auto"/>
        <w:bottom w:val="none" w:sz="0" w:space="0" w:color="auto"/>
        <w:right w:val="none" w:sz="0" w:space="0" w:color="auto"/>
      </w:divBdr>
      <w:divsChild>
        <w:div w:id="794710912">
          <w:marLeft w:val="-225"/>
          <w:marRight w:val="-225"/>
          <w:marTop w:val="60"/>
          <w:marBottom w:val="60"/>
          <w:divBdr>
            <w:top w:val="none" w:sz="0" w:space="0" w:color="auto"/>
            <w:left w:val="none" w:sz="0" w:space="0" w:color="auto"/>
            <w:bottom w:val="none" w:sz="0" w:space="0" w:color="auto"/>
            <w:right w:val="none" w:sz="0" w:space="0" w:color="auto"/>
          </w:divBdr>
          <w:divsChild>
            <w:div w:id="19296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84019">
      <w:bodyDiv w:val="1"/>
      <w:marLeft w:val="0"/>
      <w:marRight w:val="0"/>
      <w:marTop w:val="0"/>
      <w:marBottom w:val="0"/>
      <w:divBdr>
        <w:top w:val="none" w:sz="0" w:space="0" w:color="auto"/>
        <w:left w:val="none" w:sz="0" w:space="0" w:color="auto"/>
        <w:bottom w:val="none" w:sz="0" w:space="0" w:color="auto"/>
        <w:right w:val="none" w:sz="0" w:space="0" w:color="auto"/>
      </w:divBdr>
      <w:divsChild>
        <w:div w:id="30225581">
          <w:marLeft w:val="-225"/>
          <w:marRight w:val="-225"/>
          <w:marTop w:val="60"/>
          <w:marBottom w:val="60"/>
          <w:divBdr>
            <w:top w:val="none" w:sz="0" w:space="0" w:color="auto"/>
            <w:left w:val="none" w:sz="0" w:space="0" w:color="auto"/>
            <w:bottom w:val="none" w:sz="0" w:space="0" w:color="auto"/>
            <w:right w:val="none" w:sz="0" w:space="0" w:color="auto"/>
          </w:divBdr>
          <w:divsChild>
            <w:div w:id="21701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8475">
      <w:bodyDiv w:val="1"/>
      <w:marLeft w:val="0"/>
      <w:marRight w:val="0"/>
      <w:marTop w:val="0"/>
      <w:marBottom w:val="0"/>
      <w:divBdr>
        <w:top w:val="none" w:sz="0" w:space="0" w:color="auto"/>
        <w:left w:val="none" w:sz="0" w:space="0" w:color="auto"/>
        <w:bottom w:val="none" w:sz="0" w:space="0" w:color="auto"/>
        <w:right w:val="none" w:sz="0" w:space="0" w:color="auto"/>
      </w:divBdr>
    </w:div>
    <w:div w:id="649334536">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181747645">
      <w:bodyDiv w:val="1"/>
      <w:marLeft w:val="0"/>
      <w:marRight w:val="0"/>
      <w:marTop w:val="0"/>
      <w:marBottom w:val="0"/>
      <w:divBdr>
        <w:top w:val="none" w:sz="0" w:space="0" w:color="auto"/>
        <w:left w:val="none" w:sz="0" w:space="0" w:color="auto"/>
        <w:bottom w:val="none" w:sz="0" w:space="0" w:color="auto"/>
        <w:right w:val="none" w:sz="0" w:space="0" w:color="auto"/>
      </w:divBdr>
      <w:divsChild>
        <w:div w:id="1073163961">
          <w:marLeft w:val="-225"/>
          <w:marRight w:val="-225"/>
          <w:marTop w:val="60"/>
          <w:marBottom w:val="60"/>
          <w:divBdr>
            <w:top w:val="none" w:sz="0" w:space="0" w:color="auto"/>
            <w:left w:val="none" w:sz="0" w:space="0" w:color="auto"/>
            <w:bottom w:val="none" w:sz="0" w:space="0" w:color="auto"/>
            <w:right w:val="none" w:sz="0" w:space="0" w:color="auto"/>
          </w:divBdr>
          <w:divsChild>
            <w:div w:id="10849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69928">
      <w:bodyDiv w:val="1"/>
      <w:marLeft w:val="0"/>
      <w:marRight w:val="0"/>
      <w:marTop w:val="0"/>
      <w:marBottom w:val="0"/>
      <w:divBdr>
        <w:top w:val="none" w:sz="0" w:space="0" w:color="auto"/>
        <w:left w:val="none" w:sz="0" w:space="0" w:color="auto"/>
        <w:bottom w:val="none" w:sz="0" w:space="0" w:color="auto"/>
        <w:right w:val="none" w:sz="0" w:space="0" w:color="auto"/>
      </w:divBdr>
      <w:divsChild>
        <w:div w:id="1653288890">
          <w:marLeft w:val="-225"/>
          <w:marRight w:val="-225"/>
          <w:marTop w:val="60"/>
          <w:marBottom w:val="60"/>
          <w:divBdr>
            <w:top w:val="none" w:sz="0" w:space="0" w:color="auto"/>
            <w:left w:val="none" w:sz="0" w:space="0" w:color="auto"/>
            <w:bottom w:val="none" w:sz="0" w:space="0" w:color="auto"/>
            <w:right w:val="none" w:sz="0" w:space="0" w:color="auto"/>
          </w:divBdr>
          <w:divsChild>
            <w:div w:id="2089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18526">
      <w:bodyDiv w:val="1"/>
      <w:marLeft w:val="0"/>
      <w:marRight w:val="0"/>
      <w:marTop w:val="0"/>
      <w:marBottom w:val="0"/>
      <w:divBdr>
        <w:top w:val="none" w:sz="0" w:space="0" w:color="auto"/>
        <w:left w:val="none" w:sz="0" w:space="0" w:color="auto"/>
        <w:bottom w:val="none" w:sz="0" w:space="0" w:color="auto"/>
        <w:right w:val="none" w:sz="0" w:space="0" w:color="auto"/>
      </w:divBdr>
    </w:div>
    <w:div w:id="1428843723">
      <w:bodyDiv w:val="1"/>
      <w:marLeft w:val="0"/>
      <w:marRight w:val="0"/>
      <w:marTop w:val="0"/>
      <w:marBottom w:val="0"/>
      <w:divBdr>
        <w:top w:val="none" w:sz="0" w:space="0" w:color="auto"/>
        <w:left w:val="none" w:sz="0" w:space="0" w:color="auto"/>
        <w:bottom w:val="none" w:sz="0" w:space="0" w:color="auto"/>
        <w:right w:val="none" w:sz="0" w:space="0" w:color="auto"/>
      </w:divBdr>
      <w:divsChild>
        <w:div w:id="38095429">
          <w:marLeft w:val="-225"/>
          <w:marRight w:val="-225"/>
          <w:marTop w:val="60"/>
          <w:marBottom w:val="60"/>
          <w:divBdr>
            <w:top w:val="none" w:sz="0" w:space="0" w:color="auto"/>
            <w:left w:val="none" w:sz="0" w:space="0" w:color="auto"/>
            <w:bottom w:val="none" w:sz="0" w:space="0" w:color="auto"/>
            <w:right w:val="none" w:sz="0" w:space="0" w:color="auto"/>
          </w:divBdr>
          <w:divsChild>
            <w:div w:id="15281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589847996">
      <w:bodyDiv w:val="1"/>
      <w:marLeft w:val="0"/>
      <w:marRight w:val="0"/>
      <w:marTop w:val="0"/>
      <w:marBottom w:val="0"/>
      <w:divBdr>
        <w:top w:val="none" w:sz="0" w:space="0" w:color="auto"/>
        <w:left w:val="none" w:sz="0" w:space="0" w:color="auto"/>
        <w:bottom w:val="none" w:sz="0" w:space="0" w:color="auto"/>
        <w:right w:val="none" w:sz="0" w:space="0" w:color="auto"/>
      </w:divBdr>
      <w:divsChild>
        <w:div w:id="1696955283">
          <w:marLeft w:val="-225"/>
          <w:marRight w:val="-225"/>
          <w:marTop w:val="60"/>
          <w:marBottom w:val="60"/>
          <w:divBdr>
            <w:top w:val="none" w:sz="0" w:space="0" w:color="auto"/>
            <w:left w:val="none" w:sz="0" w:space="0" w:color="auto"/>
            <w:bottom w:val="none" w:sz="0" w:space="0" w:color="auto"/>
            <w:right w:val="none" w:sz="0" w:space="0" w:color="auto"/>
          </w:divBdr>
          <w:divsChild>
            <w:div w:id="4140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304">
      <w:bodyDiv w:val="1"/>
      <w:marLeft w:val="0"/>
      <w:marRight w:val="0"/>
      <w:marTop w:val="0"/>
      <w:marBottom w:val="0"/>
      <w:divBdr>
        <w:top w:val="none" w:sz="0" w:space="0" w:color="auto"/>
        <w:left w:val="none" w:sz="0" w:space="0" w:color="auto"/>
        <w:bottom w:val="none" w:sz="0" w:space="0" w:color="auto"/>
        <w:right w:val="none" w:sz="0" w:space="0" w:color="auto"/>
      </w:divBdr>
      <w:divsChild>
        <w:div w:id="1756199137">
          <w:marLeft w:val="-225"/>
          <w:marRight w:val="-225"/>
          <w:marTop w:val="60"/>
          <w:marBottom w:val="60"/>
          <w:divBdr>
            <w:top w:val="none" w:sz="0" w:space="0" w:color="auto"/>
            <w:left w:val="none" w:sz="0" w:space="0" w:color="auto"/>
            <w:bottom w:val="none" w:sz="0" w:space="0" w:color="auto"/>
            <w:right w:val="none" w:sz="0" w:space="0" w:color="auto"/>
          </w:divBdr>
          <w:divsChild>
            <w:div w:id="7163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24745">
      <w:bodyDiv w:val="1"/>
      <w:marLeft w:val="0"/>
      <w:marRight w:val="0"/>
      <w:marTop w:val="0"/>
      <w:marBottom w:val="0"/>
      <w:divBdr>
        <w:top w:val="none" w:sz="0" w:space="0" w:color="auto"/>
        <w:left w:val="none" w:sz="0" w:space="0" w:color="auto"/>
        <w:bottom w:val="none" w:sz="0" w:space="0" w:color="auto"/>
        <w:right w:val="none" w:sz="0" w:space="0" w:color="auto"/>
      </w:divBdr>
      <w:divsChild>
        <w:div w:id="2117408323">
          <w:marLeft w:val="-225"/>
          <w:marRight w:val="-225"/>
          <w:marTop w:val="60"/>
          <w:marBottom w:val="60"/>
          <w:divBdr>
            <w:top w:val="none" w:sz="0" w:space="0" w:color="auto"/>
            <w:left w:val="none" w:sz="0" w:space="0" w:color="auto"/>
            <w:bottom w:val="none" w:sz="0" w:space="0" w:color="auto"/>
            <w:right w:val="none" w:sz="0" w:space="0" w:color="auto"/>
          </w:divBdr>
          <w:divsChild>
            <w:div w:id="14142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3631">
      <w:bodyDiv w:val="1"/>
      <w:marLeft w:val="0"/>
      <w:marRight w:val="0"/>
      <w:marTop w:val="0"/>
      <w:marBottom w:val="0"/>
      <w:divBdr>
        <w:top w:val="none" w:sz="0" w:space="0" w:color="auto"/>
        <w:left w:val="none" w:sz="0" w:space="0" w:color="auto"/>
        <w:bottom w:val="none" w:sz="0" w:space="0" w:color="auto"/>
        <w:right w:val="none" w:sz="0" w:space="0" w:color="auto"/>
      </w:divBdr>
      <w:divsChild>
        <w:div w:id="1601185673">
          <w:marLeft w:val="-225"/>
          <w:marRight w:val="-225"/>
          <w:marTop w:val="60"/>
          <w:marBottom w:val="60"/>
          <w:divBdr>
            <w:top w:val="none" w:sz="0" w:space="0" w:color="auto"/>
            <w:left w:val="none" w:sz="0" w:space="0" w:color="auto"/>
            <w:bottom w:val="none" w:sz="0" w:space="0" w:color="auto"/>
            <w:right w:val="none" w:sz="0" w:space="0" w:color="auto"/>
          </w:divBdr>
          <w:divsChild>
            <w:div w:id="17618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1095">
      <w:bodyDiv w:val="1"/>
      <w:marLeft w:val="0"/>
      <w:marRight w:val="0"/>
      <w:marTop w:val="0"/>
      <w:marBottom w:val="0"/>
      <w:divBdr>
        <w:top w:val="none" w:sz="0" w:space="0" w:color="auto"/>
        <w:left w:val="none" w:sz="0" w:space="0" w:color="auto"/>
        <w:bottom w:val="none" w:sz="0" w:space="0" w:color="auto"/>
        <w:right w:val="none" w:sz="0" w:space="0" w:color="auto"/>
      </w:divBdr>
      <w:divsChild>
        <w:div w:id="262307344">
          <w:marLeft w:val="-225"/>
          <w:marRight w:val="-225"/>
          <w:marTop w:val="60"/>
          <w:marBottom w:val="60"/>
          <w:divBdr>
            <w:top w:val="none" w:sz="0" w:space="0" w:color="auto"/>
            <w:left w:val="none" w:sz="0" w:space="0" w:color="auto"/>
            <w:bottom w:val="none" w:sz="0" w:space="0" w:color="auto"/>
            <w:right w:val="none" w:sz="0" w:space="0" w:color="auto"/>
          </w:divBdr>
          <w:divsChild>
            <w:div w:id="20273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 w:id="2125534596">
      <w:bodyDiv w:val="1"/>
      <w:marLeft w:val="0"/>
      <w:marRight w:val="0"/>
      <w:marTop w:val="0"/>
      <w:marBottom w:val="0"/>
      <w:divBdr>
        <w:top w:val="none" w:sz="0" w:space="0" w:color="auto"/>
        <w:left w:val="none" w:sz="0" w:space="0" w:color="auto"/>
        <w:bottom w:val="none" w:sz="0" w:space="0" w:color="auto"/>
        <w:right w:val="none" w:sz="0" w:space="0" w:color="auto"/>
      </w:divBdr>
      <w:divsChild>
        <w:div w:id="1547066266">
          <w:marLeft w:val="-225"/>
          <w:marRight w:val="-225"/>
          <w:marTop w:val="60"/>
          <w:marBottom w:val="60"/>
          <w:divBdr>
            <w:top w:val="none" w:sz="0" w:space="0" w:color="auto"/>
            <w:left w:val="none" w:sz="0" w:space="0" w:color="auto"/>
            <w:bottom w:val="none" w:sz="0" w:space="0" w:color="auto"/>
            <w:right w:val="none" w:sz="0" w:space="0" w:color="auto"/>
          </w:divBdr>
          <w:divsChild>
            <w:div w:id="7377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pe/pescad/doc/2018/2018peca30/2018peca30.html" TargetMode="External"/><Relationship Id="rId21" Type="http://schemas.openxmlformats.org/officeDocument/2006/relationships/hyperlink" Target="https://www.canlii.org/fr/ca/cfpi/doc/2017/2017cf207/2017cf207.html" TargetMode="External"/><Relationship Id="rId42" Type="http://schemas.openxmlformats.org/officeDocument/2006/relationships/hyperlink" Target="http://canlii.ca/t/hvzz2" TargetMode="External"/><Relationship Id="rId47" Type="http://schemas.openxmlformats.org/officeDocument/2006/relationships/hyperlink" Target="http://canlii.ca/t/gvcpl" TargetMode="External"/><Relationship Id="rId63" Type="http://schemas.openxmlformats.org/officeDocument/2006/relationships/hyperlink" Target="http://canlii.ca/t/h41cm" TargetMode="External"/><Relationship Id="rId68" Type="http://schemas.openxmlformats.org/officeDocument/2006/relationships/hyperlink" Target="https://www.canlii.org/en/ca/fca/doc/2018/2018fca223/2018fca223.html?autocompleteStr=2018%20FCA%20223&amp;autocompletePos=1" TargetMode="External"/><Relationship Id="rId84" Type="http://schemas.openxmlformats.org/officeDocument/2006/relationships/footer" Target="footer10.xml"/><Relationship Id="rId89" Type="http://schemas.openxmlformats.org/officeDocument/2006/relationships/header" Target="header11.xml"/><Relationship Id="rId7" Type="http://schemas.openxmlformats.org/officeDocument/2006/relationships/endnotes" Target="endnotes.xml"/><Relationship Id="rId71" Type="http://schemas.openxmlformats.org/officeDocument/2006/relationships/hyperlink" Target="https://www.canlii.org/en/bc/bcsc/doc/2017/2017bcsc99/2017bcsc99.html?autocompleteStr=2017%20BCSC%2099&amp;autocompletePos=1" TargetMode="External"/><Relationship Id="rId92"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canlii.org/en/ns/nssc/doc/2017/2017nssc298/2017nssc298.html?autocompleteStr=2017%20NSSC%20298&amp;autocompletePos=1" TargetMode="External"/><Relationship Id="rId11" Type="http://schemas.openxmlformats.org/officeDocument/2006/relationships/header" Target="header1.xml"/><Relationship Id="rId24" Type="http://schemas.openxmlformats.org/officeDocument/2006/relationships/hyperlink" Target="https://www.canlii.org/en/pe/pescad/doc/2018/2018peca30/2018peca30.html" TargetMode="External"/><Relationship Id="rId32" Type="http://schemas.openxmlformats.org/officeDocument/2006/relationships/hyperlink" Target="https://www.canlii.org/en/sk/skca/doc/2018/2018skca104/2018skca104.html" TargetMode="External"/><Relationship Id="rId37" Type="http://schemas.openxmlformats.org/officeDocument/2006/relationships/hyperlink" Target="http://c-doc.domain.scc-csc.gc.ca/L25/01/05/%3chttp:/canlii.ca/t/hq88l%3e," TargetMode="External"/><Relationship Id="rId40" Type="http://schemas.openxmlformats.org/officeDocument/2006/relationships/hyperlink" Target="https://www.canlii.org/en/ca/scc/doc/2017/2017scc36/2017scc36.html" TargetMode="External"/><Relationship Id="rId45" Type="http://schemas.openxmlformats.org/officeDocument/2006/relationships/hyperlink" Target="https://www.canlii.org/fr/ca/tpfd/doc/2017/2017tpfd3/2017tpfd3.html" TargetMode="External"/><Relationship Id="rId53" Type="http://schemas.openxmlformats.org/officeDocument/2006/relationships/hyperlink" Target="https://www.canlii.org/en/on/onsc/doc/2011/2011onsc5587/2011onsc5587.html" TargetMode="External"/><Relationship Id="rId58" Type="http://schemas.openxmlformats.org/officeDocument/2006/relationships/hyperlink" Target="http://canlii.ca/t/hvk2c" TargetMode="External"/><Relationship Id="rId66" Type="http://schemas.openxmlformats.org/officeDocument/2006/relationships/hyperlink" Target="https://www.canlii.org/en/ca/fca/doc/2018/2018fca223/2018fca223.html?autocompleteStr=2018%20FCA%20223&amp;autocompletePos=1" TargetMode="External"/><Relationship Id="rId74" Type="http://schemas.openxmlformats.org/officeDocument/2006/relationships/header" Target="header6.xml"/><Relationship Id="rId79" Type="http://schemas.openxmlformats.org/officeDocument/2006/relationships/header" Target="header8.xml"/><Relationship Id="rId87" Type="http://schemas.openxmlformats.org/officeDocument/2006/relationships/hyperlink" Target="https://www.scc-csc.ca/case-dossier/info/sum-som-eng.aspx?cas=38188" TargetMode="External"/><Relationship Id="rId102" Type="http://schemas.openxmlformats.org/officeDocument/2006/relationships/footer" Target="footer16.xml"/><Relationship Id="rId5" Type="http://schemas.openxmlformats.org/officeDocument/2006/relationships/webSettings" Target="webSettings.xml"/><Relationship Id="rId61" Type="http://schemas.openxmlformats.org/officeDocument/2006/relationships/hyperlink" Target="http://canlii.ca/t/h41cm" TargetMode="External"/><Relationship Id="rId82" Type="http://schemas.openxmlformats.org/officeDocument/2006/relationships/footer" Target="footer9.xml"/><Relationship Id="rId90" Type="http://schemas.openxmlformats.org/officeDocument/2006/relationships/header" Target="header12.xml"/><Relationship Id="rId95" Type="http://schemas.openxmlformats.org/officeDocument/2006/relationships/hyperlink" Target="https://scc-csc.lexum.com/scc-csc/scc-csc/en/item/17760/index.do" TargetMode="External"/><Relationship Id="rId19" Type="http://schemas.openxmlformats.org/officeDocument/2006/relationships/hyperlink" Target="https://www.canlii.org/en/ca/fct/doc/2017/2017fc207/2017fc207.html" TargetMode="External"/><Relationship Id="rId14" Type="http://schemas.openxmlformats.org/officeDocument/2006/relationships/footer" Target="footer2.xml"/><Relationship Id="rId22" Type="http://schemas.openxmlformats.org/officeDocument/2006/relationships/hyperlink" Target="https://www.canlii.org/fr/ca/caf/doc/2018/2018caf172/2018caf172.html" TargetMode="External"/><Relationship Id="rId27" Type="http://schemas.openxmlformats.org/officeDocument/2006/relationships/hyperlink" Target="https://www.canlii.org/en/ns/nssc/doc/2017/2017nssc298/2017nssc298.html?autocompleteStr=2017%20NSSC%20298&amp;autocompletePos=1" TargetMode="External"/><Relationship Id="rId30" Type="http://schemas.openxmlformats.org/officeDocument/2006/relationships/hyperlink" Target="https://www.canlii.org/en/ns/nsca/doc/2018/2018nsca89/2018nsca89.html?resultIndex=1" TargetMode="External"/><Relationship Id="rId35" Type="http://schemas.openxmlformats.org/officeDocument/2006/relationships/hyperlink" Target="https://www.canlii.org/en/ca/laws/stat/rsc-1985-c-t-13/latest/rsc-1985-c-t-13.html" TargetMode="External"/><Relationship Id="rId43" Type="http://schemas.openxmlformats.org/officeDocument/2006/relationships/hyperlink" Target="https://www.canlii.org/en/ca/psdpt/doc/2017/2017psdpt3/2017psdpt3.html?autocompleteStr=2017%20PSDPT%203&amp;autocompletePos=1" TargetMode="External"/><Relationship Id="rId48" Type="http://schemas.openxmlformats.org/officeDocument/2006/relationships/hyperlink" Target="http://canlii.ca/t/hwp41" TargetMode="External"/><Relationship Id="rId56" Type="http://schemas.openxmlformats.org/officeDocument/2006/relationships/hyperlink" Target="http://canlii.ca/t/hvk2c" TargetMode="External"/><Relationship Id="rId64" Type="http://schemas.openxmlformats.org/officeDocument/2006/relationships/hyperlink" Target="http://canlii.ca/t/hwc5j" TargetMode="External"/><Relationship Id="rId69" Type="http://schemas.openxmlformats.org/officeDocument/2006/relationships/hyperlink" Target="https://www.canlii.org/en/bc/bcsc/doc/2017/2017bcsc99/2017bcsc99.html?autocompleteStr=2017%20BCSC%2099&amp;autocompletePos=1" TargetMode="External"/><Relationship Id="rId77" Type="http://schemas.openxmlformats.org/officeDocument/2006/relationships/header" Target="header7.xml"/><Relationship Id="rId100" Type="http://schemas.openxmlformats.org/officeDocument/2006/relationships/footer" Target="footer15.xml"/><Relationship Id="rId105"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s://www.canlii.org/en/on/onsc/doc/2011/2011onsc5587/2011onsc5587.html" TargetMode="External"/><Relationship Id="rId72" Type="http://schemas.openxmlformats.org/officeDocument/2006/relationships/hyperlink" Target="https://www.canlii.org/en/bc/bcca/doc/2018/2018bcca459/2018bcca459.html?searchUrlHash=AAAAAAAAAAEAFTIwMTcgQkNTQyA5OSAoQ2FuTElJKQAAAAEACy8yMDE3YmNzYzk5AQ&amp;resultIndex=1" TargetMode="External"/><Relationship Id="rId80" Type="http://schemas.openxmlformats.org/officeDocument/2006/relationships/header" Target="header9.xml"/><Relationship Id="rId85" Type="http://schemas.openxmlformats.org/officeDocument/2006/relationships/hyperlink" Target="https://www.scc-csc.ca/case-dossier/info/sum-som-eng.aspx?cas=38059" TargetMode="External"/><Relationship Id="rId93" Type="http://schemas.openxmlformats.org/officeDocument/2006/relationships/header" Target="header13.xml"/><Relationship Id="rId98" Type="http://schemas.openxmlformats.org/officeDocument/2006/relationships/header" Target="header15.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en/pe/pesctd/doc/2018/2018pesc12/2018pesc12.html" TargetMode="External"/><Relationship Id="rId33" Type="http://schemas.openxmlformats.org/officeDocument/2006/relationships/hyperlink" Target="https://www.canlii.org/en/sk/skqb/doc/2017/2017skqb95/2017skqb95.html" TargetMode="External"/><Relationship Id="rId38" Type="http://schemas.openxmlformats.org/officeDocument/2006/relationships/hyperlink" Target="http://canlii.ca/t/hvzz2" TargetMode="External"/><Relationship Id="rId46" Type="http://schemas.openxmlformats.org/officeDocument/2006/relationships/hyperlink" Target="https://www.canlii.org/fr/ca/caf/doc/2018/2018caf210/2018caf210.html" TargetMode="External"/><Relationship Id="rId59" Type="http://schemas.openxmlformats.org/officeDocument/2006/relationships/hyperlink" Target="https://www.canlii.org/en/ab/abca/doc/2018/2018abca412/2018abca412.html?searchUrlHash=AAAAAQANMjAxOCBBQkNBIDQxMgAAAAAB&amp;resultIndex=1" TargetMode="External"/><Relationship Id="rId67" Type="http://schemas.openxmlformats.org/officeDocument/2006/relationships/hyperlink" Target="https://www.canlii.org/fr/ca/cfpi/doc/2017/2017cf557/2017cf557.html" TargetMode="External"/><Relationship Id="rId103" Type="http://schemas.openxmlformats.org/officeDocument/2006/relationships/header" Target="header17.xml"/><Relationship Id="rId20" Type="http://schemas.openxmlformats.org/officeDocument/2006/relationships/hyperlink" Target="https://www.canlii.org/en/ca/fca/doc/2018/2018fca172/2018fca172.html" TargetMode="External"/><Relationship Id="rId41" Type="http://schemas.openxmlformats.org/officeDocument/2006/relationships/hyperlink" Target="http://c-doc.domain.scc-csc.gc.ca/L25/01/05/%3chttp:/canlii.ca/t/hq88l%3e," TargetMode="External"/><Relationship Id="rId54" Type="http://schemas.openxmlformats.org/officeDocument/2006/relationships/hyperlink" Target="https://www.canlii.org/en/on/onca/doc/2018/2018onca427/2018onca427.html?searchUrlHash=AAAAAQANMjAxOCBPTkNBIDQyNwAAAAAB&amp;resultIndex=1" TargetMode="External"/><Relationship Id="rId62" Type="http://schemas.openxmlformats.org/officeDocument/2006/relationships/hyperlink" Target="http://canlii.ca/t/hwc5j" TargetMode="External"/><Relationship Id="rId70" Type="http://schemas.openxmlformats.org/officeDocument/2006/relationships/hyperlink" Target="https://www.canlii.org/en/bc/bcca/doc/2018/2018bcca459/2018bcca459.html?searchUrlHash=AAAAAAAAAAEAFTIwMTcgQkNTQyA5OSAoQ2FuTElJKQAAAAEACy8yMDE3YmNzYzk5AQ&amp;resultIndex=1" TargetMode="External"/><Relationship Id="rId75" Type="http://schemas.openxmlformats.org/officeDocument/2006/relationships/footer" Target="footer5.xml"/><Relationship Id="rId83" Type="http://schemas.openxmlformats.org/officeDocument/2006/relationships/header" Target="header10.xml"/><Relationship Id="rId88" Type="http://schemas.openxmlformats.org/officeDocument/2006/relationships/hyperlink" Target="https://www.scc-csc.ca/case-dossier/info/sum-som-fra.aspx?cas=38114" TargetMode="External"/><Relationship Id="rId91" Type="http://schemas.openxmlformats.org/officeDocument/2006/relationships/footer" Target="footer11.xml"/><Relationship Id="rId96" Type="http://schemas.openxmlformats.org/officeDocument/2006/relationships/hyperlink" Target="https://scc-csc.lexum.com/scc-csc/scc-csc/fr/item/17760/index.d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canlii.org/en/pe/pesctd/doc/2018/2018pesc12/2018pesc12.html" TargetMode="External"/><Relationship Id="rId28" Type="http://schemas.openxmlformats.org/officeDocument/2006/relationships/hyperlink" Target="https://www.canlii.org/en/ns/nsca/doc/2018/2018nsca89/2018nsca89.html?resultIndex=1" TargetMode="External"/><Relationship Id="rId36" Type="http://schemas.openxmlformats.org/officeDocument/2006/relationships/hyperlink" Target="https://www.canlii.org/en/ca/scc/doc/2017/2017scc36/2017scc36.html" TargetMode="External"/><Relationship Id="rId49" Type="http://schemas.openxmlformats.org/officeDocument/2006/relationships/hyperlink" Target="http://canlii.ca/t/gvcpl" TargetMode="External"/><Relationship Id="rId57" Type="http://schemas.openxmlformats.org/officeDocument/2006/relationships/hyperlink" Target="http://canlii.ca/t/h6ftp" TargetMode="External"/><Relationship Id="rId106" Type="http://schemas.openxmlformats.org/officeDocument/2006/relationships/theme" Target="theme/theme1.xml"/><Relationship Id="rId10" Type="http://schemas.openxmlformats.org/officeDocument/2006/relationships/hyperlink" Target="http://www.scc-csc.ca" TargetMode="External"/><Relationship Id="rId31" Type="http://schemas.openxmlformats.org/officeDocument/2006/relationships/hyperlink" Target="https://www.canlii.org/en/sk/skqb/doc/2017/2017skqb95/2017skqb95.html" TargetMode="External"/><Relationship Id="rId44" Type="http://schemas.openxmlformats.org/officeDocument/2006/relationships/hyperlink" Target="https://www.canlii.org/en/ca/fca/doc/2018/2018fca210/2018fca210.html?autocompleteStr=a-329-17&amp;autocompletePos=1" TargetMode="External"/><Relationship Id="rId52" Type="http://schemas.openxmlformats.org/officeDocument/2006/relationships/hyperlink" Target="https://www.canlii.org/en/on/onca/doc/2018/2018onca427/2018onca427.html?searchUrlHash=AAAAAQANMjAxOCBPTkNBIDQyNwAAAAAB&amp;resultIndex=1" TargetMode="External"/><Relationship Id="rId60" Type="http://schemas.openxmlformats.org/officeDocument/2006/relationships/hyperlink" Target="https://www.canlii.org/en/ab/abca/doc/2018/2018abca412/2018abca412.html?searchUrlHash=AAAAAQANMjAxOCBBQkNBIDQxMgAAAAAB&amp;resultIndex=1" TargetMode="External"/><Relationship Id="rId65" Type="http://schemas.openxmlformats.org/officeDocument/2006/relationships/hyperlink" Target="https://www.canlii.org/en/ca/fct/doc/2017/2017fc557/2017fc557.html?autocompleteStr=2017%20FC%20557&amp;autocompletePos=1" TargetMode="External"/><Relationship Id="rId73" Type="http://schemas.openxmlformats.org/officeDocument/2006/relationships/header" Target="header5.xml"/><Relationship Id="rId78" Type="http://schemas.openxmlformats.org/officeDocument/2006/relationships/footer" Target="footer7.xml"/><Relationship Id="rId81" Type="http://schemas.openxmlformats.org/officeDocument/2006/relationships/footer" Target="footer8.xml"/><Relationship Id="rId86" Type="http://schemas.openxmlformats.org/officeDocument/2006/relationships/hyperlink" Target="https://www.scc-csc.ca/case-dossier/info/sum-som-eng.aspx?cas=38051" TargetMode="External"/><Relationship Id="rId94" Type="http://schemas.openxmlformats.org/officeDocument/2006/relationships/footer" Target="footer13.xml"/><Relationship Id="rId99" Type="http://schemas.openxmlformats.org/officeDocument/2006/relationships/footer" Target="footer14.xml"/><Relationship Id="rId10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yperlink" Target="https://www.canlii.org/en/ca/laws/stat/rsc-1985-c-t-13/latest/rsc-1985-c-t-13.html" TargetMode="External"/><Relationship Id="rId34" Type="http://schemas.openxmlformats.org/officeDocument/2006/relationships/hyperlink" Target="https://www.canlii.org/en/sk/skca/doc/2018/2018skca104/2018skca104.html" TargetMode="External"/><Relationship Id="rId50" Type="http://schemas.openxmlformats.org/officeDocument/2006/relationships/hyperlink" Target="http://canlii.ca/t/hwp41" TargetMode="External"/><Relationship Id="rId55" Type="http://schemas.openxmlformats.org/officeDocument/2006/relationships/hyperlink" Target="http://canlii.ca/t/h6ftp" TargetMode="External"/><Relationship Id="rId76" Type="http://schemas.openxmlformats.org/officeDocument/2006/relationships/footer" Target="footer6.xml"/><Relationship Id="rId97" Type="http://schemas.openxmlformats.org/officeDocument/2006/relationships/header" Target="header14.xml"/><Relationship Id="rId104" Type="http://schemas.openxmlformats.org/officeDocument/2006/relationships/footer" Target="foot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ttierj\AppData\Roaming\Microsoft\Templates\Bulletin\Bulletin%20of%20Proceedings%20-%20Updated%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35E5C-9A0C-4547-A3FE-932A8853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2019.dotx</Template>
  <TotalTime>0</TotalTime>
  <Pages>36</Pages>
  <Words>13580</Words>
  <Characters>77407</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2019-05-17T19:38:00Z</dcterms:created>
  <dcterms:modified xsi:type="dcterms:W3CDTF">2019-05-17T19:39:00Z</dcterms:modified>
</cp:coreProperties>
</file>