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956D0A" w:rsidTr="00F138C1">
        <w:tc>
          <w:tcPr>
            <w:tcW w:w="9648" w:type="dxa"/>
            <w:gridSpan w:val="3"/>
          </w:tcPr>
          <w:p w:rsidR="00F138C1" w:rsidRPr="00956D0A" w:rsidRDefault="00F138C1" w:rsidP="00F138C1">
            <w:pPr>
              <w:tabs>
                <w:tab w:val="left" w:pos="6075"/>
              </w:tabs>
              <w:jc w:val="center"/>
              <w:rPr>
                <w:b/>
                <w:sz w:val="32"/>
                <w:szCs w:val="32"/>
                <w:lang w:val="fr-CA"/>
              </w:rPr>
            </w:pPr>
            <w:r w:rsidRPr="00956D0A">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956D0A" w:rsidTr="00F138C1">
        <w:tc>
          <w:tcPr>
            <w:tcW w:w="4599" w:type="dxa"/>
            <w:tcMar>
              <w:top w:w="284" w:type="dxa"/>
            </w:tcMar>
          </w:tcPr>
          <w:p w:rsidR="00F138C1" w:rsidRPr="00956D0A" w:rsidRDefault="00F138C1" w:rsidP="00F138C1">
            <w:pPr>
              <w:tabs>
                <w:tab w:val="left" w:pos="6075"/>
              </w:tabs>
              <w:jc w:val="center"/>
              <w:rPr>
                <w:b/>
                <w:sz w:val="32"/>
                <w:szCs w:val="32"/>
              </w:rPr>
            </w:pPr>
            <w:r w:rsidRPr="00956D0A">
              <w:rPr>
                <w:b/>
                <w:sz w:val="32"/>
                <w:szCs w:val="32"/>
              </w:rPr>
              <w:t>SUPREME COURT OF CANADA</w:t>
            </w:r>
          </w:p>
        </w:tc>
        <w:tc>
          <w:tcPr>
            <w:tcW w:w="483" w:type="dxa"/>
          </w:tcPr>
          <w:p w:rsidR="00F138C1" w:rsidRPr="00956D0A" w:rsidRDefault="00F138C1" w:rsidP="00F138C1">
            <w:pPr>
              <w:tabs>
                <w:tab w:val="left" w:pos="6075"/>
              </w:tabs>
              <w:jc w:val="center"/>
              <w:rPr>
                <w:sz w:val="32"/>
                <w:szCs w:val="32"/>
              </w:rPr>
            </w:pPr>
          </w:p>
        </w:tc>
        <w:tc>
          <w:tcPr>
            <w:tcW w:w="4566" w:type="dxa"/>
            <w:tcMar>
              <w:top w:w="284" w:type="dxa"/>
            </w:tcMar>
          </w:tcPr>
          <w:p w:rsidR="00F138C1" w:rsidRPr="00956D0A" w:rsidRDefault="00F138C1" w:rsidP="00F138C1">
            <w:pPr>
              <w:tabs>
                <w:tab w:val="left" w:pos="6075"/>
              </w:tabs>
              <w:jc w:val="center"/>
              <w:rPr>
                <w:b/>
                <w:sz w:val="32"/>
                <w:szCs w:val="32"/>
                <w:lang w:val="fr-CA"/>
              </w:rPr>
            </w:pPr>
            <w:r w:rsidRPr="00956D0A">
              <w:rPr>
                <w:b/>
                <w:sz w:val="32"/>
                <w:szCs w:val="32"/>
                <w:lang w:val="fr-CA"/>
              </w:rPr>
              <w:t>COUR SUPRÊME DU CANADA</w:t>
            </w:r>
          </w:p>
        </w:tc>
      </w:tr>
      <w:tr w:rsidR="00F138C1" w:rsidRPr="00956D0A" w:rsidTr="00F138C1">
        <w:tc>
          <w:tcPr>
            <w:tcW w:w="4599" w:type="dxa"/>
            <w:tcMar>
              <w:top w:w="567" w:type="dxa"/>
            </w:tcMar>
          </w:tcPr>
          <w:p w:rsidR="00F138C1" w:rsidRPr="00956D0A" w:rsidRDefault="00F138C1" w:rsidP="00F138C1">
            <w:pPr>
              <w:tabs>
                <w:tab w:val="left" w:pos="6075"/>
              </w:tabs>
              <w:jc w:val="center"/>
              <w:rPr>
                <w:sz w:val="28"/>
                <w:szCs w:val="28"/>
              </w:rPr>
            </w:pPr>
            <w:r w:rsidRPr="00956D0A">
              <w:rPr>
                <w:sz w:val="28"/>
                <w:szCs w:val="28"/>
              </w:rPr>
              <w:t>BULLETIN OF</w:t>
            </w:r>
            <w:r w:rsidRPr="00956D0A">
              <w:rPr>
                <w:sz w:val="28"/>
                <w:szCs w:val="28"/>
              </w:rPr>
              <w:br/>
              <w:t xml:space="preserve"> PROCEEDINGS</w:t>
            </w:r>
          </w:p>
        </w:tc>
        <w:tc>
          <w:tcPr>
            <w:tcW w:w="483" w:type="dxa"/>
          </w:tcPr>
          <w:p w:rsidR="00F138C1" w:rsidRPr="00956D0A" w:rsidRDefault="00F138C1" w:rsidP="00F138C1">
            <w:pPr>
              <w:tabs>
                <w:tab w:val="left" w:pos="6075"/>
              </w:tabs>
            </w:pPr>
          </w:p>
        </w:tc>
        <w:tc>
          <w:tcPr>
            <w:tcW w:w="4566" w:type="dxa"/>
            <w:tcMar>
              <w:top w:w="567" w:type="dxa"/>
            </w:tcMar>
          </w:tcPr>
          <w:p w:rsidR="00F138C1" w:rsidRPr="00956D0A" w:rsidRDefault="00F138C1" w:rsidP="00F138C1">
            <w:pPr>
              <w:tabs>
                <w:tab w:val="left" w:pos="6075"/>
              </w:tabs>
              <w:jc w:val="center"/>
              <w:rPr>
                <w:sz w:val="28"/>
                <w:szCs w:val="28"/>
                <w:lang w:val="fr-CA"/>
              </w:rPr>
            </w:pPr>
            <w:r w:rsidRPr="00956D0A">
              <w:rPr>
                <w:sz w:val="28"/>
                <w:szCs w:val="28"/>
                <w:lang w:val="fr-CA"/>
              </w:rPr>
              <w:t>BULLETIN DES</w:t>
            </w:r>
            <w:r w:rsidRPr="00956D0A">
              <w:rPr>
                <w:sz w:val="28"/>
                <w:szCs w:val="28"/>
                <w:lang w:val="fr-CA"/>
              </w:rPr>
              <w:br/>
              <w:t xml:space="preserve"> PROCÉDURES</w:t>
            </w:r>
          </w:p>
        </w:tc>
      </w:tr>
      <w:tr w:rsidR="00F138C1" w:rsidRPr="00937000" w:rsidTr="00F138C1">
        <w:tc>
          <w:tcPr>
            <w:tcW w:w="4599" w:type="dxa"/>
            <w:tcMar>
              <w:top w:w="567" w:type="dxa"/>
            </w:tcMar>
          </w:tcPr>
          <w:p w:rsidR="00F138C1" w:rsidRPr="00956D0A" w:rsidRDefault="00F138C1" w:rsidP="00F138C1">
            <w:pPr>
              <w:tabs>
                <w:tab w:val="left" w:pos="6075"/>
              </w:tabs>
              <w:jc w:val="both"/>
              <w:rPr>
                <w:rFonts w:ascii="Arial" w:hAnsi="Arial" w:cs="Arial"/>
                <w:i/>
                <w:sz w:val="20"/>
                <w:szCs w:val="20"/>
              </w:rPr>
            </w:pPr>
            <w:r w:rsidRPr="00956D0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956D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D0A" w:rsidRDefault="00F138C1" w:rsidP="00F138C1">
            <w:pPr>
              <w:tabs>
                <w:tab w:val="left" w:pos="6075"/>
              </w:tabs>
              <w:jc w:val="both"/>
              <w:rPr>
                <w:rFonts w:ascii="Arial" w:hAnsi="Arial" w:cs="Arial"/>
                <w:i/>
                <w:sz w:val="20"/>
                <w:szCs w:val="20"/>
                <w:lang w:val="fr-CA"/>
              </w:rPr>
            </w:pPr>
            <w:r w:rsidRPr="00956D0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37000" w:rsidTr="00F138C1">
        <w:tc>
          <w:tcPr>
            <w:tcW w:w="4599" w:type="dxa"/>
            <w:tcMar>
              <w:top w:w="567" w:type="dxa"/>
            </w:tcMar>
          </w:tcPr>
          <w:p w:rsidR="00F138C1" w:rsidRPr="00956D0A" w:rsidRDefault="00F138C1" w:rsidP="00F138C1">
            <w:pPr>
              <w:tabs>
                <w:tab w:val="left" w:pos="6075"/>
              </w:tabs>
              <w:jc w:val="both"/>
              <w:rPr>
                <w:rFonts w:ascii="Arial" w:hAnsi="Arial" w:cs="Arial"/>
                <w:i/>
                <w:sz w:val="20"/>
                <w:szCs w:val="20"/>
              </w:rPr>
            </w:pPr>
            <w:r w:rsidRPr="00956D0A">
              <w:rPr>
                <w:rFonts w:ascii="Arial" w:hAnsi="Arial" w:cs="Arial"/>
                <w:i/>
                <w:sz w:val="20"/>
                <w:szCs w:val="20"/>
              </w:rPr>
              <w:t>During Court sessions, the Bulletin is usually issued weekly.</w:t>
            </w:r>
          </w:p>
        </w:tc>
        <w:tc>
          <w:tcPr>
            <w:tcW w:w="483" w:type="dxa"/>
          </w:tcPr>
          <w:p w:rsidR="00F138C1" w:rsidRPr="00956D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D0A" w:rsidRDefault="00F138C1" w:rsidP="00F138C1">
            <w:pPr>
              <w:tabs>
                <w:tab w:val="left" w:pos="6075"/>
              </w:tabs>
              <w:jc w:val="both"/>
              <w:rPr>
                <w:rFonts w:ascii="Arial" w:hAnsi="Arial" w:cs="Arial"/>
                <w:i/>
                <w:sz w:val="20"/>
                <w:szCs w:val="20"/>
                <w:lang w:val="fr-CA"/>
              </w:rPr>
            </w:pPr>
            <w:r w:rsidRPr="00956D0A">
              <w:rPr>
                <w:rFonts w:ascii="Arial" w:hAnsi="Arial" w:cs="Arial"/>
                <w:i/>
                <w:sz w:val="20"/>
                <w:szCs w:val="20"/>
                <w:lang w:val="fr-CA"/>
              </w:rPr>
              <w:t>Le Bulletin paraît en principe toutes les semaines pendant les sessions de la Cour.</w:t>
            </w:r>
          </w:p>
        </w:tc>
      </w:tr>
      <w:tr w:rsidR="00F138C1" w:rsidRPr="00937000" w:rsidTr="00F138C1">
        <w:tc>
          <w:tcPr>
            <w:tcW w:w="4599" w:type="dxa"/>
            <w:tcMar>
              <w:top w:w="567" w:type="dxa"/>
            </w:tcMar>
          </w:tcPr>
          <w:p w:rsidR="00F138C1" w:rsidRPr="00956D0A" w:rsidRDefault="00F138C1" w:rsidP="00F138C1">
            <w:pPr>
              <w:tabs>
                <w:tab w:val="left" w:pos="6075"/>
              </w:tabs>
              <w:jc w:val="both"/>
              <w:rPr>
                <w:rFonts w:ascii="Arial" w:hAnsi="Arial" w:cs="Arial"/>
                <w:i/>
                <w:sz w:val="20"/>
                <w:szCs w:val="20"/>
              </w:rPr>
            </w:pPr>
            <w:r w:rsidRPr="00956D0A">
              <w:rPr>
                <w:rFonts w:ascii="Arial" w:hAnsi="Arial" w:cs="Arial"/>
                <w:i/>
                <w:sz w:val="20"/>
                <w:szCs w:val="20"/>
              </w:rPr>
              <w:fldChar w:fldCharType="begin"/>
            </w:r>
            <w:r w:rsidRPr="00956D0A">
              <w:rPr>
                <w:rFonts w:ascii="Arial" w:hAnsi="Arial" w:cs="Arial"/>
                <w:i/>
                <w:sz w:val="20"/>
                <w:szCs w:val="20"/>
              </w:rPr>
              <w:instrText xml:space="preserve"> SEQ CHAPTER \h \r 1</w:instrText>
            </w:r>
            <w:r w:rsidRPr="00956D0A">
              <w:rPr>
                <w:rFonts w:ascii="Arial" w:hAnsi="Arial" w:cs="Arial"/>
                <w:i/>
                <w:sz w:val="20"/>
                <w:szCs w:val="20"/>
              </w:rPr>
              <w:fldChar w:fldCharType="end"/>
            </w:r>
            <w:r w:rsidRPr="00956D0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956D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D0A" w:rsidRDefault="00F138C1" w:rsidP="00F138C1">
            <w:pPr>
              <w:tabs>
                <w:tab w:val="left" w:pos="6075"/>
              </w:tabs>
              <w:jc w:val="both"/>
              <w:rPr>
                <w:rFonts w:ascii="Arial" w:hAnsi="Arial" w:cs="Arial"/>
                <w:i/>
                <w:sz w:val="20"/>
                <w:szCs w:val="20"/>
                <w:lang w:val="fr-CA"/>
              </w:rPr>
            </w:pPr>
            <w:r w:rsidRPr="00956D0A">
              <w:rPr>
                <w:rFonts w:ascii="Arial" w:hAnsi="Arial" w:cs="Arial"/>
                <w:i/>
                <w:sz w:val="20"/>
                <w:szCs w:val="20"/>
                <w:lang w:val="fr-CA"/>
              </w:rPr>
              <w:fldChar w:fldCharType="begin"/>
            </w:r>
            <w:r w:rsidRPr="00956D0A">
              <w:rPr>
                <w:rFonts w:ascii="Arial" w:hAnsi="Arial" w:cs="Arial"/>
                <w:i/>
                <w:sz w:val="20"/>
                <w:szCs w:val="20"/>
                <w:lang w:val="fr-CA"/>
              </w:rPr>
              <w:instrText xml:space="preserve"> SEQ CHAPTER \h \r 1</w:instrText>
            </w:r>
            <w:r w:rsidRPr="00956D0A">
              <w:rPr>
                <w:rFonts w:ascii="Arial" w:hAnsi="Arial" w:cs="Arial"/>
                <w:i/>
                <w:sz w:val="20"/>
                <w:szCs w:val="20"/>
                <w:lang w:val="fr-CA"/>
              </w:rPr>
              <w:fldChar w:fldCharType="end"/>
            </w:r>
            <w:r w:rsidRPr="00956D0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37000" w:rsidTr="00F138C1">
        <w:tc>
          <w:tcPr>
            <w:tcW w:w="4599" w:type="dxa"/>
            <w:tcMar>
              <w:top w:w="567" w:type="dxa"/>
            </w:tcMar>
          </w:tcPr>
          <w:p w:rsidR="00F138C1" w:rsidRPr="00956D0A" w:rsidRDefault="00F138C1" w:rsidP="00F138C1">
            <w:pPr>
              <w:tabs>
                <w:tab w:val="left" w:pos="6075"/>
              </w:tabs>
              <w:jc w:val="both"/>
              <w:rPr>
                <w:rFonts w:ascii="Arial" w:hAnsi="Arial" w:cs="Arial"/>
                <w:i/>
                <w:sz w:val="20"/>
                <w:szCs w:val="20"/>
              </w:rPr>
            </w:pPr>
            <w:r w:rsidRPr="00956D0A">
              <w:rPr>
                <w:rFonts w:ascii="Arial" w:hAnsi="Arial" w:cs="Arial"/>
                <w:i/>
                <w:sz w:val="20"/>
                <w:szCs w:val="20"/>
                <w:lang w:val="en-US"/>
              </w:rPr>
              <w:t>Please c</w:t>
            </w:r>
            <w:r w:rsidRPr="00956D0A">
              <w:rPr>
                <w:rFonts w:ascii="Arial" w:hAnsi="Arial" w:cs="Arial"/>
                <w:i/>
                <w:sz w:val="20"/>
                <w:szCs w:val="20"/>
              </w:rPr>
              <w:t xml:space="preserve">onsult the Supreme Court of Canada website at </w:t>
            </w:r>
            <w:hyperlink r:id="rId9" w:history="1">
              <w:r w:rsidRPr="00956D0A">
                <w:rPr>
                  <w:rStyle w:val="Hyperlink"/>
                  <w:rFonts w:ascii="Arial" w:hAnsi="Arial" w:cs="Arial"/>
                  <w:i/>
                  <w:sz w:val="20"/>
                  <w:szCs w:val="20"/>
                </w:rPr>
                <w:t>www.scc-csc.ca</w:t>
              </w:r>
            </w:hyperlink>
            <w:r w:rsidRPr="00956D0A">
              <w:rPr>
                <w:rFonts w:ascii="Arial" w:hAnsi="Arial" w:cs="Arial"/>
                <w:i/>
                <w:sz w:val="20"/>
                <w:szCs w:val="20"/>
              </w:rPr>
              <w:t xml:space="preserve"> for more information.</w:t>
            </w:r>
          </w:p>
        </w:tc>
        <w:tc>
          <w:tcPr>
            <w:tcW w:w="483" w:type="dxa"/>
          </w:tcPr>
          <w:p w:rsidR="00F138C1" w:rsidRPr="00956D0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956D0A" w:rsidRDefault="00F138C1" w:rsidP="00F138C1">
            <w:pPr>
              <w:tabs>
                <w:tab w:val="left" w:pos="6075"/>
              </w:tabs>
              <w:jc w:val="both"/>
              <w:rPr>
                <w:rFonts w:ascii="Arial" w:hAnsi="Arial" w:cs="Arial"/>
                <w:i/>
                <w:sz w:val="20"/>
                <w:szCs w:val="20"/>
                <w:lang w:val="fr-CA"/>
              </w:rPr>
            </w:pPr>
            <w:r w:rsidRPr="00956D0A">
              <w:rPr>
                <w:rFonts w:ascii="Arial" w:hAnsi="Arial" w:cs="Arial"/>
                <w:i/>
                <w:sz w:val="20"/>
                <w:szCs w:val="20"/>
                <w:lang w:val="fr-CA"/>
              </w:rPr>
              <w:t xml:space="preserve">Pour de plus amples informations, veuillez consulter le site Web de la Cour suprême du Canada à l’adresse suivante : </w:t>
            </w:r>
            <w:hyperlink r:id="rId10" w:history="1">
              <w:r w:rsidRPr="00956D0A">
                <w:rPr>
                  <w:rStyle w:val="Hyperlink"/>
                  <w:rFonts w:ascii="Arial" w:hAnsi="Arial" w:cs="Arial"/>
                  <w:i/>
                  <w:sz w:val="20"/>
                  <w:szCs w:val="20"/>
                  <w:lang w:val="fr-CA"/>
                </w:rPr>
                <w:t>www.scc-csc.ca</w:t>
              </w:r>
            </w:hyperlink>
            <w:r w:rsidRPr="00956D0A">
              <w:rPr>
                <w:rFonts w:ascii="Arial" w:hAnsi="Arial" w:cs="Arial"/>
                <w:i/>
                <w:sz w:val="20"/>
                <w:szCs w:val="20"/>
                <w:lang w:val="fr-CA"/>
              </w:rPr>
              <w:t xml:space="preserve"> </w:t>
            </w:r>
          </w:p>
        </w:tc>
      </w:tr>
    </w:tbl>
    <w:p w:rsidR="00F138C1" w:rsidRPr="00956D0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956D0A" w:rsidTr="00F138C1">
        <w:tc>
          <w:tcPr>
            <w:tcW w:w="2250" w:type="pct"/>
            <w:tcBorders>
              <w:top w:val="single" w:sz="4" w:space="0" w:color="auto"/>
            </w:tcBorders>
            <w:tcMar>
              <w:top w:w="284" w:type="dxa"/>
              <w:bottom w:w="284" w:type="dxa"/>
            </w:tcMar>
          </w:tcPr>
          <w:p w:rsidR="00F138C1" w:rsidRPr="00956D0A" w:rsidRDefault="00704FB0" w:rsidP="00704FB0">
            <w:pPr>
              <w:tabs>
                <w:tab w:val="left" w:pos="6075"/>
              </w:tabs>
              <w:rPr>
                <w:rFonts w:ascii="Arial" w:hAnsi="Arial" w:cs="Arial"/>
                <w:i/>
                <w:sz w:val="20"/>
                <w:szCs w:val="20"/>
              </w:rPr>
            </w:pPr>
            <w:r w:rsidRPr="00956D0A">
              <w:rPr>
                <w:lang w:val="fr-CA"/>
              </w:rPr>
              <w:t>Febru</w:t>
            </w:r>
            <w:r w:rsidR="00F138C1" w:rsidRPr="00956D0A">
              <w:rPr>
                <w:lang w:val="fr-CA"/>
              </w:rPr>
              <w:t xml:space="preserve">ary </w:t>
            </w:r>
            <w:r w:rsidRPr="00956D0A">
              <w:rPr>
                <w:lang w:val="fr-CA"/>
              </w:rPr>
              <w:t>2</w:t>
            </w:r>
            <w:r w:rsidR="00F138C1" w:rsidRPr="00956D0A">
              <w:rPr>
                <w:lang w:val="fr-CA"/>
              </w:rPr>
              <w:t>1, 2020</w:t>
            </w:r>
          </w:p>
        </w:tc>
        <w:tc>
          <w:tcPr>
            <w:tcW w:w="500" w:type="pct"/>
            <w:tcBorders>
              <w:top w:val="single" w:sz="4" w:space="0" w:color="auto"/>
            </w:tcBorders>
            <w:tcMar>
              <w:top w:w="284" w:type="dxa"/>
              <w:bottom w:w="284" w:type="dxa"/>
            </w:tcMar>
          </w:tcPr>
          <w:p w:rsidR="00F138C1" w:rsidRPr="00956D0A" w:rsidRDefault="00F138C1" w:rsidP="00CE1903">
            <w:pPr>
              <w:tabs>
                <w:tab w:val="left" w:pos="6075"/>
              </w:tabs>
              <w:jc w:val="center"/>
              <w:rPr>
                <w:rFonts w:ascii="Arial" w:hAnsi="Arial" w:cs="Arial"/>
                <w:i/>
                <w:sz w:val="20"/>
                <w:szCs w:val="20"/>
              </w:rPr>
            </w:pPr>
            <w:r w:rsidRPr="00956D0A">
              <w:rPr>
                <w:lang w:val="fr-CA"/>
              </w:rPr>
              <w:t xml:space="preserve">1 - </w:t>
            </w:r>
            <w:r w:rsidR="000E1B5E" w:rsidRPr="00956D0A">
              <w:rPr>
                <w:lang w:val="fr-CA"/>
              </w:rPr>
              <w:t>4</w:t>
            </w:r>
            <w:r w:rsidR="00CE1903">
              <w:rPr>
                <w:lang w:val="fr-CA"/>
              </w:rPr>
              <w:t>4</w:t>
            </w:r>
          </w:p>
        </w:tc>
        <w:tc>
          <w:tcPr>
            <w:tcW w:w="2250" w:type="pct"/>
            <w:tcBorders>
              <w:top w:val="single" w:sz="4" w:space="0" w:color="auto"/>
            </w:tcBorders>
            <w:tcMar>
              <w:top w:w="284" w:type="dxa"/>
              <w:bottom w:w="284" w:type="dxa"/>
            </w:tcMar>
          </w:tcPr>
          <w:p w:rsidR="00F138C1" w:rsidRPr="00956D0A" w:rsidRDefault="00F138C1" w:rsidP="00704FB0">
            <w:pPr>
              <w:tabs>
                <w:tab w:val="left" w:pos="6075"/>
              </w:tabs>
              <w:jc w:val="right"/>
              <w:rPr>
                <w:rFonts w:ascii="Arial" w:hAnsi="Arial" w:cs="Arial"/>
                <w:i/>
                <w:sz w:val="20"/>
                <w:szCs w:val="20"/>
                <w:lang w:val="fr-CA"/>
              </w:rPr>
            </w:pPr>
            <w:r w:rsidRPr="00956D0A">
              <w:rPr>
                <w:lang w:val="fr-CA"/>
              </w:rPr>
              <w:t xml:space="preserve">Le </w:t>
            </w:r>
            <w:r w:rsidR="00704FB0" w:rsidRPr="00956D0A">
              <w:rPr>
                <w:lang w:val="fr-CA"/>
              </w:rPr>
              <w:t>2</w:t>
            </w:r>
            <w:r w:rsidRPr="00956D0A">
              <w:rPr>
                <w:lang w:val="fr-CA"/>
              </w:rPr>
              <w:t xml:space="preserve">1 </w:t>
            </w:r>
            <w:r w:rsidR="00704FB0" w:rsidRPr="00956D0A">
              <w:rPr>
                <w:lang w:val="fr-CA"/>
              </w:rPr>
              <w:t>fé</w:t>
            </w:r>
            <w:r w:rsidRPr="00956D0A">
              <w:rPr>
                <w:lang w:val="fr-CA"/>
              </w:rPr>
              <w:t>v</w:t>
            </w:r>
            <w:r w:rsidR="00704FB0" w:rsidRPr="00956D0A">
              <w:rPr>
                <w:lang w:val="fr-CA"/>
              </w:rPr>
              <w:t>r</w:t>
            </w:r>
            <w:r w:rsidRPr="00956D0A">
              <w:rPr>
                <w:lang w:val="fr-CA"/>
              </w:rPr>
              <w:t>ier 2020</w:t>
            </w:r>
          </w:p>
        </w:tc>
      </w:tr>
      <w:tr w:rsidR="00F138C1" w:rsidRPr="00937000" w:rsidTr="00F138C1">
        <w:tc>
          <w:tcPr>
            <w:tcW w:w="2250" w:type="pct"/>
            <w:tcBorders>
              <w:bottom w:val="single" w:sz="4" w:space="0" w:color="auto"/>
            </w:tcBorders>
            <w:tcMar>
              <w:top w:w="284" w:type="dxa"/>
              <w:bottom w:w="284" w:type="dxa"/>
            </w:tcMar>
          </w:tcPr>
          <w:p w:rsidR="00F138C1" w:rsidRPr="00956D0A" w:rsidRDefault="00F138C1" w:rsidP="00F138C1">
            <w:pPr>
              <w:tabs>
                <w:tab w:val="left" w:pos="6075"/>
              </w:tabs>
              <w:rPr>
                <w:rFonts w:ascii="Arial" w:hAnsi="Arial" w:cs="Arial"/>
                <w:i/>
                <w:sz w:val="20"/>
                <w:szCs w:val="20"/>
              </w:rPr>
            </w:pPr>
            <w:r w:rsidRPr="00956D0A">
              <w:rPr>
                <w:sz w:val="18"/>
                <w:szCs w:val="18"/>
                <w:lang w:val="en-US"/>
              </w:rPr>
              <w:t>© Supreme Court of Canada (2020)</w:t>
            </w:r>
            <w:r w:rsidRPr="00956D0A">
              <w:rPr>
                <w:sz w:val="18"/>
                <w:szCs w:val="18"/>
                <w:lang w:val="en-US"/>
              </w:rPr>
              <w:br/>
              <w:t>ISSN 1918-8358 (Online)</w:t>
            </w:r>
          </w:p>
        </w:tc>
        <w:tc>
          <w:tcPr>
            <w:tcW w:w="500" w:type="pct"/>
            <w:tcBorders>
              <w:bottom w:val="single" w:sz="4" w:space="0" w:color="auto"/>
            </w:tcBorders>
            <w:tcMar>
              <w:top w:w="284" w:type="dxa"/>
              <w:bottom w:w="284" w:type="dxa"/>
            </w:tcMar>
          </w:tcPr>
          <w:p w:rsidR="00F138C1" w:rsidRPr="00956D0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956D0A" w:rsidRDefault="00F138C1" w:rsidP="00F138C1">
            <w:pPr>
              <w:tabs>
                <w:tab w:val="left" w:pos="6075"/>
              </w:tabs>
              <w:jc w:val="right"/>
              <w:rPr>
                <w:rFonts w:ascii="Arial" w:hAnsi="Arial" w:cs="Arial"/>
                <w:i/>
                <w:sz w:val="20"/>
                <w:szCs w:val="20"/>
                <w:lang w:val="fr-CA"/>
              </w:rPr>
            </w:pPr>
            <w:r w:rsidRPr="00956D0A">
              <w:rPr>
                <w:sz w:val="18"/>
                <w:szCs w:val="18"/>
                <w:lang w:val="fr-CA"/>
              </w:rPr>
              <w:t>© Cour suprême du Canada (2020</w:t>
            </w:r>
            <w:proofErr w:type="gramStart"/>
            <w:r w:rsidRPr="00956D0A">
              <w:rPr>
                <w:sz w:val="18"/>
                <w:szCs w:val="18"/>
                <w:lang w:val="fr-CA"/>
              </w:rPr>
              <w:t>)</w:t>
            </w:r>
            <w:proofErr w:type="gramEnd"/>
            <w:r w:rsidRPr="00956D0A">
              <w:rPr>
                <w:sz w:val="18"/>
                <w:szCs w:val="18"/>
                <w:lang w:val="fr-CA"/>
              </w:rPr>
              <w:br/>
              <w:t>ISSN 1918-8358 (En ligne)</w:t>
            </w:r>
          </w:p>
        </w:tc>
      </w:tr>
    </w:tbl>
    <w:p w:rsidR="0030050B" w:rsidRPr="00956D0A" w:rsidRDefault="0030050B" w:rsidP="00F138C1">
      <w:pPr>
        <w:tabs>
          <w:tab w:val="left" w:pos="6075"/>
        </w:tabs>
        <w:rPr>
          <w:lang w:val="fr-CA"/>
        </w:rPr>
      </w:pPr>
    </w:p>
    <w:p w:rsidR="00560DF1" w:rsidRPr="00956D0A" w:rsidRDefault="00560DF1" w:rsidP="0095096B">
      <w:pPr>
        <w:tabs>
          <w:tab w:val="right" w:pos="9360"/>
        </w:tabs>
        <w:rPr>
          <w:lang w:val="fr-CA"/>
        </w:rPr>
      </w:pPr>
    </w:p>
    <w:p w:rsidR="00F138C1" w:rsidRPr="00956D0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956D0A" w:rsidRDefault="00DC6B2E" w:rsidP="00693C38">
          <w:pPr>
            <w:pStyle w:val="Title"/>
            <w:jc w:val="center"/>
            <w:rPr>
              <w:rFonts w:ascii="Times New Roman" w:hAnsi="Times New Roman" w:cs="Times New Roman"/>
              <w:b/>
              <w:sz w:val="24"/>
              <w:szCs w:val="28"/>
              <w:lang w:val="fr-CA"/>
            </w:rPr>
          </w:pPr>
          <w:r w:rsidRPr="00956D0A">
            <w:rPr>
              <w:rFonts w:ascii="Times New Roman" w:hAnsi="Times New Roman" w:cs="Times New Roman"/>
              <w:b/>
              <w:sz w:val="24"/>
              <w:szCs w:val="28"/>
              <w:lang w:val="fr-CA"/>
            </w:rPr>
            <w:t>Contents</w:t>
          </w:r>
        </w:p>
        <w:p w:rsidR="00693C38" w:rsidRPr="00956D0A" w:rsidRDefault="00DC6B2E" w:rsidP="00693C38">
          <w:pPr>
            <w:jc w:val="center"/>
            <w:rPr>
              <w:b/>
              <w:szCs w:val="28"/>
              <w:lang w:val="fr-CA"/>
            </w:rPr>
          </w:pPr>
          <w:r w:rsidRPr="00956D0A">
            <w:rPr>
              <w:b/>
              <w:szCs w:val="28"/>
              <w:lang w:val="fr-CA"/>
            </w:rPr>
            <w:t>Table des matières</w:t>
          </w:r>
        </w:p>
        <w:p w:rsidR="00693C38" w:rsidRPr="00956D0A" w:rsidRDefault="00693C38" w:rsidP="00693C38">
          <w:pPr>
            <w:rPr>
              <w:lang w:val="fr-CA"/>
            </w:rPr>
          </w:pPr>
        </w:p>
        <w:p w:rsidR="00AA6156" w:rsidRPr="00956D0A" w:rsidRDefault="00DC6B2E">
          <w:pPr>
            <w:pStyle w:val="TOC1"/>
            <w:tabs>
              <w:tab w:val="right" w:leader="dot" w:pos="9638"/>
            </w:tabs>
            <w:rPr>
              <w:rFonts w:asciiTheme="minorHAnsi" w:eastAsiaTheme="minorEastAsia" w:hAnsiTheme="minorHAnsi"/>
              <w:noProof/>
              <w:sz w:val="22"/>
              <w:lang w:val="en-US"/>
            </w:rPr>
          </w:pPr>
          <w:r w:rsidRPr="00956D0A">
            <w:rPr>
              <w:b/>
              <w:bCs/>
              <w:noProof/>
            </w:rPr>
            <w:fldChar w:fldCharType="begin"/>
          </w:r>
          <w:r w:rsidRPr="00956D0A">
            <w:rPr>
              <w:b/>
              <w:bCs/>
              <w:noProof/>
            </w:rPr>
            <w:instrText xml:space="preserve"> TOC \o "1-3" \h \z \u </w:instrText>
          </w:r>
          <w:r w:rsidRPr="00956D0A">
            <w:rPr>
              <w:b/>
              <w:bCs/>
              <w:noProof/>
            </w:rPr>
            <w:fldChar w:fldCharType="separate"/>
          </w:r>
          <w:hyperlink w:anchor="_Toc32998865" w:history="1">
            <w:r w:rsidR="00AA6156" w:rsidRPr="00956D0A">
              <w:rPr>
                <w:rStyle w:val="Hyperlink"/>
                <w:noProof/>
                <w:lang w:val="fr-CA"/>
              </w:rPr>
              <w:t>Applications for leave to appeal filed /  Demandes d’autorisation d’appel déposées</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_Toc32998865 \h </w:instrText>
            </w:r>
            <w:r w:rsidR="00AA6156" w:rsidRPr="00956D0A">
              <w:rPr>
                <w:noProof/>
                <w:webHidden/>
              </w:rPr>
            </w:r>
            <w:r w:rsidR="00AA6156" w:rsidRPr="00956D0A">
              <w:rPr>
                <w:noProof/>
                <w:webHidden/>
              </w:rPr>
              <w:fldChar w:fldCharType="separate"/>
            </w:r>
            <w:r w:rsidR="00CE1903">
              <w:rPr>
                <w:noProof/>
                <w:webHidden/>
              </w:rPr>
              <w:t>1</w:t>
            </w:r>
            <w:r w:rsidR="00AA6156" w:rsidRPr="00956D0A">
              <w:rPr>
                <w:noProof/>
                <w:webHidden/>
              </w:rPr>
              <w:fldChar w:fldCharType="end"/>
            </w:r>
          </w:hyperlink>
        </w:p>
        <w:p w:rsidR="00AA6156" w:rsidRPr="00956D0A" w:rsidRDefault="00937000">
          <w:pPr>
            <w:pStyle w:val="TOC1"/>
            <w:tabs>
              <w:tab w:val="right" w:leader="dot" w:pos="9638"/>
            </w:tabs>
            <w:rPr>
              <w:rFonts w:asciiTheme="minorHAnsi" w:eastAsiaTheme="minorEastAsia" w:hAnsiTheme="minorHAnsi"/>
              <w:noProof/>
              <w:sz w:val="22"/>
              <w:lang w:val="en-US"/>
            </w:rPr>
          </w:pPr>
          <w:hyperlink w:anchor="_Toc32998866" w:history="1">
            <w:r w:rsidR="00AA6156" w:rsidRPr="00956D0A">
              <w:rPr>
                <w:rStyle w:val="Hyperlink"/>
                <w:noProof/>
                <w:lang w:val="fr-CA"/>
              </w:rPr>
              <w:t>Applications for leave submitted to the Court since the last issue /  Demandes soumises à la Cour depuis la dernière parution</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_Toc32998866 \h </w:instrText>
            </w:r>
            <w:r w:rsidR="00AA6156" w:rsidRPr="00956D0A">
              <w:rPr>
                <w:noProof/>
                <w:webHidden/>
              </w:rPr>
            </w:r>
            <w:r w:rsidR="00AA6156" w:rsidRPr="00956D0A">
              <w:rPr>
                <w:noProof/>
                <w:webHidden/>
              </w:rPr>
              <w:fldChar w:fldCharType="separate"/>
            </w:r>
            <w:r w:rsidR="00CE1903">
              <w:rPr>
                <w:noProof/>
                <w:webHidden/>
              </w:rPr>
              <w:t>3</w:t>
            </w:r>
            <w:r w:rsidR="00AA6156" w:rsidRPr="00956D0A">
              <w:rPr>
                <w:noProof/>
                <w:webHidden/>
              </w:rPr>
              <w:fldChar w:fldCharType="end"/>
            </w:r>
          </w:hyperlink>
        </w:p>
        <w:p w:rsidR="00AA6156" w:rsidRPr="00956D0A" w:rsidRDefault="00937000">
          <w:pPr>
            <w:pStyle w:val="TOC1"/>
            <w:tabs>
              <w:tab w:val="right" w:leader="dot" w:pos="9638"/>
            </w:tabs>
            <w:rPr>
              <w:rFonts w:asciiTheme="minorHAnsi" w:eastAsiaTheme="minorEastAsia" w:hAnsiTheme="minorHAnsi"/>
              <w:noProof/>
              <w:sz w:val="22"/>
              <w:lang w:val="en-US"/>
            </w:rPr>
          </w:pPr>
          <w:hyperlink w:anchor="_Toc32998867" w:history="1">
            <w:r w:rsidR="00AA6156" w:rsidRPr="00956D0A">
              <w:rPr>
                <w:rStyle w:val="Hyperlink"/>
                <w:noProof/>
                <w:lang w:val="fr-CA"/>
              </w:rPr>
              <w:t>Judgments on applications for leave /  Jugements rendus sur les demandes d’autorisation</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_Toc32998867 \h </w:instrText>
            </w:r>
            <w:r w:rsidR="00AA6156" w:rsidRPr="00956D0A">
              <w:rPr>
                <w:noProof/>
                <w:webHidden/>
              </w:rPr>
            </w:r>
            <w:r w:rsidR="00AA6156" w:rsidRPr="00956D0A">
              <w:rPr>
                <w:noProof/>
                <w:webHidden/>
              </w:rPr>
              <w:fldChar w:fldCharType="separate"/>
            </w:r>
            <w:r w:rsidR="00CE1903">
              <w:rPr>
                <w:noProof/>
                <w:webHidden/>
              </w:rPr>
              <w:t>5</w:t>
            </w:r>
            <w:r w:rsidR="00AA6156" w:rsidRPr="00956D0A">
              <w:rPr>
                <w:noProof/>
                <w:webHidden/>
              </w:rPr>
              <w:fldChar w:fldCharType="end"/>
            </w:r>
          </w:hyperlink>
        </w:p>
        <w:p w:rsidR="00AA6156" w:rsidRPr="00956D0A" w:rsidRDefault="00937000">
          <w:pPr>
            <w:pStyle w:val="TOC1"/>
            <w:tabs>
              <w:tab w:val="right" w:leader="dot" w:pos="9638"/>
            </w:tabs>
            <w:rPr>
              <w:rFonts w:asciiTheme="minorHAnsi" w:eastAsiaTheme="minorEastAsia" w:hAnsiTheme="minorHAnsi"/>
              <w:noProof/>
              <w:sz w:val="22"/>
              <w:lang w:val="en-US"/>
            </w:rPr>
          </w:pPr>
          <w:hyperlink w:anchor="_Toc32998868" w:history="1">
            <w:r w:rsidR="00AA6156" w:rsidRPr="00956D0A">
              <w:rPr>
                <w:rStyle w:val="Hyperlink"/>
                <w:noProof/>
                <w:lang w:val="fr-CA"/>
              </w:rPr>
              <w:t>Motions /  Requêtes</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_Toc32998868 \h </w:instrText>
            </w:r>
            <w:r w:rsidR="00AA6156" w:rsidRPr="00956D0A">
              <w:rPr>
                <w:noProof/>
                <w:webHidden/>
              </w:rPr>
            </w:r>
            <w:r w:rsidR="00AA6156" w:rsidRPr="00956D0A">
              <w:rPr>
                <w:noProof/>
                <w:webHidden/>
              </w:rPr>
              <w:fldChar w:fldCharType="separate"/>
            </w:r>
            <w:r w:rsidR="00CE1903">
              <w:rPr>
                <w:noProof/>
                <w:webHidden/>
              </w:rPr>
              <w:t>39</w:t>
            </w:r>
            <w:r w:rsidR="00AA6156" w:rsidRPr="00956D0A">
              <w:rPr>
                <w:noProof/>
                <w:webHidden/>
              </w:rPr>
              <w:fldChar w:fldCharType="end"/>
            </w:r>
          </w:hyperlink>
        </w:p>
        <w:p w:rsidR="00AA6156" w:rsidRPr="00956D0A" w:rsidRDefault="00CE1903">
          <w:pPr>
            <w:pStyle w:val="TOC1"/>
            <w:tabs>
              <w:tab w:val="right" w:leader="dot" w:pos="9638"/>
            </w:tabs>
            <w:rPr>
              <w:rFonts w:asciiTheme="minorHAnsi" w:eastAsiaTheme="minorEastAsia" w:hAnsiTheme="minorHAnsi"/>
              <w:noProof/>
              <w:sz w:val="22"/>
              <w:lang w:val="en-US"/>
            </w:rPr>
          </w:pPr>
          <w:hyperlink w:anchor="_Toc32998869" w:history="1">
            <w:r w:rsidR="00AA6156" w:rsidRPr="00956D0A">
              <w:rPr>
                <w:rStyle w:val="Hyperlink"/>
                <w:noProof/>
              </w:rPr>
              <w:t xml:space="preserve">Notices of appeal filed since the last issue /  </w:t>
            </w:r>
            <w:r w:rsidR="00AA6156" w:rsidRPr="00956D0A">
              <w:rPr>
                <w:rStyle w:val="Hyperlink"/>
                <w:noProof/>
                <w:lang w:val="fr-CA"/>
              </w:rPr>
              <w:t>Avis d’appel déposés depuis la dernière parution</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_Toc32998869 \h </w:instrText>
            </w:r>
            <w:r w:rsidR="00AA6156" w:rsidRPr="00956D0A">
              <w:rPr>
                <w:noProof/>
                <w:webHidden/>
              </w:rPr>
            </w:r>
            <w:r w:rsidR="00AA6156" w:rsidRPr="00956D0A">
              <w:rPr>
                <w:noProof/>
                <w:webHidden/>
              </w:rPr>
              <w:fldChar w:fldCharType="separate"/>
            </w:r>
            <w:r>
              <w:rPr>
                <w:noProof/>
                <w:webHidden/>
              </w:rPr>
              <w:t>40</w:t>
            </w:r>
            <w:r w:rsidR="00AA6156" w:rsidRPr="00956D0A">
              <w:rPr>
                <w:noProof/>
                <w:webHidden/>
              </w:rPr>
              <w:fldChar w:fldCharType="end"/>
            </w:r>
          </w:hyperlink>
        </w:p>
        <w:p w:rsidR="00AA6156" w:rsidRPr="00956D0A" w:rsidRDefault="00CE1903">
          <w:pPr>
            <w:pStyle w:val="TOC1"/>
            <w:tabs>
              <w:tab w:val="right" w:leader="dot" w:pos="9638"/>
            </w:tabs>
            <w:rPr>
              <w:rFonts w:asciiTheme="minorHAnsi" w:eastAsiaTheme="minorEastAsia" w:hAnsiTheme="minorHAnsi"/>
              <w:noProof/>
              <w:sz w:val="22"/>
              <w:lang w:val="en-US"/>
            </w:rPr>
          </w:pPr>
          <w:hyperlink w:anchor="_Toc32998870" w:history="1">
            <w:r w:rsidR="00AA6156" w:rsidRPr="00956D0A">
              <w:rPr>
                <w:rStyle w:val="Hyperlink"/>
                <w:noProof/>
                <w:lang w:val="fr-CA"/>
              </w:rPr>
              <w:t>Appeals heard since the last issue and disposition /  Appels entendus depuis la dernière parution et résultat</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_Toc32998870 \h </w:instrText>
            </w:r>
            <w:r w:rsidR="00AA6156" w:rsidRPr="00956D0A">
              <w:rPr>
                <w:noProof/>
                <w:webHidden/>
              </w:rPr>
            </w:r>
            <w:r w:rsidR="00AA6156" w:rsidRPr="00956D0A">
              <w:rPr>
                <w:noProof/>
                <w:webHidden/>
              </w:rPr>
              <w:fldChar w:fldCharType="separate"/>
            </w:r>
            <w:r>
              <w:rPr>
                <w:noProof/>
                <w:webHidden/>
              </w:rPr>
              <w:t>41</w:t>
            </w:r>
            <w:r w:rsidR="00AA6156" w:rsidRPr="00956D0A">
              <w:rPr>
                <w:noProof/>
                <w:webHidden/>
              </w:rPr>
              <w:fldChar w:fldCharType="end"/>
            </w:r>
          </w:hyperlink>
        </w:p>
        <w:p w:rsidR="00AA6156" w:rsidRPr="00956D0A" w:rsidRDefault="00937000">
          <w:pPr>
            <w:pStyle w:val="TOC1"/>
            <w:tabs>
              <w:tab w:val="right" w:leader="dot" w:pos="9638"/>
            </w:tabs>
            <w:rPr>
              <w:rFonts w:asciiTheme="minorHAnsi" w:eastAsiaTheme="minorEastAsia" w:hAnsiTheme="minorHAnsi"/>
              <w:noProof/>
              <w:sz w:val="22"/>
              <w:lang w:val="en-US"/>
            </w:rPr>
          </w:pPr>
          <w:hyperlink w:anchor="_Toc32998871" w:history="1">
            <w:r w:rsidR="00AA6156" w:rsidRPr="00956D0A">
              <w:rPr>
                <w:rStyle w:val="Hyperlink"/>
                <w:noProof/>
                <w:lang w:val="fr-CA"/>
              </w:rPr>
              <w:t>Pronouncements of reserved appeals /  Jugements rendus sur les appels en délibéré</w:t>
            </w:r>
            <w:r w:rsidR="00AA6156" w:rsidRPr="00956D0A">
              <w:rPr>
                <w:noProof/>
                <w:webHidden/>
              </w:rPr>
              <w:tab/>
            </w:r>
            <w:r w:rsidR="00AA6156" w:rsidRPr="00956D0A">
              <w:rPr>
                <w:noProof/>
                <w:webHidden/>
              </w:rPr>
              <w:fldChar w:fldCharType="begin"/>
            </w:r>
            <w:r w:rsidR="00AA6156" w:rsidRPr="00956D0A">
              <w:rPr>
                <w:noProof/>
                <w:webHidden/>
              </w:rPr>
              <w:instrText xml:space="preserve"> PAGEREF _Toc32998871 \h </w:instrText>
            </w:r>
            <w:r w:rsidR="00AA6156" w:rsidRPr="00956D0A">
              <w:rPr>
                <w:noProof/>
                <w:webHidden/>
              </w:rPr>
            </w:r>
            <w:r w:rsidR="00AA6156" w:rsidRPr="00956D0A">
              <w:rPr>
                <w:noProof/>
                <w:webHidden/>
              </w:rPr>
              <w:fldChar w:fldCharType="separate"/>
            </w:r>
            <w:r w:rsidR="00CE1903">
              <w:rPr>
                <w:noProof/>
                <w:webHidden/>
              </w:rPr>
              <w:t>43</w:t>
            </w:r>
            <w:r w:rsidR="00AA6156" w:rsidRPr="00956D0A">
              <w:rPr>
                <w:noProof/>
                <w:webHidden/>
              </w:rPr>
              <w:fldChar w:fldCharType="end"/>
            </w:r>
          </w:hyperlink>
        </w:p>
        <w:p w:rsidR="00560DF1" w:rsidRPr="00956D0A" w:rsidRDefault="00DC6B2E">
          <w:r w:rsidRPr="00956D0A">
            <w:rPr>
              <w:b/>
              <w:bCs/>
              <w:noProof/>
              <w:sz w:val="20"/>
            </w:rPr>
            <w:fldChar w:fldCharType="end"/>
          </w:r>
        </w:p>
      </w:sdtContent>
    </w:sdt>
    <w:p w:rsidR="00560DF1" w:rsidRPr="00956D0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37000" w:rsidTr="00F138C1">
        <w:trPr>
          <w:jc w:val="center"/>
        </w:trPr>
        <w:tc>
          <w:tcPr>
            <w:tcW w:w="9638" w:type="dxa"/>
          </w:tcPr>
          <w:p w:rsidR="00F138C1" w:rsidRPr="00956D0A" w:rsidRDefault="00F138C1" w:rsidP="00F138C1">
            <w:pPr>
              <w:keepNext/>
              <w:tabs>
                <w:tab w:val="right" w:pos="9360"/>
              </w:tabs>
              <w:spacing w:after="120"/>
              <w:jc w:val="center"/>
              <w:rPr>
                <w:szCs w:val="24"/>
              </w:rPr>
            </w:pPr>
            <w:r w:rsidRPr="00956D0A">
              <w:rPr>
                <w:szCs w:val="24"/>
              </w:rPr>
              <w:t>NOTICE</w:t>
            </w:r>
          </w:p>
          <w:p w:rsidR="00F138C1" w:rsidRPr="00956D0A" w:rsidRDefault="00F138C1" w:rsidP="00F138C1">
            <w:pPr>
              <w:keepNext/>
              <w:tabs>
                <w:tab w:val="right" w:pos="9360"/>
              </w:tabs>
              <w:spacing w:after="120"/>
              <w:jc w:val="both"/>
              <w:rPr>
                <w:szCs w:val="24"/>
              </w:rPr>
            </w:pPr>
            <w:r w:rsidRPr="00956D0A">
              <w:rPr>
                <w:szCs w:val="24"/>
              </w:rPr>
              <w:t>Case summaries included in the Bulletin are prepared by the Office of the Registrar of the Supreme Court of Canada (Law Branch) for information purposes only.</w:t>
            </w:r>
          </w:p>
          <w:p w:rsidR="00F138C1" w:rsidRPr="00956D0A" w:rsidRDefault="00F138C1" w:rsidP="00F138C1">
            <w:pPr>
              <w:keepNext/>
              <w:tabs>
                <w:tab w:val="right" w:pos="9360"/>
              </w:tabs>
              <w:spacing w:after="120"/>
              <w:jc w:val="center"/>
              <w:rPr>
                <w:szCs w:val="24"/>
                <w:lang w:val="fr-CA"/>
              </w:rPr>
            </w:pPr>
            <w:r w:rsidRPr="00956D0A">
              <w:rPr>
                <w:szCs w:val="24"/>
                <w:lang w:val="fr-CA"/>
              </w:rPr>
              <w:t>AVIS</w:t>
            </w:r>
          </w:p>
          <w:p w:rsidR="00F138C1" w:rsidRPr="00956D0A" w:rsidRDefault="00F138C1" w:rsidP="00F138C1">
            <w:pPr>
              <w:keepNext/>
              <w:tabs>
                <w:tab w:val="right" w:pos="9360"/>
              </w:tabs>
              <w:spacing w:after="120"/>
              <w:jc w:val="both"/>
              <w:rPr>
                <w:sz w:val="20"/>
                <w:szCs w:val="20"/>
                <w:lang w:val="fr-CA"/>
              </w:rPr>
            </w:pPr>
            <w:r w:rsidRPr="00956D0A">
              <w:rPr>
                <w:szCs w:val="24"/>
                <w:lang w:val="fr-CA"/>
              </w:rPr>
              <w:t>Les résumés des causes publiés dans le bulletin sont préparés par le Bureau du registraire (Direction générale du droit) uniquement à titre d’information.</w:t>
            </w:r>
          </w:p>
        </w:tc>
      </w:tr>
    </w:tbl>
    <w:p w:rsidR="00F138C1" w:rsidRPr="00956D0A" w:rsidRDefault="00F138C1" w:rsidP="00F138C1">
      <w:pPr>
        <w:tabs>
          <w:tab w:val="right" w:pos="9360"/>
        </w:tabs>
        <w:rPr>
          <w:lang w:val="fr-CA"/>
        </w:rPr>
      </w:pPr>
    </w:p>
    <w:p w:rsidR="00F138C1" w:rsidRPr="00956D0A" w:rsidRDefault="00F138C1" w:rsidP="00F138C1">
      <w:pPr>
        <w:tabs>
          <w:tab w:val="right" w:pos="9360"/>
        </w:tabs>
        <w:rPr>
          <w:lang w:val="fr-CA"/>
        </w:rPr>
      </w:pPr>
    </w:p>
    <w:p w:rsidR="00C01FCB" w:rsidRPr="00956D0A" w:rsidRDefault="00C01FCB" w:rsidP="0095096B">
      <w:pPr>
        <w:tabs>
          <w:tab w:val="right" w:pos="9360"/>
        </w:tabs>
        <w:rPr>
          <w:lang w:val="fr-CA"/>
        </w:rPr>
      </w:pPr>
    </w:p>
    <w:p w:rsidR="00A87207" w:rsidRPr="00956D0A" w:rsidRDefault="00A87207" w:rsidP="0095096B">
      <w:pPr>
        <w:tabs>
          <w:tab w:val="right" w:pos="9360"/>
        </w:tabs>
        <w:rPr>
          <w:lang w:val="fr-CA"/>
        </w:rPr>
        <w:sectPr w:rsidR="00A87207" w:rsidRPr="00956D0A" w:rsidSect="0044776A">
          <w:pgSz w:w="12240" w:h="15840"/>
          <w:pgMar w:top="720" w:right="1152" w:bottom="1080" w:left="1440" w:header="706" w:footer="706" w:gutter="0"/>
          <w:cols w:space="708"/>
          <w:titlePg/>
          <w:docGrid w:linePitch="360"/>
        </w:sectPr>
      </w:pPr>
    </w:p>
    <w:p w:rsidR="00560DF1" w:rsidRPr="00956D0A" w:rsidRDefault="00DD0BDC" w:rsidP="00567602">
      <w:pPr>
        <w:pStyle w:val="Header1StyleE"/>
        <w:pBdr>
          <w:bottom w:val="single" w:sz="12" w:space="1" w:color="auto"/>
        </w:pBdr>
        <w:rPr>
          <w:lang w:val="fr-CA"/>
        </w:rPr>
      </w:pPr>
      <w:bookmarkStart w:id="0" w:name="_Toc32998865"/>
      <w:r w:rsidRPr="00956D0A">
        <w:rPr>
          <w:lang w:val="fr-CA"/>
        </w:rPr>
        <w:lastRenderedPageBreak/>
        <w:t>Applications for leave to appeal filed</w:t>
      </w:r>
      <w:r w:rsidR="00271E1E" w:rsidRPr="00956D0A">
        <w:rPr>
          <w:lang w:val="fr-CA"/>
        </w:rPr>
        <w:t xml:space="preserve"> / </w:t>
      </w:r>
      <w:r w:rsidR="00727571" w:rsidRPr="00956D0A">
        <w:rPr>
          <w:lang w:val="fr-CA"/>
        </w:rPr>
        <w:br/>
      </w:r>
      <w:r w:rsidRPr="00956D0A">
        <w:rPr>
          <w:lang w:val="fr-CA"/>
        </w:rPr>
        <w:t>Demandes d’autorisation d’appel déposées</w:t>
      </w:r>
      <w:bookmarkEnd w:id="0"/>
    </w:p>
    <w:p w:rsidR="00F138C1" w:rsidRPr="00956D0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956D0A" w:rsidTr="00F138C1">
        <w:tc>
          <w:tcPr>
            <w:tcW w:w="4239" w:type="dxa"/>
            <w:shd w:val="clear" w:color="auto" w:fill="auto"/>
          </w:tcPr>
          <w:p w:rsidR="00F138C1" w:rsidRPr="00956D0A" w:rsidRDefault="00E658CD" w:rsidP="00F138C1">
            <w:pPr>
              <w:rPr>
                <w:sz w:val="20"/>
                <w:szCs w:val="20"/>
                <w:lang w:val="fr-CA"/>
              </w:rPr>
            </w:pPr>
            <w:r w:rsidRPr="00956D0A">
              <w:rPr>
                <w:b/>
                <w:sz w:val="20"/>
                <w:szCs w:val="20"/>
                <w:lang w:val="fr-CA"/>
              </w:rPr>
              <w:t>Gunnar S. Paulsson</w:t>
            </w:r>
          </w:p>
          <w:p w:rsidR="00F138C1" w:rsidRPr="00956D0A" w:rsidRDefault="00F138C1" w:rsidP="00F138C1">
            <w:pPr>
              <w:tabs>
                <w:tab w:val="left" w:pos="-1440"/>
                <w:tab w:val="left" w:pos="-720"/>
              </w:tabs>
              <w:rPr>
                <w:sz w:val="20"/>
                <w:szCs w:val="20"/>
                <w:lang w:val="fr-CA"/>
              </w:rPr>
            </w:pPr>
            <w:r w:rsidRPr="00956D0A">
              <w:rPr>
                <w:sz w:val="20"/>
                <w:szCs w:val="20"/>
                <w:lang w:val="fr-CA"/>
              </w:rPr>
              <w:tab/>
            </w:r>
            <w:r w:rsidR="00E658CD" w:rsidRPr="00956D0A">
              <w:rPr>
                <w:sz w:val="20"/>
                <w:szCs w:val="20"/>
                <w:lang w:val="fr-CA"/>
              </w:rPr>
              <w:t>Gunnar S. Paulsson</w:t>
            </w:r>
          </w:p>
          <w:p w:rsidR="00F138C1" w:rsidRPr="00956D0A" w:rsidRDefault="00F138C1" w:rsidP="00F138C1">
            <w:pPr>
              <w:tabs>
                <w:tab w:val="left" w:pos="-1440"/>
                <w:tab w:val="left" w:pos="-720"/>
              </w:tabs>
              <w:rPr>
                <w:sz w:val="20"/>
                <w:szCs w:val="20"/>
                <w:lang w:val="fr-CA"/>
              </w:rPr>
            </w:pPr>
          </w:p>
          <w:p w:rsidR="00F138C1" w:rsidRPr="00956D0A" w:rsidRDefault="00F138C1" w:rsidP="00F138C1">
            <w:pPr>
              <w:tabs>
                <w:tab w:val="left" w:pos="-1440"/>
                <w:tab w:val="left" w:pos="-720"/>
              </w:tabs>
              <w:rPr>
                <w:sz w:val="20"/>
                <w:szCs w:val="20"/>
                <w:lang w:val="en-US"/>
              </w:rPr>
            </w:pPr>
            <w:r w:rsidRPr="00956D0A">
              <w:rPr>
                <w:sz w:val="20"/>
                <w:szCs w:val="20"/>
                <w:lang w:val="fr-CA"/>
              </w:rPr>
              <w:tab/>
            </w:r>
            <w:r w:rsidRPr="00956D0A">
              <w:rPr>
                <w:sz w:val="20"/>
                <w:szCs w:val="20"/>
                <w:lang w:val="en-US"/>
              </w:rPr>
              <w:t>v. (3894</w:t>
            </w:r>
            <w:r w:rsidR="00E658CD" w:rsidRPr="00956D0A">
              <w:rPr>
                <w:sz w:val="20"/>
                <w:szCs w:val="20"/>
                <w:lang w:val="en-US"/>
              </w:rPr>
              <w:t>0</w:t>
            </w:r>
            <w:r w:rsidRPr="00956D0A">
              <w:rPr>
                <w:sz w:val="20"/>
                <w:szCs w:val="20"/>
                <w:lang w:val="en-US"/>
              </w:rPr>
              <w:t>)</w:t>
            </w:r>
          </w:p>
          <w:p w:rsidR="00F138C1" w:rsidRPr="00956D0A" w:rsidRDefault="00F138C1" w:rsidP="00F138C1">
            <w:pPr>
              <w:tabs>
                <w:tab w:val="left" w:pos="-1440"/>
                <w:tab w:val="left" w:pos="-720"/>
              </w:tabs>
              <w:rPr>
                <w:sz w:val="20"/>
                <w:szCs w:val="20"/>
                <w:lang w:val="en-US"/>
              </w:rPr>
            </w:pPr>
          </w:p>
          <w:p w:rsidR="00F138C1" w:rsidRPr="00956D0A" w:rsidRDefault="00E658CD" w:rsidP="00F138C1">
            <w:pPr>
              <w:tabs>
                <w:tab w:val="left" w:pos="-1440"/>
                <w:tab w:val="left" w:pos="-720"/>
              </w:tabs>
              <w:rPr>
                <w:b/>
                <w:sz w:val="20"/>
                <w:szCs w:val="20"/>
                <w:lang w:val="en-US"/>
              </w:rPr>
            </w:pPr>
            <w:r w:rsidRPr="00956D0A">
              <w:rPr>
                <w:b/>
                <w:sz w:val="20"/>
                <w:szCs w:val="20"/>
                <w:lang w:val="en-US"/>
              </w:rPr>
              <w:t xml:space="preserve">The Board of Trustees of and for the University of Illinois, et al. </w:t>
            </w:r>
            <w:r w:rsidR="00F138C1" w:rsidRPr="00956D0A">
              <w:rPr>
                <w:b/>
                <w:sz w:val="20"/>
                <w:szCs w:val="20"/>
                <w:lang w:val="en-US"/>
              </w:rPr>
              <w:t>(</w:t>
            </w:r>
            <w:r w:rsidRPr="00956D0A">
              <w:rPr>
                <w:b/>
                <w:sz w:val="20"/>
                <w:szCs w:val="20"/>
                <w:lang w:val="en-US"/>
              </w:rPr>
              <w:t>Ont.</w:t>
            </w:r>
            <w:r w:rsidR="00F138C1" w:rsidRPr="00956D0A">
              <w:rPr>
                <w:b/>
                <w:sz w:val="20"/>
                <w:szCs w:val="20"/>
                <w:lang w:val="en-US"/>
              </w:rPr>
              <w:t>)</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E658CD" w:rsidRPr="00956D0A">
              <w:rPr>
                <w:sz w:val="20"/>
                <w:szCs w:val="20"/>
                <w:lang w:val="en-US"/>
              </w:rPr>
              <w:t>Adair, Q.C., Geoffrey D.E.</w:t>
            </w:r>
          </w:p>
          <w:p w:rsidR="00F138C1" w:rsidRPr="00956D0A" w:rsidRDefault="00F138C1" w:rsidP="00F138C1">
            <w:pPr>
              <w:tabs>
                <w:tab w:val="left" w:pos="-1440"/>
                <w:tab w:val="left" w:pos="-720"/>
              </w:tabs>
              <w:rPr>
                <w:sz w:val="20"/>
                <w:szCs w:val="20"/>
              </w:rPr>
            </w:pPr>
            <w:r w:rsidRPr="00956D0A">
              <w:rPr>
                <w:sz w:val="20"/>
                <w:szCs w:val="20"/>
                <w:lang w:val="en-US"/>
              </w:rPr>
              <w:tab/>
            </w:r>
            <w:r w:rsidR="00E658CD" w:rsidRPr="00956D0A">
              <w:rPr>
                <w:sz w:val="20"/>
                <w:szCs w:val="20"/>
              </w:rPr>
              <w:t>Adair Goldblatt Bieber LLP</w:t>
            </w:r>
          </w:p>
          <w:p w:rsidR="00F138C1" w:rsidRPr="00956D0A" w:rsidRDefault="00F138C1" w:rsidP="00F138C1">
            <w:pPr>
              <w:tabs>
                <w:tab w:val="left" w:pos="-1440"/>
                <w:tab w:val="left" w:pos="-720"/>
              </w:tabs>
              <w:rPr>
                <w:sz w:val="20"/>
                <w:szCs w:val="20"/>
              </w:rPr>
            </w:pPr>
          </w:p>
          <w:p w:rsidR="00F138C1" w:rsidRPr="00956D0A" w:rsidRDefault="00F138C1" w:rsidP="00F138C1">
            <w:pPr>
              <w:rPr>
                <w:sz w:val="20"/>
                <w:szCs w:val="20"/>
              </w:rPr>
            </w:pPr>
            <w:r w:rsidRPr="00956D0A">
              <w:rPr>
                <w:sz w:val="20"/>
                <w:szCs w:val="20"/>
              </w:rPr>
              <w:t>FILING DATE: September 3, 2019</w:t>
            </w:r>
          </w:p>
          <w:p w:rsidR="004B2E86" w:rsidRPr="00956D0A" w:rsidRDefault="004B2E86" w:rsidP="00F138C1">
            <w:pPr>
              <w:rPr>
                <w:sz w:val="20"/>
                <w:szCs w:val="20"/>
              </w:rPr>
            </w:pPr>
          </w:p>
          <w:p w:rsidR="00F138C1" w:rsidRPr="00956D0A" w:rsidRDefault="0093700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F138C1" w:rsidRPr="00956D0A" w:rsidRDefault="00F138C1" w:rsidP="00F138C1">
            <w:pPr>
              <w:jc w:val="center"/>
              <w:rPr>
                <w:sz w:val="20"/>
                <w:szCs w:val="20"/>
              </w:rPr>
            </w:pPr>
          </w:p>
          <w:p w:rsidR="004B2E86" w:rsidRPr="00956D0A" w:rsidRDefault="004B2E86" w:rsidP="00F138C1">
            <w:pPr>
              <w:jc w:val="center"/>
              <w:rPr>
                <w:sz w:val="20"/>
                <w:szCs w:val="20"/>
              </w:rPr>
            </w:pPr>
          </w:p>
          <w:p w:rsidR="00F138C1" w:rsidRPr="00956D0A" w:rsidRDefault="00F138C1" w:rsidP="00F138C1">
            <w:pPr>
              <w:jc w:val="center"/>
              <w:rPr>
                <w:sz w:val="20"/>
                <w:szCs w:val="20"/>
              </w:rPr>
            </w:pPr>
          </w:p>
        </w:tc>
        <w:tc>
          <w:tcPr>
            <w:tcW w:w="4239" w:type="dxa"/>
            <w:shd w:val="clear" w:color="auto" w:fill="auto"/>
          </w:tcPr>
          <w:p w:rsidR="00F138C1" w:rsidRPr="00956D0A" w:rsidRDefault="00FA68D9" w:rsidP="00F138C1">
            <w:pPr>
              <w:rPr>
                <w:b/>
                <w:sz w:val="20"/>
                <w:szCs w:val="20"/>
                <w:lang w:val="en-US"/>
              </w:rPr>
            </w:pPr>
            <w:r w:rsidRPr="00956D0A">
              <w:rPr>
                <w:b/>
                <w:sz w:val="20"/>
                <w:szCs w:val="20"/>
                <w:lang w:val="en-US"/>
              </w:rPr>
              <w:t>Anatoly Kimaev</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FA68D9" w:rsidRPr="00956D0A">
              <w:rPr>
                <w:sz w:val="20"/>
                <w:szCs w:val="20"/>
                <w:lang w:val="en-US"/>
              </w:rPr>
              <w:t>Anatoly Kimaev</w:t>
            </w:r>
          </w:p>
          <w:p w:rsidR="00F138C1" w:rsidRPr="00956D0A" w:rsidRDefault="00F138C1" w:rsidP="00F138C1">
            <w:pPr>
              <w:tabs>
                <w:tab w:val="left" w:pos="-1440"/>
                <w:tab w:val="left" w:pos="-720"/>
              </w:tabs>
              <w:rPr>
                <w:sz w:val="20"/>
                <w:szCs w:val="20"/>
                <w:lang w:val="en-US"/>
              </w:rPr>
            </w:pP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FA68D9" w:rsidRPr="00956D0A">
              <w:rPr>
                <w:sz w:val="20"/>
                <w:szCs w:val="20"/>
                <w:lang w:val="en-US"/>
              </w:rPr>
              <w:t>v. (3</w:t>
            </w:r>
            <w:r w:rsidRPr="00956D0A">
              <w:rPr>
                <w:sz w:val="20"/>
                <w:szCs w:val="20"/>
                <w:lang w:val="en-US"/>
              </w:rPr>
              <w:t>9</w:t>
            </w:r>
            <w:r w:rsidR="00FA68D9" w:rsidRPr="00956D0A">
              <w:rPr>
                <w:sz w:val="20"/>
                <w:szCs w:val="20"/>
                <w:lang w:val="en-US"/>
              </w:rPr>
              <w:t>035</w:t>
            </w:r>
            <w:r w:rsidRPr="00956D0A">
              <w:rPr>
                <w:sz w:val="20"/>
                <w:szCs w:val="20"/>
                <w:lang w:val="en-US"/>
              </w:rPr>
              <w:t>)</w:t>
            </w:r>
          </w:p>
          <w:p w:rsidR="00F138C1" w:rsidRPr="00956D0A" w:rsidRDefault="00F138C1" w:rsidP="00F138C1">
            <w:pPr>
              <w:tabs>
                <w:tab w:val="left" w:pos="-1440"/>
                <w:tab w:val="left" w:pos="-720"/>
              </w:tabs>
              <w:rPr>
                <w:sz w:val="20"/>
                <w:szCs w:val="20"/>
                <w:lang w:val="en-US"/>
              </w:rPr>
            </w:pPr>
          </w:p>
          <w:p w:rsidR="00F138C1" w:rsidRPr="00956D0A" w:rsidRDefault="00FA68D9" w:rsidP="00F138C1">
            <w:pPr>
              <w:tabs>
                <w:tab w:val="left" w:pos="-1440"/>
                <w:tab w:val="left" w:pos="-720"/>
              </w:tabs>
              <w:rPr>
                <w:b/>
                <w:sz w:val="20"/>
                <w:szCs w:val="20"/>
                <w:lang w:val="en-US"/>
              </w:rPr>
            </w:pPr>
            <w:r w:rsidRPr="00956D0A">
              <w:rPr>
                <w:b/>
                <w:sz w:val="20"/>
                <w:szCs w:val="20"/>
                <w:lang w:val="en-US"/>
              </w:rPr>
              <w:t xml:space="preserve">Sobeys Inc. </w:t>
            </w:r>
            <w:r w:rsidR="00F138C1" w:rsidRPr="00956D0A">
              <w:rPr>
                <w:b/>
                <w:sz w:val="20"/>
                <w:szCs w:val="20"/>
                <w:lang w:val="en-US"/>
              </w:rPr>
              <w:t>(</w:t>
            </w:r>
            <w:r w:rsidRPr="00956D0A">
              <w:rPr>
                <w:b/>
                <w:sz w:val="20"/>
                <w:szCs w:val="20"/>
                <w:lang w:val="en-US"/>
              </w:rPr>
              <w:t>Ont.</w:t>
            </w:r>
            <w:r w:rsidR="00F138C1" w:rsidRPr="00956D0A">
              <w:rPr>
                <w:b/>
                <w:sz w:val="20"/>
                <w:szCs w:val="20"/>
                <w:lang w:val="en-US"/>
              </w:rPr>
              <w:t>)</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FA68D9" w:rsidRPr="00956D0A">
              <w:rPr>
                <w:sz w:val="20"/>
                <w:szCs w:val="20"/>
                <w:lang w:val="en-US"/>
              </w:rPr>
              <w:t>Nixon, Elizabeth</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FA68D9" w:rsidRPr="00956D0A">
              <w:rPr>
                <w:sz w:val="20"/>
                <w:szCs w:val="20"/>
                <w:lang w:val="en-US"/>
              </w:rPr>
              <w:t>Stikeman Elliott LLP</w:t>
            </w:r>
          </w:p>
          <w:p w:rsidR="00F138C1" w:rsidRPr="00956D0A" w:rsidRDefault="00F138C1" w:rsidP="00F138C1">
            <w:pPr>
              <w:tabs>
                <w:tab w:val="left" w:pos="-1440"/>
                <w:tab w:val="left" w:pos="-720"/>
              </w:tabs>
              <w:rPr>
                <w:sz w:val="20"/>
                <w:szCs w:val="20"/>
                <w:lang w:val="en-US"/>
              </w:rPr>
            </w:pPr>
          </w:p>
          <w:p w:rsidR="00F138C1" w:rsidRPr="00956D0A" w:rsidRDefault="00FA68D9" w:rsidP="00F138C1">
            <w:pPr>
              <w:rPr>
                <w:sz w:val="20"/>
                <w:szCs w:val="20"/>
                <w:lang w:val="en-US"/>
              </w:rPr>
            </w:pPr>
            <w:r w:rsidRPr="00956D0A">
              <w:rPr>
                <w:sz w:val="20"/>
                <w:szCs w:val="20"/>
                <w:lang w:val="en-US"/>
              </w:rPr>
              <w:t xml:space="preserve">FILING </w:t>
            </w:r>
            <w:r w:rsidR="00F138C1" w:rsidRPr="00956D0A">
              <w:rPr>
                <w:sz w:val="20"/>
                <w:szCs w:val="20"/>
                <w:lang w:val="en-US"/>
              </w:rPr>
              <w:t xml:space="preserve">DATE: </w:t>
            </w:r>
            <w:r w:rsidRPr="00956D0A">
              <w:rPr>
                <w:sz w:val="20"/>
                <w:szCs w:val="20"/>
                <w:lang w:val="en-US"/>
              </w:rPr>
              <w:t>September 20,</w:t>
            </w:r>
            <w:r w:rsidR="00F138C1" w:rsidRPr="00956D0A">
              <w:rPr>
                <w:sz w:val="20"/>
                <w:szCs w:val="20"/>
                <w:lang w:val="en-US"/>
              </w:rPr>
              <w:t xml:space="preserve"> 2019</w:t>
            </w:r>
          </w:p>
          <w:p w:rsidR="004B2E86" w:rsidRPr="00956D0A" w:rsidRDefault="004B2E86" w:rsidP="00F138C1">
            <w:pPr>
              <w:rPr>
                <w:sz w:val="20"/>
                <w:szCs w:val="20"/>
                <w:lang w:val="en-US"/>
              </w:rPr>
            </w:pPr>
          </w:p>
          <w:p w:rsidR="00F138C1" w:rsidRPr="00956D0A" w:rsidRDefault="0093700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956D0A" w:rsidTr="00F138C1">
        <w:tc>
          <w:tcPr>
            <w:tcW w:w="4239" w:type="dxa"/>
            <w:shd w:val="clear" w:color="auto" w:fill="auto"/>
          </w:tcPr>
          <w:p w:rsidR="00F138C1" w:rsidRPr="00956D0A" w:rsidRDefault="00EA200C" w:rsidP="00F138C1">
            <w:pPr>
              <w:keepNext/>
              <w:keepLines/>
              <w:tabs>
                <w:tab w:val="left" w:pos="-1440"/>
                <w:tab w:val="left" w:pos="-720"/>
              </w:tabs>
              <w:rPr>
                <w:b/>
                <w:sz w:val="20"/>
                <w:szCs w:val="20"/>
                <w:lang w:val="en-US"/>
              </w:rPr>
            </w:pPr>
            <w:r w:rsidRPr="00956D0A">
              <w:rPr>
                <w:b/>
                <w:sz w:val="20"/>
                <w:szCs w:val="20"/>
                <w:lang w:val="en-US"/>
              </w:rPr>
              <w:t>Rosalina Templanza</w:t>
            </w:r>
          </w:p>
          <w:p w:rsidR="00F138C1" w:rsidRPr="00956D0A" w:rsidRDefault="00F138C1" w:rsidP="00F138C1">
            <w:pPr>
              <w:keepNext/>
              <w:keepLines/>
              <w:tabs>
                <w:tab w:val="left" w:pos="-1440"/>
                <w:tab w:val="left" w:pos="-720"/>
              </w:tabs>
              <w:rPr>
                <w:sz w:val="20"/>
                <w:szCs w:val="20"/>
                <w:lang w:val="en-US"/>
              </w:rPr>
            </w:pPr>
            <w:r w:rsidRPr="00956D0A">
              <w:rPr>
                <w:sz w:val="20"/>
                <w:szCs w:val="20"/>
                <w:lang w:val="en-US"/>
              </w:rPr>
              <w:tab/>
            </w:r>
            <w:r w:rsidR="00EA200C" w:rsidRPr="00956D0A">
              <w:rPr>
                <w:sz w:val="20"/>
                <w:szCs w:val="20"/>
                <w:lang w:val="en-US"/>
              </w:rPr>
              <w:t>Rosalina Templanza</w:t>
            </w:r>
          </w:p>
          <w:p w:rsidR="00F138C1" w:rsidRPr="00956D0A" w:rsidRDefault="00F138C1" w:rsidP="00F138C1">
            <w:pPr>
              <w:keepNext/>
              <w:keepLines/>
              <w:tabs>
                <w:tab w:val="left" w:pos="-1440"/>
                <w:tab w:val="left" w:pos="-720"/>
              </w:tabs>
              <w:rPr>
                <w:sz w:val="20"/>
                <w:szCs w:val="20"/>
                <w:lang w:val="en-US"/>
              </w:rPr>
            </w:pPr>
          </w:p>
          <w:p w:rsidR="00F138C1" w:rsidRPr="00956D0A" w:rsidRDefault="00F138C1" w:rsidP="00F138C1">
            <w:pPr>
              <w:keepNext/>
              <w:keepLines/>
              <w:tabs>
                <w:tab w:val="left" w:pos="-1440"/>
                <w:tab w:val="left" w:pos="-720"/>
              </w:tabs>
              <w:rPr>
                <w:sz w:val="20"/>
                <w:szCs w:val="20"/>
                <w:lang w:val="en-US"/>
              </w:rPr>
            </w:pPr>
            <w:r w:rsidRPr="00956D0A">
              <w:rPr>
                <w:sz w:val="20"/>
                <w:szCs w:val="20"/>
                <w:lang w:val="en-US"/>
              </w:rPr>
              <w:tab/>
              <w:t>v. (39</w:t>
            </w:r>
            <w:r w:rsidR="00EA200C" w:rsidRPr="00956D0A">
              <w:rPr>
                <w:sz w:val="20"/>
                <w:szCs w:val="20"/>
                <w:lang w:val="en-US"/>
              </w:rPr>
              <w:t>034</w:t>
            </w:r>
            <w:r w:rsidRPr="00956D0A">
              <w:rPr>
                <w:sz w:val="20"/>
                <w:szCs w:val="20"/>
                <w:lang w:val="en-US"/>
              </w:rPr>
              <w:t>)</w:t>
            </w:r>
          </w:p>
          <w:p w:rsidR="00F138C1" w:rsidRPr="00956D0A" w:rsidRDefault="00F138C1" w:rsidP="00F138C1">
            <w:pPr>
              <w:keepNext/>
              <w:keepLines/>
              <w:tabs>
                <w:tab w:val="left" w:pos="-1440"/>
                <w:tab w:val="left" w:pos="-720"/>
              </w:tabs>
              <w:rPr>
                <w:sz w:val="20"/>
                <w:szCs w:val="20"/>
                <w:lang w:val="en-US"/>
              </w:rPr>
            </w:pPr>
          </w:p>
          <w:p w:rsidR="00F138C1" w:rsidRPr="00956D0A" w:rsidRDefault="00EA200C" w:rsidP="00F138C1">
            <w:pPr>
              <w:keepNext/>
              <w:keepLines/>
              <w:tabs>
                <w:tab w:val="left" w:pos="-1440"/>
                <w:tab w:val="left" w:pos="-720"/>
              </w:tabs>
              <w:rPr>
                <w:b/>
                <w:sz w:val="20"/>
                <w:szCs w:val="20"/>
                <w:lang w:val="en-US"/>
              </w:rPr>
            </w:pPr>
            <w:r w:rsidRPr="00956D0A">
              <w:rPr>
                <w:b/>
                <w:sz w:val="20"/>
                <w:szCs w:val="20"/>
                <w:lang w:val="en-US"/>
              </w:rPr>
              <w:t xml:space="preserve">Mitchell T. Ford LLP, et al. </w:t>
            </w:r>
            <w:r w:rsidR="00F138C1" w:rsidRPr="00956D0A">
              <w:rPr>
                <w:b/>
                <w:sz w:val="20"/>
                <w:szCs w:val="20"/>
                <w:lang w:val="en-US"/>
              </w:rPr>
              <w:t>(</w:t>
            </w:r>
            <w:r w:rsidRPr="00956D0A">
              <w:rPr>
                <w:b/>
                <w:sz w:val="20"/>
                <w:szCs w:val="20"/>
                <w:lang w:val="en-US"/>
              </w:rPr>
              <w:t>Alta</w:t>
            </w:r>
            <w:r w:rsidR="00F138C1" w:rsidRPr="00956D0A">
              <w:rPr>
                <w:b/>
                <w:sz w:val="20"/>
                <w:szCs w:val="20"/>
                <w:lang w:val="en-US"/>
              </w:rPr>
              <w:t>.)</w:t>
            </w:r>
          </w:p>
          <w:p w:rsidR="00F138C1" w:rsidRPr="00956D0A" w:rsidRDefault="00F138C1" w:rsidP="00F138C1">
            <w:pPr>
              <w:keepNext/>
              <w:keepLines/>
              <w:tabs>
                <w:tab w:val="left" w:pos="-1440"/>
                <w:tab w:val="left" w:pos="-720"/>
              </w:tabs>
              <w:rPr>
                <w:sz w:val="20"/>
                <w:szCs w:val="20"/>
                <w:lang w:val="en-US"/>
              </w:rPr>
            </w:pPr>
            <w:r w:rsidRPr="00956D0A">
              <w:rPr>
                <w:sz w:val="20"/>
                <w:szCs w:val="20"/>
                <w:lang w:val="en-US"/>
              </w:rPr>
              <w:tab/>
            </w:r>
            <w:r w:rsidR="004D51FA" w:rsidRPr="00956D0A">
              <w:rPr>
                <w:sz w:val="20"/>
                <w:szCs w:val="20"/>
                <w:lang w:val="en-US"/>
              </w:rPr>
              <w:t>Marshall, David</w:t>
            </w:r>
          </w:p>
          <w:p w:rsidR="00F138C1" w:rsidRPr="00956D0A" w:rsidRDefault="00F138C1" w:rsidP="00F138C1">
            <w:pPr>
              <w:keepNext/>
              <w:keepLines/>
              <w:tabs>
                <w:tab w:val="left" w:pos="-1440"/>
                <w:tab w:val="left" w:pos="-720"/>
              </w:tabs>
              <w:rPr>
                <w:sz w:val="20"/>
                <w:szCs w:val="20"/>
                <w:lang w:val="en-US"/>
              </w:rPr>
            </w:pPr>
            <w:r w:rsidRPr="00956D0A">
              <w:rPr>
                <w:sz w:val="20"/>
                <w:szCs w:val="20"/>
                <w:lang w:val="en-US"/>
              </w:rPr>
              <w:tab/>
            </w:r>
            <w:r w:rsidR="004D51FA" w:rsidRPr="00956D0A">
              <w:rPr>
                <w:sz w:val="20"/>
                <w:szCs w:val="20"/>
                <w:lang w:val="en-US"/>
              </w:rPr>
              <w:t>JSS Barristers</w:t>
            </w:r>
          </w:p>
          <w:p w:rsidR="00F138C1" w:rsidRPr="00956D0A" w:rsidRDefault="00F138C1" w:rsidP="00F138C1">
            <w:pPr>
              <w:keepNext/>
              <w:keepLines/>
              <w:tabs>
                <w:tab w:val="left" w:pos="-1440"/>
                <w:tab w:val="left" w:pos="-720"/>
              </w:tabs>
              <w:rPr>
                <w:sz w:val="20"/>
                <w:szCs w:val="20"/>
                <w:lang w:val="en-US"/>
              </w:rPr>
            </w:pPr>
          </w:p>
          <w:p w:rsidR="004B2E86" w:rsidRPr="00956D0A" w:rsidRDefault="00F138C1" w:rsidP="00F138C1">
            <w:pPr>
              <w:rPr>
                <w:sz w:val="20"/>
                <w:szCs w:val="20"/>
                <w:lang w:val="en-US"/>
              </w:rPr>
            </w:pPr>
            <w:r w:rsidRPr="00956D0A">
              <w:rPr>
                <w:sz w:val="20"/>
                <w:szCs w:val="20"/>
                <w:lang w:val="en-US"/>
              </w:rPr>
              <w:t xml:space="preserve">FILING DATE: </w:t>
            </w:r>
            <w:r w:rsidR="00EA200C" w:rsidRPr="00956D0A">
              <w:rPr>
                <w:sz w:val="20"/>
                <w:szCs w:val="20"/>
                <w:lang w:val="en-US"/>
              </w:rPr>
              <w:t xml:space="preserve">November </w:t>
            </w:r>
            <w:r w:rsidRPr="00956D0A">
              <w:rPr>
                <w:sz w:val="20"/>
                <w:szCs w:val="20"/>
                <w:lang w:val="en-US"/>
              </w:rPr>
              <w:t>1</w:t>
            </w:r>
            <w:r w:rsidR="00EA200C" w:rsidRPr="00956D0A">
              <w:rPr>
                <w:sz w:val="20"/>
                <w:szCs w:val="20"/>
                <w:lang w:val="en-US"/>
              </w:rPr>
              <w:t>8</w:t>
            </w:r>
            <w:r w:rsidRPr="00956D0A">
              <w:rPr>
                <w:sz w:val="20"/>
                <w:szCs w:val="20"/>
                <w:lang w:val="en-US"/>
              </w:rPr>
              <w:t>, 2019</w:t>
            </w:r>
          </w:p>
          <w:p w:rsidR="004B2E86" w:rsidRPr="00956D0A" w:rsidRDefault="004B2E86" w:rsidP="00F138C1">
            <w:pPr>
              <w:rPr>
                <w:sz w:val="20"/>
                <w:szCs w:val="20"/>
                <w:lang w:val="en-US"/>
              </w:rPr>
            </w:pPr>
          </w:p>
          <w:p w:rsidR="00F138C1" w:rsidRPr="00956D0A" w:rsidRDefault="0093700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F138C1" w:rsidRPr="00956D0A" w:rsidRDefault="00F138C1" w:rsidP="00F138C1">
            <w:pPr>
              <w:jc w:val="center"/>
              <w:rPr>
                <w:sz w:val="20"/>
                <w:szCs w:val="20"/>
                <w:lang w:val="en-US"/>
              </w:rPr>
            </w:pPr>
          </w:p>
          <w:p w:rsidR="004B2E86" w:rsidRPr="00956D0A" w:rsidRDefault="004B2E86" w:rsidP="00F138C1">
            <w:pPr>
              <w:jc w:val="center"/>
              <w:rPr>
                <w:sz w:val="20"/>
                <w:szCs w:val="20"/>
                <w:lang w:val="en-US"/>
              </w:rPr>
            </w:pPr>
          </w:p>
        </w:tc>
        <w:tc>
          <w:tcPr>
            <w:tcW w:w="4239" w:type="dxa"/>
            <w:shd w:val="clear" w:color="auto" w:fill="auto"/>
          </w:tcPr>
          <w:p w:rsidR="00F138C1" w:rsidRPr="00956D0A" w:rsidRDefault="006B26D7" w:rsidP="00F138C1">
            <w:pPr>
              <w:rPr>
                <w:b/>
                <w:sz w:val="20"/>
                <w:szCs w:val="20"/>
                <w:lang w:val="fr-CA"/>
              </w:rPr>
            </w:pPr>
            <w:r w:rsidRPr="00956D0A">
              <w:rPr>
                <w:b/>
                <w:sz w:val="20"/>
                <w:szCs w:val="20"/>
                <w:lang w:val="fr-CA"/>
              </w:rPr>
              <w:t>Ron Pollock, et al.</w:t>
            </w:r>
          </w:p>
          <w:p w:rsidR="00F138C1" w:rsidRPr="00956D0A" w:rsidRDefault="00F138C1" w:rsidP="00F138C1">
            <w:pPr>
              <w:tabs>
                <w:tab w:val="left" w:pos="-1440"/>
                <w:tab w:val="left" w:pos="-720"/>
              </w:tabs>
              <w:rPr>
                <w:sz w:val="20"/>
                <w:szCs w:val="20"/>
                <w:lang w:val="fr-CA"/>
              </w:rPr>
            </w:pPr>
            <w:r w:rsidRPr="00956D0A">
              <w:rPr>
                <w:sz w:val="20"/>
                <w:szCs w:val="20"/>
                <w:lang w:val="fr-CA"/>
              </w:rPr>
              <w:tab/>
            </w:r>
            <w:r w:rsidR="006B26D7" w:rsidRPr="00956D0A">
              <w:rPr>
                <w:sz w:val="20"/>
                <w:szCs w:val="20"/>
                <w:lang w:val="fr-CA"/>
              </w:rPr>
              <w:t>Ron Pollock, et al.</w:t>
            </w:r>
          </w:p>
          <w:p w:rsidR="00F138C1" w:rsidRPr="00956D0A" w:rsidRDefault="00F138C1" w:rsidP="00F138C1">
            <w:pPr>
              <w:tabs>
                <w:tab w:val="left" w:pos="-1440"/>
                <w:tab w:val="left" w:pos="-720"/>
              </w:tabs>
              <w:rPr>
                <w:sz w:val="20"/>
                <w:szCs w:val="20"/>
                <w:lang w:val="fr-CA"/>
              </w:rPr>
            </w:pPr>
          </w:p>
          <w:p w:rsidR="00F138C1" w:rsidRPr="00956D0A" w:rsidRDefault="00F138C1" w:rsidP="00F138C1">
            <w:pPr>
              <w:tabs>
                <w:tab w:val="left" w:pos="-1440"/>
                <w:tab w:val="left" w:pos="-720"/>
              </w:tabs>
              <w:rPr>
                <w:sz w:val="20"/>
                <w:szCs w:val="20"/>
                <w:lang w:val="en-US"/>
              </w:rPr>
            </w:pPr>
            <w:r w:rsidRPr="00956D0A">
              <w:rPr>
                <w:sz w:val="20"/>
                <w:szCs w:val="20"/>
                <w:lang w:val="fr-CA"/>
              </w:rPr>
              <w:tab/>
            </w:r>
            <w:r w:rsidR="006B26D7" w:rsidRPr="00956D0A">
              <w:rPr>
                <w:sz w:val="20"/>
                <w:szCs w:val="20"/>
                <w:lang w:val="en-US"/>
              </w:rPr>
              <w:t>v</w:t>
            </w:r>
            <w:r w:rsidRPr="00956D0A">
              <w:rPr>
                <w:sz w:val="20"/>
                <w:szCs w:val="20"/>
                <w:lang w:val="en-US"/>
              </w:rPr>
              <w:t>. (39</w:t>
            </w:r>
            <w:r w:rsidR="006B26D7" w:rsidRPr="00956D0A">
              <w:rPr>
                <w:sz w:val="20"/>
                <w:szCs w:val="20"/>
                <w:lang w:val="en-US"/>
              </w:rPr>
              <w:t>0</w:t>
            </w:r>
            <w:r w:rsidRPr="00956D0A">
              <w:rPr>
                <w:sz w:val="20"/>
                <w:szCs w:val="20"/>
                <w:lang w:val="en-US"/>
              </w:rPr>
              <w:t>2</w:t>
            </w:r>
            <w:r w:rsidR="00325F29" w:rsidRPr="00956D0A">
              <w:rPr>
                <w:sz w:val="20"/>
                <w:szCs w:val="20"/>
                <w:lang w:val="en-US"/>
              </w:rPr>
              <w:t>9</w:t>
            </w:r>
            <w:r w:rsidRPr="00956D0A">
              <w:rPr>
                <w:sz w:val="20"/>
                <w:szCs w:val="20"/>
                <w:lang w:val="en-US"/>
              </w:rPr>
              <w:t>)</w:t>
            </w:r>
          </w:p>
          <w:p w:rsidR="00F138C1" w:rsidRPr="00956D0A" w:rsidRDefault="00F138C1" w:rsidP="00F138C1">
            <w:pPr>
              <w:tabs>
                <w:tab w:val="left" w:pos="-1440"/>
                <w:tab w:val="left" w:pos="-720"/>
              </w:tabs>
              <w:rPr>
                <w:sz w:val="20"/>
                <w:szCs w:val="20"/>
                <w:lang w:val="en-US"/>
              </w:rPr>
            </w:pPr>
          </w:p>
          <w:p w:rsidR="00F138C1" w:rsidRPr="00956D0A" w:rsidRDefault="00796D59" w:rsidP="00F138C1">
            <w:pPr>
              <w:tabs>
                <w:tab w:val="left" w:pos="-1440"/>
                <w:tab w:val="left" w:pos="-720"/>
              </w:tabs>
              <w:rPr>
                <w:b/>
                <w:sz w:val="20"/>
                <w:szCs w:val="20"/>
                <w:lang w:val="en-US"/>
              </w:rPr>
            </w:pPr>
            <w:r w:rsidRPr="00956D0A">
              <w:rPr>
                <w:b/>
                <w:sz w:val="20"/>
                <w:szCs w:val="20"/>
                <w:lang w:val="en-US"/>
              </w:rPr>
              <w:t>Manitoba Human Rights Commission, et al.</w:t>
            </w:r>
            <w:r w:rsidR="00F138C1" w:rsidRPr="00956D0A">
              <w:rPr>
                <w:sz w:val="20"/>
                <w:szCs w:val="20"/>
                <w:lang w:val="en-US"/>
              </w:rPr>
              <w:t xml:space="preserve"> </w:t>
            </w:r>
            <w:r w:rsidR="00F138C1" w:rsidRPr="00956D0A">
              <w:rPr>
                <w:b/>
                <w:sz w:val="20"/>
                <w:szCs w:val="20"/>
                <w:lang w:val="en-US"/>
              </w:rPr>
              <w:t>(</w:t>
            </w:r>
            <w:r w:rsidR="006B26D7" w:rsidRPr="00956D0A">
              <w:rPr>
                <w:b/>
                <w:sz w:val="20"/>
                <w:szCs w:val="20"/>
                <w:lang w:val="en-US"/>
              </w:rPr>
              <w:t>Man.</w:t>
            </w:r>
            <w:r w:rsidR="00F138C1" w:rsidRPr="00956D0A">
              <w:rPr>
                <w:b/>
                <w:sz w:val="20"/>
                <w:szCs w:val="20"/>
                <w:lang w:val="en-US"/>
              </w:rPr>
              <w:t>)</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796D59" w:rsidRPr="00956D0A">
              <w:rPr>
                <w:sz w:val="20"/>
                <w:szCs w:val="20"/>
                <w:lang w:val="en-US"/>
              </w:rPr>
              <w:t>Gaballa, Sandra</w:t>
            </w:r>
          </w:p>
          <w:p w:rsidR="00F138C1" w:rsidRPr="00956D0A" w:rsidRDefault="00F138C1" w:rsidP="00F138C1">
            <w:pPr>
              <w:tabs>
                <w:tab w:val="left" w:pos="-1440"/>
                <w:tab w:val="left" w:pos="-720"/>
              </w:tabs>
              <w:rPr>
                <w:sz w:val="20"/>
                <w:szCs w:val="20"/>
                <w:lang w:val="en-US"/>
              </w:rPr>
            </w:pPr>
            <w:r w:rsidRPr="00956D0A">
              <w:rPr>
                <w:sz w:val="20"/>
                <w:szCs w:val="20"/>
                <w:lang w:val="en-US"/>
              </w:rPr>
              <w:tab/>
            </w:r>
            <w:r w:rsidR="00796D59" w:rsidRPr="00956D0A">
              <w:rPr>
                <w:sz w:val="20"/>
                <w:szCs w:val="20"/>
                <w:lang w:val="en-US"/>
              </w:rPr>
              <w:t>Manitoba Human Rights Commission</w:t>
            </w:r>
          </w:p>
          <w:p w:rsidR="00F138C1" w:rsidRPr="00956D0A" w:rsidRDefault="00F138C1" w:rsidP="00F138C1">
            <w:pPr>
              <w:tabs>
                <w:tab w:val="left" w:pos="-1440"/>
                <w:tab w:val="left" w:pos="-720"/>
              </w:tabs>
              <w:rPr>
                <w:sz w:val="20"/>
                <w:szCs w:val="20"/>
                <w:lang w:val="en-US"/>
              </w:rPr>
            </w:pPr>
          </w:p>
          <w:p w:rsidR="00F138C1" w:rsidRPr="00956D0A" w:rsidRDefault="006B26D7" w:rsidP="00F138C1">
            <w:pPr>
              <w:rPr>
                <w:sz w:val="20"/>
                <w:szCs w:val="20"/>
                <w:lang w:val="fr-CA"/>
              </w:rPr>
            </w:pPr>
            <w:r w:rsidRPr="00956D0A">
              <w:rPr>
                <w:sz w:val="20"/>
                <w:szCs w:val="20"/>
                <w:lang w:val="fr-CA"/>
              </w:rPr>
              <w:t xml:space="preserve">FILING </w:t>
            </w:r>
            <w:r w:rsidR="00F138C1" w:rsidRPr="00956D0A">
              <w:rPr>
                <w:sz w:val="20"/>
                <w:szCs w:val="20"/>
                <w:lang w:val="fr-CA"/>
              </w:rPr>
              <w:t xml:space="preserve">DATE: </w:t>
            </w:r>
            <w:r w:rsidRPr="00956D0A">
              <w:rPr>
                <w:sz w:val="20"/>
                <w:szCs w:val="20"/>
                <w:lang w:val="fr-CA"/>
              </w:rPr>
              <w:t xml:space="preserve">December 17, </w:t>
            </w:r>
            <w:r w:rsidR="00F138C1" w:rsidRPr="00956D0A">
              <w:rPr>
                <w:sz w:val="20"/>
                <w:szCs w:val="20"/>
                <w:lang w:val="fr-CA"/>
              </w:rPr>
              <w:t>2019</w:t>
            </w:r>
          </w:p>
          <w:p w:rsidR="004B2E86" w:rsidRPr="00956D0A" w:rsidRDefault="004B2E86" w:rsidP="00F138C1">
            <w:pPr>
              <w:rPr>
                <w:sz w:val="20"/>
                <w:szCs w:val="20"/>
                <w:lang w:val="fr-CA"/>
              </w:rPr>
            </w:pPr>
          </w:p>
          <w:p w:rsidR="00F138C1" w:rsidRPr="00956D0A" w:rsidRDefault="0093700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956D0A" w:rsidTr="00F138C1">
        <w:tc>
          <w:tcPr>
            <w:tcW w:w="4239" w:type="dxa"/>
            <w:shd w:val="clear" w:color="auto" w:fill="auto"/>
          </w:tcPr>
          <w:p w:rsidR="00D16B88" w:rsidRPr="00956D0A" w:rsidRDefault="008400C0" w:rsidP="00D16B88">
            <w:pPr>
              <w:rPr>
                <w:b/>
                <w:sz w:val="20"/>
                <w:szCs w:val="20"/>
                <w:lang w:val="en-US"/>
              </w:rPr>
            </w:pPr>
            <w:r w:rsidRPr="00956D0A">
              <w:rPr>
                <w:b/>
                <w:sz w:val="20"/>
                <w:szCs w:val="20"/>
                <w:lang w:val="en-US"/>
              </w:rPr>
              <w:t>Ivanco Keremelevski</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8400C0" w:rsidRPr="00956D0A">
              <w:rPr>
                <w:sz w:val="20"/>
                <w:szCs w:val="20"/>
                <w:lang w:val="en-US"/>
              </w:rPr>
              <w:t>Ivanco Keremelevski</w:t>
            </w:r>
          </w:p>
          <w:p w:rsidR="00D16B88" w:rsidRPr="00956D0A" w:rsidRDefault="00D16B88" w:rsidP="00D16B88">
            <w:pPr>
              <w:tabs>
                <w:tab w:val="left" w:pos="-1440"/>
                <w:tab w:val="left" w:pos="-720"/>
              </w:tabs>
              <w:rPr>
                <w:sz w:val="20"/>
                <w:szCs w:val="20"/>
                <w:lang w:val="en-US"/>
              </w:rPr>
            </w:pP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3E2618" w:rsidRPr="00956D0A">
              <w:rPr>
                <w:sz w:val="20"/>
                <w:szCs w:val="20"/>
                <w:lang w:val="en-US"/>
              </w:rPr>
              <w:t>v</w:t>
            </w:r>
            <w:r w:rsidRPr="00956D0A">
              <w:rPr>
                <w:sz w:val="20"/>
                <w:szCs w:val="20"/>
                <w:lang w:val="en-US"/>
              </w:rPr>
              <w:t>. (39</w:t>
            </w:r>
            <w:r w:rsidR="003E2618" w:rsidRPr="00956D0A">
              <w:rPr>
                <w:sz w:val="20"/>
                <w:szCs w:val="20"/>
                <w:lang w:val="en-US"/>
              </w:rPr>
              <w:t>039</w:t>
            </w:r>
            <w:r w:rsidRPr="00956D0A">
              <w:rPr>
                <w:sz w:val="20"/>
                <w:szCs w:val="20"/>
                <w:lang w:val="en-US"/>
              </w:rPr>
              <w:t>)</w:t>
            </w:r>
          </w:p>
          <w:p w:rsidR="00D16B88" w:rsidRPr="00956D0A" w:rsidRDefault="00D16B88" w:rsidP="00D16B88">
            <w:pPr>
              <w:tabs>
                <w:tab w:val="left" w:pos="-1440"/>
                <w:tab w:val="left" w:pos="-720"/>
              </w:tabs>
              <w:rPr>
                <w:sz w:val="20"/>
                <w:szCs w:val="20"/>
                <w:lang w:val="en-US"/>
              </w:rPr>
            </w:pPr>
          </w:p>
          <w:p w:rsidR="00D16B88" w:rsidRPr="00956D0A" w:rsidRDefault="008C7046" w:rsidP="00D16B88">
            <w:pPr>
              <w:tabs>
                <w:tab w:val="left" w:pos="-1440"/>
                <w:tab w:val="left" w:pos="-720"/>
              </w:tabs>
              <w:rPr>
                <w:b/>
                <w:sz w:val="20"/>
                <w:szCs w:val="20"/>
                <w:lang w:val="en-US"/>
              </w:rPr>
            </w:pPr>
            <w:r w:rsidRPr="00956D0A">
              <w:rPr>
                <w:b/>
                <w:sz w:val="20"/>
                <w:szCs w:val="20"/>
                <w:lang w:val="en-US"/>
              </w:rPr>
              <w:t>Workers Compensation Board, et al.</w:t>
            </w:r>
            <w:r w:rsidR="00D16B88" w:rsidRPr="00956D0A">
              <w:rPr>
                <w:sz w:val="20"/>
                <w:szCs w:val="20"/>
                <w:lang w:val="en-US"/>
              </w:rPr>
              <w:t xml:space="preserve"> </w:t>
            </w:r>
            <w:r w:rsidR="00D16B88" w:rsidRPr="00956D0A">
              <w:rPr>
                <w:b/>
                <w:sz w:val="20"/>
                <w:szCs w:val="20"/>
                <w:lang w:val="en-US"/>
              </w:rPr>
              <w:t>(</w:t>
            </w:r>
            <w:r w:rsidR="003E2618" w:rsidRPr="00956D0A">
              <w:rPr>
                <w:b/>
                <w:sz w:val="20"/>
                <w:szCs w:val="20"/>
                <w:lang w:val="en-US"/>
              </w:rPr>
              <w:t>B.C.</w:t>
            </w:r>
            <w:r w:rsidR="00D16B88" w:rsidRPr="00956D0A">
              <w:rPr>
                <w:b/>
                <w:sz w:val="20"/>
                <w:szCs w:val="20"/>
                <w:lang w:val="en-US"/>
              </w:rPr>
              <w:t>)</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8C7046" w:rsidRPr="00956D0A">
              <w:rPr>
                <w:sz w:val="20"/>
                <w:szCs w:val="20"/>
                <w:lang w:val="en-US"/>
              </w:rPr>
              <w:t>Workers Compensation Board, et al.</w:t>
            </w:r>
          </w:p>
          <w:p w:rsidR="00D16B88" w:rsidRPr="00956D0A" w:rsidRDefault="00D16B88" w:rsidP="00D16B88">
            <w:pPr>
              <w:tabs>
                <w:tab w:val="left" w:pos="-1440"/>
                <w:tab w:val="left" w:pos="-720"/>
              </w:tabs>
              <w:rPr>
                <w:sz w:val="20"/>
                <w:szCs w:val="20"/>
                <w:lang w:val="en-US"/>
              </w:rPr>
            </w:pPr>
          </w:p>
          <w:p w:rsidR="00D16B88" w:rsidRPr="00956D0A" w:rsidRDefault="003E2618" w:rsidP="00D16B88">
            <w:pPr>
              <w:rPr>
                <w:sz w:val="20"/>
                <w:szCs w:val="20"/>
                <w:lang w:val="en-US"/>
              </w:rPr>
            </w:pPr>
            <w:r w:rsidRPr="00956D0A">
              <w:rPr>
                <w:sz w:val="20"/>
                <w:szCs w:val="20"/>
                <w:lang w:val="en-US"/>
              </w:rPr>
              <w:t xml:space="preserve">FILING </w:t>
            </w:r>
            <w:r w:rsidR="00D16B88" w:rsidRPr="00956D0A">
              <w:rPr>
                <w:sz w:val="20"/>
                <w:szCs w:val="20"/>
                <w:lang w:val="en-US"/>
              </w:rPr>
              <w:t xml:space="preserve">DATE: </w:t>
            </w:r>
            <w:r w:rsidRPr="00956D0A">
              <w:rPr>
                <w:sz w:val="20"/>
                <w:szCs w:val="20"/>
                <w:lang w:val="en-US"/>
              </w:rPr>
              <w:t>December</w:t>
            </w:r>
            <w:r w:rsidR="00D16B88" w:rsidRPr="00956D0A">
              <w:rPr>
                <w:sz w:val="20"/>
                <w:szCs w:val="20"/>
                <w:lang w:val="en-US"/>
              </w:rPr>
              <w:t xml:space="preserve"> </w:t>
            </w:r>
            <w:r w:rsidRPr="00956D0A">
              <w:rPr>
                <w:sz w:val="20"/>
                <w:szCs w:val="20"/>
                <w:lang w:val="en-US"/>
              </w:rPr>
              <w:t>13,</w:t>
            </w:r>
            <w:r w:rsidR="00D16B88" w:rsidRPr="00956D0A">
              <w:rPr>
                <w:sz w:val="20"/>
                <w:szCs w:val="20"/>
                <w:lang w:val="en-US"/>
              </w:rPr>
              <w:t xml:space="preserve"> 2019</w:t>
            </w:r>
          </w:p>
          <w:p w:rsidR="00D16B88" w:rsidRPr="00956D0A" w:rsidRDefault="00D16B88" w:rsidP="00D16B88">
            <w:pPr>
              <w:rPr>
                <w:sz w:val="20"/>
                <w:szCs w:val="20"/>
                <w:lang w:val="en-US"/>
              </w:rPr>
            </w:pPr>
          </w:p>
          <w:p w:rsidR="00F138C1" w:rsidRPr="00956D0A" w:rsidRDefault="00937000" w:rsidP="00D16B8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956D0A" w:rsidRDefault="00F138C1"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tc>
        <w:tc>
          <w:tcPr>
            <w:tcW w:w="4239" w:type="dxa"/>
            <w:shd w:val="clear" w:color="auto" w:fill="auto"/>
          </w:tcPr>
          <w:p w:rsidR="00D16B88" w:rsidRPr="00956D0A" w:rsidRDefault="00CA1D57" w:rsidP="00D16B88">
            <w:pPr>
              <w:rPr>
                <w:b/>
                <w:sz w:val="20"/>
                <w:szCs w:val="20"/>
                <w:lang w:val="fr-CA"/>
              </w:rPr>
            </w:pPr>
            <w:r w:rsidRPr="00956D0A">
              <w:rPr>
                <w:b/>
                <w:sz w:val="20"/>
                <w:szCs w:val="20"/>
                <w:lang w:val="fr-CA"/>
              </w:rPr>
              <w:t>Frédéric Cliche</w:t>
            </w:r>
          </w:p>
          <w:p w:rsidR="00D16B88" w:rsidRPr="00956D0A" w:rsidRDefault="00D16B88" w:rsidP="00D16B88">
            <w:pPr>
              <w:tabs>
                <w:tab w:val="left" w:pos="-1440"/>
                <w:tab w:val="left" w:pos="-720"/>
              </w:tabs>
              <w:rPr>
                <w:sz w:val="20"/>
                <w:szCs w:val="20"/>
                <w:lang w:val="fr-CA"/>
              </w:rPr>
            </w:pPr>
            <w:r w:rsidRPr="00956D0A">
              <w:rPr>
                <w:sz w:val="20"/>
                <w:szCs w:val="20"/>
                <w:lang w:val="fr-CA"/>
              </w:rPr>
              <w:tab/>
            </w:r>
            <w:r w:rsidR="00CA1D57" w:rsidRPr="00956D0A">
              <w:rPr>
                <w:sz w:val="20"/>
                <w:szCs w:val="20"/>
                <w:lang w:val="fr-CA"/>
              </w:rPr>
              <w:t>Victorin, Réginal</w:t>
            </w:r>
          </w:p>
          <w:p w:rsidR="00D16B88" w:rsidRPr="00956D0A" w:rsidRDefault="00D16B88" w:rsidP="00D16B88">
            <w:pPr>
              <w:tabs>
                <w:tab w:val="left" w:pos="-1440"/>
                <w:tab w:val="left" w:pos="-720"/>
              </w:tabs>
              <w:rPr>
                <w:sz w:val="20"/>
                <w:szCs w:val="20"/>
                <w:lang w:val="fr-CA"/>
              </w:rPr>
            </w:pPr>
          </w:p>
          <w:p w:rsidR="00D16B88" w:rsidRPr="00956D0A" w:rsidRDefault="00D84A63" w:rsidP="00D16B88">
            <w:pPr>
              <w:tabs>
                <w:tab w:val="left" w:pos="-1440"/>
                <w:tab w:val="left" w:pos="-720"/>
              </w:tabs>
              <w:rPr>
                <w:sz w:val="20"/>
                <w:szCs w:val="20"/>
                <w:lang w:val="fr-CA"/>
              </w:rPr>
            </w:pPr>
            <w:r w:rsidRPr="00956D0A">
              <w:rPr>
                <w:sz w:val="20"/>
                <w:szCs w:val="20"/>
                <w:lang w:val="fr-CA"/>
              </w:rPr>
              <w:tab/>
              <w:t>c. (38977</w:t>
            </w:r>
            <w:r w:rsidR="00D16B88" w:rsidRPr="00956D0A">
              <w:rPr>
                <w:sz w:val="20"/>
                <w:szCs w:val="20"/>
                <w:lang w:val="fr-CA"/>
              </w:rPr>
              <w:t>)</w:t>
            </w:r>
          </w:p>
          <w:p w:rsidR="00D16B88" w:rsidRPr="00956D0A" w:rsidRDefault="00D16B88" w:rsidP="00D16B88">
            <w:pPr>
              <w:tabs>
                <w:tab w:val="left" w:pos="-1440"/>
                <w:tab w:val="left" w:pos="-720"/>
              </w:tabs>
              <w:rPr>
                <w:sz w:val="20"/>
                <w:szCs w:val="20"/>
                <w:lang w:val="fr-CA"/>
              </w:rPr>
            </w:pPr>
          </w:p>
          <w:p w:rsidR="00D16B88" w:rsidRPr="00956D0A" w:rsidRDefault="00DA58A8" w:rsidP="00D16B88">
            <w:pPr>
              <w:tabs>
                <w:tab w:val="left" w:pos="-1440"/>
                <w:tab w:val="left" w:pos="-720"/>
              </w:tabs>
              <w:rPr>
                <w:b/>
                <w:sz w:val="20"/>
                <w:szCs w:val="20"/>
                <w:lang w:val="fr-CA"/>
              </w:rPr>
            </w:pPr>
            <w:r w:rsidRPr="00956D0A">
              <w:rPr>
                <w:b/>
                <w:sz w:val="20"/>
                <w:szCs w:val="20"/>
                <w:lang w:val="fr-CA"/>
              </w:rPr>
              <w:t>Sa Majesté la Reine</w:t>
            </w:r>
            <w:r w:rsidR="00D16B88" w:rsidRPr="00956D0A">
              <w:rPr>
                <w:sz w:val="20"/>
                <w:szCs w:val="20"/>
                <w:lang w:val="fr-CA"/>
              </w:rPr>
              <w:t xml:space="preserve"> </w:t>
            </w:r>
            <w:r w:rsidR="00D16B88" w:rsidRPr="00956D0A">
              <w:rPr>
                <w:b/>
                <w:sz w:val="20"/>
                <w:szCs w:val="20"/>
                <w:lang w:val="fr-CA"/>
              </w:rPr>
              <w:t>(Qc)</w:t>
            </w:r>
          </w:p>
          <w:p w:rsidR="00D16B88" w:rsidRPr="00956D0A" w:rsidRDefault="00D16B88" w:rsidP="00D16B88">
            <w:pPr>
              <w:tabs>
                <w:tab w:val="left" w:pos="-1440"/>
                <w:tab w:val="left" w:pos="-720"/>
              </w:tabs>
              <w:rPr>
                <w:sz w:val="20"/>
                <w:szCs w:val="20"/>
                <w:lang w:val="fr-CA"/>
              </w:rPr>
            </w:pPr>
            <w:r w:rsidRPr="00956D0A">
              <w:rPr>
                <w:sz w:val="20"/>
                <w:szCs w:val="20"/>
                <w:lang w:val="fr-CA"/>
              </w:rPr>
              <w:tab/>
            </w:r>
            <w:r w:rsidR="008D7506" w:rsidRPr="00956D0A">
              <w:rPr>
                <w:sz w:val="20"/>
                <w:szCs w:val="20"/>
                <w:lang w:val="fr-CA"/>
              </w:rPr>
              <w:t>Dubois, Alexandre</w:t>
            </w:r>
          </w:p>
          <w:p w:rsidR="008D7506" w:rsidRPr="00956D0A" w:rsidRDefault="00D16B88" w:rsidP="00D16B88">
            <w:pPr>
              <w:tabs>
                <w:tab w:val="left" w:pos="-1440"/>
                <w:tab w:val="left" w:pos="-720"/>
              </w:tabs>
              <w:rPr>
                <w:sz w:val="20"/>
                <w:szCs w:val="20"/>
                <w:lang w:val="fr-CA"/>
              </w:rPr>
            </w:pPr>
            <w:r w:rsidRPr="00956D0A">
              <w:rPr>
                <w:sz w:val="20"/>
                <w:szCs w:val="20"/>
                <w:lang w:val="fr-CA"/>
              </w:rPr>
              <w:tab/>
            </w:r>
            <w:r w:rsidR="008D7506" w:rsidRPr="00956D0A">
              <w:rPr>
                <w:sz w:val="20"/>
                <w:szCs w:val="20"/>
                <w:lang w:val="fr-CA"/>
              </w:rPr>
              <w:t xml:space="preserve">Directeur des poursuites criminelles et </w:t>
            </w:r>
          </w:p>
          <w:p w:rsidR="00D16B88" w:rsidRPr="00956D0A" w:rsidRDefault="008D7506" w:rsidP="00D16B88">
            <w:pPr>
              <w:tabs>
                <w:tab w:val="left" w:pos="-1440"/>
                <w:tab w:val="left" w:pos="-720"/>
              </w:tabs>
              <w:rPr>
                <w:sz w:val="20"/>
                <w:szCs w:val="20"/>
                <w:lang w:val="fr-CA"/>
              </w:rPr>
            </w:pPr>
            <w:r w:rsidRPr="00956D0A">
              <w:rPr>
                <w:sz w:val="20"/>
                <w:szCs w:val="20"/>
                <w:lang w:val="fr-CA"/>
              </w:rPr>
              <w:tab/>
              <w:t>pénales du Québec</w:t>
            </w:r>
          </w:p>
          <w:p w:rsidR="00D16B88" w:rsidRPr="00956D0A" w:rsidRDefault="00D16B88" w:rsidP="00D16B88">
            <w:pPr>
              <w:tabs>
                <w:tab w:val="left" w:pos="-1440"/>
                <w:tab w:val="left" w:pos="-720"/>
              </w:tabs>
              <w:rPr>
                <w:sz w:val="20"/>
                <w:szCs w:val="20"/>
                <w:lang w:val="fr-CA"/>
              </w:rPr>
            </w:pPr>
          </w:p>
          <w:p w:rsidR="00D16B88" w:rsidRPr="00956D0A" w:rsidRDefault="00D16B88" w:rsidP="00D16B88">
            <w:pPr>
              <w:rPr>
                <w:sz w:val="20"/>
                <w:szCs w:val="20"/>
                <w:lang w:val="fr-CA"/>
              </w:rPr>
            </w:pPr>
            <w:r w:rsidRPr="00956D0A">
              <w:rPr>
                <w:sz w:val="20"/>
                <w:szCs w:val="20"/>
                <w:lang w:val="fr-CA"/>
              </w:rPr>
              <w:t xml:space="preserve">DATE DE PRODUCTION : le </w:t>
            </w:r>
            <w:r w:rsidR="00D84A63" w:rsidRPr="00956D0A">
              <w:rPr>
                <w:sz w:val="20"/>
                <w:szCs w:val="20"/>
                <w:lang w:val="fr-CA"/>
              </w:rPr>
              <w:t>20</w:t>
            </w:r>
            <w:r w:rsidRPr="00956D0A">
              <w:rPr>
                <w:sz w:val="20"/>
                <w:szCs w:val="20"/>
                <w:lang w:val="fr-CA"/>
              </w:rPr>
              <w:t xml:space="preserve"> décembre 2019</w:t>
            </w:r>
          </w:p>
          <w:p w:rsidR="00D16B88" w:rsidRPr="00956D0A" w:rsidRDefault="00D16B88" w:rsidP="00D16B88">
            <w:pPr>
              <w:rPr>
                <w:sz w:val="20"/>
                <w:szCs w:val="20"/>
                <w:lang w:val="fr-CA"/>
              </w:rPr>
            </w:pPr>
          </w:p>
          <w:p w:rsidR="00F138C1" w:rsidRPr="00956D0A" w:rsidRDefault="00937000" w:rsidP="00D16B88">
            <w:pPr>
              <w:rPr>
                <w:sz w:val="20"/>
                <w:szCs w:val="20"/>
                <w:lang w:val="fr-CA"/>
              </w:rPr>
            </w:pPr>
            <w:r>
              <w:rPr>
                <w:sz w:val="20"/>
                <w:szCs w:val="20"/>
                <w:lang w:val="fr-CA"/>
              </w:rPr>
              <w:pict>
                <v:rect id="_x0000_i1030" style="width:108pt;height:1pt" o:hrpct="0" o:hrstd="t" o:hrnoshade="t" o:hr="t" fillcolor="black [3213]" stroked="f"/>
              </w:pict>
            </w:r>
          </w:p>
        </w:tc>
      </w:tr>
    </w:tbl>
    <w:p w:rsidR="002C022F" w:rsidRPr="00956D0A" w:rsidRDefault="002C022F">
      <w:r w:rsidRPr="00956D0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16B88" w:rsidRPr="00956D0A" w:rsidTr="00F138C1">
        <w:tc>
          <w:tcPr>
            <w:tcW w:w="4239" w:type="dxa"/>
            <w:shd w:val="clear" w:color="auto" w:fill="auto"/>
          </w:tcPr>
          <w:p w:rsidR="00D16B88" w:rsidRPr="00956D0A" w:rsidRDefault="00002001" w:rsidP="00D16B88">
            <w:pPr>
              <w:rPr>
                <w:b/>
                <w:sz w:val="20"/>
                <w:szCs w:val="20"/>
                <w:lang w:val="en-US"/>
              </w:rPr>
            </w:pPr>
            <w:r w:rsidRPr="00956D0A">
              <w:rPr>
                <w:b/>
                <w:sz w:val="20"/>
                <w:szCs w:val="20"/>
                <w:lang w:val="en-US"/>
              </w:rPr>
              <w:t>Roberto Orellana Gonzalez</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002001" w:rsidRPr="00956D0A">
              <w:rPr>
                <w:sz w:val="20"/>
                <w:szCs w:val="20"/>
                <w:lang w:val="en-US"/>
              </w:rPr>
              <w:t>Roberto Orellana Gonzalez</w:t>
            </w:r>
          </w:p>
          <w:p w:rsidR="00D16B88" w:rsidRPr="00956D0A" w:rsidRDefault="00D16B88" w:rsidP="00D16B88">
            <w:pPr>
              <w:tabs>
                <w:tab w:val="left" w:pos="-1440"/>
                <w:tab w:val="left" w:pos="-720"/>
              </w:tabs>
              <w:rPr>
                <w:sz w:val="20"/>
                <w:szCs w:val="20"/>
                <w:lang w:val="en-US"/>
              </w:rPr>
            </w:pP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D022B2" w:rsidRPr="00956D0A">
              <w:rPr>
                <w:sz w:val="20"/>
                <w:szCs w:val="20"/>
                <w:lang w:val="en-US"/>
              </w:rPr>
              <w:t>v</w:t>
            </w:r>
            <w:r w:rsidRPr="00956D0A">
              <w:rPr>
                <w:sz w:val="20"/>
                <w:szCs w:val="20"/>
                <w:lang w:val="en-US"/>
              </w:rPr>
              <w:t>. (39</w:t>
            </w:r>
            <w:r w:rsidR="00D022B2" w:rsidRPr="00956D0A">
              <w:rPr>
                <w:sz w:val="20"/>
                <w:szCs w:val="20"/>
                <w:lang w:val="en-US"/>
              </w:rPr>
              <w:t>032</w:t>
            </w:r>
            <w:r w:rsidRPr="00956D0A">
              <w:rPr>
                <w:sz w:val="20"/>
                <w:szCs w:val="20"/>
                <w:lang w:val="en-US"/>
              </w:rPr>
              <w:t>)</w:t>
            </w:r>
          </w:p>
          <w:p w:rsidR="00D16B88" w:rsidRPr="00956D0A" w:rsidRDefault="00D16B88" w:rsidP="00D16B88">
            <w:pPr>
              <w:tabs>
                <w:tab w:val="left" w:pos="-1440"/>
                <w:tab w:val="left" w:pos="-720"/>
              </w:tabs>
              <w:rPr>
                <w:sz w:val="20"/>
                <w:szCs w:val="20"/>
                <w:lang w:val="en-US"/>
              </w:rPr>
            </w:pPr>
          </w:p>
          <w:p w:rsidR="00D16B88" w:rsidRPr="00956D0A" w:rsidRDefault="004A0A25" w:rsidP="00D16B88">
            <w:pPr>
              <w:tabs>
                <w:tab w:val="left" w:pos="-1440"/>
                <w:tab w:val="left" w:pos="-720"/>
              </w:tabs>
              <w:rPr>
                <w:b/>
                <w:sz w:val="20"/>
                <w:szCs w:val="20"/>
                <w:lang w:val="en-US"/>
              </w:rPr>
            </w:pPr>
            <w:r w:rsidRPr="00956D0A">
              <w:rPr>
                <w:b/>
                <w:sz w:val="20"/>
                <w:szCs w:val="20"/>
                <w:lang w:val="en-US"/>
              </w:rPr>
              <w:t xml:space="preserve">Attorney General of British Columbia </w:t>
            </w:r>
            <w:r w:rsidR="00D16B88" w:rsidRPr="00956D0A">
              <w:rPr>
                <w:b/>
                <w:sz w:val="20"/>
                <w:szCs w:val="20"/>
                <w:lang w:val="en-US"/>
              </w:rPr>
              <w:t>(</w:t>
            </w:r>
            <w:r w:rsidR="00D022B2" w:rsidRPr="00956D0A">
              <w:rPr>
                <w:b/>
                <w:sz w:val="20"/>
                <w:szCs w:val="20"/>
                <w:lang w:val="en-US"/>
              </w:rPr>
              <w:t>B.C.</w:t>
            </w:r>
            <w:r w:rsidR="00D16B88" w:rsidRPr="00956D0A">
              <w:rPr>
                <w:b/>
                <w:sz w:val="20"/>
                <w:szCs w:val="20"/>
                <w:lang w:val="en-US"/>
              </w:rPr>
              <w:t>)</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4A0A25" w:rsidRPr="00956D0A">
              <w:rPr>
                <w:sz w:val="20"/>
                <w:szCs w:val="20"/>
                <w:lang w:val="en-US"/>
              </w:rPr>
              <w:t>Eades, Jonathan</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4A0A25" w:rsidRPr="00956D0A">
              <w:rPr>
                <w:sz w:val="20"/>
                <w:szCs w:val="20"/>
                <w:lang w:val="en-US"/>
              </w:rPr>
              <w:t>Attorney General of British Columbia</w:t>
            </w:r>
          </w:p>
          <w:p w:rsidR="00D16B88" w:rsidRPr="00956D0A" w:rsidRDefault="00D16B88" w:rsidP="00D16B88">
            <w:pPr>
              <w:tabs>
                <w:tab w:val="left" w:pos="-1440"/>
                <w:tab w:val="left" w:pos="-720"/>
              </w:tabs>
              <w:rPr>
                <w:sz w:val="20"/>
                <w:szCs w:val="20"/>
                <w:lang w:val="en-US"/>
              </w:rPr>
            </w:pPr>
          </w:p>
          <w:p w:rsidR="00D16B88" w:rsidRPr="00956D0A" w:rsidRDefault="00D022B2" w:rsidP="00D16B88">
            <w:pPr>
              <w:rPr>
                <w:sz w:val="20"/>
                <w:szCs w:val="20"/>
                <w:lang w:val="fr-CA"/>
              </w:rPr>
            </w:pPr>
            <w:r w:rsidRPr="00956D0A">
              <w:rPr>
                <w:sz w:val="20"/>
                <w:szCs w:val="20"/>
                <w:lang w:val="fr-CA"/>
              </w:rPr>
              <w:t xml:space="preserve">FILING </w:t>
            </w:r>
            <w:r w:rsidR="00D16B88" w:rsidRPr="00956D0A">
              <w:rPr>
                <w:sz w:val="20"/>
                <w:szCs w:val="20"/>
                <w:lang w:val="fr-CA"/>
              </w:rPr>
              <w:t xml:space="preserve">DATE : </w:t>
            </w:r>
            <w:r w:rsidRPr="00956D0A">
              <w:rPr>
                <w:sz w:val="20"/>
                <w:szCs w:val="20"/>
                <w:lang w:val="fr-CA"/>
              </w:rPr>
              <w:t>November</w:t>
            </w:r>
            <w:r w:rsidR="00D16B88" w:rsidRPr="00956D0A">
              <w:rPr>
                <w:sz w:val="20"/>
                <w:szCs w:val="20"/>
                <w:lang w:val="fr-CA"/>
              </w:rPr>
              <w:t xml:space="preserve"> </w:t>
            </w:r>
            <w:r w:rsidRPr="00956D0A">
              <w:rPr>
                <w:sz w:val="20"/>
                <w:szCs w:val="20"/>
                <w:lang w:val="fr-CA"/>
              </w:rPr>
              <w:t>4,</w:t>
            </w:r>
            <w:r w:rsidR="00D16B88" w:rsidRPr="00956D0A">
              <w:rPr>
                <w:sz w:val="20"/>
                <w:szCs w:val="20"/>
                <w:lang w:val="fr-CA"/>
              </w:rPr>
              <w:t xml:space="preserve"> 2019</w:t>
            </w:r>
          </w:p>
          <w:p w:rsidR="00D16B88" w:rsidRPr="00956D0A" w:rsidRDefault="00D16B88" w:rsidP="00D16B88">
            <w:pPr>
              <w:rPr>
                <w:sz w:val="20"/>
                <w:szCs w:val="20"/>
                <w:lang w:val="fr-CA"/>
              </w:rPr>
            </w:pPr>
          </w:p>
          <w:p w:rsidR="00D16B88" w:rsidRPr="00956D0A" w:rsidRDefault="00937000" w:rsidP="00D16B88">
            <w:pPr>
              <w:rPr>
                <w:b/>
                <w:sz w:val="20"/>
                <w:szCs w:val="20"/>
                <w:lang w:val="fr-CA"/>
              </w:rPr>
            </w:pPr>
            <w:r>
              <w:rPr>
                <w:sz w:val="20"/>
                <w:szCs w:val="20"/>
                <w:lang w:val="fr-CA"/>
              </w:rPr>
              <w:pict>
                <v:rect id="_x0000_i1031" style="width:108pt;height:1pt" o:hrpct="0" o:hrstd="t" o:hrnoshade="t" o:hr="t" fillcolor="black [3213]" stroked="f"/>
              </w:pict>
            </w:r>
          </w:p>
        </w:tc>
        <w:tc>
          <w:tcPr>
            <w:tcW w:w="1141" w:type="dxa"/>
            <w:shd w:val="clear" w:color="auto" w:fill="auto"/>
          </w:tcPr>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p w:rsidR="00D16B88" w:rsidRPr="00956D0A" w:rsidRDefault="00D16B88" w:rsidP="00F138C1">
            <w:pPr>
              <w:jc w:val="center"/>
              <w:rPr>
                <w:sz w:val="20"/>
                <w:szCs w:val="20"/>
                <w:lang w:val="en-US"/>
              </w:rPr>
            </w:pPr>
          </w:p>
        </w:tc>
        <w:tc>
          <w:tcPr>
            <w:tcW w:w="4239" w:type="dxa"/>
            <w:shd w:val="clear" w:color="auto" w:fill="auto"/>
          </w:tcPr>
          <w:p w:rsidR="00D16B88" w:rsidRPr="00956D0A" w:rsidRDefault="001D6F21" w:rsidP="00D16B88">
            <w:pPr>
              <w:rPr>
                <w:b/>
                <w:sz w:val="20"/>
                <w:szCs w:val="20"/>
                <w:lang w:val="fr-CA"/>
              </w:rPr>
            </w:pPr>
            <w:r w:rsidRPr="00956D0A">
              <w:rPr>
                <w:b/>
                <w:sz w:val="20"/>
                <w:szCs w:val="20"/>
                <w:lang w:val="fr-CA"/>
              </w:rPr>
              <w:t>Paul Harrison</w:t>
            </w:r>
          </w:p>
          <w:p w:rsidR="00D16B88" w:rsidRPr="00956D0A" w:rsidRDefault="00D16B88" w:rsidP="00D16B88">
            <w:pPr>
              <w:tabs>
                <w:tab w:val="left" w:pos="-1440"/>
                <w:tab w:val="left" w:pos="-720"/>
              </w:tabs>
              <w:rPr>
                <w:sz w:val="20"/>
                <w:szCs w:val="20"/>
                <w:lang w:val="fr-CA"/>
              </w:rPr>
            </w:pPr>
            <w:r w:rsidRPr="00956D0A">
              <w:rPr>
                <w:sz w:val="20"/>
                <w:szCs w:val="20"/>
                <w:lang w:val="fr-CA"/>
              </w:rPr>
              <w:tab/>
            </w:r>
            <w:r w:rsidR="001D6F21" w:rsidRPr="00956D0A">
              <w:rPr>
                <w:sz w:val="20"/>
                <w:szCs w:val="20"/>
                <w:lang w:val="fr-CA"/>
              </w:rPr>
              <w:t>Paul Harrison</w:t>
            </w:r>
          </w:p>
          <w:p w:rsidR="00D16B88" w:rsidRPr="00956D0A" w:rsidRDefault="00D16B88" w:rsidP="00D16B88">
            <w:pPr>
              <w:tabs>
                <w:tab w:val="left" w:pos="-1440"/>
                <w:tab w:val="left" w:pos="-720"/>
              </w:tabs>
              <w:rPr>
                <w:sz w:val="20"/>
                <w:szCs w:val="20"/>
                <w:lang w:val="fr-CA"/>
              </w:rPr>
            </w:pPr>
          </w:p>
          <w:p w:rsidR="00D16B88" w:rsidRPr="00956D0A" w:rsidRDefault="00D16B88" w:rsidP="00D16B88">
            <w:pPr>
              <w:tabs>
                <w:tab w:val="left" w:pos="-1440"/>
                <w:tab w:val="left" w:pos="-720"/>
              </w:tabs>
              <w:rPr>
                <w:sz w:val="20"/>
                <w:szCs w:val="20"/>
                <w:lang w:val="fr-CA"/>
              </w:rPr>
            </w:pPr>
            <w:r w:rsidRPr="00956D0A">
              <w:rPr>
                <w:sz w:val="20"/>
                <w:szCs w:val="20"/>
                <w:lang w:val="fr-CA"/>
              </w:rPr>
              <w:tab/>
            </w:r>
            <w:r w:rsidR="00AB44F2" w:rsidRPr="00956D0A">
              <w:rPr>
                <w:sz w:val="20"/>
                <w:szCs w:val="20"/>
                <w:lang w:val="fr-CA"/>
              </w:rPr>
              <w:t>v</w:t>
            </w:r>
            <w:r w:rsidRPr="00956D0A">
              <w:rPr>
                <w:sz w:val="20"/>
                <w:szCs w:val="20"/>
                <w:lang w:val="fr-CA"/>
              </w:rPr>
              <w:t>. (39</w:t>
            </w:r>
            <w:r w:rsidR="00AB44F2" w:rsidRPr="00956D0A">
              <w:rPr>
                <w:sz w:val="20"/>
                <w:szCs w:val="20"/>
                <w:lang w:val="fr-CA"/>
              </w:rPr>
              <w:t>03</w:t>
            </w:r>
            <w:r w:rsidRPr="00956D0A">
              <w:rPr>
                <w:sz w:val="20"/>
                <w:szCs w:val="20"/>
                <w:lang w:val="fr-CA"/>
              </w:rPr>
              <w:t>6)</w:t>
            </w:r>
          </w:p>
          <w:p w:rsidR="00D16B88" w:rsidRPr="00956D0A" w:rsidRDefault="00D16B88" w:rsidP="00D16B88">
            <w:pPr>
              <w:tabs>
                <w:tab w:val="left" w:pos="-1440"/>
                <w:tab w:val="left" w:pos="-720"/>
              </w:tabs>
              <w:rPr>
                <w:sz w:val="20"/>
                <w:szCs w:val="20"/>
                <w:lang w:val="fr-CA"/>
              </w:rPr>
            </w:pPr>
          </w:p>
          <w:p w:rsidR="00D16B88" w:rsidRPr="00956D0A" w:rsidRDefault="001D6F21" w:rsidP="00D16B88">
            <w:pPr>
              <w:tabs>
                <w:tab w:val="left" w:pos="-1440"/>
                <w:tab w:val="left" w:pos="-720"/>
              </w:tabs>
              <w:rPr>
                <w:b/>
                <w:sz w:val="20"/>
                <w:szCs w:val="20"/>
                <w:lang w:val="fr-CA"/>
              </w:rPr>
            </w:pPr>
            <w:r w:rsidRPr="00956D0A">
              <w:rPr>
                <w:b/>
                <w:sz w:val="20"/>
                <w:szCs w:val="20"/>
                <w:lang w:val="fr-CA"/>
              </w:rPr>
              <w:t xml:space="preserve">Liz Michelle Arrocha </w:t>
            </w:r>
            <w:r w:rsidR="00D16B88" w:rsidRPr="00956D0A">
              <w:rPr>
                <w:b/>
                <w:sz w:val="20"/>
                <w:szCs w:val="20"/>
                <w:lang w:val="fr-CA"/>
              </w:rPr>
              <w:t>(</w:t>
            </w:r>
            <w:r w:rsidR="00AB44F2" w:rsidRPr="00956D0A">
              <w:rPr>
                <w:b/>
                <w:sz w:val="20"/>
                <w:szCs w:val="20"/>
                <w:lang w:val="fr-CA"/>
              </w:rPr>
              <w:t>Ont.</w:t>
            </w:r>
            <w:r w:rsidR="00D16B88" w:rsidRPr="00956D0A">
              <w:rPr>
                <w:b/>
                <w:sz w:val="20"/>
                <w:szCs w:val="20"/>
                <w:lang w:val="fr-CA"/>
              </w:rPr>
              <w:t>)</w:t>
            </w:r>
          </w:p>
          <w:p w:rsidR="00D16B88" w:rsidRPr="00956D0A" w:rsidRDefault="00D16B88" w:rsidP="00D16B88">
            <w:pPr>
              <w:tabs>
                <w:tab w:val="left" w:pos="-1440"/>
                <w:tab w:val="left" w:pos="-720"/>
              </w:tabs>
              <w:rPr>
                <w:sz w:val="20"/>
                <w:szCs w:val="20"/>
                <w:lang w:val="en-US"/>
              </w:rPr>
            </w:pPr>
            <w:r w:rsidRPr="00956D0A">
              <w:rPr>
                <w:sz w:val="20"/>
                <w:szCs w:val="20"/>
                <w:lang w:val="fr-CA"/>
              </w:rPr>
              <w:tab/>
            </w:r>
            <w:r w:rsidR="001D6F21" w:rsidRPr="00956D0A">
              <w:rPr>
                <w:sz w:val="20"/>
                <w:szCs w:val="20"/>
                <w:lang w:val="en-US"/>
              </w:rPr>
              <w:t>Frisch, Irving I.</w:t>
            </w:r>
          </w:p>
          <w:p w:rsidR="00D16B88" w:rsidRPr="00956D0A" w:rsidRDefault="00D16B88" w:rsidP="00D16B88">
            <w:pPr>
              <w:tabs>
                <w:tab w:val="left" w:pos="-1440"/>
                <w:tab w:val="left" w:pos="-720"/>
              </w:tabs>
              <w:rPr>
                <w:sz w:val="20"/>
                <w:szCs w:val="20"/>
                <w:lang w:val="en-US"/>
              </w:rPr>
            </w:pPr>
            <w:r w:rsidRPr="00956D0A">
              <w:rPr>
                <w:sz w:val="20"/>
                <w:szCs w:val="20"/>
                <w:lang w:val="en-US"/>
              </w:rPr>
              <w:tab/>
            </w:r>
            <w:r w:rsidR="001D6F21" w:rsidRPr="00956D0A">
              <w:rPr>
                <w:sz w:val="20"/>
                <w:szCs w:val="20"/>
                <w:lang w:val="en-US"/>
              </w:rPr>
              <w:t>Flancman &amp; Frisch</w:t>
            </w:r>
          </w:p>
          <w:p w:rsidR="00D16B88" w:rsidRPr="00956D0A" w:rsidRDefault="00D16B88" w:rsidP="00D16B88">
            <w:pPr>
              <w:tabs>
                <w:tab w:val="left" w:pos="-1440"/>
                <w:tab w:val="left" w:pos="-720"/>
              </w:tabs>
              <w:rPr>
                <w:sz w:val="20"/>
                <w:szCs w:val="20"/>
                <w:lang w:val="en-US"/>
              </w:rPr>
            </w:pPr>
          </w:p>
          <w:p w:rsidR="00D16B88" w:rsidRPr="00956D0A" w:rsidRDefault="00AB44F2" w:rsidP="00D16B88">
            <w:pPr>
              <w:rPr>
                <w:sz w:val="20"/>
                <w:szCs w:val="20"/>
                <w:lang w:val="en-US"/>
              </w:rPr>
            </w:pPr>
            <w:r w:rsidRPr="00956D0A">
              <w:rPr>
                <w:sz w:val="20"/>
                <w:szCs w:val="20"/>
                <w:lang w:val="en-US"/>
              </w:rPr>
              <w:t xml:space="preserve">FILING </w:t>
            </w:r>
            <w:r w:rsidR="00D16B88" w:rsidRPr="00956D0A">
              <w:rPr>
                <w:sz w:val="20"/>
                <w:szCs w:val="20"/>
                <w:lang w:val="en-US"/>
              </w:rPr>
              <w:t xml:space="preserve">DATE: </w:t>
            </w:r>
            <w:r w:rsidRPr="00956D0A">
              <w:rPr>
                <w:sz w:val="20"/>
                <w:szCs w:val="20"/>
                <w:lang w:val="en-US"/>
              </w:rPr>
              <w:t>December 20,</w:t>
            </w:r>
            <w:r w:rsidR="00D16B88" w:rsidRPr="00956D0A">
              <w:rPr>
                <w:sz w:val="20"/>
                <w:szCs w:val="20"/>
                <w:lang w:val="en-US"/>
              </w:rPr>
              <w:t xml:space="preserve"> 2019</w:t>
            </w:r>
          </w:p>
          <w:p w:rsidR="00D16B88" w:rsidRPr="00956D0A" w:rsidRDefault="00D16B88" w:rsidP="00D16B88">
            <w:pPr>
              <w:rPr>
                <w:sz w:val="20"/>
                <w:szCs w:val="20"/>
                <w:lang w:val="en-US"/>
              </w:rPr>
            </w:pPr>
          </w:p>
          <w:p w:rsidR="00D16B88" w:rsidRPr="00956D0A" w:rsidRDefault="00937000" w:rsidP="00D16B88">
            <w:pPr>
              <w:rPr>
                <w:b/>
                <w:sz w:val="20"/>
                <w:szCs w:val="20"/>
                <w:lang w:val="fr-CA"/>
              </w:rPr>
            </w:pPr>
            <w:r>
              <w:rPr>
                <w:sz w:val="20"/>
                <w:szCs w:val="20"/>
                <w:lang w:val="fr-CA"/>
              </w:rPr>
              <w:pict>
                <v:rect id="_x0000_i1032" style="width:108pt;height:1pt" o:hrpct="0" o:hrstd="t" o:hrnoshade="t" o:hr="t" fillcolor="black [3213]" stroked="f"/>
              </w:pict>
            </w:r>
          </w:p>
        </w:tc>
      </w:tr>
      <w:tr w:rsidR="002A23E0" w:rsidRPr="00956D0A" w:rsidTr="00F138C1">
        <w:tc>
          <w:tcPr>
            <w:tcW w:w="4239" w:type="dxa"/>
            <w:shd w:val="clear" w:color="auto" w:fill="auto"/>
          </w:tcPr>
          <w:p w:rsidR="002A23E0" w:rsidRPr="00956D0A" w:rsidRDefault="00594F38" w:rsidP="002A23E0">
            <w:pPr>
              <w:rPr>
                <w:b/>
                <w:sz w:val="20"/>
                <w:szCs w:val="20"/>
                <w:lang w:val="en-US"/>
              </w:rPr>
            </w:pPr>
            <w:r w:rsidRPr="00956D0A">
              <w:rPr>
                <w:b/>
                <w:sz w:val="20"/>
                <w:szCs w:val="20"/>
                <w:lang w:val="en-US"/>
              </w:rPr>
              <w:t>Zakaria Rizqy</w:t>
            </w:r>
          </w:p>
          <w:p w:rsidR="002A23E0" w:rsidRPr="00956D0A" w:rsidRDefault="002A23E0" w:rsidP="002A23E0">
            <w:pPr>
              <w:tabs>
                <w:tab w:val="left" w:pos="-1440"/>
                <w:tab w:val="left" w:pos="-720"/>
              </w:tabs>
              <w:rPr>
                <w:sz w:val="20"/>
                <w:szCs w:val="20"/>
                <w:lang w:val="en-US"/>
              </w:rPr>
            </w:pPr>
            <w:r w:rsidRPr="00956D0A">
              <w:rPr>
                <w:sz w:val="20"/>
                <w:szCs w:val="20"/>
                <w:lang w:val="en-US"/>
              </w:rPr>
              <w:tab/>
            </w:r>
            <w:r w:rsidR="00594F38" w:rsidRPr="00956D0A">
              <w:rPr>
                <w:sz w:val="20"/>
                <w:szCs w:val="20"/>
                <w:lang w:val="en-US"/>
              </w:rPr>
              <w:t>Zakaria Rizqy</w:t>
            </w:r>
          </w:p>
          <w:p w:rsidR="002A23E0" w:rsidRPr="00956D0A" w:rsidRDefault="002A23E0" w:rsidP="002A23E0">
            <w:pPr>
              <w:tabs>
                <w:tab w:val="left" w:pos="-1440"/>
                <w:tab w:val="left" w:pos="-720"/>
              </w:tabs>
              <w:rPr>
                <w:sz w:val="20"/>
                <w:szCs w:val="20"/>
                <w:lang w:val="en-US"/>
              </w:rPr>
            </w:pPr>
          </w:p>
          <w:p w:rsidR="002A23E0" w:rsidRPr="00956D0A" w:rsidRDefault="002A23E0" w:rsidP="002A23E0">
            <w:pPr>
              <w:tabs>
                <w:tab w:val="left" w:pos="-1440"/>
                <w:tab w:val="left" w:pos="-720"/>
              </w:tabs>
              <w:rPr>
                <w:sz w:val="20"/>
                <w:szCs w:val="20"/>
                <w:lang w:val="en-US"/>
              </w:rPr>
            </w:pPr>
            <w:r w:rsidRPr="00956D0A">
              <w:rPr>
                <w:sz w:val="20"/>
                <w:szCs w:val="20"/>
                <w:lang w:val="en-US"/>
              </w:rPr>
              <w:tab/>
            </w:r>
            <w:r w:rsidR="00C6378F" w:rsidRPr="00956D0A">
              <w:rPr>
                <w:sz w:val="20"/>
                <w:szCs w:val="20"/>
                <w:lang w:val="en-US"/>
              </w:rPr>
              <w:t>c</w:t>
            </w:r>
            <w:r w:rsidRPr="00956D0A">
              <w:rPr>
                <w:sz w:val="20"/>
                <w:szCs w:val="20"/>
                <w:lang w:val="en-US"/>
              </w:rPr>
              <w:t>. (3</w:t>
            </w:r>
            <w:r w:rsidR="00C6378F" w:rsidRPr="00956D0A">
              <w:rPr>
                <w:sz w:val="20"/>
                <w:szCs w:val="20"/>
                <w:lang w:val="en-US"/>
              </w:rPr>
              <w:t>8</w:t>
            </w:r>
            <w:r w:rsidRPr="00956D0A">
              <w:rPr>
                <w:sz w:val="20"/>
                <w:szCs w:val="20"/>
                <w:lang w:val="en-US"/>
              </w:rPr>
              <w:t>9</w:t>
            </w:r>
            <w:r w:rsidR="00C6378F" w:rsidRPr="00956D0A">
              <w:rPr>
                <w:sz w:val="20"/>
                <w:szCs w:val="20"/>
                <w:lang w:val="en-US"/>
              </w:rPr>
              <w:t>45</w:t>
            </w:r>
            <w:r w:rsidRPr="00956D0A">
              <w:rPr>
                <w:sz w:val="20"/>
                <w:szCs w:val="20"/>
                <w:lang w:val="en-US"/>
              </w:rPr>
              <w:t>)</w:t>
            </w:r>
          </w:p>
          <w:p w:rsidR="002A23E0" w:rsidRPr="00956D0A" w:rsidRDefault="002A23E0" w:rsidP="002A23E0">
            <w:pPr>
              <w:tabs>
                <w:tab w:val="left" w:pos="-1440"/>
                <w:tab w:val="left" w:pos="-720"/>
              </w:tabs>
              <w:rPr>
                <w:sz w:val="20"/>
                <w:szCs w:val="20"/>
                <w:lang w:val="en-US"/>
              </w:rPr>
            </w:pPr>
          </w:p>
          <w:p w:rsidR="002A23E0" w:rsidRPr="00956D0A" w:rsidRDefault="00594F38" w:rsidP="002A23E0">
            <w:pPr>
              <w:tabs>
                <w:tab w:val="left" w:pos="-1440"/>
                <w:tab w:val="left" w:pos="-720"/>
              </w:tabs>
              <w:rPr>
                <w:b/>
                <w:sz w:val="20"/>
                <w:szCs w:val="20"/>
                <w:lang w:val="fr-CA"/>
              </w:rPr>
            </w:pPr>
            <w:r w:rsidRPr="00956D0A">
              <w:rPr>
                <w:b/>
                <w:sz w:val="20"/>
                <w:szCs w:val="20"/>
                <w:lang w:val="fr-CA"/>
              </w:rPr>
              <w:t xml:space="preserve">Échelon compagnie d'assurance générale </w:t>
            </w:r>
            <w:r w:rsidR="002A23E0" w:rsidRPr="00956D0A">
              <w:rPr>
                <w:b/>
                <w:sz w:val="20"/>
                <w:szCs w:val="20"/>
                <w:lang w:val="fr-CA"/>
              </w:rPr>
              <w:t>(</w:t>
            </w:r>
            <w:r w:rsidRPr="00956D0A">
              <w:rPr>
                <w:b/>
                <w:sz w:val="20"/>
                <w:szCs w:val="20"/>
                <w:lang w:val="fr-CA"/>
              </w:rPr>
              <w:t>Qc</w:t>
            </w:r>
            <w:r w:rsidR="002A23E0" w:rsidRPr="00956D0A">
              <w:rPr>
                <w:b/>
                <w:sz w:val="20"/>
                <w:szCs w:val="20"/>
                <w:lang w:val="fr-CA"/>
              </w:rPr>
              <w:t>)</w:t>
            </w:r>
          </w:p>
          <w:p w:rsidR="002A23E0" w:rsidRPr="00956D0A" w:rsidRDefault="002A23E0" w:rsidP="002A23E0">
            <w:pPr>
              <w:tabs>
                <w:tab w:val="left" w:pos="-1440"/>
                <w:tab w:val="left" w:pos="-720"/>
              </w:tabs>
              <w:rPr>
                <w:sz w:val="20"/>
                <w:szCs w:val="20"/>
                <w:lang w:val="fr-CA"/>
              </w:rPr>
            </w:pPr>
            <w:r w:rsidRPr="00956D0A">
              <w:rPr>
                <w:sz w:val="20"/>
                <w:szCs w:val="20"/>
                <w:lang w:val="fr-CA"/>
              </w:rPr>
              <w:tab/>
            </w:r>
            <w:r w:rsidR="00594F38" w:rsidRPr="00956D0A">
              <w:rPr>
                <w:sz w:val="20"/>
                <w:szCs w:val="20"/>
                <w:lang w:val="fr-CA"/>
              </w:rPr>
              <w:t>Robichon, Nicolas</w:t>
            </w:r>
          </w:p>
          <w:p w:rsidR="002A23E0" w:rsidRPr="00956D0A" w:rsidRDefault="002A23E0" w:rsidP="002A23E0">
            <w:pPr>
              <w:tabs>
                <w:tab w:val="left" w:pos="-1440"/>
                <w:tab w:val="left" w:pos="-720"/>
              </w:tabs>
              <w:rPr>
                <w:sz w:val="20"/>
                <w:szCs w:val="20"/>
                <w:lang w:val="fr-CA"/>
              </w:rPr>
            </w:pPr>
            <w:r w:rsidRPr="00956D0A">
              <w:rPr>
                <w:sz w:val="20"/>
                <w:szCs w:val="20"/>
                <w:lang w:val="fr-CA"/>
              </w:rPr>
              <w:tab/>
            </w:r>
            <w:r w:rsidR="00594F38" w:rsidRPr="00956D0A">
              <w:rPr>
                <w:sz w:val="20"/>
                <w:szCs w:val="20"/>
                <w:lang w:val="fr-CA"/>
              </w:rPr>
              <w:t>Donati Maisonneuve</w:t>
            </w:r>
          </w:p>
          <w:p w:rsidR="002A23E0" w:rsidRPr="00956D0A" w:rsidRDefault="002A23E0" w:rsidP="002A23E0">
            <w:pPr>
              <w:tabs>
                <w:tab w:val="left" w:pos="-1440"/>
                <w:tab w:val="left" w:pos="-720"/>
              </w:tabs>
              <w:rPr>
                <w:sz w:val="20"/>
                <w:szCs w:val="20"/>
                <w:lang w:val="fr-CA"/>
              </w:rPr>
            </w:pPr>
          </w:p>
          <w:p w:rsidR="002A23E0" w:rsidRPr="00956D0A" w:rsidRDefault="002A23E0" w:rsidP="002A23E0">
            <w:pPr>
              <w:rPr>
                <w:sz w:val="20"/>
                <w:szCs w:val="20"/>
                <w:lang w:val="fr-CA"/>
              </w:rPr>
            </w:pPr>
            <w:r w:rsidRPr="00956D0A">
              <w:rPr>
                <w:sz w:val="20"/>
                <w:szCs w:val="20"/>
                <w:lang w:val="fr-CA"/>
              </w:rPr>
              <w:t>DATE</w:t>
            </w:r>
            <w:r w:rsidR="00C6378F" w:rsidRPr="00956D0A">
              <w:rPr>
                <w:sz w:val="20"/>
                <w:szCs w:val="20"/>
                <w:lang w:val="fr-CA"/>
              </w:rPr>
              <w:t xml:space="preserve"> DE PRODUCTION </w:t>
            </w:r>
            <w:r w:rsidRPr="00956D0A">
              <w:rPr>
                <w:sz w:val="20"/>
                <w:szCs w:val="20"/>
                <w:lang w:val="fr-CA"/>
              </w:rPr>
              <w:t xml:space="preserve">: </w:t>
            </w:r>
            <w:r w:rsidR="00C6378F" w:rsidRPr="00956D0A">
              <w:rPr>
                <w:sz w:val="20"/>
                <w:szCs w:val="20"/>
                <w:lang w:val="fr-CA"/>
              </w:rPr>
              <w:t>le 4 septembre</w:t>
            </w:r>
            <w:r w:rsidRPr="00956D0A">
              <w:rPr>
                <w:sz w:val="20"/>
                <w:szCs w:val="20"/>
                <w:lang w:val="fr-CA"/>
              </w:rPr>
              <w:t xml:space="preserve"> 2019</w:t>
            </w:r>
          </w:p>
          <w:p w:rsidR="002A23E0" w:rsidRPr="00956D0A" w:rsidRDefault="002A23E0" w:rsidP="002A23E0">
            <w:pPr>
              <w:rPr>
                <w:sz w:val="20"/>
                <w:szCs w:val="20"/>
                <w:lang w:val="fr-CA"/>
              </w:rPr>
            </w:pPr>
          </w:p>
          <w:p w:rsidR="002A23E0" w:rsidRPr="00956D0A" w:rsidRDefault="00937000" w:rsidP="002A23E0">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p w:rsidR="002A23E0" w:rsidRPr="00956D0A" w:rsidRDefault="002A23E0" w:rsidP="00F138C1">
            <w:pPr>
              <w:jc w:val="center"/>
              <w:rPr>
                <w:sz w:val="20"/>
                <w:szCs w:val="20"/>
                <w:lang w:val="en-US"/>
              </w:rPr>
            </w:pPr>
          </w:p>
        </w:tc>
        <w:tc>
          <w:tcPr>
            <w:tcW w:w="4239" w:type="dxa"/>
            <w:shd w:val="clear" w:color="auto" w:fill="auto"/>
          </w:tcPr>
          <w:p w:rsidR="002A23E0" w:rsidRPr="00956D0A" w:rsidRDefault="002A23E0" w:rsidP="00D16B88">
            <w:pPr>
              <w:rPr>
                <w:b/>
                <w:sz w:val="20"/>
                <w:szCs w:val="20"/>
                <w:lang w:val="fr-CA"/>
              </w:rPr>
            </w:pPr>
          </w:p>
        </w:tc>
      </w:tr>
    </w:tbl>
    <w:p w:rsidR="00F138C1" w:rsidRPr="00956D0A" w:rsidRDefault="00F138C1" w:rsidP="00F138C1">
      <w:pPr>
        <w:tabs>
          <w:tab w:val="right" w:pos="9360"/>
        </w:tabs>
        <w:rPr>
          <w:sz w:val="20"/>
          <w:szCs w:val="20"/>
          <w:lang w:val="fr-CA"/>
        </w:rPr>
      </w:pPr>
    </w:p>
    <w:p w:rsidR="00D05E5D" w:rsidRPr="00956D0A" w:rsidRDefault="00D05E5D" w:rsidP="00F138C1">
      <w:pPr>
        <w:tabs>
          <w:tab w:val="right" w:pos="9360"/>
        </w:tabs>
        <w:rPr>
          <w:sz w:val="20"/>
          <w:szCs w:val="20"/>
          <w:lang w:val="fr-CA"/>
        </w:rPr>
      </w:pPr>
    </w:p>
    <w:p w:rsidR="00C01FCB" w:rsidRPr="00956D0A" w:rsidRDefault="00C01FCB" w:rsidP="0095096B">
      <w:pPr>
        <w:tabs>
          <w:tab w:val="right" w:pos="9360"/>
        </w:tabs>
        <w:rPr>
          <w:sz w:val="20"/>
          <w:szCs w:val="20"/>
          <w:lang w:val="fr-CA"/>
        </w:rPr>
      </w:pPr>
    </w:p>
    <w:p w:rsidR="00242AEE" w:rsidRPr="00956D0A" w:rsidRDefault="00242AEE" w:rsidP="0095096B">
      <w:pPr>
        <w:tabs>
          <w:tab w:val="right" w:pos="9360"/>
        </w:tabs>
        <w:rPr>
          <w:sz w:val="20"/>
          <w:szCs w:val="20"/>
          <w:lang w:val="fr-CA"/>
        </w:rPr>
        <w:sectPr w:rsidR="00242AEE" w:rsidRPr="00956D0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956D0A" w:rsidRDefault="00DD0BDC" w:rsidP="00567602">
      <w:pPr>
        <w:pStyle w:val="Header1StyleE"/>
        <w:pBdr>
          <w:bottom w:val="single" w:sz="12" w:space="1" w:color="auto"/>
        </w:pBdr>
        <w:rPr>
          <w:lang w:val="fr-CA"/>
        </w:rPr>
      </w:pPr>
      <w:bookmarkStart w:id="1" w:name="_Toc32998866"/>
      <w:r w:rsidRPr="00956D0A">
        <w:rPr>
          <w:lang w:val="fr-CA"/>
        </w:rPr>
        <w:t>Applications for leave submitted to the Court</w:t>
      </w:r>
      <w:r w:rsidR="000F2CA3" w:rsidRPr="00956D0A">
        <w:rPr>
          <w:lang w:val="fr-CA"/>
        </w:rPr>
        <w:t xml:space="preserve"> </w:t>
      </w:r>
      <w:r w:rsidRPr="00956D0A">
        <w:rPr>
          <w:lang w:val="fr-CA"/>
        </w:rPr>
        <w:t>since the last issue</w:t>
      </w:r>
      <w:r w:rsidR="000F2CA3" w:rsidRPr="00956D0A">
        <w:rPr>
          <w:lang w:val="fr-CA"/>
        </w:rPr>
        <w:t xml:space="preserve"> </w:t>
      </w:r>
      <w:r w:rsidR="00271E1E" w:rsidRPr="00956D0A">
        <w:rPr>
          <w:lang w:val="fr-CA"/>
        </w:rPr>
        <w:t xml:space="preserve">/ </w:t>
      </w:r>
      <w:r w:rsidRPr="00956D0A">
        <w:rPr>
          <w:lang w:val="fr-CA"/>
        </w:rPr>
        <w:br/>
        <w:t xml:space="preserve">Demandes soumises à la </w:t>
      </w:r>
      <w:r w:rsidR="000C1D9D" w:rsidRPr="00956D0A">
        <w:rPr>
          <w:lang w:val="fr-CA"/>
        </w:rPr>
        <w:t>C</w:t>
      </w:r>
      <w:r w:rsidRPr="00956D0A">
        <w:rPr>
          <w:lang w:val="fr-CA"/>
        </w:rPr>
        <w:t>our depuis la dernière parution</w:t>
      </w:r>
      <w:bookmarkEnd w:id="1"/>
    </w:p>
    <w:p w:rsidR="00FB1DB6" w:rsidRPr="00956D0A" w:rsidRDefault="00FB1DB6" w:rsidP="00FB1DB6">
      <w:pPr>
        <w:rPr>
          <w:sz w:val="20"/>
          <w:szCs w:val="20"/>
          <w:lang w:val="fr-CA" w:eastAsia="en-CA"/>
        </w:rPr>
      </w:pPr>
    </w:p>
    <w:p w:rsidR="00102792" w:rsidRPr="00956D0A" w:rsidRDefault="004A7C02" w:rsidP="00102792">
      <w:pPr>
        <w:widowControl w:val="0"/>
        <w:rPr>
          <w:b/>
          <w:sz w:val="20"/>
          <w:szCs w:val="20"/>
          <w:lang w:val="fr-CA"/>
        </w:rPr>
      </w:pPr>
      <w:r w:rsidRPr="00956D0A">
        <w:rPr>
          <w:b/>
          <w:sz w:val="20"/>
          <w:szCs w:val="20"/>
          <w:lang w:val="fr-CA"/>
        </w:rPr>
        <w:t>FEBRUARY</w:t>
      </w:r>
      <w:r w:rsidR="00102792" w:rsidRPr="00956D0A">
        <w:rPr>
          <w:b/>
          <w:sz w:val="20"/>
          <w:szCs w:val="20"/>
          <w:lang w:val="fr-CA"/>
        </w:rPr>
        <w:t xml:space="preserve"> </w:t>
      </w:r>
      <w:r w:rsidRPr="00956D0A">
        <w:rPr>
          <w:b/>
          <w:sz w:val="20"/>
          <w:szCs w:val="20"/>
          <w:lang w:val="fr-CA"/>
        </w:rPr>
        <w:t>17</w:t>
      </w:r>
      <w:r w:rsidR="00102792" w:rsidRPr="00956D0A">
        <w:rPr>
          <w:b/>
          <w:sz w:val="20"/>
          <w:szCs w:val="20"/>
          <w:lang w:val="fr-CA"/>
        </w:rPr>
        <w:t xml:space="preserve">, </w:t>
      </w:r>
      <w:r w:rsidR="0034657E" w:rsidRPr="00956D0A">
        <w:rPr>
          <w:b/>
          <w:sz w:val="20"/>
          <w:szCs w:val="20"/>
          <w:lang w:val="fr-CA"/>
        </w:rPr>
        <w:t>20</w:t>
      </w:r>
      <w:r w:rsidR="005967EF" w:rsidRPr="00956D0A">
        <w:rPr>
          <w:b/>
          <w:sz w:val="20"/>
          <w:szCs w:val="20"/>
          <w:lang w:val="fr-CA"/>
        </w:rPr>
        <w:t>20</w:t>
      </w:r>
      <w:r w:rsidR="00102792" w:rsidRPr="00956D0A">
        <w:rPr>
          <w:b/>
          <w:sz w:val="20"/>
          <w:szCs w:val="20"/>
          <w:lang w:val="fr-CA"/>
        </w:rPr>
        <w:t xml:space="preserve"> / LE </w:t>
      </w:r>
      <w:r w:rsidRPr="00956D0A">
        <w:rPr>
          <w:b/>
          <w:sz w:val="20"/>
          <w:szCs w:val="20"/>
          <w:lang w:val="fr-CA"/>
        </w:rPr>
        <w:t>17</w:t>
      </w:r>
      <w:r w:rsidR="00102792" w:rsidRPr="00956D0A">
        <w:rPr>
          <w:b/>
          <w:sz w:val="20"/>
          <w:szCs w:val="20"/>
          <w:lang w:val="fr-CA"/>
        </w:rPr>
        <w:t xml:space="preserve"> </w:t>
      </w:r>
      <w:r w:rsidRPr="00956D0A">
        <w:rPr>
          <w:b/>
          <w:sz w:val="20"/>
          <w:szCs w:val="20"/>
          <w:lang w:val="fr-CA"/>
        </w:rPr>
        <w:t>FÉVRI</w:t>
      </w:r>
      <w:r w:rsidR="005967EF" w:rsidRPr="00956D0A">
        <w:rPr>
          <w:b/>
          <w:sz w:val="20"/>
          <w:szCs w:val="20"/>
          <w:lang w:val="fr-CA"/>
        </w:rPr>
        <w:t>ER</w:t>
      </w:r>
      <w:r w:rsidR="00102792" w:rsidRPr="00956D0A">
        <w:rPr>
          <w:b/>
          <w:sz w:val="20"/>
          <w:szCs w:val="20"/>
          <w:lang w:val="fr-CA"/>
        </w:rPr>
        <w:t xml:space="preserve"> </w:t>
      </w:r>
      <w:r w:rsidR="0034657E" w:rsidRPr="00956D0A">
        <w:rPr>
          <w:b/>
          <w:sz w:val="20"/>
          <w:szCs w:val="20"/>
          <w:lang w:val="fr-CA"/>
        </w:rPr>
        <w:t>20</w:t>
      </w:r>
      <w:r w:rsidR="005967EF" w:rsidRPr="00956D0A">
        <w:rPr>
          <w:b/>
          <w:sz w:val="20"/>
          <w:szCs w:val="20"/>
          <w:lang w:val="fr-CA"/>
        </w:rPr>
        <w:t>20</w:t>
      </w:r>
    </w:p>
    <w:p w:rsidR="00215574" w:rsidRPr="00956D0A" w:rsidRDefault="00215574" w:rsidP="00102792">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7B09D6" w:rsidRPr="00937000" w:rsidTr="00FD50E9">
        <w:trPr>
          <w:cantSplit/>
        </w:trPr>
        <w:tc>
          <w:tcPr>
            <w:tcW w:w="9523" w:type="dxa"/>
            <w:gridSpan w:val="5"/>
          </w:tcPr>
          <w:p w:rsidR="007B09D6" w:rsidRPr="00956D0A" w:rsidRDefault="007B09D6" w:rsidP="00FD50E9">
            <w:pPr>
              <w:widowControl w:val="0"/>
              <w:jc w:val="center"/>
              <w:rPr>
                <w:b/>
                <w:sz w:val="20"/>
                <w:szCs w:val="20"/>
              </w:rPr>
            </w:pPr>
            <w:r w:rsidRPr="00956D0A">
              <w:rPr>
                <w:b/>
                <w:sz w:val="20"/>
                <w:szCs w:val="20"/>
              </w:rPr>
              <w:t>CORAM:  Chief Justice Wagner and Rowe and Kasirer JJ.</w:t>
            </w:r>
          </w:p>
          <w:p w:rsidR="007B09D6" w:rsidRPr="00956D0A" w:rsidRDefault="007B09D6" w:rsidP="00FD50E9">
            <w:pPr>
              <w:jc w:val="center"/>
              <w:rPr>
                <w:sz w:val="20"/>
                <w:szCs w:val="20"/>
                <w:lang w:val="fr-CA"/>
              </w:rPr>
            </w:pPr>
            <w:r w:rsidRPr="00956D0A">
              <w:rPr>
                <w:b/>
                <w:sz w:val="20"/>
                <w:szCs w:val="20"/>
                <w:lang w:val="fr-CA"/>
              </w:rPr>
              <w:t>Le juge en chef Wagner et les juges Rowe et Kasirer</w:t>
            </w:r>
          </w:p>
        </w:tc>
      </w:tr>
      <w:tr w:rsidR="007B09D6" w:rsidRPr="00956D0A" w:rsidTr="00FD50E9">
        <w:trPr>
          <w:cantSplit/>
        </w:trPr>
        <w:tc>
          <w:tcPr>
            <w:tcW w:w="505" w:type="dxa"/>
          </w:tcPr>
          <w:p w:rsidR="007B09D6" w:rsidRPr="00956D0A" w:rsidRDefault="007B09D6" w:rsidP="00FD50E9">
            <w:pPr>
              <w:rPr>
                <w:sz w:val="20"/>
                <w:szCs w:val="20"/>
                <w:lang w:val="fr-CA"/>
              </w:rPr>
            </w:pPr>
          </w:p>
        </w:tc>
        <w:tc>
          <w:tcPr>
            <w:tcW w:w="806" w:type="dxa"/>
          </w:tcPr>
          <w:p w:rsidR="007B09D6" w:rsidRPr="00956D0A" w:rsidRDefault="007B09D6" w:rsidP="00FD50E9">
            <w:pPr>
              <w:rPr>
                <w:sz w:val="20"/>
                <w:szCs w:val="20"/>
                <w:lang w:val="fr-CA"/>
              </w:rPr>
            </w:pPr>
          </w:p>
        </w:tc>
        <w:tc>
          <w:tcPr>
            <w:tcW w:w="4027" w:type="dxa"/>
          </w:tcPr>
          <w:p w:rsidR="007B09D6" w:rsidRPr="00956D0A" w:rsidRDefault="007B09D6" w:rsidP="00FD50E9">
            <w:pPr>
              <w:pStyle w:val="SCCAppellantInfoTypeOfCase"/>
              <w:rPr>
                <w:sz w:val="20"/>
                <w:szCs w:val="20"/>
              </w:rPr>
            </w:pPr>
            <w:r w:rsidRPr="00956D0A">
              <w:rPr>
                <w:sz w:val="20"/>
                <w:szCs w:val="20"/>
              </w:rPr>
              <w:t>Criminal / Criminelle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rPr>
                <w:sz w:val="20"/>
                <w:szCs w:val="20"/>
              </w:rPr>
            </w:pP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1.</w:t>
            </w:r>
          </w:p>
        </w:tc>
        <w:tc>
          <w:tcPr>
            <w:tcW w:w="806" w:type="dxa"/>
          </w:tcPr>
          <w:p w:rsidR="002F7385" w:rsidRPr="00956D0A" w:rsidRDefault="002F7385" w:rsidP="002F7385">
            <w:pPr>
              <w:rPr>
                <w:sz w:val="20"/>
                <w:szCs w:val="20"/>
              </w:rPr>
            </w:pPr>
            <w:r w:rsidRPr="00956D0A">
              <w:rPr>
                <w:sz w:val="20"/>
                <w:szCs w:val="20"/>
              </w:rPr>
              <w:t>38995</w:t>
            </w:r>
          </w:p>
        </w:tc>
        <w:tc>
          <w:tcPr>
            <w:tcW w:w="4027" w:type="dxa"/>
          </w:tcPr>
          <w:p w:rsidR="002F7385" w:rsidRPr="00956D0A" w:rsidRDefault="002F7385" w:rsidP="002F7385">
            <w:pPr>
              <w:pStyle w:val="SCCAppellantInfoAppellantInfo"/>
              <w:rPr>
                <w:sz w:val="20"/>
                <w:szCs w:val="20"/>
              </w:rPr>
            </w:pPr>
            <w:r w:rsidRPr="00956D0A">
              <w:rPr>
                <w:sz w:val="20"/>
                <w:szCs w:val="20"/>
              </w:rPr>
              <w:t>Her Majesty the Queen</w:t>
            </w:r>
          </w:p>
          <w:p w:rsidR="002F7385" w:rsidRPr="00956D0A" w:rsidRDefault="002F7385" w:rsidP="002F7385">
            <w:pPr>
              <w:pStyle w:val="SCCAppellantInfoAppellantInfo"/>
              <w:rPr>
                <w:sz w:val="20"/>
                <w:szCs w:val="20"/>
              </w:rPr>
            </w:pPr>
            <w:r w:rsidRPr="00956D0A">
              <w:rPr>
                <w:sz w:val="20"/>
                <w:szCs w:val="20"/>
              </w:rPr>
              <w:t>(N.B.) (Criminal)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James Turpin</w:t>
            </w: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2.</w:t>
            </w:r>
          </w:p>
        </w:tc>
        <w:tc>
          <w:tcPr>
            <w:tcW w:w="806" w:type="dxa"/>
          </w:tcPr>
          <w:p w:rsidR="002F7385" w:rsidRPr="00956D0A" w:rsidRDefault="002F7385" w:rsidP="002F7385">
            <w:pPr>
              <w:rPr>
                <w:sz w:val="20"/>
                <w:szCs w:val="20"/>
              </w:rPr>
            </w:pPr>
            <w:r w:rsidRPr="00956D0A">
              <w:rPr>
                <w:sz w:val="20"/>
                <w:szCs w:val="20"/>
              </w:rPr>
              <w:t>38948</w:t>
            </w:r>
          </w:p>
        </w:tc>
        <w:tc>
          <w:tcPr>
            <w:tcW w:w="4027" w:type="dxa"/>
          </w:tcPr>
          <w:p w:rsidR="002F7385" w:rsidRPr="00956D0A" w:rsidRDefault="002F7385" w:rsidP="002F7385">
            <w:pPr>
              <w:pStyle w:val="SCCAppellantInfoAppellantInfo"/>
              <w:rPr>
                <w:sz w:val="20"/>
                <w:szCs w:val="20"/>
              </w:rPr>
            </w:pPr>
            <w:r w:rsidRPr="00956D0A">
              <w:rPr>
                <w:sz w:val="20"/>
                <w:szCs w:val="20"/>
              </w:rPr>
              <w:t>Clarissa Dawn Ponace</w:t>
            </w:r>
          </w:p>
          <w:p w:rsidR="002F7385" w:rsidRPr="00956D0A" w:rsidRDefault="002F7385" w:rsidP="002F7385">
            <w:pPr>
              <w:pStyle w:val="SCCAppellantInfoAppellantInfo"/>
              <w:rPr>
                <w:sz w:val="20"/>
                <w:szCs w:val="20"/>
              </w:rPr>
            </w:pPr>
            <w:r w:rsidRPr="00956D0A">
              <w:rPr>
                <w:sz w:val="20"/>
                <w:szCs w:val="20"/>
              </w:rPr>
              <w:t>(Man.) (Criminal)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Her Majesty the Queen</w:t>
            </w:r>
          </w:p>
        </w:tc>
      </w:tr>
      <w:tr w:rsidR="007B09D6" w:rsidRPr="00956D0A" w:rsidTr="00FD50E9">
        <w:trPr>
          <w:cantSplit/>
        </w:trPr>
        <w:tc>
          <w:tcPr>
            <w:tcW w:w="505" w:type="dxa"/>
          </w:tcPr>
          <w:p w:rsidR="007B09D6" w:rsidRPr="00956D0A" w:rsidRDefault="007B09D6" w:rsidP="00FD50E9">
            <w:pPr>
              <w:rPr>
                <w:sz w:val="20"/>
                <w:szCs w:val="20"/>
              </w:rPr>
            </w:pPr>
          </w:p>
        </w:tc>
        <w:tc>
          <w:tcPr>
            <w:tcW w:w="806" w:type="dxa"/>
          </w:tcPr>
          <w:p w:rsidR="007B09D6" w:rsidRPr="00956D0A" w:rsidRDefault="007B09D6" w:rsidP="00FD50E9">
            <w:pPr>
              <w:rPr>
                <w:sz w:val="20"/>
                <w:szCs w:val="20"/>
              </w:rPr>
            </w:pPr>
          </w:p>
        </w:tc>
        <w:tc>
          <w:tcPr>
            <w:tcW w:w="4027" w:type="dxa"/>
          </w:tcPr>
          <w:p w:rsidR="007B09D6" w:rsidRPr="00956D0A" w:rsidRDefault="007B09D6" w:rsidP="00FD50E9">
            <w:pPr>
              <w:pStyle w:val="SCCAppellantInfoAppellantInfo"/>
              <w:tabs>
                <w:tab w:val="left" w:pos="986"/>
              </w:tabs>
              <w:rPr>
                <w:b/>
                <w:sz w:val="20"/>
                <w:szCs w:val="20"/>
                <w:lang w:val="fr-CA"/>
              </w:rPr>
            </w:pPr>
            <w:r w:rsidRPr="00956D0A">
              <w:rPr>
                <w:b/>
                <w:sz w:val="20"/>
                <w:szCs w:val="20"/>
                <w:lang w:val="fr-CA"/>
              </w:rPr>
              <w:t>Civil / Civile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pStyle w:val="SCCAppellantInfoAppellantInfo"/>
              <w:rPr>
                <w:sz w:val="20"/>
                <w:szCs w:val="20"/>
                <w:lang w:val="fr-CA"/>
              </w:rPr>
            </w:pPr>
          </w:p>
        </w:tc>
      </w:tr>
      <w:tr w:rsidR="002F7385" w:rsidRPr="00937000" w:rsidTr="00FD50E9">
        <w:trPr>
          <w:cantSplit/>
        </w:trPr>
        <w:tc>
          <w:tcPr>
            <w:tcW w:w="505" w:type="dxa"/>
          </w:tcPr>
          <w:p w:rsidR="002F7385" w:rsidRPr="00956D0A" w:rsidRDefault="002F7385" w:rsidP="002F7385">
            <w:pPr>
              <w:rPr>
                <w:sz w:val="20"/>
                <w:szCs w:val="20"/>
              </w:rPr>
            </w:pPr>
            <w:r w:rsidRPr="00956D0A">
              <w:rPr>
                <w:sz w:val="20"/>
                <w:szCs w:val="20"/>
              </w:rPr>
              <w:t>3.</w:t>
            </w:r>
          </w:p>
        </w:tc>
        <w:tc>
          <w:tcPr>
            <w:tcW w:w="806" w:type="dxa"/>
          </w:tcPr>
          <w:p w:rsidR="002F7385" w:rsidRPr="00956D0A" w:rsidRDefault="002F7385" w:rsidP="002F7385">
            <w:pPr>
              <w:rPr>
                <w:sz w:val="20"/>
                <w:szCs w:val="20"/>
              </w:rPr>
            </w:pPr>
            <w:r w:rsidRPr="00956D0A">
              <w:rPr>
                <w:sz w:val="20"/>
                <w:szCs w:val="20"/>
              </w:rPr>
              <w:t>38919</w:t>
            </w:r>
          </w:p>
        </w:tc>
        <w:tc>
          <w:tcPr>
            <w:tcW w:w="4027" w:type="dxa"/>
          </w:tcPr>
          <w:p w:rsidR="002F7385" w:rsidRPr="00956D0A" w:rsidRDefault="002F7385" w:rsidP="002F7385">
            <w:pPr>
              <w:pStyle w:val="SCCAppellantInfoAppellantInfo"/>
              <w:rPr>
                <w:sz w:val="20"/>
                <w:szCs w:val="20"/>
                <w:lang w:val="fr-CA"/>
              </w:rPr>
            </w:pPr>
            <w:r w:rsidRPr="00956D0A">
              <w:rPr>
                <w:sz w:val="20"/>
                <w:szCs w:val="20"/>
                <w:lang w:val="fr-CA"/>
              </w:rPr>
              <w:t>Glencore Canada Corporation</w:t>
            </w:r>
          </w:p>
          <w:p w:rsidR="002F7385" w:rsidRPr="00956D0A" w:rsidRDefault="002F7385" w:rsidP="002F7385">
            <w:pPr>
              <w:pStyle w:val="SCCAppellantInfoAppellantInfo"/>
              <w:rPr>
                <w:sz w:val="20"/>
                <w:szCs w:val="20"/>
                <w:lang w:val="fr-CA"/>
              </w:rPr>
            </w:pPr>
            <w:r w:rsidRPr="00956D0A">
              <w:rPr>
                <w:sz w:val="20"/>
                <w:szCs w:val="20"/>
                <w:lang w:val="fr-CA"/>
              </w:rPr>
              <w:t>(Qc) (Civile) (Autorisation)</w:t>
            </w:r>
          </w:p>
        </w:tc>
        <w:tc>
          <w:tcPr>
            <w:tcW w:w="359" w:type="dxa"/>
          </w:tcPr>
          <w:p w:rsidR="002F7385" w:rsidRPr="00956D0A" w:rsidRDefault="002F7385" w:rsidP="002F7385">
            <w:pPr>
              <w:rPr>
                <w:sz w:val="20"/>
                <w:szCs w:val="20"/>
              </w:rPr>
            </w:pPr>
            <w:r w:rsidRPr="00956D0A">
              <w:rPr>
                <w:sz w:val="20"/>
                <w:szCs w:val="20"/>
              </w:rPr>
              <w:t>c.</w:t>
            </w:r>
          </w:p>
        </w:tc>
        <w:tc>
          <w:tcPr>
            <w:tcW w:w="3826" w:type="dxa"/>
          </w:tcPr>
          <w:p w:rsidR="002F7385" w:rsidRPr="00956D0A" w:rsidRDefault="002F7385" w:rsidP="002F7385">
            <w:pPr>
              <w:pStyle w:val="SCCAppellantInfoAppellantInfo"/>
              <w:rPr>
                <w:sz w:val="20"/>
                <w:szCs w:val="20"/>
                <w:lang w:val="fr-CA"/>
              </w:rPr>
            </w:pPr>
            <w:r w:rsidRPr="00956D0A">
              <w:rPr>
                <w:sz w:val="20"/>
                <w:szCs w:val="20"/>
                <w:lang w:val="fr-CA"/>
              </w:rPr>
              <w:t>Syndicat des métallos, section locale 9449, et al.</w:t>
            </w: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4.</w:t>
            </w:r>
          </w:p>
        </w:tc>
        <w:tc>
          <w:tcPr>
            <w:tcW w:w="806" w:type="dxa"/>
          </w:tcPr>
          <w:p w:rsidR="002F7385" w:rsidRPr="00956D0A" w:rsidRDefault="002F7385" w:rsidP="002F7385">
            <w:pPr>
              <w:rPr>
                <w:sz w:val="20"/>
                <w:szCs w:val="20"/>
              </w:rPr>
            </w:pPr>
            <w:r w:rsidRPr="00956D0A">
              <w:rPr>
                <w:sz w:val="20"/>
                <w:szCs w:val="20"/>
              </w:rPr>
              <w:t>38891</w:t>
            </w:r>
          </w:p>
        </w:tc>
        <w:tc>
          <w:tcPr>
            <w:tcW w:w="4027" w:type="dxa"/>
          </w:tcPr>
          <w:p w:rsidR="002F7385" w:rsidRPr="00956D0A" w:rsidRDefault="002F7385" w:rsidP="002F7385">
            <w:pPr>
              <w:pStyle w:val="SCCAppellantInfoAppellantInfo"/>
              <w:rPr>
                <w:sz w:val="20"/>
                <w:szCs w:val="20"/>
              </w:rPr>
            </w:pPr>
            <w:r w:rsidRPr="00956D0A">
              <w:rPr>
                <w:sz w:val="20"/>
                <w:szCs w:val="20"/>
              </w:rPr>
              <w:t>David Roger Revell</w:t>
            </w:r>
          </w:p>
          <w:p w:rsidR="002F7385" w:rsidRPr="00956D0A" w:rsidRDefault="002F7385" w:rsidP="002F7385">
            <w:pPr>
              <w:pStyle w:val="SCCAppellantInfoAppellantInfo"/>
              <w:rPr>
                <w:sz w:val="20"/>
                <w:szCs w:val="20"/>
              </w:rPr>
            </w:pPr>
            <w:r w:rsidRPr="00956D0A">
              <w:rPr>
                <w:sz w:val="20"/>
                <w:szCs w:val="20"/>
              </w:rPr>
              <w:t>(F.C.) (Civil)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Minister of Citizenship and Immigration</w:t>
            </w: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5.</w:t>
            </w:r>
          </w:p>
        </w:tc>
        <w:tc>
          <w:tcPr>
            <w:tcW w:w="806" w:type="dxa"/>
          </w:tcPr>
          <w:p w:rsidR="002F7385" w:rsidRPr="00956D0A" w:rsidRDefault="002F7385" w:rsidP="002F7385">
            <w:pPr>
              <w:rPr>
                <w:sz w:val="20"/>
                <w:szCs w:val="20"/>
              </w:rPr>
            </w:pPr>
            <w:r w:rsidRPr="00956D0A">
              <w:rPr>
                <w:sz w:val="20"/>
                <w:szCs w:val="20"/>
              </w:rPr>
              <w:t>38964</w:t>
            </w:r>
          </w:p>
        </w:tc>
        <w:tc>
          <w:tcPr>
            <w:tcW w:w="4027" w:type="dxa"/>
          </w:tcPr>
          <w:p w:rsidR="002F7385" w:rsidRPr="00956D0A" w:rsidRDefault="002F7385" w:rsidP="002F7385">
            <w:pPr>
              <w:pStyle w:val="SCCAppellantInfoAppellantInfo"/>
              <w:rPr>
                <w:sz w:val="20"/>
                <w:szCs w:val="20"/>
              </w:rPr>
            </w:pPr>
            <w:r w:rsidRPr="00956D0A">
              <w:rPr>
                <w:sz w:val="20"/>
                <w:szCs w:val="20"/>
              </w:rPr>
              <w:t>Massimo Thomas Moretto</w:t>
            </w:r>
          </w:p>
          <w:p w:rsidR="002F7385" w:rsidRPr="00956D0A" w:rsidRDefault="002F7385" w:rsidP="002F7385">
            <w:pPr>
              <w:pStyle w:val="SCCAppellantInfoAppellantInfo"/>
              <w:rPr>
                <w:sz w:val="20"/>
                <w:szCs w:val="20"/>
              </w:rPr>
            </w:pPr>
            <w:r w:rsidRPr="00956D0A">
              <w:rPr>
                <w:sz w:val="20"/>
                <w:szCs w:val="20"/>
              </w:rPr>
              <w:t>(F.C.) (Civil)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Minister of Citizenship and Immigration</w:t>
            </w:r>
          </w:p>
        </w:tc>
      </w:tr>
      <w:tr w:rsidR="002F7385" w:rsidRPr="00937000" w:rsidTr="00FD50E9">
        <w:trPr>
          <w:cantSplit/>
        </w:trPr>
        <w:tc>
          <w:tcPr>
            <w:tcW w:w="505" w:type="dxa"/>
          </w:tcPr>
          <w:p w:rsidR="002F7385" w:rsidRPr="00956D0A" w:rsidRDefault="002F7385" w:rsidP="002F7385">
            <w:pPr>
              <w:rPr>
                <w:sz w:val="20"/>
                <w:szCs w:val="20"/>
              </w:rPr>
            </w:pPr>
            <w:r w:rsidRPr="00956D0A">
              <w:rPr>
                <w:sz w:val="20"/>
                <w:szCs w:val="20"/>
              </w:rPr>
              <w:t>6.</w:t>
            </w:r>
          </w:p>
        </w:tc>
        <w:tc>
          <w:tcPr>
            <w:tcW w:w="806" w:type="dxa"/>
          </w:tcPr>
          <w:p w:rsidR="002F7385" w:rsidRPr="00956D0A" w:rsidRDefault="002F7385" w:rsidP="002F7385">
            <w:pPr>
              <w:rPr>
                <w:sz w:val="20"/>
                <w:szCs w:val="20"/>
              </w:rPr>
            </w:pPr>
            <w:r w:rsidRPr="00956D0A">
              <w:rPr>
                <w:sz w:val="20"/>
                <w:szCs w:val="20"/>
              </w:rPr>
              <w:t>38931</w:t>
            </w:r>
          </w:p>
        </w:tc>
        <w:tc>
          <w:tcPr>
            <w:tcW w:w="4027" w:type="dxa"/>
          </w:tcPr>
          <w:p w:rsidR="002F7385" w:rsidRPr="00956D0A" w:rsidRDefault="002F7385" w:rsidP="002F7385">
            <w:pPr>
              <w:pStyle w:val="SCCAppellantInfoAppellantInfo"/>
              <w:rPr>
                <w:sz w:val="20"/>
                <w:szCs w:val="20"/>
                <w:lang w:val="fr-CA"/>
              </w:rPr>
            </w:pPr>
            <w:r w:rsidRPr="00956D0A">
              <w:rPr>
                <w:sz w:val="20"/>
                <w:szCs w:val="20"/>
                <w:lang w:val="fr-CA"/>
              </w:rPr>
              <w:t>Frédéric Seigneur</w:t>
            </w:r>
          </w:p>
          <w:p w:rsidR="002F7385" w:rsidRPr="00956D0A" w:rsidRDefault="002F7385" w:rsidP="002F7385">
            <w:pPr>
              <w:pStyle w:val="SCCAppellantInfoAppellantInfo"/>
              <w:rPr>
                <w:sz w:val="20"/>
                <w:szCs w:val="20"/>
                <w:lang w:val="fr-CA"/>
              </w:rPr>
            </w:pPr>
            <w:r w:rsidRPr="00956D0A">
              <w:rPr>
                <w:sz w:val="20"/>
                <w:szCs w:val="20"/>
                <w:lang w:val="fr-CA"/>
              </w:rPr>
              <w:t>(Qc) (Civile) (Autorisation)</w:t>
            </w:r>
          </w:p>
        </w:tc>
        <w:tc>
          <w:tcPr>
            <w:tcW w:w="359" w:type="dxa"/>
          </w:tcPr>
          <w:p w:rsidR="002F7385" w:rsidRPr="00956D0A" w:rsidRDefault="002F7385" w:rsidP="002F7385">
            <w:pPr>
              <w:rPr>
                <w:sz w:val="20"/>
                <w:szCs w:val="20"/>
              </w:rPr>
            </w:pPr>
            <w:r w:rsidRPr="00956D0A">
              <w:rPr>
                <w:sz w:val="20"/>
                <w:szCs w:val="20"/>
              </w:rPr>
              <w:t>c.</w:t>
            </w:r>
          </w:p>
        </w:tc>
        <w:tc>
          <w:tcPr>
            <w:tcW w:w="3826" w:type="dxa"/>
          </w:tcPr>
          <w:p w:rsidR="002F7385" w:rsidRPr="00956D0A" w:rsidRDefault="002F7385" w:rsidP="002F7385">
            <w:pPr>
              <w:pStyle w:val="SCCAppellantInfoAppellantInfo"/>
              <w:rPr>
                <w:sz w:val="20"/>
                <w:szCs w:val="20"/>
                <w:lang w:val="fr-CA"/>
              </w:rPr>
            </w:pPr>
            <w:r w:rsidRPr="00956D0A">
              <w:rPr>
                <w:sz w:val="20"/>
                <w:szCs w:val="20"/>
                <w:lang w:val="fr-CA"/>
              </w:rPr>
              <w:t>Netflix International B.V., et al.</w:t>
            </w: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7.</w:t>
            </w:r>
          </w:p>
        </w:tc>
        <w:tc>
          <w:tcPr>
            <w:tcW w:w="806" w:type="dxa"/>
          </w:tcPr>
          <w:p w:rsidR="002F7385" w:rsidRPr="00956D0A" w:rsidRDefault="002F7385" w:rsidP="002F7385">
            <w:pPr>
              <w:rPr>
                <w:sz w:val="20"/>
                <w:szCs w:val="20"/>
              </w:rPr>
            </w:pPr>
            <w:r w:rsidRPr="00956D0A">
              <w:rPr>
                <w:sz w:val="20"/>
                <w:szCs w:val="20"/>
              </w:rPr>
              <w:t>38913</w:t>
            </w:r>
          </w:p>
        </w:tc>
        <w:tc>
          <w:tcPr>
            <w:tcW w:w="4027" w:type="dxa"/>
          </w:tcPr>
          <w:p w:rsidR="002F7385" w:rsidRPr="00956D0A" w:rsidRDefault="002F7385" w:rsidP="002F7385">
            <w:pPr>
              <w:pStyle w:val="SCCAppellantInfoAppellantInfo"/>
              <w:rPr>
                <w:sz w:val="20"/>
                <w:szCs w:val="20"/>
              </w:rPr>
            </w:pPr>
            <w:r w:rsidRPr="00956D0A">
              <w:rPr>
                <w:sz w:val="20"/>
                <w:szCs w:val="20"/>
              </w:rPr>
              <w:t>Gary William Martin</w:t>
            </w:r>
          </w:p>
          <w:p w:rsidR="002F7385" w:rsidRPr="00956D0A" w:rsidRDefault="002F7385" w:rsidP="002F7385">
            <w:pPr>
              <w:pStyle w:val="SCCAppellantInfoAppellantInfo"/>
              <w:rPr>
                <w:sz w:val="20"/>
                <w:szCs w:val="20"/>
              </w:rPr>
            </w:pPr>
            <w:r w:rsidRPr="00956D0A">
              <w:rPr>
                <w:sz w:val="20"/>
                <w:szCs w:val="20"/>
              </w:rPr>
              <w:t>(Alta.) (Civil)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Bridge City Chrysler, et al.</w:t>
            </w:r>
          </w:p>
        </w:tc>
      </w:tr>
      <w:tr w:rsidR="002F7385" w:rsidRPr="00956D0A" w:rsidTr="00FD50E9">
        <w:trPr>
          <w:cantSplit/>
        </w:trPr>
        <w:tc>
          <w:tcPr>
            <w:tcW w:w="505" w:type="dxa"/>
          </w:tcPr>
          <w:p w:rsidR="002F7385" w:rsidRPr="00956D0A" w:rsidRDefault="002F7385" w:rsidP="002F7385">
            <w:pPr>
              <w:rPr>
                <w:sz w:val="20"/>
                <w:szCs w:val="20"/>
              </w:rPr>
            </w:pPr>
            <w:r w:rsidRPr="00956D0A">
              <w:rPr>
                <w:sz w:val="20"/>
                <w:szCs w:val="20"/>
              </w:rPr>
              <w:t>8.</w:t>
            </w:r>
          </w:p>
        </w:tc>
        <w:tc>
          <w:tcPr>
            <w:tcW w:w="806" w:type="dxa"/>
          </w:tcPr>
          <w:p w:rsidR="002F7385" w:rsidRPr="00956D0A" w:rsidRDefault="002F7385" w:rsidP="002F7385">
            <w:pPr>
              <w:rPr>
                <w:sz w:val="20"/>
                <w:szCs w:val="20"/>
              </w:rPr>
            </w:pPr>
            <w:r w:rsidRPr="00956D0A">
              <w:rPr>
                <w:sz w:val="20"/>
                <w:szCs w:val="20"/>
              </w:rPr>
              <w:t>38926</w:t>
            </w:r>
          </w:p>
        </w:tc>
        <w:tc>
          <w:tcPr>
            <w:tcW w:w="4027" w:type="dxa"/>
          </w:tcPr>
          <w:p w:rsidR="002F7385" w:rsidRPr="00956D0A" w:rsidRDefault="002F7385" w:rsidP="002F7385">
            <w:pPr>
              <w:pStyle w:val="SCCAppellantInfoAppellantInfo"/>
              <w:rPr>
                <w:sz w:val="20"/>
                <w:szCs w:val="20"/>
              </w:rPr>
            </w:pPr>
            <w:r w:rsidRPr="00956D0A">
              <w:rPr>
                <w:sz w:val="20"/>
                <w:szCs w:val="20"/>
              </w:rPr>
              <w:t>The Equitable Life Insurance Company of Canada</w:t>
            </w:r>
          </w:p>
          <w:p w:rsidR="002F7385" w:rsidRPr="00956D0A" w:rsidRDefault="002F7385" w:rsidP="002F7385">
            <w:pPr>
              <w:pStyle w:val="SCCAppellantInfoAppellantInfo"/>
              <w:rPr>
                <w:sz w:val="20"/>
                <w:szCs w:val="20"/>
              </w:rPr>
            </w:pPr>
            <w:r w:rsidRPr="00956D0A">
              <w:rPr>
                <w:sz w:val="20"/>
                <w:szCs w:val="20"/>
              </w:rPr>
              <w:t>(Ont.) (Civil) (By Leave)</w:t>
            </w:r>
          </w:p>
        </w:tc>
        <w:tc>
          <w:tcPr>
            <w:tcW w:w="359" w:type="dxa"/>
          </w:tcPr>
          <w:p w:rsidR="002F7385" w:rsidRPr="00956D0A" w:rsidRDefault="002F7385" w:rsidP="002F7385">
            <w:pPr>
              <w:rPr>
                <w:sz w:val="20"/>
                <w:szCs w:val="20"/>
              </w:rPr>
            </w:pPr>
            <w:r w:rsidRPr="00956D0A">
              <w:rPr>
                <w:sz w:val="20"/>
                <w:szCs w:val="20"/>
              </w:rPr>
              <w:t>v.</w:t>
            </w:r>
          </w:p>
        </w:tc>
        <w:tc>
          <w:tcPr>
            <w:tcW w:w="3826" w:type="dxa"/>
          </w:tcPr>
          <w:p w:rsidR="002F7385" w:rsidRPr="00956D0A" w:rsidRDefault="002F7385" w:rsidP="002F7385">
            <w:pPr>
              <w:pStyle w:val="SCCAppellantInfoAppellantInfo"/>
              <w:rPr>
                <w:sz w:val="20"/>
                <w:szCs w:val="20"/>
              </w:rPr>
            </w:pPr>
            <w:r w:rsidRPr="00956D0A">
              <w:rPr>
                <w:sz w:val="20"/>
                <w:szCs w:val="20"/>
              </w:rPr>
              <w:t>Michael Dawe</w:t>
            </w:r>
          </w:p>
        </w:tc>
      </w:tr>
      <w:tr w:rsidR="007B09D6" w:rsidRPr="00937000" w:rsidTr="00FD50E9">
        <w:trPr>
          <w:cantSplit/>
        </w:trPr>
        <w:tc>
          <w:tcPr>
            <w:tcW w:w="9523" w:type="dxa"/>
            <w:gridSpan w:val="5"/>
          </w:tcPr>
          <w:p w:rsidR="007B09D6" w:rsidRPr="00956D0A" w:rsidRDefault="007B09D6" w:rsidP="00FD50E9">
            <w:pPr>
              <w:widowControl w:val="0"/>
              <w:jc w:val="center"/>
              <w:rPr>
                <w:b/>
                <w:sz w:val="20"/>
                <w:szCs w:val="20"/>
                <w:lang w:val="en-US"/>
              </w:rPr>
            </w:pPr>
            <w:r w:rsidRPr="00956D0A">
              <w:rPr>
                <w:b/>
                <w:sz w:val="20"/>
                <w:szCs w:val="20"/>
                <w:lang w:val="en-US"/>
              </w:rPr>
              <w:t>CORAM: Abella, Karakatsanis and Brown JJ.</w:t>
            </w:r>
          </w:p>
          <w:p w:rsidR="007B09D6" w:rsidRPr="00956D0A" w:rsidRDefault="007B09D6" w:rsidP="00FD50E9">
            <w:pPr>
              <w:widowControl w:val="0"/>
              <w:jc w:val="center"/>
              <w:rPr>
                <w:sz w:val="20"/>
                <w:szCs w:val="20"/>
                <w:lang w:val="fr-CA"/>
              </w:rPr>
            </w:pPr>
            <w:r w:rsidRPr="00956D0A">
              <w:rPr>
                <w:b/>
                <w:sz w:val="20"/>
                <w:szCs w:val="20"/>
                <w:lang w:val="fr-CA"/>
              </w:rPr>
              <w:t>Les juges Abella, Karakatsanis et Brown</w:t>
            </w:r>
          </w:p>
        </w:tc>
      </w:tr>
      <w:tr w:rsidR="007B09D6" w:rsidRPr="00956D0A" w:rsidTr="00FD50E9">
        <w:trPr>
          <w:cantSplit/>
        </w:trPr>
        <w:tc>
          <w:tcPr>
            <w:tcW w:w="505" w:type="dxa"/>
          </w:tcPr>
          <w:p w:rsidR="007B09D6" w:rsidRPr="00956D0A" w:rsidRDefault="007B09D6" w:rsidP="00FD50E9">
            <w:pPr>
              <w:rPr>
                <w:sz w:val="20"/>
                <w:szCs w:val="20"/>
                <w:lang w:val="fr-CA"/>
              </w:rPr>
            </w:pPr>
          </w:p>
        </w:tc>
        <w:tc>
          <w:tcPr>
            <w:tcW w:w="806" w:type="dxa"/>
          </w:tcPr>
          <w:p w:rsidR="007B09D6" w:rsidRPr="00956D0A" w:rsidRDefault="007B09D6" w:rsidP="00FD50E9">
            <w:pPr>
              <w:rPr>
                <w:sz w:val="20"/>
                <w:szCs w:val="20"/>
                <w:lang w:val="fr-CA"/>
              </w:rPr>
            </w:pPr>
          </w:p>
        </w:tc>
        <w:tc>
          <w:tcPr>
            <w:tcW w:w="4027" w:type="dxa"/>
          </w:tcPr>
          <w:p w:rsidR="007B09D6" w:rsidRPr="00956D0A" w:rsidRDefault="007B09D6" w:rsidP="00FD50E9">
            <w:pPr>
              <w:pStyle w:val="SCCAppellantInfoTypeOfCase"/>
              <w:rPr>
                <w:sz w:val="20"/>
                <w:szCs w:val="20"/>
              </w:rPr>
            </w:pPr>
            <w:r w:rsidRPr="00956D0A">
              <w:rPr>
                <w:sz w:val="20"/>
                <w:szCs w:val="20"/>
              </w:rPr>
              <w:t>Criminal / Criminelle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rPr>
                <w:sz w:val="20"/>
                <w:szCs w:val="20"/>
              </w:rPr>
            </w:pPr>
          </w:p>
        </w:tc>
      </w:tr>
      <w:tr w:rsidR="003247EC" w:rsidRPr="00956D0A" w:rsidTr="00FD50E9">
        <w:trPr>
          <w:cantSplit/>
        </w:trPr>
        <w:tc>
          <w:tcPr>
            <w:tcW w:w="505" w:type="dxa"/>
          </w:tcPr>
          <w:p w:rsidR="003247EC" w:rsidRPr="00956D0A" w:rsidRDefault="003247EC" w:rsidP="003247EC">
            <w:pPr>
              <w:rPr>
                <w:sz w:val="20"/>
                <w:szCs w:val="20"/>
              </w:rPr>
            </w:pPr>
            <w:r w:rsidRPr="00956D0A">
              <w:rPr>
                <w:sz w:val="20"/>
                <w:szCs w:val="20"/>
              </w:rPr>
              <w:t>9.</w:t>
            </w:r>
          </w:p>
        </w:tc>
        <w:tc>
          <w:tcPr>
            <w:tcW w:w="806" w:type="dxa"/>
          </w:tcPr>
          <w:p w:rsidR="003247EC" w:rsidRPr="00956D0A" w:rsidRDefault="003247EC" w:rsidP="003247EC">
            <w:pPr>
              <w:rPr>
                <w:sz w:val="20"/>
                <w:szCs w:val="20"/>
              </w:rPr>
            </w:pPr>
            <w:r w:rsidRPr="00956D0A">
              <w:rPr>
                <w:sz w:val="20"/>
                <w:szCs w:val="20"/>
              </w:rPr>
              <w:t>38960</w:t>
            </w:r>
          </w:p>
        </w:tc>
        <w:tc>
          <w:tcPr>
            <w:tcW w:w="4027" w:type="dxa"/>
          </w:tcPr>
          <w:p w:rsidR="003247EC" w:rsidRPr="00956D0A" w:rsidRDefault="003247EC" w:rsidP="003247EC">
            <w:pPr>
              <w:pStyle w:val="SCCAppellantInfoAppellantInfo"/>
              <w:rPr>
                <w:sz w:val="20"/>
                <w:szCs w:val="20"/>
              </w:rPr>
            </w:pPr>
            <w:r w:rsidRPr="00956D0A">
              <w:rPr>
                <w:sz w:val="20"/>
                <w:szCs w:val="20"/>
              </w:rPr>
              <w:t>Ronald Peter Siwicki</w:t>
            </w:r>
          </w:p>
          <w:p w:rsidR="003247EC" w:rsidRPr="00956D0A" w:rsidRDefault="003247EC" w:rsidP="003247EC">
            <w:pPr>
              <w:pStyle w:val="SCCAppellantInfoAppellantInfo"/>
              <w:rPr>
                <w:sz w:val="20"/>
                <w:szCs w:val="20"/>
              </w:rPr>
            </w:pPr>
            <w:r w:rsidRPr="00956D0A">
              <w:rPr>
                <w:sz w:val="20"/>
                <w:szCs w:val="20"/>
              </w:rPr>
              <w:t>(Man.) (Criminal) (By Leave)</w:t>
            </w:r>
          </w:p>
        </w:tc>
        <w:tc>
          <w:tcPr>
            <w:tcW w:w="359" w:type="dxa"/>
          </w:tcPr>
          <w:p w:rsidR="003247EC" w:rsidRPr="00956D0A" w:rsidRDefault="003247EC" w:rsidP="003247EC">
            <w:pPr>
              <w:rPr>
                <w:sz w:val="20"/>
                <w:szCs w:val="20"/>
              </w:rPr>
            </w:pPr>
            <w:r w:rsidRPr="00956D0A">
              <w:rPr>
                <w:sz w:val="20"/>
                <w:szCs w:val="20"/>
              </w:rPr>
              <w:t>v.</w:t>
            </w:r>
          </w:p>
        </w:tc>
        <w:tc>
          <w:tcPr>
            <w:tcW w:w="3826" w:type="dxa"/>
          </w:tcPr>
          <w:p w:rsidR="003247EC" w:rsidRPr="00956D0A" w:rsidRDefault="003247EC" w:rsidP="003247EC">
            <w:pPr>
              <w:pStyle w:val="SCCAppellantInfoAppellantInfo"/>
              <w:rPr>
                <w:sz w:val="20"/>
                <w:szCs w:val="20"/>
              </w:rPr>
            </w:pPr>
            <w:r w:rsidRPr="00956D0A">
              <w:rPr>
                <w:sz w:val="20"/>
                <w:szCs w:val="20"/>
              </w:rPr>
              <w:t>Her Majesty the Queen</w:t>
            </w:r>
          </w:p>
        </w:tc>
      </w:tr>
      <w:tr w:rsidR="003247EC" w:rsidRPr="00956D0A" w:rsidTr="00FD50E9">
        <w:trPr>
          <w:cantSplit/>
        </w:trPr>
        <w:tc>
          <w:tcPr>
            <w:tcW w:w="505" w:type="dxa"/>
          </w:tcPr>
          <w:p w:rsidR="003247EC" w:rsidRPr="00956D0A" w:rsidRDefault="003247EC" w:rsidP="003247EC">
            <w:pPr>
              <w:rPr>
                <w:sz w:val="20"/>
                <w:szCs w:val="20"/>
              </w:rPr>
            </w:pPr>
            <w:r w:rsidRPr="00956D0A">
              <w:rPr>
                <w:sz w:val="20"/>
                <w:szCs w:val="20"/>
              </w:rPr>
              <w:t>10.</w:t>
            </w:r>
          </w:p>
        </w:tc>
        <w:tc>
          <w:tcPr>
            <w:tcW w:w="806" w:type="dxa"/>
          </w:tcPr>
          <w:p w:rsidR="003247EC" w:rsidRPr="00956D0A" w:rsidRDefault="003247EC" w:rsidP="003247EC">
            <w:pPr>
              <w:rPr>
                <w:sz w:val="20"/>
                <w:szCs w:val="20"/>
              </w:rPr>
            </w:pPr>
            <w:r w:rsidRPr="00956D0A">
              <w:rPr>
                <w:sz w:val="20"/>
                <w:szCs w:val="20"/>
              </w:rPr>
              <w:t>38961</w:t>
            </w:r>
          </w:p>
        </w:tc>
        <w:tc>
          <w:tcPr>
            <w:tcW w:w="4027" w:type="dxa"/>
          </w:tcPr>
          <w:p w:rsidR="003247EC" w:rsidRPr="00956D0A" w:rsidRDefault="003247EC" w:rsidP="003247EC">
            <w:pPr>
              <w:pStyle w:val="SCCAppellantInfoAppellantInfo"/>
              <w:rPr>
                <w:sz w:val="20"/>
                <w:szCs w:val="20"/>
              </w:rPr>
            </w:pPr>
            <w:r w:rsidRPr="00956D0A">
              <w:rPr>
                <w:sz w:val="20"/>
                <w:szCs w:val="20"/>
              </w:rPr>
              <w:t>Her Majesty the Queen</w:t>
            </w:r>
          </w:p>
          <w:p w:rsidR="003247EC" w:rsidRPr="00956D0A" w:rsidRDefault="003247EC" w:rsidP="003247EC">
            <w:pPr>
              <w:pStyle w:val="SCCAppellantInfoAppellantInfo"/>
              <w:rPr>
                <w:sz w:val="20"/>
                <w:szCs w:val="20"/>
              </w:rPr>
            </w:pPr>
            <w:r w:rsidRPr="00956D0A">
              <w:rPr>
                <w:sz w:val="20"/>
                <w:szCs w:val="20"/>
              </w:rPr>
              <w:t>(Sask.) (Criminal) (By Leave)</w:t>
            </w:r>
          </w:p>
        </w:tc>
        <w:tc>
          <w:tcPr>
            <w:tcW w:w="359" w:type="dxa"/>
          </w:tcPr>
          <w:p w:rsidR="003247EC" w:rsidRPr="00956D0A" w:rsidRDefault="003247EC" w:rsidP="003247EC">
            <w:pPr>
              <w:rPr>
                <w:sz w:val="20"/>
                <w:szCs w:val="20"/>
              </w:rPr>
            </w:pPr>
            <w:r w:rsidRPr="00956D0A">
              <w:rPr>
                <w:sz w:val="20"/>
                <w:szCs w:val="20"/>
              </w:rPr>
              <w:t>v.</w:t>
            </w:r>
          </w:p>
        </w:tc>
        <w:tc>
          <w:tcPr>
            <w:tcW w:w="3826" w:type="dxa"/>
          </w:tcPr>
          <w:p w:rsidR="003247EC" w:rsidRPr="00956D0A" w:rsidRDefault="003247EC" w:rsidP="003247EC">
            <w:pPr>
              <w:pStyle w:val="SCCAppellantInfoAppellantInfo"/>
              <w:rPr>
                <w:sz w:val="20"/>
                <w:szCs w:val="20"/>
              </w:rPr>
            </w:pPr>
            <w:r w:rsidRPr="00956D0A">
              <w:rPr>
                <w:sz w:val="20"/>
                <w:szCs w:val="20"/>
              </w:rPr>
              <w:t>Joseph Bretislav Pavlik</w:t>
            </w:r>
          </w:p>
        </w:tc>
      </w:tr>
      <w:tr w:rsidR="007B09D6" w:rsidRPr="00956D0A" w:rsidTr="00FD50E9">
        <w:trPr>
          <w:cantSplit/>
        </w:trPr>
        <w:tc>
          <w:tcPr>
            <w:tcW w:w="505" w:type="dxa"/>
          </w:tcPr>
          <w:p w:rsidR="007B09D6" w:rsidRPr="00956D0A" w:rsidRDefault="007B09D6" w:rsidP="00FD50E9">
            <w:pPr>
              <w:rPr>
                <w:sz w:val="20"/>
                <w:szCs w:val="20"/>
                <w:lang w:val="fr-CA"/>
              </w:rPr>
            </w:pPr>
          </w:p>
        </w:tc>
        <w:tc>
          <w:tcPr>
            <w:tcW w:w="806" w:type="dxa"/>
          </w:tcPr>
          <w:p w:rsidR="007B09D6" w:rsidRPr="00956D0A" w:rsidRDefault="007B09D6" w:rsidP="00FD50E9">
            <w:pPr>
              <w:rPr>
                <w:sz w:val="20"/>
                <w:szCs w:val="20"/>
                <w:lang w:val="fr-CA"/>
              </w:rPr>
            </w:pPr>
          </w:p>
        </w:tc>
        <w:tc>
          <w:tcPr>
            <w:tcW w:w="4027" w:type="dxa"/>
          </w:tcPr>
          <w:p w:rsidR="007B09D6" w:rsidRPr="00956D0A" w:rsidRDefault="007B09D6" w:rsidP="00FD50E9">
            <w:pPr>
              <w:pStyle w:val="SCCAppellantInfoTypeOfCase"/>
              <w:rPr>
                <w:sz w:val="20"/>
                <w:szCs w:val="20"/>
              </w:rPr>
            </w:pPr>
            <w:r w:rsidRPr="00956D0A">
              <w:rPr>
                <w:sz w:val="20"/>
                <w:szCs w:val="20"/>
              </w:rPr>
              <w:t>Civil / Civile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rPr>
                <w:sz w:val="20"/>
                <w:szCs w:val="20"/>
              </w:rPr>
            </w:pP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11.</w:t>
            </w:r>
          </w:p>
        </w:tc>
        <w:tc>
          <w:tcPr>
            <w:tcW w:w="806" w:type="dxa"/>
          </w:tcPr>
          <w:p w:rsidR="00B5203D" w:rsidRPr="00956D0A" w:rsidRDefault="00B5203D" w:rsidP="00B5203D">
            <w:pPr>
              <w:rPr>
                <w:sz w:val="20"/>
                <w:szCs w:val="20"/>
              </w:rPr>
            </w:pPr>
            <w:r w:rsidRPr="00956D0A">
              <w:rPr>
                <w:sz w:val="20"/>
                <w:szCs w:val="20"/>
              </w:rPr>
              <w:t>39001</w:t>
            </w:r>
          </w:p>
        </w:tc>
        <w:tc>
          <w:tcPr>
            <w:tcW w:w="4027" w:type="dxa"/>
          </w:tcPr>
          <w:p w:rsidR="00B5203D" w:rsidRPr="00956D0A" w:rsidRDefault="00B5203D" w:rsidP="00B5203D">
            <w:pPr>
              <w:pStyle w:val="SCCAppellantInfoAppellantInfo"/>
              <w:rPr>
                <w:sz w:val="20"/>
                <w:szCs w:val="20"/>
              </w:rPr>
            </w:pPr>
            <w:r w:rsidRPr="00956D0A">
              <w:rPr>
                <w:sz w:val="20"/>
                <w:szCs w:val="20"/>
              </w:rPr>
              <w:t>Ahmed Bouragba</w:t>
            </w:r>
          </w:p>
          <w:p w:rsidR="00B5203D" w:rsidRPr="00956D0A" w:rsidRDefault="00B5203D" w:rsidP="00B5203D">
            <w:pPr>
              <w:pStyle w:val="SCCAppellantInfoAppellantInfo"/>
              <w:rPr>
                <w:sz w:val="20"/>
                <w:szCs w:val="20"/>
              </w:rPr>
            </w:pPr>
            <w:r w:rsidRPr="00956D0A">
              <w:rPr>
                <w:sz w:val="20"/>
                <w:szCs w:val="20"/>
              </w:rPr>
              <w:t>(Ont.) (Civil) (By Leave)</w:t>
            </w:r>
          </w:p>
        </w:tc>
        <w:tc>
          <w:tcPr>
            <w:tcW w:w="359" w:type="dxa"/>
          </w:tcPr>
          <w:p w:rsidR="00B5203D" w:rsidRPr="00956D0A" w:rsidRDefault="00B5203D" w:rsidP="00B5203D">
            <w:pPr>
              <w:rPr>
                <w:sz w:val="20"/>
                <w:szCs w:val="20"/>
              </w:rPr>
            </w:pPr>
            <w:r w:rsidRPr="00956D0A">
              <w:rPr>
                <w:sz w:val="20"/>
                <w:szCs w:val="20"/>
              </w:rPr>
              <w:t>v.</w:t>
            </w:r>
          </w:p>
        </w:tc>
        <w:tc>
          <w:tcPr>
            <w:tcW w:w="3826" w:type="dxa"/>
          </w:tcPr>
          <w:p w:rsidR="00B5203D" w:rsidRPr="00956D0A" w:rsidRDefault="00B5203D" w:rsidP="00B5203D">
            <w:pPr>
              <w:pStyle w:val="SCCAppellantInfoAppellantInfo"/>
              <w:rPr>
                <w:sz w:val="20"/>
                <w:szCs w:val="20"/>
              </w:rPr>
            </w:pPr>
            <w:r w:rsidRPr="00956D0A">
              <w:rPr>
                <w:sz w:val="20"/>
                <w:szCs w:val="20"/>
              </w:rPr>
              <w:t>Ontario College of Teachers</w:t>
            </w: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12.</w:t>
            </w:r>
          </w:p>
        </w:tc>
        <w:tc>
          <w:tcPr>
            <w:tcW w:w="806" w:type="dxa"/>
          </w:tcPr>
          <w:p w:rsidR="00B5203D" w:rsidRPr="00956D0A" w:rsidRDefault="00B5203D" w:rsidP="00B5203D">
            <w:pPr>
              <w:rPr>
                <w:sz w:val="20"/>
                <w:szCs w:val="20"/>
              </w:rPr>
            </w:pPr>
            <w:r w:rsidRPr="00956D0A">
              <w:rPr>
                <w:sz w:val="20"/>
                <w:szCs w:val="20"/>
              </w:rPr>
              <w:t>38945</w:t>
            </w:r>
          </w:p>
        </w:tc>
        <w:tc>
          <w:tcPr>
            <w:tcW w:w="4027" w:type="dxa"/>
          </w:tcPr>
          <w:p w:rsidR="00B5203D" w:rsidRPr="00956D0A" w:rsidRDefault="00B5203D" w:rsidP="00B5203D">
            <w:pPr>
              <w:pStyle w:val="SCCAppellantInfoAppellantInfo"/>
              <w:rPr>
                <w:sz w:val="20"/>
                <w:szCs w:val="20"/>
                <w:lang w:val="fr-CA"/>
              </w:rPr>
            </w:pPr>
            <w:r w:rsidRPr="00956D0A">
              <w:rPr>
                <w:sz w:val="20"/>
                <w:szCs w:val="20"/>
                <w:lang w:val="fr-CA"/>
              </w:rPr>
              <w:t>Zakaria Rizqy</w:t>
            </w:r>
          </w:p>
          <w:p w:rsidR="00B5203D" w:rsidRPr="00956D0A" w:rsidRDefault="00B5203D" w:rsidP="00B5203D">
            <w:pPr>
              <w:pStyle w:val="SCCAppellantInfoAppellantInfo"/>
              <w:rPr>
                <w:sz w:val="20"/>
                <w:szCs w:val="20"/>
                <w:lang w:val="fr-CA"/>
              </w:rPr>
            </w:pPr>
            <w:r w:rsidRPr="00956D0A">
              <w:rPr>
                <w:sz w:val="20"/>
                <w:szCs w:val="20"/>
                <w:lang w:val="fr-CA"/>
              </w:rPr>
              <w:t>(Qc) (Civile) (Autorisation)</w:t>
            </w:r>
          </w:p>
        </w:tc>
        <w:tc>
          <w:tcPr>
            <w:tcW w:w="359" w:type="dxa"/>
          </w:tcPr>
          <w:p w:rsidR="00B5203D" w:rsidRPr="00956D0A" w:rsidRDefault="00B5203D" w:rsidP="00B5203D">
            <w:pPr>
              <w:rPr>
                <w:sz w:val="20"/>
                <w:szCs w:val="20"/>
              </w:rPr>
            </w:pPr>
            <w:r w:rsidRPr="00956D0A">
              <w:rPr>
                <w:sz w:val="20"/>
                <w:szCs w:val="20"/>
              </w:rPr>
              <w:t>c.</w:t>
            </w:r>
          </w:p>
        </w:tc>
        <w:tc>
          <w:tcPr>
            <w:tcW w:w="3826" w:type="dxa"/>
          </w:tcPr>
          <w:p w:rsidR="00B5203D" w:rsidRPr="00956D0A" w:rsidRDefault="00B5203D" w:rsidP="00B5203D">
            <w:pPr>
              <w:pStyle w:val="SCCAppellantInfoAppellantInfo"/>
              <w:rPr>
                <w:sz w:val="20"/>
                <w:szCs w:val="20"/>
              </w:rPr>
            </w:pPr>
            <w:r w:rsidRPr="00956D0A">
              <w:rPr>
                <w:sz w:val="20"/>
                <w:szCs w:val="20"/>
              </w:rPr>
              <w:t>Échelon compagnie d'assurance générale</w:t>
            </w: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13.</w:t>
            </w:r>
          </w:p>
        </w:tc>
        <w:tc>
          <w:tcPr>
            <w:tcW w:w="806" w:type="dxa"/>
          </w:tcPr>
          <w:p w:rsidR="00B5203D" w:rsidRPr="00956D0A" w:rsidRDefault="00B5203D" w:rsidP="00B5203D">
            <w:pPr>
              <w:rPr>
                <w:sz w:val="20"/>
                <w:szCs w:val="20"/>
              </w:rPr>
            </w:pPr>
            <w:r w:rsidRPr="00956D0A">
              <w:rPr>
                <w:sz w:val="20"/>
                <w:szCs w:val="20"/>
              </w:rPr>
              <w:t>38950</w:t>
            </w:r>
          </w:p>
        </w:tc>
        <w:tc>
          <w:tcPr>
            <w:tcW w:w="4027" w:type="dxa"/>
          </w:tcPr>
          <w:p w:rsidR="00B5203D" w:rsidRPr="00956D0A" w:rsidRDefault="00B5203D" w:rsidP="00B5203D">
            <w:pPr>
              <w:pStyle w:val="SCCAppellantInfoAppellantInfo"/>
              <w:rPr>
                <w:sz w:val="20"/>
                <w:szCs w:val="20"/>
              </w:rPr>
            </w:pPr>
            <w:r w:rsidRPr="00956D0A">
              <w:rPr>
                <w:sz w:val="20"/>
                <w:szCs w:val="20"/>
              </w:rPr>
              <w:t>J.L.</w:t>
            </w:r>
          </w:p>
          <w:p w:rsidR="00B5203D" w:rsidRPr="00956D0A" w:rsidRDefault="00B5203D" w:rsidP="00B5203D">
            <w:pPr>
              <w:pStyle w:val="SCCAppellantInfoAppellantInfo"/>
              <w:rPr>
                <w:sz w:val="20"/>
                <w:szCs w:val="20"/>
              </w:rPr>
            </w:pPr>
            <w:r w:rsidRPr="00956D0A">
              <w:rPr>
                <w:sz w:val="20"/>
                <w:szCs w:val="20"/>
              </w:rPr>
              <w:t>(Ont.) (Civil) (By Leave)</w:t>
            </w:r>
          </w:p>
        </w:tc>
        <w:tc>
          <w:tcPr>
            <w:tcW w:w="359" w:type="dxa"/>
          </w:tcPr>
          <w:p w:rsidR="00B5203D" w:rsidRPr="00956D0A" w:rsidRDefault="00B5203D" w:rsidP="00B5203D">
            <w:pPr>
              <w:rPr>
                <w:sz w:val="20"/>
                <w:szCs w:val="20"/>
              </w:rPr>
            </w:pPr>
            <w:r w:rsidRPr="00956D0A">
              <w:rPr>
                <w:sz w:val="20"/>
                <w:szCs w:val="20"/>
              </w:rPr>
              <w:t>v.</w:t>
            </w:r>
          </w:p>
        </w:tc>
        <w:tc>
          <w:tcPr>
            <w:tcW w:w="3826" w:type="dxa"/>
          </w:tcPr>
          <w:p w:rsidR="00B5203D" w:rsidRPr="00956D0A" w:rsidRDefault="00B5203D" w:rsidP="00B5203D">
            <w:pPr>
              <w:pStyle w:val="SCCAppellantInfoAppellantInfo"/>
              <w:rPr>
                <w:sz w:val="20"/>
                <w:szCs w:val="20"/>
              </w:rPr>
            </w:pPr>
            <w:r w:rsidRPr="00956D0A">
              <w:rPr>
                <w:sz w:val="20"/>
                <w:szCs w:val="20"/>
              </w:rPr>
              <w:t>Huron-Perth Children's Aid Society, et al.</w:t>
            </w: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14.</w:t>
            </w:r>
          </w:p>
        </w:tc>
        <w:tc>
          <w:tcPr>
            <w:tcW w:w="806" w:type="dxa"/>
          </w:tcPr>
          <w:p w:rsidR="00B5203D" w:rsidRPr="00956D0A" w:rsidRDefault="00B5203D" w:rsidP="00B5203D">
            <w:pPr>
              <w:rPr>
                <w:sz w:val="20"/>
                <w:szCs w:val="20"/>
              </w:rPr>
            </w:pPr>
            <w:r w:rsidRPr="00956D0A">
              <w:rPr>
                <w:sz w:val="20"/>
                <w:szCs w:val="20"/>
              </w:rPr>
              <w:t>38927</w:t>
            </w:r>
          </w:p>
        </w:tc>
        <w:tc>
          <w:tcPr>
            <w:tcW w:w="4027" w:type="dxa"/>
          </w:tcPr>
          <w:p w:rsidR="00B5203D" w:rsidRPr="00956D0A" w:rsidRDefault="00B5203D" w:rsidP="00B5203D">
            <w:pPr>
              <w:pStyle w:val="SCCAppellantInfoAppellantInfo"/>
              <w:rPr>
                <w:sz w:val="20"/>
                <w:szCs w:val="20"/>
              </w:rPr>
            </w:pPr>
            <w:r w:rsidRPr="00956D0A">
              <w:rPr>
                <w:sz w:val="20"/>
                <w:szCs w:val="20"/>
              </w:rPr>
              <w:t>Stilton Corp. Ltd.</w:t>
            </w:r>
          </w:p>
          <w:p w:rsidR="00B5203D" w:rsidRPr="00956D0A" w:rsidRDefault="00B5203D" w:rsidP="00B5203D">
            <w:pPr>
              <w:pStyle w:val="SCCAppellantInfoAppellantInfo"/>
              <w:rPr>
                <w:sz w:val="20"/>
                <w:szCs w:val="20"/>
              </w:rPr>
            </w:pPr>
            <w:r w:rsidRPr="00956D0A">
              <w:rPr>
                <w:sz w:val="20"/>
                <w:szCs w:val="20"/>
              </w:rPr>
              <w:t>(Ont.) (Civil) (By Leave)</w:t>
            </w:r>
          </w:p>
        </w:tc>
        <w:tc>
          <w:tcPr>
            <w:tcW w:w="359" w:type="dxa"/>
          </w:tcPr>
          <w:p w:rsidR="00B5203D" w:rsidRPr="00956D0A" w:rsidRDefault="00B5203D" w:rsidP="00B5203D">
            <w:pPr>
              <w:rPr>
                <w:sz w:val="20"/>
                <w:szCs w:val="20"/>
              </w:rPr>
            </w:pPr>
            <w:r w:rsidRPr="00956D0A">
              <w:rPr>
                <w:sz w:val="20"/>
                <w:szCs w:val="20"/>
              </w:rPr>
              <w:t>v.</w:t>
            </w:r>
          </w:p>
        </w:tc>
        <w:tc>
          <w:tcPr>
            <w:tcW w:w="3826" w:type="dxa"/>
          </w:tcPr>
          <w:p w:rsidR="00B5203D" w:rsidRPr="00956D0A" w:rsidRDefault="00B5203D" w:rsidP="00B5203D">
            <w:pPr>
              <w:pStyle w:val="SCCAppellantInfoAppellantInfo"/>
              <w:rPr>
                <w:sz w:val="20"/>
                <w:szCs w:val="20"/>
              </w:rPr>
            </w:pPr>
            <w:r w:rsidRPr="00956D0A">
              <w:rPr>
                <w:sz w:val="20"/>
                <w:szCs w:val="20"/>
              </w:rPr>
              <w:t>Paterson Veterinary Professional Corporation</w:t>
            </w: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15.</w:t>
            </w:r>
          </w:p>
        </w:tc>
        <w:tc>
          <w:tcPr>
            <w:tcW w:w="806" w:type="dxa"/>
          </w:tcPr>
          <w:p w:rsidR="00B5203D" w:rsidRPr="00956D0A" w:rsidRDefault="00B5203D" w:rsidP="00B5203D">
            <w:pPr>
              <w:rPr>
                <w:sz w:val="20"/>
                <w:szCs w:val="20"/>
              </w:rPr>
            </w:pPr>
            <w:r w:rsidRPr="00956D0A">
              <w:rPr>
                <w:sz w:val="20"/>
                <w:szCs w:val="20"/>
              </w:rPr>
              <w:t>39005</w:t>
            </w:r>
          </w:p>
        </w:tc>
        <w:tc>
          <w:tcPr>
            <w:tcW w:w="4027" w:type="dxa"/>
          </w:tcPr>
          <w:p w:rsidR="00B5203D" w:rsidRPr="00956D0A" w:rsidRDefault="00B5203D" w:rsidP="00B5203D">
            <w:pPr>
              <w:pStyle w:val="SCCAppellantInfoAppellantInfo"/>
              <w:rPr>
                <w:sz w:val="20"/>
                <w:szCs w:val="20"/>
              </w:rPr>
            </w:pPr>
            <w:r w:rsidRPr="00956D0A">
              <w:rPr>
                <w:sz w:val="20"/>
                <w:szCs w:val="20"/>
              </w:rPr>
              <w:t>Farhad Derakhshan</w:t>
            </w:r>
          </w:p>
          <w:p w:rsidR="00B5203D" w:rsidRPr="00956D0A" w:rsidRDefault="00B5203D" w:rsidP="00B5203D">
            <w:pPr>
              <w:pStyle w:val="SCCAppellantInfoAppellantInfo"/>
              <w:rPr>
                <w:sz w:val="20"/>
                <w:szCs w:val="20"/>
              </w:rPr>
            </w:pPr>
            <w:r w:rsidRPr="00956D0A">
              <w:rPr>
                <w:sz w:val="20"/>
                <w:szCs w:val="20"/>
              </w:rPr>
              <w:t>(Ont.) (Civil) (By Leave)</w:t>
            </w:r>
          </w:p>
        </w:tc>
        <w:tc>
          <w:tcPr>
            <w:tcW w:w="359" w:type="dxa"/>
          </w:tcPr>
          <w:p w:rsidR="00B5203D" w:rsidRPr="00956D0A" w:rsidRDefault="00B5203D" w:rsidP="00B5203D">
            <w:pPr>
              <w:rPr>
                <w:sz w:val="20"/>
                <w:szCs w:val="20"/>
              </w:rPr>
            </w:pPr>
            <w:r w:rsidRPr="00956D0A">
              <w:rPr>
                <w:sz w:val="20"/>
                <w:szCs w:val="20"/>
              </w:rPr>
              <w:t>v.</w:t>
            </w:r>
          </w:p>
        </w:tc>
        <w:tc>
          <w:tcPr>
            <w:tcW w:w="3826" w:type="dxa"/>
          </w:tcPr>
          <w:p w:rsidR="00B5203D" w:rsidRPr="00956D0A" w:rsidRDefault="00B5203D" w:rsidP="00B5203D">
            <w:pPr>
              <w:pStyle w:val="SCCAppellantInfoAppellantInfo"/>
              <w:rPr>
                <w:sz w:val="20"/>
                <w:szCs w:val="20"/>
              </w:rPr>
            </w:pPr>
            <w:r w:rsidRPr="00956D0A">
              <w:rPr>
                <w:sz w:val="20"/>
                <w:szCs w:val="20"/>
              </w:rPr>
              <w:t>Seema Narula</w:t>
            </w:r>
          </w:p>
        </w:tc>
      </w:tr>
      <w:tr w:rsidR="00B5203D" w:rsidRPr="00956D0A" w:rsidTr="00FD50E9">
        <w:trPr>
          <w:cantSplit/>
        </w:trPr>
        <w:tc>
          <w:tcPr>
            <w:tcW w:w="505" w:type="dxa"/>
          </w:tcPr>
          <w:p w:rsidR="00B5203D" w:rsidRPr="00956D0A" w:rsidRDefault="00B5203D" w:rsidP="00B5203D">
            <w:pPr>
              <w:rPr>
                <w:sz w:val="20"/>
                <w:szCs w:val="20"/>
              </w:rPr>
            </w:pPr>
            <w:r w:rsidRPr="00956D0A">
              <w:rPr>
                <w:sz w:val="20"/>
                <w:szCs w:val="20"/>
              </w:rPr>
              <w:t>16.</w:t>
            </w:r>
          </w:p>
        </w:tc>
        <w:tc>
          <w:tcPr>
            <w:tcW w:w="806" w:type="dxa"/>
          </w:tcPr>
          <w:p w:rsidR="00B5203D" w:rsidRPr="00956D0A" w:rsidRDefault="00B5203D" w:rsidP="00B5203D">
            <w:pPr>
              <w:rPr>
                <w:sz w:val="20"/>
                <w:szCs w:val="20"/>
              </w:rPr>
            </w:pPr>
            <w:r w:rsidRPr="00956D0A">
              <w:rPr>
                <w:sz w:val="20"/>
                <w:szCs w:val="20"/>
              </w:rPr>
              <w:t>38958</w:t>
            </w:r>
          </w:p>
        </w:tc>
        <w:tc>
          <w:tcPr>
            <w:tcW w:w="4027" w:type="dxa"/>
          </w:tcPr>
          <w:p w:rsidR="00B5203D" w:rsidRPr="00956D0A" w:rsidRDefault="00B5203D" w:rsidP="00B5203D">
            <w:pPr>
              <w:pStyle w:val="SCCAppellantInfoAppellantInfo"/>
              <w:rPr>
                <w:sz w:val="20"/>
                <w:szCs w:val="20"/>
              </w:rPr>
            </w:pPr>
            <w:r w:rsidRPr="00956D0A">
              <w:rPr>
                <w:sz w:val="20"/>
                <w:szCs w:val="20"/>
              </w:rPr>
              <w:t>Paulette Martel</w:t>
            </w:r>
          </w:p>
          <w:p w:rsidR="00B5203D" w:rsidRPr="00956D0A" w:rsidRDefault="00B5203D" w:rsidP="00B5203D">
            <w:pPr>
              <w:pStyle w:val="SCCAppellantInfoAppellantInfo"/>
              <w:rPr>
                <w:sz w:val="20"/>
                <w:szCs w:val="20"/>
              </w:rPr>
            </w:pPr>
            <w:r w:rsidRPr="00956D0A">
              <w:rPr>
                <w:sz w:val="20"/>
                <w:szCs w:val="20"/>
              </w:rPr>
              <w:t>(Ont.) (Civil) (By Leave)</w:t>
            </w:r>
          </w:p>
        </w:tc>
        <w:tc>
          <w:tcPr>
            <w:tcW w:w="359" w:type="dxa"/>
          </w:tcPr>
          <w:p w:rsidR="00B5203D" w:rsidRPr="00956D0A" w:rsidRDefault="00B5203D" w:rsidP="00B5203D">
            <w:pPr>
              <w:rPr>
                <w:sz w:val="20"/>
                <w:szCs w:val="20"/>
              </w:rPr>
            </w:pPr>
            <w:r w:rsidRPr="00956D0A">
              <w:rPr>
                <w:sz w:val="20"/>
                <w:szCs w:val="20"/>
              </w:rPr>
              <w:t>v.</w:t>
            </w:r>
          </w:p>
        </w:tc>
        <w:tc>
          <w:tcPr>
            <w:tcW w:w="3826" w:type="dxa"/>
          </w:tcPr>
          <w:p w:rsidR="00B5203D" w:rsidRPr="00956D0A" w:rsidRDefault="00B5203D" w:rsidP="00B5203D">
            <w:pPr>
              <w:pStyle w:val="SCCAppellantInfoAppellantInfo"/>
              <w:rPr>
                <w:sz w:val="20"/>
                <w:szCs w:val="20"/>
              </w:rPr>
            </w:pPr>
            <w:r w:rsidRPr="00956D0A">
              <w:rPr>
                <w:sz w:val="20"/>
                <w:szCs w:val="20"/>
              </w:rPr>
              <w:t>Steven Furr, et al.</w:t>
            </w:r>
          </w:p>
        </w:tc>
      </w:tr>
      <w:tr w:rsidR="007B09D6" w:rsidRPr="00937000" w:rsidTr="00FD50E9">
        <w:trPr>
          <w:cantSplit/>
        </w:trPr>
        <w:tc>
          <w:tcPr>
            <w:tcW w:w="9523" w:type="dxa"/>
            <w:gridSpan w:val="5"/>
          </w:tcPr>
          <w:p w:rsidR="007B09D6" w:rsidRPr="00956D0A" w:rsidRDefault="007B09D6" w:rsidP="00FD50E9">
            <w:pPr>
              <w:widowControl w:val="0"/>
              <w:jc w:val="center"/>
              <w:rPr>
                <w:b/>
                <w:sz w:val="20"/>
                <w:szCs w:val="20"/>
              </w:rPr>
            </w:pPr>
            <w:r w:rsidRPr="00956D0A">
              <w:rPr>
                <w:b/>
                <w:sz w:val="20"/>
                <w:szCs w:val="20"/>
              </w:rPr>
              <w:t>CORAM: Moldaver, Côté and Martin JJ.</w:t>
            </w:r>
          </w:p>
          <w:p w:rsidR="007B09D6" w:rsidRPr="00956D0A" w:rsidRDefault="007B09D6" w:rsidP="00FD50E9">
            <w:pPr>
              <w:widowControl w:val="0"/>
              <w:jc w:val="center"/>
              <w:rPr>
                <w:sz w:val="20"/>
                <w:szCs w:val="20"/>
                <w:lang w:val="fr-CA"/>
              </w:rPr>
            </w:pPr>
            <w:r w:rsidRPr="00956D0A">
              <w:rPr>
                <w:b/>
                <w:sz w:val="20"/>
                <w:szCs w:val="20"/>
                <w:lang w:val="fr-CA"/>
              </w:rPr>
              <w:t>Les juges Moldaver, Côté et Martin</w:t>
            </w:r>
          </w:p>
        </w:tc>
      </w:tr>
      <w:tr w:rsidR="007B09D6" w:rsidRPr="00956D0A" w:rsidTr="00FD50E9">
        <w:trPr>
          <w:cantSplit/>
        </w:trPr>
        <w:tc>
          <w:tcPr>
            <w:tcW w:w="505" w:type="dxa"/>
          </w:tcPr>
          <w:p w:rsidR="007B09D6" w:rsidRPr="00956D0A" w:rsidRDefault="007B09D6" w:rsidP="00FD50E9">
            <w:pPr>
              <w:rPr>
                <w:sz w:val="20"/>
                <w:szCs w:val="20"/>
                <w:lang w:val="fr-CA"/>
              </w:rPr>
            </w:pPr>
          </w:p>
        </w:tc>
        <w:tc>
          <w:tcPr>
            <w:tcW w:w="806" w:type="dxa"/>
          </w:tcPr>
          <w:p w:rsidR="007B09D6" w:rsidRPr="00956D0A" w:rsidRDefault="007B09D6" w:rsidP="00FD50E9">
            <w:pPr>
              <w:rPr>
                <w:sz w:val="20"/>
                <w:szCs w:val="20"/>
                <w:lang w:val="fr-CA"/>
              </w:rPr>
            </w:pPr>
          </w:p>
        </w:tc>
        <w:tc>
          <w:tcPr>
            <w:tcW w:w="4027" w:type="dxa"/>
          </w:tcPr>
          <w:p w:rsidR="007B09D6" w:rsidRPr="00956D0A" w:rsidRDefault="007B09D6" w:rsidP="00FD50E9">
            <w:pPr>
              <w:pStyle w:val="SCCAppellantInfoTypeOfCase"/>
              <w:rPr>
                <w:sz w:val="20"/>
                <w:szCs w:val="20"/>
              </w:rPr>
            </w:pPr>
            <w:r w:rsidRPr="00956D0A">
              <w:rPr>
                <w:sz w:val="20"/>
                <w:szCs w:val="20"/>
              </w:rPr>
              <w:t>Criminal / Criminelle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rPr>
                <w:sz w:val="20"/>
                <w:szCs w:val="20"/>
              </w:rPr>
            </w:pP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17.</w:t>
            </w:r>
          </w:p>
        </w:tc>
        <w:tc>
          <w:tcPr>
            <w:tcW w:w="806" w:type="dxa"/>
          </w:tcPr>
          <w:p w:rsidR="00EB6F25" w:rsidRPr="00956D0A" w:rsidRDefault="00EB6F25" w:rsidP="00EB6F25">
            <w:pPr>
              <w:rPr>
                <w:sz w:val="20"/>
                <w:szCs w:val="20"/>
              </w:rPr>
            </w:pPr>
            <w:r w:rsidRPr="00956D0A">
              <w:rPr>
                <w:sz w:val="20"/>
                <w:szCs w:val="20"/>
              </w:rPr>
              <w:t>38967</w:t>
            </w:r>
          </w:p>
        </w:tc>
        <w:tc>
          <w:tcPr>
            <w:tcW w:w="4027" w:type="dxa"/>
          </w:tcPr>
          <w:p w:rsidR="00EB6F25" w:rsidRPr="00956D0A" w:rsidRDefault="00EB6F25" w:rsidP="00EB6F25">
            <w:pPr>
              <w:pStyle w:val="SCCAppellantInfoAppellantInfo"/>
              <w:rPr>
                <w:sz w:val="20"/>
                <w:szCs w:val="20"/>
              </w:rPr>
            </w:pPr>
            <w:r w:rsidRPr="00956D0A">
              <w:rPr>
                <w:sz w:val="20"/>
                <w:szCs w:val="20"/>
              </w:rPr>
              <w:t>Kale Leonard Gabriel</w:t>
            </w:r>
          </w:p>
          <w:p w:rsidR="00EB6F25" w:rsidRPr="00956D0A" w:rsidRDefault="00EB6F25" w:rsidP="00EB6F25">
            <w:pPr>
              <w:pStyle w:val="SCCAppellantInfoAppellantInfo"/>
              <w:rPr>
                <w:sz w:val="20"/>
                <w:szCs w:val="20"/>
              </w:rPr>
            </w:pPr>
            <w:r w:rsidRPr="00956D0A">
              <w:rPr>
                <w:sz w:val="20"/>
                <w:szCs w:val="20"/>
              </w:rPr>
              <w:t>(N.S.) (Criminal)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Her Majesty the Queen</w:t>
            </w:r>
          </w:p>
        </w:tc>
      </w:tr>
      <w:tr w:rsidR="007B09D6" w:rsidRPr="00956D0A" w:rsidTr="00FD50E9">
        <w:trPr>
          <w:cantSplit/>
        </w:trPr>
        <w:tc>
          <w:tcPr>
            <w:tcW w:w="505" w:type="dxa"/>
          </w:tcPr>
          <w:p w:rsidR="007B09D6" w:rsidRPr="00956D0A" w:rsidRDefault="007B09D6" w:rsidP="00FD50E9">
            <w:pPr>
              <w:rPr>
                <w:sz w:val="20"/>
                <w:szCs w:val="20"/>
                <w:lang w:val="fr-CA"/>
              </w:rPr>
            </w:pPr>
          </w:p>
        </w:tc>
        <w:tc>
          <w:tcPr>
            <w:tcW w:w="806" w:type="dxa"/>
          </w:tcPr>
          <w:p w:rsidR="007B09D6" w:rsidRPr="00956D0A" w:rsidRDefault="007B09D6" w:rsidP="00FD50E9">
            <w:pPr>
              <w:rPr>
                <w:sz w:val="20"/>
                <w:szCs w:val="20"/>
                <w:lang w:val="fr-CA"/>
              </w:rPr>
            </w:pPr>
          </w:p>
        </w:tc>
        <w:tc>
          <w:tcPr>
            <w:tcW w:w="4027" w:type="dxa"/>
          </w:tcPr>
          <w:p w:rsidR="007B09D6" w:rsidRPr="00956D0A" w:rsidRDefault="007B09D6" w:rsidP="00FD50E9">
            <w:pPr>
              <w:pStyle w:val="SCCAppellantInfoTypeOfCase"/>
              <w:rPr>
                <w:sz w:val="20"/>
                <w:szCs w:val="20"/>
              </w:rPr>
            </w:pPr>
            <w:r w:rsidRPr="00956D0A">
              <w:rPr>
                <w:sz w:val="20"/>
                <w:szCs w:val="20"/>
              </w:rPr>
              <w:t>Civil / Civile</w:t>
            </w:r>
          </w:p>
        </w:tc>
        <w:tc>
          <w:tcPr>
            <w:tcW w:w="359" w:type="dxa"/>
          </w:tcPr>
          <w:p w:rsidR="007B09D6" w:rsidRPr="00956D0A" w:rsidRDefault="007B09D6" w:rsidP="00FD50E9">
            <w:pPr>
              <w:rPr>
                <w:sz w:val="20"/>
                <w:szCs w:val="20"/>
              </w:rPr>
            </w:pPr>
          </w:p>
        </w:tc>
        <w:tc>
          <w:tcPr>
            <w:tcW w:w="3826" w:type="dxa"/>
          </w:tcPr>
          <w:p w:rsidR="007B09D6" w:rsidRPr="00956D0A" w:rsidRDefault="007B09D6" w:rsidP="00FD50E9">
            <w:pPr>
              <w:rPr>
                <w:sz w:val="20"/>
                <w:szCs w:val="20"/>
              </w:rPr>
            </w:pP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18.</w:t>
            </w:r>
          </w:p>
        </w:tc>
        <w:tc>
          <w:tcPr>
            <w:tcW w:w="806" w:type="dxa"/>
          </w:tcPr>
          <w:p w:rsidR="00EB6F25" w:rsidRPr="00956D0A" w:rsidRDefault="00EB6F25" w:rsidP="00EB6F25">
            <w:pPr>
              <w:rPr>
                <w:sz w:val="20"/>
                <w:szCs w:val="20"/>
              </w:rPr>
            </w:pPr>
            <w:r w:rsidRPr="00956D0A">
              <w:rPr>
                <w:sz w:val="20"/>
                <w:szCs w:val="20"/>
              </w:rPr>
              <w:t>38872</w:t>
            </w:r>
          </w:p>
        </w:tc>
        <w:tc>
          <w:tcPr>
            <w:tcW w:w="4027" w:type="dxa"/>
          </w:tcPr>
          <w:p w:rsidR="00EB6F25" w:rsidRPr="00956D0A" w:rsidRDefault="00EB6F25" w:rsidP="00EB6F25">
            <w:pPr>
              <w:pStyle w:val="SCCAppellantInfoAppellantInfo"/>
              <w:rPr>
                <w:sz w:val="20"/>
                <w:szCs w:val="20"/>
              </w:rPr>
            </w:pPr>
            <w:r w:rsidRPr="00956D0A">
              <w:rPr>
                <w:sz w:val="20"/>
                <w:szCs w:val="20"/>
              </w:rPr>
              <w:t>Wal-Mart Canada Corp.</w:t>
            </w:r>
          </w:p>
          <w:p w:rsidR="00EB6F25" w:rsidRPr="00956D0A" w:rsidRDefault="00EB6F25" w:rsidP="00EB6F25">
            <w:pPr>
              <w:pStyle w:val="SCCAppellantInfoAppellantInfo"/>
              <w:rPr>
                <w:sz w:val="20"/>
                <w:szCs w:val="20"/>
              </w:rPr>
            </w:pPr>
            <w:r w:rsidRPr="00956D0A">
              <w:rPr>
                <w:sz w:val="20"/>
                <w:szCs w:val="20"/>
              </w:rPr>
              <w:t>(B.C.)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Coburn and Watson's Metropolitan Home dba Metropolitan Home, et al.</w:t>
            </w: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19.</w:t>
            </w:r>
          </w:p>
        </w:tc>
        <w:tc>
          <w:tcPr>
            <w:tcW w:w="806" w:type="dxa"/>
          </w:tcPr>
          <w:p w:rsidR="00EB6F25" w:rsidRPr="00956D0A" w:rsidRDefault="00EB6F25" w:rsidP="00EB6F25">
            <w:pPr>
              <w:rPr>
                <w:sz w:val="20"/>
                <w:szCs w:val="20"/>
              </w:rPr>
            </w:pPr>
            <w:r w:rsidRPr="00956D0A">
              <w:rPr>
                <w:sz w:val="20"/>
                <w:szCs w:val="20"/>
              </w:rPr>
              <w:t>38873</w:t>
            </w:r>
          </w:p>
        </w:tc>
        <w:tc>
          <w:tcPr>
            <w:tcW w:w="4027" w:type="dxa"/>
          </w:tcPr>
          <w:p w:rsidR="00EB6F25" w:rsidRPr="00956D0A" w:rsidRDefault="00EB6F25" w:rsidP="00EB6F25">
            <w:pPr>
              <w:pStyle w:val="SCCAppellantInfoAppellantInfo"/>
              <w:rPr>
                <w:sz w:val="20"/>
                <w:szCs w:val="20"/>
              </w:rPr>
            </w:pPr>
            <w:r w:rsidRPr="00956D0A">
              <w:rPr>
                <w:sz w:val="20"/>
                <w:szCs w:val="20"/>
              </w:rPr>
              <w:t>Home Depot of Canada Inc.</w:t>
            </w:r>
          </w:p>
          <w:p w:rsidR="00EB6F25" w:rsidRPr="00956D0A" w:rsidRDefault="00EB6F25" w:rsidP="00EB6F25">
            <w:pPr>
              <w:pStyle w:val="SCCAppellantInfoAppellantInfo"/>
              <w:rPr>
                <w:sz w:val="20"/>
                <w:szCs w:val="20"/>
              </w:rPr>
            </w:pPr>
            <w:r w:rsidRPr="00956D0A">
              <w:rPr>
                <w:sz w:val="20"/>
                <w:szCs w:val="20"/>
              </w:rPr>
              <w:t>(B.C.)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Coburn and Watson's Metropolitan Home dba Metropolitan Home, et al.</w:t>
            </w: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20.</w:t>
            </w:r>
          </w:p>
        </w:tc>
        <w:tc>
          <w:tcPr>
            <w:tcW w:w="806" w:type="dxa"/>
          </w:tcPr>
          <w:p w:rsidR="00EB6F25" w:rsidRPr="00956D0A" w:rsidRDefault="00EB6F25" w:rsidP="00EB6F25">
            <w:pPr>
              <w:rPr>
                <w:sz w:val="20"/>
                <w:szCs w:val="20"/>
              </w:rPr>
            </w:pPr>
            <w:r w:rsidRPr="00956D0A">
              <w:rPr>
                <w:sz w:val="20"/>
                <w:szCs w:val="20"/>
              </w:rPr>
              <w:t>38874</w:t>
            </w:r>
          </w:p>
        </w:tc>
        <w:tc>
          <w:tcPr>
            <w:tcW w:w="4027" w:type="dxa"/>
          </w:tcPr>
          <w:p w:rsidR="00EB6F25" w:rsidRPr="00956D0A" w:rsidRDefault="00EB6F25" w:rsidP="00EB6F25">
            <w:pPr>
              <w:pStyle w:val="SCCAppellantInfoAppellantInfo"/>
              <w:rPr>
                <w:sz w:val="20"/>
                <w:szCs w:val="20"/>
              </w:rPr>
            </w:pPr>
            <w:r w:rsidRPr="00956D0A">
              <w:rPr>
                <w:sz w:val="20"/>
                <w:szCs w:val="20"/>
              </w:rPr>
              <w:t>Home Depot of Canada Inc.</w:t>
            </w:r>
          </w:p>
          <w:p w:rsidR="00EB6F25" w:rsidRPr="00956D0A" w:rsidRDefault="00EB6F25" w:rsidP="00EB6F25">
            <w:pPr>
              <w:pStyle w:val="SCCAppellantInfoAppellantInfo"/>
              <w:rPr>
                <w:sz w:val="20"/>
                <w:szCs w:val="20"/>
              </w:rPr>
            </w:pPr>
            <w:r w:rsidRPr="00956D0A">
              <w:rPr>
                <w:sz w:val="20"/>
                <w:szCs w:val="20"/>
              </w:rPr>
              <w:t>(Que.)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9085-4886 Quebec Inc., et al.</w:t>
            </w:r>
          </w:p>
        </w:tc>
      </w:tr>
      <w:tr w:rsidR="00EB6F25" w:rsidRPr="00937000" w:rsidTr="00FD50E9">
        <w:trPr>
          <w:cantSplit/>
        </w:trPr>
        <w:tc>
          <w:tcPr>
            <w:tcW w:w="505" w:type="dxa"/>
          </w:tcPr>
          <w:p w:rsidR="00EB6F25" w:rsidRPr="00956D0A" w:rsidRDefault="00EB6F25" w:rsidP="00EB6F25">
            <w:pPr>
              <w:rPr>
                <w:sz w:val="20"/>
                <w:szCs w:val="20"/>
              </w:rPr>
            </w:pPr>
            <w:r w:rsidRPr="00956D0A">
              <w:rPr>
                <w:sz w:val="20"/>
                <w:szCs w:val="20"/>
              </w:rPr>
              <w:t>21.</w:t>
            </w:r>
          </w:p>
        </w:tc>
        <w:tc>
          <w:tcPr>
            <w:tcW w:w="806" w:type="dxa"/>
          </w:tcPr>
          <w:p w:rsidR="00EB6F25" w:rsidRPr="00956D0A" w:rsidRDefault="00EB6F25" w:rsidP="00EB6F25">
            <w:pPr>
              <w:rPr>
                <w:sz w:val="20"/>
                <w:szCs w:val="20"/>
              </w:rPr>
            </w:pPr>
            <w:r w:rsidRPr="00956D0A">
              <w:rPr>
                <w:sz w:val="20"/>
                <w:szCs w:val="20"/>
              </w:rPr>
              <w:t>38875</w:t>
            </w:r>
          </w:p>
        </w:tc>
        <w:tc>
          <w:tcPr>
            <w:tcW w:w="4027" w:type="dxa"/>
          </w:tcPr>
          <w:p w:rsidR="00EB6F25" w:rsidRPr="00956D0A" w:rsidRDefault="00EB6F25" w:rsidP="00EB6F25">
            <w:pPr>
              <w:pStyle w:val="SCCAppellantInfoAppellantInfo"/>
              <w:rPr>
                <w:sz w:val="20"/>
                <w:szCs w:val="20"/>
              </w:rPr>
            </w:pPr>
            <w:r w:rsidRPr="00956D0A">
              <w:rPr>
                <w:sz w:val="20"/>
                <w:szCs w:val="20"/>
              </w:rPr>
              <w:t>Wal-Mart Canada Corp.</w:t>
            </w:r>
          </w:p>
          <w:p w:rsidR="00EB6F25" w:rsidRPr="00956D0A" w:rsidRDefault="00EB6F25" w:rsidP="00EB6F25">
            <w:pPr>
              <w:pStyle w:val="SCCAppellantInfoAppellantInfo"/>
              <w:rPr>
                <w:sz w:val="20"/>
                <w:szCs w:val="20"/>
              </w:rPr>
            </w:pPr>
            <w:r w:rsidRPr="00956D0A">
              <w:rPr>
                <w:sz w:val="20"/>
                <w:szCs w:val="20"/>
              </w:rPr>
              <w:t>(Que.)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lang w:val="fr-CA"/>
              </w:rPr>
            </w:pPr>
            <w:r w:rsidRPr="00956D0A">
              <w:rPr>
                <w:sz w:val="20"/>
                <w:szCs w:val="20"/>
                <w:lang w:val="fr-CA"/>
              </w:rPr>
              <w:t>Visa Canada Corporation, et al.</w:t>
            </w: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22.</w:t>
            </w:r>
          </w:p>
        </w:tc>
        <w:tc>
          <w:tcPr>
            <w:tcW w:w="806" w:type="dxa"/>
          </w:tcPr>
          <w:p w:rsidR="00EB6F25" w:rsidRPr="00956D0A" w:rsidRDefault="00EB6F25" w:rsidP="00EB6F25">
            <w:pPr>
              <w:rPr>
                <w:sz w:val="20"/>
                <w:szCs w:val="20"/>
              </w:rPr>
            </w:pPr>
            <w:r w:rsidRPr="00956D0A">
              <w:rPr>
                <w:sz w:val="20"/>
                <w:szCs w:val="20"/>
              </w:rPr>
              <w:t>38963</w:t>
            </w:r>
          </w:p>
        </w:tc>
        <w:tc>
          <w:tcPr>
            <w:tcW w:w="4027" w:type="dxa"/>
          </w:tcPr>
          <w:p w:rsidR="00EB6F25" w:rsidRPr="00956D0A" w:rsidRDefault="00EB6F25" w:rsidP="00EB6F25">
            <w:pPr>
              <w:pStyle w:val="SCCAppellantInfoAppellantInfo"/>
              <w:rPr>
                <w:sz w:val="20"/>
                <w:szCs w:val="20"/>
              </w:rPr>
            </w:pPr>
            <w:r w:rsidRPr="00956D0A">
              <w:rPr>
                <w:sz w:val="20"/>
                <w:szCs w:val="20"/>
              </w:rPr>
              <w:t>Wal-Mart Canada Corp.</w:t>
            </w:r>
          </w:p>
          <w:p w:rsidR="00EB6F25" w:rsidRPr="00956D0A" w:rsidRDefault="00EB6F25" w:rsidP="00EB6F25">
            <w:pPr>
              <w:pStyle w:val="SCCAppellantInfoAppellantInfo"/>
              <w:rPr>
                <w:sz w:val="20"/>
                <w:szCs w:val="20"/>
              </w:rPr>
            </w:pPr>
            <w:r w:rsidRPr="00956D0A">
              <w:rPr>
                <w:sz w:val="20"/>
                <w:szCs w:val="20"/>
              </w:rPr>
              <w:t>(Ont.)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Jonathon Bancroft-Snell, et al.</w:t>
            </w: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23.</w:t>
            </w:r>
          </w:p>
        </w:tc>
        <w:tc>
          <w:tcPr>
            <w:tcW w:w="806" w:type="dxa"/>
          </w:tcPr>
          <w:p w:rsidR="00EB6F25" w:rsidRPr="00956D0A" w:rsidRDefault="00EB6F25" w:rsidP="00EB6F25">
            <w:pPr>
              <w:rPr>
                <w:sz w:val="20"/>
                <w:szCs w:val="20"/>
              </w:rPr>
            </w:pPr>
            <w:r w:rsidRPr="00956D0A">
              <w:rPr>
                <w:sz w:val="20"/>
                <w:szCs w:val="20"/>
              </w:rPr>
              <w:t>38965</w:t>
            </w:r>
          </w:p>
        </w:tc>
        <w:tc>
          <w:tcPr>
            <w:tcW w:w="4027" w:type="dxa"/>
          </w:tcPr>
          <w:p w:rsidR="00EB6F25" w:rsidRPr="00956D0A" w:rsidRDefault="00EB6F25" w:rsidP="00EB6F25">
            <w:pPr>
              <w:pStyle w:val="SCCAppellantInfoAppellantInfo"/>
              <w:rPr>
                <w:sz w:val="20"/>
                <w:szCs w:val="20"/>
              </w:rPr>
            </w:pPr>
            <w:r w:rsidRPr="00956D0A">
              <w:rPr>
                <w:sz w:val="20"/>
                <w:szCs w:val="20"/>
              </w:rPr>
              <w:t>Home Depot of Canada Inc.</w:t>
            </w:r>
          </w:p>
          <w:p w:rsidR="00EB6F25" w:rsidRPr="00956D0A" w:rsidRDefault="00EB6F25" w:rsidP="00EB6F25">
            <w:pPr>
              <w:pStyle w:val="SCCAppellantInfoAppellantInfo"/>
              <w:rPr>
                <w:sz w:val="20"/>
                <w:szCs w:val="20"/>
              </w:rPr>
            </w:pPr>
            <w:r w:rsidRPr="00956D0A">
              <w:rPr>
                <w:sz w:val="20"/>
                <w:szCs w:val="20"/>
              </w:rPr>
              <w:t>(Ont.) (Civil) (By Leave)</w:t>
            </w:r>
          </w:p>
        </w:tc>
        <w:tc>
          <w:tcPr>
            <w:tcW w:w="359" w:type="dxa"/>
          </w:tcPr>
          <w:p w:rsidR="00EB6F25" w:rsidRPr="00956D0A" w:rsidRDefault="00EB6F25" w:rsidP="00EB6F25">
            <w:pPr>
              <w:rPr>
                <w:sz w:val="20"/>
                <w:szCs w:val="20"/>
              </w:rPr>
            </w:pPr>
            <w:r w:rsidRPr="00956D0A">
              <w:rPr>
                <w:sz w:val="20"/>
                <w:szCs w:val="20"/>
              </w:rPr>
              <w:t>v.</w:t>
            </w:r>
          </w:p>
        </w:tc>
        <w:tc>
          <w:tcPr>
            <w:tcW w:w="3826" w:type="dxa"/>
          </w:tcPr>
          <w:p w:rsidR="00EB6F25" w:rsidRPr="00956D0A" w:rsidRDefault="00EB6F25" w:rsidP="00EB6F25">
            <w:pPr>
              <w:pStyle w:val="SCCAppellantInfoAppellantInfo"/>
              <w:rPr>
                <w:sz w:val="20"/>
                <w:szCs w:val="20"/>
              </w:rPr>
            </w:pPr>
            <w:r w:rsidRPr="00956D0A">
              <w:rPr>
                <w:sz w:val="20"/>
                <w:szCs w:val="20"/>
              </w:rPr>
              <w:t>Jonathon Bancroft-Snell, et al.</w:t>
            </w:r>
          </w:p>
        </w:tc>
      </w:tr>
      <w:tr w:rsidR="00EB6F25" w:rsidRPr="00956D0A" w:rsidTr="00FD50E9">
        <w:trPr>
          <w:cantSplit/>
        </w:trPr>
        <w:tc>
          <w:tcPr>
            <w:tcW w:w="505" w:type="dxa"/>
          </w:tcPr>
          <w:p w:rsidR="00EB6F25" w:rsidRPr="00956D0A" w:rsidRDefault="00EB6F25" w:rsidP="00EB6F25">
            <w:pPr>
              <w:rPr>
                <w:sz w:val="20"/>
                <w:szCs w:val="20"/>
              </w:rPr>
            </w:pPr>
            <w:r w:rsidRPr="00956D0A">
              <w:rPr>
                <w:sz w:val="20"/>
                <w:szCs w:val="20"/>
              </w:rPr>
              <w:t>24.</w:t>
            </w:r>
          </w:p>
        </w:tc>
        <w:tc>
          <w:tcPr>
            <w:tcW w:w="806" w:type="dxa"/>
          </w:tcPr>
          <w:p w:rsidR="00EB6F25" w:rsidRPr="00956D0A" w:rsidRDefault="00EB6F25" w:rsidP="00EB6F25">
            <w:pPr>
              <w:rPr>
                <w:sz w:val="20"/>
                <w:szCs w:val="20"/>
              </w:rPr>
            </w:pPr>
            <w:r w:rsidRPr="00956D0A">
              <w:rPr>
                <w:sz w:val="20"/>
                <w:szCs w:val="20"/>
              </w:rPr>
              <w:t>38993</w:t>
            </w:r>
          </w:p>
        </w:tc>
        <w:tc>
          <w:tcPr>
            <w:tcW w:w="4027" w:type="dxa"/>
          </w:tcPr>
          <w:p w:rsidR="00EB6F25" w:rsidRPr="00956D0A" w:rsidRDefault="00EB6F25" w:rsidP="00EB6F25">
            <w:pPr>
              <w:pStyle w:val="SCCAppellantInfoAppellantInfo"/>
              <w:rPr>
                <w:sz w:val="20"/>
                <w:szCs w:val="20"/>
                <w:lang w:val="fr-CA"/>
              </w:rPr>
            </w:pPr>
            <w:r w:rsidRPr="00956D0A">
              <w:rPr>
                <w:sz w:val="20"/>
                <w:szCs w:val="20"/>
                <w:lang w:val="fr-CA"/>
              </w:rPr>
              <w:t>Mona Tardif, et al.</w:t>
            </w:r>
          </w:p>
          <w:p w:rsidR="00EB6F25" w:rsidRPr="00956D0A" w:rsidRDefault="00EB6F25" w:rsidP="00EB6F25">
            <w:pPr>
              <w:pStyle w:val="SCCAppellantInfoAppellantInfo"/>
              <w:rPr>
                <w:sz w:val="20"/>
                <w:szCs w:val="20"/>
                <w:lang w:val="fr-CA"/>
              </w:rPr>
            </w:pPr>
            <w:r w:rsidRPr="00956D0A">
              <w:rPr>
                <w:sz w:val="20"/>
                <w:szCs w:val="20"/>
                <w:lang w:val="fr-CA"/>
              </w:rPr>
              <w:t>(Qc) (Civile) (Autorisation)</w:t>
            </w:r>
          </w:p>
        </w:tc>
        <w:tc>
          <w:tcPr>
            <w:tcW w:w="359" w:type="dxa"/>
          </w:tcPr>
          <w:p w:rsidR="00EB6F25" w:rsidRPr="00956D0A" w:rsidRDefault="00EB6F25" w:rsidP="00EB6F25">
            <w:pPr>
              <w:rPr>
                <w:sz w:val="20"/>
                <w:szCs w:val="20"/>
              </w:rPr>
            </w:pPr>
            <w:r w:rsidRPr="00956D0A">
              <w:rPr>
                <w:sz w:val="20"/>
                <w:szCs w:val="20"/>
              </w:rPr>
              <w:t>c.</w:t>
            </w:r>
          </w:p>
        </w:tc>
        <w:tc>
          <w:tcPr>
            <w:tcW w:w="3826" w:type="dxa"/>
          </w:tcPr>
          <w:p w:rsidR="00EB6F25" w:rsidRPr="00956D0A" w:rsidRDefault="00EB6F25" w:rsidP="00EB6F25">
            <w:pPr>
              <w:pStyle w:val="SCCAppellantInfoAppellantInfo"/>
              <w:rPr>
                <w:sz w:val="20"/>
                <w:szCs w:val="20"/>
              </w:rPr>
            </w:pPr>
            <w:r w:rsidRPr="00956D0A">
              <w:rPr>
                <w:sz w:val="20"/>
                <w:szCs w:val="20"/>
              </w:rPr>
              <w:t>Nutrition Fitness Cardio Inc.</w:t>
            </w:r>
          </w:p>
        </w:tc>
      </w:tr>
    </w:tbl>
    <w:p w:rsidR="00F138C1" w:rsidRPr="00956D0A" w:rsidRDefault="00F138C1" w:rsidP="00F138C1">
      <w:pPr>
        <w:widowControl w:val="0"/>
        <w:rPr>
          <w:sz w:val="20"/>
          <w:szCs w:val="20"/>
        </w:rPr>
      </w:pPr>
    </w:p>
    <w:p w:rsidR="00F138C1" w:rsidRPr="00956D0A" w:rsidRDefault="00937000" w:rsidP="00F138C1">
      <w:pPr>
        <w:widowControl w:val="0"/>
        <w:rPr>
          <w:sz w:val="20"/>
          <w:szCs w:val="20"/>
        </w:rPr>
      </w:pPr>
      <w:r>
        <w:rPr>
          <w:sz w:val="20"/>
          <w:szCs w:val="20"/>
        </w:rPr>
        <w:pict>
          <v:rect id="_x0000_i1036" style="width:2in;height:1pt" o:hrpct="0" o:hralign="center" o:hrstd="t" o:hrnoshade="t" o:hr="t" fillcolor="black [3213]" stroked="f"/>
        </w:pict>
      </w:r>
    </w:p>
    <w:p w:rsidR="005967EF" w:rsidRPr="00956D0A" w:rsidRDefault="005967EF" w:rsidP="002E2327">
      <w:pPr>
        <w:widowControl w:val="0"/>
        <w:rPr>
          <w:sz w:val="20"/>
          <w:szCs w:val="20"/>
        </w:rPr>
      </w:pPr>
    </w:p>
    <w:p w:rsidR="00EB6F25" w:rsidRPr="00956D0A" w:rsidRDefault="00EB6F25" w:rsidP="002E2327">
      <w:pPr>
        <w:widowControl w:val="0"/>
        <w:rPr>
          <w:sz w:val="20"/>
          <w:szCs w:val="20"/>
        </w:rPr>
      </w:pPr>
    </w:p>
    <w:p w:rsidR="0044776A" w:rsidRPr="00956D0A" w:rsidRDefault="0044776A" w:rsidP="002E2327">
      <w:pPr>
        <w:widowControl w:val="0"/>
        <w:spacing w:line="0" w:lineRule="atLeast"/>
        <w:rPr>
          <w:sz w:val="20"/>
          <w:szCs w:val="20"/>
        </w:rPr>
        <w:sectPr w:rsidR="0044776A" w:rsidRPr="00956D0A"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956D0A" w:rsidRDefault="00DD0BDC" w:rsidP="00567602">
      <w:pPr>
        <w:pStyle w:val="Header1StyleE"/>
        <w:pBdr>
          <w:bottom w:val="single" w:sz="12" w:space="1" w:color="auto"/>
        </w:pBdr>
        <w:rPr>
          <w:lang w:val="fr-CA"/>
        </w:rPr>
      </w:pPr>
      <w:bookmarkStart w:id="2" w:name="QuickMark_1"/>
      <w:bookmarkStart w:id="3" w:name="_Toc32998867"/>
      <w:bookmarkEnd w:id="2"/>
      <w:r w:rsidRPr="00956D0A">
        <w:rPr>
          <w:lang w:val="fr-CA"/>
        </w:rPr>
        <w:t>Judgments on applications</w:t>
      </w:r>
      <w:r w:rsidR="000C1D9D" w:rsidRPr="00956D0A">
        <w:rPr>
          <w:lang w:val="fr-CA"/>
        </w:rPr>
        <w:t xml:space="preserve"> </w:t>
      </w:r>
      <w:r w:rsidRPr="00956D0A">
        <w:rPr>
          <w:lang w:val="fr-CA"/>
        </w:rPr>
        <w:t>for leave</w:t>
      </w:r>
      <w:r w:rsidR="00693C38" w:rsidRPr="00956D0A">
        <w:rPr>
          <w:noProof/>
          <w:sz w:val="20"/>
          <w:lang w:val="fr-CA"/>
        </w:rPr>
        <w:t xml:space="preserve"> </w:t>
      </w:r>
      <w:r w:rsidR="00271E1E" w:rsidRPr="00956D0A">
        <w:rPr>
          <w:noProof/>
          <w:sz w:val="20"/>
          <w:lang w:val="fr-CA"/>
        </w:rPr>
        <w:t xml:space="preserve">/ </w:t>
      </w:r>
      <w:r w:rsidR="00693C38" w:rsidRPr="00956D0A">
        <w:rPr>
          <w:noProof/>
          <w:sz w:val="20"/>
          <w:lang w:val="fr-CA"/>
        </w:rPr>
        <w:br/>
      </w:r>
      <w:r w:rsidRPr="00956D0A">
        <w:rPr>
          <w:lang w:val="fr-CA"/>
        </w:rPr>
        <w:t>Jugements rendus sur les demandes d’autorisation</w:t>
      </w:r>
      <w:bookmarkEnd w:id="3"/>
    </w:p>
    <w:p w:rsidR="00FB1DB6" w:rsidRPr="00956D0A" w:rsidRDefault="00FB1DB6" w:rsidP="00693C38">
      <w:pPr>
        <w:rPr>
          <w:sz w:val="20"/>
          <w:szCs w:val="20"/>
          <w:lang w:val="fr-CA"/>
        </w:rPr>
      </w:pPr>
    </w:p>
    <w:p w:rsidR="00F16063" w:rsidRPr="00956D0A" w:rsidRDefault="003D7C55" w:rsidP="00F16063">
      <w:pPr>
        <w:rPr>
          <w:b/>
          <w:sz w:val="20"/>
          <w:szCs w:val="20"/>
        </w:rPr>
      </w:pPr>
      <w:r w:rsidRPr="00956D0A">
        <w:rPr>
          <w:b/>
          <w:sz w:val="20"/>
          <w:szCs w:val="20"/>
          <w:lang w:val="fr-CA"/>
        </w:rPr>
        <w:t>FEBRUARY</w:t>
      </w:r>
      <w:r w:rsidR="00F16063" w:rsidRPr="00956D0A">
        <w:rPr>
          <w:b/>
          <w:sz w:val="20"/>
          <w:szCs w:val="20"/>
        </w:rPr>
        <w:t xml:space="preserve"> </w:t>
      </w:r>
      <w:r w:rsidRPr="00956D0A">
        <w:rPr>
          <w:b/>
          <w:sz w:val="20"/>
          <w:szCs w:val="20"/>
        </w:rPr>
        <w:t>20</w:t>
      </w:r>
      <w:r w:rsidR="00F16063" w:rsidRPr="00956D0A">
        <w:rPr>
          <w:b/>
          <w:sz w:val="20"/>
          <w:szCs w:val="20"/>
        </w:rPr>
        <w:t xml:space="preserve">, </w:t>
      </w:r>
      <w:r w:rsidR="0034657E" w:rsidRPr="00956D0A">
        <w:rPr>
          <w:b/>
          <w:sz w:val="20"/>
          <w:szCs w:val="20"/>
        </w:rPr>
        <w:t>20</w:t>
      </w:r>
      <w:r w:rsidR="005967EF" w:rsidRPr="00956D0A">
        <w:rPr>
          <w:b/>
          <w:sz w:val="20"/>
          <w:szCs w:val="20"/>
        </w:rPr>
        <w:t>20</w:t>
      </w:r>
      <w:r w:rsidR="00F16063" w:rsidRPr="00956D0A">
        <w:rPr>
          <w:b/>
          <w:sz w:val="20"/>
          <w:szCs w:val="20"/>
        </w:rPr>
        <w:t xml:space="preserve"> / LE </w:t>
      </w:r>
      <w:r w:rsidRPr="00956D0A">
        <w:rPr>
          <w:b/>
          <w:sz w:val="20"/>
          <w:szCs w:val="20"/>
        </w:rPr>
        <w:t>20</w:t>
      </w:r>
      <w:r w:rsidR="00F16063" w:rsidRPr="00956D0A">
        <w:rPr>
          <w:b/>
          <w:sz w:val="20"/>
          <w:szCs w:val="20"/>
        </w:rPr>
        <w:t xml:space="preserve"> </w:t>
      </w:r>
      <w:r w:rsidRPr="00956D0A">
        <w:rPr>
          <w:b/>
          <w:sz w:val="20"/>
          <w:szCs w:val="20"/>
        </w:rPr>
        <w:t>FÉ</w:t>
      </w:r>
      <w:r w:rsidR="00F16063" w:rsidRPr="00956D0A">
        <w:rPr>
          <w:b/>
          <w:sz w:val="20"/>
          <w:szCs w:val="20"/>
        </w:rPr>
        <w:t>V</w:t>
      </w:r>
      <w:r w:rsidRPr="00956D0A">
        <w:rPr>
          <w:b/>
          <w:sz w:val="20"/>
          <w:szCs w:val="20"/>
        </w:rPr>
        <w:t>R</w:t>
      </w:r>
      <w:r w:rsidR="00F16063" w:rsidRPr="00956D0A">
        <w:rPr>
          <w:b/>
          <w:sz w:val="20"/>
          <w:szCs w:val="20"/>
        </w:rPr>
        <w:t xml:space="preserve">IER </w:t>
      </w:r>
      <w:r w:rsidR="0034657E" w:rsidRPr="00956D0A">
        <w:rPr>
          <w:b/>
          <w:sz w:val="20"/>
          <w:szCs w:val="20"/>
        </w:rPr>
        <w:t>20</w:t>
      </w:r>
      <w:r w:rsidR="005967EF" w:rsidRPr="00956D0A">
        <w:rPr>
          <w:b/>
          <w:sz w:val="20"/>
          <w:szCs w:val="20"/>
        </w:rPr>
        <w:t>20</w:t>
      </w:r>
    </w:p>
    <w:p w:rsidR="003D7C55" w:rsidRPr="00956D0A" w:rsidRDefault="003D7C55" w:rsidP="003D7C55">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38799</w:t>
            </w:r>
          </w:p>
        </w:tc>
        <w:tc>
          <w:tcPr>
            <w:tcW w:w="4457" w:type="pct"/>
            <w:gridSpan w:val="3"/>
          </w:tcPr>
          <w:p w:rsidR="003D7C55" w:rsidRPr="00956D0A" w:rsidRDefault="003D7C55" w:rsidP="007C3BCE">
            <w:pPr>
              <w:pStyle w:val="SCCLsocParty"/>
              <w:jc w:val="both"/>
              <w:rPr>
                <w:b/>
                <w:sz w:val="20"/>
                <w:szCs w:val="20"/>
                <w:lang w:val="en-CA"/>
              </w:rPr>
            </w:pPr>
            <w:r w:rsidRPr="00956D0A">
              <w:rPr>
                <w:b/>
                <w:sz w:val="20"/>
                <w:szCs w:val="20"/>
                <w:lang w:val="en-CA"/>
              </w:rPr>
              <w:t>City of Dieppe v. Noron Inc.</w:t>
            </w:r>
          </w:p>
          <w:p w:rsidR="003D7C55" w:rsidRPr="00956D0A" w:rsidRDefault="003D7C55" w:rsidP="007C3BCE">
            <w:pPr>
              <w:jc w:val="both"/>
              <w:rPr>
                <w:sz w:val="20"/>
              </w:rPr>
            </w:pPr>
            <w:r w:rsidRPr="00956D0A">
              <w:rPr>
                <w:sz w:val="20"/>
              </w:rPr>
              <w:t>(N.B.) (Civil) (By Leave)</w:t>
            </w:r>
          </w:p>
        </w:tc>
      </w:tr>
      <w:tr w:rsidR="008850D8" w:rsidRPr="00956D0A" w:rsidTr="007C3BCE">
        <w:tc>
          <w:tcPr>
            <w:tcW w:w="5000" w:type="pct"/>
            <w:gridSpan w:val="4"/>
          </w:tcPr>
          <w:p w:rsidR="008850D8" w:rsidRPr="00956D0A" w:rsidRDefault="005964BD" w:rsidP="007C3BCE">
            <w:pPr>
              <w:jc w:val="both"/>
              <w:rPr>
                <w:sz w:val="20"/>
                <w:szCs w:val="20"/>
              </w:rPr>
            </w:pPr>
            <w:r w:rsidRPr="00956D0A">
              <w:rPr>
                <w:sz w:val="20"/>
                <w:szCs w:val="20"/>
              </w:rPr>
              <w:t>The application for leave to appeal from the judgment of the</w:t>
            </w:r>
            <w:bookmarkStart w:id="4" w:name="BM_1_"/>
            <w:bookmarkEnd w:id="4"/>
            <w:r w:rsidRPr="00956D0A">
              <w:rPr>
                <w:sz w:val="20"/>
                <w:szCs w:val="20"/>
              </w:rPr>
              <w:t xml:space="preserve"> </w:t>
            </w:r>
            <w:r w:rsidRPr="00956D0A">
              <w:rPr>
                <w:sz w:val="20"/>
                <w:szCs w:val="20"/>
                <w:lang w:val="en-US"/>
              </w:rPr>
              <w:t>Court of Appeal of New Brunswick</w:t>
            </w:r>
            <w:r w:rsidRPr="00956D0A">
              <w:rPr>
                <w:sz w:val="20"/>
                <w:szCs w:val="20"/>
              </w:rPr>
              <w:t xml:space="preserve">, Number </w:t>
            </w:r>
            <w:r w:rsidRPr="00956D0A">
              <w:rPr>
                <w:sz w:val="20"/>
                <w:szCs w:val="20"/>
                <w:lang w:val="en-US"/>
              </w:rPr>
              <w:t>126-18-CA, 2019 NBCA 43</w:t>
            </w:r>
            <w:r w:rsidRPr="00956D0A">
              <w:rPr>
                <w:sz w:val="20"/>
                <w:szCs w:val="20"/>
              </w:rPr>
              <w:t xml:space="preserve">, dated </w:t>
            </w:r>
            <w:r w:rsidRPr="00956D0A">
              <w:rPr>
                <w:sz w:val="20"/>
                <w:szCs w:val="20"/>
                <w:lang w:val="en-US"/>
              </w:rPr>
              <w:t>June 13, 2019,</w:t>
            </w:r>
            <w:r w:rsidRPr="00956D0A">
              <w:rPr>
                <w:sz w:val="20"/>
                <w:szCs w:val="20"/>
              </w:rPr>
              <w:t xml:space="preserve"> is dismissed with costs.</w:t>
            </w:r>
          </w:p>
          <w:p w:rsidR="005964BD" w:rsidRPr="00956D0A" w:rsidRDefault="005964BD" w:rsidP="007C3BCE">
            <w:pPr>
              <w:jc w:val="both"/>
              <w:rPr>
                <w:sz w:val="20"/>
                <w:szCs w:val="20"/>
              </w:rPr>
            </w:pPr>
          </w:p>
        </w:tc>
      </w:tr>
      <w:tr w:rsidR="003D7C55" w:rsidRPr="00956D0A" w:rsidTr="007C3BCE">
        <w:tc>
          <w:tcPr>
            <w:tcW w:w="5000" w:type="pct"/>
            <w:gridSpan w:val="4"/>
          </w:tcPr>
          <w:p w:rsidR="003D7C55" w:rsidRPr="00956D0A" w:rsidRDefault="00937000" w:rsidP="007C3BCE">
            <w:pPr>
              <w:jc w:val="both"/>
              <w:rPr>
                <w:sz w:val="20"/>
              </w:rPr>
            </w:pPr>
            <w:r w:rsidRPr="002C657E">
              <w:rPr>
                <w:sz w:val="20"/>
                <w:szCs w:val="20"/>
              </w:rPr>
              <w:t>Municipal law — Public utilities — Waterworks and sewers — Court of Appeal concluding that municipality had statutory authority to impose user</w:t>
            </w:r>
            <w:r w:rsidRPr="002C657E">
              <w:rPr>
                <w:sz w:val="20"/>
                <w:szCs w:val="20"/>
              </w:rPr>
              <w:noBreakHyphen/>
              <w:t>charges on owner of mini-home park that was private project, but that assessment of user</w:t>
            </w:r>
            <w:r w:rsidRPr="002C657E">
              <w:rPr>
                <w:sz w:val="20"/>
                <w:szCs w:val="20"/>
              </w:rPr>
              <w:noBreakHyphen/>
              <w:t>charges had to be undertaken in consideration of use of municipality’s services — Calculation of user</w:t>
            </w:r>
            <w:r w:rsidRPr="002C657E">
              <w:rPr>
                <w:sz w:val="20"/>
                <w:szCs w:val="20"/>
              </w:rPr>
              <w:noBreakHyphen/>
              <w:t xml:space="preserve">charge by reference to use of services — Whether analytical approach laid down by this Court in </w:t>
            </w:r>
            <w:r w:rsidRPr="002C657E">
              <w:rPr>
                <w:i/>
                <w:sz w:val="20"/>
                <w:szCs w:val="20"/>
              </w:rPr>
              <w:t>Catalyst Paper Corp. v. North Cowichan (District)</w:t>
            </w:r>
            <w:r w:rsidRPr="002C657E">
              <w:rPr>
                <w:sz w:val="20"/>
                <w:szCs w:val="20"/>
              </w:rPr>
              <w:t>, 2012 SCC 2, [2012] 1 S.C.R. 5, involves analyzing substance or merits of by</w:t>
            </w:r>
            <w:r w:rsidRPr="002C657E">
              <w:rPr>
                <w:sz w:val="20"/>
                <w:szCs w:val="20"/>
              </w:rPr>
              <w:noBreakHyphen/>
              <w:t>law passed — Appropriate form of relief where by</w:t>
            </w:r>
            <w:r w:rsidRPr="002C657E">
              <w:rPr>
                <w:sz w:val="20"/>
                <w:szCs w:val="20"/>
              </w:rPr>
              <w:noBreakHyphen/>
              <w:t>law held to be unreasonable.</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5000" w:type="pct"/>
            <w:gridSpan w:val="4"/>
          </w:tcPr>
          <w:p w:rsidR="00937000" w:rsidRPr="002C657E" w:rsidRDefault="00937000" w:rsidP="00937000">
            <w:pPr>
              <w:jc w:val="both"/>
              <w:rPr>
                <w:sz w:val="20"/>
                <w:szCs w:val="20"/>
              </w:rPr>
            </w:pPr>
            <w:r w:rsidRPr="002C657E">
              <w:rPr>
                <w:sz w:val="20"/>
                <w:szCs w:val="20"/>
              </w:rPr>
              <w:t>Noron Inc. (“Noron”) is the owner of Dover Estates, a mini</w:t>
            </w:r>
            <w:r w:rsidRPr="002C657E">
              <w:rPr>
                <w:sz w:val="20"/>
                <w:szCs w:val="20"/>
              </w:rPr>
              <w:noBreakHyphen/>
              <w:t>home park in Dieppe, New Brunswick. Dover Estates is a private project, and Noron (rather than the City) owns and maintains the piping for the sewerage system and the water system. That system is connected to the municipal water system. Starting in 1997, in accordance with its municipal by</w:t>
            </w:r>
            <w:r w:rsidRPr="002C657E">
              <w:rPr>
                <w:sz w:val="20"/>
                <w:szCs w:val="20"/>
              </w:rPr>
              <w:noBreakHyphen/>
              <w:t>law, Dieppe billed Noron a user</w:t>
            </w:r>
            <w:r w:rsidRPr="002C657E">
              <w:rPr>
                <w:sz w:val="20"/>
                <w:szCs w:val="20"/>
              </w:rPr>
              <w:noBreakHyphen/>
              <w:t>charge for water and sewerage services that was the same as the amount it charged homeowners who were exclusively serviced by it, and it billed the same fixed amount per unit that it billed for other dwellings. Noron brought an action against the City, seeking, among other things, restitution equivalent to the amount it claimed to have overpaid based on the rate charged to it by the City.</w:t>
            </w:r>
          </w:p>
          <w:p w:rsidR="00937000" w:rsidRPr="002C657E" w:rsidRDefault="00937000" w:rsidP="00937000">
            <w:pPr>
              <w:jc w:val="both"/>
              <w:rPr>
                <w:sz w:val="20"/>
                <w:szCs w:val="20"/>
              </w:rPr>
            </w:pPr>
          </w:p>
          <w:p w:rsidR="00937000" w:rsidRPr="002C657E" w:rsidRDefault="00937000" w:rsidP="00937000">
            <w:pPr>
              <w:jc w:val="both"/>
              <w:rPr>
                <w:sz w:val="20"/>
                <w:szCs w:val="20"/>
              </w:rPr>
            </w:pPr>
            <w:r w:rsidRPr="002C657E">
              <w:rPr>
                <w:sz w:val="20"/>
                <w:szCs w:val="20"/>
              </w:rPr>
              <w:t>The trial judge stated that the City was entitled to use a fixed unit cost to bill Noron and rendered judgment in favour of Dieppe. The Court of Appeal allowed Noron’s appeal in part. It concluded that Dieppe had the statutory authority to impose user</w:t>
            </w:r>
            <w:r w:rsidRPr="002C657E">
              <w:rPr>
                <w:sz w:val="20"/>
                <w:szCs w:val="20"/>
              </w:rPr>
              <w:noBreakHyphen/>
              <w:t>charges on Noron but that the assessment of the user</w:t>
            </w:r>
            <w:r w:rsidRPr="002C657E">
              <w:rPr>
                <w:sz w:val="20"/>
                <w:szCs w:val="20"/>
              </w:rPr>
              <w:noBreakHyphen/>
              <w:t>charges had to be undertaken in consideration of the use of Dieppe’s services. It remitted the issue of the assessment of user</w:t>
            </w:r>
            <w:r w:rsidRPr="002C657E">
              <w:rPr>
                <w:sz w:val="20"/>
                <w:szCs w:val="20"/>
              </w:rPr>
              <w:noBreakHyphen/>
              <w:t>charges to the trial judge for determination. The trial judge found that Noron had not presented any evidence that he deemed satisfactory as to its level of water consumption in the Dover Estates mini</w:t>
            </w:r>
            <w:r w:rsidRPr="002C657E">
              <w:rPr>
                <w:sz w:val="20"/>
                <w:szCs w:val="20"/>
              </w:rPr>
              <w:noBreakHyphen/>
              <w:t>homes, and he awarded it nothing more. The Court of Appeal allowed Noron’s appeal. It exercised its powers to make the assessment itself and determined that the charges had to be reduced by 62 percent.</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April 22, 2016</w:t>
            </w:r>
          </w:p>
          <w:p w:rsidR="003D7C55" w:rsidRPr="00956D0A" w:rsidRDefault="003D7C55" w:rsidP="007C3BCE">
            <w:pPr>
              <w:jc w:val="both"/>
              <w:rPr>
                <w:sz w:val="20"/>
              </w:rPr>
            </w:pPr>
            <w:r w:rsidRPr="00956D0A">
              <w:rPr>
                <w:sz w:val="20"/>
              </w:rPr>
              <w:t>New Brunswick Court of Queen’s Bench</w:t>
            </w:r>
          </w:p>
          <w:p w:rsidR="003D7C55" w:rsidRPr="00956D0A" w:rsidRDefault="003D7C55" w:rsidP="007C3BCE">
            <w:pPr>
              <w:jc w:val="both"/>
              <w:rPr>
                <w:sz w:val="20"/>
              </w:rPr>
            </w:pPr>
            <w:r w:rsidRPr="00956D0A">
              <w:rPr>
                <w:sz w:val="20"/>
              </w:rPr>
              <w:t>(Dionne J.)</w:t>
            </w:r>
          </w:p>
          <w:p w:rsidR="003D7C55" w:rsidRPr="00956D0A" w:rsidRDefault="00937000" w:rsidP="007C3BCE">
            <w:pPr>
              <w:jc w:val="both"/>
              <w:rPr>
                <w:sz w:val="20"/>
              </w:rPr>
            </w:pPr>
            <w:hyperlink r:id="rId19" w:history="1">
              <w:r w:rsidR="003D7C55" w:rsidRPr="00956D0A">
                <w:rPr>
                  <w:rStyle w:val="Hyperlink"/>
                  <w:sz w:val="20"/>
                </w:rPr>
                <w:t>2016 NBQB 82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rendered ordering Noron Inc. to pay City of Dieppe $1,048,300 plus costs, disbursements and interest</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color w:val="000000" w:themeColor="text1"/>
                <w:sz w:val="20"/>
              </w:rPr>
            </w:pPr>
            <w:r w:rsidRPr="00956D0A">
              <w:rPr>
                <w:color w:val="000000" w:themeColor="text1"/>
                <w:sz w:val="20"/>
              </w:rPr>
              <w:t>September 21, 2017</w:t>
            </w:r>
          </w:p>
          <w:p w:rsidR="003D7C55" w:rsidRPr="00956D0A" w:rsidRDefault="003D7C55" w:rsidP="007C3BCE">
            <w:pPr>
              <w:jc w:val="both"/>
              <w:rPr>
                <w:color w:val="000000" w:themeColor="text1"/>
                <w:sz w:val="20"/>
              </w:rPr>
            </w:pPr>
            <w:r w:rsidRPr="00956D0A">
              <w:rPr>
                <w:color w:val="000000" w:themeColor="text1"/>
                <w:sz w:val="20"/>
              </w:rPr>
              <w:t>New Brunswick Court of Appeal</w:t>
            </w:r>
          </w:p>
          <w:p w:rsidR="003D7C55" w:rsidRPr="00956D0A" w:rsidRDefault="003D7C55" w:rsidP="007C3BCE">
            <w:pPr>
              <w:jc w:val="both"/>
              <w:rPr>
                <w:color w:val="000000" w:themeColor="text1"/>
                <w:sz w:val="20"/>
              </w:rPr>
            </w:pPr>
            <w:r w:rsidRPr="00956D0A">
              <w:rPr>
                <w:color w:val="000000" w:themeColor="text1"/>
                <w:sz w:val="20"/>
              </w:rPr>
              <w:t>(Larlee, Quigg and Baird JJ.A.)</w:t>
            </w:r>
          </w:p>
          <w:p w:rsidR="003D7C55" w:rsidRPr="00956D0A" w:rsidRDefault="003D7C55" w:rsidP="007C3BCE">
            <w:pPr>
              <w:jc w:val="both"/>
              <w:rPr>
                <w:rStyle w:val="Hyperlink"/>
                <w:sz w:val="20"/>
              </w:rPr>
            </w:pPr>
            <w:r w:rsidRPr="00956D0A">
              <w:rPr>
                <w:color w:val="000000" w:themeColor="text1"/>
                <w:sz w:val="20"/>
              </w:rPr>
              <w:t>33</w:t>
            </w:r>
            <w:r w:rsidRPr="00956D0A">
              <w:rPr>
                <w:color w:val="000000" w:themeColor="text1"/>
                <w:sz w:val="20"/>
              </w:rPr>
              <w:noBreakHyphen/>
              <w:t>16</w:t>
            </w:r>
            <w:r w:rsidRPr="00956D0A">
              <w:rPr>
                <w:color w:val="000000" w:themeColor="text1"/>
                <w:sz w:val="20"/>
              </w:rPr>
              <w:noBreakHyphen/>
              <w:t xml:space="preserve">CA; </w:t>
            </w:r>
            <w:r w:rsidRPr="00956D0A">
              <w:rPr>
                <w:rStyle w:val="Hyperlink"/>
                <w:color w:val="000000" w:themeColor="text1"/>
                <w:sz w:val="20"/>
              </w:rPr>
              <w:fldChar w:fldCharType="begin"/>
            </w:r>
            <w:r w:rsidRPr="00956D0A">
              <w:rPr>
                <w:rStyle w:val="Hyperlink"/>
                <w:color w:val="000000" w:themeColor="text1"/>
                <w:sz w:val="20"/>
              </w:rPr>
              <w:instrText>HYPERLINK "https://www.canlii.org/en/nb/nbca/doc/2017/2017nbca38/2017nbca38.html"</w:instrText>
            </w:r>
            <w:r w:rsidRPr="00956D0A">
              <w:rPr>
                <w:rStyle w:val="Hyperlink"/>
                <w:color w:val="000000" w:themeColor="text1"/>
                <w:sz w:val="20"/>
              </w:rPr>
              <w:fldChar w:fldCharType="separate"/>
            </w:r>
            <w:r w:rsidRPr="00956D0A">
              <w:rPr>
                <w:rStyle w:val="Hyperlink"/>
                <w:sz w:val="20"/>
              </w:rPr>
              <w:t>2017 NBCA 38</w:t>
            </w:r>
          </w:p>
          <w:p w:rsidR="003D7C55" w:rsidRPr="00956D0A" w:rsidRDefault="003D7C55" w:rsidP="007C3BCE">
            <w:pPr>
              <w:jc w:val="both"/>
              <w:rPr>
                <w:sz w:val="20"/>
              </w:rPr>
            </w:pPr>
            <w:r w:rsidRPr="00956D0A">
              <w:rPr>
                <w:rStyle w:val="Hyperlink"/>
                <w:color w:val="000000" w:themeColor="text1"/>
                <w:sz w:val="20"/>
              </w:rPr>
              <w:fldChar w:fldCharType="end"/>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rendered allowing Noron Inc.’s appeal in part and remitting issue of assessment of user</w:t>
            </w:r>
            <w:r w:rsidRPr="00956D0A">
              <w:rPr>
                <w:sz w:val="20"/>
              </w:rPr>
              <w:noBreakHyphen/>
              <w:t>charges for water from City to trial judge for determination</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June 21, 2018</w:t>
            </w:r>
          </w:p>
          <w:p w:rsidR="003D7C55" w:rsidRPr="00956D0A" w:rsidRDefault="003D7C55" w:rsidP="007C3BCE">
            <w:pPr>
              <w:jc w:val="both"/>
              <w:rPr>
                <w:sz w:val="20"/>
              </w:rPr>
            </w:pPr>
            <w:r w:rsidRPr="00956D0A">
              <w:rPr>
                <w:sz w:val="20"/>
              </w:rPr>
              <w:t>Supreme Court of Canada</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dismissed with costs</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15,</w:t>
            </w:r>
          </w:p>
          <w:p w:rsidR="003D7C55" w:rsidRPr="00956D0A" w:rsidRDefault="003D7C55" w:rsidP="007C3BCE">
            <w:pPr>
              <w:jc w:val="both"/>
              <w:rPr>
                <w:sz w:val="20"/>
              </w:rPr>
            </w:pPr>
            <w:r w:rsidRPr="00956D0A">
              <w:rPr>
                <w:sz w:val="20"/>
              </w:rPr>
              <w:t>New Brunswick Court of Queen’s Bench</w:t>
            </w:r>
          </w:p>
          <w:p w:rsidR="003D7C55" w:rsidRPr="00956D0A" w:rsidRDefault="003D7C55" w:rsidP="007C3BCE">
            <w:pPr>
              <w:jc w:val="both"/>
              <w:rPr>
                <w:sz w:val="20"/>
              </w:rPr>
            </w:pPr>
            <w:r w:rsidRPr="00956D0A">
              <w:rPr>
                <w:sz w:val="20"/>
              </w:rPr>
              <w:t>(Dionne J.)</w:t>
            </w:r>
          </w:p>
          <w:p w:rsidR="003D7C55" w:rsidRPr="00956D0A" w:rsidRDefault="00937000" w:rsidP="007C3BCE">
            <w:pPr>
              <w:jc w:val="both"/>
              <w:rPr>
                <w:sz w:val="20"/>
              </w:rPr>
            </w:pPr>
            <w:hyperlink r:id="rId20" w:history="1">
              <w:r w:rsidR="003D7C55" w:rsidRPr="00956D0A">
                <w:rPr>
                  <w:rStyle w:val="Hyperlink"/>
                  <w:sz w:val="20"/>
                </w:rPr>
                <w:t>2018 NBQB 208</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rendered awarding Noron Inc. nothing more</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June 13, 2019</w:t>
            </w:r>
          </w:p>
          <w:p w:rsidR="003D7C55" w:rsidRPr="00956D0A" w:rsidRDefault="003D7C55" w:rsidP="007C3BCE">
            <w:pPr>
              <w:jc w:val="both"/>
              <w:rPr>
                <w:sz w:val="20"/>
              </w:rPr>
            </w:pPr>
            <w:r w:rsidRPr="00956D0A">
              <w:rPr>
                <w:sz w:val="20"/>
              </w:rPr>
              <w:t>New Brunswick Court of Appeal</w:t>
            </w:r>
          </w:p>
          <w:p w:rsidR="003D7C55" w:rsidRPr="00956D0A" w:rsidRDefault="003D7C55" w:rsidP="007C3BCE">
            <w:pPr>
              <w:jc w:val="both"/>
              <w:rPr>
                <w:color w:val="000000" w:themeColor="text1"/>
                <w:sz w:val="20"/>
              </w:rPr>
            </w:pPr>
            <w:r w:rsidRPr="00956D0A">
              <w:rPr>
                <w:color w:val="000000" w:themeColor="text1"/>
                <w:sz w:val="20"/>
              </w:rPr>
              <w:t>(Larlee, Quigg and Baird JJ.A.)</w:t>
            </w:r>
          </w:p>
          <w:p w:rsidR="003D7C55" w:rsidRPr="00956D0A" w:rsidRDefault="003D7C55" w:rsidP="007C3BCE">
            <w:pPr>
              <w:jc w:val="both"/>
              <w:rPr>
                <w:rStyle w:val="Hyperlink"/>
                <w:sz w:val="20"/>
              </w:rPr>
            </w:pPr>
            <w:r w:rsidRPr="00956D0A">
              <w:rPr>
                <w:color w:val="000000" w:themeColor="text1"/>
                <w:sz w:val="20"/>
              </w:rPr>
              <w:t>126</w:t>
            </w:r>
            <w:r w:rsidRPr="00956D0A">
              <w:rPr>
                <w:color w:val="000000" w:themeColor="text1"/>
                <w:sz w:val="20"/>
              </w:rPr>
              <w:noBreakHyphen/>
              <w:t>18</w:t>
            </w:r>
            <w:r w:rsidRPr="00956D0A">
              <w:rPr>
                <w:color w:val="000000" w:themeColor="text1"/>
                <w:sz w:val="20"/>
              </w:rPr>
              <w:noBreakHyphen/>
              <w:t xml:space="preserve">CA; </w:t>
            </w:r>
            <w:r w:rsidRPr="00956D0A">
              <w:rPr>
                <w:rStyle w:val="Hyperlink"/>
                <w:color w:val="000000" w:themeColor="text1"/>
                <w:sz w:val="20"/>
              </w:rPr>
              <w:fldChar w:fldCharType="begin"/>
            </w:r>
            <w:r w:rsidRPr="00956D0A">
              <w:rPr>
                <w:rStyle w:val="Hyperlink"/>
                <w:color w:val="000000" w:themeColor="text1"/>
                <w:sz w:val="20"/>
              </w:rPr>
              <w:instrText>HYPERLINK "https://www.canlii.org/en/nb/nbca/doc/2019/2019nbca43/2019nbca43.html"</w:instrText>
            </w:r>
            <w:r w:rsidRPr="00956D0A">
              <w:rPr>
                <w:rStyle w:val="Hyperlink"/>
                <w:color w:val="000000" w:themeColor="text1"/>
                <w:sz w:val="20"/>
              </w:rPr>
              <w:fldChar w:fldCharType="separate"/>
            </w:r>
            <w:r w:rsidRPr="00956D0A">
              <w:rPr>
                <w:rStyle w:val="Hyperlink"/>
                <w:sz w:val="20"/>
              </w:rPr>
              <w:t>2019 NBCA 43</w:t>
            </w:r>
          </w:p>
          <w:p w:rsidR="003D7C55" w:rsidRPr="00956D0A" w:rsidRDefault="003D7C55" w:rsidP="007C3BCE">
            <w:pPr>
              <w:jc w:val="both"/>
              <w:rPr>
                <w:sz w:val="20"/>
              </w:rPr>
            </w:pPr>
            <w:r w:rsidRPr="00956D0A">
              <w:rPr>
                <w:rStyle w:val="Hyperlink"/>
                <w:color w:val="000000" w:themeColor="text1"/>
                <w:sz w:val="20"/>
              </w:rPr>
              <w:fldChar w:fldCharType="end"/>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rendered allowing Noron Inc.’s appeal and awarding it $1,488,432.76 with costs</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12,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39"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38799</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Ville de Dieppe c. Noron Inc.</w:t>
            </w:r>
          </w:p>
          <w:p w:rsidR="003D7C55" w:rsidRPr="00956D0A" w:rsidRDefault="003D7C55" w:rsidP="007C3BCE">
            <w:pPr>
              <w:jc w:val="both"/>
              <w:rPr>
                <w:sz w:val="20"/>
              </w:rPr>
            </w:pPr>
            <w:r w:rsidRPr="00956D0A">
              <w:rPr>
                <w:sz w:val="20"/>
              </w:rPr>
              <w:t>(N.</w:t>
            </w:r>
            <w:r w:rsidRPr="00956D0A">
              <w:rPr>
                <w:sz w:val="20"/>
              </w:rPr>
              <w:noBreakHyphen/>
              <w:t>B.) (Civile) (Autorisation)</w:t>
            </w:r>
          </w:p>
        </w:tc>
      </w:tr>
      <w:tr w:rsidR="008850D8" w:rsidRPr="00937000" w:rsidTr="007C3BCE">
        <w:tc>
          <w:tcPr>
            <w:tcW w:w="5000" w:type="pct"/>
            <w:gridSpan w:val="4"/>
          </w:tcPr>
          <w:p w:rsidR="008850D8" w:rsidRPr="00956D0A" w:rsidRDefault="005964BD" w:rsidP="005964BD">
            <w:pPr>
              <w:jc w:val="both"/>
              <w:rPr>
                <w:sz w:val="20"/>
                <w:szCs w:val="20"/>
                <w:lang w:val="fr-CA"/>
              </w:rPr>
            </w:pPr>
            <w:r w:rsidRPr="00956D0A">
              <w:rPr>
                <w:sz w:val="20"/>
                <w:szCs w:val="20"/>
                <w:lang w:val="fr-CA"/>
              </w:rPr>
              <w:t>La demande d’autorisation d’appel de l’arrêt de la Cour d’appel du Nouveau-Brunswick, numéro 126-18-CA, 2019 NBCA 43, daté du 13 juin 2019, est rejetée avec dépens.</w:t>
            </w:r>
          </w:p>
          <w:p w:rsidR="005964BD" w:rsidRPr="00956D0A" w:rsidRDefault="005964BD" w:rsidP="005964BD">
            <w:pPr>
              <w:jc w:val="both"/>
              <w:rPr>
                <w:sz w:val="20"/>
                <w:szCs w:val="20"/>
                <w:lang w:val="fr-CA"/>
              </w:rPr>
            </w:pPr>
          </w:p>
        </w:tc>
      </w:tr>
      <w:tr w:rsidR="003D7C55" w:rsidRPr="00937000" w:rsidTr="007C3BCE">
        <w:tc>
          <w:tcPr>
            <w:tcW w:w="5000" w:type="pct"/>
            <w:gridSpan w:val="4"/>
          </w:tcPr>
          <w:p w:rsidR="003D7C55" w:rsidRPr="00956D0A" w:rsidRDefault="00937000" w:rsidP="007C3BCE">
            <w:pPr>
              <w:jc w:val="both"/>
              <w:rPr>
                <w:sz w:val="20"/>
                <w:lang w:val="fr-CA"/>
              </w:rPr>
            </w:pPr>
            <w:r w:rsidRPr="002C657E">
              <w:rPr>
                <w:sz w:val="20"/>
                <w:szCs w:val="20"/>
                <w:lang w:val="fr-CA"/>
              </w:rPr>
              <w:t xml:space="preserve">Droit municipal – Services publics – Aquaduc et égouts – La Cour d’appel a conclu qu’une municipalité a le pouvoir légal d’imposer des redevances d’usage au propriétaire d’un parc de maisons préfabriquées mobiles qui est un projet privé, mais que l’imposition des redevances d’usage doit se faire en fonction de l’utilisation des services de la municipalité – Calcul de la redevance d’usage en fonction de l’utilisation des services – Est-ce que la méthode d’analyse prescrite par cette Cour dans l’arrêt </w:t>
            </w:r>
            <w:r w:rsidRPr="002C657E">
              <w:rPr>
                <w:i/>
                <w:sz w:val="20"/>
                <w:szCs w:val="20"/>
                <w:lang w:val="fr-CA"/>
              </w:rPr>
              <w:t>Catalyst Paper Corp. c. North Cowichan (District)</w:t>
            </w:r>
            <w:r w:rsidRPr="002C657E">
              <w:rPr>
                <w:sz w:val="20"/>
                <w:szCs w:val="20"/>
                <w:lang w:val="fr-CA"/>
              </w:rPr>
              <w:t>, 2012 CSC 2, [2012] 1 R.C.S. 5, prévoit une analyse de la teneur ou du bien-fondé du règlement adopté? – Dans l’éventualité où un règlement est jugé déraisonnable, quelle est la forme de redressement appropriée?</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5000" w:type="pct"/>
            <w:gridSpan w:val="4"/>
          </w:tcPr>
          <w:p w:rsidR="00937000" w:rsidRPr="002C657E" w:rsidRDefault="00937000" w:rsidP="00937000">
            <w:pPr>
              <w:jc w:val="both"/>
              <w:rPr>
                <w:sz w:val="20"/>
                <w:szCs w:val="20"/>
                <w:lang w:val="fr-CA"/>
              </w:rPr>
            </w:pPr>
            <w:r w:rsidRPr="002C657E">
              <w:rPr>
                <w:sz w:val="20"/>
                <w:szCs w:val="20"/>
                <w:lang w:val="fr-CA"/>
              </w:rPr>
              <w:t>La société Noron Inc. (« Noron ») est propriétaire du Domaine Dover, un parc de maisons préfabriquées mobiles situé à Dieppe, au Nouveau-Brunswick. Le Domaine Dover est un projet privé et c’est Noron (plutôt que la ville) qui est propriétaire des canalisations du réseau d’égouts et du réseau d’alimentation en eau et qui en assure l’entretien. Ce réseau est raccordé au réseau municipal d’alimentation en eau. Depuis 1997, conformément à son arrêté municipal, Dieppe a facturé à Noron une redevance d’usage pour des services d’eau et d’égouts qui était du même ordre que celle qu’elle faisait payer aux propriétaires fonciers qui étaient exclusivement desservis par Dieppe et elle facturait le même montant fixe par unité qu’elle facture pour d’autres logements. Noron a entamé une poursuite contre la ville, réclamant notamment une restitution équivalente au montant que Noron disait avoir payé en trop selon le taux que la ville lui avait imposé.</w:t>
            </w:r>
          </w:p>
          <w:p w:rsidR="00937000" w:rsidRPr="002C657E" w:rsidRDefault="00937000" w:rsidP="00937000">
            <w:pPr>
              <w:jc w:val="both"/>
              <w:rPr>
                <w:sz w:val="20"/>
                <w:szCs w:val="20"/>
                <w:lang w:val="fr-CA"/>
              </w:rPr>
            </w:pPr>
          </w:p>
          <w:p w:rsidR="003D7C55" w:rsidRDefault="00937000" w:rsidP="00937000">
            <w:pPr>
              <w:jc w:val="both"/>
              <w:rPr>
                <w:sz w:val="20"/>
                <w:szCs w:val="20"/>
                <w:lang w:val="fr-CA"/>
              </w:rPr>
            </w:pPr>
            <w:r w:rsidRPr="002C657E">
              <w:rPr>
                <w:sz w:val="20"/>
                <w:szCs w:val="20"/>
                <w:lang w:val="fr-CA"/>
              </w:rPr>
              <w:t xml:space="preserve">Le juge du procès a déclaré que la ville avait le droit d’employer un coût unitaire fixe pour facturer Noron et a rendu jugement en faveur de Dieppe.  La Cour d’appel a accueilli en partie l’appel de Noron. Elle </w:t>
            </w:r>
            <w:proofErr w:type="spellStart"/>
            <w:r w:rsidRPr="002C657E">
              <w:rPr>
                <w:sz w:val="20"/>
                <w:szCs w:val="20"/>
                <w:lang w:val="fr-CA"/>
              </w:rPr>
              <w:t>conclu</w:t>
            </w:r>
            <w:proofErr w:type="spellEnd"/>
            <w:r w:rsidRPr="002C657E">
              <w:rPr>
                <w:sz w:val="20"/>
                <w:szCs w:val="20"/>
                <w:lang w:val="fr-CA"/>
              </w:rPr>
              <w:t xml:space="preserve"> que Dieppe </w:t>
            </w:r>
            <w:proofErr w:type="gramStart"/>
            <w:r w:rsidRPr="002C657E">
              <w:rPr>
                <w:sz w:val="20"/>
                <w:szCs w:val="20"/>
                <w:lang w:val="fr-CA"/>
              </w:rPr>
              <w:t>a</w:t>
            </w:r>
            <w:proofErr w:type="gramEnd"/>
            <w:r w:rsidRPr="002C657E">
              <w:rPr>
                <w:sz w:val="20"/>
                <w:szCs w:val="20"/>
                <w:lang w:val="fr-CA"/>
              </w:rPr>
              <w:t xml:space="preserve"> le pouvoir légal d’imposer des redevances d’usage à Noron, mais que l’imposition des redevances d’usage devait se faire en fonction de l’utilisation des services de Dieppe. Elle renvoie au juge du procès la question de l’évaluation des redevances d’usage. Le juge du procès conclut que Noron n’a pas présenté de preuve qu’il juge satisfaisante quant à son niveau de consommation d’eau aux mini-maisons</w:t>
            </w:r>
            <w:bookmarkStart w:id="5" w:name="_GoBack"/>
            <w:bookmarkEnd w:id="5"/>
            <w:r w:rsidRPr="002C657E">
              <w:rPr>
                <w:sz w:val="20"/>
                <w:szCs w:val="20"/>
                <w:lang w:val="fr-CA"/>
              </w:rPr>
              <w:t xml:space="preserve"> du Domaine Dover et il ne lui accorde rien de plus. La Cour d’appel accueille l’appel de Noron. Elle exerce ses pouvoirs d’effectuer elle-même l’évaluation et détermine que les redevances doivent être réduites de 62 pour cent.</w:t>
            </w:r>
          </w:p>
          <w:p w:rsidR="00937000" w:rsidRPr="00956D0A" w:rsidRDefault="00937000" w:rsidP="00937000">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22 avril 2016</w:t>
            </w:r>
          </w:p>
          <w:p w:rsidR="003D7C55" w:rsidRPr="00956D0A" w:rsidRDefault="003D7C55" w:rsidP="007C3BCE">
            <w:pPr>
              <w:jc w:val="both"/>
              <w:rPr>
                <w:sz w:val="20"/>
                <w:lang w:val="fr-CA"/>
              </w:rPr>
            </w:pPr>
            <w:r w:rsidRPr="00956D0A">
              <w:rPr>
                <w:sz w:val="20"/>
                <w:lang w:val="fr-CA"/>
              </w:rPr>
              <w:t>Cour du Banc de la Reine du Nouveau</w:t>
            </w:r>
            <w:r w:rsidRPr="00956D0A">
              <w:rPr>
                <w:sz w:val="20"/>
                <w:lang w:val="fr-CA"/>
              </w:rPr>
              <w:noBreakHyphen/>
            </w:r>
          </w:p>
          <w:p w:rsidR="003D7C55" w:rsidRPr="00956D0A" w:rsidRDefault="003D7C55" w:rsidP="007C3BCE">
            <w:pPr>
              <w:jc w:val="both"/>
              <w:rPr>
                <w:sz w:val="20"/>
              </w:rPr>
            </w:pPr>
            <w:r w:rsidRPr="00956D0A">
              <w:rPr>
                <w:sz w:val="20"/>
              </w:rPr>
              <w:t>Brunswick</w:t>
            </w:r>
          </w:p>
          <w:p w:rsidR="003D7C55" w:rsidRPr="00956D0A" w:rsidRDefault="003D7C55" w:rsidP="007C3BCE">
            <w:pPr>
              <w:jc w:val="both"/>
              <w:rPr>
                <w:sz w:val="20"/>
              </w:rPr>
            </w:pPr>
            <w:r w:rsidRPr="00956D0A">
              <w:rPr>
                <w:sz w:val="20"/>
              </w:rPr>
              <w:t>(Juge Dionne)</w:t>
            </w:r>
          </w:p>
          <w:p w:rsidR="003D7C55" w:rsidRPr="00956D0A" w:rsidRDefault="00937000" w:rsidP="007C3BCE">
            <w:pPr>
              <w:jc w:val="both"/>
              <w:rPr>
                <w:sz w:val="20"/>
              </w:rPr>
            </w:pPr>
            <w:hyperlink r:id="rId21" w:history="1">
              <w:r w:rsidR="003D7C55" w:rsidRPr="00956D0A">
                <w:rPr>
                  <w:rStyle w:val="Hyperlink"/>
                  <w:sz w:val="20"/>
                </w:rPr>
                <w:t>2016 NBQB 82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Jugement condamnant Noron Inc. à payer à la Ville de Dieppe la somme de 1 048 300 $, plus les dépens, les débours et les intérêts.</w:t>
            </w:r>
          </w:p>
          <w:p w:rsidR="003D7C55" w:rsidRPr="00956D0A" w:rsidRDefault="003D7C55" w:rsidP="007C3BCE">
            <w:pPr>
              <w:jc w:val="both"/>
              <w:rPr>
                <w:sz w:val="20"/>
                <w:lang w:val="fr-CA"/>
              </w:rPr>
            </w:pPr>
          </w:p>
        </w:tc>
      </w:tr>
    </w:tbl>
    <w:p w:rsidR="00D05E5D" w:rsidRPr="00956D0A" w:rsidRDefault="00D05E5D">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2427" w:type="pct"/>
          </w:tcPr>
          <w:p w:rsidR="003D7C55" w:rsidRPr="00956D0A" w:rsidRDefault="003D7C55" w:rsidP="007C3BCE">
            <w:pPr>
              <w:jc w:val="both"/>
              <w:rPr>
                <w:color w:val="000000" w:themeColor="text1"/>
                <w:sz w:val="20"/>
                <w:lang w:val="fr-CA"/>
              </w:rPr>
            </w:pPr>
            <w:r w:rsidRPr="00956D0A">
              <w:rPr>
                <w:color w:val="000000" w:themeColor="text1"/>
                <w:sz w:val="20"/>
                <w:lang w:val="fr-CA"/>
              </w:rPr>
              <w:t>21 septembre 2017</w:t>
            </w:r>
          </w:p>
          <w:p w:rsidR="003D7C55" w:rsidRPr="00956D0A" w:rsidRDefault="003D7C55" w:rsidP="007C3BCE">
            <w:pPr>
              <w:jc w:val="both"/>
              <w:rPr>
                <w:color w:val="000000" w:themeColor="text1"/>
                <w:sz w:val="20"/>
                <w:lang w:val="fr-CA"/>
              </w:rPr>
            </w:pPr>
            <w:r w:rsidRPr="00956D0A">
              <w:rPr>
                <w:color w:val="000000" w:themeColor="text1"/>
                <w:sz w:val="20"/>
                <w:lang w:val="fr-CA"/>
              </w:rPr>
              <w:t>Cour d’appel du Nouveau</w:t>
            </w:r>
            <w:r w:rsidRPr="00956D0A">
              <w:rPr>
                <w:color w:val="000000" w:themeColor="text1"/>
                <w:sz w:val="20"/>
                <w:lang w:val="fr-CA"/>
              </w:rPr>
              <w:noBreakHyphen/>
              <w:t>Brunswick</w:t>
            </w:r>
          </w:p>
          <w:p w:rsidR="003D7C55" w:rsidRPr="00956D0A" w:rsidRDefault="003D7C55" w:rsidP="007C3BCE">
            <w:pPr>
              <w:jc w:val="both"/>
              <w:rPr>
                <w:color w:val="000000" w:themeColor="text1"/>
                <w:sz w:val="20"/>
                <w:lang w:val="fr-CA"/>
              </w:rPr>
            </w:pPr>
            <w:r w:rsidRPr="00956D0A">
              <w:rPr>
                <w:color w:val="000000" w:themeColor="text1"/>
                <w:sz w:val="20"/>
                <w:lang w:val="fr-CA"/>
              </w:rPr>
              <w:t>(Juges Larlee, Quigg et Baird)</w:t>
            </w:r>
          </w:p>
          <w:p w:rsidR="003D7C55" w:rsidRPr="00956D0A" w:rsidRDefault="003D7C55" w:rsidP="007C3BCE">
            <w:pPr>
              <w:jc w:val="both"/>
              <w:rPr>
                <w:rStyle w:val="Hyperlink"/>
                <w:sz w:val="20"/>
              </w:rPr>
            </w:pPr>
            <w:r w:rsidRPr="00956D0A">
              <w:rPr>
                <w:color w:val="000000" w:themeColor="text1"/>
                <w:sz w:val="20"/>
              </w:rPr>
              <w:t>33</w:t>
            </w:r>
            <w:r w:rsidRPr="00956D0A">
              <w:rPr>
                <w:color w:val="000000" w:themeColor="text1"/>
                <w:sz w:val="20"/>
              </w:rPr>
              <w:noBreakHyphen/>
              <w:t>16</w:t>
            </w:r>
            <w:r w:rsidRPr="00956D0A">
              <w:rPr>
                <w:color w:val="000000" w:themeColor="text1"/>
                <w:sz w:val="20"/>
              </w:rPr>
              <w:noBreakHyphen/>
              <w:t xml:space="preserve">CA; </w:t>
            </w:r>
            <w:r w:rsidRPr="00956D0A">
              <w:rPr>
                <w:rStyle w:val="Hyperlink"/>
                <w:color w:val="000000" w:themeColor="text1"/>
                <w:sz w:val="20"/>
              </w:rPr>
              <w:fldChar w:fldCharType="begin"/>
            </w:r>
            <w:r w:rsidRPr="00956D0A">
              <w:rPr>
                <w:rStyle w:val="Hyperlink"/>
                <w:color w:val="000000" w:themeColor="text1"/>
                <w:sz w:val="20"/>
              </w:rPr>
              <w:instrText xml:space="preserve"> HYPERLINK "https://www.canlii.org/en/nb/nbca/doc/2017/2017nbca38/2017nbca38.html" </w:instrText>
            </w:r>
            <w:r w:rsidRPr="00956D0A">
              <w:rPr>
                <w:rStyle w:val="Hyperlink"/>
                <w:color w:val="000000" w:themeColor="text1"/>
                <w:sz w:val="20"/>
              </w:rPr>
              <w:fldChar w:fldCharType="separate"/>
            </w:r>
            <w:r w:rsidRPr="00956D0A">
              <w:rPr>
                <w:rStyle w:val="Hyperlink"/>
                <w:sz w:val="20"/>
              </w:rPr>
              <w:t>2017 NBCA 38</w:t>
            </w:r>
          </w:p>
          <w:p w:rsidR="003D7C55" w:rsidRPr="00956D0A" w:rsidRDefault="003D7C55" w:rsidP="007C3BCE">
            <w:pPr>
              <w:jc w:val="both"/>
              <w:rPr>
                <w:sz w:val="20"/>
              </w:rPr>
            </w:pPr>
            <w:r w:rsidRPr="00956D0A">
              <w:rPr>
                <w:rStyle w:val="Hyperlink"/>
                <w:color w:val="000000" w:themeColor="text1"/>
                <w:sz w:val="20"/>
              </w:rPr>
              <w:fldChar w:fldCharType="end"/>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Arrêt accueillant l’appel de Noron Inc. en partie et renvoyant au juge du procès la question de l’évaluation des redevances d’usage pour l’eau de la ville.</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21 juin 2018</w:t>
            </w:r>
          </w:p>
          <w:p w:rsidR="003D7C55" w:rsidRPr="00956D0A" w:rsidRDefault="003D7C55" w:rsidP="007C3BCE">
            <w:pPr>
              <w:jc w:val="both"/>
              <w:rPr>
                <w:sz w:val="20"/>
                <w:lang w:val="fr-CA"/>
              </w:rPr>
            </w:pPr>
            <w:r w:rsidRPr="00956D0A">
              <w:rPr>
                <w:sz w:val="20"/>
                <w:lang w:val="fr-CA"/>
              </w:rPr>
              <w:t>Cour suprême du Canada</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Demande d’autorisation d’appel rejetée avec dépens.</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15 novembre 2018</w:t>
            </w:r>
          </w:p>
          <w:p w:rsidR="003D7C55" w:rsidRPr="00956D0A" w:rsidRDefault="003D7C55" w:rsidP="007C3BCE">
            <w:pPr>
              <w:jc w:val="both"/>
              <w:rPr>
                <w:sz w:val="20"/>
                <w:lang w:val="fr-CA"/>
              </w:rPr>
            </w:pPr>
            <w:r w:rsidRPr="00956D0A">
              <w:rPr>
                <w:sz w:val="20"/>
                <w:lang w:val="fr-CA"/>
              </w:rPr>
              <w:t>Cour du Banc de la Reine du Nouveau</w:t>
            </w:r>
            <w:r w:rsidRPr="00956D0A">
              <w:rPr>
                <w:sz w:val="20"/>
                <w:lang w:val="fr-CA"/>
              </w:rPr>
              <w:noBreakHyphen/>
              <w:t>Brunswick</w:t>
            </w:r>
          </w:p>
          <w:p w:rsidR="003D7C55" w:rsidRPr="00956D0A" w:rsidRDefault="003D7C55" w:rsidP="007C3BCE">
            <w:pPr>
              <w:jc w:val="both"/>
              <w:rPr>
                <w:sz w:val="20"/>
              </w:rPr>
            </w:pPr>
            <w:r w:rsidRPr="00956D0A">
              <w:rPr>
                <w:sz w:val="20"/>
              </w:rPr>
              <w:t>(Juge Dionne)</w:t>
            </w:r>
          </w:p>
          <w:p w:rsidR="003D7C55" w:rsidRPr="00956D0A" w:rsidRDefault="00937000" w:rsidP="007C3BCE">
            <w:pPr>
              <w:jc w:val="both"/>
              <w:rPr>
                <w:sz w:val="20"/>
              </w:rPr>
            </w:pPr>
            <w:hyperlink r:id="rId22" w:history="1">
              <w:r w:rsidR="003D7C55" w:rsidRPr="00956D0A">
                <w:rPr>
                  <w:rStyle w:val="Hyperlink"/>
                  <w:sz w:val="20"/>
                </w:rPr>
                <w:t>2018 NBBR 208</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Jugement n’accordant rien de plus à Noron Inc.</w:t>
            </w: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13 juin 2019</w:t>
            </w:r>
          </w:p>
          <w:p w:rsidR="003D7C55" w:rsidRPr="00956D0A" w:rsidRDefault="003D7C55" w:rsidP="007C3BCE">
            <w:pPr>
              <w:jc w:val="both"/>
              <w:rPr>
                <w:sz w:val="20"/>
                <w:lang w:val="fr-CA"/>
              </w:rPr>
            </w:pPr>
            <w:r w:rsidRPr="00956D0A">
              <w:rPr>
                <w:sz w:val="20"/>
                <w:lang w:val="fr-CA"/>
              </w:rPr>
              <w:t>Cour d’appel du Nouveau</w:t>
            </w:r>
            <w:r w:rsidRPr="00956D0A">
              <w:rPr>
                <w:sz w:val="20"/>
                <w:lang w:val="fr-CA"/>
              </w:rPr>
              <w:noBreakHyphen/>
              <w:t>Brunswick</w:t>
            </w:r>
          </w:p>
          <w:p w:rsidR="003D7C55" w:rsidRPr="00956D0A" w:rsidRDefault="003D7C55" w:rsidP="007C3BCE">
            <w:pPr>
              <w:jc w:val="both"/>
              <w:rPr>
                <w:color w:val="000000" w:themeColor="text1"/>
                <w:sz w:val="20"/>
                <w:lang w:val="fr-CA"/>
              </w:rPr>
            </w:pPr>
            <w:r w:rsidRPr="00956D0A">
              <w:rPr>
                <w:color w:val="000000" w:themeColor="text1"/>
                <w:sz w:val="20"/>
                <w:lang w:val="fr-CA"/>
              </w:rPr>
              <w:t>(Juges Larlee, Quigg et Baird)</w:t>
            </w:r>
          </w:p>
          <w:p w:rsidR="003D7C55" w:rsidRPr="00956D0A" w:rsidRDefault="003D7C55" w:rsidP="007C3BCE">
            <w:pPr>
              <w:jc w:val="both"/>
              <w:rPr>
                <w:rStyle w:val="Hyperlink"/>
                <w:sz w:val="20"/>
              </w:rPr>
            </w:pPr>
            <w:r w:rsidRPr="00956D0A">
              <w:rPr>
                <w:color w:val="000000" w:themeColor="text1"/>
                <w:sz w:val="20"/>
              </w:rPr>
              <w:t>126</w:t>
            </w:r>
            <w:r w:rsidRPr="00956D0A">
              <w:rPr>
                <w:color w:val="000000" w:themeColor="text1"/>
                <w:sz w:val="20"/>
              </w:rPr>
              <w:noBreakHyphen/>
              <w:t>18</w:t>
            </w:r>
            <w:r w:rsidRPr="00956D0A">
              <w:rPr>
                <w:color w:val="000000" w:themeColor="text1"/>
                <w:sz w:val="20"/>
              </w:rPr>
              <w:noBreakHyphen/>
              <w:t xml:space="preserve">CA; </w:t>
            </w:r>
            <w:r w:rsidRPr="00956D0A">
              <w:rPr>
                <w:rStyle w:val="Hyperlink"/>
                <w:color w:val="000000" w:themeColor="text1"/>
                <w:sz w:val="20"/>
              </w:rPr>
              <w:fldChar w:fldCharType="begin"/>
            </w:r>
            <w:r w:rsidRPr="00956D0A">
              <w:rPr>
                <w:rStyle w:val="Hyperlink"/>
                <w:color w:val="000000" w:themeColor="text1"/>
                <w:sz w:val="20"/>
              </w:rPr>
              <w:instrText xml:space="preserve"> HYPERLINK "https://www.canlii.org/en/nb/nbca/doc/2017/2017nbca38/2017nbca38.html" </w:instrText>
            </w:r>
            <w:r w:rsidRPr="00956D0A">
              <w:rPr>
                <w:rStyle w:val="Hyperlink"/>
                <w:color w:val="000000" w:themeColor="text1"/>
                <w:sz w:val="20"/>
              </w:rPr>
              <w:fldChar w:fldCharType="separate"/>
            </w:r>
            <w:r w:rsidRPr="00956D0A">
              <w:rPr>
                <w:rStyle w:val="Hyperlink"/>
                <w:sz w:val="20"/>
              </w:rPr>
              <w:t>2019 NBCA 43</w:t>
            </w:r>
          </w:p>
          <w:p w:rsidR="003D7C55" w:rsidRPr="00956D0A" w:rsidRDefault="003D7C55" w:rsidP="007C3BCE">
            <w:pPr>
              <w:jc w:val="both"/>
              <w:rPr>
                <w:sz w:val="20"/>
              </w:rPr>
            </w:pPr>
            <w:r w:rsidRPr="00956D0A">
              <w:rPr>
                <w:rStyle w:val="Hyperlink"/>
                <w:color w:val="000000" w:themeColor="text1"/>
                <w:sz w:val="20"/>
              </w:rPr>
              <w:fldChar w:fldCharType="end"/>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Arrêt accueillant l’appel de Noron Inc., lui accordant la somme de 1 488 432,76 $ avec dépens.</w:t>
            </w:r>
          </w:p>
        </w:tc>
      </w:tr>
      <w:tr w:rsidR="003D7C55" w:rsidRPr="00956D0A" w:rsidTr="007C3BCE">
        <w:tc>
          <w:tcPr>
            <w:tcW w:w="2427" w:type="pct"/>
          </w:tcPr>
          <w:p w:rsidR="003D7C55" w:rsidRPr="00956D0A" w:rsidRDefault="003D7C55" w:rsidP="007C3BCE">
            <w:pPr>
              <w:jc w:val="both"/>
              <w:rPr>
                <w:sz w:val="20"/>
                <w:lang w:val="fr-CA"/>
              </w:rPr>
            </w:pPr>
            <w:r w:rsidRPr="00956D0A">
              <w:rPr>
                <w:sz w:val="20"/>
                <w:lang w:val="fr-CA"/>
              </w:rPr>
              <w:t>12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rPr>
            </w:pPr>
            <w:r w:rsidRPr="00956D0A">
              <w:rPr>
                <w:sz w:val="20"/>
              </w:rPr>
              <w:t>Demande d’autorisation d’appel déposée.</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0" style="width:2in;height:1pt" o:hrpct="0" o:hralign="center" o:hrstd="t" o:hrnoshade="t" o:hr="t" fillcolor="black [3213]" stroked="f"/>
        </w:pict>
      </w:r>
    </w:p>
    <w:p w:rsidR="003D7C55" w:rsidRPr="00956D0A" w:rsidRDefault="003D7C55" w:rsidP="003D7C55">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38861</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Her Majesty the Queen in Right of Canada v. Chiheb Esseghaier</w:t>
            </w:r>
            <w:r w:rsidR="00116AD9" w:rsidRPr="00956D0A">
              <w:rPr>
                <w:b/>
                <w:sz w:val="20"/>
                <w:szCs w:val="20"/>
                <w:lang w:val="en-US"/>
              </w:rPr>
              <w:t xml:space="preserve"> and</w:t>
            </w:r>
            <w:r w:rsidRPr="00956D0A">
              <w:rPr>
                <w:b/>
                <w:sz w:val="20"/>
                <w:szCs w:val="20"/>
                <w:lang w:val="en-US"/>
              </w:rPr>
              <w:t xml:space="preserve"> Raed Jaser</w:t>
            </w:r>
          </w:p>
          <w:p w:rsidR="003D7C55" w:rsidRPr="00956D0A" w:rsidRDefault="003D7C55" w:rsidP="007C3BCE">
            <w:pPr>
              <w:jc w:val="both"/>
              <w:rPr>
                <w:sz w:val="20"/>
              </w:rPr>
            </w:pPr>
            <w:r w:rsidRPr="00956D0A">
              <w:rPr>
                <w:sz w:val="20"/>
              </w:rPr>
              <w:t>(Ont.) (Criminal) (By Leave)</w:t>
            </w:r>
          </w:p>
        </w:tc>
      </w:tr>
      <w:tr w:rsidR="008850D8" w:rsidRPr="00956D0A" w:rsidTr="007C3BCE">
        <w:tc>
          <w:tcPr>
            <w:tcW w:w="5000" w:type="pct"/>
            <w:gridSpan w:val="2"/>
          </w:tcPr>
          <w:p w:rsidR="008850D8" w:rsidRPr="00956D0A" w:rsidRDefault="00116AD9" w:rsidP="007C3BCE">
            <w:pPr>
              <w:jc w:val="both"/>
              <w:rPr>
                <w:sz w:val="20"/>
                <w:szCs w:val="20"/>
              </w:rPr>
            </w:pPr>
            <w:r w:rsidRPr="00956D0A">
              <w:rPr>
                <w:sz w:val="20"/>
                <w:szCs w:val="20"/>
              </w:rPr>
              <w:t xml:space="preserve">The application for leave to appeal from the judgment of the Court of Appeal for Ontario, Numbers </w:t>
            </w:r>
            <w:r w:rsidRPr="00956D0A">
              <w:rPr>
                <w:sz w:val="20"/>
                <w:szCs w:val="20"/>
                <w:lang w:val="en-US"/>
              </w:rPr>
              <w:t xml:space="preserve">C61095 and C61185, </w:t>
            </w:r>
            <w:r w:rsidRPr="00956D0A">
              <w:rPr>
                <w:sz w:val="20"/>
                <w:szCs w:val="20"/>
              </w:rPr>
              <w:t>2019 ONCA 672, dated August 27, 2019, is granted.</w:t>
            </w:r>
          </w:p>
          <w:p w:rsidR="00116AD9" w:rsidRPr="00956D0A" w:rsidRDefault="00116AD9"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rPr>
            </w:pPr>
            <w:r w:rsidRPr="00956D0A">
              <w:rPr>
                <w:sz w:val="20"/>
              </w:rPr>
              <w:t xml:space="preserve">Criminal law — Jurors — Challenges for cause — Appeals — Curative proviso — Whether Court of Appeal erred in law in finding that the jury was improperly constituted — Whether </w:t>
            </w:r>
            <w:r w:rsidRPr="00956D0A">
              <w:rPr>
                <w:i/>
                <w:sz w:val="20"/>
              </w:rPr>
              <w:t>curative proviso</w:t>
            </w:r>
            <w:r w:rsidRPr="00956D0A">
              <w:rPr>
                <w:sz w:val="20"/>
              </w:rPr>
              <w:t xml:space="preserve"> in s. 686(1)(b)(iv) of the </w:t>
            </w:r>
            <w:r w:rsidRPr="00956D0A">
              <w:rPr>
                <w:i/>
                <w:sz w:val="20"/>
              </w:rPr>
              <w:t>Criminal Code</w:t>
            </w:r>
            <w:r w:rsidRPr="00956D0A">
              <w:rPr>
                <w:sz w:val="20"/>
              </w:rPr>
              <w:t xml:space="preserve"> is inapplicable to errors in jury selection process no matter how technical and non</w:t>
            </w:r>
            <w:r w:rsidRPr="00956D0A">
              <w:rPr>
                <w:sz w:val="20"/>
              </w:rPr>
              <w:noBreakHyphen/>
              <w:t>prejudicial the error?</w:t>
            </w:r>
          </w:p>
        </w:tc>
      </w:tr>
      <w:tr w:rsidR="003D7C55" w:rsidRPr="00956D0A" w:rsidTr="007C3BCE">
        <w:tc>
          <w:tcPr>
            <w:tcW w:w="5000" w:type="pct"/>
            <w:gridSpan w:val="2"/>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Mr. Jaser and Mr. Esseghaier were charged with offences alleged to be terrorism. Before trial, Mr. Jaser’s counsel requested a process known as a challenge for cause to determine whether each prospective juror’s ability to decide the case would be affected by pre</w:t>
            </w:r>
            <w:r w:rsidRPr="00956D0A">
              <w:rPr>
                <w:sz w:val="20"/>
              </w:rPr>
              <w:noBreakHyphen/>
              <w:t xml:space="preserve">trial publicity and the fact that each accused was a member of a visible minority and a Muslim. At the time, the </w:t>
            </w:r>
            <w:r w:rsidRPr="00956D0A">
              <w:rPr>
                <w:i/>
                <w:sz w:val="20"/>
              </w:rPr>
              <w:t>Criminal Code</w:t>
            </w:r>
            <w:r w:rsidRPr="00956D0A">
              <w:rPr>
                <w:sz w:val="20"/>
              </w:rPr>
              <w:t xml:space="preserve"> contemplated using members of the jury pool, referred to as rotating triers or static triers, to decide challenges for cause of prospective jurors. Rotating triers are two persons who will serve on the jury who change by rotation as each additional jury member is sworn. Static triers are two persons who hear and determine all challenges until the entire jury has been selected and sworn but who do not themselves become members of the jury. At the time, there was uncertainty in the case law regarding whether counsel could ask to have some or all sworn and potential jurors excluded from the courtroom during the hearing of each challenge. Mr. Jaser’s counsel requested rotating triers with unsworn jurors excluded, seeking to avoid exposing unsworn jurors to other jurors’ answers. He stated that if the court determined that this was not within its jurisdiction, then he chose static triers with unsworn jurors excluded. Mr. Esseghaier made no application in respect of the process. The trial judge ordered static triers with unsworn and sworn jurors excluded. The jury convicted </w:t>
            </w:r>
            <w:r w:rsidRPr="00956D0A">
              <w:rPr>
                <w:color w:val="000000"/>
                <w:sz w:val="20"/>
              </w:rPr>
              <w:t xml:space="preserve">Mr. Esseghaier and Mr. Jaser of terrorism offences. </w:t>
            </w:r>
            <w:r w:rsidRPr="00956D0A">
              <w:rPr>
                <w:sz w:val="20"/>
              </w:rPr>
              <w:t xml:space="preserve">The Court of Appeal held that the request to use using rotating triers with unsworn jurors excluded should have been granted and the jury was not properly constituted. It held that the error was not cured and the </w:t>
            </w:r>
            <w:r w:rsidRPr="00956D0A">
              <w:rPr>
                <w:i/>
                <w:sz w:val="20"/>
              </w:rPr>
              <w:t>curative proviso</w:t>
            </w:r>
            <w:r w:rsidRPr="00956D0A">
              <w:rPr>
                <w:sz w:val="20"/>
              </w:rPr>
              <w:t xml:space="preserve"> in s. 686(1)(b)(iv) of the </w:t>
            </w:r>
            <w:r w:rsidRPr="00956D0A">
              <w:rPr>
                <w:i/>
                <w:sz w:val="20"/>
              </w:rPr>
              <w:t>Criminal Code</w:t>
            </w:r>
            <w:r w:rsidRPr="00956D0A">
              <w:rPr>
                <w:sz w:val="20"/>
              </w:rPr>
              <w:t xml:space="preserve"> did not apply. It ordered a new trial. </w:t>
            </w:r>
          </w:p>
        </w:tc>
      </w:tr>
      <w:tr w:rsidR="003D7C55" w:rsidRPr="00956D0A" w:rsidTr="007C3BCE">
        <w:tc>
          <w:tcPr>
            <w:tcW w:w="5000" w:type="pct"/>
            <w:gridSpan w:val="2"/>
          </w:tcPr>
          <w:p w:rsidR="003D7C55" w:rsidRPr="00956D0A" w:rsidRDefault="003D7C55" w:rsidP="007C3BCE">
            <w:pPr>
              <w:jc w:val="both"/>
              <w:rPr>
                <w:sz w:val="20"/>
              </w:rPr>
            </w:pPr>
          </w:p>
        </w:tc>
      </w:tr>
    </w:tbl>
    <w:p w:rsidR="00D05E5D" w:rsidRPr="00956D0A" w:rsidRDefault="00D05E5D">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rPr>
            </w:pPr>
            <w:r w:rsidRPr="00956D0A">
              <w:rPr>
                <w:sz w:val="20"/>
              </w:rPr>
              <w:t>December 15, 2014</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(Code J.)</w:t>
            </w:r>
          </w:p>
          <w:p w:rsidR="003D7C55" w:rsidRPr="00956D0A" w:rsidRDefault="00937000" w:rsidP="007C3BCE">
            <w:pPr>
              <w:jc w:val="both"/>
              <w:rPr>
                <w:sz w:val="20"/>
                <w:lang w:val="fr-CA"/>
              </w:rPr>
            </w:pPr>
            <w:hyperlink r:id="rId23" w:history="1">
              <w:r w:rsidR="003D7C55" w:rsidRPr="00956D0A">
                <w:rPr>
                  <w:rStyle w:val="Hyperlink"/>
                  <w:sz w:val="20"/>
                  <w:lang w:val="fr-CA"/>
                </w:rPr>
                <w:t>2014 ONSC 7528</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lang w:val="en"/>
              </w:rPr>
              <w:t xml:space="preserve">Application granted to challenge jurors for cause </w:t>
            </w:r>
          </w:p>
        </w:tc>
      </w:tr>
      <w:tr w:rsidR="003D7C55" w:rsidRPr="00956D0A" w:rsidTr="007C3BCE">
        <w:tc>
          <w:tcPr>
            <w:tcW w:w="2427" w:type="pct"/>
          </w:tcPr>
          <w:p w:rsidR="003D7C55" w:rsidRPr="00956D0A" w:rsidRDefault="003D7C55" w:rsidP="007C3BCE">
            <w:pPr>
              <w:jc w:val="both"/>
              <w:rPr>
                <w:sz w:val="20"/>
              </w:rPr>
            </w:pPr>
            <w:r w:rsidRPr="00956D0A">
              <w:rPr>
                <w:sz w:val="20"/>
              </w:rPr>
              <w:t>September 23, 2015</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lang w:val="fr-CA"/>
              </w:rPr>
            </w:pPr>
            <w:r w:rsidRPr="00956D0A">
              <w:rPr>
                <w:sz w:val="20"/>
                <w:lang w:val="fr-CA"/>
              </w:rPr>
              <w:t>(Code J.)(Unreported)</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 xml:space="preserve">Convictions by jury of terrorism offences </w:t>
            </w:r>
          </w:p>
        </w:tc>
      </w:tr>
      <w:tr w:rsidR="003D7C55" w:rsidRPr="00956D0A" w:rsidTr="007C3BCE">
        <w:tc>
          <w:tcPr>
            <w:tcW w:w="2427" w:type="pct"/>
          </w:tcPr>
          <w:p w:rsidR="003D7C55" w:rsidRPr="00956D0A" w:rsidRDefault="003D7C55" w:rsidP="007C3BCE">
            <w:pPr>
              <w:jc w:val="both"/>
              <w:rPr>
                <w:sz w:val="20"/>
              </w:rPr>
            </w:pPr>
            <w:r w:rsidRPr="00956D0A">
              <w:rPr>
                <w:sz w:val="20"/>
              </w:rPr>
              <w:t>August 27, 2019</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(Rouleau, Hourigan, Zarnett JJ.A.)</w:t>
            </w:r>
          </w:p>
          <w:p w:rsidR="003D7C55" w:rsidRPr="00956D0A" w:rsidRDefault="00937000" w:rsidP="007C3BCE">
            <w:pPr>
              <w:jc w:val="both"/>
              <w:rPr>
                <w:sz w:val="20"/>
              </w:rPr>
            </w:pPr>
            <w:hyperlink r:id="rId24" w:history="1">
              <w:r w:rsidR="003D7C55" w:rsidRPr="00956D0A">
                <w:rPr>
                  <w:rStyle w:val="Hyperlink"/>
                  <w:sz w:val="20"/>
                </w:rPr>
                <w:t>2019 ONCA 672</w:t>
              </w:r>
            </w:hyperlink>
            <w:r w:rsidR="003D7C55" w:rsidRPr="00956D0A">
              <w:rPr>
                <w:sz w:val="20"/>
              </w:rPr>
              <w:t>; C61095</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allowed, new trial ordered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October 11,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1"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38861</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Sa Majesté la Reine du chef du Canada c. Chiheb Esseghaier</w:t>
            </w:r>
            <w:r w:rsidR="00116AD9" w:rsidRPr="00956D0A">
              <w:rPr>
                <w:b/>
                <w:sz w:val="20"/>
                <w:szCs w:val="20"/>
              </w:rPr>
              <w:t xml:space="preserve"> et</w:t>
            </w:r>
            <w:r w:rsidRPr="00956D0A">
              <w:rPr>
                <w:b/>
                <w:sz w:val="20"/>
                <w:szCs w:val="20"/>
              </w:rPr>
              <w:t xml:space="preserve"> Raed Jaser</w:t>
            </w:r>
          </w:p>
          <w:p w:rsidR="003D7C55" w:rsidRPr="00956D0A" w:rsidRDefault="003D7C55" w:rsidP="007C3BCE">
            <w:pPr>
              <w:jc w:val="both"/>
              <w:rPr>
                <w:sz w:val="20"/>
                <w:lang w:val="fr-CA"/>
              </w:rPr>
            </w:pPr>
            <w:r w:rsidRPr="00956D0A">
              <w:rPr>
                <w:sz w:val="20"/>
                <w:lang w:val="fr-CA"/>
              </w:rPr>
              <w:t>(Ont.) (Criminelle) (Autorisation)</w:t>
            </w:r>
          </w:p>
        </w:tc>
      </w:tr>
      <w:tr w:rsidR="008850D8" w:rsidRPr="00937000" w:rsidTr="007C3BCE">
        <w:tc>
          <w:tcPr>
            <w:tcW w:w="5000" w:type="pct"/>
            <w:gridSpan w:val="4"/>
          </w:tcPr>
          <w:p w:rsidR="008850D8" w:rsidRPr="00956D0A" w:rsidRDefault="00116AD9" w:rsidP="007C3BCE">
            <w:pPr>
              <w:jc w:val="both"/>
              <w:rPr>
                <w:sz w:val="20"/>
                <w:szCs w:val="20"/>
                <w:lang w:val="fr-CA"/>
              </w:rPr>
            </w:pPr>
            <w:r w:rsidRPr="00956D0A">
              <w:rPr>
                <w:sz w:val="20"/>
                <w:szCs w:val="20"/>
                <w:lang w:val="fr-CA"/>
              </w:rPr>
              <w:t>La demande d’autorisation d’appel de l’arrêt de la Cour d’appel de l’Ontario, numéros C61095 et C61185, 2019 ONCA 672, daté du 27 août 2019, est accueillie.</w:t>
            </w:r>
          </w:p>
          <w:p w:rsidR="00116AD9" w:rsidRPr="00956D0A" w:rsidRDefault="00116AD9"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Droit criminel — Jurés — Récusation motivée — Appels — Disposition réparatrice — La Cour d’appel a</w:t>
            </w:r>
            <w:r w:rsidRPr="00956D0A">
              <w:rPr>
                <w:sz w:val="20"/>
                <w:lang w:val="fr-CA"/>
              </w:rPr>
              <w:noBreakHyphen/>
              <w:t>t</w:t>
            </w:r>
            <w:r w:rsidRPr="00956D0A">
              <w:rPr>
                <w:sz w:val="20"/>
                <w:lang w:val="fr-CA"/>
              </w:rPr>
              <w:noBreakHyphen/>
              <w:t>elle commis une erreur de droit en concluant que le jury avait été irrégulièrement constitué? — La disposition réparatrice du sous</w:t>
            </w:r>
            <w:r w:rsidRPr="00956D0A">
              <w:rPr>
                <w:sz w:val="20"/>
                <w:lang w:val="fr-CA"/>
              </w:rPr>
              <w:noBreakHyphen/>
              <w:t xml:space="preserve">al. 686(1)b)(iv) du </w:t>
            </w:r>
            <w:r w:rsidRPr="00956D0A">
              <w:rPr>
                <w:i/>
                <w:sz w:val="20"/>
                <w:lang w:val="fr-CA"/>
              </w:rPr>
              <w:t>Code criminel</w:t>
            </w:r>
            <w:r w:rsidRPr="00956D0A">
              <w:rPr>
                <w:sz w:val="20"/>
                <w:lang w:val="fr-CA"/>
              </w:rPr>
              <w:t xml:space="preserve"> est</w:t>
            </w:r>
            <w:r w:rsidRPr="00956D0A">
              <w:rPr>
                <w:sz w:val="20"/>
                <w:lang w:val="fr-CA"/>
              </w:rPr>
              <w:noBreakHyphen/>
              <w:t>elle inapplicable aux erreurs touchant le processus de sélection des jurés, aussi technique et non préjudiciable que puisse être l’erreur?</w:t>
            </w:r>
          </w:p>
        </w:tc>
      </w:tr>
      <w:tr w:rsidR="003D7C55" w:rsidRPr="00937000" w:rsidTr="007C3BCE">
        <w:tc>
          <w:tcPr>
            <w:tcW w:w="5000" w:type="pct"/>
            <w:gridSpan w:val="4"/>
          </w:tcPr>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sz w:val="20"/>
                <w:lang w:val="fr-CA"/>
              </w:rPr>
              <w:t xml:space="preserve">Messieurs Jaser et Esseghaier ont été accusés d’infractions qui seraient du terrorisme. Avant le procès, l’avocat de M. Jaser a demandé la tenue d’un processus appelé « récusation motivée » pour déterminer si la capacité de chaque candidat juré de juger l’affaire était susceptible d’être touchée par la publicité qui a précédé le procès et le fait que chaque accusé était membre d’une minorité visible et Musulman. À l’époque, le </w:t>
            </w:r>
            <w:r w:rsidRPr="00956D0A">
              <w:rPr>
                <w:i/>
                <w:sz w:val="20"/>
                <w:lang w:val="fr-CA"/>
              </w:rPr>
              <w:t>Code criminel</w:t>
            </w:r>
            <w:r w:rsidRPr="00956D0A">
              <w:rPr>
                <w:sz w:val="20"/>
                <w:lang w:val="fr-CA"/>
              </w:rPr>
              <w:t xml:space="preserve"> prévoyait le recours à des membres du tableau des jurés, appelés « vérificateurs en rotation » ou « vérificateurs sans rotation », pour trancher les récusations motivées de candidats jurés. Les vérificateurs en rotation sont deux personnes qui seront membres du jury qui changent par rotation à mesure que chaque membre du jury additionnel est assermenté. Les vérificateurs sans rotation sont deux personnes qui entendent et tranchent toutes les récusations jusqu’à ce que tous les membres du jury aient été choisis et assermentés, mais qui ne deviennent pas eux-mêmes membres du jury. À l’époque, il y avait de l’incertitude dans la jurisprudence quant à savoir si un avocat pouvait demander que tous les jurés assermentés et les candidats jurés ou certains d’entre eux soient exclus de la salle d’audience pendant l’audition de chaque récusation. L’avocat de M. Jaser a demandé des vérificateurs en rotation et que les jurés non assermentés soient exclus, voulant éviter que des jurés non assermentés puissent entendre les réponses des autres jurés. Il a affirmé que si le tribunal se déclarait incompétent pour rendre une telle ordonnance, il choisissait alors des vérificateurs sans rotation et que les jurés non assermentés soient exclus. Monsieur Esseghaier n’a présenté aucune demande à l’égard du processus. Le juge du procès a ordonné des vérificateurs sans rotation et que les jurés, assermentés ou non, soient exclus. Le jury a déclaré MM</w:t>
            </w:r>
            <w:r w:rsidRPr="00956D0A">
              <w:rPr>
                <w:color w:val="000000"/>
                <w:sz w:val="20"/>
                <w:lang w:val="fr-CA"/>
              </w:rPr>
              <w:t xml:space="preserve">. Esseghaier et Jaser coupables d’infractions de terrorisme. </w:t>
            </w:r>
            <w:r w:rsidRPr="00956D0A">
              <w:rPr>
                <w:sz w:val="20"/>
                <w:lang w:val="fr-CA"/>
              </w:rPr>
              <w:t>La Cour d’appel a statué que la demande d’avoir recours à des vérificateurs en rotation avec des jurés non assermentés exclus aurait dû être accueillie et que le jury avait été irrégulièrement constitué. Elle a statué que l’erreur n’était pas réparée et que la disposition réparatrice du sous</w:t>
            </w:r>
            <w:r w:rsidRPr="00956D0A">
              <w:rPr>
                <w:sz w:val="20"/>
                <w:lang w:val="fr-CA"/>
              </w:rPr>
              <w:noBreakHyphen/>
              <w:t xml:space="preserve">al. 686(1)b)(iv) du </w:t>
            </w:r>
            <w:r w:rsidRPr="00956D0A">
              <w:rPr>
                <w:i/>
                <w:sz w:val="20"/>
                <w:lang w:val="fr-CA"/>
              </w:rPr>
              <w:t>Code criminel</w:t>
            </w:r>
            <w:r w:rsidRPr="00956D0A">
              <w:rPr>
                <w:sz w:val="20"/>
                <w:lang w:val="fr-CA"/>
              </w:rPr>
              <w:t xml:space="preserve"> ne s’appliquait pas. La Cour d’appel a ordonné la tenue d’un nouveau procès.</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15 décembre 2014</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Code)</w:t>
            </w:r>
          </w:p>
          <w:p w:rsidR="003D7C55" w:rsidRPr="00956D0A" w:rsidRDefault="00937000" w:rsidP="007C3BCE">
            <w:pPr>
              <w:jc w:val="both"/>
              <w:rPr>
                <w:sz w:val="20"/>
                <w:lang w:val="fr-CA"/>
              </w:rPr>
            </w:pPr>
            <w:hyperlink r:id="rId25" w:history="1">
              <w:r w:rsidR="003D7C55" w:rsidRPr="00956D0A">
                <w:rPr>
                  <w:rStyle w:val="Hyperlink"/>
                  <w:sz w:val="20"/>
                  <w:lang w:val="fr-CA"/>
                </w:rPr>
                <w:t>2014 ONSC 7528</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accueillant la demande de récusation motivée de jurés</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23 septembre 2015</w:t>
            </w:r>
          </w:p>
          <w:p w:rsidR="003D7C55" w:rsidRPr="00956D0A" w:rsidRDefault="003D7C55" w:rsidP="007C3BCE">
            <w:pPr>
              <w:jc w:val="both"/>
              <w:rPr>
                <w:sz w:val="20"/>
                <w:lang w:val="fr-CA"/>
              </w:rPr>
            </w:pPr>
            <w:r w:rsidRPr="00956D0A">
              <w:rPr>
                <w:sz w:val="20"/>
                <w:lang w:val="fr-CA"/>
              </w:rPr>
              <w:t>Cour supérieure de justice</w:t>
            </w:r>
          </w:p>
          <w:p w:rsidR="003D7C55" w:rsidRPr="00956D0A" w:rsidRDefault="003D7C55" w:rsidP="007C3BCE">
            <w:pPr>
              <w:jc w:val="both"/>
              <w:rPr>
                <w:sz w:val="20"/>
                <w:lang w:val="fr-CA"/>
              </w:rPr>
            </w:pPr>
            <w:r w:rsidRPr="00956D0A">
              <w:rPr>
                <w:sz w:val="20"/>
                <w:lang w:val="fr-CA"/>
              </w:rPr>
              <w:t>(Juge Code)(Non publié)</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 xml:space="preserve">Déclarations de culpabilité par un jury d’infractions de terrorisme </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27 août 2019</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(Juges Rouleau, Hourigan et Zarnett)</w:t>
            </w:r>
          </w:p>
          <w:p w:rsidR="003D7C55" w:rsidRPr="00956D0A" w:rsidRDefault="00937000" w:rsidP="007C3BCE">
            <w:pPr>
              <w:jc w:val="both"/>
              <w:rPr>
                <w:sz w:val="20"/>
                <w:lang w:val="fr-CA"/>
              </w:rPr>
            </w:pPr>
            <w:hyperlink r:id="rId26" w:history="1">
              <w:r w:rsidR="003D7C55" w:rsidRPr="00956D0A">
                <w:rPr>
                  <w:rStyle w:val="Hyperlink"/>
                  <w:sz w:val="20"/>
                  <w:lang w:val="fr-CA"/>
                </w:rPr>
                <w:t>2019 ONCA 672</w:t>
              </w:r>
            </w:hyperlink>
            <w:r w:rsidR="003D7C55" w:rsidRPr="00956D0A">
              <w:rPr>
                <w:sz w:val="20"/>
                <w:lang w:val="fr-CA"/>
              </w:rPr>
              <w:t>; C61095</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Arrêt accueillant l’appel et ordonnant la tenue d’un nouveau procès</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11 octobre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42"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38825</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Bayer Inc., Bayer AG, Bayer Corporation</w:t>
            </w:r>
            <w:r w:rsidR="009A1D05" w:rsidRPr="00956D0A">
              <w:rPr>
                <w:b/>
                <w:sz w:val="20"/>
                <w:szCs w:val="20"/>
                <w:lang w:val="en-US"/>
              </w:rPr>
              <w:t xml:space="preserve"> and</w:t>
            </w:r>
            <w:r w:rsidRPr="00956D0A">
              <w:rPr>
                <w:b/>
                <w:sz w:val="20"/>
                <w:szCs w:val="20"/>
                <w:lang w:val="en-US"/>
              </w:rPr>
              <w:t xml:space="preserve"> Bayer Healthcare LLC v. Estate of Mike Tluchak</w:t>
            </w:r>
            <w:r w:rsidR="009A1D05" w:rsidRPr="00956D0A">
              <w:rPr>
                <w:b/>
                <w:sz w:val="20"/>
                <w:szCs w:val="20"/>
                <w:lang w:val="en-US"/>
              </w:rPr>
              <w:t xml:space="preserve"> and</w:t>
            </w:r>
            <w:r w:rsidRPr="00956D0A">
              <w:rPr>
                <w:b/>
                <w:sz w:val="20"/>
                <w:szCs w:val="20"/>
                <w:lang w:val="en-US"/>
              </w:rPr>
              <w:t xml:space="preserve"> Verna Tluchak</w:t>
            </w:r>
          </w:p>
          <w:p w:rsidR="003D7C55" w:rsidRPr="00956D0A" w:rsidRDefault="003D7C55" w:rsidP="007C3BCE">
            <w:pPr>
              <w:jc w:val="both"/>
              <w:rPr>
                <w:sz w:val="20"/>
              </w:rPr>
            </w:pPr>
            <w:r w:rsidRPr="00956D0A">
              <w:rPr>
                <w:sz w:val="20"/>
              </w:rPr>
              <w:t>(Sask.) (Civil) (By Leave)</w:t>
            </w:r>
          </w:p>
        </w:tc>
      </w:tr>
      <w:tr w:rsidR="008850D8" w:rsidRPr="00956D0A" w:rsidTr="007C3BCE">
        <w:tc>
          <w:tcPr>
            <w:tcW w:w="5000" w:type="pct"/>
            <w:gridSpan w:val="4"/>
          </w:tcPr>
          <w:p w:rsidR="008850D8" w:rsidRPr="00956D0A" w:rsidRDefault="009A1D05" w:rsidP="007C3BCE">
            <w:pPr>
              <w:jc w:val="both"/>
              <w:rPr>
                <w:sz w:val="20"/>
                <w:szCs w:val="20"/>
              </w:rPr>
            </w:pPr>
            <w:r w:rsidRPr="00956D0A">
              <w:rPr>
                <w:sz w:val="20"/>
                <w:szCs w:val="20"/>
              </w:rPr>
              <w:t>The application for leave to appeal from the judgment of the Court of Appeal for Saskatchewan, Number CACV3327, 2019 SKCA 64, dated July 25, 2019, is dismissed with costs.</w:t>
            </w:r>
          </w:p>
          <w:p w:rsidR="009A1D05" w:rsidRPr="00956D0A" w:rsidRDefault="009A1D0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Civil procedure — Class actions — Certification — Proposed plaintiffs’ product liability action certified against applicants on common issue of failure to warn and punitive damages — Can courts certify a common issue for failure to warn in a product liability class action without first finding a basis in fact that the product can cause a specific harm that is common to the class?</w:t>
            </w:r>
          </w:p>
          <w:p w:rsidR="003D7C55" w:rsidRPr="00956D0A" w:rsidRDefault="003D7C5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The respondents sought certification for a multi</w:t>
            </w:r>
            <w:r w:rsidRPr="00956D0A">
              <w:rPr>
                <w:sz w:val="20"/>
              </w:rPr>
              <w:noBreakHyphen/>
              <w:t xml:space="preserve">jurisdictional class action lawsuit that related to a prescription anticoagulant drug, rivaroxaban, marketed under the brand name Xarelto. The plaintiffs alleged that the applicants (collectively, “Bayer”) breached their duty of care by marketing Xarelto at all or by failing to indicate that it was suitable for a narrower population.  They further alleged that Bayer failed to provide a clear, complete warning regarding the risk of serious and irreversible bleeding and how to reduce that risk. Verna Tluchak and the Estate of Mike Tluchak applied under the </w:t>
            </w:r>
            <w:r w:rsidRPr="00956D0A">
              <w:rPr>
                <w:i/>
                <w:sz w:val="20"/>
              </w:rPr>
              <w:t>Class Actions Act</w:t>
            </w:r>
            <w:r w:rsidRPr="00956D0A">
              <w:rPr>
                <w:sz w:val="20"/>
              </w:rPr>
              <w:t>, S.S. 2001, c. C</w:t>
            </w:r>
            <w:r w:rsidRPr="00956D0A">
              <w:rPr>
                <w:sz w:val="20"/>
              </w:rPr>
              <w:noBreakHyphen/>
              <w:t>12.01 (“</w:t>
            </w:r>
            <w:r w:rsidRPr="00956D0A">
              <w:rPr>
                <w:i/>
                <w:sz w:val="20"/>
              </w:rPr>
              <w:t>CAA</w:t>
            </w:r>
            <w:r w:rsidRPr="00956D0A">
              <w:rPr>
                <w:sz w:val="20"/>
              </w:rPr>
              <w:t>”) for the certification and for the appointment of Verna Tluchak as the representative plaintiff. The chambers judge granted the certification order in relation to the alleged breach of a duty to warn.  Bayer’s application for leave to appeal that decision was dismissed.</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14, 2018</w:t>
            </w:r>
          </w:p>
          <w:p w:rsidR="003D7C55" w:rsidRPr="00956D0A" w:rsidRDefault="003D7C55" w:rsidP="007C3BCE">
            <w:pPr>
              <w:jc w:val="both"/>
              <w:rPr>
                <w:sz w:val="20"/>
              </w:rPr>
            </w:pPr>
            <w:r w:rsidRPr="00956D0A">
              <w:rPr>
                <w:sz w:val="20"/>
              </w:rPr>
              <w:t>Court of Queen’s Bench of Saskatchewan</w:t>
            </w:r>
          </w:p>
          <w:p w:rsidR="003D7C55" w:rsidRPr="00956D0A" w:rsidRDefault="003D7C55" w:rsidP="007C3BCE">
            <w:pPr>
              <w:jc w:val="both"/>
              <w:rPr>
                <w:sz w:val="20"/>
              </w:rPr>
            </w:pPr>
            <w:r w:rsidRPr="00956D0A">
              <w:rPr>
                <w:sz w:val="20"/>
              </w:rPr>
              <w:t>(Barrington</w:t>
            </w:r>
            <w:r w:rsidRPr="00956D0A">
              <w:rPr>
                <w:sz w:val="20"/>
              </w:rPr>
              <w:noBreakHyphen/>
              <w:t>Foote J.A.)</w:t>
            </w:r>
          </w:p>
          <w:p w:rsidR="003D7C55" w:rsidRPr="00956D0A" w:rsidRDefault="00937000" w:rsidP="007C3BCE">
            <w:pPr>
              <w:jc w:val="both"/>
              <w:rPr>
                <w:sz w:val="20"/>
              </w:rPr>
            </w:pPr>
            <w:hyperlink r:id="rId27" w:history="1">
              <w:r w:rsidR="003D7C55" w:rsidRPr="00956D0A">
                <w:rPr>
                  <w:rStyle w:val="Hyperlink"/>
                  <w:sz w:val="20"/>
                </w:rPr>
                <w:t>2018 SKQB 311</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Proposed plaintiffs’ common issues certified for class action against applicants</w:t>
            </w:r>
          </w:p>
          <w:p w:rsidR="003D7C55" w:rsidRPr="00956D0A" w:rsidRDefault="003D7C55" w:rsidP="007C3BCE">
            <w:pPr>
              <w:jc w:val="both"/>
              <w:rPr>
                <w:sz w:val="20"/>
              </w:rPr>
            </w:pP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July 25, 2019</w:t>
            </w:r>
          </w:p>
          <w:p w:rsidR="003D7C55" w:rsidRPr="00956D0A" w:rsidRDefault="003D7C55" w:rsidP="007C3BCE">
            <w:pPr>
              <w:jc w:val="both"/>
              <w:rPr>
                <w:sz w:val="20"/>
              </w:rPr>
            </w:pPr>
            <w:r w:rsidRPr="00956D0A">
              <w:rPr>
                <w:sz w:val="20"/>
              </w:rPr>
              <w:t>Court of Appeal for Saskatchewan</w:t>
            </w:r>
          </w:p>
          <w:p w:rsidR="003D7C55" w:rsidRPr="00956D0A" w:rsidRDefault="003D7C55" w:rsidP="007C3BCE">
            <w:pPr>
              <w:jc w:val="both"/>
              <w:rPr>
                <w:sz w:val="20"/>
              </w:rPr>
            </w:pPr>
            <w:r w:rsidRPr="00956D0A">
              <w:rPr>
                <w:sz w:val="20"/>
              </w:rPr>
              <w:t>(Whitmore J.A.)</w:t>
            </w:r>
          </w:p>
          <w:p w:rsidR="003D7C55" w:rsidRPr="00956D0A" w:rsidRDefault="00937000" w:rsidP="007C3BCE">
            <w:pPr>
              <w:jc w:val="both"/>
              <w:rPr>
                <w:sz w:val="20"/>
              </w:rPr>
            </w:pPr>
            <w:hyperlink r:id="rId28" w:history="1">
              <w:r w:rsidR="003D7C55" w:rsidRPr="00956D0A">
                <w:rPr>
                  <w:rStyle w:val="Hyperlink"/>
                  <w:sz w:val="20"/>
                </w:rPr>
                <w:t>2019 SKCA 64</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Applicants’ application for leave to appeal dismissed</w:t>
            </w:r>
          </w:p>
          <w:p w:rsidR="003D7C55" w:rsidRPr="00956D0A" w:rsidRDefault="003D7C55" w:rsidP="007C3BCE">
            <w:pPr>
              <w:jc w:val="both"/>
              <w:rPr>
                <w:sz w:val="20"/>
              </w:rPr>
            </w:pPr>
          </w:p>
          <w:p w:rsidR="003D7C55" w:rsidRPr="00956D0A" w:rsidRDefault="003D7C55" w:rsidP="007C3BCE">
            <w:pPr>
              <w:jc w:val="both"/>
              <w:rPr>
                <w:sz w:val="20"/>
              </w:rPr>
            </w:pPr>
          </w:p>
        </w:tc>
      </w:tr>
    </w:tbl>
    <w:p w:rsidR="00D05E5D" w:rsidRPr="00956D0A" w:rsidRDefault="00D05E5D">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rPr>
            </w:pPr>
            <w:r w:rsidRPr="00956D0A">
              <w:rPr>
                <w:sz w:val="20"/>
              </w:rPr>
              <w:t>September 27,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3"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37000"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38825</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Bayer In</w:t>
            </w:r>
            <w:r w:rsidR="009A1D05" w:rsidRPr="00956D0A">
              <w:rPr>
                <w:b/>
                <w:sz w:val="20"/>
                <w:szCs w:val="20"/>
              </w:rPr>
              <w:t>c., Bayer AG, Bayer Corporation et</w:t>
            </w:r>
            <w:r w:rsidRPr="00956D0A">
              <w:rPr>
                <w:b/>
                <w:sz w:val="20"/>
                <w:szCs w:val="20"/>
              </w:rPr>
              <w:t xml:space="preserve"> Bayer Healthcare LLC c. </w:t>
            </w:r>
            <w:r w:rsidR="009A1D05" w:rsidRPr="00956D0A">
              <w:rPr>
                <w:b/>
                <w:sz w:val="20"/>
                <w:szCs w:val="20"/>
              </w:rPr>
              <w:t>S</w:t>
            </w:r>
            <w:r w:rsidRPr="00956D0A">
              <w:rPr>
                <w:b/>
                <w:sz w:val="20"/>
                <w:szCs w:val="20"/>
              </w:rPr>
              <w:t>uccession de Mike Tluchak</w:t>
            </w:r>
            <w:r w:rsidR="009A1D05" w:rsidRPr="00956D0A">
              <w:rPr>
                <w:b/>
                <w:sz w:val="20"/>
                <w:szCs w:val="20"/>
              </w:rPr>
              <w:t xml:space="preserve"> et</w:t>
            </w:r>
            <w:r w:rsidRPr="00956D0A">
              <w:rPr>
                <w:b/>
                <w:sz w:val="20"/>
                <w:szCs w:val="20"/>
              </w:rPr>
              <w:t xml:space="preserve"> Verna Tluchak</w:t>
            </w:r>
          </w:p>
          <w:p w:rsidR="003D7C55" w:rsidRPr="00956D0A" w:rsidRDefault="003D7C55" w:rsidP="007C3BCE">
            <w:pPr>
              <w:jc w:val="both"/>
              <w:rPr>
                <w:sz w:val="20"/>
                <w:lang w:val="fr-CA"/>
              </w:rPr>
            </w:pPr>
            <w:r w:rsidRPr="00956D0A">
              <w:rPr>
                <w:sz w:val="20"/>
                <w:lang w:val="fr-CA"/>
              </w:rPr>
              <w:t>(Sask.) (Civile) (Autorisation)</w:t>
            </w:r>
          </w:p>
        </w:tc>
      </w:tr>
      <w:tr w:rsidR="008850D8" w:rsidRPr="00937000" w:rsidTr="007C3BCE">
        <w:tc>
          <w:tcPr>
            <w:tcW w:w="5000" w:type="pct"/>
            <w:gridSpan w:val="4"/>
          </w:tcPr>
          <w:p w:rsidR="008850D8" w:rsidRPr="00956D0A" w:rsidRDefault="009A1D05" w:rsidP="007C3BCE">
            <w:pPr>
              <w:jc w:val="both"/>
              <w:rPr>
                <w:sz w:val="20"/>
                <w:szCs w:val="20"/>
                <w:lang w:val="fr-CA"/>
              </w:rPr>
            </w:pPr>
            <w:r w:rsidRPr="00956D0A">
              <w:rPr>
                <w:sz w:val="20"/>
                <w:szCs w:val="20"/>
                <w:lang w:val="fr-CA"/>
              </w:rPr>
              <w:t>La demande d’autorisation d’appel de l’arrêt de la Cour d’appel de la Saskatchewan, numéro CACV3327, 2019 SKCA 64, daté du 25 juillet 2019, est rejetée avec dépens.</w:t>
            </w:r>
          </w:p>
          <w:p w:rsidR="009A1D05" w:rsidRPr="00956D0A" w:rsidRDefault="009A1D0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Procédure civile — Recours collectifs — Certification — L’action en responsabilité du fait du produit intentée par les demandeurs en première instance éventuels a été certifiée contre les demanderesses pour ce qui concerne les questions communes de défaut de mise en garde et de dommages</w:t>
            </w:r>
            <w:r w:rsidRPr="00956D0A">
              <w:rPr>
                <w:sz w:val="20"/>
                <w:lang w:val="fr-CA"/>
              </w:rPr>
              <w:noBreakHyphen/>
              <w:t>intérêts punitifs — Les tribunaux peuvent</w:t>
            </w:r>
            <w:r w:rsidRPr="00956D0A">
              <w:rPr>
                <w:sz w:val="20"/>
                <w:lang w:val="fr-CA"/>
              </w:rPr>
              <w:noBreakHyphen/>
              <w:t>ils certifier une question commune au titre du défaut de mise en garde dans un recours collectif en responsabilité du fait du produit sans avoir d’abord constaté un fondement factuel que le produit peut causer un préjudice particulier qui est commun au groupe?</w:t>
            </w:r>
          </w:p>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Les intimés ont demandé la certification d’un recours collectif multiterritorial qui avait trait à un médicament anticoagulant délivré sous ordonnance, le rivaroxaban, mis en marché sous la marque nominale Xarelto. Les demandeurs en première instance allèguent que les demanderesses (collectivement, « Bayer ») ont manqué à leur obligation de diligence du simple fait d’avoir mis en marché le Xarelto ou en omettant d’indiquer que celui</w:t>
            </w:r>
            <w:r w:rsidRPr="00956D0A">
              <w:rPr>
                <w:sz w:val="20"/>
                <w:lang w:val="fr-CA"/>
              </w:rPr>
              <w:noBreakHyphen/>
              <w:t xml:space="preserve">ci convenait à une population plus restreinte. Ils ont allégué que Bayer avait omis de servir une mise en garde claire et complète quant au risque d’hémorragie grave et irréversible et comment réduire ce risque. Verna Tluchak et la succession de Mike Tluchak ont présenté une demande en vertu de la </w:t>
            </w:r>
            <w:r w:rsidRPr="00956D0A">
              <w:rPr>
                <w:i/>
                <w:sz w:val="20"/>
                <w:lang w:val="fr-CA"/>
              </w:rPr>
              <w:t>Loi sur les recours collectifs</w:t>
            </w:r>
            <w:r w:rsidRPr="00956D0A">
              <w:rPr>
                <w:sz w:val="20"/>
                <w:lang w:val="fr-CA"/>
              </w:rPr>
              <w:t>, L.S. 2001, ch. C</w:t>
            </w:r>
            <w:r w:rsidRPr="00956D0A">
              <w:rPr>
                <w:sz w:val="20"/>
                <w:lang w:val="fr-CA"/>
              </w:rPr>
              <w:noBreakHyphen/>
              <w:t>12.01 (la « </w:t>
            </w:r>
            <w:r w:rsidRPr="00956D0A">
              <w:rPr>
                <w:i/>
                <w:sz w:val="20"/>
                <w:lang w:val="fr-CA"/>
              </w:rPr>
              <w:t>LRC</w:t>
            </w:r>
            <w:r w:rsidRPr="00956D0A">
              <w:rPr>
                <w:sz w:val="20"/>
                <w:lang w:val="fr-CA"/>
              </w:rPr>
              <w:t> ») pour obtenir la certification et pour nommer Verna Tluchak comme représentante des demandeurs en première instance. Le juge siégeant en son cabinet a prononcé l’ordonnance de certification en lien avec le manquement allégué à une obligation de mise en garde. La requête de Bayer en autorisation d’interjeter appel de cette décision a été rejetée.</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14 novembre 2018</w:t>
            </w:r>
          </w:p>
          <w:p w:rsidR="003D7C55" w:rsidRPr="00956D0A" w:rsidRDefault="003D7C55" w:rsidP="007C3BCE">
            <w:pPr>
              <w:jc w:val="both"/>
              <w:rPr>
                <w:sz w:val="20"/>
                <w:lang w:val="fr-CA"/>
              </w:rPr>
            </w:pPr>
            <w:r w:rsidRPr="00956D0A">
              <w:rPr>
                <w:sz w:val="20"/>
                <w:lang w:val="fr-CA"/>
              </w:rPr>
              <w:t>Cour du Banc de la Reine de la Saskatchewan</w:t>
            </w:r>
          </w:p>
          <w:p w:rsidR="003D7C55" w:rsidRPr="00956D0A" w:rsidRDefault="003D7C55" w:rsidP="007C3BCE">
            <w:pPr>
              <w:jc w:val="both"/>
              <w:rPr>
                <w:sz w:val="20"/>
                <w:lang w:val="fr-CA"/>
              </w:rPr>
            </w:pPr>
            <w:r w:rsidRPr="00956D0A">
              <w:rPr>
                <w:sz w:val="20"/>
                <w:lang w:val="fr-CA"/>
              </w:rPr>
              <w:t>(Juge Barrington</w:t>
            </w:r>
            <w:r w:rsidRPr="00956D0A">
              <w:rPr>
                <w:sz w:val="20"/>
                <w:lang w:val="fr-CA"/>
              </w:rPr>
              <w:noBreakHyphen/>
              <w:t>Foote)</w:t>
            </w:r>
          </w:p>
          <w:p w:rsidR="003D7C55" w:rsidRPr="00956D0A" w:rsidRDefault="00937000" w:rsidP="007C3BCE">
            <w:pPr>
              <w:jc w:val="both"/>
              <w:rPr>
                <w:sz w:val="20"/>
                <w:lang w:val="fr-CA"/>
              </w:rPr>
            </w:pPr>
            <w:hyperlink r:id="rId29" w:history="1">
              <w:r w:rsidR="003D7C55" w:rsidRPr="00956D0A">
                <w:rPr>
                  <w:rStyle w:val="Hyperlink"/>
                  <w:sz w:val="20"/>
                  <w:lang w:val="fr-CA"/>
                </w:rPr>
                <w:t>2018 SKQB 311</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Certification des questions communes des demandeurs en première instance éventuels dans leur recours collectif contre les demanderesses</w:t>
            </w:r>
          </w:p>
          <w:p w:rsidR="003D7C55" w:rsidRPr="00956D0A" w:rsidRDefault="003D7C55" w:rsidP="007C3BCE">
            <w:pPr>
              <w:jc w:val="both"/>
              <w:rPr>
                <w:sz w:val="20"/>
                <w:lang w:val="fr-CA"/>
              </w:rPr>
            </w:pP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25 juillet 2019</w:t>
            </w:r>
          </w:p>
          <w:p w:rsidR="003D7C55" w:rsidRPr="00956D0A" w:rsidRDefault="003D7C55" w:rsidP="007C3BCE">
            <w:pPr>
              <w:jc w:val="both"/>
              <w:rPr>
                <w:sz w:val="20"/>
                <w:lang w:val="fr-CA"/>
              </w:rPr>
            </w:pPr>
            <w:r w:rsidRPr="00956D0A">
              <w:rPr>
                <w:sz w:val="20"/>
                <w:lang w:val="fr-CA"/>
              </w:rPr>
              <w:t>Cour d’appel de la Saskatchewan</w:t>
            </w:r>
          </w:p>
          <w:p w:rsidR="003D7C55" w:rsidRPr="00956D0A" w:rsidRDefault="003D7C55" w:rsidP="007C3BCE">
            <w:pPr>
              <w:jc w:val="both"/>
              <w:rPr>
                <w:sz w:val="20"/>
                <w:lang w:val="fr-CA"/>
              </w:rPr>
            </w:pPr>
            <w:r w:rsidRPr="00956D0A">
              <w:rPr>
                <w:sz w:val="20"/>
                <w:lang w:val="fr-CA"/>
              </w:rPr>
              <w:t>(Juge Whitmore)</w:t>
            </w:r>
          </w:p>
          <w:p w:rsidR="003D7C55" w:rsidRPr="00956D0A" w:rsidRDefault="00937000" w:rsidP="007C3BCE">
            <w:pPr>
              <w:jc w:val="both"/>
              <w:rPr>
                <w:sz w:val="20"/>
                <w:lang w:val="fr-CA"/>
              </w:rPr>
            </w:pPr>
            <w:hyperlink r:id="rId30" w:history="1">
              <w:r w:rsidR="003D7C55" w:rsidRPr="00956D0A">
                <w:rPr>
                  <w:rStyle w:val="Hyperlink"/>
                  <w:sz w:val="20"/>
                  <w:lang w:val="fr-CA"/>
                </w:rPr>
                <w:t>2019 SKCA 64</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 requête des demanderesses en autorisation d’interjeter appel</w:t>
            </w:r>
          </w:p>
          <w:p w:rsidR="003D7C55" w:rsidRPr="00956D0A" w:rsidRDefault="003D7C55" w:rsidP="007C3BCE">
            <w:pPr>
              <w:jc w:val="both"/>
              <w:rPr>
                <w:sz w:val="20"/>
                <w:lang w:val="fr-CA"/>
              </w:rPr>
            </w:pP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27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jc w:val="both"/>
        <w:rPr>
          <w:sz w:val="20"/>
          <w:lang w:val="fr-CA"/>
        </w:rPr>
      </w:pPr>
      <w:r>
        <w:rPr>
          <w:sz w:val="20"/>
        </w:rPr>
        <w:pict>
          <v:rect id="_x0000_i1044" style="width:2in;height:1pt" o:hrpct="0" o:hralign="center" o:hrstd="t" o:hrnoshade="t" o:hr="t" fillcolor="black [3213]" stroked="f"/>
        </w:pict>
      </w:r>
    </w:p>
    <w:p w:rsidR="003D7C55" w:rsidRPr="00956D0A" w:rsidRDefault="003D7C55" w:rsidP="003D7C55">
      <w:pPr>
        <w:ind w:left="142" w:hanging="142"/>
        <w:jc w:val="both"/>
        <w:rPr>
          <w:sz w:val="20"/>
          <w:lang w:val="fr-CA"/>
        </w:rPr>
      </w:pPr>
    </w:p>
    <w:p w:rsidR="004B6D12" w:rsidRPr="00956D0A" w:rsidRDefault="004B6D12">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38836</w:t>
            </w:r>
          </w:p>
        </w:tc>
        <w:tc>
          <w:tcPr>
            <w:tcW w:w="4457" w:type="pct"/>
            <w:gridSpan w:val="3"/>
          </w:tcPr>
          <w:p w:rsidR="003D7C55" w:rsidRPr="00956D0A" w:rsidRDefault="003D7C55" w:rsidP="007C3BCE">
            <w:pPr>
              <w:pStyle w:val="SCCLsocParty"/>
              <w:jc w:val="both"/>
              <w:rPr>
                <w:b/>
                <w:sz w:val="20"/>
                <w:szCs w:val="20"/>
                <w:lang w:val="en-CA"/>
              </w:rPr>
            </w:pPr>
            <w:r w:rsidRPr="00956D0A">
              <w:rPr>
                <w:b/>
                <w:sz w:val="20"/>
                <w:szCs w:val="20"/>
                <w:lang w:val="en-CA"/>
              </w:rPr>
              <w:t>Her Majesty the Queen v. Patrice Bernard</w:t>
            </w:r>
          </w:p>
          <w:p w:rsidR="003D7C55" w:rsidRPr="00956D0A" w:rsidRDefault="003D7C55" w:rsidP="007C3BCE">
            <w:pPr>
              <w:jc w:val="both"/>
              <w:rPr>
                <w:sz w:val="20"/>
              </w:rPr>
            </w:pPr>
            <w:r w:rsidRPr="00956D0A">
              <w:rPr>
                <w:sz w:val="20"/>
              </w:rPr>
              <w:t>(Que.) (Criminal) (By Leave)</w:t>
            </w:r>
          </w:p>
        </w:tc>
      </w:tr>
      <w:tr w:rsidR="008850D8" w:rsidRPr="00956D0A" w:rsidTr="007C3BCE">
        <w:tc>
          <w:tcPr>
            <w:tcW w:w="5000" w:type="pct"/>
            <w:gridSpan w:val="4"/>
          </w:tcPr>
          <w:p w:rsidR="008850D8" w:rsidRPr="00956D0A" w:rsidRDefault="00A373CD" w:rsidP="007C3BCE">
            <w:pPr>
              <w:jc w:val="both"/>
              <w:rPr>
                <w:sz w:val="20"/>
                <w:szCs w:val="20"/>
              </w:rPr>
            </w:pPr>
            <w:r w:rsidRPr="00956D0A">
              <w:rPr>
                <w:sz w:val="20"/>
                <w:szCs w:val="20"/>
              </w:rPr>
              <w:t xml:space="preserve">The application for leave to appeal from the judgment of the </w:t>
            </w:r>
            <w:r w:rsidRPr="00956D0A">
              <w:rPr>
                <w:sz w:val="20"/>
                <w:szCs w:val="20"/>
                <w:lang w:val="en-US"/>
              </w:rPr>
              <w:t>Court of Appeal of Quebec (Montréal)</w:t>
            </w:r>
            <w:r w:rsidRPr="00956D0A">
              <w:rPr>
                <w:sz w:val="20"/>
                <w:szCs w:val="20"/>
              </w:rPr>
              <w:t xml:space="preserve">, Number </w:t>
            </w:r>
            <w:r w:rsidRPr="00956D0A">
              <w:rPr>
                <w:sz w:val="20"/>
                <w:szCs w:val="20"/>
                <w:lang w:val="en-US"/>
              </w:rPr>
              <w:t>500-10-006047-151</w:t>
            </w:r>
            <w:r w:rsidRPr="00956D0A">
              <w:rPr>
                <w:sz w:val="20"/>
                <w:szCs w:val="20"/>
              </w:rPr>
              <w:t xml:space="preserve">, 2019 QCCA 1227, dated </w:t>
            </w:r>
            <w:r w:rsidRPr="00956D0A">
              <w:rPr>
                <w:sz w:val="20"/>
                <w:szCs w:val="20"/>
                <w:lang w:val="en-US"/>
              </w:rPr>
              <w:t>July 11, 2019,</w:t>
            </w:r>
            <w:r w:rsidRPr="00956D0A">
              <w:rPr>
                <w:sz w:val="20"/>
                <w:szCs w:val="20"/>
              </w:rPr>
              <w:t xml:space="preserve"> is dismissed.</w:t>
            </w:r>
          </w:p>
          <w:p w:rsidR="00A373CD" w:rsidRPr="00956D0A" w:rsidRDefault="00A373CD" w:rsidP="007C3BCE">
            <w:pPr>
              <w:jc w:val="both"/>
              <w:rPr>
                <w:sz w:val="20"/>
                <w:lang w:val="en-US"/>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Criminal law — Evidence — Admissibility — Out</w:t>
            </w:r>
            <w:r w:rsidRPr="00956D0A">
              <w:rPr>
                <w:sz w:val="20"/>
              </w:rPr>
              <w:noBreakHyphen/>
              <w:t>of</w:t>
            </w:r>
            <w:r w:rsidRPr="00956D0A">
              <w:rPr>
                <w:sz w:val="20"/>
              </w:rPr>
              <w:noBreakHyphen/>
              <w:t>court statements — Statement made in course of Mr. Big operation targeting accused’s accomplice — Application of presumption of inadmissibility — Free and voluntary nature of out</w:t>
            </w:r>
            <w:r w:rsidRPr="00956D0A">
              <w:rPr>
                <w:sz w:val="20"/>
              </w:rPr>
              <w:noBreakHyphen/>
              <w:t>of</w:t>
            </w:r>
            <w:r w:rsidRPr="00956D0A">
              <w:rPr>
                <w:sz w:val="20"/>
              </w:rPr>
              <w:noBreakHyphen/>
              <w:t xml:space="preserve">court statement — Burden on prosecution — Whether Quebec Court of Appeal erred in law in applying presumption of inadmissibility of Mr. Big confessions to confessions resulting from undercover operation targeting respondent — Whether Quebec Court of Appeal erred in law in requiring that </w:t>
            </w:r>
            <w:r w:rsidRPr="00956D0A">
              <w:rPr>
                <w:i/>
                <w:sz w:val="20"/>
              </w:rPr>
              <w:t>Mack</w:t>
            </w:r>
            <w:r w:rsidRPr="00956D0A">
              <w:rPr>
                <w:sz w:val="20"/>
              </w:rPr>
              <w:t xml:space="preserve"> instruction be given to jury despite distinctions between confessions obtained from respondent and Mr. Big confessions — Whether Quebec Court of Appeal erred in law in overturning trial judge’s decision concerning free and voluntary nature of out</w:t>
            </w:r>
            <w:r w:rsidRPr="00956D0A">
              <w:rPr>
                <w:sz w:val="20"/>
              </w:rPr>
              <w:noBreakHyphen/>
              <w:t>of</w:t>
            </w:r>
            <w:r w:rsidRPr="00956D0A">
              <w:rPr>
                <w:sz w:val="20"/>
              </w:rPr>
              <w:noBreakHyphen/>
              <w:t>court statement made by respondent on September 1, 1987.</w:t>
            </w:r>
          </w:p>
        </w:tc>
      </w:tr>
      <w:tr w:rsidR="003D7C55" w:rsidRPr="00956D0A" w:rsidTr="007C3BCE">
        <w:tc>
          <w:tcPr>
            <w:tcW w:w="5000" w:type="pct"/>
            <w:gridSpan w:val="4"/>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The respondent, Patrice Bernard, was charged with first degree murder. The charge arose from a statement made to the police in the course of a Mr. Big operation targeting one of the respondent’s accomplices more than 20 years after the death of the victim, the respondent’s uncle. The accomplice admitted to Mr. Big that the murder had been arranged by the victim’s daughter and that the respondent had participated in it. The accomplice and an undercover officer were able to locate the respondent. They had a discussion during which the respondent confessed his involvement in his uncle’s murder. Following a voir</w:t>
            </w:r>
            <w:r w:rsidRPr="00956D0A">
              <w:rPr>
                <w:sz w:val="20"/>
              </w:rPr>
              <w:noBreakHyphen/>
              <w:t>dire, the trial judge concluded that it was neither necessary nor appropriate to consider that statement to be presumptively inadmissible. He also found that the statement made by the respondent to investigators the day after the murder was admissible. Following his jury trial, the respondent was convicted of second degree murder. The Court of Appeal unanimously allowed the appeal, set aside the guilty verdict and ordered a new trial.</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October 22, 2015</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(Bureau J.)</w:t>
            </w:r>
          </w:p>
          <w:p w:rsidR="003D7C55" w:rsidRPr="00956D0A" w:rsidRDefault="00937000" w:rsidP="007C3BCE">
            <w:pPr>
              <w:jc w:val="both"/>
              <w:rPr>
                <w:sz w:val="20"/>
              </w:rPr>
            </w:pPr>
            <w:hyperlink r:id="rId31" w:history="1">
              <w:r w:rsidR="003D7C55" w:rsidRPr="00956D0A">
                <w:rPr>
                  <w:rStyle w:val="Hyperlink"/>
                  <w:sz w:val="20"/>
                </w:rPr>
                <w:t>2015 QCCS 4903</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on voir</w:t>
            </w:r>
            <w:r w:rsidRPr="00956D0A">
              <w:rPr>
                <w:sz w:val="20"/>
              </w:rPr>
              <w:noBreakHyphen/>
              <w:t>dire finding it neither necessary nor appropriate to consider out</w:t>
            </w:r>
            <w:r w:rsidRPr="00956D0A">
              <w:rPr>
                <w:sz w:val="20"/>
              </w:rPr>
              <w:noBreakHyphen/>
              <w:t>of</w:t>
            </w:r>
            <w:r w:rsidRPr="00956D0A">
              <w:rPr>
                <w:sz w:val="20"/>
              </w:rPr>
              <w:noBreakHyphen/>
              <w:t>court statements presumptively inadmissible</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October 26, 2015</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(Bureau J.)</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 xml:space="preserve">Motion to stay proceedings for abuse dismissed </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5, 2015</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(Bureau J.)</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Judgment on voir</w:t>
            </w:r>
            <w:r w:rsidRPr="00956D0A">
              <w:rPr>
                <w:sz w:val="20"/>
              </w:rPr>
              <w:noBreakHyphen/>
              <w:t>dire finding accused’s out</w:t>
            </w:r>
            <w:r w:rsidRPr="00956D0A">
              <w:rPr>
                <w:sz w:val="20"/>
              </w:rPr>
              <w:noBreakHyphen/>
              <w:t>of</w:t>
            </w:r>
            <w:r w:rsidRPr="00956D0A">
              <w:rPr>
                <w:sz w:val="20"/>
              </w:rPr>
              <w:noBreakHyphen/>
              <w:t>court statement admissible</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11, 2015</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(Bureau J.)</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Accused convicted by jury of second degree murder</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July 11, 2019</w:t>
            </w:r>
          </w:p>
          <w:p w:rsidR="003D7C55" w:rsidRPr="00956D0A" w:rsidRDefault="003D7C55" w:rsidP="007C3BCE">
            <w:pPr>
              <w:jc w:val="both"/>
              <w:rPr>
                <w:sz w:val="20"/>
              </w:rPr>
            </w:pPr>
            <w:r w:rsidRPr="00956D0A">
              <w:rPr>
                <w:sz w:val="20"/>
              </w:rPr>
              <w:t>Quebec Court of Appeal (Montréal)</w:t>
            </w:r>
          </w:p>
          <w:p w:rsidR="003D7C55" w:rsidRPr="00956D0A" w:rsidRDefault="003D7C55" w:rsidP="007C3BCE">
            <w:pPr>
              <w:jc w:val="both"/>
              <w:rPr>
                <w:sz w:val="20"/>
              </w:rPr>
            </w:pPr>
            <w:r w:rsidRPr="00956D0A">
              <w:rPr>
                <w:sz w:val="20"/>
              </w:rPr>
              <w:t>(Duval Hesler C.J. and Hogue and Rancourt JJ.A.)</w:t>
            </w:r>
          </w:p>
          <w:p w:rsidR="003D7C55" w:rsidRPr="00956D0A" w:rsidRDefault="00937000" w:rsidP="007C3BCE">
            <w:pPr>
              <w:jc w:val="both"/>
              <w:rPr>
                <w:sz w:val="20"/>
              </w:rPr>
            </w:pPr>
            <w:hyperlink r:id="rId32" w:history="1">
              <w:r w:rsidR="003D7C55" w:rsidRPr="00956D0A">
                <w:rPr>
                  <w:rStyle w:val="Hyperlink"/>
                  <w:sz w:val="20"/>
                </w:rPr>
                <w:t>2019 QCCA 1227</w:t>
              </w:r>
            </w:hyperlink>
            <w:r w:rsidR="003D7C55" w:rsidRPr="00956D0A">
              <w:rPr>
                <w:rStyle w:val="Hyperlink"/>
                <w:sz w:val="20"/>
              </w:rPr>
              <w:t xml:space="preserve"> (</w:t>
            </w:r>
            <w:r w:rsidR="003D7C55" w:rsidRPr="00956D0A">
              <w:rPr>
                <w:sz w:val="20"/>
              </w:rPr>
              <w:t>500</w:t>
            </w:r>
            <w:r w:rsidR="003D7C55" w:rsidRPr="00956D0A">
              <w:rPr>
                <w:sz w:val="20"/>
              </w:rPr>
              <w:noBreakHyphen/>
              <w:t>10</w:t>
            </w:r>
            <w:r w:rsidR="003D7C55" w:rsidRPr="00956D0A">
              <w:rPr>
                <w:sz w:val="20"/>
              </w:rPr>
              <w:noBreakHyphen/>
              <w:t>006047</w:t>
            </w:r>
            <w:r w:rsidR="003D7C55" w:rsidRPr="00956D0A">
              <w:rPr>
                <w:sz w:val="20"/>
              </w:rPr>
              <w:noBreakHyphen/>
              <w:t>151)</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allowed</w:t>
            </w:r>
          </w:p>
          <w:p w:rsidR="003D7C55" w:rsidRPr="00956D0A" w:rsidRDefault="003D7C55" w:rsidP="007C3BCE">
            <w:pPr>
              <w:jc w:val="both"/>
              <w:rPr>
                <w:sz w:val="20"/>
              </w:rPr>
            </w:pPr>
          </w:p>
        </w:tc>
      </w:tr>
    </w:tbl>
    <w:p w:rsidR="004B6D12" w:rsidRPr="00956D0A" w:rsidRDefault="004B6D12">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rPr>
            </w:pPr>
            <w:r w:rsidRPr="00956D0A">
              <w:rPr>
                <w:sz w:val="20"/>
              </w:rPr>
              <w:t>September 30,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5"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38836</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Sa Majesté la Reine c. Patrice Bernard</w:t>
            </w:r>
          </w:p>
          <w:p w:rsidR="003D7C55" w:rsidRPr="00956D0A" w:rsidRDefault="003D7C55" w:rsidP="007C3BCE">
            <w:pPr>
              <w:jc w:val="both"/>
              <w:rPr>
                <w:sz w:val="20"/>
              </w:rPr>
            </w:pPr>
            <w:r w:rsidRPr="00956D0A">
              <w:rPr>
                <w:sz w:val="20"/>
              </w:rPr>
              <w:t>(Qc) (Criminelle) (Autorisation)</w:t>
            </w:r>
          </w:p>
        </w:tc>
      </w:tr>
      <w:tr w:rsidR="008850D8" w:rsidRPr="00937000" w:rsidTr="007C3BCE">
        <w:tc>
          <w:tcPr>
            <w:tcW w:w="5000" w:type="pct"/>
            <w:gridSpan w:val="4"/>
          </w:tcPr>
          <w:p w:rsidR="008850D8" w:rsidRPr="00956D0A" w:rsidRDefault="00A373CD" w:rsidP="007C3BCE">
            <w:pPr>
              <w:jc w:val="both"/>
              <w:rPr>
                <w:sz w:val="20"/>
                <w:szCs w:val="20"/>
                <w:lang w:val="fr-CA"/>
              </w:rPr>
            </w:pPr>
            <w:r w:rsidRPr="00956D0A">
              <w:rPr>
                <w:sz w:val="20"/>
                <w:szCs w:val="20"/>
                <w:lang w:val="fr-CA"/>
              </w:rPr>
              <w:t>La demande d’autorisation d’appel de l’arrêt de la Cour d’appel du Québec (Montréal), numéro 500-10-006047-151, 2019 QCCA 1227, daté du 11 juillet 2019, est rejetée.</w:t>
            </w:r>
          </w:p>
          <w:p w:rsidR="00A373CD" w:rsidRPr="00956D0A" w:rsidRDefault="00A373CD"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Droit criminel — Preuve — Admissibilité — Déclarations extrajudiciaires — Déclaration faite dans le cadre d’une opération M. Big visant un complice de l’accusé — Application de la présomption d’inadmissibilité — Caractère libre et volontaire d’une déclaration extrajudiciaire — Fardeau de la poursuite — La Cour d’appel du Québec a</w:t>
            </w:r>
            <w:r w:rsidRPr="00956D0A">
              <w:rPr>
                <w:sz w:val="20"/>
                <w:lang w:val="fr-CA"/>
              </w:rPr>
              <w:noBreakHyphen/>
              <w:t>t</w:t>
            </w:r>
            <w:r w:rsidRPr="00956D0A">
              <w:rPr>
                <w:sz w:val="20"/>
                <w:lang w:val="fr-CA"/>
              </w:rPr>
              <w:noBreakHyphen/>
              <w:t>elle erré en droit en appliquant la présomption d’inadmissibilité des aveux obtenus au cours d’une opération de type M. Big aux aveux issus de l’opération d’infiltration ciblant l’intimé? — La Cour d’appel du Québec a</w:t>
            </w:r>
            <w:r w:rsidRPr="00956D0A">
              <w:rPr>
                <w:sz w:val="20"/>
                <w:lang w:val="fr-CA"/>
              </w:rPr>
              <w:noBreakHyphen/>
              <w:t>t</w:t>
            </w:r>
            <w:r w:rsidRPr="00956D0A">
              <w:rPr>
                <w:sz w:val="20"/>
                <w:lang w:val="fr-CA"/>
              </w:rPr>
              <w:noBreakHyphen/>
              <w:t xml:space="preserve">elle erré en droit en exigeant qu’une directive de type </w:t>
            </w:r>
            <w:r w:rsidRPr="00956D0A">
              <w:rPr>
                <w:i/>
                <w:sz w:val="20"/>
                <w:lang w:val="fr-CA"/>
              </w:rPr>
              <w:t>Mack</w:t>
            </w:r>
            <w:r w:rsidRPr="00956D0A">
              <w:rPr>
                <w:sz w:val="20"/>
                <w:lang w:val="fr-CA"/>
              </w:rPr>
              <w:t xml:space="preserve"> soit donnée au jury malgré les distinctions entre les aveux obtenus de l’intimé et les aveux issus d’une opération de type M. Big? — La Cour d’appel du Québec a</w:t>
            </w:r>
            <w:r w:rsidRPr="00956D0A">
              <w:rPr>
                <w:sz w:val="20"/>
                <w:lang w:val="fr-CA"/>
              </w:rPr>
              <w:noBreakHyphen/>
              <w:t>t</w:t>
            </w:r>
            <w:r w:rsidRPr="00956D0A">
              <w:rPr>
                <w:sz w:val="20"/>
                <w:lang w:val="fr-CA"/>
              </w:rPr>
              <w:noBreakHyphen/>
              <w:t>elle erré en droit en infirmant la décision du juge du procès sur le caractère libre et volontaire de la déclaration extrajudiciaire de l’intimé datée du 1</w:t>
            </w:r>
            <w:r w:rsidRPr="00956D0A">
              <w:rPr>
                <w:sz w:val="20"/>
                <w:vertAlign w:val="superscript"/>
                <w:lang w:val="fr-CA"/>
              </w:rPr>
              <w:t>er</w:t>
            </w:r>
            <w:r w:rsidRPr="00956D0A">
              <w:rPr>
                <w:sz w:val="20"/>
                <w:lang w:val="fr-CA"/>
              </w:rPr>
              <w:t xml:space="preserve"> septembre 1987?</w:t>
            </w:r>
          </w:p>
        </w:tc>
      </w:tr>
      <w:tr w:rsidR="003D7C55" w:rsidRPr="00937000" w:rsidTr="007C3BCE">
        <w:tc>
          <w:tcPr>
            <w:tcW w:w="5000" w:type="pct"/>
            <w:gridSpan w:val="4"/>
          </w:tcPr>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sz w:val="20"/>
                <w:lang w:val="fr-CA"/>
              </w:rPr>
              <w:t>L’intimé, Patrice Bernard, fait face à une accusation de meurtre au premier degré. L’accusation résulte d’une déclaration faite aux policiers dans le cadre d’une opération M. Big visant un complice de l’intimé, plus de 20 ans après le décès de la victime, l’oncle de l’intimé. Le complice avoue à M. Big que le meurtre a été organisé par la fille de la victime et que l’intimé y aurait participé. Le complice et un agent d’infiltration réussissent à retrouver l’intimé. Ils ont une discussion lors de laquelle l’intimé admet avoir été impliqué dans le meurtre de son oncle. Au terme d’un voir</w:t>
            </w:r>
            <w:r w:rsidRPr="00956D0A">
              <w:rPr>
                <w:sz w:val="20"/>
                <w:lang w:val="fr-CA"/>
              </w:rPr>
              <w:noBreakHyphen/>
              <w:t>dire, le juge du procès conclut qu’il n’est pas nécessaire ni approprié de considérer que cette déclaration est présumée inadmissible. Il déclare également admissible la déclaration qu’a faite l’intimé aux enquêteurs le lendemain du meurtre. Au terme de son procès devant jury, l’intimé est déclaré coupable de meurtre au deuxième degré. La Cour d’appel accueille l’appel à l’unanimité, annule le verdict de culpabilité et ordonne la tenue d’un nouveau procès.</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22 octobre 2015</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Bureau)</w:t>
            </w:r>
          </w:p>
          <w:p w:rsidR="003D7C55" w:rsidRPr="00956D0A" w:rsidRDefault="00937000" w:rsidP="007C3BCE">
            <w:pPr>
              <w:jc w:val="both"/>
              <w:rPr>
                <w:sz w:val="20"/>
              </w:rPr>
            </w:pPr>
            <w:hyperlink r:id="rId33" w:history="1">
              <w:r w:rsidR="003D7C55" w:rsidRPr="00956D0A">
                <w:rPr>
                  <w:rStyle w:val="Hyperlink"/>
                  <w:sz w:val="20"/>
                </w:rPr>
                <w:t>2015 QCCS 4903</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Jugement sur voir</w:t>
            </w:r>
            <w:r w:rsidRPr="00956D0A">
              <w:rPr>
                <w:sz w:val="20"/>
                <w:lang w:val="fr-CA"/>
              </w:rPr>
              <w:noBreakHyphen/>
              <w:t>dire : déclaration à l’effet qu’il n’est pas nécessaire ni approprié de considérer que sont présumées inadmissibles les déclarations extrajudiciaires</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26 octobre 2015</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Bureau)</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 xml:space="preserve">Requête en arrêt des procédures pour abus rejetée </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5 novembre 2015</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Bureau)</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Jugement sur voir</w:t>
            </w:r>
            <w:r w:rsidRPr="00956D0A">
              <w:rPr>
                <w:sz w:val="20"/>
                <w:lang w:val="fr-CA"/>
              </w:rPr>
              <w:noBreakHyphen/>
              <w:t>dire : déclaration extrajudiciaire de l’accusé déclarée admissible</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11 novembre 2015</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Bureau)</w:t>
            </w:r>
          </w:p>
          <w:p w:rsidR="003D7C55" w:rsidRPr="00956D0A" w:rsidRDefault="003D7C55" w:rsidP="007C3BCE">
            <w:pPr>
              <w:jc w:val="both"/>
              <w:rPr>
                <w:sz w:val="20"/>
              </w:rPr>
            </w:pPr>
            <w:r w:rsidRPr="00956D0A">
              <w:rPr>
                <w:sz w:val="20"/>
              </w:rPr>
              <w:t>460</w:t>
            </w:r>
            <w:r w:rsidRPr="00956D0A">
              <w:rPr>
                <w:sz w:val="20"/>
              </w:rPr>
              <w:noBreakHyphen/>
              <w:t>01</w:t>
            </w:r>
            <w:r w:rsidRPr="00956D0A">
              <w:rPr>
                <w:sz w:val="20"/>
              </w:rPr>
              <w:noBreakHyphen/>
              <w:t>019526</w:t>
            </w:r>
            <w:r w:rsidRPr="00956D0A">
              <w:rPr>
                <w:sz w:val="20"/>
              </w:rPr>
              <w:noBreakHyphen/>
              <w:t>098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Déclaration de culpabilité par un jury pour meurtre au deuxième degré</w:t>
            </w:r>
          </w:p>
          <w:p w:rsidR="003D7C55" w:rsidRPr="00956D0A" w:rsidRDefault="003D7C55" w:rsidP="007C3BCE">
            <w:pPr>
              <w:jc w:val="both"/>
              <w:rPr>
                <w:sz w:val="20"/>
                <w:lang w:val="fr-CA"/>
              </w:rPr>
            </w:pPr>
          </w:p>
        </w:tc>
      </w:tr>
    </w:tbl>
    <w:p w:rsidR="004B6D12" w:rsidRPr="00956D0A" w:rsidRDefault="004B6D12">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lang w:val="fr-CA"/>
              </w:rPr>
            </w:pPr>
            <w:r w:rsidRPr="00956D0A">
              <w:rPr>
                <w:sz w:val="20"/>
                <w:lang w:val="fr-CA"/>
              </w:rPr>
              <w:t>Le 11 juillet 2019</w:t>
            </w:r>
          </w:p>
          <w:p w:rsidR="003D7C55" w:rsidRPr="00956D0A" w:rsidRDefault="003D7C55" w:rsidP="007C3BCE">
            <w:pPr>
              <w:jc w:val="both"/>
              <w:rPr>
                <w:sz w:val="20"/>
                <w:lang w:val="fr-CA"/>
              </w:rPr>
            </w:pPr>
            <w:r w:rsidRPr="00956D0A">
              <w:rPr>
                <w:sz w:val="20"/>
                <w:lang w:val="fr-CA"/>
              </w:rPr>
              <w:t>Cour d’appel du Québec (Montréal)</w:t>
            </w:r>
          </w:p>
          <w:p w:rsidR="003D7C55" w:rsidRPr="00956D0A" w:rsidRDefault="003D7C55" w:rsidP="007C3BCE">
            <w:pPr>
              <w:jc w:val="both"/>
              <w:rPr>
                <w:sz w:val="20"/>
                <w:lang w:val="fr-CA"/>
              </w:rPr>
            </w:pPr>
            <w:r w:rsidRPr="00956D0A">
              <w:rPr>
                <w:sz w:val="20"/>
                <w:lang w:val="fr-CA"/>
              </w:rPr>
              <w:t>(La juge en chef Duval Hesler et les juges Hogue et Rancourt)</w:t>
            </w:r>
          </w:p>
          <w:p w:rsidR="003D7C55" w:rsidRPr="00956D0A" w:rsidRDefault="00937000" w:rsidP="007C3BCE">
            <w:pPr>
              <w:jc w:val="both"/>
              <w:rPr>
                <w:sz w:val="20"/>
              </w:rPr>
            </w:pPr>
            <w:hyperlink r:id="rId34" w:history="1">
              <w:r w:rsidR="003D7C55" w:rsidRPr="00956D0A">
                <w:rPr>
                  <w:rStyle w:val="Hyperlink"/>
                  <w:sz w:val="20"/>
                </w:rPr>
                <w:t>2019 QCCA 1227</w:t>
              </w:r>
            </w:hyperlink>
            <w:r w:rsidR="003D7C55" w:rsidRPr="00956D0A">
              <w:rPr>
                <w:rStyle w:val="Hyperlink"/>
                <w:sz w:val="20"/>
              </w:rPr>
              <w:t xml:space="preserve"> (</w:t>
            </w:r>
            <w:r w:rsidR="003D7C55" w:rsidRPr="00956D0A">
              <w:rPr>
                <w:sz w:val="20"/>
              </w:rPr>
              <w:t>500</w:t>
            </w:r>
            <w:r w:rsidR="003D7C55" w:rsidRPr="00956D0A">
              <w:rPr>
                <w:sz w:val="20"/>
              </w:rPr>
              <w:noBreakHyphen/>
              <w:t>10</w:t>
            </w:r>
            <w:r w:rsidR="003D7C55" w:rsidRPr="00956D0A">
              <w:rPr>
                <w:sz w:val="20"/>
              </w:rPr>
              <w:noBreakHyphen/>
              <w:t>006047</w:t>
            </w:r>
            <w:r w:rsidR="003D7C55" w:rsidRPr="00956D0A">
              <w:rPr>
                <w:sz w:val="20"/>
              </w:rPr>
              <w:noBreakHyphen/>
              <w:t>151)</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Appel accueilli</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lang w:val="fr-CA"/>
              </w:rPr>
            </w:pPr>
            <w:r w:rsidRPr="00956D0A">
              <w:rPr>
                <w:sz w:val="20"/>
                <w:lang w:val="fr-CA"/>
              </w:rPr>
              <w:t>Le 30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rPr>
            </w:pPr>
            <w:r w:rsidRPr="00956D0A">
              <w:rPr>
                <w:sz w:val="20"/>
              </w:rPr>
              <w:t>Demande d’autorisation d’appel déposée</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ind w:left="142" w:hanging="142"/>
        <w:jc w:val="both"/>
        <w:rPr>
          <w:sz w:val="20"/>
          <w:lang w:val="fr-CA"/>
        </w:rPr>
      </w:pPr>
      <w:r>
        <w:rPr>
          <w:sz w:val="20"/>
        </w:rPr>
        <w:pict>
          <v:rect id="_x0000_i1046"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38849</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 xml:space="preserve">Michel Côté v. Association professionnelle des ingénieurs du gouvernement du Québec, Attorney General of Quebec and </w:t>
            </w:r>
            <w:r w:rsidR="003A7C3A" w:rsidRPr="00956D0A">
              <w:rPr>
                <w:b/>
                <w:sz w:val="20"/>
                <w:szCs w:val="20"/>
              </w:rPr>
              <w:t>Tribunal administratif du travail</w:t>
            </w:r>
          </w:p>
          <w:p w:rsidR="003D7C55" w:rsidRPr="00956D0A" w:rsidRDefault="003D7C55" w:rsidP="007C3BCE">
            <w:pPr>
              <w:jc w:val="both"/>
              <w:rPr>
                <w:sz w:val="20"/>
              </w:rPr>
            </w:pPr>
            <w:r w:rsidRPr="00956D0A">
              <w:rPr>
                <w:sz w:val="20"/>
              </w:rPr>
              <w:t>(Que.) (Civil) (By Leave)</w:t>
            </w:r>
          </w:p>
        </w:tc>
      </w:tr>
      <w:tr w:rsidR="008850D8" w:rsidRPr="00956D0A" w:rsidTr="007C3BCE">
        <w:tc>
          <w:tcPr>
            <w:tcW w:w="5000" w:type="pct"/>
            <w:gridSpan w:val="4"/>
          </w:tcPr>
          <w:p w:rsidR="003A7C3A" w:rsidRPr="00956D0A" w:rsidRDefault="003A7C3A" w:rsidP="003A7C3A">
            <w:pPr>
              <w:jc w:val="both"/>
              <w:rPr>
                <w:sz w:val="20"/>
                <w:szCs w:val="20"/>
              </w:rPr>
            </w:pPr>
            <w:r w:rsidRPr="00956D0A">
              <w:rPr>
                <w:sz w:val="20"/>
                <w:szCs w:val="20"/>
              </w:rPr>
              <w:t>The application for leave to appeal from the judgment of the Court of Appeal of Quebec (Québec), Number 200-09-009994-192, 2019 QCCA 851, dated May 7, 2019, is dismissed.</w:t>
            </w:r>
          </w:p>
          <w:p w:rsidR="003A7C3A" w:rsidRPr="00956D0A" w:rsidRDefault="003A7C3A" w:rsidP="003A7C3A">
            <w:pPr>
              <w:jc w:val="both"/>
              <w:rPr>
                <w:sz w:val="20"/>
                <w:szCs w:val="20"/>
              </w:rPr>
            </w:pPr>
          </w:p>
          <w:p w:rsidR="008850D8" w:rsidRPr="00956D0A" w:rsidRDefault="003A7C3A" w:rsidP="003A7C3A">
            <w:pPr>
              <w:jc w:val="both"/>
              <w:rPr>
                <w:sz w:val="20"/>
                <w:szCs w:val="20"/>
              </w:rPr>
            </w:pPr>
            <w:r w:rsidRPr="00956D0A">
              <w:rPr>
                <w:sz w:val="20"/>
                <w:szCs w:val="20"/>
              </w:rPr>
              <w:t>Côté J. took no part in the judgment.</w:t>
            </w:r>
          </w:p>
          <w:p w:rsidR="003A7C3A" w:rsidRPr="00956D0A" w:rsidRDefault="003A7C3A" w:rsidP="003A7C3A">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Labour relations — Union — Duty of representation — Union refusing to appeal decision of Superior Court — Whether Court of Appeal erred in dismissing motion for leave to appeal judgment of Superior Court dismissing application for judicial review on issue of duty of representation.</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In July 2015, the applicant, Michel Côté, was dismissed for refusing to cooperate with a reassignment process. An arbitrator dismissed the grievance filed by the union, the respondent Association professionnelle des ingénieurs du gouvernement du Québec, and the Superior Court dismissed the application for judicial review, thereby upholding Mr. Côté’s dismissal. Because the union refused to appeal that judgment, Mr. Côté brought a proceeding against the union for breaching its duty of representation and sought authorization to present a motion for leave to appeal the judgment of the Superior Court. The Administrative Labour Tribunal dismissed the complaint, finding that Mr. Côté had not shown that the union had breached its duties, acted in bad faith or in an arbitrary or discriminatory manner or shown serious negligence. The Superior Court dismissed the application for judicial review, and the Court of Appeal dismissed the motion for leave to appeal.</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July 6, 2018</w:t>
            </w:r>
          </w:p>
          <w:p w:rsidR="003D7C55" w:rsidRPr="00956D0A" w:rsidRDefault="003D7C55" w:rsidP="007C3BCE">
            <w:pPr>
              <w:jc w:val="both"/>
              <w:rPr>
                <w:sz w:val="20"/>
              </w:rPr>
            </w:pPr>
            <w:r w:rsidRPr="00956D0A">
              <w:rPr>
                <w:sz w:val="20"/>
              </w:rPr>
              <w:t>Administrative Labour Tribunal</w:t>
            </w:r>
          </w:p>
          <w:p w:rsidR="003D7C55" w:rsidRPr="00956D0A" w:rsidRDefault="003D7C55" w:rsidP="007C3BCE">
            <w:pPr>
              <w:jc w:val="both"/>
              <w:rPr>
                <w:sz w:val="20"/>
              </w:rPr>
            </w:pPr>
            <w:r w:rsidRPr="00956D0A">
              <w:rPr>
                <w:sz w:val="20"/>
              </w:rPr>
              <w:t>(Administrative Judge Laprade)</w:t>
            </w:r>
          </w:p>
          <w:p w:rsidR="003D7C55" w:rsidRPr="00956D0A" w:rsidRDefault="00937000" w:rsidP="007C3BCE">
            <w:pPr>
              <w:jc w:val="both"/>
              <w:rPr>
                <w:sz w:val="20"/>
              </w:rPr>
            </w:pPr>
            <w:hyperlink r:id="rId35" w:history="1">
              <w:r w:rsidR="003D7C55" w:rsidRPr="00956D0A">
                <w:rPr>
                  <w:rStyle w:val="Hyperlink"/>
                  <w:sz w:val="20"/>
                </w:rPr>
                <w:t>2018 QCTAT 3243</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Complaint dismissed</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March 7, 2019</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(Dallaire J.)</w:t>
            </w:r>
          </w:p>
          <w:p w:rsidR="003D7C55" w:rsidRPr="00956D0A" w:rsidRDefault="00937000" w:rsidP="007C3BCE">
            <w:pPr>
              <w:jc w:val="both"/>
              <w:rPr>
                <w:sz w:val="20"/>
              </w:rPr>
            </w:pPr>
            <w:hyperlink r:id="rId36" w:history="1">
              <w:r w:rsidR="003D7C55" w:rsidRPr="00956D0A">
                <w:rPr>
                  <w:rStyle w:val="Hyperlink"/>
                  <w:sz w:val="20"/>
                </w:rPr>
                <w:t>2019 QCCS 1057</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judicial review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May 7, 2019</w:t>
            </w:r>
          </w:p>
          <w:p w:rsidR="003D7C55" w:rsidRPr="00956D0A" w:rsidRDefault="003D7C55" w:rsidP="007C3BCE">
            <w:pPr>
              <w:jc w:val="both"/>
              <w:rPr>
                <w:sz w:val="20"/>
              </w:rPr>
            </w:pPr>
            <w:r w:rsidRPr="00956D0A">
              <w:rPr>
                <w:sz w:val="20"/>
              </w:rPr>
              <w:t>Quebec Court of Appeal (Québec)</w:t>
            </w:r>
          </w:p>
          <w:p w:rsidR="003D7C55" w:rsidRPr="00956D0A" w:rsidRDefault="003D7C55" w:rsidP="007C3BCE">
            <w:pPr>
              <w:jc w:val="both"/>
              <w:rPr>
                <w:sz w:val="20"/>
              </w:rPr>
            </w:pPr>
            <w:r w:rsidRPr="00956D0A">
              <w:rPr>
                <w:sz w:val="20"/>
              </w:rPr>
              <w:t>(Bélanger J.A.)</w:t>
            </w:r>
          </w:p>
          <w:p w:rsidR="003D7C55" w:rsidRPr="00956D0A" w:rsidRDefault="00937000" w:rsidP="007C3BCE">
            <w:pPr>
              <w:jc w:val="both"/>
              <w:rPr>
                <w:sz w:val="20"/>
              </w:rPr>
            </w:pPr>
            <w:hyperlink r:id="rId37" w:history="1">
              <w:r w:rsidR="003D7C55" w:rsidRPr="00956D0A">
                <w:rPr>
                  <w:rStyle w:val="Hyperlink"/>
                  <w:sz w:val="20"/>
                </w:rPr>
                <w:t>2019 QCCA 851</w:t>
              </w:r>
            </w:hyperlink>
            <w:r w:rsidR="003D7C55" w:rsidRPr="00956D0A">
              <w:rPr>
                <w:sz w:val="20"/>
              </w:rPr>
              <w:t xml:space="preserve"> (200</w:t>
            </w:r>
            <w:r w:rsidR="003D7C55" w:rsidRPr="00956D0A">
              <w:rPr>
                <w:sz w:val="20"/>
              </w:rPr>
              <w:noBreakHyphen/>
              <w:t>09</w:t>
            </w:r>
            <w:r w:rsidR="003D7C55" w:rsidRPr="00956D0A">
              <w:rPr>
                <w:sz w:val="20"/>
              </w:rPr>
              <w:noBreakHyphen/>
              <w:t>009994</w:t>
            </w:r>
            <w:r w:rsidR="003D7C55" w:rsidRPr="00956D0A">
              <w:rPr>
                <w:sz w:val="20"/>
              </w:rPr>
              <w:noBreakHyphen/>
              <w:t>192)</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Amended motion for leave to appeal dismissed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7"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38849</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Michel Côté c. Association professionnelle des ingénieurs du gouvernement du Québec, procureure générale du Québec et Tr</w:t>
            </w:r>
            <w:r w:rsidR="003A7C3A" w:rsidRPr="00956D0A">
              <w:rPr>
                <w:b/>
                <w:sz w:val="20"/>
                <w:szCs w:val="20"/>
              </w:rPr>
              <w:t>ibunal administratif du travail</w:t>
            </w:r>
          </w:p>
          <w:p w:rsidR="003D7C55" w:rsidRPr="00956D0A" w:rsidRDefault="003D7C55" w:rsidP="007C3BCE">
            <w:pPr>
              <w:jc w:val="both"/>
              <w:rPr>
                <w:sz w:val="20"/>
              </w:rPr>
            </w:pPr>
            <w:r w:rsidRPr="00956D0A">
              <w:rPr>
                <w:sz w:val="20"/>
              </w:rPr>
              <w:t>(Qc) (Civile) (Autorisation)</w:t>
            </w:r>
          </w:p>
        </w:tc>
      </w:tr>
      <w:tr w:rsidR="008850D8" w:rsidRPr="00937000" w:rsidTr="007C3BCE">
        <w:tc>
          <w:tcPr>
            <w:tcW w:w="5000" w:type="pct"/>
            <w:gridSpan w:val="4"/>
          </w:tcPr>
          <w:p w:rsidR="003A7C3A" w:rsidRPr="00956D0A" w:rsidRDefault="003A7C3A" w:rsidP="003A7C3A">
            <w:pPr>
              <w:jc w:val="both"/>
              <w:rPr>
                <w:sz w:val="20"/>
                <w:szCs w:val="20"/>
                <w:lang w:val="fr-CA"/>
              </w:rPr>
            </w:pPr>
            <w:r w:rsidRPr="00956D0A">
              <w:rPr>
                <w:sz w:val="20"/>
                <w:szCs w:val="20"/>
                <w:lang w:val="fr-CA"/>
              </w:rPr>
              <w:t xml:space="preserve">La demande d’autorisation d’appel de l’arrêt de la Cour d’appel du Québec (Québec), numéro 200-09-009994-192, 2019 QCCA 851, daté du 7 mai 2019, est rejetée. </w:t>
            </w:r>
          </w:p>
          <w:p w:rsidR="003A7C3A" w:rsidRPr="00956D0A" w:rsidRDefault="003A7C3A" w:rsidP="003A7C3A">
            <w:pPr>
              <w:jc w:val="both"/>
              <w:rPr>
                <w:sz w:val="20"/>
                <w:szCs w:val="20"/>
                <w:lang w:val="fr-CA"/>
              </w:rPr>
            </w:pPr>
          </w:p>
          <w:p w:rsidR="008850D8" w:rsidRPr="00956D0A" w:rsidRDefault="003A7C3A" w:rsidP="003A7C3A">
            <w:pPr>
              <w:jc w:val="both"/>
              <w:rPr>
                <w:sz w:val="20"/>
                <w:szCs w:val="20"/>
                <w:lang w:val="fr-CA"/>
              </w:rPr>
            </w:pPr>
            <w:r w:rsidRPr="00956D0A">
              <w:rPr>
                <w:sz w:val="20"/>
                <w:szCs w:val="20"/>
                <w:lang w:val="fr-CA"/>
              </w:rPr>
              <w:t>La juge Côté n’a pas participé au jugement.</w:t>
            </w:r>
          </w:p>
          <w:p w:rsidR="003A7C3A" w:rsidRPr="00956D0A" w:rsidRDefault="003A7C3A" w:rsidP="003A7C3A">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Relations du travail — Syndicat — Devoir de représentation — Refus du syndicat de porter en appel la décision de la Cour supérieure — La Cour d’appel a</w:t>
            </w:r>
            <w:r w:rsidRPr="00956D0A">
              <w:rPr>
                <w:sz w:val="20"/>
                <w:lang w:val="fr-CA"/>
              </w:rPr>
              <w:noBreakHyphen/>
              <w:t>t</w:t>
            </w:r>
            <w:r w:rsidRPr="00956D0A">
              <w:rPr>
                <w:sz w:val="20"/>
                <w:lang w:val="fr-CA"/>
              </w:rPr>
              <w:noBreakHyphen/>
              <w:t>elle erré en rejetant la requête pour permission d’appeler du jugement de la Cour supérieure qui rejette le pourvoi en contrôle judiciaire portant sur la question du devoir de représentation?</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FR"/>
              </w:rPr>
            </w:pPr>
            <w:r w:rsidRPr="00956D0A">
              <w:rPr>
                <w:sz w:val="20"/>
                <w:lang w:val="fr-FR"/>
              </w:rPr>
              <w:t xml:space="preserve">En juillet 2015, le demandeur, Michel Côté, est congédié en raison de son refus de collaborer à un processus de replacement. Un arbitre rejette le grief du syndicat, l’intimée l’Association professionnelle des ingénieurs du gouvernement du Québec, et la Cour supérieure rejette le pourvoi en contrôle judiciaire, confirmant ainsi le congédiement de M. Côté. En raison du refus du syndicat de porter ce jugement en appel, M. Côté intente un recours contre le syndicat pour défaut à son devoir de représentation et demande l’autorisation de présenter une requête pour permission d’appeler du jugement de la Cour supérieure. Le Tribunal administratif du travail rejette la plainte, concluant que M. Côté n’a pas démontré que </w:t>
            </w:r>
            <w:r w:rsidRPr="00956D0A">
              <w:rPr>
                <w:sz w:val="20"/>
                <w:lang w:val="fr-CA"/>
              </w:rPr>
              <w:t xml:space="preserve">le syndicat a manqué à ses devoirs, qu’il a fait preuve de mauvaise foi, d’arbitraire, de discrimination ou de négligence grave. </w:t>
            </w:r>
            <w:r w:rsidRPr="00956D0A">
              <w:rPr>
                <w:sz w:val="20"/>
                <w:lang w:val="fr-FR"/>
              </w:rPr>
              <w:t>La Cour supérieure rejette la demande de pourvoi en contrôle judiciaire et la Cour d’appel, la requête pour permission d’appeler.</w:t>
            </w:r>
          </w:p>
          <w:p w:rsidR="003D7C55" w:rsidRPr="00956D0A" w:rsidRDefault="003D7C55" w:rsidP="007C3BCE">
            <w:pPr>
              <w:jc w:val="both"/>
              <w:rPr>
                <w:sz w:val="20"/>
                <w:lang w:val="fr-CA"/>
              </w:rPr>
            </w:pPr>
          </w:p>
        </w:tc>
      </w:tr>
      <w:tr w:rsidR="003D7C55" w:rsidRPr="00956D0A" w:rsidTr="007C3BCE">
        <w:tc>
          <w:tcPr>
            <w:tcW w:w="2427" w:type="pct"/>
            <w:gridSpan w:val="2"/>
          </w:tcPr>
          <w:p w:rsidR="003D7C55" w:rsidRPr="00956D0A" w:rsidRDefault="003D7C55" w:rsidP="007C3BCE">
            <w:pPr>
              <w:jc w:val="both"/>
              <w:rPr>
                <w:sz w:val="20"/>
                <w:lang w:val="fr-CA"/>
              </w:rPr>
            </w:pPr>
            <w:r w:rsidRPr="00956D0A">
              <w:rPr>
                <w:sz w:val="20"/>
                <w:lang w:val="fr-CA"/>
              </w:rPr>
              <w:t>Le 6 juillet 2018</w:t>
            </w:r>
          </w:p>
          <w:p w:rsidR="003D7C55" w:rsidRPr="00956D0A" w:rsidRDefault="003D7C55" w:rsidP="007C3BCE">
            <w:pPr>
              <w:jc w:val="both"/>
              <w:rPr>
                <w:sz w:val="20"/>
                <w:lang w:val="fr-CA"/>
              </w:rPr>
            </w:pPr>
            <w:r w:rsidRPr="00956D0A">
              <w:rPr>
                <w:sz w:val="20"/>
                <w:lang w:val="fr-CA"/>
              </w:rPr>
              <w:t>Tribunal administratif du travail</w:t>
            </w:r>
          </w:p>
          <w:p w:rsidR="003D7C55" w:rsidRPr="00956D0A" w:rsidRDefault="003D7C55" w:rsidP="007C3BCE">
            <w:pPr>
              <w:jc w:val="both"/>
              <w:rPr>
                <w:sz w:val="20"/>
                <w:lang w:val="fr-CA"/>
              </w:rPr>
            </w:pPr>
            <w:r w:rsidRPr="00956D0A">
              <w:rPr>
                <w:sz w:val="20"/>
                <w:lang w:val="fr-CA"/>
              </w:rPr>
              <w:t>(La juge administrative Laprade)</w:t>
            </w:r>
          </w:p>
          <w:p w:rsidR="003D7C55" w:rsidRPr="00956D0A" w:rsidRDefault="00937000" w:rsidP="007C3BCE">
            <w:pPr>
              <w:jc w:val="both"/>
              <w:rPr>
                <w:sz w:val="20"/>
                <w:lang w:val="fr-CA"/>
              </w:rPr>
            </w:pPr>
            <w:hyperlink r:id="rId38" w:history="1">
              <w:r w:rsidR="003D7C55" w:rsidRPr="00956D0A">
                <w:rPr>
                  <w:rStyle w:val="Hyperlink"/>
                  <w:sz w:val="20"/>
                  <w:lang w:val="fr-CA"/>
                </w:rPr>
                <w:t>2018 QCTAT 3243</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rPr>
            </w:pPr>
            <w:r w:rsidRPr="00956D0A">
              <w:rPr>
                <w:sz w:val="20"/>
              </w:rPr>
              <w:t>Plainte rejetée</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7 mars 2019</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Dallaire)</w:t>
            </w:r>
          </w:p>
          <w:p w:rsidR="003D7C55" w:rsidRPr="00956D0A" w:rsidRDefault="00937000" w:rsidP="007C3BCE">
            <w:pPr>
              <w:jc w:val="both"/>
              <w:rPr>
                <w:sz w:val="20"/>
              </w:rPr>
            </w:pPr>
            <w:hyperlink r:id="rId39" w:history="1">
              <w:r w:rsidR="003D7C55" w:rsidRPr="00956D0A">
                <w:rPr>
                  <w:rStyle w:val="Hyperlink"/>
                  <w:sz w:val="20"/>
                </w:rPr>
                <w:t>2019 QCCS 1057</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Demande de pourvoi en contrôle judiciaire rejetée</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7 mai 2019</w:t>
            </w:r>
          </w:p>
          <w:p w:rsidR="003D7C55" w:rsidRPr="00956D0A" w:rsidRDefault="003D7C55" w:rsidP="007C3BCE">
            <w:pPr>
              <w:jc w:val="both"/>
              <w:rPr>
                <w:sz w:val="20"/>
                <w:lang w:val="fr-CA"/>
              </w:rPr>
            </w:pPr>
            <w:r w:rsidRPr="00956D0A">
              <w:rPr>
                <w:sz w:val="20"/>
                <w:lang w:val="fr-CA"/>
              </w:rPr>
              <w:t>Cour d’appel du Québec (Québec)</w:t>
            </w:r>
          </w:p>
          <w:p w:rsidR="003D7C55" w:rsidRPr="00956D0A" w:rsidRDefault="003D7C55" w:rsidP="007C3BCE">
            <w:pPr>
              <w:jc w:val="both"/>
              <w:rPr>
                <w:sz w:val="20"/>
              </w:rPr>
            </w:pPr>
            <w:r w:rsidRPr="00956D0A">
              <w:rPr>
                <w:sz w:val="20"/>
              </w:rPr>
              <w:t>(La juge Bélanger)</w:t>
            </w:r>
          </w:p>
          <w:p w:rsidR="003D7C55" w:rsidRPr="00956D0A" w:rsidRDefault="00937000" w:rsidP="007C3BCE">
            <w:pPr>
              <w:jc w:val="both"/>
              <w:rPr>
                <w:sz w:val="20"/>
              </w:rPr>
            </w:pPr>
            <w:hyperlink r:id="rId40" w:history="1">
              <w:r w:rsidR="003D7C55" w:rsidRPr="00956D0A">
                <w:rPr>
                  <w:rStyle w:val="Hyperlink"/>
                  <w:sz w:val="20"/>
                </w:rPr>
                <w:t>2019 QCCA 851</w:t>
              </w:r>
            </w:hyperlink>
            <w:r w:rsidR="003D7C55" w:rsidRPr="00956D0A">
              <w:rPr>
                <w:sz w:val="20"/>
              </w:rPr>
              <w:t xml:space="preserve"> (200</w:t>
            </w:r>
            <w:r w:rsidR="003D7C55" w:rsidRPr="00956D0A">
              <w:rPr>
                <w:sz w:val="20"/>
              </w:rPr>
              <w:noBreakHyphen/>
              <w:t>09</w:t>
            </w:r>
            <w:r w:rsidR="003D7C55" w:rsidRPr="00956D0A">
              <w:rPr>
                <w:sz w:val="20"/>
              </w:rPr>
              <w:noBreakHyphen/>
              <w:t>009994</w:t>
            </w:r>
            <w:r w:rsidR="003D7C55" w:rsidRPr="00956D0A">
              <w:rPr>
                <w:sz w:val="20"/>
              </w:rPr>
              <w:noBreakHyphen/>
              <w:t>192)</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Requête modifiée pour permission d’appeler rejetée</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jc w:val="both"/>
        <w:rPr>
          <w:sz w:val="20"/>
          <w:lang w:val="fr-CA"/>
        </w:rPr>
      </w:pPr>
      <w:r>
        <w:rPr>
          <w:sz w:val="20"/>
        </w:rPr>
        <w:pict>
          <v:rect id="_x0000_i1048"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38920</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TransAlta Generation Partnership v. Balancing Pool</w:t>
            </w:r>
          </w:p>
          <w:p w:rsidR="003D7C55" w:rsidRPr="00956D0A" w:rsidRDefault="003D7C55" w:rsidP="007C3BCE">
            <w:pPr>
              <w:jc w:val="both"/>
              <w:rPr>
                <w:sz w:val="20"/>
              </w:rPr>
            </w:pPr>
            <w:r w:rsidRPr="00956D0A">
              <w:rPr>
                <w:sz w:val="20"/>
              </w:rPr>
              <w:t>(Alta.) (Civil) (By Leave)</w:t>
            </w:r>
          </w:p>
        </w:tc>
      </w:tr>
      <w:tr w:rsidR="008850D8" w:rsidRPr="00956D0A" w:rsidTr="007C3BCE">
        <w:tc>
          <w:tcPr>
            <w:tcW w:w="5000" w:type="pct"/>
            <w:gridSpan w:val="4"/>
          </w:tcPr>
          <w:p w:rsidR="008850D8" w:rsidRPr="00956D0A" w:rsidRDefault="00D85E06" w:rsidP="007C3BCE">
            <w:pPr>
              <w:jc w:val="both"/>
              <w:rPr>
                <w:sz w:val="20"/>
                <w:szCs w:val="20"/>
              </w:rPr>
            </w:pPr>
            <w:r w:rsidRPr="00956D0A">
              <w:rPr>
                <w:rFonts w:cs="Times New Roman"/>
                <w:sz w:val="20"/>
                <w:szCs w:val="20"/>
              </w:rPr>
              <w:t xml:space="preserve">The motion for an extension of time to serve and file the application for leave to appeal is granted. </w:t>
            </w:r>
            <w:r w:rsidRPr="00956D0A">
              <w:rPr>
                <w:sz w:val="20"/>
                <w:szCs w:val="20"/>
              </w:rPr>
              <w:t>The application for leave to appeal from the judgment of the Court of Appeal of Alberta (Calgary), Number 1801-0358-AC, 2019 ABCA 318, dated September 4, 2019, is dismissed with costs.</w:t>
            </w:r>
          </w:p>
          <w:p w:rsidR="00D85E06" w:rsidRPr="00956D0A" w:rsidRDefault="00D85E06"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Legislation — Interpretation — Does the rule of law require that legislators clearly express the intent to make declaratory legislation operate as an exception to the presumption against retroactivity — Does the rule of law permit the making of declaratory regulations where the authorizing statute does not permit retroactive regulation</w:t>
            </w:r>
            <w:r w:rsidRPr="00956D0A">
              <w:rPr>
                <w:sz w:val="20"/>
              </w:rPr>
              <w:noBreakHyphen/>
              <w:t>making — Does the rule of law require that exhaustive statutory definitions be consistently interpreted by the same court?</w:t>
            </w:r>
          </w:p>
        </w:tc>
      </w:tr>
      <w:tr w:rsidR="003D7C55" w:rsidRPr="00956D0A" w:rsidTr="007C3BCE">
        <w:tc>
          <w:tcPr>
            <w:tcW w:w="5000" w:type="pct"/>
            <w:gridSpan w:val="4"/>
          </w:tcPr>
          <w:p w:rsidR="003D7C55" w:rsidRPr="00956D0A" w:rsidRDefault="003D7C55" w:rsidP="007C3BCE">
            <w:pPr>
              <w:jc w:val="both"/>
              <w:rPr>
                <w:sz w:val="20"/>
              </w:rPr>
            </w:pPr>
          </w:p>
          <w:p w:rsidR="003D7C55" w:rsidRPr="00956D0A" w:rsidRDefault="003D7C55" w:rsidP="007C3BCE">
            <w:pPr>
              <w:shd w:val="clear" w:color="auto" w:fill="FFFFFF"/>
              <w:jc w:val="both"/>
              <w:rPr>
                <w:sz w:val="20"/>
                <w:lang w:val="en"/>
              </w:rPr>
            </w:pPr>
            <w:r w:rsidRPr="00956D0A">
              <w:rPr>
                <w:sz w:val="20"/>
              </w:rPr>
              <w:t xml:space="preserve">TransAlta </w:t>
            </w:r>
            <w:r w:rsidRPr="00956D0A">
              <w:rPr>
                <w:sz w:val="20"/>
                <w:lang w:val="en"/>
              </w:rPr>
              <w:t xml:space="preserve">Generation Partnership </w:t>
            </w:r>
            <w:r w:rsidRPr="00956D0A">
              <w:rPr>
                <w:sz w:val="20"/>
              </w:rPr>
              <w:t xml:space="preserve">owns and operates a power plant in Alberta subject to a </w:t>
            </w:r>
            <w:r w:rsidRPr="00956D0A">
              <w:rPr>
                <w:sz w:val="20"/>
                <w:lang w:val="en"/>
              </w:rPr>
              <w:t xml:space="preserve">Purchase Power Agreement. It claimed that, because of a </w:t>
            </w:r>
            <w:r w:rsidRPr="00956D0A">
              <w:rPr>
                <w:i/>
                <w:sz w:val="20"/>
                <w:lang w:val="en"/>
              </w:rPr>
              <w:t>force majeur</w:t>
            </w:r>
            <w:r w:rsidRPr="00956D0A">
              <w:rPr>
                <w:sz w:val="20"/>
                <w:lang w:val="en"/>
              </w:rPr>
              <w:t xml:space="preserve">, a buyer was relieved of an obligation to make capacity payments and it collected compensation from the Balancing Pool. The Balancing Pool </w:t>
            </w:r>
            <w:r w:rsidRPr="00956D0A">
              <w:rPr>
                <w:sz w:val="20"/>
              </w:rPr>
              <w:t xml:space="preserve">seeks arbitration to challenge the claim of </w:t>
            </w:r>
            <w:r w:rsidRPr="00956D0A">
              <w:rPr>
                <w:i/>
                <w:sz w:val="20"/>
              </w:rPr>
              <w:t>force majeur</w:t>
            </w:r>
            <w:r w:rsidRPr="00956D0A">
              <w:rPr>
                <w:sz w:val="20"/>
              </w:rPr>
              <w:t xml:space="preserve"> and to recover the payments. It sought to invoke a dispute resolution mechanism set out in the </w:t>
            </w:r>
            <w:r w:rsidRPr="00956D0A">
              <w:rPr>
                <w:sz w:val="20"/>
                <w:lang w:val="en"/>
              </w:rPr>
              <w:t>Purchase Power Agreement</w:t>
            </w:r>
            <w:r w:rsidRPr="00956D0A">
              <w:rPr>
                <w:sz w:val="20"/>
              </w:rPr>
              <w:t xml:space="preserve">. </w:t>
            </w:r>
            <w:r w:rsidRPr="00956D0A">
              <w:rPr>
                <w:sz w:val="20"/>
                <w:lang w:val="en"/>
              </w:rPr>
              <w:t>TransAlta Generation Partnership claims</w:t>
            </w:r>
            <w:r w:rsidRPr="00956D0A">
              <w:rPr>
                <w:sz w:val="20"/>
              </w:rPr>
              <w:t xml:space="preserve"> the Balancing Pool is not a party to the agreement therefore it has no right to invoke the dispute resolution mechanism</w:t>
            </w:r>
            <w:r w:rsidRPr="00956D0A">
              <w:rPr>
                <w:sz w:val="20"/>
                <w:lang w:val="en"/>
              </w:rPr>
              <w:t xml:space="preserve">. Subsequent to the Balancing Pool’s attempt to commence arbitration proceedings, </w:t>
            </w:r>
            <w:r w:rsidRPr="00956D0A">
              <w:rPr>
                <w:sz w:val="20"/>
              </w:rPr>
              <w:t xml:space="preserve">Alberta’s Minister of Energy enacted the </w:t>
            </w:r>
            <w:r w:rsidRPr="00956D0A">
              <w:rPr>
                <w:i/>
                <w:sz w:val="20"/>
              </w:rPr>
              <w:t>Balancing Pool Amendment Regulation</w:t>
            </w:r>
            <w:r w:rsidRPr="00956D0A">
              <w:rPr>
                <w:sz w:val="20"/>
              </w:rPr>
              <w:t xml:space="preserve">, Alta Reg 160/2017, which amends the </w:t>
            </w:r>
            <w:hyperlink r:id="rId41" w:history="1">
              <w:r w:rsidRPr="00956D0A">
                <w:rPr>
                  <w:i/>
                  <w:sz w:val="20"/>
                </w:rPr>
                <w:t>Balancing Pool Regulation</w:t>
              </w:r>
              <w:r w:rsidRPr="00956D0A">
                <w:rPr>
                  <w:sz w:val="20"/>
                </w:rPr>
                <w:t>, Alta Reg 158/2003</w:t>
              </w:r>
            </w:hyperlink>
            <w:r w:rsidRPr="00956D0A">
              <w:rPr>
                <w:sz w:val="20"/>
              </w:rPr>
              <w:t xml:space="preserve">, and makes clear that the Balancing Pool can initiate arbitration under a </w:t>
            </w:r>
            <w:r w:rsidRPr="00956D0A">
              <w:rPr>
                <w:sz w:val="20"/>
                <w:lang w:val="en"/>
              </w:rPr>
              <w:t>Purchase Power Agreement</w:t>
            </w:r>
            <w:r w:rsidRPr="00956D0A">
              <w:rPr>
                <w:sz w:val="20"/>
              </w:rPr>
              <w:t xml:space="preserve"> to dispute a </w:t>
            </w:r>
            <w:r w:rsidRPr="00956D0A">
              <w:rPr>
                <w:i/>
                <w:sz w:val="20"/>
              </w:rPr>
              <w:t>force majeure</w:t>
            </w:r>
            <w:r w:rsidRPr="00956D0A">
              <w:rPr>
                <w:sz w:val="20"/>
              </w:rPr>
              <w:t xml:space="preserve"> claim. </w:t>
            </w:r>
            <w:r w:rsidRPr="00956D0A">
              <w:rPr>
                <w:sz w:val="20"/>
                <w:lang w:val="en"/>
              </w:rPr>
              <w:t xml:space="preserve">TransAlta Generation Partnership however claims that the </w:t>
            </w:r>
            <w:r w:rsidRPr="00956D0A">
              <w:rPr>
                <w:i/>
                <w:sz w:val="20"/>
                <w:lang w:val="en"/>
              </w:rPr>
              <w:t>Amending Regulation</w:t>
            </w:r>
            <w:r w:rsidRPr="00956D0A">
              <w:rPr>
                <w:sz w:val="20"/>
                <w:lang w:val="en"/>
              </w:rPr>
              <w:t xml:space="preserve"> does not apply retroactively. It applied for an order </w:t>
            </w:r>
            <w:r w:rsidRPr="00956D0A">
              <w:rPr>
                <w:sz w:val="20"/>
              </w:rPr>
              <w:t xml:space="preserve">declaring that the Balancing Pool has no right to initiate arbitration in regards to a </w:t>
            </w:r>
            <w:r w:rsidRPr="00956D0A">
              <w:rPr>
                <w:i/>
                <w:sz w:val="20"/>
              </w:rPr>
              <w:t xml:space="preserve">force majeure </w:t>
            </w:r>
            <w:r w:rsidRPr="00956D0A">
              <w:rPr>
                <w:sz w:val="20"/>
              </w:rPr>
              <w:t xml:space="preserve">that occurred or which it disputed before the </w:t>
            </w:r>
            <w:r w:rsidRPr="00956D0A">
              <w:rPr>
                <w:i/>
                <w:sz w:val="20"/>
              </w:rPr>
              <w:t>Amending Regulation</w:t>
            </w:r>
            <w:r w:rsidRPr="00956D0A">
              <w:rPr>
                <w:sz w:val="20"/>
              </w:rPr>
              <w:t xml:space="preserve"> came into force and striking Balancing Pool’s application to appoint an arbitrator.</w:t>
            </w:r>
            <w:r w:rsidRPr="00956D0A">
              <w:rPr>
                <w:sz w:val="20"/>
                <w:lang w:val="en"/>
              </w:rPr>
              <w:t xml:space="preserve"> The applications judge dismissed </w:t>
            </w:r>
            <w:r w:rsidRPr="00956D0A">
              <w:rPr>
                <w:sz w:val="20"/>
              </w:rPr>
              <w:t xml:space="preserve">TransAlta </w:t>
            </w:r>
            <w:r w:rsidRPr="00956D0A">
              <w:rPr>
                <w:sz w:val="20"/>
                <w:lang w:val="en"/>
              </w:rPr>
              <w:t>Generation Partnership’s application. The Court of appeal dismissed an appeal.</w:t>
            </w:r>
          </w:p>
        </w:tc>
      </w:tr>
      <w:tr w:rsidR="003D7C55" w:rsidRPr="00956D0A" w:rsidTr="007C3BCE">
        <w:tc>
          <w:tcPr>
            <w:tcW w:w="5000" w:type="pct"/>
            <w:gridSpan w:val="4"/>
          </w:tcPr>
          <w:p w:rsidR="003D7C55" w:rsidRPr="00956D0A" w:rsidRDefault="003D7C55" w:rsidP="007C3BCE">
            <w:pPr>
              <w:shd w:val="clear" w:color="auto" w:fill="FFFFFF"/>
              <w:jc w:val="both"/>
              <w:rPr>
                <w:sz w:val="20"/>
                <w:lang w:val="en"/>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15, 2018</w:t>
            </w:r>
          </w:p>
          <w:p w:rsidR="003D7C55" w:rsidRPr="00956D0A" w:rsidRDefault="003D7C55" w:rsidP="007C3BCE">
            <w:pPr>
              <w:jc w:val="both"/>
              <w:rPr>
                <w:sz w:val="20"/>
              </w:rPr>
            </w:pPr>
            <w:r w:rsidRPr="00956D0A">
              <w:rPr>
                <w:sz w:val="20"/>
              </w:rPr>
              <w:t>Court of Queen’s Bench of Alberta</w:t>
            </w:r>
          </w:p>
          <w:p w:rsidR="003D7C55" w:rsidRPr="00956D0A" w:rsidRDefault="003D7C55" w:rsidP="007C3BCE">
            <w:pPr>
              <w:jc w:val="both"/>
              <w:rPr>
                <w:sz w:val="20"/>
              </w:rPr>
            </w:pPr>
            <w:r w:rsidRPr="00956D0A">
              <w:rPr>
                <w:sz w:val="20"/>
              </w:rPr>
              <w:t>(Jeffrey J.)</w:t>
            </w:r>
          </w:p>
          <w:p w:rsidR="003D7C55" w:rsidRPr="00956D0A" w:rsidRDefault="00937000" w:rsidP="007C3BCE">
            <w:pPr>
              <w:jc w:val="both"/>
              <w:rPr>
                <w:sz w:val="20"/>
              </w:rPr>
            </w:pPr>
            <w:hyperlink r:id="rId42" w:history="1">
              <w:r w:rsidR="003D7C55" w:rsidRPr="00956D0A">
                <w:rPr>
                  <w:rStyle w:val="Hyperlink"/>
                  <w:sz w:val="20"/>
                </w:rPr>
                <w:t>2018 ABQB 932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to strike action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4, 2019</w:t>
            </w:r>
          </w:p>
          <w:p w:rsidR="003D7C55" w:rsidRPr="00956D0A" w:rsidRDefault="003D7C55" w:rsidP="007C3BCE">
            <w:pPr>
              <w:jc w:val="both"/>
              <w:rPr>
                <w:sz w:val="20"/>
              </w:rPr>
            </w:pPr>
            <w:r w:rsidRPr="00956D0A">
              <w:rPr>
                <w:sz w:val="20"/>
              </w:rPr>
              <w:t>Court of Appeal of Alberta (Calgary)</w:t>
            </w:r>
          </w:p>
          <w:p w:rsidR="003D7C55" w:rsidRPr="00956D0A" w:rsidRDefault="003D7C55" w:rsidP="007C3BCE">
            <w:pPr>
              <w:jc w:val="both"/>
              <w:rPr>
                <w:sz w:val="20"/>
              </w:rPr>
            </w:pPr>
            <w:r w:rsidRPr="00956D0A">
              <w:rPr>
                <w:sz w:val="20"/>
              </w:rPr>
              <w:t>(O'Ferrall , Schutz, Antonio JJ.A.)</w:t>
            </w:r>
          </w:p>
          <w:p w:rsidR="003D7C55" w:rsidRPr="00956D0A" w:rsidRDefault="00937000" w:rsidP="007C3BCE">
            <w:pPr>
              <w:jc w:val="both"/>
              <w:rPr>
                <w:sz w:val="20"/>
              </w:rPr>
            </w:pPr>
            <w:hyperlink r:id="rId43" w:history="1">
              <w:r w:rsidR="003D7C55" w:rsidRPr="00956D0A">
                <w:rPr>
                  <w:rStyle w:val="Hyperlink"/>
                  <w:sz w:val="20"/>
                </w:rPr>
                <w:t>2019 ABCA 318</w:t>
              </w:r>
            </w:hyperlink>
            <w:r w:rsidR="003D7C55" w:rsidRPr="00956D0A">
              <w:rPr>
                <w:sz w:val="20"/>
              </w:rPr>
              <w:t xml:space="preserve">; </w:t>
            </w:r>
            <w:r w:rsidR="003D7C55" w:rsidRPr="00956D0A">
              <w:rPr>
                <w:sz w:val="20"/>
                <w:lang w:val="en"/>
              </w:rPr>
              <w:t>1801</w:t>
            </w:r>
            <w:r w:rsidR="003D7C55" w:rsidRPr="00956D0A">
              <w:rPr>
                <w:sz w:val="20"/>
                <w:lang w:val="en"/>
              </w:rPr>
              <w:noBreakHyphen/>
              <w:t>0358</w:t>
            </w:r>
            <w:r w:rsidR="003D7C55" w:rsidRPr="00956D0A">
              <w:rPr>
                <w:sz w:val="20"/>
                <w:lang w:val="en"/>
              </w:rPr>
              <w:noBreakHyphen/>
              <w:t>AC</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18,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for extension of time to serve and file application for leave to appeal and Application for leave to appeal filed</w:t>
            </w: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49"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38920</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TransAlta Generation Partnership c. Balancing Pool</w:t>
            </w:r>
          </w:p>
          <w:p w:rsidR="003D7C55" w:rsidRPr="00956D0A" w:rsidRDefault="003D7C55" w:rsidP="007C3BCE">
            <w:pPr>
              <w:jc w:val="both"/>
              <w:rPr>
                <w:sz w:val="20"/>
                <w:lang w:val="fr-CA"/>
              </w:rPr>
            </w:pPr>
            <w:r w:rsidRPr="00956D0A">
              <w:rPr>
                <w:sz w:val="20"/>
                <w:lang w:val="fr-CA"/>
              </w:rPr>
              <w:t>(Alb.) (Civile) (Autorisation)</w:t>
            </w:r>
          </w:p>
        </w:tc>
      </w:tr>
      <w:tr w:rsidR="008850D8" w:rsidRPr="00937000" w:rsidTr="007C3BCE">
        <w:tc>
          <w:tcPr>
            <w:tcW w:w="5000" w:type="pct"/>
            <w:gridSpan w:val="2"/>
          </w:tcPr>
          <w:p w:rsidR="008850D8" w:rsidRPr="00956D0A" w:rsidRDefault="00D85E06" w:rsidP="007C3BCE">
            <w:pPr>
              <w:jc w:val="both"/>
              <w:rPr>
                <w:sz w:val="20"/>
                <w:szCs w:val="20"/>
                <w:lang w:val="fr-CA"/>
              </w:rPr>
            </w:pPr>
            <w:r w:rsidRPr="00956D0A">
              <w:rPr>
                <w:rFonts w:cs="Times New Roman"/>
                <w:sz w:val="20"/>
                <w:szCs w:val="20"/>
                <w:lang w:val="fr-CA"/>
              </w:rPr>
              <w:t xml:space="preserve">La requête en prorogation du délai de signification et de dépôt de la demande d’autorisation d’appel est accueillie. </w:t>
            </w:r>
            <w:r w:rsidRPr="00956D0A">
              <w:rPr>
                <w:sz w:val="20"/>
                <w:szCs w:val="20"/>
                <w:lang w:val="fr-CA"/>
              </w:rPr>
              <w:t>La demande d’autorisation d’appel de l’arrêt de la Cour d’appel de l’Alberta (Calgary), numéro 1801-0358-AC, 2019 ABCA 318, daté du 4 septembre 2019, est rejetée avec dépens.</w:t>
            </w:r>
          </w:p>
          <w:p w:rsidR="00D85E06" w:rsidRPr="00956D0A" w:rsidRDefault="00D85E06" w:rsidP="007C3BCE">
            <w:pPr>
              <w:jc w:val="both"/>
              <w:rPr>
                <w:sz w:val="20"/>
                <w:lang w:val="fr-CA"/>
              </w:rPr>
            </w:pPr>
          </w:p>
        </w:tc>
      </w:tr>
      <w:tr w:rsidR="003D7C55" w:rsidRPr="00937000" w:rsidTr="007C3BCE">
        <w:tc>
          <w:tcPr>
            <w:tcW w:w="5000" w:type="pct"/>
            <w:gridSpan w:val="2"/>
          </w:tcPr>
          <w:p w:rsidR="003D7C55" w:rsidRPr="00956D0A" w:rsidRDefault="003D7C55" w:rsidP="007C3BCE">
            <w:pPr>
              <w:jc w:val="both"/>
              <w:rPr>
                <w:sz w:val="20"/>
                <w:lang w:val="fr-CA"/>
              </w:rPr>
            </w:pPr>
            <w:r w:rsidRPr="00956D0A">
              <w:rPr>
                <w:sz w:val="20"/>
                <w:lang w:val="fr-CA"/>
              </w:rPr>
              <w:t>Législation — Interprétation — La primauté du droit oblige</w:t>
            </w:r>
            <w:r w:rsidRPr="00956D0A">
              <w:rPr>
                <w:sz w:val="20"/>
                <w:lang w:val="fr-CA"/>
              </w:rPr>
              <w:noBreakHyphen/>
              <w:t>t</w:t>
            </w:r>
            <w:r w:rsidRPr="00956D0A">
              <w:rPr>
                <w:sz w:val="20"/>
                <w:lang w:val="fr-CA"/>
              </w:rPr>
              <w:noBreakHyphen/>
              <w:t>elle le législateur à exprimer clairement l’intention de faire en sorte qu’une loi déclaratoire s’applique en tant qu’exception à la présomption de non</w:t>
            </w:r>
            <w:r w:rsidRPr="00956D0A">
              <w:rPr>
                <w:sz w:val="20"/>
                <w:lang w:val="fr-CA"/>
              </w:rPr>
              <w:noBreakHyphen/>
              <w:t>rétroactivité? — La primauté du droit permet</w:t>
            </w:r>
            <w:r w:rsidRPr="00956D0A">
              <w:rPr>
                <w:sz w:val="20"/>
                <w:lang w:val="fr-CA"/>
              </w:rPr>
              <w:noBreakHyphen/>
              <w:t>elle de prendre des règlements déclaratoires lorsque la loi habilitante ne permet pas la prise de règlements rétroactifs? — La primauté du droit exige</w:t>
            </w:r>
            <w:r w:rsidRPr="00956D0A">
              <w:rPr>
                <w:sz w:val="20"/>
                <w:lang w:val="fr-CA"/>
              </w:rPr>
              <w:noBreakHyphen/>
              <w:t>t</w:t>
            </w:r>
            <w:r w:rsidRPr="00956D0A">
              <w:rPr>
                <w:sz w:val="20"/>
                <w:lang w:val="fr-CA"/>
              </w:rPr>
              <w:noBreakHyphen/>
              <w:t>elle qu’un tribunal interprète uniformément les définitions exhaustives prévues dans les lois?</w:t>
            </w:r>
          </w:p>
          <w:p w:rsidR="0002635B" w:rsidRPr="00956D0A" w:rsidRDefault="0002635B" w:rsidP="007C3BCE">
            <w:pPr>
              <w:jc w:val="both"/>
              <w:rPr>
                <w:sz w:val="20"/>
                <w:lang w:val="fr-CA"/>
              </w:rPr>
            </w:pPr>
          </w:p>
        </w:tc>
      </w:tr>
    </w:tbl>
    <w:p w:rsidR="0002635B" w:rsidRPr="00956D0A" w:rsidRDefault="0002635B">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5000" w:type="pct"/>
            <w:gridSpan w:val="3"/>
          </w:tcPr>
          <w:p w:rsidR="003D7C55" w:rsidRPr="00956D0A" w:rsidRDefault="003D7C55" w:rsidP="007C3BCE">
            <w:pPr>
              <w:shd w:val="clear" w:color="auto" w:fill="FFFFFF"/>
              <w:jc w:val="both"/>
              <w:rPr>
                <w:sz w:val="20"/>
                <w:lang w:val="fr-CA"/>
              </w:rPr>
            </w:pPr>
            <w:r w:rsidRPr="00956D0A">
              <w:rPr>
                <w:sz w:val="20"/>
                <w:lang w:val="fr-CA"/>
              </w:rPr>
              <w:t>TransAlta Generation Partnership est propriétaire</w:t>
            </w:r>
            <w:r w:rsidRPr="00956D0A">
              <w:rPr>
                <w:sz w:val="20"/>
                <w:lang w:val="fr-CA"/>
              </w:rPr>
              <w:noBreakHyphen/>
              <w:t xml:space="preserve">exploitante d’une centrale électrique en  Alberta soumise à un accord d’achat d’énergie. Elle allègue que, en raison de la force majeure, un acheteur a été déchargé de son obligation de faire des paiements relatifs à la capacité et elle a perçu une indemnité du Balancing Pool, un organisme créé par la loi. Le Balancing Pool demande l’arbitrage pour contester l’allégation de force majeure et pour récupérer les paiements. Elle a tenté d’invoquer un mécanisme de règlement des différends énoncé dans l’accord d’achat d’énergie. TransAlta Generation Partnership soutient que le Balancing Pool n’est pas partie à l’accord, si bien qu’il n’a pas le droit d’invoquer le mécanisme de règlement des différends. Après que le Balancing Pool a tenté d’introduire une instance d’arbitrage, le ministre de l’Énergie de l’Alberta a pris le </w:t>
            </w:r>
            <w:r w:rsidRPr="00956D0A">
              <w:rPr>
                <w:i/>
                <w:sz w:val="20"/>
                <w:lang w:val="fr-CA"/>
              </w:rPr>
              <w:t>Balancing Pool Amendment Regulation</w:t>
            </w:r>
            <w:r w:rsidRPr="00956D0A">
              <w:rPr>
                <w:sz w:val="20"/>
                <w:lang w:val="fr-CA"/>
              </w:rPr>
              <w:t xml:space="preserve">, Alta Reg 160/2017, qui modifie le </w:t>
            </w:r>
            <w:hyperlink r:id="rId44" w:history="1">
              <w:r w:rsidRPr="00956D0A">
                <w:rPr>
                  <w:i/>
                  <w:sz w:val="20"/>
                  <w:lang w:val="fr-CA"/>
                </w:rPr>
                <w:t>Balancing Pool Regulation</w:t>
              </w:r>
              <w:r w:rsidRPr="00956D0A">
                <w:rPr>
                  <w:sz w:val="20"/>
                  <w:lang w:val="fr-CA"/>
                </w:rPr>
                <w:t>, Alta Reg 158/2003</w:t>
              </w:r>
            </w:hyperlink>
            <w:r w:rsidRPr="00956D0A">
              <w:rPr>
                <w:sz w:val="20"/>
                <w:lang w:val="fr-CA"/>
              </w:rPr>
              <w:t>, et qui prévoit clairement que le Balancing Pool peut introduire un arbitrage en application d’un accord d’achat d’énergie pour contester une réclamation fondée sur la force majeure. Toutefois, TransAlta Generation Partnership prétend que l’</w:t>
            </w:r>
            <w:r w:rsidRPr="00956D0A">
              <w:rPr>
                <w:i/>
                <w:sz w:val="20"/>
                <w:lang w:val="fr-CA"/>
              </w:rPr>
              <w:t>Amending Regulation</w:t>
            </w:r>
            <w:r w:rsidRPr="00956D0A">
              <w:rPr>
                <w:sz w:val="20"/>
                <w:lang w:val="fr-CA"/>
              </w:rPr>
              <w:t xml:space="preserve"> ne s’applique pas rétroactivement. Elle a demandé une ordonnance déclarant que le Balancing Pool n’a pas le droit d’introduire un arbitrage à l’égard d’une force majeure qui s’est produite ou qui est contestée avant l’entrée en vigueur de l’</w:t>
            </w:r>
            <w:r w:rsidRPr="00956D0A">
              <w:rPr>
                <w:i/>
                <w:sz w:val="20"/>
                <w:lang w:val="fr-CA"/>
              </w:rPr>
              <w:t>Amending Regulation</w:t>
            </w:r>
            <w:r w:rsidRPr="00956D0A">
              <w:rPr>
                <w:sz w:val="20"/>
                <w:lang w:val="fr-CA"/>
              </w:rPr>
              <w:t xml:space="preserve"> et radiant la demande de nomination d’un arbitre présentée par Balancing Pool. Le juge des requêtes a rejeté la demande de TransAlta Generation Partnership. La Cour d’appel a rejeté l’appel.</w:t>
            </w:r>
          </w:p>
        </w:tc>
      </w:tr>
      <w:tr w:rsidR="003D7C55" w:rsidRPr="00956D0A" w:rsidTr="007C3BCE">
        <w:tc>
          <w:tcPr>
            <w:tcW w:w="5000" w:type="pct"/>
            <w:gridSpan w:val="3"/>
          </w:tcPr>
          <w:p w:rsidR="003D7C55" w:rsidRPr="00956D0A" w:rsidRDefault="003D7C55" w:rsidP="007C3BCE">
            <w:pPr>
              <w:shd w:val="clear" w:color="auto" w:fill="FFFFFF"/>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15 novembre 2018</w:t>
            </w:r>
          </w:p>
          <w:p w:rsidR="003D7C55" w:rsidRPr="00956D0A" w:rsidRDefault="003D7C55" w:rsidP="007C3BCE">
            <w:pPr>
              <w:jc w:val="both"/>
              <w:rPr>
                <w:sz w:val="20"/>
                <w:lang w:val="fr-CA"/>
              </w:rPr>
            </w:pPr>
            <w:r w:rsidRPr="00956D0A">
              <w:rPr>
                <w:sz w:val="20"/>
                <w:lang w:val="fr-CA"/>
              </w:rPr>
              <w:t>Cour du Banc de la Reine de l’Alberta</w:t>
            </w:r>
          </w:p>
          <w:p w:rsidR="003D7C55" w:rsidRPr="00956D0A" w:rsidRDefault="003D7C55" w:rsidP="007C3BCE">
            <w:pPr>
              <w:jc w:val="both"/>
              <w:rPr>
                <w:sz w:val="20"/>
                <w:lang w:val="fr-CA"/>
              </w:rPr>
            </w:pPr>
            <w:r w:rsidRPr="00956D0A">
              <w:rPr>
                <w:sz w:val="20"/>
                <w:lang w:val="fr-CA"/>
              </w:rPr>
              <w:t>(Juge Jeffrey)</w:t>
            </w:r>
          </w:p>
          <w:p w:rsidR="003D7C55" w:rsidRPr="00956D0A" w:rsidRDefault="00937000" w:rsidP="007C3BCE">
            <w:pPr>
              <w:jc w:val="both"/>
              <w:rPr>
                <w:sz w:val="20"/>
                <w:lang w:val="fr-CA"/>
              </w:rPr>
            </w:pPr>
            <w:hyperlink r:id="rId45" w:history="1">
              <w:r w:rsidR="003D7C55" w:rsidRPr="00956D0A">
                <w:rPr>
                  <w:rStyle w:val="Hyperlink"/>
                  <w:sz w:val="20"/>
                  <w:lang w:val="fr-CA"/>
                </w:rPr>
                <w:t>2018 ABQB 932</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 requête en radiation de l’action</w:t>
            </w:r>
          </w:p>
          <w:p w:rsidR="003D7C55" w:rsidRPr="00956D0A" w:rsidRDefault="003D7C55" w:rsidP="007C3BCE">
            <w:pPr>
              <w:jc w:val="both"/>
              <w:rPr>
                <w:sz w:val="20"/>
                <w:lang w:val="fr-CA"/>
              </w:rPr>
            </w:pPr>
          </w:p>
        </w:tc>
      </w:tr>
      <w:tr w:rsidR="003D7C55" w:rsidRPr="00956D0A" w:rsidTr="007C3BCE">
        <w:tc>
          <w:tcPr>
            <w:tcW w:w="2427" w:type="pct"/>
          </w:tcPr>
          <w:p w:rsidR="003D7C55" w:rsidRPr="00956D0A" w:rsidRDefault="003D7C55" w:rsidP="007C3BCE">
            <w:pPr>
              <w:jc w:val="both"/>
              <w:rPr>
                <w:sz w:val="20"/>
                <w:lang w:val="fr-CA"/>
              </w:rPr>
            </w:pPr>
            <w:r w:rsidRPr="00956D0A">
              <w:rPr>
                <w:sz w:val="20"/>
                <w:lang w:val="fr-CA"/>
              </w:rPr>
              <w:t>4 septembre 2019</w:t>
            </w:r>
          </w:p>
          <w:p w:rsidR="003D7C55" w:rsidRPr="00956D0A" w:rsidRDefault="003D7C55" w:rsidP="007C3BCE">
            <w:pPr>
              <w:jc w:val="both"/>
              <w:rPr>
                <w:sz w:val="20"/>
                <w:lang w:val="fr-CA"/>
              </w:rPr>
            </w:pPr>
            <w:r w:rsidRPr="00956D0A">
              <w:rPr>
                <w:sz w:val="20"/>
                <w:lang w:val="fr-CA"/>
              </w:rPr>
              <w:t>Cour d’appel de l’Alberta (Calgary)</w:t>
            </w:r>
          </w:p>
          <w:p w:rsidR="003D7C55" w:rsidRPr="00956D0A" w:rsidRDefault="003D7C55" w:rsidP="007C3BCE">
            <w:pPr>
              <w:jc w:val="both"/>
              <w:rPr>
                <w:sz w:val="20"/>
                <w:lang w:val="fr-CA"/>
              </w:rPr>
            </w:pPr>
            <w:r w:rsidRPr="00956D0A">
              <w:rPr>
                <w:sz w:val="20"/>
                <w:lang w:val="fr-CA"/>
              </w:rPr>
              <w:t>(Juges O'Ferrall , Schutz et Antonio)</w:t>
            </w:r>
          </w:p>
          <w:p w:rsidR="003D7C55" w:rsidRPr="00956D0A" w:rsidRDefault="00937000" w:rsidP="007C3BCE">
            <w:pPr>
              <w:jc w:val="both"/>
              <w:rPr>
                <w:sz w:val="20"/>
                <w:lang w:val="fr-CA"/>
              </w:rPr>
            </w:pPr>
            <w:hyperlink r:id="rId46" w:history="1">
              <w:r w:rsidR="003D7C55" w:rsidRPr="00956D0A">
                <w:rPr>
                  <w:rStyle w:val="Hyperlink"/>
                  <w:sz w:val="20"/>
                  <w:lang w:val="fr-CA"/>
                </w:rPr>
                <w:t>2019 ABCA 318</w:t>
              </w:r>
            </w:hyperlink>
            <w:r w:rsidR="003D7C55" w:rsidRPr="00956D0A">
              <w:rPr>
                <w:sz w:val="20"/>
                <w:lang w:val="fr-CA"/>
              </w:rPr>
              <w:t>; 1801</w:t>
            </w:r>
            <w:r w:rsidR="003D7C55" w:rsidRPr="00956D0A">
              <w:rPr>
                <w:sz w:val="20"/>
                <w:lang w:val="fr-CA"/>
              </w:rPr>
              <w:noBreakHyphen/>
              <w:t>0358</w:t>
            </w:r>
            <w:r w:rsidR="003D7C55" w:rsidRPr="00956D0A">
              <w:rPr>
                <w:sz w:val="20"/>
                <w:lang w:val="fr-CA"/>
              </w:rPr>
              <w:noBreakHyphen/>
              <w:t>AC</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18 novembre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requête en prorogation du délai de signification et de dépôt de la demande d’autorisation d’appel et de la demande d’autorisation d’appel</w:t>
            </w: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50"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38896</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 xml:space="preserve">Robert </w:t>
            </w:r>
            <w:r w:rsidR="00AC7EFA" w:rsidRPr="00956D0A">
              <w:rPr>
                <w:b/>
                <w:sz w:val="20"/>
                <w:szCs w:val="20"/>
                <w:lang w:val="en-US"/>
              </w:rPr>
              <w:t>Weidenfeld v. Sejal Parikh-Shah</w:t>
            </w:r>
          </w:p>
          <w:p w:rsidR="003D7C55" w:rsidRPr="00956D0A" w:rsidRDefault="003D7C55" w:rsidP="007C3BCE">
            <w:pPr>
              <w:jc w:val="both"/>
              <w:rPr>
                <w:sz w:val="20"/>
              </w:rPr>
            </w:pPr>
            <w:r w:rsidRPr="00956D0A">
              <w:rPr>
                <w:sz w:val="20"/>
              </w:rPr>
              <w:t>(Ont.) (Civil) (By Leave)</w:t>
            </w:r>
          </w:p>
        </w:tc>
      </w:tr>
      <w:tr w:rsidR="006C6B4F" w:rsidRPr="00956D0A" w:rsidTr="007C3BCE">
        <w:tc>
          <w:tcPr>
            <w:tcW w:w="5000" w:type="pct"/>
            <w:gridSpan w:val="2"/>
          </w:tcPr>
          <w:p w:rsidR="006C6B4F" w:rsidRPr="00956D0A" w:rsidRDefault="00AC7EFA" w:rsidP="007C3BCE">
            <w:pPr>
              <w:jc w:val="both"/>
              <w:rPr>
                <w:sz w:val="20"/>
                <w:szCs w:val="20"/>
              </w:rPr>
            </w:pPr>
            <w:r w:rsidRPr="00956D0A">
              <w:rPr>
                <w:sz w:val="20"/>
                <w:szCs w:val="20"/>
              </w:rPr>
              <w:t xml:space="preserve">The motion for a </w:t>
            </w:r>
            <w:r w:rsidRPr="00956D0A">
              <w:rPr>
                <w:rStyle w:val="solexhl"/>
                <w:sz w:val="20"/>
                <w:szCs w:val="20"/>
              </w:rPr>
              <w:t>stay</w:t>
            </w:r>
            <w:r w:rsidRPr="00956D0A">
              <w:rPr>
                <w:sz w:val="20"/>
                <w:szCs w:val="20"/>
              </w:rPr>
              <w:t xml:space="preserve"> </w:t>
            </w:r>
            <w:r w:rsidRPr="00956D0A">
              <w:rPr>
                <w:rStyle w:val="solexhl"/>
                <w:sz w:val="20"/>
                <w:szCs w:val="20"/>
              </w:rPr>
              <w:t>of</w:t>
            </w:r>
            <w:r w:rsidRPr="00956D0A">
              <w:rPr>
                <w:sz w:val="20"/>
                <w:szCs w:val="20"/>
              </w:rPr>
              <w:t xml:space="preserve"> </w:t>
            </w:r>
            <w:r w:rsidRPr="00956D0A">
              <w:rPr>
                <w:rStyle w:val="solexhl"/>
                <w:sz w:val="20"/>
                <w:szCs w:val="20"/>
              </w:rPr>
              <w:t>execution</w:t>
            </w:r>
            <w:r w:rsidRPr="00956D0A">
              <w:rPr>
                <w:sz w:val="20"/>
                <w:szCs w:val="20"/>
              </w:rPr>
              <w:t xml:space="preserve"> is dismissed. The application for leave to appeal from the judgment of the Court of Appeal for Ontario, Number C66096, 2019 ONCA 415, dated May 16, 2019, is dismissed with costs in accordance with the tariff of fees and disbursements set out in Schedule B of the </w:t>
            </w:r>
            <w:r w:rsidRPr="00956D0A">
              <w:rPr>
                <w:i/>
                <w:sz w:val="20"/>
                <w:szCs w:val="20"/>
              </w:rPr>
              <w:t>Rules of the Supreme Court of Canada</w:t>
            </w:r>
            <w:r w:rsidRPr="00956D0A">
              <w:rPr>
                <w:sz w:val="20"/>
                <w:szCs w:val="20"/>
              </w:rPr>
              <w:t>.</w:t>
            </w:r>
          </w:p>
          <w:p w:rsidR="00AC7EFA" w:rsidRPr="00956D0A" w:rsidRDefault="00AC7EFA"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rPr>
            </w:pPr>
            <w:r w:rsidRPr="00956D0A">
              <w:rPr>
                <w:sz w:val="20"/>
              </w:rPr>
              <w:t>Civil Procedure — Costs — Want of prosecution — Family law application initiated by ex</w:t>
            </w:r>
            <w:r w:rsidRPr="00956D0A">
              <w:rPr>
                <w:sz w:val="20"/>
              </w:rPr>
              <w:noBreakHyphen/>
              <w:t>husband of deceased for beneficial interest in deceased’s assets — Lengthy history of non</w:t>
            </w:r>
            <w:r w:rsidRPr="00956D0A">
              <w:rPr>
                <w:sz w:val="20"/>
              </w:rPr>
              <w:noBreakHyphen/>
              <w:t>compliance with costs orders of ex</w:t>
            </w:r>
            <w:r w:rsidRPr="00956D0A">
              <w:rPr>
                <w:sz w:val="20"/>
              </w:rPr>
              <w:noBreakHyphen/>
              <w:t>husband — Delay in excess of eight years by ex</w:t>
            </w:r>
            <w:r w:rsidRPr="00956D0A">
              <w:rPr>
                <w:sz w:val="20"/>
              </w:rPr>
              <w:noBreakHyphen/>
              <w:t xml:space="preserve">husband to move proceedings forward —Motion brought by executrix and trustee of deceased’s estate to dismiss family law proceedings — Family law application dismissed for failure to comply with court orders and for want of prosecution — </w:t>
            </w:r>
            <w:r w:rsidRPr="00956D0A">
              <w:rPr>
                <w:i/>
                <w:sz w:val="20"/>
              </w:rPr>
              <w:t>Family Law Rules</w:t>
            </w:r>
            <w:r w:rsidRPr="00956D0A">
              <w:rPr>
                <w:sz w:val="20"/>
              </w:rPr>
              <w:t>, O Reg 114/99, r. 1(8).</w:t>
            </w:r>
          </w:p>
          <w:p w:rsidR="003D7C55" w:rsidRPr="00956D0A" w:rsidRDefault="003D7C55" w:rsidP="007C3BCE">
            <w:pPr>
              <w:jc w:val="both"/>
              <w:rPr>
                <w:sz w:val="20"/>
              </w:rPr>
            </w:pPr>
          </w:p>
        </w:tc>
      </w:tr>
    </w:tbl>
    <w:p w:rsidR="00837DF5" w:rsidRPr="00956D0A" w:rsidRDefault="00837DF5">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5000" w:type="pct"/>
            <w:gridSpan w:val="3"/>
          </w:tcPr>
          <w:p w:rsidR="003D7C55" w:rsidRPr="00956D0A" w:rsidRDefault="003D7C55" w:rsidP="007C3BCE">
            <w:pPr>
              <w:jc w:val="both"/>
              <w:rPr>
                <w:sz w:val="20"/>
              </w:rPr>
            </w:pPr>
            <w:r w:rsidRPr="00956D0A">
              <w:rPr>
                <w:sz w:val="20"/>
              </w:rPr>
              <w:t>The applicant, Mr. Weidenfeld, is the ex</w:t>
            </w:r>
            <w:r w:rsidRPr="00956D0A">
              <w:rPr>
                <w:sz w:val="20"/>
              </w:rPr>
              <w:noBreakHyphen/>
              <w:t>husband of the deceased respondent. In 2006, over a decade following the parties’ divorce and while his ex-wife was still alive, Mr. Weidenfeld initiated a family law application in which he claimed a beneficial interest in the deceased’s residence and naturopathic practice. A number of procedural steps were taken in connection with his application, all unsuccessfully. As a result, a number of costs and disclosure orders were awarded in favour of the deceased. Between 2008 and 2016, Mr. Weidenfeld’s application laid dormant. When Mr. Weidenfeld’s ex</w:t>
            </w:r>
            <w:r w:rsidRPr="00956D0A">
              <w:rPr>
                <w:sz w:val="20"/>
              </w:rPr>
              <w:noBreakHyphen/>
              <w:t xml:space="preserve">wife died in 2016, the estate trustee moved to dismiss his application under Rule 1(8) of the </w:t>
            </w:r>
            <w:r w:rsidRPr="00956D0A">
              <w:rPr>
                <w:i/>
                <w:sz w:val="20"/>
              </w:rPr>
              <w:t>Family Law Rules</w:t>
            </w:r>
            <w:r w:rsidRPr="00956D0A">
              <w:rPr>
                <w:sz w:val="20"/>
              </w:rPr>
              <w:t>, O Reg 114/99. This provision allows a court to dismiss a claim for non</w:t>
            </w:r>
            <w:r w:rsidRPr="00956D0A">
              <w:rPr>
                <w:sz w:val="20"/>
              </w:rPr>
              <w:noBreakHyphen/>
              <w:t>compliance with court orders, among others. At this juncture, Mr. Weidenfeld was given the opportunity to make partial payment of the costs orders to avoid dismissal of the proceedings, but failed to do so. The Superior Court granted the motion to dismiss Mr. Weidenfeld’s family law application for non-compliance with court orders and for want of prosecution. The Court of Appeal saw no error in the Superior Court’s exercise of discretion, and dismissed Mr. Weidenfeld’s appeal.</w:t>
            </w:r>
          </w:p>
        </w:tc>
      </w:tr>
      <w:tr w:rsidR="003D7C55" w:rsidRPr="00956D0A" w:rsidTr="007C3BCE">
        <w:tc>
          <w:tcPr>
            <w:tcW w:w="5000" w:type="pct"/>
            <w:gridSpan w:val="3"/>
          </w:tcPr>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October 10, 2018</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(Jarvis J.)</w:t>
            </w:r>
          </w:p>
          <w:p w:rsidR="003D7C55" w:rsidRPr="00956D0A" w:rsidRDefault="00937000" w:rsidP="007C3BCE">
            <w:pPr>
              <w:jc w:val="both"/>
              <w:rPr>
                <w:sz w:val="20"/>
              </w:rPr>
            </w:pPr>
            <w:hyperlink r:id="rId47" w:history="1">
              <w:r w:rsidR="003D7C55" w:rsidRPr="00956D0A">
                <w:rPr>
                  <w:rStyle w:val="Hyperlink"/>
                  <w:sz w:val="20"/>
                </w:rPr>
                <w:t>2018 ONSC 5930</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 xml:space="preserve">Motion for an order dismissing proceedings under Rule 1(8) of the </w:t>
            </w:r>
            <w:r w:rsidRPr="00956D0A">
              <w:rPr>
                <w:i/>
                <w:sz w:val="20"/>
              </w:rPr>
              <w:t>Family Law Rules</w:t>
            </w:r>
            <w:r w:rsidRPr="00956D0A">
              <w:rPr>
                <w:sz w:val="20"/>
              </w:rPr>
              <w:t>, O Reg 114/99, for failure to comply with disclosure and costs orders and for want of prosecution, granted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May 17, 2019</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(Feldman, Paciocco and Fairburn JJ.A.)</w:t>
            </w:r>
          </w:p>
          <w:p w:rsidR="003D7C55" w:rsidRPr="00956D0A" w:rsidRDefault="003D7C55" w:rsidP="007C3BCE">
            <w:pPr>
              <w:jc w:val="both"/>
              <w:rPr>
                <w:sz w:val="20"/>
              </w:rPr>
            </w:pPr>
            <w:r w:rsidRPr="00956D0A">
              <w:rPr>
                <w:sz w:val="20"/>
              </w:rPr>
              <w:t>File no. C66096</w:t>
            </w:r>
          </w:p>
          <w:p w:rsidR="003D7C55" w:rsidRPr="00956D0A" w:rsidRDefault="00937000" w:rsidP="007C3BCE">
            <w:pPr>
              <w:jc w:val="both"/>
              <w:rPr>
                <w:sz w:val="20"/>
              </w:rPr>
            </w:pPr>
            <w:hyperlink r:id="rId48" w:history="1">
              <w:r w:rsidR="003D7C55" w:rsidRPr="00956D0A">
                <w:rPr>
                  <w:rStyle w:val="Hyperlink"/>
                  <w:sz w:val="20"/>
                </w:rPr>
                <w:t>2019 ONCA 415</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August 8,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51"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38896</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 xml:space="preserve">Robert </w:t>
            </w:r>
            <w:r w:rsidR="00AC7EFA" w:rsidRPr="00956D0A">
              <w:rPr>
                <w:b/>
                <w:sz w:val="20"/>
                <w:szCs w:val="20"/>
                <w:lang w:val="en-US"/>
              </w:rPr>
              <w:t>Weidenfeld c. Sejal Parikh-Shah</w:t>
            </w:r>
          </w:p>
          <w:p w:rsidR="003D7C55" w:rsidRPr="00956D0A" w:rsidRDefault="003D7C55" w:rsidP="007C3BCE">
            <w:pPr>
              <w:jc w:val="both"/>
              <w:rPr>
                <w:sz w:val="20"/>
                <w:lang w:val="fr-CA"/>
              </w:rPr>
            </w:pPr>
            <w:r w:rsidRPr="00956D0A">
              <w:rPr>
                <w:sz w:val="20"/>
                <w:lang w:val="fr-CA"/>
              </w:rPr>
              <w:t>(Ont.) (Civile) (Autorisation)</w:t>
            </w:r>
          </w:p>
        </w:tc>
      </w:tr>
      <w:tr w:rsidR="006C6B4F" w:rsidRPr="00937000" w:rsidTr="007C3BCE">
        <w:tc>
          <w:tcPr>
            <w:tcW w:w="5000" w:type="pct"/>
            <w:gridSpan w:val="2"/>
          </w:tcPr>
          <w:p w:rsidR="006C6B4F" w:rsidRPr="00956D0A" w:rsidRDefault="00AC7EFA" w:rsidP="007C3BCE">
            <w:pPr>
              <w:jc w:val="both"/>
              <w:rPr>
                <w:sz w:val="20"/>
                <w:szCs w:val="20"/>
                <w:lang w:val="fr-CA"/>
              </w:rPr>
            </w:pPr>
            <w:r w:rsidRPr="00956D0A">
              <w:rPr>
                <w:sz w:val="20"/>
                <w:szCs w:val="20"/>
                <w:lang w:val="fr-CA"/>
              </w:rPr>
              <w:t>La requête visant à obtenir un sursis d’</w:t>
            </w:r>
            <w:r w:rsidRPr="00956D0A">
              <w:rPr>
                <w:rStyle w:val="solexhl"/>
                <w:sz w:val="20"/>
                <w:szCs w:val="20"/>
                <w:lang w:val="fr-CA"/>
              </w:rPr>
              <w:t>exécution</w:t>
            </w:r>
            <w:r w:rsidRPr="00956D0A">
              <w:rPr>
                <w:sz w:val="20"/>
                <w:szCs w:val="20"/>
                <w:lang w:val="fr-CA"/>
              </w:rPr>
              <w:t xml:space="preserve"> est rejetée. La demande d’autorisation d’appel de l’arrêt de la Cour d’appel de l’Ontario, numéro C66096, 2019 ONCA 415, daté du 16 mai 2019, est rejetée avec dépens conformément au tarif des honoraires et débours établi à l’Annexe B des </w:t>
            </w:r>
            <w:r w:rsidRPr="00956D0A">
              <w:rPr>
                <w:i/>
                <w:sz w:val="20"/>
                <w:szCs w:val="20"/>
                <w:lang w:val="fr-CA"/>
              </w:rPr>
              <w:t>Règles de la Cour suprême du Canada</w:t>
            </w:r>
            <w:r w:rsidRPr="00956D0A">
              <w:rPr>
                <w:sz w:val="20"/>
                <w:szCs w:val="20"/>
                <w:lang w:val="fr-CA"/>
              </w:rPr>
              <w:t>.</w:t>
            </w:r>
          </w:p>
          <w:p w:rsidR="00AC7EFA" w:rsidRPr="00956D0A" w:rsidRDefault="00AC7EFA" w:rsidP="007C3BCE">
            <w:pPr>
              <w:jc w:val="both"/>
              <w:rPr>
                <w:sz w:val="20"/>
                <w:lang w:val="fr-CA"/>
              </w:rPr>
            </w:pPr>
          </w:p>
        </w:tc>
      </w:tr>
      <w:tr w:rsidR="003D7C55" w:rsidRPr="00937000" w:rsidTr="007C3BCE">
        <w:tc>
          <w:tcPr>
            <w:tcW w:w="5000" w:type="pct"/>
            <w:gridSpan w:val="2"/>
          </w:tcPr>
          <w:p w:rsidR="003D7C55" w:rsidRPr="00956D0A" w:rsidRDefault="003D7C55" w:rsidP="007C3BCE">
            <w:pPr>
              <w:jc w:val="both"/>
              <w:rPr>
                <w:sz w:val="20"/>
                <w:lang w:val="fr-CA"/>
              </w:rPr>
            </w:pPr>
            <w:r w:rsidRPr="00956D0A">
              <w:rPr>
                <w:sz w:val="20"/>
                <w:lang w:val="fr-CA"/>
              </w:rPr>
              <w:t>Procédure civile — Dépens — Défaut de poursuivre — Demande en matière de droit de la famille introduite par l’ex</w:t>
            </w:r>
            <w:r w:rsidRPr="00956D0A">
              <w:rPr>
                <w:sz w:val="20"/>
                <w:lang w:val="fr-CA"/>
              </w:rPr>
              <w:noBreakHyphen/>
              <w:t>époux de la défunte pour se voir reconnaître un intérêt bénéficiaire à l’égard des biens de la défunte — Depuis de longues années, l’ex</w:t>
            </w:r>
            <w:r w:rsidRPr="00956D0A">
              <w:rPr>
                <w:sz w:val="20"/>
                <w:lang w:val="fr-CA"/>
              </w:rPr>
              <w:noBreakHyphen/>
              <w:t>époux n’observe pas les ordonnances d’adjudication des dépens prononcées contre lui — Plus de huit années se sont écoulées depuis que l’ex</w:t>
            </w:r>
            <w:r w:rsidRPr="00956D0A">
              <w:rPr>
                <w:sz w:val="20"/>
                <w:lang w:val="fr-CA"/>
              </w:rPr>
              <w:noBreakHyphen/>
              <w:t xml:space="preserve">époux a fait avancer les procédures — L’exécutrice et fiduciaire de la succession de la défunte présente une motion en rejet de la demande en matière de droit de la famille — La demande en matière de droit de la famille est rejetée pour inobservation des ordonnances du tribunal et pour défaut de poursuivre — </w:t>
            </w:r>
            <w:r w:rsidRPr="00956D0A">
              <w:rPr>
                <w:i/>
                <w:sz w:val="20"/>
                <w:lang w:val="fr-CA"/>
              </w:rPr>
              <w:t>Règles en matière de droit de la famille</w:t>
            </w:r>
            <w:r w:rsidRPr="00956D0A">
              <w:rPr>
                <w:sz w:val="20"/>
                <w:lang w:val="fr-CA"/>
              </w:rPr>
              <w:t>, Règl. de l’Ont. 114/99, par. 1(8).</w:t>
            </w:r>
          </w:p>
          <w:p w:rsidR="003D7C55" w:rsidRPr="00956D0A" w:rsidRDefault="003D7C55" w:rsidP="007C3BCE">
            <w:pPr>
              <w:jc w:val="both"/>
              <w:rPr>
                <w:sz w:val="20"/>
                <w:lang w:val="fr-CA"/>
              </w:rPr>
            </w:pPr>
          </w:p>
        </w:tc>
      </w:tr>
    </w:tbl>
    <w:p w:rsidR="00837DF5" w:rsidRPr="00956D0A" w:rsidRDefault="00837DF5">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Le demandeur, M. Weidenfeld, est l’ex</w:t>
            </w:r>
            <w:r w:rsidRPr="00956D0A">
              <w:rPr>
                <w:sz w:val="20"/>
                <w:lang w:val="fr-CA"/>
              </w:rPr>
              <w:noBreakHyphen/>
              <w:t>époux de l’intimée décédée. En 2006, plus d’une décennie après le divorce du couple et pendant que son ex</w:t>
            </w:r>
            <w:r w:rsidRPr="00956D0A">
              <w:rPr>
                <w:sz w:val="20"/>
                <w:lang w:val="fr-CA"/>
              </w:rPr>
              <w:noBreakHyphen/>
              <w:t>épouse était encore en vie, M. Weidenfeld a introduit une demande en matière de droit de la famille dans laquelle il revendiquait un intérêt bénéficiaire à l’égard de la résidence et de la clinique de naturopathie de la défunte. Quelques mesures procédurales ont été prises en lien avec sa demande, mais elles ont toutes échoué. En conséquence, un certain nombre d’ordonnances ont été prononcées en faveur de la défunte, notamment en matière de dépens et de communication de la preuve. Entre 2008 et 2016, la demande de M. Weidenfeld est demeurée inactive. Lorsque l’ex</w:t>
            </w:r>
            <w:r w:rsidRPr="00956D0A">
              <w:rPr>
                <w:sz w:val="20"/>
                <w:lang w:val="fr-CA"/>
              </w:rPr>
              <w:noBreakHyphen/>
              <w:t xml:space="preserve">épouse de M. Weidenfeld est décédée en 2016, la fiduciaire de la succession a présenté une motion en rejet de sa demande en application du paragraphe 1(8) des </w:t>
            </w:r>
            <w:r w:rsidRPr="00956D0A">
              <w:rPr>
                <w:i/>
                <w:sz w:val="20"/>
                <w:lang w:val="fr-CA"/>
              </w:rPr>
              <w:t>Règles en matière de droit de la famille</w:t>
            </w:r>
            <w:r w:rsidRPr="00956D0A">
              <w:rPr>
                <w:sz w:val="20"/>
                <w:lang w:val="fr-CA"/>
              </w:rPr>
              <w:t>, Règl. de l’Ont. 114/99. Cette disposition permet au tribunal de rejeter une demande, notamment pour inobservation d’ordonnances du tribunal. À ce point, M. Weidenfeld s’est vu donner l’occasion de faire un paiement partiel des dépens auxquels il avait été condamné pour éviter le rejet de la demande, mais il a omis de le faire. La Cour supérieure a accueilli la motion en rejet de la demande en matière de droit familial introduit par M. Weidenfeld pour inobservation d’ordonnances du tribunal et pour défaut de poursuivre. La Cour d’appel n’a relevé aucune erreur dans l’exercice du pouvoir discrétionnaire de la Cour supérieure et a rejeté l’appel de M. Weidenfeld.</w:t>
            </w:r>
          </w:p>
        </w:tc>
      </w:tr>
      <w:tr w:rsidR="003D7C55" w:rsidRPr="00937000" w:rsidTr="007C3BCE">
        <w:tc>
          <w:tcPr>
            <w:tcW w:w="5000" w:type="pct"/>
            <w:gridSpan w:val="3"/>
          </w:tcPr>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10 octobre 2018</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Jarvis)</w:t>
            </w:r>
          </w:p>
          <w:p w:rsidR="003D7C55" w:rsidRPr="00956D0A" w:rsidRDefault="00937000" w:rsidP="007C3BCE">
            <w:pPr>
              <w:jc w:val="both"/>
              <w:rPr>
                <w:sz w:val="20"/>
                <w:lang w:val="fr-CA"/>
              </w:rPr>
            </w:pPr>
            <w:hyperlink r:id="rId49" w:history="1">
              <w:r w:rsidR="003D7C55" w:rsidRPr="00956D0A">
                <w:rPr>
                  <w:rStyle w:val="Hyperlink"/>
                  <w:sz w:val="20"/>
                  <w:lang w:val="fr-CA"/>
                </w:rPr>
                <w:t>2018 ONSC 5930</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 xml:space="preserve">Jugement accueillant la motion en rejet de la demande en application du paragraphe 1(8) des </w:t>
            </w:r>
            <w:r w:rsidRPr="00956D0A">
              <w:rPr>
                <w:i/>
                <w:sz w:val="20"/>
                <w:lang w:val="fr-CA"/>
              </w:rPr>
              <w:t>Règles en matière du droit de la famille</w:t>
            </w:r>
            <w:r w:rsidRPr="00956D0A">
              <w:rPr>
                <w:sz w:val="20"/>
                <w:lang w:val="fr-CA"/>
              </w:rPr>
              <w:t>, Règl. de l’Ont. 114/99, pour inobservation d’ordonnances de communication de la preuve et d’adjudication des dépens et pour défaut de poursuivre</w:t>
            </w:r>
          </w:p>
          <w:p w:rsidR="003D7C55" w:rsidRPr="00956D0A" w:rsidRDefault="003D7C55" w:rsidP="007C3BCE">
            <w:pPr>
              <w:jc w:val="both"/>
              <w:rPr>
                <w:sz w:val="20"/>
                <w:lang w:val="fr-CA"/>
              </w:rPr>
            </w:pPr>
          </w:p>
        </w:tc>
      </w:tr>
      <w:tr w:rsidR="003D7C55" w:rsidRPr="00956D0A" w:rsidTr="007C3BCE">
        <w:tc>
          <w:tcPr>
            <w:tcW w:w="2427" w:type="pct"/>
          </w:tcPr>
          <w:p w:rsidR="003D7C55" w:rsidRPr="00956D0A" w:rsidRDefault="003D7C55" w:rsidP="007C3BCE">
            <w:pPr>
              <w:jc w:val="both"/>
              <w:rPr>
                <w:sz w:val="20"/>
                <w:lang w:val="fr-CA"/>
              </w:rPr>
            </w:pPr>
            <w:r w:rsidRPr="00956D0A">
              <w:rPr>
                <w:sz w:val="20"/>
                <w:lang w:val="fr-CA"/>
              </w:rPr>
              <w:t>17 mai 2019</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(Juges Feldman, Paciocco et Fairburn)</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C66096</w:t>
            </w:r>
          </w:p>
          <w:p w:rsidR="003D7C55" w:rsidRPr="00956D0A" w:rsidRDefault="00937000" w:rsidP="007C3BCE">
            <w:pPr>
              <w:jc w:val="both"/>
              <w:rPr>
                <w:sz w:val="20"/>
                <w:lang w:val="fr-CA"/>
              </w:rPr>
            </w:pPr>
            <w:hyperlink r:id="rId50" w:history="1">
              <w:r w:rsidR="003D7C55" w:rsidRPr="00956D0A">
                <w:rPr>
                  <w:rStyle w:val="Hyperlink"/>
                  <w:sz w:val="20"/>
                  <w:lang w:val="fr-CA"/>
                </w:rPr>
                <w:t>2019 ONCA 415</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8 août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52"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38897</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 xml:space="preserve">Robert Weidenfeld v. </w:t>
            </w:r>
            <w:r w:rsidR="000D0C1F" w:rsidRPr="00956D0A">
              <w:rPr>
                <w:b/>
                <w:sz w:val="20"/>
                <w:szCs w:val="20"/>
                <w:lang w:val="en-US"/>
              </w:rPr>
              <w:t>Sejal Parikh-Shah as Executrix of the Will and Trustee of the Estate of Hana Weidenfeld, Deceased, Nathalie Weidenfeld, Joel Weidenfeld, Robert Andrew Leck and Stiver Vale (Law Firm)</w:t>
            </w:r>
          </w:p>
          <w:p w:rsidR="003D7C55" w:rsidRPr="00956D0A" w:rsidRDefault="003D7C55" w:rsidP="007C3BCE">
            <w:pPr>
              <w:jc w:val="both"/>
              <w:rPr>
                <w:sz w:val="20"/>
              </w:rPr>
            </w:pPr>
            <w:r w:rsidRPr="00956D0A">
              <w:rPr>
                <w:sz w:val="20"/>
              </w:rPr>
              <w:t>(Ont.) (Civil) (By Leave)</w:t>
            </w:r>
          </w:p>
        </w:tc>
      </w:tr>
      <w:tr w:rsidR="006C6B4F" w:rsidRPr="00956D0A" w:rsidTr="007C3BCE">
        <w:tc>
          <w:tcPr>
            <w:tcW w:w="5000" w:type="pct"/>
            <w:gridSpan w:val="2"/>
          </w:tcPr>
          <w:p w:rsidR="006C6B4F" w:rsidRPr="00956D0A" w:rsidRDefault="000D0C1F" w:rsidP="007C3BCE">
            <w:pPr>
              <w:jc w:val="both"/>
              <w:rPr>
                <w:sz w:val="20"/>
                <w:szCs w:val="20"/>
              </w:rPr>
            </w:pPr>
            <w:r w:rsidRPr="00956D0A">
              <w:rPr>
                <w:sz w:val="20"/>
                <w:szCs w:val="20"/>
              </w:rPr>
              <w:t xml:space="preserve">The motion for a </w:t>
            </w:r>
            <w:r w:rsidRPr="00956D0A">
              <w:rPr>
                <w:rStyle w:val="solexhl"/>
                <w:sz w:val="20"/>
                <w:szCs w:val="20"/>
              </w:rPr>
              <w:t>stay</w:t>
            </w:r>
            <w:r w:rsidRPr="00956D0A">
              <w:rPr>
                <w:sz w:val="20"/>
                <w:szCs w:val="20"/>
              </w:rPr>
              <w:t xml:space="preserve"> </w:t>
            </w:r>
            <w:r w:rsidRPr="00956D0A">
              <w:rPr>
                <w:rStyle w:val="solexhl"/>
                <w:sz w:val="20"/>
                <w:szCs w:val="20"/>
              </w:rPr>
              <w:t>of</w:t>
            </w:r>
            <w:r w:rsidRPr="00956D0A">
              <w:rPr>
                <w:sz w:val="20"/>
                <w:szCs w:val="20"/>
              </w:rPr>
              <w:t xml:space="preserve"> </w:t>
            </w:r>
            <w:r w:rsidRPr="00956D0A">
              <w:rPr>
                <w:rStyle w:val="solexhl"/>
                <w:sz w:val="20"/>
                <w:szCs w:val="20"/>
              </w:rPr>
              <w:t>execution</w:t>
            </w:r>
            <w:r w:rsidRPr="00956D0A">
              <w:rPr>
                <w:sz w:val="20"/>
                <w:szCs w:val="20"/>
              </w:rPr>
              <w:t xml:space="preserve"> is dismissed. The application for leave to appeal from the judgment of the Court of Appeal for Ontario, Number M50141, dated May 13, 2019, is dismissed with costs in accordance with the tariff of fees and disbursements set out in Schedule B of the </w:t>
            </w:r>
            <w:r w:rsidRPr="00956D0A">
              <w:rPr>
                <w:i/>
                <w:sz w:val="20"/>
                <w:szCs w:val="20"/>
              </w:rPr>
              <w:t>Rules of the Supreme Court of Canada</w:t>
            </w:r>
            <w:r w:rsidRPr="00956D0A">
              <w:rPr>
                <w:sz w:val="20"/>
                <w:szCs w:val="20"/>
              </w:rPr>
              <w:t>.</w:t>
            </w:r>
          </w:p>
          <w:p w:rsidR="000D0C1F" w:rsidRPr="00956D0A" w:rsidRDefault="000D0C1F"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rPr>
            </w:pPr>
            <w:r w:rsidRPr="00956D0A">
              <w:rPr>
                <w:i/>
                <w:sz w:val="20"/>
              </w:rPr>
              <w:t>Charter of Rights</w:t>
            </w:r>
            <w:r w:rsidRPr="00956D0A">
              <w:rPr>
                <w:sz w:val="20"/>
              </w:rPr>
              <w:t xml:space="preserve"> — Fundamental justice — Security for costs — Judgments and orders — Summary judgments — Ex</w:t>
            </w:r>
            <w:r w:rsidRPr="00956D0A">
              <w:rPr>
                <w:sz w:val="20"/>
              </w:rPr>
              <w:noBreakHyphen/>
              <w:t>husband of deceased initiating fraudulent conveyance claim for negligent transfer of property to children notwithstanding ongoing family law application for beneficial interest in subject property — Lengthy history of non</w:t>
            </w:r>
            <w:r w:rsidRPr="00956D0A">
              <w:rPr>
                <w:sz w:val="20"/>
              </w:rPr>
              <w:noBreakHyphen/>
              <w:t>compliance with costs orders of ex</w:t>
            </w:r>
            <w:r w:rsidRPr="00956D0A">
              <w:rPr>
                <w:sz w:val="20"/>
              </w:rPr>
              <w:noBreakHyphen/>
              <w:t>husband — Law firm respondents successfully seeking security for costs in order for fraudulent conveyance claim to proceed — Leave to appeal security for costs order not properly sought by ex</w:t>
            </w:r>
            <w:r w:rsidRPr="00956D0A">
              <w:rPr>
                <w:sz w:val="20"/>
              </w:rPr>
              <w:noBreakHyphen/>
              <w:t>husband — Security for costs not posted by ex</w:t>
            </w:r>
            <w:r w:rsidRPr="00956D0A">
              <w:rPr>
                <w:sz w:val="20"/>
              </w:rPr>
              <w:noBreakHyphen/>
              <w:t>husband — Ex</w:t>
            </w:r>
            <w:r w:rsidRPr="00956D0A">
              <w:rPr>
                <w:sz w:val="20"/>
              </w:rPr>
              <w:noBreakHyphen/>
              <w:t xml:space="preserve">husband unsuccessfully moving for summary judgment of fraudulent conveyance claim — </w:t>
            </w:r>
            <w:r w:rsidRPr="00956D0A">
              <w:rPr>
                <w:i/>
                <w:sz w:val="20"/>
              </w:rPr>
              <w:t>Rules of Civil Procedure</w:t>
            </w:r>
            <w:r w:rsidRPr="00956D0A">
              <w:rPr>
                <w:sz w:val="20"/>
              </w:rPr>
              <w:t>, R.R.O. 1990 Reg. 194, r. 56.01(1)(a).</w:t>
            </w:r>
          </w:p>
          <w:p w:rsidR="003D7C55" w:rsidRPr="00956D0A" w:rsidRDefault="003D7C55" w:rsidP="007C3BCE">
            <w:pPr>
              <w:jc w:val="both"/>
              <w:rPr>
                <w:sz w:val="20"/>
              </w:rPr>
            </w:pPr>
          </w:p>
        </w:tc>
      </w:tr>
    </w:tbl>
    <w:p w:rsidR="00837DF5" w:rsidRPr="00956D0A" w:rsidRDefault="00837DF5">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5000" w:type="pct"/>
            <w:gridSpan w:val="3"/>
          </w:tcPr>
          <w:p w:rsidR="003D7C55" w:rsidRPr="00956D0A" w:rsidRDefault="003D7C55" w:rsidP="007C3BCE">
            <w:pPr>
              <w:jc w:val="both"/>
              <w:rPr>
                <w:sz w:val="20"/>
              </w:rPr>
            </w:pPr>
            <w:r w:rsidRPr="00956D0A">
              <w:rPr>
                <w:sz w:val="20"/>
                <w:lang w:val="en"/>
              </w:rPr>
              <w:t>The applicant, Mr. Weidenfeld, commenced a fraudulent conveyance action in 2016. He alleges in that action that the transfer of a property by his deceased ex</w:t>
            </w:r>
            <w:r w:rsidRPr="00956D0A">
              <w:rPr>
                <w:sz w:val="20"/>
                <w:lang w:val="en"/>
              </w:rPr>
              <w:noBreakHyphen/>
              <w:t xml:space="preserve">wife to their children in 2014 was effected to defeat a related family law application in which he claimed a beneficial interest in the subject property. He also claims against the deceased’s real estate lawyers in negligence for having registered the transfer of the property to his children without having investigating the outstanding family law claims. The related family law application was commenced in 2006, </w:t>
            </w:r>
            <w:r w:rsidRPr="00956D0A">
              <w:rPr>
                <w:sz w:val="20"/>
              </w:rPr>
              <w:t>over a decade following the parties’ divorce and while Mr. Weidenfeld’s ex</w:t>
            </w:r>
            <w:r w:rsidRPr="00956D0A">
              <w:rPr>
                <w:sz w:val="20"/>
              </w:rPr>
              <w:noBreakHyphen/>
              <w:t>wife was still alive</w:t>
            </w:r>
            <w:r w:rsidRPr="00956D0A">
              <w:rPr>
                <w:sz w:val="20"/>
                <w:lang w:val="en"/>
              </w:rPr>
              <w:t>. The family law proceedings were stayed at the time of the alleged fraudulent conveyance. Mr. Weidenfeld has a history of non</w:t>
            </w:r>
            <w:r w:rsidRPr="00956D0A">
              <w:rPr>
                <w:sz w:val="20"/>
                <w:lang w:val="en"/>
              </w:rPr>
              <w:noBreakHyphen/>
              <w:t xml:space="preserve">compliance of costs and other orders before the courts of Ontario and New Brunswick. In light of this history, </w:t>
            </w:r>
            <w:r w:rsidRPr="00956D0A">
              <w:rPr>
                <w:sz w:val="20"/>
              </w:rPr>
              <w:t>the law firm respondents successfully moved for security for costs in connection with Mr. Weidenfeld’s fraudulent conveyance claim. Mr. Weidenfeld did not post security for costs and failed to seek leave to appeal the security for costs order. He then moved for summary judgment of his fraudulent conveyance claim. The Superior Court dismissed his motion for summary judgment, and the Divisional Court and Court of Appeal dismissed his motions for leave to appeal.</w:t>
            </w:r>
          </w:p>
        </w:tc>
      </w:tr>
      <w:tr w:rsidR="003D7C55" w:rsidRPr="00956D0A" w:rsidTr="007C3BCE">
        <w:tc>
          <w:tcPr>
            <w:tcW w:w="5000" w:type="pct"/>
            <w:gridSpan w:val="3"/>
          </w:tcPr>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February 24, 2017</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(Sutherland J.)</w:t>
            </w:r>
          </w:p>
          <w:p w:rsidR="003D7C55" w:rsidRPr="00956D0A" w:rsidRDefault="003D7C55" w:rsidP="007C3BCE">
            <w:pPr>
              <w:jc w:val="both"/>
              <w:rPr>
                <w:sz w:val="20"/>
              </w:rPr>
            </w:pPr>
            <w:r w:rsidRPr="00956D0A">
              <w:rPr>
                <w:sz w:val="20"/>
              </w:rPr>
              <w:t>File no.</w:t>
            </w:r>
            <w:r w:rsidRPr="00956D0A">
              <w:rPr>
                <w:b/>
                <w:sz w:val="20"/>
              </w:rPr>
              <w:t xml:space="preserve"> </w:t>
            </w:r>
            <w:r w:rsidRPr="00956D0A">
              <w:rPr>
                <w:rStyle w:val="Strong"/>
                <w:b w:val="0"/>
                <w:sz w:val="20"/>
                <w:lang w:val="en"/>
              </w:rPr>
              <w:t>CV</w:t>
            </w:r>
            <w:r w:rsidRPr="00956D0A">
              <w:rPr>
                <w:rStyle w:val="Strong"/>
                <w:b w:val="0"/>
                <w:sz w:val="20"/>
                <w:lang w:val="en"/>
              </w:rPr>
              <w:noBreakHyphen/>
              <w:t>16</w:t>
            </w:r>
            <w:r w:rsidRPr="00956D0A">
              <w:rPr>
                <w:rStyle w:val="Strong"/>
                <w:b w:val="0"/>
                <w:sz w:val="20"/>
                <w:lang w:val="en"/>
              </w:rPr>
              <w:noBreakHyphen/>
              <w:t>128021</w:t>
            </w:r>
            <w:r w:rsidRPr="00956D0A">
              <w:rPr>
                <w:rStyle w:val="Strong"/>
                <w:b w:val="0"/>
                <w:sz w:val="20"/>
                <w:lang w:val="en"/>
              </w:rPr>
              <w:noBreakHyphen/>
              <w:t>00</w:t>
            </w:r>
          </w:p>
          <w:p w:rsidR="003D7C55" w:rsidRPr="00956D0A" w:rsidRDefault="00937000" w:rsidP="007C3BCE">
            <w:pPr>
              <w:jc w:val="both"/>
              <w:rPr>
                <w:sz w:val="20"/>
              </w:rPr>
            </w:pPr>
            <w:hyperlink r:id="rId51" w:history="1">
              <w:r w:rsidR="003D7C55" w:rsidRPr="00956D0A">
                <w:rPr>
                  <w:rStyle w:val="Hyperlink"/>
                  <w:sz w:val="20"/>
                </w:rPr>
                <w:t>2018 ONSC 1275</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by law firm respondents for security for costs in the amount of $20,000, in installments, granted</w:t>
            </w:r>
          </w:p>
        </w:tc>
      </w:tr>
      <w:tr w:rsidR="003D7C55" w:rsidRPr="00956D0A" w:rsidTr="007C3BCE">
        <w:tc>
          <w:tcPr>
            <w:tcW w:w="2427" w:type="pct"/>
          </w:tcPr>
          <w:p w:rsidR="003D7C55" w:rsidRPr="00956D0A" w:rsidRDefault="003D7C55" w:rsidP="007C3BCE">
            <w:pPr>
              <w:jc w:val="both"/>
              <w:rPr>
                <w:sz w:val="20"/>
              </w:rPr>
            </w:pPr>
            <w:r w:rsidRPr="00956D0A">
              <w:rPr>
                <w:sz w:val="20"/>
              </w:rPr>
              <w:t>August 30, 2018</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(Mullins J.)</w:t>
            </w:r>
          </w:p>
          <w:p w:rsidR="003D7C55" w:rsidRPr="00956D0A" w:rsidRDefault="003D7C55" w:rsidP="007C3BCE">
            <w:pPr>
              <w:jc w:val="both"/>
              <w:rPr>
                <w:sz w:val="20"/>
              </w:rPr>
            </w:pPr>
            <w:r w:rsidRPr="00956D0A">
              <w:rPr>
                <w:sz w:val="20"/>
              </w:rPr>
              <w:t>File no. CV</w:t>
            </w:r>
            <w:r w:rsidRPr="00956D0A">
              <w:rPr>
                <w:sz w:val="20"/>
              </w:rPr>
              <w:noBreakHyphen/>
              <w:t>16</w:t>
            </w:r>
            <w:r w:rsidRPr="00956D0A">
              <w:rPr>
                <w:sz w:val="20"/>
              </w:rPr>
              <w:noBreakHyphen/>
              <w:t>128021</w:t>
            </w:r>
            <w:r w:rsidRPr="00956D0A">
              <w:rPr>
                <w:sz w:val="20"/>
              </w:rPr>
              <w:noBreakHyphen/>
              <w:t>00</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Plaintiff’s motion for summary judgment dismissed; Motion to compel Registrar of the Divisional Court in Oshawa to accept Notice of Appeal of security for costs judgment dismissed; Plaintiff ordered to serve notice of motion to extend time for service of motion seeking leave to appeal security for costs judgment within 15 days; Plaintiff ordered to pay outstanding costs awards to law firm respondents, failing which underlying action to be dismissed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January 7, 2019</w:t>
            </w:r>
          </w:p>
          <w:p w:rsidR="003D7C55" w:rsidRPr="00956D0A" w:rsidRDefault="003D7C55" w:rsidP="007C3BCE">
            <w:pPr>
              <w:jc w:val="both"/>
              <w:rPr>
                <w:sz w:val="20"/>
              </w:rPr>
            </w:pPr>
            <w:r w:rsidRPr="00956D0A">
              <w:rPr>
                <w:sz w:val="20"/>
              </w:rPr>
              <w:t>Divisional Court of Ontario</w:t>
            </w:r>
          </w:p>
          <w:p w:rsidR="003D7C55" w:rsidRPr="00956D0A" w:rsidRDefault="003D7C55" w:rsidP="007C3BCE">
            <w:pPr>
              <w:jc w:val="both"/>
              <w:rPr>
                <w:sz w:val="20"/>
              </w:rPr>
            </w:pPr>
            <w:r w:rsidRPr="00956D0A">
              <w:rPr>
                <w:sz w:val="20"/>
              </w:rPr>
              <w:t>(Swinton, Wilton-Siegel and Hackland JJ.)</w:t>
            </w:r>
          </w:p>
          <w:p w:rsidR="003D7C55" w:rsidRPr="00956D0A" w:rsidRDefault="003D7C55" w:rsidP="007C3BCE">
            <w:pPr>
              <w:jc w:val="both"/>
              <w:rPr>
                <w:sz w:val="20"/>
              </w:rPr>
            </w:pPr>
            <w:r w:rsidRPr="00956D0A">
              <w:rPr>
                <w:sz w:val="20"/>
              </w:rPr>
              <w:t>File no. 603/17</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for leave to appeal security for costs judgment declared not properly before the court for want of having filed motion for extension of time; Court declining to deal with motion</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January 7, 2019</w:t>
            </w:r>
          </w:p>
          <w:p w:rsidR="003D7C55" w:rsidRPr="00956D0A" w:rsidRDefault="003D7C55" w:rsidP="007C3BCE">
            <w:pPr>
              <w:jc w:val="both"/>
              <w:rPr>
                <w:sz w:val="20"/>
              </w:rPr>
            </w:pPr>
            <w:r w:rsidRPr="00956D0A">
              <w:rPr>
                <w:sz w:val="20"/>
              </w:rPr>
              <w:t>Divisional Court of Ontario</w:t>
            </w:r>
          </w:p>
          <w:p w:rsidR="003D7C55" w:rsidRPr="00956D0A" w:rsidRDefault="003D7C55" w:rsidP="007C3BCE">
            <w:pPr>
              <w:jc w:val="both"/>
              <w:rPr>
                <w:sz w:val="20"/>
              </w:rPr>
            </w:pPr>
            <w:r w:rsidRPr="00956D0A">
              <w:rPr>
                <w:sz w:val="20"/>
              </w:rPr>
              <w:t>(Swinton, Wilton-Siegel and Hackland JJ.)</w:t>
            </w:r>
          </w:p>
          <w:p w:rsidR="003D7C55" w:rsidRPr="00956D0A" w:rsidRDefault="003D7C55" w:rsidP="007C3BCE">
            <w:pPr>
              <w:jc w:val="both"/>
              <w:rPr>
                <w:sz w:val="20"/>
              </w:rPr>
            </w:pPr>
            <w:r w:rsidRPr="00956D0A">
              <w:rPr>
                <w:sz w:val="20"/>
              </w:rPr>
              <w:t>File no. 603/17</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for leave to appeal summary judgment decision dismissed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May 13, 2019</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(Hoy A.C.J.O and Lauwers and Zarnett JJ.A.)</w:t>
            </w:r>
          </w:p>
          <w:p w:rsidR="003D7C55" w:rsidRPr="00956D0A" w:rsidRDefault="003D7C55" w:rsidP="007C3BCE">
            <w:pPr>
              <w:jc w:val="both"/>
              <w:rPr>
                <w:sz w:val="20"/>
              </w:rPr>
            </w:pPr>
            <w:r w:rsidRPr="00956D0A">
              <w:rPr>
                <w:sz w:val="20"/>
              </w:rPr>
              <w:t>File no. M50141</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for leave to appeal dismissed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August 8,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53"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38897</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 xml:space="preserve">Robert Weidenfeld c. </w:t>
            </w:r>
            <w:r w:rsidR="000D0C1F" w:rsidRPr="00956D0A">
              <w:rPr>
                <w:b/>
                <w:sz w:val="20"/>
                <w:szCs w:val="20"/>
              </w:rPr>
              <w:t>Sejal Parikh-Shah, en sa qualité d’exécutrice testamentaire et de fiduciaire de la succession de Hana Weidenfeld, décédée, Nathalie Weidenfeld, Joel Weidenfeld, Robert Andrew Leck et Stiver Vale (cabinet d’avocats)</w:t>
            </w:r>
          </w:p>
          <w:p w:rsidR="003D7C55" w:rsidRPr="00956D0A" w:rsidRDefault="003D7C55" w:rsidP="007C3BCE">
            <w:pPr>
              <w:jc w:val="both"/>
              <w:rPr>
                <w:sz w:val="20"/>
                <w:lang w:val="fr-CA"/>
              </w:rPr>
            </w:pPr>
            <w:r w:rsidRPr="00956D0A">
              <w:rPr>
                <w:sz w:val="20"/>
                <w:lang w:val="fr-CA"/>
              </w:rPr>
              <w:t>(Ont.) (Civile) (Autorisation)</w:t>
            </w:r>
          </w:p>
        </w:tc>
      </w:tr>
      <w:tr w:rsidR="006C6B4F" w:rsidRPr="00937000" w:rsidTr="007C3BCE">
        <w:tc>
          <w:tcPr>
            <w:tcW w:w="5000" w:type="pct"/>
            <w:gridSpan w:val="4"/>
          </w:tcPr>
          <w:p w:rsidR="006C6B4F" w:rsidRPr="00956D0A" w:rsidRDefault="000D0C1F" w:rsidP="007C3BCE">
            <w:pPr>
              <w:jc w:val="both"/>
              <w:rPr>
                <w:sz w:val="20"/>
                <w:szCs w:val="20"/>
                <w:lang w:val="fr-CA"/>
              </w:rPr>
            </w:pPr>
            <w:r w:rsidRPr="00956D0A">
              <w:rPr>
                <w:sz w:val="20"/>
                <w:szCs w:val="20"/>
                <w:lang w:val="fr-CA"/>
              </w:rPr>
              <w:t>La requête visant à obtenir un sursis d’</w:t>
            </w:r>
            <w:r w:rsidRPr="00956D0A">
              <w:rPr>
                <w:rStyle w:val="solexhl"/>
                <w:sz w:val="20"/>
                <w:szCs w:val="20"/>
                <w:lang w:val="fr-CA"/>
              </w:rPr>
              <w:t>exécution</w:t>
            </w:r>
            <w:r w:rsidRPr="00956D0A">
              <w:rPr>
                <w:sz w:val="20"/>
                <w:szCs w:val="20"/>
                <w:lang w:val="fr-CA"/>
              </w:rPr>
              <w:t xml:space="preserve"> est rejetée. La demande d’autorisation d’appel de l’arrêt de la Cour d’appel de l’Ontario, numéro M50141, daté du 13 mai 2019, est rejetée avec dépens conformément au tarif des honoraires et débours établi à l’Annexe B des </w:t>
            </w:r>
            <w:r w:rsidRPr="00956D0A">
              <w:rPr>
                <w:i/>
                <w:sz w:val="20"/>
                <w:szCs w:val="20"/>
                <w:lang w:val="fr-CA"/>
              </w:rPr>
              <w:t>Règles de la Cour suprême du Canada</w:t>
            </w:r>
            <w:r w:rsidRPr="00956D0A">
              <w:rPr>
                <w:sz w:val="20"/>
                <w:szCs w:val="20"/>
                <w:lang w:val="fr-CA"/>
              </w:rPr>
              <w:t>.</w:t>
            </w:r>
          </w:p>
          <w:p w:rsidR="000D0C1F" w:rsidRPr="00956D0A" w:rsidRDefault="000D0C1F" w:rsidP="007C3BCE">
            <w:pPr>
              <w:jc w:val="both"/>
              <w:rPr>
                <w:sz w:val="20"/>
                <w:lang w:val="fr-CA"/>
              </w:rPr>
            </w:pPr>
          </w:p>
        </w:tc>
      </w:tr>
      <w:tr w:rsidR="003D7C55" w:rsidRPr="00956D0A" w:rsidTr="007C3BCE">
        <w:tc>
          <w:tcPr>
            <w:tcW w:w="5000" w:type="pct"/>
            <w:gridSpan w:val="4"/>
          </w:tcPr>
          <w:p w:rsidR="003D7C55" w:rsidRPr="00956D0A" w:rsidRDefault="003D7C55" w:rsidP="007C3BCE">
            <w:pPr>
              <w:jc w:val="both"/>
              <w:rPr>
                <w:sz w:val="20"/>
                <w:lang w:val="fr-CA"/>
              </w:rPr>
            </w:pPr>
            <w:r w:rsidRPr="00956D0A">
              <w:rPr>
                <w:i/>
                <w:sz w:val="20"/>
                <w:lang w:val="fr-CA"/>
              </w:rPr>
              <w:t>Charte des droits</w:t>
            </w:r>
            <w:r w:rsidRPr="00956D0A">
              <w:rPr>
                <w:sz w:val="20"/>
                <w:lang w:val="fr-CA"/>
              </w:rPr>
              <w:t xml:space="preserve"> — Justice fondamentale — Cautionnement pour dépens — Jugements et ordonnances — Jugements sommaires — L’ex</w:t>
            </w:r>
            <w:r w:rsidRPr="00956D0A">
              <w:rPr>
                <w:sz w:val="20"/>
                <w:lang w:val="fr-CA"/>
              </w:rPr>
              <w:noBreakHyphen/>
              <w:t>époux de la défunte a intenté une action en transport frauduleux pour le transfert négligent d’un bien aux enfants, malgré une demande en cours en matière de droit de la famille revendiquant un intérêt bénéficiaire à l’égard du bien en cause — Depuis de longues années,  l’ex</w:t>
            </w:r>
            <w:r w:rsidRPr="00956D0A">
              <w:rPr>
                <w:sz w:val="20"/>
                <w:lang w:val="fr-CA"/>
              </w:rPr>
              <w:noBreakHyphen/>
              <w:t>époux n’observe pas les ordonnances d’adjudication des dépens — Les intimés du cabinet d’avocats ont obtenu une ordonnance de cautionnement pour dépens pour que l’action en transport frauduleux puisse aller de l’avant — L’ex</w:t>
            </w:r>
            <w:r w:rsidRPr="00956D0A">
              <w:rPr>
                <w:sz w:val="20"/>
                <w:lang w:val="fr-CA"/>
              </w:rPr>
              <w:noBreakHyphen/>
              <w:t>époux s’y est mal pris pour demander l’autorisation d’interjeter appel de l’ordonnance d’adjudication des dépens prononcée contre lui — L’ex</w:t>
            </w:r>
            <w:r w:rsidRPr="00956D0A">
              <w:rPr>
                <w:sz w:val="20"/>
                <w:lang w:val="fr-CA"/>
              </w:rPr>
              <w:noBreakHyphen/>
              <w:t>époux n’a pas fourni de cautionnement pour dépens — L’ex</w:t>
            </w:r>
            <w:r w:rsidRPr="00956D0A">
              <w:rPr>
                <w:sz w:val="20"/>
                <w:lang w:val="fr-CA"/>
              </w:rPr>
              <w:noBreakHyphen/>
              <w:t xml:space="preserve">époux a été débouté dans sa motion pour jugement sommaire de l’action en transport frauduleux — </w:t>
            </w:r>
            <w:r w:rsidRPr="00956D0A">
              <w:rPr>
                <w:i/>
                <w:sz w:val="20"/>
                <w:lang w:val="fr-CA"/>
              </w:rPr>
              <w:t>Règles de procédure civile</w:t>
            </w:r>
            <w:r w:rsidRPr="00956D0A">
              <w:rPr>
                <w:sz w:val="20"/>
                <w:lang w:val="fr-CA"/>
              </w:rPr>
              <w:t>, R.R.O. 1990 règl. 194, al. 56.01(1)a).</w:t>
            </w:r>
          </w:p>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Le demandeur, M. Weidenfeld, a intenté une action en transport frauduleux en 2016. Dans cette action, il allègue que le transfert d’un bien par son ex</w:t>
            </w:r>
            <w:r w:rsidRPr="00956D0A">
              <w:rPr>
                <w:sz w:val="20"/>
                <w:lang w:val="fr-CA"/>
              </w:rPr>
              <w:noBreakHyphen/>
              <w:t>épouse décédée à leurs enfants en 2014 a été effectué pour faire obstacle à une demande connexe en matière de droit de la famille dans laquelle il revendiquait un intérêt bénéficiaire à l’égard du bien en cause. Il intente également des actions en négligence contre les avocats en droit immobilier de la défunte pour avoir enregistré le transfert du bien à ses enfants sans avoir enquêté sur les demandes en cours en matière de droit de la famille. La demande connexe en matière de droit de la famille a été introduite en 2006, plus d’une décennie après le divorce du couple et pendant que l’ex</w:t>
            </w:r>
            <w:r w:rsidRPr="00956D0A">
              <w:rPr>
                <w:sz w:val="20"/>
                <w:lang w:val="fr-CA"/>
              </w:rPr>
              <w:noBreakHyphen/>
              <w:t>épouse de M. Weidenfeld était encore en vie. L’instance en matière de droit de la famille était suspendue à l’époque du transport frauduleux présumé. Depuis de longues années, M. Weidenfeld n’observe pas des ordonnances prononcées par les tribunaux de l’Ontario et du Nouveau</w:t>
            </w:r>
            <w:r w:rsidRPr="00956D0A">
              <w:rPr>
                <w:sz w:val="20"/>
                <w:lang w:val="fr-CA"/>
              </w:rPr>
              <w:noBreakHyphen/>
              <w:t>Brunswick, notamment des ordonnances de cautionnement pour dépens. Compte tenu de cet historique, les intimés du cabinet d’avocats ont obtenu une ordonnance de cautionnement pour dépens en lien avec l’action de M. Weidenfeld en transport frauduleux. Monsieur Weidenfeld n’a pas déposé de cautionnement pour dépens et a omis de demander l’autorisation d’interjeter appel de l’ordonnance de cautionnement pour dépens. Il a ensuite présenté une motion en jugement sommaire de son action en transport frauduleux. La Cour supérieure a rejeté sa motion en jugement sommaire et la Cour divisionnaire et la Cour d’appel ont rejeté ses motions en autorisation d’interjeter appel.</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24 février 2017</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Sutherland)</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w:t>
            </w:r>
            <w:r w:rsidRPr="00956D0A">
              <w:rPr>
                <w:b/>
                <w:sz w:val="20"/>
                <w:lang w:val="fr-CA"/>
              </w:rPr>
              <w:t xml:space="preserve"> </w:t>
            </w:r>
            <w:r w:rsidRPr="00956D0A">
              <w:rPr>
                <w:rStyle w:val="Strong"/>
                <w:b w:val="0"/>
                <w:sz w:val="20"/>
                <w:lang w:val="fr-CA"/>
              </w:rPr>
              <w:t>CV</w:t>
            </w:r>
            <w:r w:rsidRPr="00956D0A">
              <w:rPr>
                <w:rStyle w:val="Strong"/>
                <w:b w:val="0"/>
                <w:sz w:val="20"/>
                <w:lang w:val="fr-CA"/>
              </w:rPr>
              <w:noBreakHyphen/>
              <w:t>16</w:t>
            </w:r>
            <w:r w:rsidRPr="00956D0A">
              <w:rPr>
                <w:rStyle w:val="Strong"/>
                <w:b w:val="0"/>
                <w:sz w:val="20"/>
                <w:lang w:val="fr-CA"/>
              </w:rPr>
              <w:noBreakHyphen/>
              <w:t>128021</w:t>
            </w:r>
            <w:r w:rsidRPr="00956D0A">
              <w:rPr>
                <w:rStyle w:val="Strong"/>
                <w:b w:val="0"/>
                <w:sz w:val="20"/>
                <w:lang w:val="fr-CA"/>
              </w:rPr>
              <w:noBreakHyphen/>
              <w:t>00</w:t>
            </w:r>
          </w:p>
          <w:p w:rsidR="003D7C55" w:rsidRPr="00956D0A" w:rsidRDefault="00937000" w:rsidP="007C3BCE">
            <w:pPr>
              <w:jc w:val="both"/>
              <w:rPr>
                <w:sz w:val="20"/>
                <w:lang w:val="fr-CA"/>
              </w:rPr>
            </w:pPr>
            <w:hyperlink r:id="rId52" w:history="1">
              <w:r w:rsidR="003D7C55" w:rsidRPr="00956D0A">
                <w:rPr>
                  <w:rStyle w:val="Hyperlink"/>
                  <w:sz w:val="20"/>
                  <w:lang w:val="fr-CA"/>
                </w:rPr>
                <w:t>2018 ONSC 1275</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accueillant la motion des intimés du cabinet d’avocats en cautionnement pour dépens de 20 000 $, payable par versements</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30 août 2018</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Mullins)</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CV</w:t>
            </w:r>
            <w:r w:rsidRPr="00956D0A">
              <w:rPr>
                <w:sz w:val="20"/>
                <w:lang w:val="fr-CA"/>
              </w:rPr>
              <w:noBreakHyphen/>
              <w:t>16</w:t>
            </w:r>
            <w:r w:rsidRPr="00956D0A">
              <w:rPr>
                <w:sz w:val="20"/>
                <w:lang w:val="fr-CA"/>
              </w:rPr>
              <w:noBreakHyphen/>
              <w:t>128021</w:t>
            </w:r>
            <w:r w:rsidRPr="00956D0A">
              <w:rPr>
                <w:sz w:val="20"/>
                <w:lang w:val="fr-CA"/>
              </w:rPr>
              <w:noBreakHyphen/>
              <w:t>00</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rejetant la motion du demandeur en jugement sommaire, rejetant la motion visant à contraindre le greffier de la Cour divisionnaire d’Oshawa d’accepter l’avis d’appel du jugement en matière de cautionnement pour dépens, ordonnant au demandeur de signifier l’avis de motion en prorogation du délai de signification de la motion en autorisation d’interjeter appel du jugement en matière de cautionnement pour dépens dans un délai de 15 jours et ordonnant au demandeur de payer les dépens en souffrance auxquels il a été condamné aux intimés du cabinet d’avocats, faute de quoi l’action sera rejetée</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7 janvier 2019</w:t>
            </w:r>
          </w:p>
          <w:p w:rsidR="003D7C55" w:rsidRPr="00956D0A" w:rsidRDefault="003D7C55" w:rsidP="007C3BCE">
            <w:pPr>
              <w:jc w:val="both"/>
              <w:rPr>
                <w:sz w:val="20"/>
                <w:lang w:val="fr-CA"/>
              </w:rPr>
            </w:pPr>
            <w:r w:rsidRPr="00956D0A">
              <w:rPr>
                <w:sz w:val="20"/>
                <w:lang w:val="fr-CA"/>
              </w:rPr>
              <w:t>Cour divisionnaire de l’Ontario</w:t>
            </w:r>
          </w:p>
          <w:p w:rsidR="003D7C55" w:rsidRPr="00956D0A" w:rsidRDefault="003D7C55" w:rsidP="007C3BCE">
            <w:pPr>
              <w:jc w:val="both"/>
              <w:rPr>
                <w:sz w:val="20"/>
                <w:lang w:val="fr-CA"/>
              </w:rPr>
            </w:pPr>
            <w:r w:rsidRPr="00956D0A">
              <w:rPr>
                <w:sz w:val="20"/>
                <w:lang w:val="fr-CA"/>
              </w:rPr>
              <w:t>(Juges Swinton, Wilton</w:t>
            </w:r>
            <w:r w:rsidRPr="00956D0A">
              <w:rPr>
                <w:sz w:val="20"/>
                <w:lang w:val="fr-CA"/>
              </w:rPr>
              <w:noBreakHyphen/>
              <w:t>Siegel et Hackland)</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603/17</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déclarant que tribunal n’est pas régulièrement saisi de la motion en autorisation d’interjeter appel du jugement en matière de cautionnement pour dépens en l’absence de motion en prorogation de délai, si bien que le tribunal refuse de traiter la motion</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7 janvier 2019</w:t>
            </w:r>
          </w:p>
          <w:p w:rsidR="003D7C55" w:rsidRPr="00956D0A" w:rsidRDefault="003D7C55" w:rsidP="007C3BCE">
            <w:pPr>
              <w:jc w:val="both"/>
              <w:rPr>
                <w:sz w:val="20"/>
                <w:lang w:val="fr-CA"/>
              </w:rPr>
            </w:pPr>
            <w:r w:rsidRPr="00956D0A">
              <w:rPr>
                <w:sz w:val="20"/>
                <w:lang w:val="fr-CA"/>
              </w:rPr>
              <w:t>Cour divisionnaire de l’Ontario</w:t>
            </w:r>
          </w:p>
          <w:p w:rsidR="003D7C55" w:rsidRPr="00956D0A" w:rsidRDefault="003D7C55" w:rsidP="007C3BCE">
            <w:pPr>
              <w:jc w:val="both"/>
              <w:rPr>
                <w:sz w:val="20"/>
                <w:lang w:val="fr-CA"/>
              </w:rPr>
            </w:pPr>
            <w:r w:rsidRPr="00956D0A">
              <w:rPr>
                <w:sz w:val="20"/>
                <w:lang w:val="fr-CA"/>
              </w:rPr>
              <w:t>(Juges Swinton, Wilton</w:t>
            </w:r>
            <w:r w:rsidRPr="00956D0A">
              <w:rPr>
                <w:sz w:val="20"/>
                <w:lang w:val="fr-CA"/>
              </w:rPr>
              <w:noBreakHyphen/>
              <w:t>Siegel et Hackland)</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603/17</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 motion en autorisation d’en appeler de la décision en matière de jugement sommaire</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13 mai 2019</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 en chef adjointe Hoy, juges Lauwers et Zarnett)</w:t>
            </w:r>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M50141</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 motion en autorisation d’en appeler</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8 août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jc w:val="both"/>
        <w:rPr>
          <w:sz w:val="20"/>
          <w:lang w:val="fr-CA"/>
        </w:rPr>
      </w:pPr>
      <w:r>
        <w:rPr>
          <w:sz w:val="20"/>
        </w:rPr>
        <w:pict>
          <v:rect id="_x0000_i1054"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38688</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Attorney General of Nova Scotia representing Her Majesty the Queen in Right of the Province of Nova Scotia, Stephen McNeil</w:t>
            </w:r>
            <w:r w:rsidR="00341831" w:rsidRPr="00956D0A">
              <w:rPr>
                <w:b/>
                <w:sz w:val="20"/>
                <w:szCs w:val="20"/>
                <w:lang w:val="en-US"/>
              </w:rPr>
              <w:t xml:space="preserve"> and</w:t>
            </w:r>
            <w:r w:rsidRPr="00956D0A">
              <w:rPr>
                <w:b/>
                <w:sz w:val="20"/>
                <w:szCs w:val="20"/>
                <w:lang w:val="en-US"/>
              </w:rPr>
              <w:t xml:space="preserve"> Diana Whalen v. Alex M. Cameron</w:t>
            </w:r>
          </w:p>
          <w:p w:rsidR="003D7C55" w:rsidRPr="00956D0A" w:rsidRDefault="003D7C55" w:rsidP="007C3BCE">
            <w:pPr>
              <w:jc w:val="both"/>
              <w:rPr>
                <w:sz w:val="20"/>
              </w:rPr>
            </w:pPr>
            <w:r w:rsidRPr="00956D0A">
              <w:rPr>
                <w:sz w:val="20"/>
              </w:rPr>
              <w:t>(N.S.) (Civil) (By Leave)</w:t>
            </w:r>
          </w:p>
        </w:tc>
      </w:tr>
      <w:tr w:rsidR="00334E8E" w:rsidRPr="00956D0A" w:rsidTr="007C3BCE">
        <w:tc>
          <w:tcPr>
            <w:tcW w:w="5000" w:type="pct"/>
            <w:gridSpan w:val="2"/>
          </w:tcPr>
          <w:p w:rsidR="00334E8E" w:rsidRPr="00956D0A" w:rsidRDefault="00341831" w:rsidP="007C3BCE">
            <w:pPr>
              <w:pStyle w:val="SCCBanSummary0"/>
              <w:rPr>
                <w:smallCaps w:val="0"/>
                <w:sz w:val="20"/>
                <w:szCs w:val="20"/>
              </w:rPr>
            </w:pPr>
            <w:r w:rsidRPr="00956D0A">
              <w:rPr>
                <w:smallCaps w:val="0"/>
                <w:sz w:val="20"/>
                <w:szCs w:val="20"/>
              </w:rPr>
              <w:t>The motion for a stay of execution is dismissed. The application for leave to appeal from the judgment of the Nova Scotia Court of Appeal, Number CA 479331, 2019 NSCA 38, dated May 16, 2019, is dismissed with costs.</w:t>
            </w:r>
          </w:p>
          <w:p w:rsidR="00341831" w:rsidRPr="00956D0A" w:rsidRDefault="00341831" w:rsidP="00341831"/>
        </w:tc>
      </w:tr>
      <w:tr w:rsidR="003D7C55" w:rsidRPr="00956D0A" w:rsidTr="007C3BCE">
        <w:tc>
          <w:tcPr>
            <w:tcW w:w="5000" w:type="pct"/>
            <w:gridSpan w:val="2"/>
          </w:tcPr>
          <w:p w:rsidR="003D7C55" w:rsidRPr="00956D0A" w:rsidRDefault="003D7C55" w:rsidP="007C3BCE">
            <w:pPr>
              <w:pStyle w:val="SCCBanSummary0"/>
              <w:rPr>
                <w:sz w:val="20"/>
                <w:szCs w:val="20"/>
              </w:rPr>
            </w:pPr>
            <w:r w:rsidRPr="00956D0A">
              <w:rPr>
                <w:sz w:val="20"/>
                <w:szCs w:val="20"/>
              </w:rPr>
              <w:t>(Publication ban in case) (Sealing order) (Court file contains information that is not available for inspection by the public)</w:t>
            </w:r>
          </w:p>
          <w:p w:rsidR="003D7C55" w:rsidRPr="00956D0A" w:rsidRDefault="003D7C55" w:rsidP="007C3BCE">
            <w:pPr>
              <w:jc w:val="both"/>
              <w:rPr>
                <w:sz w:val="20"/>
              </w:rPr>
            </w:pPr>
          </w:p>
          <w:p w:rsidR="003D7C55" w:rsidRPr="00956D0A" w:rsidRDefault="003D7C55" w:rsidP="007C3BCE">
            <w:pPr>
              <w:jc w:val="both"/>
              <w:rPr>
                <w:sz w:val="20"/>
              </w:rPr>
            </w:pPr>
            <w:r w:rsidRPr="00956D0A">
              <w:rPr>
                <w:color w:val="000000"/>
                <w:sz w:val="20"/>
              </w:rPr>
              <w:t>Civil procedure — Privilege — Solicitor</w:t>
            </w:r>
            <w:r w:rsidRPr="00956D0A">
              <w:rPr>
                <w:color w:val="000000"/>
                <w:sz w:val="20"/>
              </w:rPr>
              <w:noBreakHyphen/>
              <w:t>client privilege — Implied waiver — Abuse of process — Solicitor gives notice of action against former clients alleging clients’ public statements constitute defamation</w:t>
            </w:r>
            <w:r w:rsidRPr="00956D0A">
              <w:rPr>
                <w:sz w:val="20"/>
              </w:rPr>
              <w:t>, abuse of public office, constructive dismissal and violation of constitutional rights</w:t>
            </w:r>
            <w:r w:rsidRPr="00956D0A">
              <w:rPr>
                <w:color w:val="000000"/>
                <w:sz w:val="20"/>
              </w:rPr>
              <w:t xml:space="preserve"> — Solicitor seeks to disclose solicitor</w:t>
            </w:r>
            <w:r w:rsidRPr="00956D0A">
              <w:rPr>
                <w:color w:val="000000"/>
                <w:sz w:val="20"/>
              </w:rPr>
              <w:noBreakHyphen/>
              <w:t>client privileged communications in action — S</w:t>
            </w:r>
            <w:r w:rsidRPr="00956D0A">
              <w:rPr>
                <w:sz w:val="20"/>
              </w:rPr>
              <w:t>cope of implied waiver of solicitor</w:t>
            </w:r>
            <w:r w:rsidRPr="00956D0A">
              <w:rPr>
                <w:sz w:val="20"/>
              </w:rPr>
              <w:noBreakHyphen/>
              <w:t>client privilege — Potential abuse of process associated with a lawyer’s use of privileged and confidential information in legal proceeding against former client.</w:t>
            </w:r>
          </w:p>
        </w:tc>
      </w:tr>
      <w:tr w:rsidR="003D7C55" w:rsidRPr="00956D0A" w:rsidTr="007C3BCE">
        <w:tc>
          <w:tcPr>
            <w:tcW w:w="5000" w:type="pct"/>
            <w:gridSpan w:val="2"/>
          </w:tcPr>
          <w:p w:rsidR="003D7C55" w:rsidRPr="00956D0A" w:rsidRDefault="003D7C55" w:rsidP="007C3BCE">
            <w:pPr>
              <w:jc w:val="both"/>
              <w:rPr>
                <w:sz w:val="20"/>
              </w:rPr>
            </w:pPr>
          </w:p>
        </w:tc>
      </w:tr>
      <w:tr w:rsidR="003D7C55" w:rsidRPr="00956D0A" w:rsidTr="007C3BCE">
        <w:tc>
          <w:tcPr>
            <w:tcW w:w="5000" w:type="pct"/>
            <w:gridSpan w:val="2"/>
          </w:tcPr>
          <w:p w:rsidR="003D7C55" w:rsidRPr="00956D0A" w:rsidRDefault="003D7C55" w:rsidP="007C3BCE">
            <w:pPr>
              <w:jc w:val="both"/>
              <w:rPr>
                <w:color w:val="000000"/>
                <w:sz w:val="20"/>
              </w:rPr>
            </w:pPr>
            <w:r w:rsidRPr="00956D0A">
              <w:rPr>
                <w:sz w:val="20"/>
              </w:rPr>
              <w:t xml:space="preserve">Mr. Cameron </w:t>
            </w:r>
            <w:r w:rsidRPr="00956D0A">
              <w:rPr>
                <w:color w:val="000000"/>
                <w:sz w:val="20"/>
              </w:rPr>
              <w:t>worked as counsel for the Department of Justice of Nova Scotia as a civil litigator and made submissions as counsel of record o</w:t>
            </w:r>
            <w:r w:rsidRPr="00956D0A">
              <w:rPr>
                <w:sz w:val="20"/>
              </w:rPr>
              <w:t xml:space="preserve">n an appeal by the Sipekne’katik Band from a decision by the Minister of Environment. The submissions were controversial in the media and the House of Assembly of Nova Scotia. Premier Stephen McNeil and then Minister of Justice and Attorney General Diana Whalen made public statements regarding the submissions. Mr. Cameron claims their public statements implied that he did not have instructions to make the submissions. Mr. Cameron was removed from the appeal and retired from the Department of Justice. He </w:t>
            </w:r>
            <w:r w:rsidRPr="00956D0A">
              <w:rPr>
                <w:color w:val="000000"/>
                <w:sz w:val="20"/>
              </w:rPr>
              <w:t>served a Notice of Intended Action alleging defamation</w:t>
            </w:r>
            <w:r w:rsidRPr="00956D0A">
              <w:rPr>
                <w:sz w:val="20"/>
              </w:rPr>
              <w:t>, abuse of public office, constructive dismissal and violation of his constitutional rights</w:t>
            </w:r>
            <w:r w:rsidRPr="00956D0A">
              <w:rPr>
                <w:color w:val="000000"/>
                <w:sz w:val="20"/>
              </w:rPr>
              <w:t xml:space="preserve">. He applied to disclose communications, advice, and information given to him as former counsel of record in the appeal, as evidence in his action. </w:t>
            </w:r>
            <w:r w:rsidRPr="00956D0A">
              <w:rPr>
                <w:sz w:val="20"/>
              </w:rPr>
              <w:t>An applications judge declared the communications are solicitor</w:t>
            </w:r>
            <w:r w:rsidRPr="00956D0A">
              <w:rPr>
                <w:sz w:val="20"/>
              </w:rPr>
              <w:noBreakHyphen/>
              <w:t xml:space="preserve">client privileged but </w:t>
            </w:r>
            <w:r w:rsidRPr="00956D0A">
              <w:rPr>
                <w:color w:val="000000"/>
                <w:sz w:val="20"/>
              </w:rPr>
              <w:t xml:space="preserve">that privilege </w:t>
            </w:r>
            <w:r w:rsidRPr="00956D0A">
              <w:rPr>
                <w:sz w:val="20"/>
              </w:rPr>
              <w:t xml:space="preserve">had been </w:t>
            </w:r>
            <w:r w:rsidRPr="00956D0A">
              <w:rPr>
                <w:color w:val="000000"/>
                <w:sz w:val="20"/>
              </w:rPr>
              <w:t xml:space="preserve">impliedly waived and the materials can be disclosed as evidence in Mr. Cameron’s action. The Court of Appeal </w:t>
            </w:r>
            <w:r w:rsidRPr="00956D0A">
              <w:rPr>
                <w:sz w:val="20"/>
              </w:rPr>
              <w:t>dismissed an appeal.</w:t>
            </w:r>
          </w:p>
          <w:p w:rsidR="003D7C55" w:rsidRPr="00956D0A" w:rsidRDefault="003D7C55" w:rsidP="007C3BCE">
            <w:pPr>
              <w:jc w:val="both"/>
              <w:rPr>
                <w:sz w:val="20"/>
              </w:rPr>
            </w:pPr>
          </w:p>
        </w:tc>
      </w:tr>
    </w:tbl>
    <w:p w:rsidR="0095656D" w:rsidRPr="00956D0A" w:rsidRDefault="0095656D">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rPr>
            </w:pPr>
            <w:r w:rsidRPr="00956D0A">
              <w:rPr>
                <w:sz w:val="20"/>
              </w:rPr>
              <w:t>February 22, 2019</w:t>
            </w:r>
          </w:p>
          <w:p w:rsidR="003D7C55" w:rsidRPr="00956D0A" w:rsidRDefault="003D7C55" w:rsidP="007C3BCE">
            <w:pPr>
              <w:jc w:val="both"/>
              <w:rPr>
                <w:sz w:val="20"/>
              </w:rPr>
            </w:pPr>
            <w:r w:rsidRPr="00956D0A">
              <w:rPr>
                <w:sz w:val="20"/>
              </w:rPr>
              <w:t>Supreme Court of Nova Scotia, Trial Division</w:t>
            </w:r>
          </w:p>
          <w:p w:rsidR="003D7C55" w:rsidRPr="00956D0A" w:rsidRDefault="003D7C55" w:rsidP="007C3BCE">
            <w:pPr>
              <w:jc w:val="both"/>
              <w:rPr>
                <w:sz w:val="20"/>
              </w:rPr>
            </w:pPr>
            <w:r w:rsidRPr="00956D0A">
              <w:rPr>
                <w:sz w:val="20"/>
              </w:rPr>
              <w:t>(Murphy J.)</w:t>
            </w:r>
          </w:p>
          <w:p w:rsidR="003D7C55" w:rsidRPr="00956D0A" w:rsidRDefault="00937000" w:rsidP="007C3BCE">
            <w:pPr>
              <w:jc w:val="both"/>
              <w:rPr>
                <w:sz w:val="20"/>
              </w:rPr>
            </w:pPr>
            <w:hyperlink r:id="rId53" w:history="1">
              <w:r w:rsidR="003D7C55" w:rsidRPr="00956D0A">
                <w:rPr>
                  <w:rStyle w:val="Hyperlink"/>
                  <w:sz w:val="20"/>
                </w:rPr>
                <w:t>(2018 NSSC 185)</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Declaration solicitor</w:t>
            </w:r>
            <w:r w:rsidRPr="00956D0A">
              <w:rPr>
                <w:sz w:val="20"/>
              </w:rPr>
              <w:noBreakHyphen/>
              <w:t xml:space="preserve">client </w:t>
            </w:r>
            <w:r w:rsidRPr="00956D0A">
              <w:rPr>
                <w:color w:val="000000"/>
                <w:sz w:val="20"/>
              </w:rPr>
              <w:t>privilege</w:t>
            </w:r>
            <w:r w:rsidRPr="00956D0A">
              <w:rPr>
                <w:sz w:val="20"/>
              </w:rPr>
              <w:t xml:space="preserve"> </w:t>
            </w:r>
            <w:r w:rsidRPr="00956D0A">
              <w:rPr>
                <w:color w:val="000000"/>
                <w:sz w:val="20"/>
              </w:rPr>
              <w:t xml:space="preserve">impliedly waived and </w:t>
            </w:r>
            <w:r w:rsidRPr="00956D0A">
              <w:rPr>
                <w:sz w:val="20"/>
              </w:rPr>
              <w:t>privileged communications</w:t>
            </w:r>
            <w:r w:rsidRPr="00956D0A">
              <w:rPr>
                <w:color w:val="000000"/>
                <w:sz w:val="20"/>
              </w:rPr>
              <w:t xml:space="preserve"> can be disclosed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May 16, 2019</w:t>
            </w:r>
          </w:p>
          <w:p w:rsidR="003D7C55" w:rsidRPr="00956D0A" w:rsidRDefault="003D7C55" w:rsidP="007C3BCE">
            <w:pPr>
              <w:jc w:val="both"/>
              <w:rPr>
                <w:sz w:val="20"/>
              </w:rPr>
            </w:pPr>
            <w:r w:rsidRPr="00956D0A">
              <w:rPr>
                <w:sz w:val="20"/>
              </w:rPr>
              <w:t>Nova Scotia Court of Appeal</w:t>
            </w:r>
          </w:p>
          <w:p w:rsidR="003D7C55" w:rsidRPr="00956D0A" w:rsidRDefault="003D7C55" w:rsidP="007C3BCE">
            <w:pPr>
              <w:jc w:val="both"/>
              <w:rPr>
                <w:sz w:val="20"/>
              </w:rPr>
            </w:pPr>
            <w:r w:rsidRPr="00956D0A">
              <w:rPr>
                <w:sz w:val="20"/>
              </w:rPr>
              <w:t>(Farrar, Saunders, Oland JJ.A.)</w:t>
            </w:r>
          </w:p>
          <w:p w:rsidR="003D7C55" w:rsidRPr="00956D0A" w:rsidRDefault="00937000" w:rsidP="007C3BCE">
            <w:pPr>
              <w:jc w:val="both"/>
              <w:rPr>
                <w:sz w:val="20"/>
              </w:rPr>
            </w:pPr>
            <w:hyperlink r:id="rId54" w:history="1">
              <w:r w:rsidR="003D7C55" w:rsidRPr="00956D0A">
                <w:rPr>
                  <w:rStyle w:val="Hyperlink"/>
                  <w:sz w:val="20"/>
                </w:rPr>
                <w:t>2019 NSCA 38</w:t>
              </w:r>
            </w:hyperlink>
            <w:r w:rsidR="003D7C55" w:rsidRPr="00956D0A">
              <w:rPr>
                <w:sz w:val="20"/>
              </w:rPr>
              <w:t>; CA479331</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August 9,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55"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38688</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Procureur général de la Nouvelle-Écosse représentant sa Majesté la Reine du chef de la province de la Nouvelle-Écosse, Stephen McNeil</w:t>
            </w:r>
            <w:r w:rsidR="002054B3" w:rsidRPr="00956D0A">
              <w:rPr>
                <w:b/>
                <w:sz w:val="20"/>
                <w:szCs w:val="20"/>
              </w:rPr>
              <w:t xml:space="preserve"> et</w:t>
            </w:r>
            <w:r w:rsidRPr="00956D0A">
              <w:rPr>
                <w:b/>
                <w:sz w:val="20"/>
                <w:szCs w:val="20"/>
              </w:rPr>
              <w:t xml:space="preserve"> Diana Whalen c. Alex M. Cameron</w:t>
            </w:r>
          </w:p>
          <w:p w:rsidR="003D7C55" w:rsidRPr="00956D0A" w:rsidRDefault="003D7C55" w:rsidP="007C3BCE">
            <w:pPr>
              <w:jc w:val="both"/>
              <w:rPr>
                <w:sz w:val="20"/>
                <w:lang w:val="fr-CA"/>
              </w:rPr>
            </w:pPr>
            <w:r w:rsidRPr="00956D0A">
              <w:rPr>
                <w:sz w:val="20"/>
                <w:lang w:val="fr-CA"/>
              </w:rPr>
              <w:t>(N.</w:t>
            </w:r>
            <w:r w:rsidRPr="00956D0A">
              <w:rPr>
                <w:sz w:val="20"/>
                <w:lang w:val="fr-CA"/>
              </w:rPr>
              <w:noBreakHyphen/>
              <w:t>É.) (Civile) (Autorisation)</w:t>
            </w:r>
          </w:p>
        </w:tc>
      </w:tr>
      <w:tr w:rsidR="00334E8E" w:rsidRPr="00937000" w:rsidTr="007C3BCE">
        <w:tc>
          <w:tcPr>
            <w:tcW w:w="5000" w:type="pct"/>
            <w:gridSpan w:val="4"/>
          </w:tcPr>
          <w:p w:rsidR="00334E8E" w:rsidRPr="00956D0A" w:rsidRDefault="002054B3" w:rsidP="007C3BCE">
            <w:pPr>
              <w:pStyle w:val="SCCBanSummary0"/>
              <w:rPr>
                <w:smallCaps w:val="0"/>
                <w:sz w:val="20"/>
                <w:szCs w:val="20"/>
                <w:lang w:val="fr-CA"/>
              </w:rPr>
            </w:pPr>
            <w:r w:rsidRPr="00956D0A">
              <w:rPr>
                <w:smallCaps w:val="0"/>
                <w:sz w:val="20"/>
                <w:szCs w:val="20"/>
                <w:lang w:val="fr-CA"/>
              </w:rPr>
              <w:t>La requête en sursis d’</w:t>
            </w:r>
            <w:r w:rsidRPr="00956D0A">
              <w:rPr>
                <w:rStyle w:val="solexhl"/>
                <w:smallCaps w:val="0"/>
                <w:sz w:val="20"/>
                <w:szCs w:val="20"/>
                <w:lang w:val="fr-CA"/>
              </w:rPr>
              <w:t>exécution</w:t>
            </w:r>
            <w:r w:rsidRPr="00956D0A">
              <w:rPr>
                <w:smallCaps w:val="0"/>
                <w:sz w:val="20"/>
                <w:szCs w:val="20"/>
                <w:lang w:val="fr-CA"/>
              </w:rPr>
              <w:t xml:space="preserve"> est rejetée. La demande d’autorisation d’appel de l’arrêt de la Cour d’appel de la Nouvelle-Écosse, numéro CA 479331, 2019 NSCA 38, daté du 16 mai 2019, est rejetée avec dépens.</w:t>
            </w:r>
          </w:p>
          <w:p w:rsidR="002054B3" w:rsidRPr="00956D0A" w:rsidRDefault="002054B3" w:rsidP="002054B3">
            <w:pPr>
              <w:rPr>
                <w:lang w:val="fr-CA"/>
              </w:rPr>
            </w:pPr>
          </w:p>
        </w:tc>
      </w:tr>
      <w:tr w:rsidR="003D7C55" w:rsidRPr="00937000" w:rsidTr="007C3BCE">
        <w:tc>
          <w:tcPr>
            <w:tcW w:w="5000" w:type="pct"/>
            <w:gridSpan w:val="4"/>
          </w:tcPr>
          <w:p w:rsidR="003D7C55" w:rsidRPr="00956D0A" w:rsidRDefault="003D7C55" w:rsidP="007C3BCE">
            <w:pPr>
              <w:pStyle w:val="SCCBanSummary0"/>
              <w:rPr>
                <w:sz w:val="20"/>
                <w:szCs w:val="20"/>
                <w:lang w:val="fr-CA"/>
              </w:rPr>
            </w:pPr>
            <w:r w:rsidRPr="00956D0A">
              <w:rPr>
                <w:sz w:val="20"/>
                <w:szCs w:val="20"/>
                <w:lang w:val="fr-CA"/>
              </w:rPr>
              <w:t>(Ordonnance de non</w:t>
            </w:r>
            <w:r w:rsidRPr="00956D0A">
              <w:rPr>
                <w:sz w:val="20"/>
                <w:szCs w:val="20"/>
                <w:lang w:val="fr-CA"/>
              </w:rPr>
              <w:noBreakHyphen/>
              <w:t>publication dans le dossier) (Ordonnance de mise sous scellés) (Le dossier de la Cour renferme des données que le public n’est pas autorisé à consulter)</w:t>
            </w:r>
          </w:p>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color w:val="000000"/>
                <w:sz w:val="20"/>
                <w:lang w:val="fr-CA"/>
              </w:rPr>
              <w:t>Procédure civile — Privilège — Secret professionnel de l’avocat — Renonciation implicite — Abus de procédure — Un avocat donne un avis d’action contre d’anciens clients alléguant que les déclarations publiques des clients constituaient de la diffamation, l’abus dans l’exercice d’une charge publique, le congédiement déguisé et la violation de droits constitutionnels — Dans l’action, l’avocat veut divulguer des communications faisant l’objet d’un privilège du secret professionnel de l’avocat— Portée de la renonciation implicite au privilège du secret professionnel de l’avocat</w:t>
            </w:r>
            <w:r w:rsidRPr="00956D0A">
              <w:rPr>
                <w:sz w:val="20"/>
                <w:lang w:val="fr-CA"/>
              </w:rPr>
              <w:t xml:space="preserve"> — Abus de procédure éventuel lié à l’utilisation par l’avocat de renseignements protégés et confidentiels dans la poursuite en justice contre son ancien client.</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56D0A" w:rsidTr="007C3BCE">
        <w:tc>
          <w:tcPr>
            <w:tcW w:w="5000" w:type="pct"/>
            <w:gridSpan w:val="4"/>
          </w:tcPr>
          <w:p w:rsidR="003D7C55" w:rsidRPr="00956D0A" w:rsidRDefault="003D7C55" w:rsidP="007C3BCE">
            <w:pPr>
              <w:jc w:val="both"/>
              <w:rPr>
                <w:color w:val="000000"/>
                <w:sz w:val="20"/>
                <w:lang w:val="fr-CA"/>
              </w:rPr>
            </w:pPr>
            <w:r w:rsidRPr="00956D0A">
              <w:rPr>
                <w:sz w:val="20"/>
                <w:lang w:val="fr-CA"/>
              </w:rPr>
              <w:t xml:space="preserve">Monsieur Cameron </w:t>
            </w:r>
            <w:r w:rsidRPr="00956D0A">
              <w:rPr>
                <w:color w:val="000000"/>
                <w:sz w:val="20"/>
                <w:lang w:val="fr-CA"/>
              </w:rPr>
              <w:t>a travaillé comme avocat au ministère de la Justice de la Nouvelle</w:t>
            </w:r>
            <w:r w:rsidRPr="00956D0A">
              <w:rPr>
                <w:color w:val="000000"/>
                <w:sz w:val="20"/>
                <w:lang w:val="fr-CA"/>
              </w:rPr>
              <w:noBreakHyphen/>
              <w:t>Écosse comme avocat</w:t>
            </w:r>
            <w:r w:rsidRPr="00956D0A">
              <w:rPr>
                <w:color w:val="000000"/>
                <w:sz w:val="20"/>
                <w:lang w:val="fr-CA"/>
              </w:rPr>
              <w:noBreakHyphen/>
              <w:t xml:space="preserve">plaideur en matière civile et il a présenté des observations en tant qu’avocat au dossier dans un appel interjeté par la bande </w:t>
            </w:r>
            <w:r w:rsidRPr="00956D0A">
              <w:rPr>
                <w:sz w:val="20"/>
                <w:lang w:val="fr-CA"/>
              </w:rPr>
              <w:t>Sipekne’katik d’une décision du ministère de l’Environnement. Les observations ont suscité la controverse dans les médias et la Chambre d’assemblée de la Nouvelle</w:t>
            </w:r>
            <w:r w:rsidRPr="00956D0A">
              <w:rPr>
                <w:sz w:val="20"/>
                <w:lang w:val="fr-CA"/>
              </w:rPr>
              <w:noBreakHyphen/>
              <w:t>Écosse. Le premier ministre Stephen McNeil et la ministre de la Justice et procureure générale Diana Whalen ont fait des déclarations publiques relativement aux observations. Monsieur Cameron allègue que leurs déclarations publiques laissaient entendre qu’il n’avait pas reçu de directives pour présenter les observations. Monsieur Cameron a été retiré de l’appel et mis à la retraite au ministère de la Justice. Il a signifié un avis d’action projetée, alléguant la diffamation, l’abus dans l’exercice d’une charge publique, le congédiement injustifié et une violation de ses droits constitutionnels</w:t>
            </w:r>
            <w:r w:rsidRPr="00956D0A">
              <w:rPr>
                <w:color w:val="000000"/>
                <w:sz w:val="20"/>
                <w:lang w:val="fr-CA"/>
              </w:rPr>
              <w:t xml:space="preserve">. Il a présenté une demande de divulgation de communications, de conseils et de renseignements qui lui avaient été transmis en tant qu’ancien avocat au dossier en appel, pour valoir comme preuve dans son action. </w:t>
            </w:r>
            <w:r w:rsidRPr="00956D0A">
              <w:rPr>
                <w:sz w:val="20"/>
                <w:lang w:val="fr-CA"/>
              </w:rPr>
              <w:t>Un juge des requêtes a déclaré que les communications étaient protégées par le privilège du secret professionnel de l’avocat, mais que ce privilège avait été l’objet d’une renonciation implicite et que les documents pouvaient être divulgués comme preuve dans l’action de M. Cameron</w:t>
            </w:r>
            <w:r w:rsidRPr="00956D0A">
              <w:rPr>
                <w:color w:val="000000"/>
                <w:sz w:val="20"/>
                <w:lang w:val="fr-CA"/>
              </w:rPr>
              <w:t>. La Cour d’appel a rejeté l’appel</w:t>
            </w:r>
            <w:r w:rsidRPr="00956D0A">
              <w:rPr>
                <w:sz w:val="20"/>
                <w:lang w:val="fr-CA"/>
              </w:rPr>
              <w:t>.</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22 février 2019</w:t>
            </w:r>
          </w:p>
          <w:p w:rsidR="003D7C55" w:rsidRPr="00956D0A" w:rsidRDefault="003D7C55" w:rsidP="007C3BCE">
            <w:pPr>
              <w:jc w:val="both"/>
              <w:rPr>
                <w:sz w:val="20"/>
                <w:lang w:val="fr-CA"/>
              </w:rPr>
            </w:pPr>
            <w:r w:rsidRPr="00956D0A">
              <w:rPr>
                <w:sz w:val="20"/>
                <w:lang w:val="fr-CA"/>
              </w:rPr>
              <w:t>Cour suprême de la Nouvelle</w:t>
            </w:r>
            <w:r w:rsidRPr="00956D0A">
              <w:rPr>
                <w:sz w:val="20"/>
                <w:lang w:val="fr-CA"/>
              </w:rPr>
              <w:noBreakHyphen/>
              <w:t>Écosse, Section de première instance</w:t>
            </w:r>
          </w:p>
          <w:p w:rsidR="003D7C55" w:rsidRPr="00956D0A" w:rsidRDefault="003D7C55" w:rsidP="007C3BCE">
            <w:pPr>
              <w:jc w:val="both"/>
              <w:rPr>
                <w:sz w:val="20"/>
                <w:lang w:val="fr-CA"/>
              </w:rPr>
            </w:pPr>
            <w:r w:rsidRPr="00956D0A">
              <w:rPr>
                <w:sz w:val="20"/>
                <w:lang w:val="fr-CA"/>
              </w:rPr>
              <w:t>(Juge Murphy)</w:t>
            </w:r>
          </w:p>
          <w:p w:rsidR="003D7C55" w:rsidRPr="00956D0A" w:rsidRDefault="00937000" w:rsidP="007C3BCE">
            <w:pPr>
              <w:jc w:val="both"/>
              <w:rPr>
                <w:sz w:val="20"/>
                <w:lang w:val="fr-CA"/>
              </w:rPr>
            </w:pPr>
            <w:hyperlink r:id="rId55" w:history="1">
              <w:r w:rsidR="003D7C55" w:rsidRPr="00956D0A">
                <w:rPr>
                  <w:rStyle w:val="Hyperlink"/>
                  <w:sz w:val="20"/>
                  <w:lang w:val="fr-CA"/>
                </w:rPr>
                <w:t>(2018 NSSC 185)</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déclarant que le privilège du secret professionnel de l’avocat avait été l’objet d’une renonciation implicite et que les communications protégées peuvent être divulguées</w:t>
            </w:r>
          </w:p>
          <w:p w:rsidR="003D7C55" w:rsidRPr="00956D0A" w:rsidRDefault="003D7C55" w:rsidP="007C3BCE">
            <w:pPr>
              <w:jc w:val="both"/>
              <w:rPr>
                <w:sz w:val="20"/>
                <w:lang w:val="fr-CA"/>
              </w:rPr>
            </w:pPr>
          </w:p>
        </w:tc>
      </w:tr>
      <w:tr w:rsidR="003D7C55" w:rsidRPr="00956D0A" w:rsidTr="007C3BCE">
        <w:tc>
          <w:tcPr>
            <w:tcW w:w="2427" w:type="pct"/>
            <w:gridSpan w:val="2"/>
          </w:tcPr>
          <w:p w:rsidR="003D7C55" w:rsidRPr="00956D0A" w:rsidRDefault="003D7C55" w:rsidP="007C3BCE">
            <w:pPr>
              <w:jc w:val="both"/>
              <w:rPr>
                <w:sz w:val="20"/>
                <w:lang w:val="fr-CA"/>
              </w:rPr>
            </w:pPr>
            <w:r w:rsidRPr="00956D0A">
              <w:rPr>
                <w:sz w:val="20"/>
                <w:lang w:val="fr-CA"/>
              </w:rPr>
              <w:t>16 mai 2019</w:t>
            </w:r>
          </w:p>
          <w:p w:rsidR="003D7C55" w:rsidRPr="00956D0A" w:rsidRDefault="003D7C55" w:rsidP="007C3BCE">
            <w:pPr>
              <w:jc w:val="both"/>
              <w:rPr>
                <w:sz w:val="20"/>
                <w:lang w:val="fr-CA"/>
              </w:rPr>
            </w:pPr>
            <w:r w:rsidRPr="00956D0A">
              <w:rPr>
                <w:sz w:val="20"/>
                <w:lang w:val="fr-CA"/>
              </w:rPr>
              <w:t>Cour d’appel de la Nouvelle</w:t>
            </w:r>
            <w:r w:rsidRPr="00956D0A">
              <w:rPr>
                <w:sz w:val="20"/>
                <w:lang w:val="fr-CA"/>
              </w:rPr>
              <w:noBreakHyphen/>
              <w:t>Écosse</w:t>
            </w:r>
          </w:p>
          <w:p w:rsidR="003D7C55" w:rsidRPr="00956D0A" w:rsidRDefault="003D7C55" w:rsidP="007C3BCE">
            <w:pPr>
              <w:jc w:val="both"/>
              <w:rPr>
                <w:sz w:val="20"/>
                <w:lang w:val="fr-CA"/>
              </w:rPr>
            </w:pPr>
            <w:r w:rsidRPr="00956D0A">
              <w:rPr>
                <w:sz w:val="20"/>
                <w:lang w:val="fr-CA"/>
              </w:rPr>
              <w:t>(Juges Farrar, Saunders et Oland)</w:t>
            </w:r>
          </w:p>
          <w:p w:rsidR="003D7C55" w:rsidRPr="00956D0A" w:rsidRDefault="00937000" w:rsidP="007C3BCE">
            <w:pPr>
              <w:jc w:val="both"/>
              <w:rPr>
                <w:sz w:val="20"/>
                <w:lang w:val="fr-CA"/>
              </w:rPr>
            </w:pPr>
            <w:hyperlink r:id="rId56" w:history="1">
              <w:r w:rsidR="003D7C55" w:rsidRPr="00956D0A">
                <w:rPr>
                  <w:rStyle w:val="Hyperlink"/>
                  <w:sz w:val="20"/>
                  <w:lang w:val="fr-CA"/>
                </w:rPr>
                <w:t>2019 NSCA 38</w:t>
              </w:r>
            </w:hyperlink>
            <w:r w:rsidR="003D7C55" w:rsidRPr="00956D0A">
              <w:rPr>
                <w:sz w:val="20"/>
                <w:lang w:val="fr-CA"/>
              </w:rPr>
              <w:t>; CA479331</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9 août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jc w:val="both"/>
        <w:rPr>
          <w:sz w:val="20"/>
          <w:lang w:val="fr-CA"/>
        </w:rPr>
      </w:pPr>
      <w:r>
        <w:rPr>
          <w:sz w:val="20"/>
        </w:rPr>
        <w:pict>
          <v:rect id="_x0000_i1056"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38759</w:t>
            </w:r>
          </w:p>
        </w:tc>
        <w:tc>
          <w:tcPr>
            <w:tcW w:w="4457" w:type="pct"/>
            <w:gridSpan w:val="3"/>
          </w:tcPr>
          <w:p w:rsidR="003D7C55" w:rsidRPr="00956D0A" w:rsidRDefault="003D7C55" w:rsidP="007C3BCE">
            <w:pPr>
              <w:pStyle w:val="SCCLsocParty"/>
              <w:jc w:val="both"/>
              <w:rPr>
                <w:b/>
                <w:sz w:val="20"/>
                <w:szCs w:val="20"/>
                <w:lang w:val="en-CA"/>
              </w:rPr>
            </w:pPr>
            <w:r w:rsidRPr="00956D0A">
              <w:rPr>
                <w:b/>
                <w:sz w:val="20"/>
                <w:szCs w:val="20"/>
                <w:lang w:val="en-CA"/>
              </w:rPr>
              <w:t>Ville de Montréal v. Litwin Boyadjian inc., in its capacity as trustee in bankruptcy of Public Bike System Company</w:t>
            </w:r>
          </w:p>
          <w:p w:rsidR="003D7C55" w:rsidRPr="00956D0A" w:rsidRDefault="003D7C55" w:rsidP="007C3BCE">
            <w:pPr>
              <w:jc w:val="both"/>
              <w:rPr>
                <w:sz w:val="20"/>
              </w:rPr>
            </w:pPr>
            <w:r w:rsidRPr="00956D0A">
              <w:rPr>
                <w:sz w:val="20"/>
              </w:rPr>
              <w:t>(Que.) (Civil) (By Leave)</w:t>
            </w:r>
          </w:p>
        </w:tc>
      </w:tr>
      <w:tr w:rsidR="005C48A3" w:rsidRPr="00956D0A" w:rsidTr="007C3BCE">
        <w:tc>
          <w:tcPr>
            <w:tcW w:w="5000" w:type="pct"/>
            <w:gridSpan w:val="4"/>
          </w:tcPr>
          <w:p w:rsidR="00BE7833" w:rsidRPr="00956D0A" w:rsidRDefault="00BE7833" w:rsidP="00BE7833">
            <w:pPr>
              <w:jc w:val="both"/>
              <w:rPr>
                <w:rFonts w:cs="Times New Roman"/>
                <w:sz w:val="20"/>
                <w:szCs w:val="20"/>
                <w:lang w:val="en-US"/>
              </w:rPr>
            </w:pPr>
            <w:r w:rsidRPr="00956D0A">
              <w:rPr>
                <w:sz w:val="20"/>
                <w:szCs w:val="20"/>
              </w:rPr>
              <w:t xml:space="preserve">The application for leave to appeal from the judgment of the </w:t>
            </w:r>
            <w:r w:rsidRPr="00956D0A">
              <w:rPr>
                <w:sz w:val="20"/>
                <w:szCs w:val="20"/>
                <w:lang w:val="en-US"/>
              </w:rPr>
              <w:t>Court of Appeal of Quebec (Montréal)</w:t>
            </w:r>
            <w:r w:rsidRPr="00956D0A">
              <w:rPr>
                <w:sz w:val="20"/>
                <w:szCs w:val="20"/>
              </w:rPr>
              <w:t>, Number</w:t>
            </w:r>
            <w:r w:rsidRPr="00956D0A">
              <w:rPr>
                <w:sz w:val="20"/>
                <w:szCs w:val="20"/>
                <w:lang w:val="en-US"/>
              </w:rPr>
              <w:t xml:space="preserve"> 500</w:t>
            </w:r>
            <w:r w:rsidRPr="00956D0A">
              <w:rPr>
                <w:sz w:val="20"/>
                <w:szCs w:val="20"/>
                <w:lang w:val="en-US"/>
              </w:rPr>
              <w:noBreakHyphen/>
              <w:t>09</w:t>
            </w:r>
            <w:r w:rsidRPr="00956D0A">
              <w:rPr>
                <w:sz w:val="20"/>
                <w:szCs w:val="20"/>
                <w:lang w:val="en-US"/>
              </w:rPr>
              <w:noBreakHyphen/>
              <w:t>026764</w:t>
            </w:r>
            <w:r w:rsidRPr="00956D0A">
              <w:rPr>
                <w:sz w:val="20"/>
                <w:szCs w:val="20"/>
                <w:lang w:val="en-US"/>
              </w:rPr>
              <w:noBreakHyphen/>
              <w:t>175</w:t>
            </w:r>
            <w:r w:rsidRPr="00956D0A">
              <w:rPr>
                <w:sz w:val="20"/>
                <w:szCs w:val="20"/>
              </w:rPr>
              <w:t xml:space="preserve">, </w:t>
            </w:r>
            <w:r w:rsidRPr="00956D0A">
              <w:rPr>
                <w:sz w:val="20"/>
                <w:szCs w:val="20"/>
                <w:lang w:val="en-US"/>
              </w:rPr>
              <w:t>2019 QCCA 794,</w:t>
            </w:r>
            <w:r w:rsidRPr="00956D0A">
              <w:rPr>
                <w:sz w:val="20"/>
                <w:szCs w:val="20"/>
              </w:rPr>
              <w:t xml:space="preserve"> dated </w:t>
            </w:r>
            <w:r w:rsidRPr="00956D0A">
              <w:rPr>
                <w:sz w:val="20"/>
                <w:szCs w:val="20"/>
                <w:lang w:val="en-US"/>
              </w:rPr>
              <w:t>May 7, 2019,</w:t>
            </w:r>
            <w:r w:rsidRPr="00956D0A">
              <w:rPr>
                <w:sz w:val="20"/>
                <w:szCs w:val="20"/>
              </w:rPr>
              <w:t xml:space="preserve"> is dismissed with costs. </w:t>
            </w:r>
            <w:r w:rsidRPr="00956D0A">
              <w:rPr>
                <w:sz w:val="20"/>
                <w:szCs w:val="20"/>
                <w:lang w:val="en-US"/>
              </w:rPr>
              <w:t>The application for leave to cross-appeal is dismissed</w:t>
            </w:r>
            <w:r w:rsidRPr="00956D0A">
              <w:rPr>
                <w:rFonts w:cs="Times New Roman"/>
                <w:sz w:val="20"/>
                <w:szCs w:val="20"/>
                <w:lang w:val="en-US"/>
              </w:rPr>
              <w:t>. Since the application for leave to appeal is dismissed, it is not necessary to consider the motion for leave to intervene by Union des municipalités du Québec and the motion for a stay of execution.</w:t>
            </w:r>
          </w:p>
          <w:p w:rsidR="00BE7833" w:rsidRPr="00956D0A" w:rsidRDefault="00BE7833" w:rsidP="00BE7833">
            <w:pPr>
              <w:jc w:val="both"/>
              <w:rPr>
                <w:sz w:val="20"/>
                <w:szCs w:val="20"/>
              </w:rPr>
            </w:pPr>
          </w:p>
          <w:p w:rsidR="005C48A3" w:rsidRPr="00956D0A" w:rsidRDefault="00BE7833" w:rsidP="00BE7833">
            <w:pPr>
              <w:jc w:val="both"/>
              <w:rPr>
                <w:sz w:val="20"/>
                <w:szCs w:val="20"/>
                <w:lang w:val="en-US"/>
              </w:rPr>
            </w:pPr>
            <w:r w:rsidRPr="00956D0A">
              <w:rPr>
                <w:sz w:val="20"/>
                <w:szCs w:val="20"/>
                <w:lang w:val="en-US"/>
              </w:rPr>
              <w:t>Kasirer J. took no part in the judgment.</w:t>
            </w:r>
          </w:p>
          <w:p w:rsidR="00BE7833" w:rsidRPr="00956D0A" w:rsidRDefault="00BE7833" w:rsidP="00BE7833">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Bankruptcy and insolvency — Bankruptcy of non</w:t>
            </w:r>
            <w:r w:rsidRPr="00956D0A">
              <w:rPr>
                <w:sz w:val="20"/>
              </w:rPr>
              <w:noBreakHyphen/>
              <w:t>profit company — City making loan to non</w:t>
            </w:r>
            <w:r w:rsidRPr="00956D0A">
              <w:rPr>
                <w:sz w:val="20"/>
              </w:rPr>
              <w:noBreakHyphen/>
              <w:t>profit company, and company granting city hypothec on universality of its movable property — Non</w:t>
            </w:r>
            <w:r w:rsidRPr="00956D0A">
              <w:rPr>
                <w:sz w:val="20"/>
              </w:rPr>
              <w:noBreakHyphen/>
              <w:t>profit company bankrupt — Courts below declaring loan and hypothec null because contrary to prohibition against municipalities assisting commercial establishment — Whether non</w:t>
            </w:r>
            <w:r w:rsidRPr="00956D0A">
              <w:rPr>
                <w:sz w:val="20"/>
              </w:rPr>
              <w:noBreakHyphen/>
              <w:t xml:space="preserve">profit body can be characterized as commercial establishment within meaning of s. 1 of </w:t>
            </w:r>
            <w:r w:rsidRPr="00956D0A">
              <w:rPr>
                <w:i/>
                <w:sz w:val="20"/>
              </w:rPr>
              <w:t>Municipal Aid Prohibition Act</w:t>
            </w:r>
            <w:r w:rsidRPr="00956D0A">
              <w:rPr>
                <w:sz w:val="20"/>
              </w:rPr>
              <w:t xml:space="preserve"> —Consequences that must be found by court to follow from annulment of loan made by municipality pursuant to provisions of </w:t>
            </w:r>
            <w:r w:rsidRPr="00956D0A">
              <w:rPr>
                <w:i/>
                <w:sz w:val="20"/>
              </w:rPr>
              <w:t>Municipal Aid Prohibition Act</w:t>
            </w:r>
            <w:r w:rsidRPr="00956D0A">
              <w:rPr>
                <w:sz w:val="20"/>
              </w:rPr>
              <w:t xml:space="preserve"> — When creditor agrees to extinguish entire amount of its debt as consideration for acquiring debtor’s assets, whether value of assets should be set to amount of outstanding debt — </w:t>
            </w:r>
            <w:r w:rsidRPr="00956D0A">
              <w:rPr>
                <w:i/>
                <w:sz w:val="20"/>
              </w:rPr>
              <w:t>Municipal Aid Prohibition Act</w:t>
            </w:r>
            <w:r w:rsidRPr="00956D0A">
              <w:rPr>
                <w:sz w:val="20"/>
              </w:rPr>
              <w:t>, CQLR, c. I</w:t>
            </w:r>
            <w:r w:rsidRPr="00956D0A">
              <w:rPr>
                <w:sz w:val="20"/>
              </w:rPr>
              <w:noBreakHyphen/>
              <w:t xml:space="preserve">15, s. 1 — </w:t>
            </w:r>
            <w:r w:rsidRPr="00956D0A">
              <w:rPr>
                <w:i/>
                <w:sz w:val="20"/>
              </w:rPr>
              <w:t>Bankruptcy and Insolvency Act</w:t>
            </w:r>
            <w:r w:rsidRPr="00956D0A">
              <w:rPr>
                <w:sz w:val="20"/>
              </w:rPr>
              <w:t>, R.S.C. 1985, c. B</w:t>
            </w:r>
            <w:r w:rsidRPr="00956D0A">
              <w:rPr>
                <w:sz w:val="20"/>
              </w:rPr>
              <w:noBreakHyphen/>
              <w:t>3, ss. 95(1) and 97(3).</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In October 2007, Ville de Montréal (“City”) passed a resolution to give Stationnement de Montréal (“Stationnement Montréal”), a limited partnership, a mandate to establish a public bike system in Montréal. In September 2008, the Public Bike System Company (“Bixi” based on the name of the system it operated) was created as a non</w:t>
            </w:r>
            <w:r w:rsidRPr="00956D0A">
              <w:rPr>
                <w:sz w:val="20"/>
              </w:rPr>
              <w:noBreakHyphen/>
              <w:t xml:space="preserve">profit company. Stationnement Montréal made advances to Bixi. In June 2011, the City and Bixi signed a loan agreement for the express purpose of enabling Bixi to repay the amounts it owed to Stationnement Montréal. Bixi granted the City a hypothec on the universality of its movable property. In January 2014, Bixi filed a notice of intention to make a proposal to its creditors under the </w:t>
            </w:r>
            <w:r w:rsidRPr="00956D0A">
              <w:rPr>
                <w:i/>
                <w:sz w:val="20"/>
              </w:rPr>
              <w:t>Bankruptcy and Insolvency Act</w:t>
            </w:r>
            <w:r w:rsidRPr="00956D0A">
              <w:rPr>
                <w:sz w:val="20"/>
              </w:rPr>
              <w:t>, R.S.C. 1985, c. B</w:t>
            </w:r>
            <w:r w:rsidRPr="00956D0A">
              <w:rPr>
                <w:sz w:val="20"/>
              </w:rPr>
              <w:noBreakHyphen/>
              <w:t xml:space="preserve">3. In March 2014, a judge authorized Bixi to sign, in favour of the City, an act of voluntary surrender and taking in payment that included its assets. On May 1, 2014, Bixi was deemed to have made an assignment of its property. A trustee in bankruptcy was appointed and filed a motion to recover monies. The Superior Court allowed the motion in part and declared that the loan made to Bixi by the City and the hypothec securing the loan were null </w:t>
            </w:r>
            <w:r w:rsidRPr="00956D0A">
              <w:rPr>
                <w:i/>
                <w:sz w:val="20"/>
              </w:rPr>
              <w:t>ab initio</w:t>
            </w:r>
            <w:r w:rsidRPr="00956D0A">
              <w:rPr>
                <w:sz w:val="20"/>
              </w:rPr>
              <w:t xml:space="preserve"> because they were contrary to the </w:t>
            </w:r>
            <w:r w:rsidRPr="00956D0A">
              <w:rPr>
                <w:i/>
                <w:sz w:val="20"/>
              </w:rPr>
              <w:t>Municipal Aid Prohibition Act</w:t>
            </w:r>
            <w:r w:rsidRPr="00956D0A">
              <w:rPr>
                <w:sz w:val="20"/>
              </w:rPr>
              <w:t>, CQLR, c. I</w:t>
            </w:r>
            <w:r w:rsidRPr="00956D0A">
              <w:rPr>
                <w:sz w:val="20"/>
              </w:rPr>
              <w:noBreakHyphen/>
              <w:t>15, based on the court’s finding that Bixi’s activity was essentially commercial in nature. The Superior Court ordered the City to hand over an amount representing the value of the property taken in payment. The Court of Appeal upheld that judgment and added a declaratory conclusion to the effect that the City was a creditor for the balance owed on the date of taking in payment.</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April 18, 2017</w:t>
            </w:r>
          </w:p>
          <w:p w:rsidR="003D7C55" w:rsidRPr="00956D0A" w:rsidRDefault="003D7C55" w:rsidP="007C3BCE">
            <w:pPr>
              <w:jc w:val="both"/>
              <w:rPr>
                <w:sz w:val="20"/>
              </w:rPr>
            </w:pPr>
            <w:r w:rsidRPr="00956D0A">
              <w:rPr>
                <w:sz w:val="20"/>
              </w:rPr>
              <w:t>Quebec Superior Court</w:t>
            </w:r>
          </w:p>
          <w:p w:rsidR="003D7C55" w:rsidRPr="00956D0A" w:rsidRDefault="003D7C55" w:rsidP="007C3BCE">
            <w:pPr>
              <w:jc w:val="both"/>
              <w:rPr>
                <w:sz w:val="20"/>
              </w:rPr>
            </w:pPr>
            <w:r w:rsidRPr="00956D0A">
              <w:rPr>
                <w:sz w:val="20"/>
              </w:rPr>
              <w:t>(Castonguay J.)</w:t>
            </w:r>
          </w:p>
          <w:p w:rsidR="003D7C55" w:rsidRPr="00956D0A" w:rsidRDefault="00937000" w:rsidP="007C3BCE">
            <w:pPr>
              <w:jc w:val="both"/>
              <w:rPr>
                <w:sz w:val="20"/>
              </w:rPr>
            </w:pPr>
            <w:hyperlink r:id="rId57" w:history="1">
              <w:r w:rsidR="003D7C55" w:rsidRPr="00956D0A">
                <w:rPr>
                  <w:rStyle w:val="Hyperlink"/>
                  <w:sz w:val="20"/>
                </w:rPr>
                <w:t>2017 QCCS 1442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by trustee to recover monies allowed in part</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May 7, 2019</w:t>
            </w:r>
          </w:p>
          <w:p w:rsidR="003D7C55" w:rsidRPr="00956D0A" w:rsidRDefault="003D7C55" w:rsidP="007C3BCE">
            <w:pPr>
              <w:jc w:val="both"/>
              <w:rPr>
                <w:sz w:val="20"/>
              </w:rPr>
            </w:pPr>
            <w:r w:rsidRPr="00956D0A">
              <w:rPr>
                <w:sz w:val="20"/>
              </w:rPr>
              <w:t>Quebec Court of Appeal (Montréal)</w:t>
            </w:r>
          </w:p>
          <w:p w:rsidR="003D7C55" w:rsidRPr="00956D0A" w:rsidRDefault="003D7C55" w:rsidP="007C3BCE">
            <w:pPr>
              <w:jc w:val="both"/>
              <w:rPr>
                <w:sz w:val="20"/>
              </w:rPr>
            </w:pPr>
            <w:r w:rsidRPr="00956D0A">
              <w:rPr>
                <w:sz w:val="20"/>
              </w:rPr>
              <w:t>(Kasirer, Savard and Roy JJ.A.)</w:t>
            </w:r>
          </w:p>
          <w:p w:rsidR="003D7C55" w:rsidRPr="00956D0A" w:rsidRDefault="00937000" w:rsidP="007C3BCE">
            <w:pPr>
              <w:jc w:val="both"/>
              <w:rPr>
                <w:sz w:val="20"/>
              </w:rPr>
            </w:pPr>
            <w:hyperlink r:id="rId58" w:history="1">
              <w:r w:rsidR="003D7C55" w:rsidRPr="00956D0A">
                <w:rPr>
                  <w:rStyle w:val="Hyperlink"/>
                  <w:sz w:val="20"/>
                </w:rPr>
                <w:t>2019 QCCA 794</w:t>
              </w:r>
            </w:hyperlink>
            <w:r w:rsidR="003D7C55" w:rsidRPr="00956D0A">
              <w:rPr>
                <w:sz w:val="20"/>
              </w:rPr>
              <w:t xml:space="preserve"> (500</w:t>
            </w:r>
            <w:r w:rsidR="003D7C55" w:rsidRPr="00956D0A">
              <w:rPr>
                <w:sz w:val="20"/>
              </w:rPr>
              <w:noBreakHyphen/>
              <w:t>09</w:t>
            </w:r>
            <w:r w:rsidR="003D7C55" w:rsidRPr="00956D0A">
              <w:rPr>
                <w:sz w:val="20"/>
              </w:rPr>
              <w:noBreakHyphen/>
              <w:t>026764</w:t>
            </w:r>
            <w:r w:rsidR="003D7C55" w:rsidRPr="00956D0A">
              <w:rPr>
                <w:sz w:val="20"/>
              </w:rPr>
              <w:noBreakHyphen/>
              <w:t>175)</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of Ville de Montréal allowed in part; declaratory conclusion added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August 6, 2019</w:t>
            </w:r>
          </w:p>
          <w:p w:rsidR="003D7C55" w:rsidRPr="00956D0A" w:rsidRDefault="003D7C55" w:rsidP="007C3BCE">
            <w:pPr>
              <w:jc w:val="both"/>
              <w:rPr>
                <w:sz w:val="20"/>
              </w:rPr>
            </w:pPr>
            <w:r w:rsidRPr="00956D0A">
              <w:rPr>
                <w:sz w:val="20"/>
              </w:rPr>
              <w:t>Supreme Court of Canada</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and motion for stay of execution filed</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10,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cross</w:t>
            </w:r>
            <w:r w:rsidRPr="00956D0A">
              <w:rPr>
                <w:sz w:val="20"/>
              </w:rPr>
              <w:noBreakHyphen/>
              <w:t>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57"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38759</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 xml:space="preserve">Ville de Montréal c. Litwin Boyadjian inc., ès qualité de syndic à la faillite de </w:t>
            </w:r>
            <w:r w:rsidR="003E22A3" w:rsidRPr="00956D0A">
              <w:rPr>
                <w:b/>
                <w:sz w:val="20"/>
                <w:szCs w:val="20"/>
              </w:rPr>
              <w:t>S</w:t>
            </w:r>
            <w:r w:rsidRPr="00956D0A">
              <w:rPr>
                <w:b/>
                <w:sz w:val="20"/>
                <w:szCs w:val="20"/>
              </w:rPr>
              <w:t>ociété de vélo en libre-service</w:t>
            </w:r>
          </w:p>
          <w:p w:rsidR="003D7C55" w:rsidRPr="00956D0A" w:rsidRDefault="003D7C55" w:rsidP="007C3BCE">
            <w:pPr>
              <w:jc w:val="both"/>
              <w:rPr>
                <w:sz w:val="20"/>
              </w:rPr>
            </w:pPr>
            <w:r w:rsidRPr="00956D0A">
              <w:rPr>
                <w:sz w:val="20"/>
              </w:rPr>
              <w:t>(Qc) (Civile) (Autorisation)</w:t>
            </w:r>
          </w:p>
        </w:tc>
      </w:tr>
      <w:tr w:rsidR="008F385C" w:rsidRPr="00937000" w:rsidTr="007C3BCE">
        <w:tc>
          <w:tcPr>
            <w:tcW w:w="5000" w:type="pct"/>
            <w:gridSpan w:val="4"/>
          </w:tcPr>
          <w:p w:rsidR="00F6571B" w:rsidRPr="00956D0A" w:rsidRDefault="00F6571B" w:rsidP="00F6571B">
            <w:pPr>
              <w:jc w:val="both"/>
              <w:rPr>
                <w:sz w:val="20"/>
                <w:szCs w:val="20"/>
                <w:lang w:val="fr-CA"/>
              </w:rPr>
            </w:pPr>
            <w:r w:rsidRPr="00956D0A">
              <w:rPr>
                <w:sz w:val="20"/>
                <w:szCs w:val="20"/>
                <w:lang w:val="fr-CA"/>
              </w:rPr>
              <w:t>La demande d’autorisation d’appel de l’arrêt de la Cour d’appel du Québec (Montréal), numéro 500</w:t>
            </w:r>
            <w:r w:rsidRPr="00956D0A">
              <w:rPr>
                <w:sz w:val="20"/>
                <w:szCs w:val="20"/>
                <w:lang w:val="fr-CA"/>
              </w:rPr>
              <w:noBreakHyphen/>
              <w:t>09</w:t>
            </w:r>
            <w:r w:rsidRPr="00956D0A">
              <w:rPr>
                <w:sz w:val="20"/>
                <w:szCs w:val="20"/>
                <w:lang w:val="fr-CA"/>
              </w:rPr>
              <w:noBreakHyphen/>
              <w:t>026764</w:t>
            </w:r>
            <w:r w:rsidRPr="00956D0A">
              <w:rPr>
                <w:sz w:val="20"/>
                <w:szCs w:val="20"/>
                <w:lang w:val="fr-CA"/>
              </w:rPr>
              <w:noBreakHyphen/>
              <w:t>175, 2019 QCCA 794, daté du 7 mai 2019, est rejetée avec dépens. La demande d’autorisation d’appel incident est rejetée. Comme la demande d’autorisation d’appel est rejetée, il n’est pas nécessaire d’examiner la requête pour permission d’intervenir de l’Union des municipalités du Québec et la requête visant à obtenir un sursis d’exécution.</w:t>
            </w:r>
          </w:p>
          <w:p w:rsidR="00F6571B" w:rsidRPr="00956D0A" w:rsidRDefault="00F6571B" w:rsidP="00F6571B">
            <w:pPr>
              <w:jc w:val="both"/>
              <w:rPr>
                <w:sz w:val="20"/>
                <w:szCs w:val="20"/>
                <w:lang w:val="fr-CA"/>
              </w:rPr>
            </w:pPr>
          </w:p>
          <w:p w:rsidR="00F6571B" w:rsidRPr="00956D0A" w:rsidRDefault="00F6571B" w:rsidP="00F6571B">
            <w:pPr>
              <w:jc w:val="both"/>
              <w:rPr>
                <w:sz w:val="20"/>
                <w:szCs w:val="20"/>
                <w:lang w:val="fr-CA"/>
              </w:rPr>
            </w:pPr>
            <w:r w:rsidRPr="00956D0A">
              <w:rPr>
                <w:sz w:val="20"/>
                <w:szCs w:val="20"/>
                <w:lang w:val="fr-CA"/>
              </w:rPr>
              <w:t>Le juge Kasirer n’a pas participé au jugement.</w:t>
            </w:r>
          </w:p>
          <w:p w:rsidR="008F385C" w:rsidRPr="00956D0A" w:rsidRDefault="008F385C" w:rsidP="007C3BCE">
            <w:pPr>
              <w:jc w:val="both"/>
              <w:rPr>
                <w:sz w:val="20"/>
                <w:lang w:val="fr-CA"/>
              </w:rPr>
            </w:pPr>
          </w:p>
        </w:tc>
      </w:tr>
      <w:tr w:rsidR="003D7C55" w:rsidRPr="00956D0A" w:rsidTr="007C3BCE">
        <w:tc>
          <w:tcPr>
            <w:tcW w:w="5000" w:type="pct"/>
            <w:gridSpan w:val="4"/>
          </w:tcPr>
          <w:p w:rsidR="003D7C55" w:rsidRPr="00956D0A" w:rsidRDefault="003D7C55" w:rsidP="007C3BCE">
            <w:pPr>
              <w:jc w:val="both"/>
              <w:rPr>
                <w:sz w:val="20"/>
                <w:lang w:val="fr-CA"/>
              </w:rPr>
            </w:pPr>
            <w:r w:rsidRPr="00956D0A">
              <w:rPr>
                <w:sz w:val="20"/>
                <w:lang w:val="fr-CA"/>
              </w:rPr>
              <w:t>Faillite et insolvabilité — Faillite d’une société sans but lucratif — Une ville consent un prêt à une société sans but lucratif qui lui consent une hypothèque sur l’universalité de ses biens meubles — Société sans but lucratif en état de faillite — Tribunaux inférieurs déclarent le prêt et l’hypothèque nuls car allant à l’encontre d’une interdiction pour les municipalités de venir en aide à un établissement commercial — Un organisme à but non lucratif peut</w:t>
            </w:r>
            <w:r w:rsidRPr="00956D0A">
              <w:rPr>
                <w:sz w:val="20"/>
                <w:lang w:val="fr-CA"/>
              </w:rPr>
              <w:noBreakHyphen/>
              <w:t xml:space="preserve">il être qualifié d’établissement commercial au sens de l’art. 1 de la </w:t>
            </w:r>
            <w:r w:rsidRPr="00956D0A">
              <w:rPr>
                <w:i/>
                <w:sz w:val="20"/>
                <w:lang w:val="fr-CA"/>
              </w:rPr>
              <w:t>Loi sur l’interdiction de subventions municipales</w:t>
            </w:r>
            <w:r w:rsidRPr="00956D0A">
              <w:rPr>
                <w:sz w:val="20"/>
                <w:lang w:val="fr-CA"/>
              </w:rPr>
              <w:t xml:space="preserve">? — Lorsqu’un prêt accordé par une municipalité est annulé en vertu des dispositions de la </w:t>
            </w:r>
            <w:r w:rsidRPr="00956D0A">
              <w:rPr>
                <w:i/>
                <w:sz w:val="20"/>
                <w:lang w:val="fr-CA"/>
              </w:rPr>
              <w:t>Loi sur l’interdiction de subventions municipales</w:t>
            </w:r>
            <w:r w:rsidRPr="00956D0A">
              <w:rPr>
                <w:sz w:val="20"/>
                <w:lang w:val="fr-CA"/>
              </w:rPr>
              <w:t>, quelles conséquences le tribunal doit</w:t>
            </w:r>
            <w:r w:rsidRPr="00956D0A">
              <w:rPr>
                <w:sz w:val="20"/>
                <w:lang w:val="fr-CA"/>
              </w:rPr>
              <w:noBreakHyphen/>
              <w:t>il tirer de cette annulation? — Lorsqu’un créancier accepte d’éteindre le montant total de sa créance en contrepartie de l’acquisition par celui</w:t>
            </w:r>
            <w:r w:rsidRPr="00956D0A">
              <w:rPr>
                <w:sz w:val="20"/>
                <w:lang w:val="fr-CA"/>
              </w:rPr>
              <w:noBreakHyphen/>
              <w:t>ci d’éléments d’actif du débiteur, la valeur de ces éléments d’actif devrait</w:t>
            </w:r>
            <w:r w:rsidRPr="00956D0A">
              <w:rPr>
                <w:sz w:val="20"/>
                <w:lang w:val="fr-CA"/>
              </w:rPr>
              <w:noBreakHyphen/>
              <w:t xml:space="preserve">elle correspondre au montant de la dette impayée? — </w:t>
            </w:r>
            <w:r w:rsidRPr="00956D0A">
              <w:rPr>
                <w:i/>
                <w:sz w:val="20"/>
                <w:lang w:val="fr-CA"/>
              </w:rPr>
              <w:t>Loi sur l’interdiction de subventions municipales</w:t>
            </w:r>
            <w:r w:rsidRPr="00956D0A">
              <w:rPr>
                <w:sz w:val="20"/>
                <w:lang w:val="fr-CA"/>
              </w:rPr>
              <w:t>, RLRQ, c. I</w:t>
            </w:r>
            <w:r w:rsidRPr="00956D0A">
              <w:rPr>
                <w:sz w:val="20"/>
                <w:lang w:val="fr-CA"/>
              </w:rPr>
              <w:noBreakHyphen/>
              <w:t xml:space="preserve">15, art. 1 — </w:t>
            </w:r>
            <w:r w:rsidRPr="00956D0A">
              <w:rPr>
                <w:i/>
                <w:sz w:val="20"/>
                <w:lang w:val="fr-CA"/>
              </w:rPr>
              <w:t>Loi sur la faillite et l’insolvabilité</w:t>
            </w:r>
            <w:r w:rsidRPr="00956D0A">
              <w:rPr>
                <w:sz w:val="20"/>
                <w:lang w:val="fr-CA"/>
              </w:rPr>
              <w:t>, L.R.C. (1985), ch. B</w:t>
            </w:r>
            <w:r w:rsidRPr="00956D0A">
              <w:rPr>
                <w:sz w:val="20"/>
                <w:lang w:val="fr-CA"/>
              </w:rPr>
              <w:noBreakHyphen/>
              <w:t>3, art. 95(1) et 97(3).</w:t>
            </w:r>
          </w:p>
        </w:tc>
      </w:tr>
      <w:tr w:rsidR="003D7C55" w:rsidRPr="00956D0A"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En octobre 2007, la Ville de Montréal (la « Ville ») adopte une résolution confiant à la société en commandite Stationnement de Montréal (« Stationnement Montréal ») le mandat d’implanter un système de vélos en libre</w:t>
            </w:r>
            <w:r w:rsidRPr="00956D0A">
              <w:rPr>
                <w:sz w:val="20"/>
                <w:lang w:val="fr-CA"/>
              </w:rPr>
              <w:noBreakHyphen/>
              <w:t>service à Montréal. En septembre 2008, la Société de vélo en libre</w:t>
            </w:r>
            <w:r w:rsidRPr="00956D0A">
              <w:rPr>
                <w:sz w:val="20"/>
                <w:lang w:val="fr-CA"/>
              </w:rPr>
              <w:noBreakHyphen/>
              <w:t xml:space="preserve">service (« Bixi » d’après le nom du système qu’elle exploite) est créée en tant que société sans but lucratif. Stationnement Montréal consent des avances à Bixi. En juin 2011, la Ville et Bixi signent une convention de prêt dont le but explicite est de permettre à Bixi de rembourser les sommes qu’elle doit à Stationnement Montréal. Bixi consent à la Ville une hypothèque sur l’universalité de ses biens meubles. En janvier 2014, Bixi dépose un avis d’intention de faire une proposition à ses créanciers en vertu de la </w:t>
            </w:r>
            <w:r w:rsidRPr="00956D0A">
              <w:rPr>
                <w:i/>
                <w:sz w:val="20"/>
                <w:lang w:val="fr-CA"/>
              </w:rPr>
              <w:t>Loi sur la faillite et l’insolvabilité</w:t>
            </w:r>
            <w:r w:rsidRPr="00956D0A">
              <w:rPr>
                <w:sz w:val="20"/>
                <w:lang w:val="fr-CA"/>
              </w:rPr>
              <w:t>, L.R.C. (1985), ch. B</w:t>
            </w:r>
            <w:r w:rsidRPr="00956D0A">
              <w:rPr>
                <w:sz w:val="20"/>
                <w:lang w:val="fr-CA"/>
              </w:rPr>
              <w:noBreakHyphen/>
              <w:t xml:space="preserve">3. En mars 2014, un juge autorise Bixi à signer en faveur de la Ville un acte de délaissement volontaire et de prise en paiement comprenant ses actifs. Le 1er mai 2014, Bixi devient réputé avoir fait cession de ses biens. Un syndic à la faillite est nommé et dépose une requête en récupération de deniers. La Cour supérieure accueille en partie la requête, déclare le prêt consenti par la Ville à Bixi et l’hypothèque garantissant ce prêt nuls </w:t>
            </w:r>
            <w:r w:rsidRPr="00956D0A">
              <w:rPr>
                <w:i/>
                <w:sz w:val="20"/>
                <w:lang w:val="fr-CA"/>
              </w:rPr>
              <w:t>ab initio</w:t>
            </w:r>
            <w:r w:rsidRPr="00956D0A">
              <w:rPr>
                <w:sz w:val="20"/>
                <w:lang w:val="fr-CA"/>
              </w:rPr>
              <w:t xml:space="preserve"> car allant à l’encontre de la </w:t>
            </w:r>
            <w:r w:rsidRPr="00956D0A">
              <w:rPr>
                <w:i/>
                <w:sz w:val="20"/>
                <w:lang w:val="fr-CA"/>
              </w:rPr>
              <w:t>Loi sur l’interdiction de subventions municipales</w:t>
            </w:r>
            <w:r w:rsidRPr="00956D0A">
              <w:rPr>
                <w:sz w:val="20"/>
                <w:lang w:val="fr-CA"/>
              </w:rPr>
              <w:t>, RLRQ, c. I</w:t>
            </w:r>
            <w:r w:rsidRPr="00956D0A">
              <w:rPr>
                <w:sz w:val="20"/>
                <w:lang w:val="fr-CA"/>
              </w:rPr>
              <w:noBreakHyphen/>
              <w:t>15, ayant conclu que l’activité de Bixi est essentiellement de nature commerciale. Elle condamne la Ville à remettre le montant représentant la valeur des biens pris en paiement. La Cour d’appel confirme ce jugement, et y ajoute la conclusion déclaratoire que la Ville est créancière pour le solde dû à la date de la prise en paiement.</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18 avril 2017</w:t>
            </w:r>
          </w:p>
          <w:p w:rsidR="003D7C55" w:rsidRPr="00956D0A" w:rsidRDefault="003D7C55" w:rsidP="007C3BCE">
            <w:pPr>
              <w:jc w:val="both"/>
              <w:rPr>
                <w:sz w:val="20"/>
                <w:lang w:val="fr-CA"/>
              </w:rPr>
            </w:pPr>
            <w:r w:rsidRPr="00956D0A">
              <w:rPr>
                <w:sz w:val="20"/>
                <w:lang w:val="fr-CA"/>
              </w:rPr>
              <w:t>Cour supérieure du Québec</w:t>
            </w:r>
          </w:p>
          <w:p w:rsidR="003D7C55" w:rsidRPr="00956D0A" w:rsidRDefault="003D7C55" w:rsidP="007C3BCE">
            <w:pPr>
              <w:jc w:val="both"/>
              <w:rPr>
                <w:sz w:val="20"/>
              </w:rPr>
            </w:pPr>
            <w:r w:rsidRPr="00956D0A">
              <w:rPr>
                <w:sz w:val="20"/>
              </w:rPr>
              <w:t>(Le juge Castonguay)</w:t>
            </w:r>
          </w:p>
          <w:p w:rsidR="003D7C55" w:rsidRPr="00956D0A" w:rsidRDefault="00937000" w:rsidP="007C3BCE">
            <w:pPr>
              <w:jc w:val="both"/>
              <w:rPr>
                <w:sz w:val="20"/>
              </w:rPr>
            </w:pPr>
            <w:hyperlink r:id="rId59" w:history="1">
              <w:r w:rsidR="003D7C55" w:rsidRPr="00956D0A">
                <w:rPr>
                  <w:rStyle w:val="Hyperlink"/>
                  <w:sz w:val="20"/>
                </w:rPr>
                <w:t>2017 QCCS 1442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Requête du syndic en récupération de deniers accueillie en partie.</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7 mai 2019</w:t>
            </w:r>
          </w:p>
          <w:p w:rsidR="003D7C55" w:rsidRPr="00956D0A" w:rsidRDefault="003D7C55" w:rsidP="007C3BCE">
            <w:pPr>
              <w:jc w:val="both"/>
              <w:rPr>
                <w:sz w:val="20"/>
                <w:lang w:val="fr-CA"/>
              </w:rPr>
            </w:pPr>
            <w:r w:rsidRPr="00956D0A">
              <w:rPr>
                <w:sz w:val="20"/>
                <w:lang w:val="fr-CA"/>
              </w:rPr>
              <w:t>Cour d’appel du Québec (Montréal)</w:t>
            </w:r>
          </w:p>
          <w:p w:rsidR="003D7C55" w:rsidRPr="00956D0A" w:rsidRDefault="003D7C55" w:rsidP="007C3BCE">
            <w:pPr>
              <w:jc w:val="both"/>
              <w:rPr>
                <w:sz w:val="20"/>
                <w:lang w:val="fr-CA"/>
              </w:rPr>
            </w:pPr>
            <w:r w:rsidRPr="00956D0A">
              <w:rPr>
                <w:sz w:val="20"/>
                <w:lang w:val="fr-CA"/>
              </w:rPr>
              <w:t>(Les juges Kasirer, Savard et Roy)</w:t>
            </w:r>
          </w:p>
          <w:p w:rsidR="003D7C55" w:rsidRPr="00956D0A" w:rsidRDefault="00937000" w:rsidP="007C3BCE">
            <w:pPr>
              <w:jc w:val="both"/>
              <w:rPr>
                <w:sz w:val="20"/>
              </w:rPr>
            </w:pPr>
            <w:hyperlink r:id="rId60" w:history="1">
              <w:r w:rsidR="003D7C55" w:rsidRPr="00956D0A">
                <w:rPr>
                  <w:rStyle w:val="Hyperlink"/>
                  <w:sz w:val="20"/>
                </w:rPr>
                <w:t>2019 QCCA 794</w:t>
              </w:r>
            </w:hyperlink>
            <w:r w:rsidR="003D7C55" w:rsidRPr="00956D0A">
              <w:rPr>
                <w:sz w:val="20"/>
              </w:rPr>
              <w:t xml:space="preserve"> (500</w:t>
            </w:r>
            <w:r w:rsidR="003D7C55" w:rsidRPr="00956D0A">
              <w:rPr>
                <w:sz w:val="20"/>
              </w:rPr>
              <w:noBreakHyphen/>
              <w:t>09</w:t>
            </w:r>
            <w:r w:rsidR="003D7C55" w:rsidRPr="00956D0A">
              <w:rPr>
                <w:sz w:val="20"/>
              </w:rPr>
              <w:noBreakHyphen/>
              <w:t>026764</w:t>
            </w:r>
            <w:r w:rsidR="003D7C55" w:rsidRPr="00956D0A">
              <w:rPr>
                <w:sz w:val="20"/>
              </w:rPr>
              <w:noBreakHyphen/>
              <w:t>175)</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lang w:val="fr-CA"/>
              </w:rPr>
            </w:pPr>
            <w:r w:rsidRPr="00956D0A">
              <w:rPr>
                <w:sz w:val="20"/>
                <w:lang w:val="fr-CA"/>
              </w:rPr>
              <w:t>Appel de la Ville de Montréal accueillie partiellement; conclusion déclaratoire ajoutée.</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6 août 2019</w:t>
            </w:r>
          </w:p>
          <w:p w:rsidR="003D7C55" w:rsidRPr="00956D0A" w:rsidRDefault="003D7C55" w:rsidP="007C3BCE">
            <w:pPr>
              <w:jc w:val="both"/>
              <w:rPr>
                <w:sz w:val="20"/>
                <w:lang w:val="fr-CA"/>
              </w:rPr>
            </w:pPr>
            <w:r w:rsidRPr="00956D0A">
              <w:rPr>
                <w:sz w:val="20"/>
                <w:lang w:val="fr-CA"/>
              </w:rPr>
              <w:t>Cour suprême du Canada</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Demande d’autorisation d’appel et requête en sursis d’exécution déposées.</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Le 10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Demande d’autorisation d’appel incident déposée.</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58"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38889</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Ivgeny Vorobiov v. Her Majesty the Queen</w:t>
            </w:r>
          </w:p>
          <w:p w:rsidR="003D7C55" w:rsidRPr="00956D0A" w:rsidRDefault="003D7C55" w:rsidP="007C3BCE">
            <w:pPr>
              <w:jc w:val="both"/>
              <w:rPr>
                <w:sz w:val="20"/>
              </w:rPr>
            </w:pPr>
            <w:r w:rsidRPr="00956D0A">
              <w:rPr>
                <w:sz w:val="20"/>
              </w:rPr>
              <w:t>(Ont.) (Criminal) (By Leave)</w:t>
            </w:r>
          </w:p>
        </w:tc>
      </w:tr>
      <w:tr w:rsidR="008F385C" w:rsidRPr="00956D0A" w:rsidTr="007C3BCE">
        <w:tc>
          <w:tcPr>
            <w:tcW w:w="5000" w:type="pct"/>
            <w:gridSpan w:val="4"/>
          </w:tcPr>
          <w:p w:rsidR="008F385C" w:rsidRPr="00956D0A" w:rsidRDefault="00DA1326" w:rsidP="007C3BCE">
            <w:pPr>
              <w:jc w:val="both"/>
              <w:rPr>
                <w:color w:val="000000"/>
                <w:sz w:val="22"/>
              </w:rPr>
            </w:pPr>
            <w:r w:rsidRPr="00956D0A">
              <w:rPr>
                <w:sz w:val="22"/>
              </w:rPr>
              <w:t xml:space="preserve">The motion for an extension of time to serve and file the application for leave to appeal is dismissed. In any event, had the motion for an extension of time been granted, the application for leave to appeal from the judgment of the Court of Appeal for Ontario, Number C56598, 2018 ONCA 448, dated May 14, 2018, </w:t>
            </w:r>
            <w:r w:rsidRPr="00956D0A">
              <w:rPr>
                <w:color w:val="000000"/>
                <w:sz w:val="22"/>
              </w:rPr>
              <w:t>would have been dismissed.</w:t>
            </w:r>
          </w:p>
          <w:p w:rsidR="00DA1326" w:rsidRPr="00956D0A" w:rsidRDefault="00DA1326"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 xml:space="preserve">Criminal law – Trial – Appeals – What is the appropriate test for whether an appellate remedy should be granted when a trial judge interferes unduly with defence counsel’s conduct of the case – </w:t>
            </w:r>
            <w:r w:rsidRPr="00956D0A">
              <w:rPr>
                <w:color w:val="000000"/>
                <w:sz w:val="20"/>
              </w:rPr>
              <w:t xml:space="preserve">Whether Court of Appeal erred in law by excusing miscarriage of justice occasioned by trial judge’s interferences in cross-examinations – Role of discretionary trial management paradigm in determining whether Court of Appeal erred regarding trial judge’s interventions – </w:t>
            </w:r>
            <w:r w:rsidRPr="00956D0A">
              <w:rPr>
                <w:sz w:val="20"/>
              </w:rPr>
              <w:t xml:space="preserve">Whether </w:t>
            </w:r>
            <w:r w:rsidRPr="00956D0A">
              <w:rPr>
                <w:i/>
                <w:sz w:val="20"/>
              </w:rPr>
              <w:t>curative proviso</w:t>
            </w:r>
            <w:r w:rsidRPr="00956D0A">
              <w:rPr>
                <w:sz w:val="20"/>
              </w:rPr>
              <w:t xml:space="preserve"> applied to miscarriages of justice</w:t>
            </w:r>
            <w:r w:rsidRPr="00956D0A">
              <w:rPr>
                <w:color w:val="000000"/>
                <w:sz w:val="20"/>
              </w:rPr>
              <w:t>?</w:t>
            </w:r>
          </w:p>
        </w:tc>
      </w:tr>
      <w:tr w:rsidR="003D7C55" w:rsidRPr="00956D0A" w:rsidTr="007C3BCE">
        <w:trPr>
          <w:trHeight w:val="387"/>
        </w:trPr>
        <w:tc>
          <w:tcPr>
            <w:tcW w:w="5000" w:type="pct"/>
            <w:gridSpan w:val="4"/>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Mr. Vorobiov was tried for first degree murder. An alleged accomplice confessed to being an accessory after the fact and testified for the Crown. Mr. Vorobiov’s counsel cross-examined the alleged accomplice and a police officer who interviewed him twice</w:t>
            </w:r>
            <w:r w:rsidRPr="00956D0A">
              <w:rPr>
                <w:sz w:val="20"/>
                <w:lang w:val="en"/>
              </w:rPr>
              <w:t>.</w:t>
            </w:r>
            <w:r w:rsidRPr="00956D0A">
              <w:rPr>
                <w:sz w:val="20"/>
              </w:rPr>
              <w:t xml:space="preserve"> </w:t>
            </w:r>
            <w:r w:rsidRPr="00956D0A">
              <w:rPr>
                <w:sz w:val="20"/>
                <w:lang w:val="en"/>
              </w:rPr>
              <w:t xml:space="preserve">The trial judge interrupted both cross-examinations. In closing, Mr. Vorobiov’s counsel submitted that the police officer </w:t>
            </w:r>
            <w:r w:rsidRPr="00956D0A">
              <w:rPr>
                <w:sz w:val="20"/>
              </w:rPr>
              <w:t xml:space="preserve">elicited changes in the alleged accomplice’s story. Mr. Vorobiov was convicted for first degree murder. The Court of Appeal dismissed an appeal from the convictions. It held that the trial judge erred by interfering in the cross-examinations but Mr. </w:t>
            </w:r>
            <w:r w:rsidRPr="00956D0A">
              <w:rPr>
                <w:sz w:val="20"/>
                <w:lang w:val="en"/>
              </w:rPr>
              <w:t xml:space="preserve">Vorobiov was not deprived of a fair trial and </w:t>
            </w:r>
            <w:r w:rsidRPr="00956D0A">
              <w:rPr>
                <w:sz w:val="20"/>
              </w:rPr>
              <w:t xml:space="preserve">the </w:t>
            </w:r>
            <w:r w:rsidRPr="00956D0A">
              <w:rPr>
                <w:i/>
                <w:sz w:val="20"/>
              </w:rPr>
              <w:t>curative proviso</w:t>
            </w:r>
            <w:r w:rsidRPr="00956D0A">
              <w:rPr>
                <w:sz w:val="20"/>
              </w:rPr>
              <w:t xml:space="preserve"> in s. 686(1)(a)(iii) of the </w:t>
            </w:r>
            <w:r w:rsidRPr="00956D0A">
              <w:rPr>
                <w:i/>
                <w:sz w:val="20"/>
              </w:rPr>
              <w:t>Criminal Code</w:t>
            </w:r>
            <w:r w:rsidRPr="00956D0A">
              <w:rPr>
                <w:sz w:val="20"/>
              </w:rPr>
              <w:t>, R.S.C. 1985, c. C-46, applied.</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lang w:val="en"/>
              </w:rPr>
            </w:pPr>
            <w:r w:rsidRPr="00956D0A">
              <w:rPr>
                <w:sz w:val="20"/>
                <w:lang w:val="en"/>
              </w:rPr>
              <w:t xml:space="preserve">December 20, 2011 </w:t>
            </w:r>
          </w:p>
          <w:p w:rsidR="003D7C55" w:rsidRPr="00956D0A" w:rsidRDefault="003D7C55" w:rsidP="007C3BCE">
            <w:pPr>
              <w:jc w:val="both"/>
              <w:rPr>
                <w:sz w:val="20"/>
                <w:lang w:val="en"/>
              </w:rPr>
            </w:pPr>
            <w:r w:rsidRPr="00956D0A">
              <w:rPr>
                <w:sz w:val="20"/>
                <w:lang w:val="en"/>
              </w:rPr>
              <w:t>Ontario Superior Court of Justice</w:t>
            </w:r>
          </w:p>
          <w:p w:rsidR="003D7C55" w:rsidRPr="00956D0A" w:rsidRDefault="003D7C55" w:rsidP="007C3BCE">
            <w:pPr>
              <w:jc w:val="both"/>
              <w:rPr>
                <w:sz w:val="20"/>
                <w:lang w:val="en"/>
              </w:rPr>
            </w:pPr>
            <w:r w:rsidRPr="00956D0A">
              <w:rPr>
                <w:sz w:val="20"/>
                <w:lang w:val="en"/>
              </w:rPr>
              <w:t>(Nordheimer J.)(Unreported)</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Conviction by jury for first degree murder</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May 14, 2018</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(Laskin John I., Pepall, Gans)</w:t>
            </w:r>
          </w:p>
          <w:p w:rsidR="003D7C55" w:rsidRPr="00956D0A" w:rsidRDefault="00937000" w:rsidP="007C3BCE">
            <w:pPr>
              <w:jc w:val="both"/>
              <w:rPr>
                <w:sz w:val="20"/>
              </w:rPr>
            </w:pPr>
            <w:hyperlink r:id="rId61" w:history="1">
              <w:r w:rsidR="003D7C55" w:rsidRPr="00956D0A">
                <w:rPr>
                  <w:rStyle w:val="Hyperlink"/>
                  <w:sz w:val="20"/>
                </w:rPr>
                <w:t>2018 ONCA 448</w:t>
              </w:r>
            </w:hyperlink>
            <w:r w:rsidR="003D7C55" w:rsidRPr="00956D0A">
              <w:rPr>
                <w:sz w:val="20"/>
              </w:rPr>
              <w:t>; C56598</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October 21,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Motion for extension of time to serve and file application for leave to appeal and Application for leave to appeal filed</w:t>
            </w: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59"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38889</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Ivgeny Vorobiov c. Sa Majesté la Reine</w:t>
            </w:r>
          </w:p>
          <w:p w:rsidR="003D7C55" w:rsidRPr="00956D0A" w:rsidRDefault="003D7C55" w:rsidP="007C3BCE">
            <w:pPr>
              <w:jc w:val="both"/>
              <w:rPr>
                <w:sz w:val="20"/>
                <w:lang w:val="fr-CA"/>
              </w:rPr>
            </w:pPr>
            <w:r w:rsidRPr="00956D0A">
              <w:rPr>
                <w:sz w:val="20"/>
                <w:lang w:val="fr-CA"/>
              </w:rPr>
              <w:t>(Ont.) (Criminelle) (Autorisation)</w:t>
            </w:r>
          </w:p>
        </w:tc>
      </w:tr>
      <w:tr w:rsidR="008F385C" w:rsidRPr="00937000" w:rsidTr="007C3BCE">
        <w:tc>
          <w:tcPr>
            <w:tcW w:w="5000" w:type="pct"/>
            <w:gridSpan w:val="4"/>
          </w:tcPr>
          <w:p w:rsidR="008F385C" w:rsidRPr="00956D0A" w:rsidRDefault="00DA1326" w:rsidP="007C3BCE">
            <w:pPr>
              <w:jc w:val="both"/>
              <w:rPr>
                <w:sz w:val="20"/>
                <w:szCs w:val="20"/>
                <w:lang w:val="fr-CA"/>
              </w:rPr>
            </w:pPr>
            <w:r w:rsidRPr="00956D0A">
              <w:rPr>
                <w:sz w:val="20"/>
                <w:szCs w:val="20"/>
                <w:lang w:val="fr-CA"/>
              </w:rPr>
              <w:t>La requête en prorogation du délai de signification et de dépôt de la demande d’autorisation d’appel est rejetée. Quoi qu’il en soit, même si la requête en prorogation de délai avait été accueillie, la demande d’autorisation d’appel de l’arrêt de la Cour d’appel de l’Ontario, numéro C56598, 2018 ONCA 448, daté du 14 mai 2018, aurait été rejetée.</w:t>
            </w:r>
          </w:p>
          <w:p w:rsidR="00DA1326" w:rsidRPr="00956D0A" w:rsidRDefault="00DA1326"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 xml:space="preserve">Droit criminel — Procès — Appels — Quel est le critère approprié pour trancher la question de savoir s’il y a lieu d’accorder une réparation en appel lorsque le juge du procès entrave indûment la conduite de l’affaire par l’avocat de la défense? — </w:t>
            </w:r>
            <w:r w:rsidRPr="00956D0A">
              <w:rPr>
                <w:color w:val="000000"/>
                <w:sz w:val="20"/>
                <w:lang w:val="fr-CA"/>
              </w:rPr>
              <w:t>La Cour d’appel a</w:t>
            </w:r>
            <w:r w:rsidRPr="00956D0A">
              <w:rPr>
                <w:color w:val="000000"/>
                <w:sz w:val="20"/>
                <w:lang w:val="fr-CA"/>
              </w:rPr>
              <w:noBreakHyphen/>
              <w:t>t</w:t>
            </w:r>
            <w:r w:rsidRPr="00956D0A">
              <w:rPr>
                <w:color w:val="000000"/>
                <w:sz w:val="20"/>
                <w:lang w:val="fr-CA"/>
              </w:rPr>
              <w:noBreakHyphen/>
              <w:t>elle commis une erreur de droit en excusant une erreur judiciaire causée par les entraves des contre</w:t>
            </w:r>
            <w:r w:rsidRPr="00956D0A">
              <w:rPr>
                <w:color w:val="000000"/>
                <w:sz w:val="20"/>
                <w:lang w:val="fr-CA"/>
              </w:rPr>
              <w:noBreakHyphen/>
              <w:t xml:space="preserve">interrogatoires par le juge du procès? — Rôle du raisonnement relatif au pouvoir discrétionnaire en ce qui concerne la gestion du procès lorsqu’il s’agit de déterminer si la Cour d’appel a commis une erreur quant aux interventions du juge du procès — </w:t>
            </w:r>
            <w:r w:rsidRPr="00956D0A">
              <w:rPr>
                <w:sz w:val="20"/>
                <w:lang w:val="fr-CA"/>
              </w:rPr>
              <w:t>La disposition réparatrice s’appliquait</w:t>
            </w:r>
            <w:r w:rsidRPr="00956D0A">
              <w:rPr>
                <w:sz w:val="20"/>
                <w:lang w:val="fr-CA"/>
              </w:rPr>
              <w:noBreakHyphen/>
              <w:t>elle aux erreurs judiciaires</w:t>
            </w:r>
            <w:r w:rsidRPr="00956D0A">
              <w:rPr>
                <w:color w:val="000000"/>
                <w:sz w:val="20"/>
                <w:lang w:val="fr-CA"/>
              </w:rPr>
              <w:t>?</w:t>
            </w:r>
          </w:p>
        </w:tc>
      </w:tr>
      <w:tr w:rsidR="003D7C55" w:rsidRPr="00956D0A" w:rsidTr="007C3BCE">
        <w:trPr>
          <w:trHeight w:val="387"/>
        </w:trPr>
        <w:tc>
          <w:tcPr>
            <w:tcW w:w="5000" w:type="pct"/>
            <w:gridSpan w:val="4"/>
          </w:tcPr>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sz w:val="20"/>
                <w:lang w:val="fr-CA"/>
              </w:rPr>
              <w:t>Monsieur Vorobiov a subi son procès pour meurtre au premier degré. Un présumé complice a avoué avoir été complice après le fait et a témoigné pour le ministère public. L’avocat de M. Vorobiov a contre</w:t>
            </w:r>
            <w:r w:rsidRPr="00956D0A">
              <w:rPr>
                <w:sz w:val="20"/>
                <w:lang w:val="fr-CA"/>
              </w:rPr>
              <w:noBreakHyphen/>
              <w:t>interrogé le complice présumé et un policier qui l’avait interrogé à deux reprises. Le juge du procès a interrompu les deux contre</w:t>
            </w:r>
            <w:r w:rsidRPr="00956D0A">
              <w:rPr>
                <w:sz w:val="20"/>
                <w:lang w:val="fr-CA"/>
              </w:rPr>
              <w:noBreakHyphen/>
              <w:t>interrogatoires. Dans sa plaidoirie, l’avocat de M. Vorobiov a soutenu que le policier avait soutiré des changements dans la version du présumé complice. Monsieur Vorobiov a été déclaré coupable de meurtre au premier degré. La Cour d’appel a rejeté un appel des déclarations de culpabilité. Elle a statué que le juge du procès avait eu tort d’entraver les contre</w:t>
            </w:r>
            <w:r w:rsidRPr="00956D0A">
              <w:rPr>
                <w:sz w:val="20"/>
                <w:lang w:val="fr-CA"/>
              </w:rPr>
              <w:noBreakHyphen/>
              <w:t>interrogatoires, mais que M. Vorobiov n’avait pas été privé de son droit à un procès équitable et que la disposition réparatrice du sous</w:t>
            </w:r>
            <w:r w:rsidRPr="00956D0A">
              <w:rPr>
                <w:sz w:val="20"/>
                <w:lang w:val="fr-CA"/>
              </w:rPr>
              <w:noBreakHyphen/>
              <w:t xml:space="preserve">al. 686(1)a)(iii) du </w:t>
            </w:r>
            <w:r w:rsidRPr="00956D0A">
              <w:rPr>
                <w:i/>
                <w:sz w:val="20"/>
                <w:lang w:val="fr-CA"/>
              </w:rPr>
              <w:t>Code criminel</w:t>
            </w:r>
            <w:r w:rsidRPr="00956D0A">
              <w:rPr>
                <w:sz w:val="20"/>
                <w:lang w:val="fr-CA"/>
              </w:rPr>
              <w:t>, L.R.C. 1985, ch. C</w:t>
            </w:r>
            <w:r w:rsidRPr="00956D0A">
              <w:rPr>
                <w:sz w:val="20"/>
                <w:lang w:val="fr-CA"/>
              </w:rPr>
              <w:noBreakHyphen/>
              <w:t>46, s’appliquait.</w:t>
            </w:r>
          </w:p>
        </w:tc>
      </w:tr>
      <w:tr w:rsidR="003D7C55" w:rsidRPr="00956D0A"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20 décembre 2011</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Nordheimer)(Non publié)</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Déclarations de culpabilité par un jury de meurtre au premier degré</w:t>
            </w:r>
          </w:p>
        </w:tc>
      </w:tr>
      <w:tr w:rsidR="003D7C55" w:rsidRPr="00956D0A" w:rsidTr="007C3BCE">
        <w:tc>
          <w:tcPr>
            <w:tcW w:w="2427" w:type="pct"/>
            <w:gridSpan w:val="2"/>
          </w:tcPr>
          <w:p w:rsidR="003D7C55" w:rsidRPr="00956D0A" w:rsidRDefault="003D7C55" w:rsidP="007C3BCE">
            <w:pPr>
              <w:jc w:val="both"/>
              <w:rPr>
                <w:sz w:val="20"/>
                <w:lang w:val="fr-CA"/>
              </w:rPr>
            </w:pPr>
            <w:r w:rsidRPr="00956D0A">
              <w:rPr>
                <w:sz w:val="20"/>
                <w:lang w:val="fr-CA"/>
              </w:rPr>
              <w:t>14 mai 2018</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(Juges Laskin, Pepall et Gans)</w:t>
            </w:r>
          </w:p>
          <w:p w:rsidR="003D7C55" w:rsidRPr="00956D0A" w:rsidRDefault="00937000" w:rsidP="007C3BCE">
            <w:pPr>
              <w:jc w:val="both"/>
              <w:rPr>
                <w:sz w:val="20"/>
                <w:lang w:val="fr-CA"/>
              </w:rPr>
            </w:pPr>
            <w:hyperlink r:id="rId62" w:history="1">
              <w:r w:rsidR="003D7C55" w:rsidRPr="00956D0A">
                <w:rPr>
                  <w:rStyle w:val="Hyperlink"/>
                  <w:sz w:val="20"/>
                  <w:lang w:val="fr-CA"/>
                </w:rPr>
                <w:t>2018 ONCA 448</w:t>
              </w:r>
            </w:hyperlink>
            <w:r w:rsidR="003D7C55" w:rsidRPr="00956D0A">
              <w:rPr>
                <w:sz w:val="20"/>
                <w:lang w:val="fr-CA"/>
              </w:rPr>
              <w:t>; C56598</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21 octobre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requête en prorogation du délai de signification et de dépôt de la demande d’autorisation d’appel et de la demande d’autorisation d’appel</w:t>
            </w: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60" style="width:2in;height:1pt" o:hrpct="0" o:hralign="center" o:hrstd="t" o:hrnoshade="t" o:hr="t" fillcolor="black [3213]" stroked="f"/>
        </w:pict>
      </w:r>
    </w:p>
    <w:p w:rsidR="003D7C55" w:rsidRPr="00956D0A" w:rsidRDefault="003D7C55" w:rsidP="003D7C55">
      <w:pPr>
        <w:ind w:left="142" w:hanging="142"/>
        <w:jc w:val="both"/>
        <w:rPr>
          <w:sz w:val="20"/>
          <w:lang w:val="fr-CA"/>
        </w:rPr>
      </w:pPr>
    </w:p>
    <w:p w:rsidR="007D051E" w:rsidRPr="00956D0A" w:rsidRDefault="007D051E">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38853</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Marilyn Nelson v. Attorney General of Canada</w:t>
            </w:r>
          </w:p>
          <w:p w:rsidR="003D7C55" w:rsidRPr="00956D0A" w:rsidRDefault="003D7C55" w:rsidP="007C3BCE">
            <w:pPr>
              <w:jc w:val="both"/>
              <w:rPr>
                <w:sz w:val="20"/>
              </w:rPr>
            </w:pPr>
            <w:r w:rsidRPr="00956D0A">
              <w:rPr>
                <w:sz w:val="20"/>
              </w:rPr>
              <w:t>(F.C.) (Civil) (By Leave)</w:t>
            </w:r>
          </w:p>
        </w:tc>
      </w:tr>
      <w:tr w:rsidR="008F385C" w:rsidRPr="00956D0A" w:rsidTr="007C3BCE">
        <w:tc>
          <w:tcPr>
            <w:tcW w:w="5000" w:type="pct"/>
            <w:gridSpan w:val="4"/>
          </w:tcPr>
          <w:p w:rsidR="008F385C" w:rsidRPr="00956D0A" w:rsidRDefault="00FD22B5" w:rsidP="007C3BCE">
            <w:pPr>
              <w:jc w:val="both"/>
              <w:rPr>
                <w:sz w:val="20"/>
                <w:szCs w:val="20"/>
              </w:rPr>
            </w:pPr>
            <w:r w:rsidRPr="00956D0A">
              <w:rPr>
                <w:sz w:val="20"/>
                <w:szCs w:val="20"/>
              </w:rPr>
              <w:t>The application for leave to appeal from the judgment of the Federal Court of Appeal, Number A-377-18, 2019 FCA 222, dated August 15, 2019, is dismissed without costs.</w:t>
            </w:r>
          </w:p>
          <w:p w:rsidR="00FD22B5" w:rsidRPr="00956D0A" w:rsidRDefault="00FD22B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 xml:space="preserve">Social law — Employment insurance — Whether the principle of proportionality should guide and inform the legal meaning of “misconduct” in the </w:t>
            </w:r>
            <w:r w:rsidRPr="00956D0A">
              <w:rPr>
                <w:i/>
                <w:sz w:val="20"/>
              </w:rPr>
              <w:t>Employment Insurance Act</w:t>
            </w:r>
            <w:r w:rsidRPr="00956D0A">
              <w:rPr>
                <w:sz w:val="20"/>
              </w:rPr>
              <w:t>, S.C. 1996, c. 23, s. 30 — Whether misconduct can be defined by an employer through policy.</w:t>
            </w:r>
          </w:p>
        </w:tc>
      </w:tr>
      <w:tr w:rsidR="003D7C55" w:rsidRPr="00956D0A" w:rsidTr="007C3BCE">
        <w:tc>
          <w:tcPr>
            <w:tcW w:w="5000" w:type="pct"/>
            <w:gridSpan w:val="4"/>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Ms. Nelson worked and lived on a reserve that prohibited intoxication and the manufacture, sale and possession of liquor and non-prescription drugs by bylaw. Ms. Nelson’s employer included the terms of the bylaw in its terms of employment. Shortly after she began her employment in 2016, Ms. Nelson signed a document indicating that she was aware that she was responsible to abide by that policy. Ms. Nelson was seen intoxicated in public on the reserve and a meeting between her and the Nation was held as a result. After she was seen intoxicated in public on the reserve a second time, she was dismissed. The Employment Insurance Commission denied her request for benefits, finding that she had lost her employment due to her own misconduct. The General Division confirmed the decision of the Employment Insurance Commission. The Appeal Division allowed Ms. Nelson’s appeal from the decision of the General Division but confirmed the Canada Employment Insurance Commission’s denial of benefits based on its conclusion that Ms. Nelson’s loss of employment was due to her own misconduct. The Federal Court of Appeal dismissed Ms. Nelson’s application for judicial review.</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October 29, 2018</w:t>
            </w:r>
          </w:p>
          <w:p w:rsidR="003D7C55" w:rsidRPr="00956D0A" w:rsidRDefault="003D7C55" w:rsidP="007C3BCE">
            <w:pPr>
              <w:jc w:val="both"/>
              <w:rPr>
                <w:sz w:val="20"/>
              </w:rPr>
            </w:pPr>
            <w:r w:rsidRPr="00956D0A">
              <w:rPr>
                <w:sz w:val="20"/>
              </w:rPr>
              <w:t>Social Security Tribunal of Canada</w:t>
            </w:r>
          </w:p>
          <w:p w:rsidR="003D7C55" w:rsidRPr="00956D0A" w:rsidRDefault="003D7C55" w:rsidP="007C3BCE">
            <w:pPr>
              <w:jc w:val="both"/>
              <w:rPr>
                <w:sz w:val="20"/>
              </w:rPr>
            </w:pPr>
            <w:r w:rsidRPr="00956D0A">
              <w:rPr>
                <w:sz w:val="20"/>
              </w:rPr>
              <w:t>(Member Bergen)</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of decision denying employment insurance benefits to Ms. Nelson allowed; denial of benefits by Canada Employment Insurance Commission confirmed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August 15, 2019</w:t>
            </w:r>
          </w:p>
          <w:p w:rsidR="003D7C55" w:rsidRPr="00956D0A" w:rsidRDefault="003D7C55" w:rsidP="007C3BCE">
            <w:pPr>
              <w:jc w:val="both"/>
              <w:rPr>
                <w:sz w:val="20"/>
              </w:rPr>
            </w:pPr>
            <w:r w:rsidRPr="00956D0A">
              <w:rPr>
                <w:sz w:val="20"/>
              </w:rPr>
              <w:t>Federal Court of Appeal</w:t>
            </w:r>
          </w:p>
          <w:p w:rsidR="003D7C55" w:rsidRPr="00956D0A" w:rsidRDefault="003D7C55" w:rsidP="007C3BCE">
            <w:pPr>
              <w:jc w:val="both"/>
              <w:rPr>
                <w:sz w:val="20"/>
              </w:rPr>
            </w:pPr>
            <w:r w:rsidRPr="00956D0A">
              <w:rPr>
                <w:sz w:val="20"/>
              </w:rPr>
              <w:t>(Webb, Near, de Montigny JJ.A.)</w:t>
            </w:r>
          </w:p>
          <w:p w:rsidR="003D7C55" w:rsidRPr="00956D0A" w:rsidRDefault="00937000" w:rsidP="007C3BCE">
            <w:pPr>
              <w:jc w:val="both"/>
              <w:rPr>
                <w:sz w:val="20"/>
              </w:rPr>
            </w:pPr>
            <w:hyperlink r:id="rId63" w:history="1">
              <w:r w:rsidR="003D7C55" w:rsidRPr="00956D0A">
                <w:rPr>
                  <w:rStyle w:val="Hyperlink"/>
                  <w:sz w:val="20"/>
                </w:rPr>
                <w:t>2019 FCA 222</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judicial review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October 11,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61"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38853</w:t>
            </w:r>
          </w:p>
        </w:tc>
        <w:tc>
          <w:tcPr>
            <w:tcW w:w="4457" w:type="pct"/>
          </w:tcPr>
          <w:p w:rsidR="003D7C55" w:rsidRPr="00956D0A" w:rsidRDefault="003D7C55" w:rsidP="007C3BCE">
            <w:pPr>
              <w:pStyle w:val="SCCLsocParty"/>
              <w:jc w:val="both"/>
              <w:rPr>
                <w:b/>
                <w:sz w:val="20"/>
                <w:szCs w:val="20"/>
              </w:rPr>
            </w:pPr>
            <w:r w:rsidRPr="00956D0A">
              <w:rPr>
                <w:b/>
                <w:sz w:val="20"/>
                <w:szCs w:val="20"/>
              </w:rPr>
              <w:t>Marilyn Nelson c. Procureur général du Canada</w:t>
            </w:r>
          </w:p>
          <w:p w:rsidR="003D7C55" w:rsidRPr="00956D0A" w:rsidRDefault="003D7C55" w:rsidP="007C3BCE">
            <w:pPr>
              <w:jc w:val="both"/>
              <w:rPr>
                <w:sz w:val="20"/>
                <w:lang w:val="fr-CA"/>
              </w:rPr>
            </w:pPr>
            <w:r w:rsidRPr="00956D0A">
              <w:rPr>
                <w:sz w:val="20"/>
                <w:lang w:val="fr-CA"/>
              </w:rPr>
              <w:t>(C.F.) (Civile) (Autorisation)</w:t>
            </w:r>
          </w:p>
        </w:tc>
      </w:tr>
      <w:tr w:rsidR="008F385C" w:rsidRPr="00937000" w:rsidTr="007C3BCE">
        <w:tc>
          <w:tcPr>
            <w:tcW w:w="5000" w:type="pct"/>
            <w:gridSpan w:val="2"/>
          </w:tcPr>
          <w:p w:rsidR="008F385C" w:rsidRPr="00956D0A" w:rsidRDefault="00FD22B5" w:rsidP="007C3BCE">
            <w:pPr>
              <w:jc w:val="both"/>
              <w:rPr>
                <w:sz w:val="20"/>
                <w:szCs w:val="20"/>
                <w:lang w:val="fr-CA"/>
              </w:rPr>
            </w:pPr>
            <w:r w:rsidRPr="00956D0A">
              <w:rPr>
                <w:sz w:val="20"/>
                <w:szCs w:val="20"/>
                <w:lang w:val="fr-CA"/>
              </w:rPr>
              <w:t>La demande d’autorisation d’appel de l’arrêt de la Cour d’appel fédérale, numéro A-377-18, 2019 FCA 222, daté du 15 août 2019, est rejetée sans dépens.</w:t>
            </w:r>
          </w:p>
          <w:p w:rsidR="00FD22B5" w:rsidRPr="00956D0A" w:rsidRDefault="00FD22B5" w:rsidP="007C3BCE">
            <w:pPr>
              <w:jc w:val="both"/>
              <w:rPr>
                <w:sz w:val="20"/>
                <w:lang w:val="fr-CA"/>
              </w:rPr>
            </w:pPr>
          </w:p>
        </w:tc>
      </w:tr>
      <w:tr w:rsidR="003D7C55" w:rsidRPr="00937000" w:rsidTr="007C3BCE">
        <w:tc>
          <w:tcPr>
            <w:tcW w:w="5000" w:type="pct"/>
            <w:gridSpan w:val="2"/>
          </w:tcPr>
          <w:p w:rsidR="003D7C55" w:rsidRPr="00956D0A" w:rsidRDefault="003D7C55" w:rsidP="007C3BCE">
            <w:pPr>
              <w:jc w:val="both"/>
              <w:rPr>
                <w:sz w:val="20"/>
                <w:lang w:val="fr-CA"/>
              </w:rPr>
            </w:pPr>
            <w:r w:rsidRPr="00956D0A">
              <w:rPr>
                <w:sz w:val="20"/>
                <w:lang w:val="fr-CA"/>
              </w:rPr>
              <w:t>Droit social — Assurance</w:t>
            </w:r>
            <w:r w:rsidRPr="00956D0A">
              <w:rPr>
                <w:sz w:val="20"/>
                <w:lang w:val="fr-CA"/>
              </w:rPr>
              <w:noBreakHyphen/>
              <w:t>emploi — Le principe de proportionnalité doit</w:t>
            </w:r>
            <w:r w:rsidRPr="00956D0A">
              <w:rPr>
                <w:sz w:val="20"/>
                <w:lang w:val="fr-CA"/>
              </w:rPr>
              <w:noBreakHyphen/>
              <w:t xml:space="preserve">il servir à interpréter le sens juridique du mot « inconduite » dans la </w:t>
            </w:r>
            <w:r w:rsidRPr="00956D0A">
              <w:rPr>
                <w:i/>
                <w:sz w:val="20"/>
                <w:lang w:val="fr-CA"/>
              </w:rPr>
              <w:t>Loi sur l’assurance</w:t>
            </w:r>
            <w:r w:rsidRPr="00956D0A">
              <w:rPr>
                <w:i/>
                <w:sz w:val="20"/>
                <w:lang w:val="fr-CA"/>
              </w:rPr>
              <w:noBreakHyphen/>
              <w:t>emploi</w:t>
            </w:r>
            <w:r w:rsidRPr="00956D0A">
              <w:rPr>
                <w:sz w:val="20"/>
                <w:lang w:val="fr-CA"/>
              </w:rPr>
              <w:t>, L.C. 1996, ch. 23, art. 30? — L’inconduite peut</w:t>
            </w:r>
            <w:r w:rsidRPr="00956D0A">
              <w:rPr>
                <w:sz w:val="20"/>
                <w:lang w:val="fr-CA"/>
              </w:rPr>
              <w:noBreakHyphen/>
              <w:t>elle être définie par un employeur au moyen d’une politique?</w:t>
            </w:r>
          </w:p>
          <w:p w:rsidR="007D051E" w:rsidRPr="00956D0A" w:rsidRDefault="007D051E" w:rsidP="007C3BCE">
            <w:pPr>
              <w:jc w:val="both"/>
              <w:rPr>
                <w:sz w:val="20"/>
                <w:lang w:val="fr-CA"/>
              </w:rPr>
            </w:pPr>
          </w:p>
        </w:tc>
      </w:tr>
    </w:tbl>
    <w:p w:rsidR="007D051E" w:rsidRPr="00956D0A" w:rsidRDefault="007D051E">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Madame Nelson travaillait et vivait sur une réserve qui interdisait, par règlement, l’ivresse et la fabrication, la vente et la possession d’alcool et de drogues autres que des médicaments sur ordonnance. L’employeur de Mme Nelson a incorporé les dispositions du règlement dans ses conditions d’emploi. Peu de temps après son entrée en fonction en 2016, Mme Nelson a signé un document indiquant qu’elle avait connaissance de son obligation de respecter cette politique. Madame Nelson a été aperçue en état d’ivresse en public sur la réserve et une réunion entre elle et la Nation a été tenue en conséquence. Après qu’elle a été aperçue en état d’ivresse en public pour la deuxième fois, elle a été congédiée. La Commission de l’assurance</w:t>
            </w:r>
            <w:r w:rsidRPr="00956D0A">
              <w:rPr>
                <w:sz w:val="20"/>
                <w:lang w:val="fr-CA"/>
              </w:rPr>
              <w:noBreakHyphen/>
              <w:t>emploi a rejeté sa demande de prestations, concluant qu’elle avait perdu son emploi par sa propre inconduite. La division générale a confirmé la décision de la Commission de l’assurance</w:t>
            </w:r>
            <w:r w:rsidRPr="00956D0A">
              <w:rPr>
                <w:sz w:val="20"/>
                <w:lang w:val="fr-CA"/>
              </w:rPr>
              <w:noBreakHyphen/>
              <w:t>emploi. La division d’appel a accueilli l’appel interjeté par Mme Nelson de la décision de la division générale, mais a confirmé le refus des prestations par la Commission de l’assurance</w:t>
            </w:r>
            <w:r w:rsidRPr="00956D0A">
              <w:rPr>
                <w:sz w:val="20"/>
                <w:lang w:val="fr-CA"/>
              </w:rPr>
              <w:noBreakHyphen/>
              <w:t>emploi du Canada, concluant que la perte d’emploi de Mme Nelson était attribuable à sa propre inconduite. La Cour d’appel fédérale a rejeté la demande de Mme Nelson en contrôle judiciaire.</w:t>
            </w:r>
          </w:p>
        </w:tc>
      </w:tr>
      <w:tr w:rsidR="003D7C55" w:rsidRPr="00937000" w:rsidTr="007C3BCE">
        <w:tc>
          <w:tcPr>
            <w:tcW w:w="5000" w:type="pct"/>
            <w:gridSpan w:val="3"/>
          </w:tcPr>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9 octobre 2018</w:t>
            </w:r>
          </w:p>
          <w:p w:rsidR="003D7C55" w:rsidRPr="00956D0A" w:rsidRDefault="003D7C55" w:rsidP="007C3BCE">
            <w:pPr>
              <w:jc w:val="both"/>
              <w:rPr>
                <w:sz w:val="20"/>
                <w:lang w:val="fr-CA"/>
              </w:rPr>
            </w:pPr>
            <w:r w:rsidRPr="00956D0A">
              <w:rPr>
                <w:sz w:val="20"/>
                <w:lang w:val="fr-CA"/>
              </w:rPr>
              <w:t>Tribunal de la sécurité sociale du Canada</w:t>
            </w:r>
          </w:p>
          <w:p w:rsidR="003D7C55" w:rsidRPr="00956D0A" w:rsidRDefault="003D7C55" w:rsidP="007C3BCE">
            <w:pPr>
              <w:jc w:val="both"/>
              <w:rPr>
                <w:sz w:val="20"/>
                <w:lang w:val="fr-CA"/>
              </w:rPr>
            </w:pPr>
            <w:r w:rsidRPr="00956D0A">
              <w:rPr>
                <w:sz w:val="20"/>
                <w:lang w:val="fr-CA"/>
              </w:rPr>
              <w:t>(Membre Bergen)</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Décision accueillant l’appel de la décision refusant les prestations d’assurance</w:t>
            </w:r>
            <w:r w:rsidRPr="00956D0A">
              <w:rPr>
                <w:sz w:val="20"/>
                <w:lang w:val="fr-CA"/>
              </w:rPr>
              <w:noBreakHyphen/>
              <w:t>emploi  à Mme Nelson et confirmant le refus de prestations par la Commission de l’assurance</w:t>
            </w:r>
            <w:r w:rsidRPr="00956D0A">
              <w:rPr>
                <w:sz w:val="20"/>
                <w:lang w:val="fr-CA"/>
              </w:rPr>
              <w:noBreakHyphen/>
              <w:t>emploi</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15 août 2019</w:t>
            </w:r>
          </w:p>
          <w:p w:rsidR="003D7C55" w:rsidRPr="00956D0A" w:rsidRDefault="003D7C55" w:rsidP="007C3BCE">
            <w:pPr>
              <w:jc w:val="both"/>
              <w:rPr>
                <w:sz w:val="20"/>
                <w:lang w:val="fr-CA"/>
              </w:rPr>
            </w:pPr>
            <w:r w:rsidRPr="00956D0A">
              <w:rPr>
                <w:sz w:val="20"/>
                <w:lang w:val="fr-CA"/>
              </w:rPr>
              <w:t>Cour d’appel fédérale</w:t>
            </w:r>
          </w:p>
          <w:p w:rsidR="003D7C55" w:rsidRPr="00956D0A" w:rsidRDefault="003D7C55" w:rsidP="007C3BCE">
            <w:pPr>
              <w:jc w:val="both"/>
              <w:rPr>
                <w:sz w:val="20"/>
                <w:lang w:val="fr-CA"/>
              </w:rPr>
            </w:pPr>
            <w:r w:rsidRPr="00956D0A">
              <w:rPr>
                <w:sz w:val="20"/>
                <w:lang w:val="fr-CA"/>
              </w:rPr>
              <w:t>(Juges Webb, Near et de Montigny)</w:t>
            </w:r>
          </w:p>
          <w:p w:rsidR="003D7C55" w:rsidRPr="00956D0A" w:rsidRDefault="00937000" w:rsidP="007C3BCE">
            <w:pPr>
              <w:jc w:val="both"/>
              <w:rPr>
                <w:sz w:val="20"/>
                <w:lang w:val="fr-CA"/>
              </w:rPr>
            </w:pPr>
            <w:hyperlink r:id="rId64" w:history="1">
              <w:r w:rsidR="003D7C55" w:rsidRPr="00956D0A">
                <w:rPr>
                  <w:rStyle w:val="Hyperlink"/>
                  <w:sz w:val="20"/>
                  <w:lang w:val="fr-CA"/>
                </w:rPr>
                <w:t>2019 FCA 222</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 demande de contrôle judiciaire</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11 octobre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62"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38855</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Roger O'Neill v. Kings County Construction Ltd.</w:t>
            </w:r>
            <w:r w:rsidR="000F7EF5" w:rsidRPr="00956D0A">
              <w:rPr>
                <w:b/>
                <w:sz w:val="20"/>
                <w:szCs w:val="20"/>
                <w:lang w:val="en-US"/>
              </w:rPr>
              <w:t xml:space="preserve"> and</w:t>
            </w:r>
            <w:r w:rsidRPr="00956D0A">
              <w:rPr>
                <w:b/>
                <w:sz w:val="20"/>
                <w:szCs w:val="20"/>
                <w:lang w:val="en-US"/>
              </w:rPr>
              <w:t xml:space="preserve"> Harry Annear</w:t>
            </w:r>
          </w:p>
          <w:p w:rsidR="003D7C55" w:rsidRPr="00956D0A" w:rsidRDefault="003D7C55" w:rsidP="007C3BCE">
            <w:pPr>
              <w:jc w:val="both"/>
              <w:rPr>
                <w:sz w:val="20"/>
              </w:rPr>
            </w:pPr>
            <w:r w:rsidRPr="00956D0A">
              <w:rPr>
                <w:sz w:val="20"/>
              </w:rPr>
              <w:t>(P.E.I.) (Civil) (By Leave)</w:t>
            </w:r>
          </w:p>
        </w:tc>
      </w:tr>
      <w:tr w:rsidR="008F385C" w:rsidRPr="00956D0A" w:rsidTr="007C3BCE">
        <w:tc>
          <w:tcPr>
            <w:tcW w:w="5000" w:type="pct"/>
            <w:gridSpan w:val="2"/>
          </w:tcPr>
          <w:p w:rsidR="008F385C" w:rsidRPr="00956D0A" w:rsidRDefault="000F7EF5" w:rsidP="007C3BCE">
            <w:pPr>
              <w:jc w:val="both"/>
              <w:rPr>
                <w:sz w:val="20"/>
                <w:szCs w:val="20"/>
              </w:rPr>
            </w:pPr>
            <w:r w:rsidRPr="00956D0A">
              <w:rPr>
                <w:sz w:val="20"/>
                <w:szCs w:val="20"/>
              </w:rPr>
              <w:t>The application for leave to appeal from the judgment of the Prince Edward Island Court of Appeal, Number S1-CA-1400, 2019 PECA 13, dated June 25, 2019, is dismissed.</w:t>
            </w:r>
          </w:p>
          <w:p w:rsidR="000F7EF5" w:rsidRPr="00956D0A" w:rsidRDefault="000F7EF5"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rPr>
            </w:pPr>
            <w:r w:rsidRPr="00956D0A">
              <w:rPr>
                <w:sz w:val="20"/>
              </w:rPr>
              <w:t>Contracts — Breach — Implied contract — Lower courts finding breach of implied contract between parties and awarding damages — Whether doctrine of implied contract can be used to impose a contract on parties in absence of an agreement on essential terms — Whether doctrine of implied contract has evolved from an evidentiary doctrine proving acceptance of an offer made on certain terms into a general means to the provision of remedial damages.</w:t>
            </w:r>
          </w:p>
          <w:p w:rsidR="003D7C55" w:rsidRPr="00956D0A" w:rsidRDefault="003D7C55"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lang w:val="en"/>
              </w:rPr>
            </w:pPr>
            <w:r w:rsidRPr="00956D0A">
              <w:rPr>
                <w:sz w:val="20"/>
                <w:lang w:val="en"/>
              </w:rPr>
              <w:t xml:space="preserve">The respondents </w:t>
            </w:r>
            <w:r w:rsidRPr="00956D0A">
              <w:rPr>
                <w:sz w:val="20"/>
              </w:rPr>
              <w:t>Kings County Construction Ltd. and Mr. Annear</w:t>
            </w:r>
            <w:r w:rsidRPr="00956D0A">
              <w:rPr>
                <w:sz w:val="20"/>
                <w:lang w:val="en"/>
              </w:rPr>
              <w:t xml:space="preserve"> developed the applicant Mr. O’Neill’s property into a viable blueberry business and valued their inputs of equipment and work at $113,971.80 from 2009 to 2013. In 2013, Mr. O’Neill sold his property including the blueberry fields to a third party. This ended the respondents’ ability to continue to recoup its expenses. The respondents sought reimbursement of the balance of their outstanding expenditures in the amount of $101,900.90. Mr. O’Neill denied any further obligation and refused to make payment. </w:t>
            </w:r>
            <w:r w:rsidRPr="00956D0A">
              <w:rPr>
                <w:sz w:val="20"/>
              </w:rPr>
              <w:t xml:space="preserve">The trial judge found there was no express contract between the parties; however, the implied or inferred contract between the parties was breached by Mr. O’Neill. Kings County Construction Ltd. and Mr. Annear were awarded damages in the amount of $101, 900.90. </w:t>
            </w:r>
            <w:r w:rsidRPr="00956D0A">
              <w:rPr>
                <w:sz w:val="20"/>
                <w:lang w:val="en"/>
              </w:rPr>
              <w:t>The Court of Appeal upheld the trial decision and dismissed the appeal.</w:t>
            </w:r>
          </w:p>
        </w:tc>
      </w:tr>
      <w:tr w:rsidR="003D7C55" w:rsidRPr="00956D0A" w:rsidTr="007C3BCE">
        <w:tc>
          <w:tcPr>
            <w:tcW w:w="5000" w:type="pct"/>
            <w:gridSpan w:val="2"/>
          </w:tcPr>
          <w:p w:rsidR="003D7C55" w:rsidRPr="00956D0A" w:rsidRDefault="003D7C55" w:rsidP="007C3BCE">
            <w:pPr>
              <w:jc w:val="both"/>
              <w:rPr>
                <w:sz w:val="20"/>
              </w:rPr>
            </w:pPr>
          </w:p>
        </w:tc>
      </w:tr>
    </w:tbl>
    <w:p w:rsidR="007D051E" w:rsidRPr="00956D0A" w:rsidRDefault="007D051E">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2427" w:type="pct"/>
          </w:tcPr>
          <w:p w:rsidR="003D7C55" w:rsidRPr="00956D0A" w:rsidRDefault="003D7C55" w:rsidP="007C3BCE">
            <w:pPr>
              <w:jc w:val="both"/>
              <w:rPr>
                <w:sz w:val="20"/>
              </w:rPr>
            </w:pPr>
            <w:r w:rsidRPr="00956D0A">
              <w:rPr>
                <w:sz w:val="20"/>
              </w:rPr>
              <w:t>July 25, 2018</w:t>
            </w:r>
          </w:p>
          <w:p w:rsidR="003D7C55" w:rsidRPr="00956D0A" w:rsidRDefault="003D7C55" w:rsidP="007C3BCE">
            <w:pPr>
              <w:jc w:val="both"/>
              <w:rPr>
                <w:sz w:val="20"/>
              </w:rPr>
            </w:pPr>
            <w:r w:rsidRPr="00956D0A">
              <w:rPr>
                <w:sz w:val="20"/>
              </w:rPr>
              <w:t>Supreme Court of Prince Edward Island</w:t>
            </w:r>
          </w:p>
          <w:p w:rsidR="003D7C55" w:rsidRPr="00956D0A" w:rsidRDefault="003D7C55" w:rsidP="007C3BCE">
            <w:pPr>
              <w:jc w:val="both"/>
              <w:rPr>
                <w:sz w:val="20"/>
              </w:rPr>
            </w:pPr>
            <w:r w:rsidRPr="00956D0A">
              <w:rPr>
                <w:sz w:val="20"/>
              </w:rPr>
              <w:t>(MacPherson J.)</w:t>
            </w:r>
          </w:p>
          <w:p w:rsidR="003D7C55" w:rsidRPr="00956D0A" w:rsidRDefault="003D7C55" w:rsidP="007C3BCE">
            <w:pPr>
              <w:jc w:val="both"/>
              <w:rPr>
                <w:sz w:val="20"/>
              </w:rPr>
            </w:pPr>
            <w:r w:rsidRPr="00956D0A">
              <w:rPr>
                <w:sz w:val="20"/>
              </w:rPr>
              <w:t>2018 PESC 25</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There was no express contract between the parties. The implied or inferred contract between the parties was breached by Mr. O’Neill. Kings County Construction Ltd. and Mr. Annear are entitled to damages in the amount of $101, 900.90.</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June 25, 2019</w:t>
            </w:r>
          </w:p>
          <w:p w:rsidR="003D7C55" w:rsidRPr="00956D0A" w:rsidRDefault="003D7C55" w:rsidP="007C3BCE">
            <w:pPr>
              <w:jc w:val="both"/>
              <w:rPr>
                <w:sz w:val="20"/>
              </w:rPr>
            </w:pPr>
            <w:r w:rsidRPr="00956D0A">
              <w:rPr>
                <w:sz w:val="20"/>
              </w:rPr>
              <w:t>Prince Edward Island Court of Appeal</w:t>
            </w:r>
          </w:p>
          <w:p w:rsidR="003D7C55" w:rsidRPr="00956D0A" w:rsidRDefault="003D7C55" w:rsidP="007C3BCE">
            <w:pPr>
              <w:jc w:val="both"/>
              <w:rPr>
                <w:sz w:val="20"/>
              </w:rPr>
            </w:pPr>
            <w:r w:rsidRPr="00956D0A">
              <w:rPr>
                <w:sz w:val="20"/>
              </w:rPr>
              <w:t>(Jenkins C.J. and Murphy and Mitchell JJ.A.)</w:t>
            </w:r>
          </w:p>
          <w:p w:rsidR="003D7C55" w:rsidRPr="00956D0A" w:rsidRDefault="00937000" w:rsidP="007C3BCE">
            <w:pPr>
              <w:jc w:val="both"/>
              <w:rPr>
                <w:sz w:val="20"/>
              </w:rPr>
            </w:pPr>
            <w:hyperlink r:id="rId65" w:history="1">
              <w:r w:rsidR="003D7C55" w:rsidRPr="00956D0A">
                <w:rPr>
                  <w:rStyle w:val="Hyperlink"/>
                  <w:sz w:val="20"/>
                </w:rPr>
                <w:t>2019 PECA 13</w:t>
              </w:r>
            </w:hyperlink>
          </w:p>
          <w:p w:rsidR="003D7C55" w:rsidRPr="00956D0A" w:rsidRDefault="003D7C55" w:rsidP="007C3BCE">
            <w:pPr>
              <w:jc w:val="both"/>
              <w:rPr>
                <w:sz w:val="20"/>
              </w:rPr>
            </w:pPr>
            <w:r w:rsidRPr="00956D0A">
              <w:rPr>
                <w:sz w:val="20"/>
              </w:rPr>
              <w:t>File No.: S1</w:t>
            </w:r>
            <w:r w:rsidRPr="00956D0A">
              <w:rPr>
                <w:sz w:val="20"/>
              </w:rPr>
              <w:noBreakHyphen/>
              <w:t>CA</w:t>
            </w:r>
            <w:r w:rsidRPr="00956D0A">
              <w:rPr>
                <w:sz w:val="20"/>
              </w:rPr>
              <w:noBreakHyphen/>
              <w:t>1400</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 xml:space="preserve">Trial decision upheld and appeal dismissed.  </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September 24,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63"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37000"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38855</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Roger O'Neill c. Kings County Construction Ltd.</w:t>
            </w:r>
            <w:r w:rsidR="000F7EF5" w:rsidRPr="00956D0A">
              <w:rPr>
                <w:b/>
                <w:sz w:val="20"/>
                <w:szCs w:val="20"/>
                <w:lang w:val="en-US"/>
              </w:rPr>
              <w:t xml:space="preserve"> et</w:t>
            </w:r>
            <w:r w:rsidRPr="00956D0A">
              <w:rPr>
                <w:b/>
                <w:sz w:val="20"/>
                <w:szCs w:val="20"/>
                <w:lang w:val="en-US"/>
              </w:rPr>
              <w:t xml:space="preserve"> Harry Annear</w:t>
            </w:r>
          </w:p>
          <w:p w:rsidR="003D7C55" w:rsidRPr="00956D0A" w:rsidRDefault="003D7C55" w:rsidP="007C3BCE">
            <w:pPr>
              <w:jc w:val="both"/>
              <w:rPr>
                <w:sz w:val="20"/>
                <w:lang w:val="fr-CA"/>
              </w:rPr>
            </w:pPr>
            <w:r w:rsidRPr="00956D0A">
              <w:rPr>
                <w:sz w:val="20"/>
                <w:lang w:val="fr-CA"/>
              </w:rPr>
              <w:t>(Î.</w:t>
            </w:r>
            <w:r w:rsidRPr="00956D0A">
              <w:rPr>
                <w:sz w:val="20"/>
                <w:lang w:val="fr-CA"/>
              </w:rPr>
              <w:noBreakHyphen/>
              <w:t>P.</w:t>
            </w:r>
            <w:r w:rsidRPr="00956D0A">
              <w:rPr>
                <w:sz w:val="20"/>
                <w:lang w:val="fr-CA"/>
              </w:rPr>
              <w:noBreakHyphen/>
              <w:t>É.) (Civile) (Autorisation)</w:t>
            </w:r>
          </w:p>
        </w:tc>
      </w:tr>
      <w:tr w:rsidR="008F385C" w:rsidRPr="00937000" w:rsidTr="007C3BCE">
        <w:tc>
          <w:tcPr>
            <w:tcW w:w="5000" w:type="pct"/>
            <w:gridSpan w:val="4"/>
          </w:tcPr>
          <w:p w:rsidR="008F385C" w:rsidRPr="00956D0A" w:rsidRDefault="000F7EF5" w:rsidP="007C3BCE">
            <w:pPr>
              <w:jc w:val="both"/>
              <w:rPr>
                <w:sz w:val="20"/>
                <w:szCs w:val="20"/>
                <w:lang w:val="fr-CA"/>
              </w:rPr>
            </w:pPr>
            <w:r w:rsidRPr="00956D0A">
              <w:rPr>
                <w:sz w:val="20"/>
                <w:szCs w:val="20"/>
                <w:lang w:val="fr-CA"/>
              </w:rPr>
              <w:t>La demande d’autorisation d’appel de l’arrêt de la Cour d’appel de l’Île-du-Prince-Édouard, numéro S1-CA-1400, 2019 PECA 13, daté du 25 juin 2019, est rejetée.</w:t>
            </w:r>
          </w:p>
          <w:p w:rsidR="000F7EF5" w:rsidRPr="00956D0A" w:rsidRDefault="000F7EF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Contrats — Violation — Contrat implicite — Les juridictions inférieures ont conclu à la violation d’un contrat implicite entre les parties et ont accordé des dommages</w:t>
            </w:r>
            <w:r w:rsidRPr="00956D0A">
              <w:rPr>
                <w:sz w:val="20"/>
                <w:lang w:val="fr-CA"/>
              </w:rPr>
              <w:noBreakHyphen/>
              <w:t>intérêts — Peut</w:t>
            </w:r>
            <w:r w:rsidRPr="00956D0A">
              <w:rPr>
                <w:sz w:val="20"/>
                <w:lang w:val="fr-CA"/>
              </w:rPr>
              <w:noBreakHyphen/>
              <w:t>on s’appuyer sur la théorie du contrat implicite pour imposer un contrat aux parties en l’absence d’entente sur des conditions essentielles? — La théorie du contrat implicite a</w:t>
            </w:r>
            <w:r w:rsidRPr="00956D0A">
              <w:rPr>
                <w:sz w:val="20"/>
                <w:lang w:val="fr-CA"/>
              </w:rPr>
              <w:noBreakHyphen/>
              <w:t>t</w:t>
            </w:r>
            <w:r w:rsidRPr="00956D0A">
              <w:rPr>
                <w:sz w:val="20"/>
                <w:lang w:val="fr-CA"/>
              </w:rPr>
              <w:noBreakHyphen/>
              <w:t>elle évolué, passant d’un principe en matière de preuve établissant l’acceptation d’une offre faite à certaines conditions à un moyen général de prestation de dommages</w:t>
            </w:r>
            <w:r w:rsidRPr="00956D0A">
              <w:rPr>
                <w:sz w:val="20"/>
                <w:lang w:val="fr-CA"/>
              </w:rPr>
              <w:noBreakHyphen/>
              <w:t>intérêts compensatoires?</w:t>
            </w:r>
          </w:p>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 xml:space="preserve">Les intimés Kings </w:t>
            </w:r>
            <w:proofErr w:type="spellStart"/>
            <w:r w:rsidRPr="00956D0A">
              <w:rPr>
                <w:sz w:val="20"/>
                <w:lang w:val="fr-CA"/>
              </w:rPr>
              <w:t>County</w:t>
            </w:r>
            <w:proofErr w:type="spellEnd"/>
            <w:r w:rsidRPr="00956D0A">
              <w:rPr>
                <w:sz w:val="20"/>
                <w:lang w:val="fr-CA"/>
              </w:rPr>
              <w:t xml:space="preserve"> Construction Ltd. et M. Annear ont mis en valeur le bien</w:t>
            </w:r>
            <w:r w:rsidRPr="00956D0A">
              <w:rPr>
                <w:sz w:val="20"/>
                <w:lang w:val="fr-CA"/>
              </w:rPr>
              <w:noBreakHyphen/>
              <w:t>fonds du demandeur, M. O’Neill, pour en faire une entreprise viable de production de bleuets et ont évalué leurs apports d’équipement et de travail à 113 971,80 $ de 2009 à 2013. En 2013, M. O’Neill a vendu à un tiers son bien</w:t>
            </w:r>
            <w:r w:rsidRPr="00956D0A">
              <w:rPr>
                <w:sz w:val="20"/>
                <w:lang w:val="fr-CA"/>
              </w:rPr>
              <w:noBreakHyphen/>
              <w:t>fonds, y compris les champs de bleuets. La vente a mis fin à la faculté qu’avaient les intimés de récupérer leurs frais. Les intimés ont demandé le remboursement du solde de leurs dépenses non réglées, soit 101 900,90 $. Monsieur O’Neill a nié l’existence de toute obligation additionnelle et a refusé de payer. Le juge de première instance a conclu qu’il n’y avait aucun contrat exprès entre les parties; toutefois, il a conclu que M. O’Neill avait violé le contrat implicite ou déduit entre les parties. Kings County Construction Ltd. et M. Annear se sont vu accorder des dommages</w:t>
            </w:r>
            <w:r w:rsidRPr="00956D0A">
              <w:rPr>
                <w:sz w:val="20"/>
                <w:lang w:val="fr-CA"/>
              </w:rPr>
              <w:noBreakHyphen/>
              <w:t>intérêts de 101 900,90 $. La Cour d’appel a confirmé le jugement de première instance et a rejeté l’appel.</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25 juillet 2018</w:t>
            </w:r>
          </w:p>
          <w:p w:rsidR="003D7C55" w:rsidRPr="00956D0A" w:rsidRDefault="003D7C55" w:rsidP="007C3BCE">
            <w:pPr>
              <w:jc w:val="both"/>
              <w:rPr>
                <w:sz w:val="20"/>
                <w:lang w:val="fr-CA"/>
              </w:rPr>
            </w:pPr>
            <w:r w:rsidRPr="00956D0A">
              <w:rPr>
                <w:sz w:val="20"/>
                <w:lang w:val="fr-CA"/>
              </w:rPr>
              <w:t>Cour suprême de l’Île</w:t>
            </w:r>
            <w:r w:rsidRPr="00956D0A">
              <w:rPr>
                <w:sz w:val="20"/>
                <w:lang w:val="fr-CA"/>
              </w:rPr>
              <w:noBreakHyphen/>
              <w:t>du</w:t>
            </w:r>
            <w:r w:rsidRPr="00956D0A">
              <w:rPr>
                <w:sz w:val="20"/>
                <w:lang w:val="fr-CA"/>
              </w:rPr>
              <w:noBreakHyphen/>
              <w:t>Prince</w:t>
            </w:r>
            <w:r w:rsidRPr="00956D0A">
              <w:rPr>
                <w:sz w:val="20"/>
                <w:lang w:val="fr-CA"/>
              </w:rPr>
              <w:noBreakHyphen/>
              <w:t>Édouard</w:t>
            </w:r>
          </w:p>
          <w:p w:rsidR="003D7C55" w:rsidRPr="00956D0A" w:rsidRDefault="003D7C55" w:rsidP="007C3BCE">
            <w:pPr>
              <w:jc w:val="both"/>
              <w:rPr>
                <w:sz w:val="20"/>
                <w:lang w:val="fr-CA"/>
              </w:rPr>
            </w:pPr>
            <w:r w:rsidRPr="00956D0A">
              <w:rPr>
                <w:sz w:val="20"/>
                <w:lang w:val="fr-CA"/>
              </w:rPr>
              <w:t>(Juge MacPherson)</w:t>
            </w:r>
          </w:p>
          <w:p w:rsidR="003D7C55" w:rsidRPr="00956D0A" w:rsidRDefault="003D7C55" w:rsidP="007C3BCE">
            <w:pPr>
              <w:jc w:val="both"/>
              <w:rPr>
                <w:sz w:val="20"/>
                <w:lang w:val="fr-CA"/>
              </w:rPr>
            </w:pPr>
            <w:r w:rsidRPr="00956D0A">
              <w:rPr>
                <w:sz w:val="20"/>
                <w:lang w:val="fr-CA"/>
              </w:rPr>
              <w:t>2018 PESC 25</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statuant qu’il n’y avait aucun contrat exprès entre les parties, que M. O’Neill avait violé le contrat implicite ou déduit entre les parties et statuant que Kings County Construction Ltd. et M. Annear avaient droit à des dommages</w:t>
            </w:r>
            <w:r w:rsidRPr="00956D0A">
              <w:rPr>
                <w:sz w:val="20"/>
                <w:lang w:val="fr-CA"/>
              </w:rPr>
              <w:noBreakHyphen/>
              <w:t>intérêts de 101 900,90 $.</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25 juin 2019</w:t>
            </w:r>
          </w:p>
          <w:p w:rsidR="003D7C55" w:rsidRPr="00956D0A" w:rsidRDefault="003D7C55" w:rsidP="007C3BCE">
            <w:pPr>
              <w:jc w:val="both"/>
              <w:rPr>
                <w:sz w:val="20"/>
                <w:lang w:val="fr-CA"/>
              </w:rPr>
            </w:pPr>
            <w:r w:rsidRPr="00956D0A">
              <w:rPr>
                <w:sz w:val="20"/>
                <w:lang w:val="fr-CA"/>
              </w:rPr>
              <w:t>Cour d’appel de l’Île</w:t>
            </w:r>
            <w:r w:rsidRPr="00956D0A">
              <w:rPr>
                <w:sz w:val="20"/>
                <w:lang w:val="fr-CA"/>
              </w:rPr>
              <w:noBreakHyphen/>
              <w:t>du</w:t>
            </w:r>
            <w:r w:rsidRPr="00956D0A">
              <w:rPr>
                <w:sz w:val="20"/>
                <w:lang w:val="fr-CA"/>
              </w:rPr>
              <w:noBreakHyphen/>
              <w:t>Prince</w:t>
            </w:r>
            <w:r w:rsidRPr="00956D0A">
              <w:rPr>
                <w:sz w:val="20"/>
                <w:lang w:val="fr-CA"/>
              </w:rPr>
              <w:noBreakHyphen/>
              <w:t>Édouard</w:t>
            </w:r>
          </w:p>
          <w:p w:rsidR="003D7C55" w:rsidRPr="00956D0A" w:rsidRDefault="003D7C55" w:rsidP="007C3BCE">
            <w:pPr>
              <w:jc w:val="both"/>
              <w:rPr>
                <w:sz w:val="20"/>
                <w:lang w:val="fr-CA"/>
              </w:rPr>
            </w:pPr>
            <w:r w:rsidRPr="00956D0A">
              <w:rPr>
                <w:sz w:val="20"/>
                <w:lang w:val="fr-CA"/>
              </w:rPr>
              <w:t>(Juge en chef Jenkins, juges Murphy et Mitchell)</w:t>
            </w:r>
          </w:p>
          <w:p w:rsidR="003D7C55" w:rsidRPr="00956D0A" w:rsidRDefault="00937000" w:rsidP="007C3BCE">
            <w:pPr>
              <w:jc w:val="both"/>
              <w:rPr>
                <w:sz w:val="20"/>
                <w:lang w:val="fr-CA"/>
              </w:rPr>
            </w:pPr>
            <w:hyperlink r:id="rId66" w:history="1">
              <w:r w:rsidR="003D7C55" w:rsidRPr="00956D0A">
                <w:rPr>
                  <w:rStyle w:val="Hyperlink"/>
                  <w:sz w:val="20"/>
                  <w:lang w:val="fr-CA"/>
                </w:rPr>
                <w:t>2019 PECA 13</w:t>
              </w:r>
            </w:hyperlink>
          </w:p>
          <w:p w:rsidR="003D7C55" w:rsidRPr="00956D0A" w:rsidRDefault="003D7C55" w:rsidP="007C3BCE">
            <w:pPr>
              <w:jc w:val="both"/>
              <w:rPr>
                <w:sz w:val="20"/>
                <w:lang w:val="fr-CA"/>
              </w:rPr>
            </w:pPr>
            <w:r w:rsidRPr="00956D0A">
              <w:rPr>
                <w:sz w:val="20"/>
                <w:lang w:val="fr-CA"/>
              </w:rPr>
              <w:t>N</w:t>
            </w:r>
            <w:r w:rsidRPr="00956D0A">
              <w:rPr>
                <w:sz w:val="20"/>
                <w:vertAlign w:val="superscript"/>
                <w:lang w:val="fr-CA"/>
              </w:rPr>
              <w:t>o</w:t>
            </w:r>
            <w:r w:rsidRPr="00956D0A">
              <w:rPr>
                <w:sz w:val="20"/>
                <w:lang w:val="fr-CA"/>
              </w:rPr>
              <w:t xml:space="preserve"> de dossier : S1</w:t>
            </w:r>
            <w:r w:rsidRPr="00956D0A">
              <w:rPr>
                <w:sz w:val="20"/>
                <w:lang w:val="fr-CA"/>
              </w:rPr>
              <w:noBreakHyphen/>
              <w:t>CA</w:t>
            </w:r>
            <w:r w:rsidRPr="00956D0A">
              <w:rPr>
                <w:sz w:val="20"/>
                <w:lang w:val="fr-CA"/>
              </w:rPr>
              <w:noBreakHyphen/>
              <w:t>1400</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Arrêt confirmant le jugement de première instance et rejetant l’appel.</w:t>
            </w:r>
          </w:p>
          <w:p w:rsidR="003D7C55" w:rsidRPr="00956D0A" w:rsidRDefault="003D7C55" w:rsidP="007C3BCE">
            <w:pPr>
              <w:jc w:val="both"/>
              <w:rPr>
                <w:sz w:val="20"/>
                <w:lang w:val="fr-CA"/>
              </w:rPr>
            </w:pPr>
          </w:p>
        </w:tc>
      </w:tr>
    </w:tbl>
    <w:p w:rsidR="007D051E" w:rsidRPr="00956D0A" w:rsidRDefault="007D051E">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2427" w:type="pct"/>
          </w:tcPr>
          <w:p w:rsidR="003D7C55" w:rsidRPr="00956D0A" w:rsidRDefault="003D7C55" w:rsidP="007C3BCE">
            <w:pPr>
              <w:jc w:val="both"/>
              <w:rPr>
                <w:sz w:val="20"/>
                <w:lang w:val="fr-CA"/>
              </w:rPr>
            </w:pPr>
            <w:r w:rsidRPr="00956D0A">
              <w:rPr>
                <w:sz w:val="20"/>
                <w:lang w:val="fr-CA"/>
              </w:rPr>
              <w:t>24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64"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38840</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Diana Lynn Monk v. Farmers' Mutual Insurance Company (Lindsay)</w:t>
            </w:r>
            <w:r w:rsidR="008606A1" w:rsidRPr="00956D0A">
              <w:rPr>
                <w:b/>
                <w:sz w:val="20"/>
                <w:szCs w:val="20"/>
                <w:lang w:val="en-US"/>
              </w:rPr>
              <w:t xml:space="preserve"> and</w:t>
            </w:r>
            <w:r w:rsidRPr="00956D0A">
              <w:rPr>
                <w:b/>
                <w:sz w:val="20"/>
                <w:szCs w:val="20"/>
                <w:lang w:val="en-US"/>
              </w:rPr>
              <w:t xml:space="preserve"> Muskoka Insurance Brokers Ltd.</w:t>
            </w:r>
          </w:p>
          <w:p w:rsidR="003D7C55" w:rsidRPr="00956D0A" w:rsidRDefault="003D7C55" w:rsidP="007C3BCE">
            <w:pPr>
              <w:jc w:val="both"/>
              <w:rPr>
                <w:sz w:val="20"/>
              </w:rPr>
            </w:pPr>
            <w:r w:rsidRPr="00956D0A">
              <w:rPr>
                <w:sz w:val="20"/>
              </w:rPr>
              <w:t>(Ont.) (Civil) (By Leave)</w:t>
            </w:r>
          </w:p>
        </w:tc>
      </w:tr>
      <w:tr w:rsidR="008F385C" w:rsidRPr="00956D0A" w:rsidTr="007C3BCE">
        <w:tc>
          <w:tcPr>
            <w:tcW w:w="5000" w:type="pct"/>
            <w:gridSpan w:val="4"/>
          </w:tcPr>
          <w:p w:rsidR="008606A1" w:rsidRPr="00956D0A" w:rsidRDefault="008606A1" w:rsidP="008606A1">
            <w:pPr>
              <w:jc w:val="both"/>
              <w:rPr>
                <w:sz w:val="20"/>
                <w:szCs w:val="20"/>
              </w:rPr>
            </w:pPr>
            <w:r w:rsidRPr="00956D0A">
              <w:rPr>
                <w:sz w:val="20"/>
                <w:szCs w:val="20"/>
              </w:rPr>
              <w:t>The motion for an extension of time to serve and file the reply is granted. The application for leave to appeal from the judgment of the Court of Appeal for Ontario, Number C64078, 2019 ONCA 616, dated July 19, 2019, is dismissed with costs.</w:t>
            </w:r>
          </w:p>
          <w:p w:rsidR="008F385C" w:rsidRPr="00956D0A" w:rsidRDefault="008F385C"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Contracts — Performance — Insurance claims — Good faith — Whether it is contrary to an insurer’s obligation of good faith to write an exclusion that confuses its insured — Whether it is contrary to an insurer’s obligation of good faith to take a win</w:t>
            </w:r>
            <w:r w:rsidRPr="00956D0A">
              <w:rPr>
                <w:sz w:val="20"/>
              </w:rPr>
              <w:noBreakHyphen/>
              <w:t>at</w:t>
            </w:r>
            <w:r w:rsidRPr="00956D0A">
              <w:rPr>
                <w:sz w:val="20"/>
              </w:rPr>
              <w:noBreakHyphen/>
              <w:t>all</w:t>
            </w:r>
            <w:r w:rsidRPr="00956D0A">
              <w:rPr>
                <w:sz w:val="20"/>
              </w:rPr>
              <w:noBreakHyphen/>
              <w:t>costs approach to defeating an insured’s claim — Whether the Court of Appeal erred in refusing to conduct a fresh assessment and weighing of the evidence?</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Diana Monk owns a log house in Bracebridge, Ontario. In 2008, she wanted to refinish the exterior of the logs. To do the work, she hired Pleasantview Log Restoration Systems Inc. The work largely was completed by the end of 2008. During and after the restoration work, Ms. Monk noticed some damage to the interior and exterior of the house, which she attributed to the cleaning. Ms. Monk had home property insurance with Farmers’ Mutual Insurance Company. She obtained the insurance through her local broker, Muskoka Insurance Brokers Ltd. On September 2, 2011, Ms. Monk informed Muskoka Insurance of damage she claimed had resulted from Pleasantview’s work. On September 8, 2011 Muskoka Insurance informed Ms. Monk that Farmers’ regarded any claim under her policy as time</w:t>
            </w:r>
            <w:r w:rsidRPr="00956D0A">
              <w:rPr>
                <w:sz w:val="20"/>
              </w:rPr>
              <w:noBreakHyphen/>
              <w:t>barred. Ms. Monk’s lawyer sent Farmers’ a formal notice of claim on October 12, 2011 and commenced an action for indemnification under her insurance policy. In 2014, Muskoka Insurance and Farmers moved for summary judgment dismissing Ms. Monk’s action on the basis that exclusions in the policy denied coverage. Their motion was successful but subsequently overturned by the Court of Appeal for Ontario. A judge of the Ontario Superior Court of Justice determined that the insurers were prejudiced by Ms. Monk’s failure to notify them in a timely manner and awarded partial indemnity costs against her. A unanimous Court of Appeal dismissed the subsequent appeal and cross</w:t>
            </w:r>
            <w:r w:rsidRPr="00956D0A">
              <w:rPr>
                <w:sz w:val="20"/>
              </w:rPr>
              <w:noBreakHyphen/>
              <w:t>appeal although it allowed leave to appeal on costs and lowered the amounts owing by Ms. Monk.</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June 15, 2017</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(Koke J.)</w:t>
            </w:r>
          </w:p>
          <w:p w:rsidR="003D7C55" w:rsidRPr="00956D0A" w:rsidRDefault="00937000" w:rsidP="007C3BCE">
            <w:pPr>
              <w:jc w:val="both"/>
              <w:rPr>
                <w:sz w:val="20"/>
              </w:rPr>
            </w:pPr>
            <w:hyperlink r:id="rId67" w:history="1">
              <w:r w:rsidR="003D7C55" w:rsidRPr="00956D0A">
                <w:rPr>
                  <w:rStyle w:val="Hyperlink"/>
                  <w:sz w:val="20"/>
                </w:rPr>
                <w:t>2017 ONSC 3690</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Action against insurers for failure to cover workmanship damage dismissed.</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July 19, 2019</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(Feldman, Brown, and Miller JJ.A.)</w:t>
            </w:r>
          </w:p>
          <w:p w:rsidR="003D7C55" w:rsidRPr="00956D0A" w:rsidRDefault="00937000" w:rsidP="007C3BCE">
            <w:pPr>
              <w:jc w:val="both"/>
              <w:rPr>
                <w:sz w:val="20"/>
              </w:rPr>
            </w:pPr>
            <w:hyperlink r:id="rId68" w:history="1">
              <w:r w:rsidR="003D7C55" w:rsidRPr="00956D0A">
                <w:rPr>
                  <w:rStyle w:val="Hyperlink"/>
                  <w:sz w:val="20"/>
                </w:rPr>
                <w:t>2019 ONCA 616</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 leave to appeal trial costs granted and costs reduced; cross</w:t>
            </w:r>
            <w:r w:rsidRPr="00956D0A">
              <w:rPr>
                <w:sz w:val="20"/>
              </w:rPr>
              <w:noBreakHyphen/>
              <w:t>appeal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30,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65" style="width:2in;height:1pt" o:hrpct="0" o:hralign="center" o:hrstd="t" o:hrnoshade="t" o:hr="t" fillcolor="black [3213]" stroked="f"/>
        </w:pict>
      </w:r>
    </w:p>
    <w:p w:rsidR="003D7C55" w:rsidRPr="00956D0A" w:rsidRDefault="003D7C55" w:rsidP="003D7C55">
      <w:pPr>
        <w:jc w:val="both"/>
        <w:rPr>
          <w:sz w:val="20"/>
        </w:rPr>
      </w:pPr>
    </w:p>
    <w:p w:rsidR="00FF106B" w:rsidRPr="00956D0A" w:rsidRDefault="00FF106B">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38840</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Diana Lynn Monk c. Farmers' Mutual Insurance Company (Lindsay)</w:t>
            </w:r>
            <w:r w:rsidR="008606A1" w:rsidRPr="00956D0A">
              <w:rPr>
                <w:b/>
                <w:sz w:val="20"/>
                <w:szCs w:val="20"/>
                <w:lang w:val="en-US"/>
              </w:rPr>
              <w:t xml:space="preserve"> et</w:t>
            </w:r>
            <w:r w:rsidRPr="00956D0A">
              <w:rPr>
                <w:b/>
                <w:sz w:val="20"/>
                <w:szCs w:val="20"/>
                <w:lang w:val="en-US"/>
              </w:rPr>
              <w:t xml:space="preserve"> Muskoka Insurance Brokers Ltd.</w:t>
            </w:r>
          </w:p>
          <w:p w:rsidR="003D7C55" w:rsidRPr="00956D0A" w:rsidRDefault="003D7C55" w:rsidP="007C3BCE">
            <w:pPr>
              <w:jc w:val="both"/>
              <w:rPr>
                <w:sz w:val="20"/>
                <w:lang w:val="fr-CA"/>
              </w:rPr>
            </w:pPr>
            <w:r w:rsidRPr="00956D0A">
              <w:rPr>
                <w:sz w:val="20"/>
                <w:lang w:val="fr-CA"/>
              </w:rPr>
              <w:t>(Ont.) (Civile) (Autorisation)</w:t>
            </w:r>
          </w:p>
        </w:tc>
      </w:tr>
      <w:tr w:rsidR="008F385C" w:rsidRPr="00937000" w:rsidTr="007C3BCE">
        <w:tc>
          <w:tcPr>
            <w:tcW w:w="5000" w:type="pct"/>
            <w:gridSpan w:val="4"/>
          </w:tcPr>
          <w:p w:rsidR="008F385C" w:rsidRPr="00956D0A" w:rsidRDefault="008606A1" w:rsidP="007C3BCE">
            <w:pPr>
              <w:jc w:val="both"/>
              <w:rPr>
                <w:sz w:val="20"/>
                <w:szCs w:val="20"/>
                <w:lang w:val="fr-CA"/>
              </w:rPr>
            </w:pPr>
            <w:r w:rsidRPr="00956D0A">
              <w:rPr>
                <w:sz w:val="20"/>
                <w:szCs w:val="20"/>
                <w:lang w:val="fr-CA"/>
              </w:rPr>
              <w:t>La requête en prorogation du délai de signification et de dépôt de la réplique est accueillie. La demande d’autorisation d’appel de l’arrêt de la Cour d’appel de l’Ontario, numéro C64078, 2019 ONCA 616, daté du 19 juillet 2019, est rejetée avec dépens.</w:t>
            </w:r>
          </w:p>
          <w:p w:rsidR="008606A1" w:rsidRPr="00956D0A" w:rsidRDefault="008606A1"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Contrats — Exécution — Réclamations d’assurance — Bonne foi — L’assureur qui stipule une exclusion qui déroute son assurée manque</w:t>
            </w:r>
            <w:r w:rsidRPr="00956D0A">
              <w:rPr>
                <w:sz w:val="20"/>
                <w:lang w:val="fr-CA"/>
              </w:rPr>
              <w:noBreakHyphen/>
              <w:t>t</w:t>
            </w:r>
            <w:r w:rsidRPr="00956D0A">
              <w:rPr>
                <w:sz w:val="20"/>
                <w:lang w:val="fr-CA"/>
              </w:rPr>
              <w:noBreakHyphen/>
              <w:t>il à son obligation d’agir de bonne foi? — L’assureur qui veut gagner à tout prix pour faire échouer la demande de réclamation de son assurée manque</w:t>
            </w:r>
            <w:r w:rsidRPr="00956D0A">
              <w:rPr>
                <w:sz w:val="20"/>
                <w:lang w:val="fr-CA"/>
              </w:rPr>
              <w:noBreakHyphen/>
              <w:t>t</w:t>
            </w:r>
            <w:r w:rsidRPr="00956D0A">
              <w:rPr>
                <w:sz w:val="20"/>
                <w:lang w:val="fr-CA"/>
              </w:rPr>
              <w:noBreakHyphen/>
              <w:t>il à son obligation d’agir de bonne foi? — La Cour d’appel a</w:t>
            </w:r>
            <w:r w:rsidRPr="00956D0A">
              <w:rPr>
                <w:sz w:val="20"/>
                <w:lang w:val="fr-CA"/>
              </w:rPr>
              <w:noBreakHyphen/>
              <w:t>t</w:t>
            </w:r>
            <w:r w:rsidRPr="00956D0A">
              <w:rPr>
                <w:sz w:val="20"/>
                <w:lang w:val="fr-CA"/>
              </w:rPr>
              <w:noBreakHyphen/>
              <w:t>elle eu tort de refuser d’apprécier la preuve de nouveau?</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5000" w:type="pct"/>
            <w:gridSpan w:val="4"/>
          </w:tcPr>
          <w:p w:rsidR="003D7C55" w:rsidRPr="00956D0A" w:rsidRDefault="003D7C55" w:rsidP="007C3BCE">
            <w:pPr>
              <w:jc w:val="both"/>
              <w:rPr>
                <w:sz w:val="20"/>
                <w:lang w:val="fr-CA"/>
              </w:rPr>
            </w:pPr>
            <w:r w:rsidRPr="00956D0A">
              <w:rPr>
                <w:sz w:val="20"/>
                <w:lang w:val="fr-CA"/>
              </w:rPr>
              <w:t>Diana Monk est propriétaire d’une maison de rondins située à Bracebridge (Ontario). En 2008, elle voulait restaurer l’extérieur des rondins. Pour effectuer ce travail, elle a engagé Pleasantview Log Restoration Systems Inc. Le travail a été achevé en grande partie à la fin de 2008. Pendant et après le travail de restauration, Mme Monk a remarqué des dommages à l’intérieur et à l’extérieur de la maison, qu’elle a attribués au nettoyage. Madame Monk avait une assurance habitation établie par Farmers’ Mutual Insurance Company. Elle avait souscrit l’assurance par l’intermédiaire de son courtier local, Muskoka Insurance Brokers Ltd. Le 2 septembre 2011, Mme Monk a informé Muskoka Insurance de dommages qu’elle attribuait au travail de Pleasantview. Le 8 septembre 2011, Muskoka Insurance a informé Mme Monk que Farmers’ considérait que toute réclamation en vertu de sa police était prescrite. L’avocat de Mme Monk a envoyé une mise en demeure à Farmers le 12 octobre 2011 et il a intenté une action en indemnisation fondée sur sa police d’assurance. En 2014, Muskoka Insurance et Farmers ont demandé par motion un jugement sommaire rejetant l’action de Mme Monk, plaidant que les exclusions stipulées dans la police écartaient l’application de celle</w:t>
            </w:r>
            <w:r w:rsidRPr="00956D0A">
              <w:rPr>
                <w:sz w:val="20"/>
                <w:lang w:val="fr-CA"/>
              </w:rPr>
              <w:noBreakHyphen/>
              <w:t>ci. Leur motion a été accueillie, mais la Cour d’appel de l’Ontario a infirmé ce jugement. Un juge de la Cour supérieure de justice de l’Ontario a conclu que les assureurs avaient été lésés par l’omission de Mme Monk de les avoir avisés en temps opportun et a condamné cette dernière aux dépens d’indemnisation partielle. Dans un arrêt unanime, la Cour d’appel a rejeté l’appel et l’appel incident subséquents, bien qu’elle ait accordé l’autorisation d’appel quant aux dépens et réduit les montants dont Mme Monk était redevable.</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15 juin 2017</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Koke)</w:t>
            </w:r>
          </w:p>
          <w:p w:rsidR="003D7C55" w:rsidRPr="00956D0A" w:rsidRDefault="00937000" w:rsidP="007C3BCE">
            <w:pPr>
              <w:jc w:val="both"/>
              <w:rPr>
                <w:sz w:val="20"/>
                <w:lang w:val="fr-CA"/>
              </w:rPr>
            </w:pPr>
            <w:hyperlink r:id="rId69" w:history="1">
              <w:r w:rsidR="003D7C55" w:rsidRPr="00956D0A">
                <w:rPr>
                  <w:rStyle w:val="Hyperlink"/>
                  <w:sz w:val="20"/>
                  <w:lang w:val="fr-CA"/>
                </w:rPr>
                <w:t>2017 ONSC 3690</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l’action contre les assureurs pour défaut de garantir contre les dommages de malfaçon.</w:t>
            </w: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9 juillet 2019</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(Juges Feldman, Brown et Miller)</w:t>
            </w:r>
          </w:p>
          <w:p w:rsidR="003D7C55" w:rsidRPr="00956D0A" w:rsidRDefault="00937000" w:rsidP="007C3BCE">
            <w:pPr>
              <w:jc w:val="both"/>
              <w:rPr>
                <w:sz w:val="20"/>
                <w:lang w:val="fr-CA"/>
              </w:rPr>
            </w:pPr>
            <w:hyperlink r:id="rId70" w:history="1">
              <w:r w:rsidR="003D7C55" w:rsidRPr="00956D0A">
                <w:rPr>
                  <w:rStyle w:val="Hyperlink"/>
                  <w:sz w:val="20"/>
                  <w:lang w:val="fr-CA"/>
                </w:rPr>
                <w:t>2019 ONCA 616</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Arrêt rejetant l’appel, accueillant la requête en autorisation d’interjeter appel de la décision quant aux dépens en première instance, réduisant ces dépens et rejetant l’appel incident.</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30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jc w:val="both"/>
        <w:rPr>
          <w:sz w:val="20"/>
          <w:lang w:val="fr-CA"/>
        </w:rPr>
      </w:pPr>
      <w:r>
        <w:rPr>
          <w:sz w:val="20"/>
        </w:rPr>
        <w:pict>
          <v:rect id="_x0000_i1066" style="width:2in;height:1pt" o:hrpct="0" o:hralign="center" o:hrstd="t" o:hrnoshade="t" o:hr="t" fillcolor="black [3213]" stroked="f"/>
        </w:pict>
      </w:r>
    </w:p>
    <w:p w:rsidR="003D7C55" w:rsidRPr="00956D0A" w:rsidRDefault="003D7C55" w:rsidP="003D7C55">
      <w:pPr>
        <w:ind w:left="142" w:hanging="142"/>
        <w:jc w:val="both"/>
        <w:rPr>
          <w:sz w:val="20"/>
          <w:lang w:val="fr-CA"/>
        </w:rPr>
      </w:pPr>
    </w:p>
    <w:p w:rsidR="00FF106B" w:rsidRPr="00956D0A" w:rsidRDefault="00FF106B">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38884</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Elizabeth Bernard v. Bonnie Gale Baun, Attorney General of Canada</w:t>
            </w:r>
            <w:r w:rsidR="006A7342" w:rsidRPr="00956D0A">
              <w:rPr>
                <w:b/>
                <w:sz w:val="20"/>
                <w:szCs w:val="20"/>
                <w:lang w:val="en-US"/>
              </w:rPr>
              <w:t xml:space="preserve"> and</w:t>
            </w:r>
            <w:r w:rsidRPr="00956D0A">
              <w:rPr>
                <w:b/>
                <w:sz w:val="20"/>
                <w:szCs w:val="20"/>
                <w:lang w:val="en-US"/>
              </w:rPr>
              <w:t xml:space="preserve"> Public Service Alliance of Canada</w:t>
            </w:r>
          </w:p>
          <w:p w:rsidR="003D7C55" w:rsidRPr="00956D0A" w:rsidRDefault="003D7C55" w:rsidP="007C3BCE">
            <w:pPr>
              <w:jc w:val="both"/>
              <w:rPr>
                <w:sz w:val="20"/>
              </w:rPr>
            </w:pPr>
            <w:r w:rsidRPr="00956D0A">
              <w:rPr>
                <w:sz w:val="20"/>
              </w:rPr>
              <w:t>(F.C.) (Civil) (By Leave)</w:t>
            </w:r>
          </w:p>
        </w:tc>
      </w:tr>
      <w:tr w:rsidR="008F385C" w:rsidRPr="00956D0A" w:rsidTr="007C3BCE">
        <w:tc>
          <w:tcPr>
            <w:tcW w:w="5000" w:type="pct"/>
            <w:gridSpan w:val="4"/>
          </w:tcPr>
          <w:p w:rsidR="006A7342" w:rsidRPr="00956D0A" w:rsidRDefault="006A7342" w:rsidP="006A7342">
            <w:pPr>
              <w:jc w:val="both"/>
              <w:rPr>
                <w:sz w:val="20"/>
                <w:szCs w:val="20"/>
              </w:rPr>
            </w:pPr>
            <w:r w:rsidRPr="00956D0A">
              <w:rPr>
                <w:sz w:val="20"/>
                <w:szCs w:val="20"/>
              </w:rPr>
              <w:t>The motion to extend time to serve and file the reply is granted. The motion for a stay of execution is dismissed. The application for leave to appeal from the judgment of the Federal Court of Appeal, Number A-264-18, 2019 FCA 144, dated May 14, 2019, is dismissed with costs to the respondents, Attorney General of Canada and Public Service Alliance of Canada.</w:t>
            </w:r>
          </w:p>
          <w:p w:rsidR="008F385C" w:rsidRPr="00956D0A" w:rsidRDefault="008F385C"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 xml:space="preserve">Administrative law — Judicial review — Applicant seeking judicial review of tribunal decision in case to which she was not a party — Whether Federal Public Sector Labour Relations Board’s decision in </w:t>
            </w:r>
            <w:r w:rsidRPr="00956D0A">
              <w:rPr>
                <w:i/>
                <w:sz w:val="20"/>
              </w:rPr>
              <w:t xml:space="preserve">Baun v. Statistics Survey Operations </w:t>
            </w:r>
            <w:r w:rsidRPr="00956D0A">
              <w:rPr>
                <w:sz w:val="20"/>
              </w:rPr>
              <w:t xml:space="preserve">[2018 FPSLREB 54) is a nullity because Board was not constituted in accordance with law — Whether applicant has public interest standing to file application for judicial review of </w:t>
            </w:r>
            <w:r w:rsidRPr="00956D0A">
              <w:rPr>
                <w:i/>
                <w:sz w:val="20"/>
              </w:rPr>
              <w:t xml:space="preserve">Baun v. Statistics Survey Operations — </w:t>
            </w:r>
            <w:r w:rsidRPr="00956D0A">
              <w:rPr>
                <w:sz w:val="20"/>
              </w:rPr>
              <w:t>Whether s. 40 order is a nullity because proceeding was brought by way of interlocutory motion, instead of by application.</w:t>
            </w:r>
          </w:p>
          <w:p w:rsidR="003D7C55" w:rsidRPr="00956D0A" w:rsidRDefault="003D7C55"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The applicant sought judicial review of a decision of the Federal Public Sector Labour Relations Board in a matter in which she had no interest as a party. Because the applicant had taken such action in the past with respect to other Board decisions, the respondent, the Public Service Alliance of Canada, moved for an order declaring the applicant to be a vexatious litigant and for an order dismissing her application for judicial review due to her lack of standing. The Court of Appeal granted the respondent’s motion and declared her to be a vexatious litigant. Her application for judicial review was dismissed due to her lack of standing.</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June 6, 2018</w:t>
            </w:r>
          </w:p>
          <w:p w:rsidR="003D7C55" w:rsidRPr="00956D0A" w:rsidRDefault="003D7C55" w:rsidP="007C3BCE">
            <w:pPr>
              <w:jc w:val="both"/>
              <w:rPr>
                <w:sz w:val="20"/>
              </w:rPr>
            </w:pPr>
            <w:r w:rsidRPr="00956D0A">
              <w:rPr>
                <w:sz w:val="20"/>
              </w:rPr>
              <w:t xml:space="preserve">Federal Public Sector Labour Relations and </w:t>
            </w:r>
          </w:p>
          <w:p w:rsidR="003D7C55" w:rsidRPr="00956D0A" w:rsidRDefault="003D7C55" w:rsidP="007C3BCE">
            <w:pPr>
              <w:jc w:val="both"/>
              <w:rPr>
                <w:sz w:val="20"/>
              </w:rPr>
            </w:pPr>
            <w:r w:rsidRPr="00956D0A">
              <w:rPr>
                <w:sz w:val="20"/>
              </w:rPr>
              <w:t>Employment Board</w:t>
            </w:r>
          </w:p>
          <w:p w:rsidR="003D7C55" w:rsidRPr="00956D0A" w:rsidRDefault="003D7C55" w:rsidP="007C3BCE">
            <w:pPr>
              <w:jc w:val="both"/>
              <w:rPr>
                <w:sz w:val="20"/>
              </w:rPr>
            </w:pPr>
            <w:r w:rsidRPr="00956D0A">
              <w:rPr>
                <w:sz w:val="20"/>
              </w:rPr>
              <w:t>(Bilson, Board Member)</w:t>
            </w:r>
          </w:p>
          <w:p w:rsidR="003D7C55" w:rsidRPr="00956D0A" w:rsidRDefault="00937000" w:rsidP="007C3BCE">
            <w:pPr>
              <w:jc w:val="both"/>
              <w:rPr>
                <w:sz w:val="20"/>
              </w:rPr>
            </w:pPr>
            <w:hyperlink r:id="rId71" w:history="1">
              <w:r w:rsidR="003D7C55" w:rsidRPr="00956D0A">
                <w:rPr>
                  <w:rStyle w:val="Hyperlink"/>
                  <w:sz w:val="20"/>
                </w:rPr>
                <w:t>2018 FPSLREB 54</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Decision dismissing complaints filed by grievor</w:t>
            </w:r>
          </w:p>
          <w:p w:rsidR="003D7C55" w:rsidRPr="00956D0A" w:rsidRDefault="003D7C55" w:rsidP="007C3BCE">
            <w:pPr>
              <w:jc w:val="both"/>
              <w:rPr>
                <w:sz w:val="20"/>
              </w:rPr>
            </w:pP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May 14, 2019</w:t>
            </w:r>
          </w:p>
          <w:p w:rsidR="003D7C55" w:rsidRPr="00956D0A" w:rsidRDefault="003D7C55" w:rsidP="007C3BCE">
            <w:pPr>
              <w:jc w:val="both"/>
              <w:rPr>
                <w:sz w:val="20"/>
              </w:rPr>
            </w:pPr>
            <w:r w:rsidRPr="00956D0A">
              <w:rPr>
                <w:sz w:val="20"/>
              </w:rPr>
              <w:t>Federal Court of Appeal</w:t>
            </w:r>
          </w:p>
          <w:p w:rsidR="003D7C55" w:rsidRPr="00956D0A" w:rsidRDefault="003D7C55" w:rsidP="007C3BCE">
            <w:pPr>
              <w:jc w:val="both"/>
              <w:rPr>
                <w:sz w:val="20"/>
              </w:rPr>
            </w:pPr>
            <w:r w:rsidRPr="00956D0A">
              <w:rPr>
                <w:sz w:val="20"/>
              </w:rPr>
              <w:t>(Noël, Stratas and Locke JJ.A.)</w:t>
            </w:r>
          </w:p>
          <w:p w:rsidR="003D7C55" w:rsidRPr="00956D0A" w:rsidRDefault="00937000" w:rsidP="007C3BCE">
            <w:pPr>
              <w:jc w:val="both"/>
              <w:rPr>
                <w:sz w:val="20"/>
              </w:rPr>
            </w:pPr>
            <w:hyperlink r:id="rId72" w:history="1">
              <w:r w:rsidR="003D7C55" w:rsidRPr="00956D0A">
                <w:rPr>
                  <w:rStyle w:val="Hyperlink"/>
                  <w:sz w:val="20"/>
                </w:rPr>
                <w:t>2019 FCA 144</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Order declaring applicant to be vexatious litigant and dismissing her application for judicial review.</w:t>
            </w:r>
          </w:p>
          <w:p w:rsidR="003D7C55" w:rsidRPr="00956D0A" w:rsidRDefault="003D7C55" w:rsidP="007C3BCE">
            <w:pPr>
              <w:jc w:val="both"/>
              <w:rPr>
                <w:sz w:val="20"/>
              </w:rPr>
            </w:pP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August 13,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67"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38884</w:t>
            </w:r>
          </w:p>
        </w:tc>
        <w:tc>
          <w:tcPr>
            <w:tcW w:w="4457" w:type="pct"/>
          </w:tcPr>
          <w:p w:rsidR="003D7C55" w:rsidRPr="00956D0A" w:rsidRDefault="003D7C55" w:rsidP="007C3BCE">
            <w:pPr>
              <w:pStyle w:val="SCCLsocParty"/>
              <w:jc w:val="both"/>
              <w:rPr>
                <w:b/>
                <w:sz w:val="20"/>
                <w:szCs w:val="20"/>
              </w:rPr>
            </w:pPr>
            <w:r w:rsidRPr="00956D0A">
              <w:rPr>
                <w:b/>
                <w:sz w:val="20"/>
                <w:szCs w:val="20"/>
              </w:rPr>
              <w:t>Elizabeth Bernard c. Bonnie Gale Baun, procureur général du Canada</w:t>
            </w:r>
            <w:r w:rsidR="00A339D5" w:rsidRPr="00956D0A">
              <w:rPr>
                <w:b/>
                <w:sz w:val="20"/>
                <w:szCs w:val="20"/>
              </w:rPr>
              <w:t xml:space="preserve"> et</w:t>
            </w:r>
            <w:r w:rsidRPr="00956D0A">
              <w:rPr>
                <w:b/>
                <w:sz w:val="20"/>
                <w:szCs w:val="20"/>
              </w:rPr>
              <w:t xml:space="preserve"> Alliance de la fonction publique du Canada</w:t>
            </w:r>
          </w:p>
          <w:p w:rsidR="003D7C55" w:rsidRPr="00956D0A" w:rsidRDefault="003D7C55" w:rsidP="007C3BCE">
            <w:pPr>
              <w:jc w:val="both"/>
              <w:rPr>
                <w:sz w:val="20"/>
                <w:lang w:val="fr-CA"/>
              </w:rPr>
            </w:pPr>
            <w:r w:rsidRPr="00956D0A">
              <w:rPr>
                <w:sz w:val="20"/>
                <w:lang w:val="fr-CA"/>
              </w:rPr>
              <w:t>(C.F.) (Civile) (Autorisation)</w:t>
            </w:r>
          </w:p>
        </w:tc>
      </w:tr>
      <w:tr w:rsidR="008F385C" w:rsidRPr="00937000" w:rsidTr="007C3BCE">
        <w:tc>
          <w:tcPr>
            <w:tcW w:w="5000" w:type="pct"/>
            <w:gridSpan w:val="2"/>
          </w:tcPr>
          <w:p w:rsidR="008F385C" w:rsidRPr="00956D0A" w:rsidRDefault="00A339D5" w:rsidP="007C3BCE">
            <w:pPr>
              <w:jc w:val="both"/>
              <w:rPr>
                <w:sz w:val="20"/>
                <w:szCs w:val="20"/>
                <w:lang w:val="fr-CA"/>
              </w:rPr>
            </w:pPr>
            <w:r w:rsidRPr="00956D0A">
              <w:rPr>
                <w:color w:val="000000"/>
                <w:sz w:val="20"/>
                <w:szCs w:val="20"/>
                <w:lang w:val="fr-CA"/>
              </w:rPr>
              <w:t>La requête en prorogation du délai de signification et de dépôt de la réplique est accueillie. La requête visant à obtenir un sursis d’exécution est rejetée</w:t>
            </w:r>
            <w:r w:rsidRPr="00956D0A">
              <w:rPr>
                <w:sz w:val="20"/>
                <w:szCs w:val="20"/>
                <w:lang w:val="fr-CA"/>
              </w:rPr>
              <w:t>. La demande d’autorisation d’appel de l’arrêt de la Cour d’appel fédérale, numéro A-264-18, 2019 CFA 144, daté du 14 mai 2019, est rejetée avec dépens en faveur des intimés, procureur général du Canada et Alliance de la fonction publique du Canada.</w:t>
            </w:r>
          </w:p>
          <w:p w:rsidR="00A339D5" w:rsidRPr="00956D0A" w:rsidRDefault="00A339D5" w:rsidP="007C3BCE">
            <w:pPr>
              <w:jc w:val="both"/>
              <w:rPr>
                <w:sz w:val="20"/>
                <w:lang w:val="fr-CA"/>
              </w:rPr>
            </w:pPr>
          </w:p>
        </w:tc>
      </w:tr>
    </w:tbl>
    <w:p w:rsidR="00FF106B" w:rsidRPr="00956D0A" w:rsidRDefault="00FF106B">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 xml:space="preserve">Droit administratif — Contrôle judiciaire — La demanderesse sollicite le contrôle judiciaire d’une décision rendue dans une affaire à laquelle elle n’était pas partie — La décision de la Commission des relations de travail et de l’emploi dans le secteur public fédéral dans l’affaire </w:t>
            </w:r>
            <w:r w:rsidRPr="00956D0A">
              <w:rPr>
                <w:i/>
                <w:sz w:val="20"/>
                <w:lang w:val="fr-CA"/>
              </w:rPr>
              <w:t xml:space="preserve">Baun c. Opérations des enquêtes statistiques </w:t>
            </w:r>
            <w:r w:rsidRPr="00956D0A">
              <w:rPr>
                <w:sz w:val="20"/>
                <w:lang w:val="fr-CA"/>
              </w:rPr>
              <w:t>[2018 CRTESPF 54) est</w:t>
            </w:r>
            <w:r w:rsidRPr="00956D0A">
              <w:rPr>
                <w:sz w:val="20"/>
                <w:lang w:val="fr-CA"/>
              </w:rPr>
              <w:noBreakHyphen/>
              <w:t>elle nulle parce que la Commission n’a pas été constituée conformément à la loi? — La demanderesse a</w:t>
            </w:r>
            <w:r w:rsidRPr="00956D0A">
              <w:rPr>
                <w:sz w:val="20"/>
                <w:lang w:val="fr-CA"/>
              </w:rPr>
              <w:noBreakHyphen/>
              <w:t>t</w:t>
            </w:r>
            <w:r w:rsidRPr="00956D0A">
              <w:rPr>
                <w:sz w:val="20"/>
                <w:lang w:val="fr-CA"/>
              </w:rPr>
              <w:noBreakHyphen/>
              <w:t xml:space="preserve">elle qualité pour déposer dans l’intérêt public une demande de contrôle judiciaire de </w:t>
            </w:r>
            <w:r w:rsidRPr="00956D0A">
              <w:rPr>
                <w:i/>
                <w:sz w:val="20"/>
                <w:lang w:val="fr-CA"/>
              </w:rPr>
              <w:t>Baun c. Opération des enquêtes statistiques</w:t>
            </w:r>
            <w:r w:rsidRPr="00956D0A">
              <w:rPr>
                <w:sz w:val="20"/>
                <w:lang w:val="fr-CA"/>
              </w:rPr>
              <w:t>?</w:t>
            </w:r>
            <w:r w:rsidRPr="00956D0A">
              <w:rPr>
                <w:i/>
                <w:sz w:val="20"/>
                <w:lang w:val="fr-CA"/>
              </w:rPr>
              <w:t xml:space="preserve"> — </w:t>
            </w:r>
            <w:r w:rsidRPr="00956D0A">
              <w:rPr>
                <w:sz w:val="20"/>
                <w:lang w:val="fr-CA"/>
              </w:rPr>
              <w:t>L’ordonnance rendue en application de l’art. 40 est</w:t>
            </w:r>
            <w:r w:rsidRPr="00956D0A">
              <w:rPr>
                <w:sz w:val="20"/>
                <w:lang w:val="fr-CA"/>
              </w:rPr>
              <w:noBreakHyphen/>
              <w:t>elle nulle parce que l’instance a été introduite par voie de requête interlocutoire, plutôt que par voie de requête?</w:t>
            </w:r>
          </w:p>
          <w:p w:rsidR="003D7C55" w:rsidRPr="00956D0A" w:rsidRDefault="003D7C55" w:rsidP="007C3BCE">
            <w:pPr>
              <w:jc w:val="both"/>
              <w:rPr>
                <w:sz w:val="20"/>
                <w:lang w:val="fr-CA"/>
              </w:rPr>
            </w:pPr>
          </w:p>
        </w:tc>
      </w:tr>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La demanderesse a sollicité le contrôle judiciaire d’une décision de la Commission des relations de travail et de l’emploi dans le secteur public fédéral dans laquelle elle n’avait aucun intérêt comme partie. Parce que la demanderesse avait introduit de telles demandes dans le passé à l’égard d’autres décisions de la Commission, l’Alliance de la fonction publique du Canada a sollicité une ordonnance déclarant la demanderesse plaideuse quérulente et le rejet de sa demande de contrôle judiciaire parce qu’elle n’a pas qualité pour agir. La Cour d’appel a accueilli la requête de l’intimée et a déclaré la demanderesse plaideuse quérulente. Sa demande de contrôle judiciaire a été rejetée parce qu’elle n’a pas qualité pour agir.</w:t>
            </w:r>
          </w:p>
        </w:tc>
      </w:tr>
      <w:tr w:rsidR="003D7C55" w:rsidRPr="00937000" w:rsidTr="007C3BCE">
        <w:tc>
          <w:tcPr>
            <w:tcW w:w="5000" w:type="pct"/>
            <w:gridSpan w:val="3"/>
          </w:tcPr>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6 juin 2018</w:t>
            </w:r>
          </w:p>
          <w:p w:rsidR="003D7C55" w:rsidRPr="00956D0A" w:rsidRDefault="003D7C55" w:rsidP="007C3BCE">
            <w:pPr>
              <w:jc w:val="both"/>
              <w:rPr>
                <w:sz w:val="20"/>
                <w:lang w:val="fr-CA"/>
              </w:rPr>
            </w:pPr>
            <w:r w:rsidRPr="00956D0A">
              <w:rPr>
                <w:sz w:val="20"/>
                <w:lang w:val="fr-CA"/>
              </w:rPr>
              <w:t>Commission des relations de travail et de l’emploi dans le secteur public fédéral</w:t>
            </w:r>
          </w:p>
          <w:p w:rsidR="003D7C55" w:rsidRPr="00956D0A" w:rsidRDefault="003D7C55" w:rsidP="007C3BCE">
            <w:pPr>
              <w:jc w:val="both"/>
              <w:rPr>
                <w:sz w:val="20"/>
                <w:lang w:val="fr-CA"/>
              </w:rPr>
            </w:pPr>
            <w:r w:rsidRPr="00956D0A">
              <w:rPr>
                <w:sz w:val="20"/>
                <w:lang w:val="fr-CA"/>
              </w:rPr>
              <w:t>(Commissaire Bilson)</w:t>
            </w:r>
          </w:p>
          <w:p w:rsidR="003D7C55" w:rsidRPr="00956D0A" w:rsidRDefault="00937000" w:rsidP="007C3BCE">
            <w:pPr>
              <w:jc w:val="both"/>
              <w:rPr>
                <w:sz w:val="20"/>
                <w:lang w:val="fr-CA"/>
              </w:rPr>
            </w:pPr>
            <w:hyperlink r:id="rId73" w:history="1">
              <w:r w:rsidR="003D7C55" w:rsidRPr="00956D0A">
                <w:rPr>
                  <w:rStyle w:val="Hyperlink"/>
                  <w:sz w:val="20"/>
                  <w:lang w:val="fr-CA"/>
                </w:rPr>
                <w:t>2018 CRTESPF 54</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Décision rejetant les plaintes de la fonctionnaire s’estimant lésée</w:t>
            </w:r>
          </w:p>
          <w:p w:rsidR="003D7C55" w:rsidRPr="00956D0A" w:rsidRDefault="003D7C55" w:rsidP="007C3BCE">
            <w:pPr>
              <w:jc w:val="both"/>
              <w:rPr>
                <w:sz w:val="20"/>
                <w:lang w:val="fr-CA"/>
              </w:rPr>
            </w:pP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14 mai 2019</w:t>
            </w:r>
          </w:p>
          <w:p w:rsidR="003D7C55" w:rsidRPr="00956D0A" w:rsidRDefault="003D7C55" w:rsidP="007C3BCE">
            <w:pPr>
              <w:jc w:val="both"/>
              <w:rPr>
                <w:sz w:val="20"/>
                <w:lang w:val="fr-CA"/>
              </w:rPr>
            </w:pPr>
            <w:r w:rsidRPr="00956D0A">
              <w:rPr>
                <w:sz w:val="20"/>
                <w:lang w:val="fr-CA"/>
              </w:rPr>
              <w:t>Cour d’appel fédérale</w:t>
            </w:r>
          </w:p>
          <w:p w:rsidR="003D7C55" w:rsidRPr="00956D0A" w:rsidRDefault="003D7C55" w:rsidP="007C3BCE">
            <w:pPr>
              <w:jc w:val="both"/>
              <w:rPr>
                <w:sz w:val="20"/>
                <w:lang w:val="fr-CA"/>
              </w:rPr>
            </w:pPr>
            <w:r w:rsidRPr="00956D0A">
              <w:rPr>
                <w:sz w:val="20"/>
                <w:lang w:val="fr-CA"/>
              </w:rPr>
              <w:t>(Juges Noël, Stratas et Locke)</w:t>
            </w:r>
          </w:p>
          <w:p w:rsidR="003D7C55" w:rsidRPr="00956D0A" w:rsidRDefault="00937000" w:rsidP="007C3BCE">
            <w:pPr>
              <w:jc w:val="both"/>
              <w:rPr>
                <w:sz w:val="20"/>
                <w:lang w:val="fr-CA"/>
              </w:rPr>
            </w:pPr>
            <w:hyperlink r:id="rId74" w:history="1">
              <w:r w:rsidR="003D7C55" w:rsidRPr="00956D0A">
                <w:rPr>
                  <w:rStyle w:val="Hyperlink"/>
                  <w:sz w:val="20"/>
                  <w:lang w:val="fr-CA"/>
                </w:rPr>
                <w:t>2019 CAF 144</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Ordonnance déclarant la demanderesse plaideuse quérulente et rejetant sa demande de contrôle judiciaire.</w:t>
            </w:r>
          </w:p>
          <w:p w:rsidR="003D7C55" w:rsidRPr="00956D0A" w:rsidRDefault="003D7C55" w:rsidP="007C3BCE">
            <w:pPr>
              <w:jc w:val="both"/>
              <w:rPr>
                <w:sz w:val="20"/>
                <w:lang w:val="fr-CA"/>
              </w:rPr>
            </w:pP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13 août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68"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38852</w:t>
            </w:r>
          </w:p>
        </w:tc>
        <w:tc>
          <w:tcPr>
            <w:tcW w:w="4457" w:type="pct"/>
          </w:tcPr>
          <w:p w:rsidR="003D7C55" w:rsidRPr="00956D0A" w:rsidRDefault="003D7C55" w:rsidP="007C3BCE">
            <w:pPr>
              <w:pStyle w:val="SCCLsocParty"/>
              <w:jc w:val="both"/>
              <w:rPr>
                <w:b/>
                <w:sz w:val="20"/>
                <w:szCs w:val="20"/>
                <w:lang w:val="en-US"/>
              </w:rPr>
            </w:pPr>
            <w:r w:rsidRPr="00956D0A">
              <w:rPr>
                <w:b/>
                <w:sz w:val="20"/>
                <w:szCs w:val="20"/>
                <w:lang w:val="en-US"/>
              </w:rPr>
              <w:t xml:space="preserve">Marvelous Mario's Inc., Snack Crafters International Inc., 788986 Ontario </w:t>
            </w:r>
            <w:r w:rsidR="00B20ABA" w:rsidRPr="00956D0A">
              <w:rPr>
                <w:b/>
                <w:sz w:val="20"/>
                <w:szCs w:val="20"/>
                <w:lang w:val="en-US"/>
              </w:rPr>
              <w:t>ltd.</w:t>
            </w:r>
            <w:r w:rsidRPr="00956D0A">
              <w:rPr>
                <w:b/>
                <w:sz w:val="20"/>
                <w:szCs w:val="20"/>
                <w:lang w:val="en-US"/>
              </w:rPr>
              <w:t>, 601552 Ontario L</w:t>
            </w:r>
            <w:r w:rsidR="00B20ABA" w:rsidRPr="00956D0A">
              <w:rPr>
                <w:b/>
                <w:sz w:val="20"/>
                <w:szCs w:val="20"/>
                <w:lang w:val="en-US"/>
              </w:rPr>
              <w:t>td. and</w:t>
            </w:r>
            <w:r w:rsidRPr="00956D0A">
              <w:rPr>
                <w:b/>
                <w:sz w:val="20"/>
                <w:szCs w:val="20"/>
                <w:lang w:val="en-US"/>
              </w:rPr>
              <w:t xml:space="preserve"> Mario Parravano v. St. Paul Fire and Marine Insurance Co.</w:t>
            </w:r>
          </w:p>
          <w:p w:rsidR="003D7C55" w:rsidRPr="00956D0A" w:rsidRDefault="003D7C55" w:rsidP="007C3BCE">
            <w:pPr>
              <w:pStyle w:val="SCCLsocSubfileSeparator0"/>
              <w:rPr>
                <w:sz w:val="20"/>
                <w:szCs w:val="20"/>
              </w:rPr>
            </w:pPr>
            <w:r w:rsidRPr="00956D0A">
              <w:rPr>
                <w:sz w:val="20"/>
                <w:szCs w:val="20"/>
              </w:rPr>
              <w:t>- and between -</w:t>
            </w:r>
          </w:p>
          <w:p w:rsidR="003D7C55" w:rsidRPr="00956D0A" w:rsidRDefault="003D7C55" w:rsidP="007C3BCE">
            <w:pPr>
              <w:pStyle w:val="SCCLsocParty"/>
              <w:jc w:val="both"/>
              <w:rPr>
                <w:b/>
                <w:sz w:val="20"/>
                <w:szCs w:val="20"/>
                <w:lang w:val="en-US"/>
              </w:rPr>
            </w:pPr>
            <w:r w:rsidRPr="00956D0A">
              <w:rPr>
                <w:b/>
                <w:sz w:val="20"/>
                <w:szCs w:val="20"/>
                <w:lang w:val="en-US"/>
              </w:rPr>
              <w:t xml:space="preserve">788986 Ontario </w:t>
            </w:r>
            <w:r w:rsidR="00B20ABA" w:rsidRPr="00956D0A">
              <w:rPr>
                <w:b/>
                <w:sz w:val="20"/>
                <w:szCs w:val="20"/>
                <w:lang w:val="en-US"/>
              </w:rPr>
              <w:t>l</w:t>
            </w:r>
            <w:r w:rsidRPr="00956D0A">
              <w:rPr>
                <w:b/>
                <w:sz w:val="20"/>
                <w:szCs w:val="20"/>
                <w:lang w:val="en-US"/>
              </w:rPr>
              <w:t>t</w:t>
            </w:r>
            <w:r w:rsidR="00B20ABA" w:rsidRPr="00956D0A">
              <w:rPr>
                <w:b/>
                <w:sz w:val="20"/>
                <w:szCs w:val="20"/>
                <w:lang w:val="en-US"/>
              </w:rPr>
              <w:t>d.</w:t>
            </w:r>
            <w:r w:rsidRPr="00956D0A">
              <w:rPr>
                <w:b/>
                <w:sz w:val="20"/>
                <w:szCs w:val="20"/>
                <w:lang w:val="en-US"/>
              </w:rPr>
              <w:t>, Mario Parravano</w:t>
            </w:r>
            <w:r w:rsidR="00B20ABA" w:rsidRPr="00956D0A">
              <w:rPr>
                <w:b/>
                <w:sz w:val="20"/>
                <w:szCs w:val="20"/>
                <w:lang w:val="en-US"/>
              </w:rPr>
              <w:t xml:space="preserve"> and</w:t>
            </w:r>
            <w:r w:rsidRPr="00956D0A">
              <w:rPr>
                <w:b/>
                <w:sz w:val="20"/>
                <w:szCs w:val="20"/>
                <w:lang w:val="en-US"/>
              </w:rPr>
              <w:t xml:space="preserve"> Marvelous Mario's Inc. v. St. Paul Fire and Marine Insurance Co.</w:t>
            </w:r>
          </w:p>
          <w:p w:rsidR="003D7C55" w:rsidRPr="00956D0A" w:rsidRDefault="003D7C55" w:rsidP="007C3BCE">
            <w:pPr>
              <w:jc w:val="both"/>
              <w:rPr>
                <w:sz w:val="20"/>
              </w:rPr>
            </w:pPr>
            <w:r w:rsidRPr="00956D0A">
              <w:rPr>
                <w:sz w:val="20"/>
              </w:rPr>
              <w:t>(Ont.) (Civil) (By Leave)</w:t>
            </w:r>
          </w:p>
        </w:tc>
      </w:tr>
      <w:tr w:rsidR="008F385C" w:rsidRPr="00956D0A" w:rsidTr="007C3BCE">
        <w:tc>
          <w:tcPr>
            <w:tcW w:w="5000" w:type="pct"/>
            <w:gridSpan w:val="2"/>
          </w:tcPr>
          <w:p w:rsidR="008F385C" w:rsidRPr="00956D0A" w:rsidRDefault="00B20ABA" w:rsidP="007C3BCE">
            <w:pPr>
              <w:jc w:val="both"/>
              <w:rPr>
                <w:sz w:val="20"/>
                <w:szCs w:val="20"/>
              </w:rPr>
            </w:pPr>
            <w:r w:rsidRPr="00956D0A">
              <w:rPr>
                <w:sz w:val="20"/>
                <w:szCs w:val="20"/>
              </w:rPr>
              <w:t>The application for leave to appeal from the judgment of the Court of Appeal for Ontario, Numbers C65382 and C65383, 2019 ONCA 635, dated July 31, 2019, is dismissed with costs.</w:t>
            </w:r>
          </w:p>
          <w:p w:rsidR="00B20ABA" w:rsidRPr="00956D0A" w:rsidRDefault="00B20ABA" w:rsidP="007C3BCE">
            <w:pPr>
              <w:jc w:val="both"/>
              <w:rPr>
                <w:sz w:val="20"/>
              </w:rPr>
            </w:pPr>
          </w:p>
        </w:tc>
      </w:tr>
      <w:tr w:rsidR="003D7C55" w:rsidRPr="00956D0A" w:rsidTr="007C3BCE">
        <w:tc>
          <w:tcPr>
            <w:tcW w:w="5000" w:type="pct"/>
            <w:gridSpan w:val="2"/>
          </w:tcPr>
          <w:p w:rsidR="003D7C55" w:rsidRPr="00956D0A" w:rsidRDefault="003D7C55" w:rsidP="007C3BCE">
            <w:pPr>
              <w:jc w:val="both"/>
              <w:rPr>
                <w:sz w:val="20"/>
              </w:rPr>
            </w:pPr>
            <w:r w:rsidRPr="00956D0A">
              <w:rPr>
                <w:sz w:val="20"/>
              </w:rPr>
              <w:t>Contracts — Insurance — Property insurance — Business interruption loss — Whether there are conflicting appellant court decisions with respect to when a loss crystallizes in business interruption insurance — Whether proximate cause only includes the immediate cause of the covered peril?</w:t>
            </w:r>
          </w:p>
          <w:p w:rsidR="00FF106B" w:rsidRPr="00956D0A" w:rsidRDefault="00FF106B" w:rsidP="007C3BCE">
            <w:pPr>
              <w:jc w:val="both"/>
              <w:rPr>
                <w:sz w:val="20"/>
              </w:rPr>
            </w:pPr>
          </w:p>
        </w:tc>
      </w:tr>
    </w:tbl>
    <w:p w:rsidR="00FF106B" w:rsidRPr="00956D0A" w:rsidRDefault="00FF106B">
      <w:r w:rsidRPr="00956D0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56D0A" w:rsidTr="007C3BCE">
        <w:tc>
          <w:tcPr>
            <w:tcW w:w="5000" w:type="pct"/>
            <w:gridSpan w:val="3"/>
          </w:tcPr>
          <w:p w:rsidR="003D7C55" w:rsidRPr="00956D0A" w:rsidRDefault="003D7C55" w:rsidP="007C3BCE">
            <w:pPr>
              <w:jc w:val="both"/>
              <w:rPr>
                <w:sz w:val="20"/>
              </w:rPr>
            </w:pPr>
            <w:r w:rsidRPr="00956D0A">
              <w:rPr>
                <w:sz w:val="20"/>
              </w:rPr>
              <w:t xml:space="preserve">Mr. Parravano and his spouse directly and indirectly owned companies that supplied baked goods and cereal bars to food stores and supermarkets across North America. A group of those companies went into receivership and the receiver sold their assets. Two actions were commenced for indemnification under a commercial insurance policy issued by St. Paul Fire &amp; Marine Insurance Co. The policy covers direct losses from any peril including business interruption loss and loss of property due to theft or wrongful handling. </w:t>
            </w:r>
            <w:r w:rsidRPr="00956D0A">
              <w:rPr>
                <w:color w:val="000000"/>
                <w:sz w:val="20"/>
                <w:lang w:val="en"/>
              </w:rPr>
              <w:t xml:space="preserve">On October 13, 2000, </w:t>
            </w:r>
            <w:r w:rsidRPr="00956D0A">
              <w:rPr>
                <w:sz w:val="20"/>
              </w:rPr>
              <w:t xml:space="preserve">an action was commenced in part for indemnification for lost rental income and loss on a loan. On </w:t>
            </w:r>
            <w:r w:rsidRPr="00956D0A">
              <w:rPr>
                <w:color w:val="000000"/>
                <w:sz w:val="20"/>
                <w:lang w:val="en"/>
              </w:rPr>
              <w:t xml:space="preserve">November 26, 2002, </w:t>
            </w:r>
            <w:r w:rsidRPr="00956D0A">
              <w:rPr>
                <w:sz w:val="20"/>
              </w:rPr>
              <w:t>a second action was commenced in relation to the assets sold by the receiver for indemnification under the policy for theft or wrongful handling of insured assets and business interruption losses. In bifurcated proceedings, Akbarali J. determined coverage under the policy in both actions. Akbarali J. dismissed all claims except for the claim for indemnification for business interruption loss in the action of November 26, 2002. The Court of Appeal dismissed appeals by Mr. Parravano and the applicant companies in both actions and allowed a cross</w:t>
            </w:r>
            <w:r w:rsidRPr="00956D0A">
              <w:rPr>
                <w:sz w:val="20"/>
              </w:rPr>
              <w:noBreakHyphen/>
              <w:t>appeal by St. Paul Fire &amp; Marine Insurance Inc., dismissing the action commenced on November 26, 2002.</w:t>
            </w:r>
          </w:p>
        </w:tc>
      </w:tr>
      <w:tr w:rsidR="003D7C55" w:rsidRPr="00956D0A" w:rsidTr="007C3BCE">
        <w:tc>
          <w:tcPr>
            <w:tcW w:w="5000" w:type="pct"/>
            <w:gridSpan w:val="3"/>
          </w:tcPr>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April 6, 2018</w:t>
            </w:r>
          </w:p>
          <w:p w:rsidR="003D7C55" w:rsidRPr="00956D0A" w:rsidRDefault="003D7C55" w:rsidP="007C3BCE">
            <w:pPr>
              <w:jc w:val="both"/>
              <w:rPr>
                <w:sz w:val="20"/>
              </w:rPr>
            </w:pPr>
            <w:r w:rsidRPr="00956D0A">
              <w:rPr>
                <w:sz w:val="20"/>
              </w:rPr>
              <w:t>Ontario Superior Court of Justice</w:t>
            </w:r>
          </w:p>
          <w:p w:rsidR="003D7C55" w:rsidRPr="00956D0A" w:rsidRDefault="003D7C55" w:rsidP="007C3BCE">
            <w:pPr>
              <w:jc w:val="both"/>
              <w:rPr>
                <w:sz w:val="20"/>
              </w:rPr>
            </w:pPr>
            <w:r w:rsidRPr="00956D0A">
              <w:rPr>
                <w:sz w:val="20"/>
              </w:rPr>
              <w:t>(Akbarali J.)</w:t>
            </w:r>
          </w:p>
          <w:p w:rsidR="003D7C55" w:rsidRPr="00956D0A" w:rsidRDefault="00937000" w:rsidP="007C3BCE">
            <w:pPr>
              <w:jc w:val="both"/>
              <w:rPr>
                <w:sz w:val="20"/>
              </w:rPr>
            </w:pPr>
            <w:hyperlink r:id="rId75" w:history="1">
              <w:r w:rsidR="003D7C55" w:rsidRPr="00956D0A">
                <w:rPr>
                  <w:rStyle w:val="Hyperlink"/>
                  <w:sz w:val="20"/>
                </w:rPr>
                <w:t>2018 ONSC 1365</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Action dismissed; Action allowed to proceed in part</w:t>
            </w:r>
          </w:p>
          <w:p w:rsidR="003D7C55" w:rsidRPr="00956D0A" w:rsidRDefault="003D7C55" w:rsidP="007C3BCE">
            <w:pPr>
              <w:jc w:val="both"/>
              <w:rPr>
                <w:sz w:val="20"/>
              </w:rPr>
            </w:pPr>
          </w:p>
        </w:tc>
      </w:tr>
      <w:tr w:rsidR="003D7C55" w:rsidRPr="00956D0A" w:rsidTr="007C3BCE">
        <w:tc>
          <w:tcPr>
            <w:tcW w:w="2427" w:type="pct"/>
          </w:tcPr>
          <w:p w:rsidR="003D7C55" w:rsidRPr="00956D0A" w:rsidRDefault="003D7C55" w:rsidP="007C3BCE">
            <w:pPr>
              <w:jc w:val="both"/>
              <w:rPr>
                <w:sz w:val="20"/>
              </w:rPr>
            </w:pPr>
            <w:r w:rsidRPr="00956D0A">
              <w:rPr>
                <w:sz w:val="20"/>
              </w:rPr>
              <w:t>July 31, 2019</w:t>
            </w:r>
          </w:p>
          <w:p w:rsidR="003D7C55" w:rsidRPr="00956D0A" w:rsidRDefault="003D7C55" w:rsidP="007C3BCE">
            <w:pPr>
              <w:jc w:val="both"/>
              <w:rPr>
                <w:sz w:val="20"/>
              </w:rPr>
            </w:pPr>
            <w:r w:rsidRPr="00956D0A">
              <w:rPr>
                <w:sz w:val="20"/>
              </w:rPr>
              <w:t>Court of Appeal for Ontario</w:t>
            </w:r>
          </w:p>
          <w:p w:rsidR="003D7C55" w:rsidRPr="00956D0A" w:rsidRDefault="003D7C55" w:rsidP="007C3BCE">
            <w:pPr>
              <w:jc w:val="both"/>
              <w:rPr>
                <w:sz w:val="20"/>
              </w:rPr>
            </w:pPr>
            <w:r w:rsidRPr="00956D0A">
              <w:rPr>
                <w:sz w:val="20"/>
              </w:rPr>
              <w:t xml:space="preserve">(Hourigan C. William, Paciocco David M., </w:t>
            </w:r>
          </w:p>
          <w:p w:rsidR="003D7C55" w:rsidRPr="00956D0A" w:rsidRDefault="003D7C55" w:rsidP="007C3BCE">
            <w:pPr>
              <w:jc w:val="both"/>
              <w:rPr>
                <w:sz w:val="20"/>
              </w:rPr>
            </w:pPr>
            <w:r w:rsidRPr="00956D0A">
              <w:rPr>
                <w:sz w:val="20"/>
              </w:rPr>
              <w:t>Fairburn)</w:t>
            </w:r>
          </w:p>
          <w:p w:rsidR="003D7C55" w:rsidRPr="00956D0A" w:rsidRDefault="00937000" w:rsidP="007C3BCE">
            <w:pPr>
              <w:jc w:val="both"/>
              <w:rPr>
                <w:sz w:val="20"/>
              </w:rPr>
            </w:pPr>
            <w:hyperlink r:id="rId76" w:history="1">
              <w:r w:rsidR="003D7C55" w:rsidRPr="00956D0A">
                <w:rPr>
                  <w:rStyle w:val="Hyperlink"/>
                  <w:sz w:val="20"/>
                </w:rPr>
                <w:t>2019 ONCA 635</w:t>
              </w:r>
            </w:hyperlink>
            <w:r w:rsidR="003D7C55" w:rsidRPr="00956D0A">
              <w:rPr>
                <w:sz w:val="20"/>
              </w:rPr>
              <w:t xml:space="preserve">; </w:t>
            </w:r>
            <w:r w:rsidR="003D7C55" w:rsidRPr="00956D0A">
              <w:rPr>
                <w:sz w:val="20"/>
                <w:lang w:val="en"/>
              </w:rPr>
              <w:t>C65382, C65383</w:t>
            </w:r>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 Appeal dismissed, cross</w:t>
            </w:r>
            <w:r w:rsidRPr="00956D0A">
              <w:rPr>
                <w:sz w:val="20"/>
              </w:rPr>
              <w:noBreakHyphen/>
              <w:t xml:space="preserve">appeal allowed and action dismissed </w:t>
            </w:r>
          </w:p>
        </w:tc>
      </w:tr>
      <w:tr w:rsidR="003D7C55" w:rsidRPr="00956D0A" w:rsidTr="007C3BCE">
        <w:tc>
          <w:tcPr>
            <w:tcW w:w="2427" w:type="pct"/>
          </w:tcPr>
          <w:p w:rsidR="003D7C55" w:rsidRPr="00956D0A" w:rsidRDefault="003D7C55" w:rsidP="007C3BCE">
            <w:pPr>
              <w:jc w:val="both"/>
              <w:rPr>
                <w:sz w:val="20"/>
              </w:rPr>
            </w:pPr>
            <w:r w:rsidRPr="00956D0A">
              <w:rPr>
                <w:sz w:val="20"/>
              </w:rPr>
              <w:t>September 30,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69"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38852</w:t>
            </w:r>
          </w:p>
        </w:tc>
        <w:tc>
          <w:tcPr>
            <w:tcW w:w="4457" w:type="pct"/>
          </w:tcPr>
          <w:p w:rsidR="003D7C55" w:rsidRPr="00956D0A" w:rsidRDefault="003D7C55" w:rsidP="007C3BCE">
            <w:pPr>
              <w:pStyle w:val="SCCLsocParty"/>
              <w:jc w:val="both"/>
              <w:rPr>
                <w:b/>
                <w:sz w:val="20"/>
                <w:szCs w:val="20"/>
              </w:rPr>
            </w:pPr>
            <w:r w:rsidRPr="00956D0A">
              <w:rPr>
                <w:b/>
                <w:sz w:val="20"/>
                <w:szCs w:val="20"/>
              </w:rPr>
              <w:t xml:space="preserve">Marvelous Mario's Inc., Snack Crafters International Inc., 788986 Ontario </w:t>
            </w:r>
            <w:r w:rsidR="00B20ABA" w:rsidRPr="00956D0A">
              <w:rPr>
                <w:b/>
                <w:sz w:val="20"/>
                <w:szCs w:val="20"/>
              </w:rPr>
              <w:t>ltd</w:t>
            </w:r>
            <w:r w:rsidRPr="00956D0A">
              <w:rPr>
                <w:b/>
                <w:sz w:val="20"/>
                <w:szCs w:val="20"/>
              </w:rPr>
              <w:t>., 601552 Ontario L</w:t>
            </w:r>
            <w:r w:rsidR="00B20ABA" w:rsidRPr="00956D0A">
              <w:rPr>
                <w:b/>
                <w:sz w:val="20"/>
                <w:szCs w:val="20"/>
              </w:rPr>
              <w:t>td. et</w:t>
            </w:r>
            <w:r w:rsidRPr="00956D0A">
              <w:rPr>
                <w:b/>
                <w:sz w:val="20"/>
                <w:szCs w:val="20"/>
              </w:rPr>
              <w:t xml:space="preserve"> Mario Parravano c. C</w:t>
            </w:r>
            <w:r w:rsidR="00B20ABA" w:rsidRPr="00956D0A">
              <w:rPr>
                <w:b/>
                <w:sz w:val="20"/>
                <w:szCs w:val="20"/>
              </w:rPr>
              <w:t>ompagnie d’Assurance Saint-Paul</w:t>
            </w:r>
          </w:p>
          <w:p w:rsidR="003D7C55" w:rsidRPr="00956D0A" w:rsidRDefault="003D7C55" w:rsidP="007C3BCE">
            <w:pPr>
              <w:pStyle w:val="SCCLsocSubfileSeparator0"/>
              <w:rPr>
                <w:sz w:val="20"/>
                <w:szCs w:val="20"/>
                <w:lang w:val="fr-CA"/>
              </w:rPr>
            </w:pPr>
            <w:r w:rsidRPr="00956D0A">
              <w:rPr>
                <w:sz w:val="20"/>
                <w:szCs w:val="20"/>
                <w:lang w:val="fr-CA"/>
              </w:rPr>
              <w:t>- et entre -</w:t>
            </w:r>
          </w:p>
          <w:p w:rsidR="003D7C55" w:rsidRPr="00956D0A" w:rsidRDefault="003D7C55" w:rsidP="007C3BCE">
            <w:pPr>
              <w:pStyle w:val="SCCLsocParty"/>
              <w:jc w:val="both"/>
              <w:rPr>
                <w:b/>
                <w:sz w:val="20"/>
                <w:szCs w:val="20"/>
              </w:rPr>
            </w:pPr>
            <w:r w:rsidRPr="00956D0A">
              <w:rPr>
                <w:b/>
                <w:sz w:val="20"/>
                <w:szCs w:val="20"/>
              </w:rPr>
              <w:t xml:space="preserve">788986 Ontario </w:t>
            </w:r>
            <w:r w:rsidR="00B20ABA" w:rsidRPr="00956D0A">
              <w:rPr>
                <w:b/>
                <w:sz w:val="20"/>
                <w:szCs w:val="20"/>
              </w:rPr>
              <w:t>ltd.,</w:t>
            </w:r>
            <w:r w:rsidRPr="00956D0A">
              <w:rPr>
                <w:b/>
                <w:sz w:val="20"/>
                <w:szCs w:val="20"/>
              </w:rPr>
              <w:t xml:space="preserve"> Mario Parravano</w:t>
            </w:r>
            <w:r w:rsidR="00B20ABA" w:rsidRPr="00956D0A">
              <w:rPr>
                <w:b/>
                <w:sz w:val="20"/>
                <w:szCs w:val="20"/>
              </w:rPr>
              <w:t xml:space="preserve"> et</w:t>
            </w:r>
            <w:r w:rsidRPr="00956D0A">
              <w:rPr>
                <w:b/>
                <w:sz w:val="20"/>
                <w:szCs w:val="20"/>
              </w:rPr>
              <w:t xml:space="preserve"> Marvelous Mario's Inc. c. Compagnie d’Assurance Saint</w:t>
            </w:r>
            <w:r w:rsidR="00B20ABA" w:rsidRPr="00956D0A">
              <w:rPr>
                <w:b/>
                <w:sz w:val="20"/>
                <w:szCs w:val="20"/>
              </w:rPr>
              <w:t>-</w:t>
            </w:r>
            <w:r w:rsidRPr="00956D0A">
              <w:rPr>
                <w:b/>
                <w:sz w:val="20"/>
                <w:szCs w:val="20"/>
              </w:rPr>
              <w:t xml:space="preserve"> Paul</w:t>
            </w:r>
          </w:p>
          <w:p w:rsidR="003D7C55" w:rsidRPr="00956D0A" w:rsidRDefault="003D7C55" w:rsidP="007C3BCE">
            <w:pPr>
              <w:jc w:val="both"/>
              <w:rPr>
                <w:sz w:val="20"/>
                <w:lang w:val="fr-CA"/>
              </w:rPr>
            </w:pPr>
            <w:r w:rsidRPr="00956D0A">
              <w:rPr>
                <w:sz w:val="20"/>
                <w:lang w:val="fr-CA"/>
              </w:rPr>
              <w:t>(Ont.) (Civile) (Autorisation)</w:t>
            </w:r>
          </w:p>
        </w:tc>
      </w:tr>
      <w:tr w:rsidR="008F385C" w:rsidRPr="00937000" w:rsidTr="007C3BCE">
        <w:tc>
          <w:tcPr>
            <w:tcW w:w="5000" w:type="pct"/>
            <w:gridSpan w:val="2"/>
          </w:tcPr>
          <w:p w:rsidR="008F385C" w:rsidRPr="00956D0A" w:rsidRDefault="00B20ABA" w:rsidP="007C3BCE">
            <w:pPr>
              <w:jc w:val="both"/>
              <w:rPr>
                <w:sz w:val="20"/>
                <w:szCs w:val="20"/>
                <w:lang w:val="fr-CA"/>
              </w:rPr>
            </w:pPr>
            <w:r w:rsidRPr="00956D0A">
              <w:rPr>
                <w:sz w:val="20"/>
                <w:szCs w:val="20"/>
                <w:lang w:val="fr-CA"/>
              </w:rPr>
              <w:t>La demande d’autorisation d’appel de l’arrêt de la Cour d’appel de l’Ontario, numéros C65382 et C65383, 2019 ONCA 635,  daté du 31 juillet 2019, est rejetée avec dépens.</w:t>
            </w:r>
          </w:p>
          <w:p w:rsidR="00B20ABA" w:rsidRPr="00956D0A" w:rsidRDefault="00B20ABA" w:rsidP="007C3BCE">
            <w:pPr>
              <w:jc w:val="both"/>
              <w:rPr>
                <w:sz w:val="20"/>
                <w:lang w:val="fr-CA"/>
              </w:rPr>
            </w:pPr>
          </w:p>
        </w:tc>
      </w:tr>
      <w:tr w:rsidR="003D7C55" w:rsidRPr="00937000" w:rsidTr="007C3BCE">
        <w:tc>
          <w:tcPr>
            <w:tcW w:w="5000" w:type="pct"/>
            <w:gridSpan w:val="2"/>
          </w:tcPr>
          <w:p w:rsidR="003D7C55" w:rsidRPr="00956D0A" w:rsidRDefault="003D7C55" w:rsidP="007C3BCE">
            <w:pPr>
              <w:jc w:val="both"/>
              <w:rPr>
                <w:sz w:val="20"/>
                <w:lang w:val="fr-CA"/>
              </w:rPr>
            </w:pPr>
            <w:r w:rsidRPr="00956D0A">
              <w:rPr>
                <w:sz w:val="20"/>
                <w:lang w:val="fr-CA"/>
              </w:rPr>
              <w:t>Contrats — Assurance — Assurance de biens — Perte d’exploitation — Les juridictions d’appel ont</w:t>
            </w:r>
            <w:r w:rsidRPr="00956D0A">
              <w:rPr>
                <w:sz w:val="20"/>
                <w:lang w:val="fr-CA"/>
              </w:rPr>
              <w:noBreakHyphen/>
              <w:t>elles rendu des décisions contradictoires pour ce qui est de la question de savoir quand une perte se cristallise dans le contexte de l’assurance des pertes d’exploitation? — La cause directe du dommage se limite</w:t>
            </w:r>
            <w:r w:rsidRPr="00956D0A">
              <w:rPr>
                <w:sz w:val="20"/>
                <w:lang w:val="fr-CA"/>
              </w:rPr>
              <w:noBreakHyphen/>
              <w:t>t</w:t>
            </w:r>
            <w:r w:rsidRPr="00956D0A">
              <w:rPr>
                <w:sz w:val="20"/>
                <w:lang w:val="fr-CA"/>
              </w:rPr>
              <w:noBreakHyphen/>
              <w:t>elle à la cause immédiate du péril couvert?</w:t>
            </w:r>
          </w:p>
          <w:p w:rsidR="00FF106B" w:rsidRPr="00956D0A" w:rsidRDefault="00FF106B" w:rsidP="007C3BCE">
            <w:pPr>
              <w:jc w:val="both"/>
              <w:rPr>
                <w:sz w:val="20"/>
                <w:lang w:val="fr-CA"/>
              </w:rPr>
            </w:pPr>
          </w:p>
        </w:tc>
      </w:tr>
    </w:tbl>
    <w:p w:rsidR="00FF106B" w:rsidRPr="00956D0A" w:rsidRDefault="00FF106B">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Monsieur Parravano et son épouse étaient directement et indirectement propriétaires de compagnies qui fournissaient des produits de boulangerie</w:t>
            </w:r>
            <w:r w:rsidRPr="00956D0A">
              <w:rPr>
                <w:sz w:val="20"/>
                <w:lang w:val="fr-CA"/>
              </w:rPr>
              <w:noBreakHyphen/>
              <w:t xml:space="preserve">pâtisserie et des barres de céréales à des magasins d’alimentation et des supermarchés partout en Amérique du Nord. Un groupe de ces compagnies a été mis sous séquestre et le séquestre a vendu leurs actifs. Deux actions ont été intentées pour une indemnisation en vertu d’une police d’assurance commerciale établie par La Compagnie d’Assurance Saint Paul. La police couvre les pertes directes de tout péril, y compris les pertes d’exploitation et les pertes de biens causées par le vol ou la manutention fautive. </w:t>
            </w:r>
            <w:r w:rsidRPr="00956D0A">
              <w:rPr>
                <w:color w:val="000000"/>
                <w:sz w:val="20"/>
                <w:lang w:val="fr-CA"/>
              </w:rPr>
              <w:t xml:space="preserve">Le 13 octobre 2000, </w:t>
            </w:r>
            <w:r w:rsidRPr="00956D0A">
              <w:rPr>
                <w:sz w:val="20"/>
                <w:lang w:val="fr-CA"/>
              </w:rPr>
              <w:t>une action a été intentée en partie au titre de l’indemnisation de la perte de recettes de location et de la perte sur un prêt. Le 26 novembre 2002, une deuxième action a été intentée en lien avec les actifs vendus par le séquestre au titre de l’indemnisation en vertu de la police pour vol ou manutention fautive des biens assurés et pertes d’exploitation. Dans une instance bifurquée, la juge Akbarali a déterminé la couverture en vertu de la police dans les deux actions. La juge Akbarali a rejeté toutes les demandes, à l’exception de la demande d’indemnisation au titre de la perte d’exploitation dans l’action du 26 novembre 2002. La Cour d’appel a rejeté les appels de M. Parravano et des compagnies demanderesses dans les deux actions et a accueilli un appel incident interjeté par La Compagnie d’Assurance Saint Paul, rejetant l’action intentée le 26 novembre 2002.</w:t>
            </w:r>
          </w:p>
        </w:tc>
      </w:tr>
      <w:tr w:rsidR="003D7C55" w:rsidRPr="00937000" w:rsidTr="007C3BCE">
        <w:tc>
          <w:tcPr>
            <w:tcW w:w="5000" w:type="pct"/>
            <w:gridSpan w:val="3"/>
          </w:tcPr>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6 avril 2018</w:t>
            </w:r>
          </w:p>
          <w:p w:rsidR="003D7C55" w:rsidRPr="00956D0A" w:rsidRDefault="003D7C55" w:rsidP="007C3BCE">
            <w:pPr>
              <w:jc w:val="both"/>
              <w:rPr>
                <w:sz w:val="20"/>
                <w:lang w:val="fr-CA"/>
              </w:rPr>
            </w:pPr>
            <w:r w:rsidRPr="00956D0A">
              <w:rPr>
                <w:sz w:val="20"/>
                <w:lang w:val="fr-CA"/>
              </w:rPr>
              <w:t>Cour supérieure de justice de l’Ontario</w:t>
            </w:r>
          </w:p>
          <w:p w:rsidR="003D7C55" w:rsidRPr="00956D0A" w:rsidRDefault="003D7C55" w:rsidP="007C3BCE">
            <w:pPr>
              <w:jc w:val="both"/>
              <w:rPr>
                <w:sz w:val="20"/>
                <w:lang w:val="fr-CA"/>
              </w:rPr>
            </w:pPr>
            <w:r w:rsidRPr="00956D0A">
              <w:rPr>
                <w:sz w:val="20"/>
                <w:lang w:val="fr-CA"/>
              </w:rPr>
              <w:t>(Juge Akbarali)</w:t>
            </w:r>
          </w:p>
          <w:p w:rsidR="003D7C55" w:rsidRPr="00956D0A" w:rsidRDefault="00937000" w:rsidP="007C3BCE">
            <w:pPr>
              <w:jc w:val="both"/>
              <w:rPr>
                <w:sz w:val="20"/>
                <w:lang w:val="fr-CA"/>
              </w:rPr>
            </w:pPr>
            <w:hyperlink r:id="rId77" w:history="1">
              <w:r w:rsidR="003D7C55" w:rsidRPr="00956D0A">
                <w:rPr>
                  <w:rStyle w:val="Hyperlink"/>
                  <w:sz w:val="20"/>
                  <w:lang w:val="fr-CA"/>
                </w:rPr>
                <w:t>2018 ONSC 1365</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rejetant l’action et autorisant l’action à suivre son cours en partie</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31 juillet 2019</w:t>
            </w:r>
          </w:p>
          <w:p w:rsidR="003D7C55" w:rsidRPr="00956D0A" w:rsidRDefault="003D7C55" w:rsidP="007C3BCE">
            <w:pPr>
              <w:jc w:val="both"/>
              <w:rPr>
                <w:sz w:val="20"/>
                <w:lang w:val="fr-CA"/>
              </w:rPr>
            </w:pPr>
            <w:r w:rsidRPr="00956D0A">
              <w:rPr>
                <w:sz w:val="20"/>
                <w:lang w:val="fr-CA"/>
              </w:rPr>
              <w:t>Cour d’appel de l’Ontario</w:t>
            </w:r>
          </w:p>
          <w:p w:rsidR="003D7C55" w:rsidRPr="00956D0A" w:rsidRDefault="003D7C55" w:rsidP="007C3BCE">
            <w:pPr>
              <w:jc w:val="both"/>
              <w:rPr>
                <w:sz w:val="20"/>
                <w:lang w:val="fr-CA"/>
              </w:rPr>
            </w:pPr>
            <w:r w:rsidRPr="00956D0A">
              <w:rPr>
                <w:sz w:val="20"/>
                <w:lang w:val="fr-CA"/>
              </w:rPr>
              <w:t>(Juges Hourigan, Paciocco et Fairburn)</w:t>
            </w:r>
          </w:p>
          <w:p w:rsidR="003D7C55" w:rsidRPr="00956D0A" w:rsidRDefault="00937000" w:rsidP="007C3BCE">
            <w:pPr>
              <w:jc w:val="both"/>
              <w:rPr>
                <w:sz w:val="20"/>
                <w:lang w:val="fr-CA"/>
              </w:rPr>
            </w:pPr>
            <w:hyperlink r:id="rId78" w:history="1">
              <w:r w:rsidR="003D7C55" w:rsidRPr="00956D0A">
                <w:rPr>
                  <w:rStyle w:val="Hyperlink"/>
                  <w:sz w:val="20"/>
                  <w:lang w:val="fr-CA"/>
                </w:rPr>
                <w:t>2019 ONCA 635</w:t>
              </w:r>
            </w:hyperlink>
            <w:r w:rsidR="003D7C55" w:rsidRPr="00956D0A">
              <w:rPr>
                <w:sz w:val="20"/>
                <w:lang w:val="fr-CA"/>
              </w:rPr>
              <w:t>; C65382, C65383</w:t>
            </w:r>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 xml:space="preserve">Arrêt rejetant l’appel, accueillant l’appel incident et rejetant l’action </w:t>
            </w: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30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70"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38823</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Paul Hupe v. Mary Viola Hyczkewycz</w:t>
            </w:r>
          </w:p>
          <w:p w:rsidR="003D7C55" w:rsidRPr="00956D0A" w:rsidRDefault="003D7C55" w:rsidP="007C3BCE">
            <w:pPr>
              <w:jc w:val="both"/>
              <w:rPr>
                <w:sz w:val="20"/>
              </w:rPr>
            </w:pPr>
            <w:r w:rsidRPr="00956D0A">
              <w:rPr>
                <w:sz w:val="20"/>
              </w:rPr>
              <w:t>(Man.) (Civil) (By Leave)</w:t>
            </w:r>
          </w:p>
        </w:tc>
      </w:tr>
      <w:tr w:rsidR="008F385C" w:rsidRPr="00956D0A" w:rsidTr="007C3BCE">
        <w:tc>
          <w:tcPr>
            <w:tcW w:w="5000" w:type="pct"/>
            <w:gridSpan w:val="4"/>
          </w:tcPr>
          <w:p w:rsidR="0064739A" w:rsidRPr="00956D0A" w:rsidRDefault="0064739A" w:rsidP="0064739A">
            <w:pPr>
              <w:jc w:val="both"/>
              <w:rPr>
                <w:sz w:val="20"/>
                <w:szCs w:val="20"/>
              </w:rPr>
            </w:pPr>
            <w:r w:rsidRPr="00956D0A">
              <w:rPr>
                <w:sz w:val="20"/>
                <w:szCs w:val="20"/>
              </w:rPr>
              <w:t>The application for leave to appeal from the judgment of the Court of Appeal of Manitoba, Number AI18-30-09011, 2019 MBCA 74, dated July 3, 2019, is dismissed without costs.</w:t>
            </w:r>
          </w:p>
          <w:p w:rsidR="008F385C" w:rsidRPr="00956D0A" w:rsidRDefault="008F385C"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 xml:space="preserve">Property — Real property — Land registration — Torrens based registration — Wills and Estates — Presumption of resulting trust — Whether the Manitoba Court of Appeal reversed its previous decision respecting the paramountcy of real property legislation — Whether the Court of Appeal erred by concluding that real property legislation was a supplement to the common law and provided relief contrary to the </w:t>
            </w:r>
            <w:r w:rsidRPr="00956D0A">
              <w:rPr>
                <w:i/>
                <w:sz w:val="20"/>
              </w:rPr>
              <w:t>Real Property Act</w:t>
            </w:r>
            <w:r w:rsidRPr="00956D0A">
              <w:rPr>
                <w:sz w:val="20"/>
              </w:rPr>
              <w:t>, CCSM c. R30?</w:t>
            </w:r>
          </w:p>
        </w:tc>
      </w:tr>
      <w:tr w:rsidR="003D7C55" w:rsidRPr="00956D0A" w:rsidTr="007C3BCE">
        <w:tc>
          <w:tcPr>
            <w:tcW w:w="5000" w:type="pct"/>
            <w:gridSpan w:val="4"/>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Paul and Sharon Hupe were married or living together from around 1971 to 2009 when they separated. During much of this time Paul’s mother (Mary Hyczkewycz) lived with the couple. During their separation a dispute arose over division of four properties in Manitoba. Sharon held sole title on the ‘Rossmore’ property, Sharon and Mary were joint tenants on the ‘Inkster’ property, while Sharon and Paul held title on two others (the ‘cottage properties’). Mary brought an application for an interest in each of the four properties. She claimed to be the sole beneficial owner of the Inkster and Rossmore properties and half owner along with Paul and Sharon for the cottage properties. The Court of Queen’s Bench for Manitoba</w:t>
            </w:r>
            <w:r w:rsidRPr="00956D0A">
              <w:rPr>
                <w:b/>
                <w:sz w:val="20"/>
              </w:rPr>
              <w:t xml:space="preserve"> </w:t>
            </w:r>
            <w:r w:rsidRPr="00956D0A">
              <w:rPr>
                <w:sz w:val="20"/>
              </w:rPr>
              <w:t xml:space="preserve">determined that a resulting trust existed in favour of Mary and that she should have sole title to the Inkster and Rossmore properties and share fifty percent title with Paul and Sharon in the cottage properties. The Court of Appeal for Manitoba dismissed Paul’s appeal. </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December 11, 2017</w:t>
            </w:r>
          </w:p>
          <w:p w:rsidR="003D7C55" w:rsidRPr="00956D0A" w:rsidRDefault="003D7C55" w:rsidP="007C3BCE">
            <w:pPr>
              <w:jc w:val="both"/>
              <w:rPr>
                <w:sz w:val="20"/>
              </w:rPr>
            </w:pPr>
            <w:r w:rsidRPr="00956D0A">
              <w:rPr>
                <w:sz w:val="20"/>
              </w:rPr>
              <w:t>Court of Queen’s Bench of Manitoba</w:t>
            </w:r>
          </w:p>
          <w:p w:rsidR="003D7C55" w:rsidRPr="00956D0A" w:rsidRDefault="003D7C55" w:rsidP="007C3BCE">
            <w:pPr>
              <w:jc w:val="both"/>
              <w:rPr>
                <w:sz w:val="20"/>
              </w:rPr>
            </w:pPr>
            <w:r w:rsidRPr="00956D0A">
              <w:rPr>
                <w:sz w:val="20"/>
              </w:rPr>
              <w:t>(Kroft J.)</w:t>
            </w:r>
          </w:p>
          <w:p w:rsidR="003D7C55" w:rsidRPr="00956D0A" w:rsidRDefault="00937000" w:rsidP="007C3BCE">
            <w:pPr>
              <w:jc w:val="both"/>
              <w:rPr>
                <w:sz w:val="20"/>
              </w:rPr>
            </w:pPr>
            <w:hyperlink r:id="rId79" w:history="1">
              <w:r w:rsidR="003D7C55" w:rsidRPr="00956D0A">
                <w:rPr>
                  <w:rStyle w:val="Hyperlink"/>
                  <w:sz w:val="20"/>
                </w:rPr>
                <w:t>2017 MBQB 209</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Finding that Ms. Hyczkewycz is the sole beneficial owner of two properties and 50 percent beneficial owner of two other properties.</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July 3, 2019</w:t>
            </w:r>
          </w:p>
          <w:p w:rsidR="003D7C55" w:rsidRPr="00956D0A" w:rsidRDefault="003D7C55" w:rsidP="007C3BCE">
            <w:pPr>
              <w:jc w:val="both"/>
              <w:rPr>
                <w:sz w:val="20"/>
              </w:rPr>
            </w:pPr>
            <w:r w:rsidRPr="00956D0A">
              <w:rPr>
                <w:sz w:val="20"/>
              </w:rPr>
              <w:t>Court of Appeal of Manitoba</w:t>
            </w:r>
          </w:p>
          <w:p w:rsidR="003D7C55" w:rsidRPr="00956D0A" w:rsidRDefault="003D7C55" w:rsidP="007C3BCE">
            <w:pPr>
              <w:jc w:val="both"/>
              <w:rPr>
                <w:sz w:val="20"/>
              </w:rPr>
            </w:pPr>
            <w:r w:rsidRPr="00956D0A">
              <w:rPr>
                <w:sz w:val="20"/>
              </w:rPr>
              <w:t>(Hamilton, Beard, and leMaistre JJ.A.)</w:t>
            </w:r>
          </w:p>
          <w:p w:rsidR="003D7C55" w:rsidRPr="00956D0A" w:rsidRDefault="00937000" w:rsidP="007C3BCE">
            <w:pPr>
              <w:jc w:val="both"/>
              <w:rPr>
                <w:sz w:val="20"/>
              </w:rPr>
            </w:pPr>
            <w:hyperlink r:id="rId80" w:history="1">
              <w:r w:rsidR="003D7C55" w:rsidRPr="00956D0A">
                <w:rPr>
                  <w:rStyle w:val="Hyperlink"/>
                  <w:sz w:val="20"/>
                </w:rPr>
                <w:t>2019 MBCA 74</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dismissed.</w:t>
            </w: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26,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71"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38823</w:t>
            </w:r>
          </w:p>
        </w:tc>
        <w:tc>
          <w:tcPr>
            <w:tcW w:w="4457" w:type="pct"/>
            <w:gridSpan w:val="3"/>
          </w:tcPr>
          <w:p w:rsidR="003D7C55" w:rsidRPr="00956D0A" w:rsidRDefault="003D7C55" w:rsidP="007C3BCE">
            <w:pPr>
              <w:pStyle w:val="SCCLsocParty"/>
              <w:jc w:val="both"/>
              <w:rPr>
                <w:b/>
                <w:sz w:val="20"/>
                <w:szCs w:val="20"/>
              </w:rPr>
            </w:pPr>
            <w:r w:rsidRPr="00956D0A">
              <w:rPr>
                <w:b/>
                <w:sz w:val="20"/>
                <w:szCs w:val="20"/>
              </w:rPr>
              <w:t>Paul Hupe c. Mary Viola Hyczkewycz</w:t>
            </w:r>
          </w:p>
          <w:p w:rsidR="003D7C55" w:rsidRPr="00956D0A" w:rsidRDefault="003D7C55" w:rsidP="007C3BCE">
            <w:pPr>
              <w:jc w:val="both"/>
              <w:rPr>
                <w:sz w:val="20"/>
                <w:lang w:val="fr-CA"/>
              </w:rPr>
            </w:pPr>
            <w:r w:rsidRPr="00956D0A">
              <w:rPr>
                <w:sz w:val="20"/>
                <w:lang w:val="fr-CA"/>
              </w:rPr>
              <w:t>(Man.) (Civile) (Autorisation)</w:t>
            </w:r>
          </w:p>
        </w:tc>
      </w:tr>
      <w:tr w:rsidR="008F385C" w:rsidRPr="00937000" w:rsidTr="007C3BCE">
        <w:tc>
          <w:tcPr>
            <w:tcW w:w="5000" w:type="pct"/>
            <w:gridSpan w:val="4"/>
          </w:tcPr>
          <w:p w:rsidR="008F385C" w:rsidRPr="00956D0A" w:rsidRDefault="0064739A" w:rsidP="007C3BCE">
            <w:pPr>
              <w:jc w:val="both"/>
              <w:rPr>
                <w:sz w:val="20"/>
                <w:szCs w:val="20"/>
                <w:lang w:val="fr-CA"/>
              </w:rPr>
            </w:pPr>
            <w:r w:rsidRPr="00956D0A">
              <w:rPr>
                <w:sz w:val="20"/>
                <w:szCs w:val="20"/>
                <w:lang w:val="fr-CA"/>
              </w:rPr>
              <w:t>La demande d’autorisation d’appel de l’arrêt de la Cour d’appel du Manitoba, numéro AI18-30-09011, 2019 MBCA 74, daté du 3 juillet 2019, est rejetée sans dépens.</w:t>
            </w:r>
          </w:p>
          <w:p w:rsidR="0064739A" w:rsidRPr="00956D0A" w:rsidRDefault="0064739A" w:rsidP="007C3BCE">
            <w:pPr>
              <w:jc w:val="both"/>
              <w:rPr>
                <w:sz w:val="20"/>
                <w:szCs w:val="20"/>
                <w:lang w:val="fr-CA"/>
              </w:rPr>
            </w:pPr>
          </w:p>
        </w:tc>
      </w:tr>
      <w:tr w:rsidR="003D7C55" w:rsidRPr="00956D0A" w:rsidTr="007C3BCE">
        <w:tc>
          <w:tcPr>
            <w:tcW w:w="5000" w:type="pct"/>
            <w:gridSpan w:val="4"/>
          </w:tcPr>
          <w:p w:rsidR="003D7C55" w:rsidRPr="00956D0A" w:rsidRDefault="003D7C55" w:rsidP="007C3BCE">
            <w:pPr>
              <w:jc w:val="both"/>
              <w:rPr>
                <w:sz w:val="20"/>
                <w:lang w:val="fr-CA"/>
              </w:rPr>
            </w:pPr>
            <w:r w:rsidRPr="00956D0A">
              <w:rPr>
                <w:sz w:val="20"/>
                <w:lang w:val="fr-CA"/>
              </w:rPr>
              <w:t>Biens — Biens réels — Enregistrement foncier — Régime Torrens d’enregistrement — Successions — Présomption de fiducie résultoire — La Cour d’appel du Manitoba a</w:t>
            </w:r>
            <w:r w:rsidRPr="00956D0A">
              <w:rPr>
                <w:sz w:val="20"/>
                <w:lang w:val="fr-CA"/>
              </w:rPr>
              <w:noBreakHyphen/>
              <w:t>t</w:t>
            </w:r>
            <w:r w:rsidRPr="00956D0A">
              <w:rPr>
                <w:sz w:val="20"/>
                <w:lang w:val="fr-CA"/>
              </w:rPr>
              <w:noBreakHyphen/>
              <w:t>elle infirmé son arrêt antérieur portant sur la primauté de la législation sur les biens réels? — La Cour d’appel a</w:t>
            </w:r>
            <w:r w:rsidRPr="00956D0A">
              <w:rPr>
                <w:sz w:val="20"/>
                <w:lang w:val="fr-CA"/>
              </w:rPr>
              <w:noBreakHyphen/>
              <w:t>t</w:t>
            </w:r>
            <w:r w:rsidRPr="00956D0A">
              <w:rPr>
                <w:sz w:val="20"/>
                <w:lang w:val="fr-CA"/>
              </w:rPr>
              <w:noBreakHyphen/>
              <w:t xml:space="preserve">elle eu tort de conclure que la législation sur les biens réels complétait la common law et procurait une réparation contraire à la </w:t>
            </w:r>
            <w:r w:rsidRPr="00956D0A">
              <w:rPr>
                <w:i/>
                <w:sz w:val="20"/>
                <w:lang w:val="fr-CA"/>
              </w:rPr>
              <w:t>Loi sur les biens réels</w:t>
            </w:r>
            <w:r w:rsidRPr="00956D0A">
              <w:rPr>
                <w:sz w:val="20"/>
                <w:lang w:val="fr-CA"/>
              </w:rPr>
              <w:t>, CPLM ch. R30?</w:t>
            </w:r>
          </w:p>
        </w:tc>
      </w:tr>
      <w:tr w:rsidR="003D7C55" w:rsidRPr="00937000" w:rsidTr="007C3BCE">
        <w:tc>
          <w:tcPr>
            <w:tcW w:w="5000" w:type="pct"/>
            <w:gridSpan w:val="4"/>
          </w:tcPr>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sz w:val="20"/>
                <w:lang w:val="fr-CA"/>
              </w:rPr>
              <w:t xml:space="preserve">Paul et Sharon Hupe étaient mariés ou avaient vécu ensemble de 1971 et 2009 environ lorsqu’ils se sont séparés. Pendant une bonne partie de cette période, la mère de Paul (Mary Hyczkewycz) vivait avec le couple. Pendant leur séparation, un différend a pris naissance relativement au partage de quatre propriétés au Manitoba. Sharon possédait un titre exclusif à l’égard de la propriété « Rossmore », Sharon et Mary étaient tenants conjoints de la propriété « Inkster », alors que Sharon et Paul possédaient un titre à l’égard de deux autres propriétés (les « chalets »). Mary a introduit une demande revendiquant un intérêt à l’égard de chacune des quatre propriétés. Elle prétendait être l’unique propriétaire bénéficiaire des propriétés Inkster et Rossmore et copropriétaire pour moitié, avec Paul et Sharon, des chalets. La Cour du Banc de la Reine du Manitoba a conclu qu’une fiducie résultoire existait en faveur de Mary et que cette dernière devrait posséder un titre exclusif à l’égard des propriétés Inkster et Rossmore et partager pour moitié le titre avec Paul et Sharon à l’égard des chalets. La Cour d’appel du Manitoba a rejeté l’appel de Paul. </w:t>
            </w:r>
          </w:p>
        </w:tc>
      </w:tr>
      <w:tr w:rsidR="003D7C55" w:rsidRPr="00937000" w:rsidTr="007C3BCE">
        <w:tc>
          <w:tcPr>
            <w:tcW w:w="5000" w:type="pct"/>
            <w:gridSpan w:val="4"/>
          </w:tcPr>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11 décembre 2017</w:t>
            </w:r>
          </w:p>
          <w:p w:rsidR="003D7C55" w:rsidRPr="00956D0A" w:rsidRDefault="003D7C55" w:rsidP="007C3BCE">
            <w:pPr>
              <w:jc w:val="both"/>
              <w:rPr>
                <w:sz w:val="20"/>
                <w:lang w:val="fr-CA"/>
              </w:rPr>
            </w:pPr>
            <w:r w:rsidRPr="00956D0A">
              <w:rPr>
                <w:sz w:val="20"/>
                <w:lang w:val="fr-CA"/>
              </w:rPr>
              <w:t>Cour du Banc de la Reine du Manitoba</w:t>
            </w:r>
          </w:p>
          <w:p w:rsidR="003D7C55" w:rsidRPr="00956D0A" w:rsidRDefault="003D7C55" w:rsidP="007C3BCE">
            <w:pPr>
              <w:jc w:val="both"/>
              <w:rPr>
                <w:sz w:val="20"/>
                <w:lang w:val="fr-CA"/>
              </w:rPr>
            </w:pPr>
            <w:r w:rsidRPr="00956D0A">
              <w:rPr>
                <w:sz w:val="20"/>
                <w:lang w:val="fr-CA"/>
              </w:rPr>
              <w:t>(Juge Kroft)</w:t>
            </w:r>
          </w:p>
          <w:p w:rsidR="003D7C55" w:rsidRPr="00956D0A" w:rsidRDefault="00937000" w:rsidP="007C3BCE">
            <w:pPr>
              <w:jc w:val="both"/>
              <w:rPr>
                <w:sz w:val="20"/>
                <w:lang w:val="fr-CA"/>
              </w:rPr>
            </w:pPr>
            <w:hyperlink r:id="rId81" w:history="1">
              <w:r w:rsidR="003D7C55" w:rsidRPr="00956D0A">
                <w:rPr>
                  <w:rStyle w:val="Hyperlink"/>
                  <w:sz w:val="20"/>
                  <w:lang w:val="fr-CA"/>
                </w:rPr>
                <w:t>2017 MBQB 209</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Conclusion selon laquelle Mme Hyczkewycz est unique propriétaire bénéficiaire de deux propriétés et propriétaire bénéficiaire pour moitié de deux autres propriétés.</w:t>
            </w:r>
          </w:p>
          <w:p w:rsidR="003D7C55" w:rsidRPr="00956D0A" w:rsidRDefault="003D7C55" w:rsidP="007C3BCE">
            <w:pPr>
              <w:jc w:val="both"/>
              <w:rPr>
                <w:sz w:val="20"/>
                <w:lang w:val="fr-CA"/>
              </w:rPr>
            </w:pPr>
          </w:p>
        </w:tc>
      </w:tr>
      <w:tr w:rsidR="003D7C55" w:rsidRPr="00956D0A" w:rsidTr="007C3BCE">
        <w:tc>
          <w:tcPr>
            <w:tcW w:w="2427" w:type="pct"/>
            <w:gridSpan w:val="2"/>
          </w:tcPr>
          <w:p w:rsidR="003D7C55" w:rsidRPr="00956D0A" w:rsidRDefault="003D7C55" w:rsidP="007C3BCE">
            <w:pPr>
              <w:jc w:val="both"/>
              <w:rPr>
                <w:sz w:val="20"/>
                <w:lang w:val="fr-CA"/>
              </w:rPr>
            </w:pPr>
            <w:r w:rsidRPr="00956D0A">
              <w:rPr>
                <w:sz w:val="20"/>
                <w:lang w:val="fr-CA"/>
              </w:rPr>
              <w:t>3 juillet 2019</w:t>
            </w:r>
          </w:p>
          <w:p w:rsidR="003D7C55" w:rsidRPr="00956D0A" w:rsidRDefault="003D7C55" w:rsidP="007C3BCE">
            <w:pPr>
              <w:jc w:val="both"/>
              <w:rPr>
                <w:sz w:val="20"/>
                <w:lang w:val="fr-CA"/>
              </w:rPr>
            </w:pPr>
            <w:r w:rsidRPr="00956D0A">
              <w:rPr>
                <w:sz w:val="20"/>
                <w:lang w:val="fr-CA"/>
              </w:rPr>
              <w:t>Cour d’appel du Manitoba</w:t>
            </w:r>
          </w:p>
          <w:p w:rsidR="003D7C55" w:rsidRPr="00956D0A" w:rsidRDefault="003D7C55" w:rsidP="007C3BCE">
            <w:pPr>
              <w:jc w:val="both"/>
              <w:rPr>
                <w:sz w:val="20"/>
                <w:lang w:val="fr-CA"/>
              </w:rPr>
            </w:pPr>
            <w:r w:rsidRPr="00956D0A">
              <w:rPr>
                <w:sz w:val="20"/>
                <w:lang w:val="fr-CA"/>
              </w:rPr>
              <w:t>(Juges Hamilton, Beard et leMaistre)</w:t>
            </w:r>
          </w:p>
          <w:p w:rsidR="003D7C55" w:rsidRPr="00956D0A" w:rsidRDefault="00937000" w:rsidP="007C3BCE">
            <w:pPr>
              <w:jc w:val="both"/>
              <w:rPr>
                <w:sz w:val="20"/>
                <w:lang w:val="fr-CA"/>
              </w:rPr>
            </w:pPr>
            <w:hyperlink r:id="rId82" w:history="1">
              <w:r w:rsidR="003D7C55" w:rsidRPr="00956D0A">
                <w:rPr>
                  <w:rStyle w:val="Hyperlink"/>
                  <w:sz w:val="20"/>
                  <w:lang w:val="fr-CA"/>
                </w:rPr>
                <w:t>2019 MBCA 74</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w:t>
            </w:r>
          </w:p>
          <w:p w:rsidR="003D7C55" w:rsidRPr="00956D0A" w:rsidRDefault="003D7C55" w:rsidP="007C3BCE">
            <w:pPr>
              <w:jc w:val="both"/>
              <w:rPr>
                <w:sz w:val="20"/>
                <w:lang w:val="fr-CA"/>
              </w:rPr>
            </w:pPr>
          </w:p>
        </w:tc>
      </w:tr>
      <w:tr w:rsidR="003D7C55" w:rsidRPr="00937000" w:rsidTr="007C3BCE">
        <w:tc>
          <w:tcPr>
            <w:tcW w:w="2427" w:type="pct"/>
            <w:gridSpan w:val="2"/>
          </w:tcPr>
          <w:p w:rsidR="003D7C55" w:rsidRPr="00956D0A" w:rsidRDefault="003D7C55" w:rsidP="007C3BCE">
            <w:pPr>
              <w:jc w:val="both"/>
              <w:rPr>
                <w:sz w:val="20"/>
                <w:lang w:val="fr-CA"/>
              </w:rPr>
            </w:pPr>
            <w:r w:rsidRPr="00956D0A">
              <w:rPr>
                <w:sz w:val="20"/>
                <w:lang w:val="fr-CA"/>
              </w:rPr>
              <w:t>26 septembre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jc w:val="both"/>
        <w:rPr>
          <w:sz w:val="20"/>
          <w:lang w:val="fr-CA"/>
        </w:rPr>
      </w:pPr>
    </w:p>
    <w:p w:rsidR="003D7C55" w:rsidRPr="00956D0A" w:rsidRDefault="00937000" w:rsidP="003D7C55">
      <w:pPr>
        <w:ind w:left="142" w:hanging="142"/>
        <w:jc w:val="both"/>
        <w:rPr>
          <w:sz w:val="20"/>
          <w:lang w:val="fr-CA"/>
        </w:rPr>
      </w:pPr>
      <w:r>
        <w:rPr>
          <w:sz w:val="20"/>
        </w:rPr>
        <w:pict>
          <v:rect id="_x0000_i1072" style="width:2in;height:1pt" o:hrpct="0" o:hralign="center" o:hrstd="t" o:hrnoshade="t" o:hr="t" fillcolor="black [3213]" stroked="f"/>
        </w:pict>
      </w:r>
    </w:p>
    <w:p w:rsidR="003D7C55" w:rsidRPr="00956D0A" w:rsidRDefault="003D7C55" w:rsidP="003D7C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D7C55" w:rsidRPr="00956D0A" w:rsidTr="007C3BCE">
        <w:tc>
          <w:tcPr>
            <w:tcW w:w="543" w:type="pct"/>
          </w:tcPr>
          <w:p w:rsidR="003D7C55" w:rsidRPr="00956D0A" w:rsidRDefault="003D7C55" w:rsidP="007C3BCE">
            <w:pPr>
              <w:jc w:val="both"/>
              <w:rPr>
                <w:sz w:val="20"/>
              </w:rPr>
            </w:pPr>
            <w:r w:rsidRPr="00956D0A">
              <w:rPr>
                <w:rStyle w:val="SCCFileNumberChar"/>
                <w:sz w:val="20"/>
                <w:szCs w:val="20"/>
              </w:rPr>
              <w:t>38924</w:t>
            </w:r>
          </w:p>
        </w:tc>
        <w:tc>
          <w:tcPr>
            <w:tcW w:w="4457" w:type="pct"/>
            <w:gridSpan w:val="3"/>
          </w:tcPr>
          <w:p w:rsidR="003D7C55" w:rsidRPr="00956D0A" w:rsidRDefault="003D7C55" w:rsidP="007C3BCE">
            <w:pPr>
              <w:pStyle w:val="SCCLsocParty"/>
              <w:jc w:val="both"/>
              <w:rPr>
                <w:b/>
                <w:sz w:val="20"/>
                <w:szCs w:val="20"/>
                <w:lang w:val="en-US"/>
              </w:rPr>
            </w:pPr>
            <w:r w:rsidRPr="00956D0A">
              <w:rPr>
                <w:b/>
                <w:sz w:val="20"/>
                <w:szCs w:val="20"/>
                <w:lang w:val="en-US"/>
              </w:rPr>
              <w:t>Empire Life Insurance Company v. Noha Tanious</w:t>
            </w:r>
          </w:p>
          <w:p w:rsidR="003D7C55" w:rsidRPr="00956D0A" w:rsidRDefault="003D7C55" w:rsidP="007C3BCE">
            <w:pPr>
              <w:jc w:val="both"/>
              <w:rPr>
                <w:sz w:val="20"/>
              </w:rPr>
            </w:pPr>
            <w:r w:rsidRPr="00956D0A">
              <w:rPr>
                <w:sz w:val="20"/>
              </w:rPr>
              <w:t>(B.C.) (Civil) (By Leave)</w:t>
            </w:r>
          </w:p>
        </w:tc>
      </w:tr>
      <w:tr w:rsidR="008F385C" w:rsidRPr="00956D0A" w:rsidTr="007C3BCE">
        <w:tc>
          <w:tcPr>
            <w:tcW w:w="5000" w:type="pct"/>
            <w:gridSpan w:val="4"/>
          </w:tcPr>
          <w:p w:rsidR="00C757A0" w:rsidRPr="00956D0A" w:rsidRDefault="00C757A0" w:rsidP="00C757A0">
            <w:pPr>
              <w:jc w:val="both"/>
              <w:rPr>
                <w:sz w:val="20"/>
                <w:szCs w:val="20"/>
              </w:rPr>
            </w:pPr>
            <w:r w:rsidRPr="00956D0A">
              <w:rPr>
                <w:sz w:val="20"/>
                <w:szCs w:val="20"/>
              </w:rPr>
              <w:t>The application for leave to appeal from the judgment of the Court of Appeal for British Columbia (Vancouver), Number CA44254, 2019 BCCA 329, dated September 20, 2019, is dismissed with costs.</w:t>
            </w:r>
          </w:p>
          <w:p w:rsidR="008F385C" w:rsidRPr="00956D0A" w:rsidRDefault="008F385C" w:rsidP="007C3BCE">
            <w:pPr>
              <w:jc w:val="both"/>
              <w:rPr>
                <w:sz w:val="20"/>
              </w:rPr>
            </w:pPr>
          </w:p>
        </w:tc>
      </w:tr>
      <w:tr w:rsidR="003D7C55" w:rsidRPr="00956D0A" w:rsidTr="007C3BCE">
        <w:tc>
          <w:tcPr>
            <w:tcW w:w="5000" w:type="pct"/>
            <w:gridSpan w:val="4"/>
          </w:tcPr>
          <w:p w:rsidR="003D7C55" w:rsidRPr="00956D0A" w:rsidRDefault="003D7C55" w:rsidP="007C3BCE">
            <w:pPr>
              <w:jc w:val="both"/>
              <w:rPr>
                <w:sz w:val="20"/>
              </w:rPr>
            </w:pPr>
            <w:r w:rsidRPr="00956D0A">
              <w:rPr>
                <w:sz w:val="20"/>
              </w:rPr>
              <w:t>Civil procedure — Costs — Special costs — Was it appropriate for the appellate court to adopt a new test for special costs in civil litigation between private parties — Should there be a new test that displaces the punitive function of special costs — Should special costs awards be based on the personal and financial circumstances of a successful individual litigant, or on the financial arrangement between the plaintiff and her counsel — Should the courts deliberately use costs awards to encourage more lawyers to act on “deserving but otherwise unremunerative” litigation claims.</w:t>
            </w:r>
          </w:p>
        </w:tc>
      </w:tr>
      <w:tr w:rsidR="003D7C55" w:rsidRPr="00956D0A" w:rsidTr="007C3BCE">
        <w:tc>
          <w:tcPr>
            <w:tcW w:w="5000" w:type="pct"/>
            <w:gridSpan w:val="4"/>
          </w:tcPr>
          <w:p w:rsidR="003D7C55" w:rsidRPr="00956D0A" w:rsidRDefault="003D7C55" w:rsidP="007C3BCE">
            <w:pPr>
              <w:jc w:val="both"/>
              <w:rPr>
                <w:sz w:val="20"/>
              </w:rPr>
            </w:pPr>
          </w:p>
          <w:p w:rsidR="003D7C55" w:rsidRPr="00956D0A" w:rsidRDefault="003D7C55" w:rsidP="007C3BCE">
            <w:pPr>
              <w:jc w:val="both"/>
              <w:rPr>
                <w:sz w:val="20"/>
              </w:rPr>
            </w:pPr>
            <w:r w:rsidRPr="00956D0A">
              <w:rPr>
                <w:sz w:val="20"/>
              </w:rPr>
              <w:t>The respondent brought a successful action to recover past and future long</w:t>
            </w:r>
            <w:r w:rsidRPr="00956D0A">
              <w:rPr>
                <w:sz w:val="20"/>
              </w:rPr>
              <w:noBreakHyphen/>
              <w:t>term disability benefits that the applicant insurer denied her under her past employer’s group policy. Despite the absence of misconduct by the insurer, the trial judge exercised his discretion to award special costs against the insurer on the basis that in the particular circumstances of the case</w:t>
            </w:r>
            <w:r w:rsidRPr="00956D0A">
              <w:rPr>
                <w:b/>
                <w:sz w:val="20"/>
              </w:rPr>
              <w:t xml:space="preserve"> </w:t>
            </w:r>
            <w:r w:rsidRPr="00956D0A">
              <w:rPr>
                <w:sz w:val="20"/>
              </w:rPr>
              <w:t>full indemnification was necessary to put the plaintiff in the position she would have been in had she not been forced to retain counsel and enforce the contract through litigation. The appellate court dismissed the appeal of the costs decision, holding that the judge had not erred in the exercise of his discretion on costs “in the interests of justice in the particular circumstances of the case”.</w:t>
            </w:r>
          </w:p>
        </w:tc>
      </w:tr>
      <w:tr w:rsidR="003D7C55" w:rsidRPr="00956D0A" w:rsidTr="007C3BCE">
        <w:tc>
          <w:tcPr>
            <w:tcW w:w="5000" w:type="pct"/>
            <w:gridSpan w:val="4"/>
          </w:tcPr>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January 26, 2016</w:t>
            </w:r>
          </w:p>
          <w:p w:rsidR="003D7C55" w:rsidRPr="00956D0A" w:rsidRDefault="003D7C55" w:rsidP="007C3BCE">
            <w:pPr>
              <w:jc w:val="both"/>
              <w:rPr>
                <w:sz w:val="20"/>
              </w:rPr>
            </w:pPr>
            <w:r w:rsidRPr="00956D0A">
              <w:rPr>
                <w:sz w:val="20"/>
              </w:rPr>
              <w:t>Supreme Court of British Columbia</w:t>
            </w:r>
          </w:p>
          <w:p w:rsidR="003D7C55" w:rsidRPr="00956D0A" w:rsidRDefault="003D7C55" w:rsidP="007C3BCE">
            <w:pPr>
              <w:jc w:val="both"/>
              <w:rPr>
                <w:sz w:val="20"/>
              </w:rPr>
            </w:pPr>
            <w:r w:rsidRPr="00956D0A">
              <w:rPr>
                <w:sz w:val="20"/>
              </w:rPr>
              <w:t>(Brown J.)</w:t>
            </w:r>
          </w:p>
          <w:p w:rsidR="003D7C55" w:rsidRPr="00956D0A" w:rsidRDefault="00937000" w:rsidP="007C3BCE">
            <w:pPr>
              <w:jc w:val="both"/>
              <w:rPr>
                <w:rStyle w:val="Hyperlink"/>
                <w:sz w:val="20"/>
              </w:rPr>
            </w:pPr>
            <w:hyperlink r:id="rId83" w:history="1">
              <w:r w:rsidR="003D7C55" w:rsidRPr="00956D0A">
                <w:rPr>
                  <w:rStyle w:val="Hyperlink"/>
                  <w:sz w:val="20"/>
                </w:rPr>
                <w:t>2016 BCSC 110</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Respondent’s action for long-term disability benefits under applicant’s policy allowed; Award of $15,000 in aggravated damages for mental distress</w:t>
            </w:r>
          </w:p>
          <w:p w:rsidR="003D7C55" w:rsidRPr="00956D0A" w:rsidRDefault="003D7C55" w:rsidP="007C3BCE">
            <w:pPr>
              <w:jc w:val="both"/>
              <w:rPr>
                <w:sz w:val="20"/>
              </w:rPr>
            </w:pP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January 19, 2017</w:t>
            </w:r>
          </w:p>
          <w:p w:rsidR="003D7C55" w:rsidRPr="00956D0A" w:rsidRDefault="003D7C55" w:rsidP="007C3BCE">
            <w:pPr>
              <w:jc w:val="both"/>
              <w:rPr>
                <w:sz w:val="20"/>
              </w:rPr>
            </w:pPr>
            <w:r w:rsidRPr="00956D0A">
              <w:rPr>
                <w:sz w:val="20"/>
              </w:rPr>
              <w:t xml:space="preserve">Supreme Court of British Columbia </w:t>
            </w:r>
          </w:p>
          <w:p w:rsidR="003D7C55" w:rsidRPr="00956D0A" w:rsidRDefault="003D7C55" w:rsidP="007C3BCE">
            <w:pPr>
              <w:jc w:val="both"/>
              <w:rPr>
                <w:sz w:val="20"/>
              </w:rPr>
            </w:pPr>
            <w:r w:rsidRPr="00956D0A">
              <w:rPr>
                <w:sz w:val="20"/>
              </w:rPr>
              <w:t>(Brown J.)</w:t>
            </w:r>
          </w:p>
          <w:p w:rsidR="003D7C55" w:rsidRPr="00956D0A" w:rsidRDefault="00937000" w:rsidP="007C3BCE">
            <w:pPr>
              <w:jc w:val="both"/>
              <w:rPr>
                <w:sz w:val="20"/>
              </w:rPr>
            </w:pPr>
            <w:hyperlink r:id="rId84" w:history="1">
              <w:r w:rsidR="003D7C55" w:rsidRPr="00956D0A">
                <w:rPr>
                  <w:rStyle w:val="Hyperlink"/>
                  <w:sz w:val="20"/>
                </w:rPr>
                <w:t>2017 BCSC 85</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Costs of action payable by the applicant to the respondent to be assessed as special costs</w:t>
            </w:r>
          </w:p>
          <w:p w:rsidR="003D7C55" w:rsidRPr="00956D0A" w:rsidRDefault="003D7C55" w:rsidP="007C3BCE">
            <w:pPr>
              <w:jc w:val="both"/>
              <w:rPr>
                <w:sz w:val="20"/>
              </w:rPr>
            </w:pPr>
          </w:p>
          <w:p w:rsidR="003D7C55" w:rsidRPr="00956D0A" w:rsidRDefault="003D7C55" w:rsidP="007C3BCE">
            <w:pPr>
              <w:jc w:val="both"/>
              <w:rPr>
                <w:sz w:val="20"/>
              </w:rPr>
            </w:pPr>
          </w:p>
        </w:tc>
      </w:tr>
      <w:tr w:rsidR="003D7C55" w:rsidRPr="00956D0A" w:rsidTr="007C3BCE">
        <w:tc>
          <w:tcPr>
            <w:tcW w:w="2427" w:type="pct"/>
            <w:gridSpan w:val="2"/>
          </w:tcPr>
          <w:p w:rsidR="003D7C55" w:rsidRPr="00956D0A" w:rsidRDefault="003D7C55" w:rsidP="007C3BCE">
            <w:pPr>
              <w:jc w:val="both"/>
              <w:rPr>
                <w:sz w:val="20"/>
              </w:rPr>
            </w:pPr>
            <w:r w:rsidRPr="00956D0A">
              <w:rPr>
                <w:sz w:val="20"/>
              </w:rPr>
              <w:t>September 20, 2019</w:t>
            </w:r>
          </w:p>
          <w:p w:rsidR="003D7C55" w:rsidRPr="00956D0A" w:rsidRDefault="003D7C55" w:rsidP="007C3BCE">
            <w:pPr>
              <w:jc w:val="both"/>
              <w:rPr>
                <w:sz w:val="20"/>
              </w:rPr>
            </w:pPr>
            <w:r w:rsidRPr="00956D0A">
              <w:rPr>
                <w:sz w:val="20"/>
              </w:rPr>
              <w:t xml:space="preserve">Court of Appeal for British Columbia </w:t>
            </w:r>
          </w:p>
          <w:p w:rsidR="003D7C55" w:rsidRPr="00956D0A" w:rsidRDefault="003D7C55" w:rsidP="007C3BCE">
            <w:pPr>
              <w:jc w:val="both"/>
              <w:rPr>
                <w:sz w:val="20"/>
              </w:rPr>
            </w:pPr>
            <w:r w:rsidRPr="00956D0A">
              <w:rPr>
                <w:sz w:val="20"/>
              </w:rPr>
              <w:t>(Vancouver)</w:t>
            </w:r>
          </w:p>
          <w:p w:rsidR="003D7C55" w:rsidRPr="00956D0A" w:rsidRDefault="003D7C55" w:rsidP="007C3BCE">
            <w:pPr>
              <w:jc w:val="both"/>
              <w:rPr>
                <w:sz w:val="20"/>
              </w:rPr>
            </w:pPr>
            <w:r w:rsidRPr="00956D0A">
              <w:rPr>
                <w:sz w:val="20"/>
              </w:rPr>
              <w:t>(Bauman C.J., Dickson and Hunter JJ.A.)</w:t>
            </w:r>
          </w:p>
          <w:p w:rsidR="003D7C55" w:rsidRPr="00956D0A" w:rsidRDefault="00937000" w:rsidP="007C3BCE">
            <w:pPr>
              <w:jc w:val="both"/>
              <w:rPr>
                <w:sz w:val="20"/>
              </w:rPr>
            </w:pPr>
            <w:hyperlink r:id="rId85" w:history="1">
              <w:r w:rsidR="003D7C55" w:rsidRPr="00956D0A">
                <w:rPr>
                  <w:rStyle w:val="Hyperlink"/>
                  <w:sz w:val="20"/>
                </w:rPr>
                <w:t>2019 BCCA 329</w:t>
              </w:r>
            </w:hyperlink>
          </w:p>
          <w:p w:rsidR="003D7C55" w:rsidRPr="00956D0A" w:rsidRDefault="003D7C55" w:rsidP="007C3BCE">
            <w:pPr>
              <w:jc w:val="both"/>
              <w:rPr>
                <w:sz w:val="20"/>
              </w:rPr>
            </w:pP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Appeal of award of special costs dismissed</w:t>
            </w:r>
          </w:p>
        </w:tc>
      </w:tr>
      <w:tr w:rsidR="003D7C55" w:rsidRPr="00956D0A" w:rsidTr="007C3BCE">
        <w:tc>
          <w:tcPr>
            <w:tcW w:w="2427" w:type="pct"/>
            <w:gridSpan w:val="2"/>
          </w:tcPr>
          <w:p w:rsidR="003D7C55" w:rsidRPr="00956D0A" w:rsidRDefault="003D7C55" w:rsidP="007C3BCE">
            <w:pPr>
              <w:jc w:val="both"/>
              <w:rPr>
                <w:sz w:val="20"/>
              </w:rPr>
            </w:pPr>
            <w:r w:rsidRPr="00956D0A">
              <w:rPr>
                <w:sz w:val="20"/>
              </w:rPr>
              <w:t>November 19, 2019</w:t>
            </w:r>
          </w:p>
          <w:p w:rsidR="003D7C55" w:rsidRPr="00956D0A" w:rsidRDefault="003D7C55" w:rsidP="007C3BCE">
            <w:pPr>
              <w:jc w:val="both"/>
              <w:rPr>
                <w:sz w:val="20"/>
              </w:rPr>
            </w:pPr>
            <w:r w:rsidRPr="00956D0A">
              <w:rPr>
                <w:sz w:val="20"/>
              </w:rPr>
              <w:t>Supreme Court of Canada</w:t>
            </w:r>
          </w:p>
        </w:tc>
        <w:tc>
          <w:tcPr>
            <w:tcW w:w="243" w:type="pct"/>
          </w:tcPr>
          <w:p w:rsidR="003D7C55" w:rsidRPr="00956D0A" w:rsidRDefault="003D7C55" w:rsidP="007C3BCE">
            <w:pPr>
              <w:jc w:val="both"/>
              <w:rPr>
                <w:sz w:val="20"/>
              </w:rPr>
            </w:pPr>
          </w:p>
        </w:tc>
        <w:tc>
          <w:tcPr>
            <w:tcW w:w="2330" w:type="pct"/>
          </w:tcPr>
          <w:p w:rsidR="003D7C55" w:rsidRPr="00956D0A" w:rsidRDefault="003D7C55" w:rsidP="007C3BCE">
            <w:pPr>
              <w:jc w:val="both"/>
              <w:rPr>
                <w:sz w:val="20"/>
              </w:rPr>
            </w:pPr>
            <w:r w:rsidRPr="00956D0A">
              <w:rPr>
                <w:sz w:val="20"/>
              </w:rPr>
              <w:t>Application for leave to appeal filed</w:t>
            </w:r>
          </w:p>
          <w:p w:rsidR="003D7C55" w:rsidRPr="00956D0A" w:rsidRDefault="003D7C55" w:rsidP="007C3BCE">
            <w:pPr>
              <w:jc w:val="both"/>
              <w:rPr>
                <w:sz w:val="20"/>
              </w:rPr>
            </w:pPr>
          </w:p>
        </w:tc>
      </w:tr>
    </w:tbl>
    <w:p w:rsidR="003D7C55" w:rsidRPr="00956D0A" w:rsidRDefault="003D7C55" w:rsidP="003D7C55">
      <w:pPr>
        <w:jc w:val="both"/>
        <w:rPr>
          <w:sz w:val="20"/>
        </w:rPr>
      </w:pPr>
    </w:p>
    <w:p w:rsidR="003D7C55" w:rsidRPr="00956D0A" w:rsidRDefault="00937000" w:rsidP="003D7C55">
      <w:pPr>
        <w:jc w:val="both"/>
        <w:rPr>
          <w:sz w:val="20"/>
        </w:rPr>
      </w:pPr>
      <w:r>
        <w:rPr>
          <w:sz w:val="20"/>
        </w:rPr>
        <w:pict>
          <v:rect id="_x0000_i1073" style="width:2in;height:1pt" o:hrpct="0" o:hralign="center" o:hrstd="t" o:hrnoshade="t" o:hr="t" fillcolor="black [3213]" stroked="f"/>
        </w:pict>
      </w:r>
    </w:p>
    <w:p w:rsidR="003D7C55" w:rsidRPr="00956D0A" w:rsidRDefault="003D7C55" w:rsidP="003D7C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D7C55" w:rsidRPr="00956D0A" w:rsidTr="007C3BCE">
        <w:tc>
          <w:tcPr>
            <w:tcW w:w="543" w:type="pct"/>
          </w:tcPr>
          <w:p w:rsidR="003D7C55" w:rsidRPr="00956D0A" w:rsidRDefault="003D7C55" w:rsidP="007C3BCE">
            <w:pPr>
              <w:jc w:val="both"/>
              <w:rPr>
                <w:sz w:val="20"/>
                <w:lang w:val="fr-CA"/>
              </w:rPr>
            </w:pPr>
            <w:r w:rsidRPr="00956D0A">
              <w:rPr>
                <w:rStyle w:val="SCCFileNumberChar"/>
                <w:sz w:val="20"/>
                <w:szCs w:val="20"/>
                <w:lang w:val="fr-CA"/>
              </w:rPr>
              <w:t>38924</w:t>
            </w:r>
          </w:p>
        </w:tc>
        <w:tc>
          <w:tcPr>
            <w:tcW w:w="4457" w:type="pct"/>
          </w:tcPr>
          <w:p w:rsidR="003D7C55" w:rsidRPr="00956D0A" w:rsidRDefault="003D7C55" w:rsidP="007C3BCE">
            <w:pPr>
              <w:pStyle w:val="SCCLsocParty"/>
              <w:jc w:val="both"/>
              <w:rPr>
                <w:b/>
                <w:sz w:val="20"/>
                <w:szCs w:val="20"/>
              </w:rPr>
            </w:pPr>
            <w:r w:rsidRPr="00956D0A">
              <w:rPr>
                <w:b/>
                <w:sz w:val="20"/>
                <w:szCs w:val="20"/>
              </w:rPr>
              <w:t>Empire, Compagnie d’Assurance-Vie c. Noha Tanious</w:t>
            </w:r>
          </w:p>
          <w:p w:rsidR="003D7C55" w:rsidRPr="00956D0A" w:rsidRDefault="003D7C55" w:rsidP="007C3BCE">
            <w:pPr>
              <w:jc w:val="both"/>
              <w:rPr>
                <w:sz w:val="20"/>
                <w:lang w:val="fr-CA"/>
              </w:rPr>
            </w:pPr>
            <w:r w:rsidRPr="00956D0A">
              <w:rPr>
                <w:sz w:val="20"/>
                <w:lang w:val="fr-CA"/>
              </w:rPr>
              <w:t>(C.</w:t>
            </w:r>
            <w:r w:rsidRPr="00956D0A">
              <w:rPr>
                <w:sz w:val="20"/>
                <w:lang w:val="fr-CA"/>
              </w:rPr>
              <w:noBreakHyphen/>
              <w:t>B.) (Civile) (Autorisation)</w:t>
            </w:r>
          </w:p>
        </w:tc>
      </w:tr>
      <w:tr w:rsidR="008F385C" w:rsidRPr="00937000" w:rsidTr="007C3BCE">
        <w:tc>
          <w:tcPr>
            <w:tcW w:w="5000" w:type="pct"/>
            <w:gridSpan w:val="2"/>
          </w:tcPr>
          <w:p w:rsidR="008F385C" w:rsidRPr="00956D0A" w:rsidRDefault="006110F5" w:rsidP="007C3BCE">
            <w:pPr>
              <w:jc w:val="both"/>
              <w:rPr>
                <w:sz w:val="20"/>
                <w:szCs w:val="20"/>
                <w:lang w:val="fr-CA"/>
              </w:rPr>
            </w:pPr>
            <w:r w:rsidRPr="00956D0A">
              <w:rPr>
                <w:sz w:val="20"/>
                <w:szCs w:val="20"/>
                <w:lang w:val="fr-CA"/>
              </w:rPr>
              <w:t>La demande d’autorisation d’appel de l’arrêt de la Cour d’appel de la Colombie-Britannique (Vancouver), numéro  2019 BCCA 329, CA44254, daté du 20 septembre 2019, est rejetée avec dépens.</w:t>
            </w:r>
          </w:p>
          <w:p w:rsidR="006110F5" w:rsidRPr="00956D0A" w:rsidRDefault="006110F5" w:rsidP="007C3BCE">
            <w:pPr>
              <w:jc w:val="both"/>
              <w:rPr>
                <w:sz w:val="20"/>
                <w:lang w:val="fr-CA"/>
              </w:rPr>
            </w:pPr>
          </w:p>
        </w:tc>
      </w:tr>
    </w:tbl>
    <w:p w:rsidR="00842F6F" w:rsidRPr="00956D0A" w:rsidRDefault="00842F6F">
      <w:pPr>
        <w:rPr>
          <w:lang w:val="fr-CA"/>
        </w:rPr>
      </w:pPr>
      <w:r w:rsidRPr="00956D0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7C55" w:rsidRPr="00937000" w:rsidTr="007C3BCE">
        <w:tc>
          <w:tcPr>
            <w:tcW w:w="5000" w:type="pct"/>
            <w:gridSpan w:val="3"/>
          </w:tcPr>
          <w:p w:rsidR="003D7C55" w:rsidRPr="00956D0A" w:rsidRDefault="003D7C55" w:rsidP="007C3BCE">
            <w:pPr>
              <w:jc w:val="both"/>
              <w:rPr>
                <w:sz w:val="20"/>
                <w:lang w:val="fr-CA"/>
              </w:rPr>
            </w:pPr>
            <w:r w:rsidRPr="00956D0A">
              <w:rPr>
                <w:sz w:val="20"/>
                <w:lang w:val="fr-CA"/>
              </w:rPr>
              <w:t>Procédure civile — Dépens — Dépens spéciaux — Était</w:t>
            </w:r>
            <w:r w:rsidRPr="00956D0A">
              <w:rPr>
                <w:sz w:val="20"/>
                <w:lang w:val="fr-CA"/>
              </w:rPr>
              <w:noBreakHyphen/>
              <w:t>il approprié que la juridiction d’appel adopte un nouveau critère relatif aux dépens spéciaux dans un litige civil opposant des parties privées? — Devrait</w:t>
            </w:r>
            <w:r w:rsidRPr="00956D0A">
              <w:rPr>
                <w:sz w:val="20"/>
                <w:lang w:val="fr-CA"/>
              </w:rPr>
              <w:noBreakHyphen/>
              <w:t>il y avoir un nouveau critère qui écarte la fonction punitive des dépens spéciaux? — Les jugements attribuant les dépens spéciaux devraient</w:t>
            </w:r>
            <w:r w:rsidRPr="00956D0A">
              <w:rPr>
                <w:sz w:val="20"/>
                <w:lang w:val="fr-CA"/>
              </w:rPr>
              <w:noBreakHyphen/>
              <w:t>ils être fondés sur la situation personnelle et financière de la partie qui a gain de cause, ou sur l’accord financier entre la demanderesse en première instance et son avocat? — Les tribunaux devraient</w:t>
            </w:r>
            <w:r w:rsidRPr="00956D0A">
              <w:rPr>
                <w:sz w:val="20"/>
                <w:lang w:val="fr-CA"/>
              </w:rPr>
              <w:noBreakHyphen/>
              <w:t>ils délibérément avoir recours à des jugements attribuant les dépens pour encourager un plus grand nombre d’avocats à accepter des mandats ayant pour objet des [</w:t>
            </w:r>
            <w:r w:rsidRPr="00956D0A">
              <w:rPr>
                <w:smallCaps/>
                <w:sz w:val="20"/>
                <w:lang w:val="fr-CA"/>
              </w:rPr>
              <w:t>traduction</w:t>
            </w:r>
            <w:r w:rsidRPr="00956D0A">
              <w:rPr>
                <w:sz w:val="20"/>
                <w:lang w:val="fr-CA"/>
              </w:rPr>
              <w:t>] « demandes valables, mais non rémunératrices par ailleurs »?</w:t>
            </w:r>
          </w:p>
        </w:tc>
      </w:tr>
      <w:tr w:rsidR="003D7C55" w:rsidRPr="00937000" w:rsidTr="007C3BCE">
        <w:tc>
          <w:tcPr>
            <w:tcW w:w="5000" w:type="pct"/>
            <w:gridSpan w:val="3"/>
          </w:tcPr>
          <w:p w:rsidR="003D7C55" w:rsidRPr="00956D0A" w:rsidRDefault="003D7C55" w:rsidP="007C3BCE">
            <w:pPr>
              <w:jc w:val="both"/>
              <w:rPr>
                <w:sz w:val="20"/>
                <w:lang w:val="fr-CA"/>
              </w:rPr>
            </w:pPr>
          </w:p>
          <w:p w:rsidR="003D7C55" w:rsidRPr="00956D0A" w:rsidRDefault="003D7C55" w:rsidP="007C3BCE">
            <w:pPr>
              <w:jc w:val="both"/>
              <w:rPr>
                <w:sz w:val="20"/>
                <w:lang w:val="fr-CA"/>
              </w:rPr>
            </w:pPr>
            <w:r w:rsidRPr="00956D0A">
              <w:rPr>
                <w:sz w:val="20"/>
                <w:lang w:val="fr-CA"/>
              </w:rPr>
              <w:t>L’intimée a intenté avec succès une action en recouvrement de prestations d’invalidité de longue durée passées et futures que la compagnie d’assurance demanderesse lui avait refusées en exécution de la police collective de son ancien employeur. Malgré l’absence d’inconduite de la part de l’assureur, le juge de première instance a exercé son pouvoir discrétionnaire pour condamner l’assureur à des dépens spéciaux parce que, dans les circonstances particulières de l’affaire, une indemnisation intégrale était nécessaire pour remettre la demanderesse en première instance dans la même situation que celle où elle se serait trouvée si elle n’avait pas eu à retenir les services d’un avocat et faire exécuter le contrat par une action en justice. La juridiction d’appel a rejeté l’appel de la décision relative aux dépens, statuant que le juge n’avait commis aucune erreur dans l’exercice de son pouvoir discrétionnaire quant aux dépens [</w:t>
            </w:r>
            <w:r w:rsidRPr="00956D0A">
              <w:rPr>
                <w:smallCaps/>
                <w:sz w:val="20"/>
                <w:lang w:val="fr-CA"/>
              </w:rPr>
              <w:t>traduction</w:t>
            </w:r>
            <w:r w:rsidRPr="00956D0A">
              <w:rPr>
                <w:sz w:val="20"/>
                <w:lang w:val="fr-CA"/>
              </w:rPr>
              <w:t>] « dans l’intérêt de la justice, eu égard aux circonstances particulières de l’affaire ».</w:t>
            </w:r>
          </w:p>
        </w:tc>
      </w:tr>
      <w:tr w:rsidR="003D7C55" w:rsidRPr="00937000" w:rsidTr="007C3BCE">
        <w:tc>
          <w:tcPr>
            <w:tcW w:w="5000" w:type="pct"/>
            <w:gridSpan w:val="3"/>
          </w:tcPr>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26 janvier 2016</w:t>
            </w:r>
          </w:p>
          <w:p w:rsidR="003D7C55" w:rsidRPr="00956D0A" w:rsidRDefault="003D7C55" w:rsidP="007C3BCE">
            <w:pPr>
              <w:jc w:val="both"/>
              <w:rPr>
                <w:sz w:val="20"/>
                <w:lang w:val="fr-CA"/>
              </w:rPr>
            </w:pPr>
            <w:r w:rsidRPr="00956D0A">
              <w:rPr>
                <w:sz w:val="20"/>
                <w:lang w:val="fr-CA"/>
              </w:rPr>
              <w:t>Cour suprême de la Colombie</w:t>
            </w:r>
            <w:r w:rsidRPr="00956D0A">
              <w:rPr>
                <w:sz w:val="20"/>
                <w:lang w:val="fr-CA"/>
              </w:rPr>
              <w:noBreakHyphen/>
              <w:t>Britannique</w:t>
            </w:r>
          </w:p>
          <w:p w:rsidR="003D7C55" w:rsidRPr="00956D0A" w:rsidRDefault="003D7C55" w:rsidP="007C3BCE">
            <w:pPr>
              <w:jc w:val="both"/>
              <w:rPr>
                <w:sz w:val="20"/>
                <w:lang w:val="fr-CA"/>
              </w:rPr>
            </w:pPr>
            <w:r w:rsidRPr="00956D0A">
              <w:rPr>
                <w:sz w:val="20"/>
                <w:lang w:val="fr-CA"/>
              </w:rPr>
              <w:t>(Juge Brown)</w:t>
            </w:r>
          </w:p>
          <w:p w:rsidR="003D7C55" w:rsidRPr="00956D0A" w:rsidRDefault="00937000" w:rsidP="007C3BCE">
            <w:pPr>
              <w:jc w:val="both"/>
              <w:rPr>
                <w:sz w:val="20"/>
                <w:lang w:val="fr-CA"/>
              </w:rPr>
            </w:pPr>
            <w:hyperlink r:id="rId86" w:history="1">
              <w:r w:rsidR="003D7C55" w:rsidRPr="00956D0A">
                <w:rPr>
                  <w:rStyle w:val="Hyperlink"/>
                  <w:sz w:val="20"/>
                  <w:lang w:val="fr-CA"/>
                </w:rPr>
                <w:t>2016 BCSC 110</w:t>
              </w:r>
            </w:hyperlink>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accueillant l’action de l’intimée en paiement de l’indemnité d’invalidité de longue durée en exécution de la police de la demanderesse et attribuant la somme de 15 000 $ à titre de dommages</w:t>
            </w:r>
            <w:r w:rsidRPr="00956D0A">
              <w:rPr>
                <w:sz w:val="20"/>
                <w:lang w:val="fr-CA"/>
              </w:rPr>
              <w:noBreakHyphen/>
              <w:t>intérêts majorés pour souffrance morale</w:t>
            </w: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19 janvier 2017</w:t>
            </w:r>
          </w:p>
          <w:p w:rsidR="003D7C55" w:rsidRPr="00956D0A" w:rsidRDefault="003D7C55" w:rsidP="007C3BCE">
            <w:pPr>
              <w:jc w:val="both"/>
              <w:rPr>
                <w:sz w:val="20"/>
                <w:lang w:val="fr-CA"/>
              </w:rPr>
            </w:pPr>
            <w:r w:rsidRPr="00956D0A">
              <w:rPr>
                <w:sz w:val="20"/>
                <w:lang w:val="fr-CA"/>
              </w:rPr>
              <w:t>Cour suprême de la Colombie</w:t>
            </w:r>
            <w:r w:rsidRPr="00956D0A">
              <w:rPr>
                <w:sz w:val="20"/>
                <w:lang w:val="fr-CA"/>
              </w:rPr>
              <w:noBreakHyphen/>
              <w:t>Britannique</w:t>
            </w:r>
          </w:p>
          <w:p w:rsidR="003D7C55" w:rsidRPr="00956D0A" w:rsidRDefault="003D7C55" w:rsidP="007C3BCE">
            <w:pPr>
              <w:jc w:val="both"/>
              <w:rPr>
                <w:sz w:val="20"/>
                <w:lang w:val="fr-CA"/>
              </w:rPr>
            </w:pPr>
            <w:r w:rsidRPr="00956D0A">
              <w:rPr>
                <w:sz w:val="20"/>
                <w:lang w:val="fr-CA"/>
              </w:rPr>
              <w:t>(Juge Brown)</w:t>
            </w:r>
          </w:p>
          <w:p w:rsidR="003D7C55" w:rsidRPr="00956D0A" w:rsidRDefault="00937000" w:rsidP="007C3BCE">
            <w:pPr>
              <w:jc w:val="both"/>
              <w:rPr>
                <w:sz w:val="20"/>
                <w:lang w:val="fr-CA"/>
              </w:rPr>
            </w:pPr>
            <w:hyperlink r:id="rId87" w:history="1">
              <w:r w:rsidR="003D7C55" w:rsidRPr="00956D0A">
                <w:rPr>
                  <w:rStyle w:val="Hyperlink"/>
                  <w:sz w:val="20"/>
                  <w:lang w:val="fr-CA"/>
                </w:rPr>
                <w:t>2017 BCSC 85</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Jugement statuant que les dépens de l’action payables par la demanderesse à l’intimée devaient être liquidés en tant que dépens spéciaux</w:t>
            </w:r>
          </w:p>
          <w:p w:rsidR="003D7C55" w:rsidRPr="00956D0A" w:rsidRDefault="003D7C55" w:rsidP="007C3BCE">
            <w:pPr>
              <w:jc w:val="both"/>
              <w:rPr>
                <w:sz w:val="20"/>
                <w:lang w:val="fr-CA"/>
              </w:rPr>
            </w:pPr>
          </w:p>
          <w:p w:rsidR="003D7C55" w:rsidRPr="00956D0A" w:rsidRDefault="003D7C55" w:rsidP="007C3BCE">
            <w:pPr>
              <w:jc w:val="both"/>
              <w:rPr>
                <w:sz w:val="20"/>
                <w:lang w:val="fr-CA"/>
              </w:rPr>
            </w:pP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20 septembre 2019</w:t>
            </w:r>
          </w:p>
          <w:p w:rsidR="003D7C55" w:rsidRPr="00956D0A" w:rsidRDefault="003D7C55" w:rsidP="007C3BCE">
            <w:pPr>
              <w:jc w:val="both"/>
              <w:rPr>
                <w:sz w:val="20"/>
                <w:lang w:val="fr-CA"/>
              </w:rPr>
            </w:pPr>
            <w:r w:rsidRPr="00956D0A">
              <w:rPr>
                <w:sz w:val="20"/>
                <w:lang w:val="fr-CA"/>
              </w:rPr>
              <w:t>Cour d’appel de la Colombie</w:t>
            </w:r>
            <w:r w:rsidRPr="00956D0A">
              <w:rPr>
                <w:sz w:val="20"/>
                <w:lang w:val="fr-CA"/>
              </w:rPr>
              <w:noBreakHyphen/>
              <w:t>Britannique</w:t>
            </w:r>
          </w:p>
          <w:p w:rsidR="003D7C55" w:rsidRPr="00956D0A" w:rsidRDefault="003D7C55" w:rsidP="007C3BCE">
            <w:pPr>
              <w:jc w:val="both"/>
              <w:rPr>
                <w:sz w:val="20"/>
                <w:lang w:val="fr-CA"/>
              </w:rPr>
            </w:pPr>
            <w:r w:rsidRPr="00956D0A">
              <w:rPr>
                <w:sz w:val="20"/>
                <w:lang w:val="fr-CA"/>
              </w:rPr>
              <w:t>(Vancouver)</w:t>
            </w:r>
          </w:p>
          <w:p w:rsidR="003D7C55" w:rsidRPr="00956D0A" w:rsidRDefault="003D7C55" w:rsidP="007C3BCE">
            <w:pPr>
              <w:jc w:val="both"/>
              <w:rPr>
                <w:sz w:val="20"/>
                <w:lang w:val="fr-CA"/>
              </w:rPr>
            </w:pPr>
            <w:r w:rsidRPr="00956D0A">
              <w:rPr>
                <w:sz w:val="20"/>
                <w:lang w:val="fr-CA"/>
              </w:rPr>
              <w:t>(Juge en chef Bauman, juges Dickson et Hunter)</w:t>
            </w:r>
          </w:p>
          <w:p w:rsidR="003D7C55" w:rsidRPr="00956D0A" w:rsidRDefault="00937000" w:rsidP="007C3BCE">
            <w:pPr>
              <w:jc w:val="both"/>
              <w:rPr>
                <w:sz w:val="20"/>
                <w:lang w:val="fr-CA"/>
              </w:rPr>
            </w:pPr>
            <w:hyperlink r:id="rId88" w:history="1">
              <w:r w:rsidR="003D7C55" w:rsidRPr="00956D0A">
                <w:rPr>
                  <w:rStyle w:val="Hyperlink"/>
                  <w:sz w:val="20"/>
                  <w:lang w:val="fr-CA"/>
                </w:rPr>
                <w:t>2019 BCCA 329</w:t>
              </w:r>
            </w:hyperlink>
          </w:p>
          <w:p w:rsidR="003D7C55" w:rsidRPr="00956D0A" w:rsidRDefault="003D7C55" w:rsidP="007C3BCE">
            <w:pPr>
              <w:jc w:val="both"/>
              <w:rPr>
                <w:sz w:val="20"/>
                <w:lang w:val="fr-CA"/>
              </w:rPr>
            </w:pP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Rejet de l’appel du jugement attribuant des dépens spéciaux</w:t>
            </w:r>
          </w:p>
        </w:tc>
      </w:tr>
      <w:tr w:rsidR="003D7C55" w:rsidRPr="00937000" w:rsidTr="007C3BCE">
        <w:tc>
          <w:tcPr>
            <w:tcW w:w="2427" w:type="pct"/>
          </w:tcPr>
          <w:p w:rsidR="003D7C55" w:rsidRPr="00956D0A" w:rsidRDefault="003D7C55" w:rsidP="007C3BCE">
            <w:pPr>
              <w:jc w:val="both"/>
              <w:rPr>
                <w:sz w:val="20"/>
                <w:lang w:val="fr-CA"/>
              </w:rPr>
            </w:pPr>
            <w:r w:rsidRPr="00956D0A">
              <w:rPr>
                <w:sz w:val="20"/>
                <w:lang w:val="fr-CA"/>
              </w:rPr>
              <w:t>19 novembre 2019</w:t>
            </w:r>
          </w:p>
          <w:p w:rsidR="003D7C55" w:rsidRPr="00956D0A" w:rsidRDefault="003D7C55" w:rsidP="007C3BCE">
            <w:pPr>
              <w:jc w:val="both"/>
              <w:rPr>
                <w:sz w:val="20"/>
                <w:lang w:val="fr-CA"/>
              </w:rPr>
            </w:pPr>
            <w:r w:rsidRPr="00956D0A">
              <w:rPr>
                <w:sz w:val="20"/>
                <w:lang w:val="fr-CA"/>
              </w:rPr>
              <w:t>Cour suprême du Canada</w:t>
            </w:r>
          </w:p>
        </w:tc>
        <w:tc>
          <w:tcPr>
            <w:tcW w:w="243" w:type="pct"/>
          </w:tcPr>
          <w:p w:rsidR="003D7C55" w:rsidRPr="00956D0A" w:rsidRDefault="003D7C55" w:rsidP="007C3BCE">
            <w:pPr>
              <w:jc w:val="both"/>
              <w:rPr>
                <w:sz w:val="20"/>
                <w:lang w:val="fr-CA"/>
              </w:rPr>
            </w:pPr>
          </w:p>
        </w:tc>
        <w:tc>
          <w:tcPr>
            <w:tcW w:w="2330" w:type="pct"/>
          </w:tcPr>
          <w:p w:rsidR="003D7C55" w:rsidRPr="00956D0A" w:rsidRDefault="003D7C55" w:rsidP="007C3BCE">
            <w:pPr>
              <w:jc w:val="both"/>
              <w:rPr>
                <w:sz w:val="20"/>
                <w:lang w:val="fr-CA"/>
              </w:rPr>
            </w:pPr>
            <w:r w:rsidRPr="00956D0A">
              <w:rPr>
                <w:sz w:val="20"/>
                <w:lang w:val="fr-CA"/>
              </w:rPr>
              <w:t>Dépôt de la demande d’autorisation d’appel</w:t>
            </w:r>
          </w:p>
          <w:p w:rsidR="003D7C55" w:rsidRPr="00956D0A" w:rsidRDefault="003D7C55" w:rsidP="007C3BCE">
            <w:pPr>
              <w:jc w:val="both"/>
              <w:rPr>
                <w:sz w:val="20"/>
                <w:lang w:val="fr-CA"/>
              </w:rPr>
            </w:pPr>
          </w:p>
        </w:tc>
      </w:tr>
    </w:tbl>
    <w:p w:rsidR="003D7C55" w:rsidRPr="00956D0A" w:rsidRDefault="003D7C55" w:rsidP="003D7C55">
      <w:pPr>
        <w:ind w:left="142" w:hanging="142"/>
        <w:jc w:val="both"/>
        <w:rPr>
          <w:sz w:val="20"/>
          <w:lang w:val="fr-CA"/>
        </w:rPr>
      </w:pPr>
    </w:p>
    <w:p w:rsidR="00634F42" w:rsidRPr="00956D0A" w:rsidRDefault="00937000" w:rsidP="00102792">
      <w:pPr>
        <w:jc w:val="both"/>
        <w:rPr>
          <w:sz w:val="20"/>
          <w:lang w:val="fr-CA"/>
        </w:rPr>
      </w:pPr>
      <w:r>
        <w:rPr>
          <w:sz w:val="20"/>
          <w:szCs w:val="20"/>
        </w:rPr>
        <w:pict>
          <v:rect id="_x0000_i1074" style="width:2in;height:1pt" o:hrpct="0" o:hralign="center" o:hrstd="t" o:hrnoshade="t" o:hr="t" fillcolor="black" stroked="f"/>
        </w:pict>
      </w:r>
    </w:p>
    <w:p w:rsidR="00102792" w:rsidRPr="00956D0A" w:rsidRDefault="00102792" w:rsidP="004B2E86">
      <w:pPr>
        <w:jc w:val="both"/>
        <w:rPr>
          <w:sz w:val="20"/>
          <w:szCs w:val="20"/>
          <w:lang w:val="fr-CA"/>
        </w:rPr>
      </w:pPr>
    </w:p>
    <w:p w:rsidR="00E06F20" w:rsidRPr="00956D0A" w:rsidRDefault="00E06F20" w:rsidP="00102792">
      <w:pPr>
        <w:jc w:val="both"/>
        <w:rPr>
          <w:sz w:val="20"/>
          <w:lang w:val="fr-CA"/>
        </w:rPr>
      </w:pPr>
    </w:p>
    <w:p w:rsidR="00890FEB" w:rsidRPr="00956D0A" w:rsidRDefault="00890FEB" w:rsidP="008D292F">
      <w:pPr>
        <w:rPr>
          <w:sz w:val="20"/>
          <w:szCs w:val="20"/>
          <w:lang w:val="fr-CA"/>
        </w:rPr>
      </w:pPr>
    </w:p>
    <w:p w:rsidR="00890FEB" w:rsidRPr="00956D0A" w:rsidRDefault="00890FEB" w:rsidP="008D292F">
      <w:pPr>
        <w:rPr>
          <w:b/>
          <w:sz w:val="20"/>
          <w:szCs w:val="20"/>
          <w:lang w:val="fr-CA"/>
        </w:rPr>
        <w:sectPr w:rsidR="00890FEB" w:rsidRPr="00956D0A" w:rsidSect="008D292F">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693C38" w:rsidRPr="00956D0A" w:rsidRDefault="00DD0BDC" w:rsidP="00567602">
      <w:pPr>
        <w:pStyle w:val="Header1StyleE"/>
        <w:pBdr>
          <w:bottom w:val="single" w:sz="12" w:space="1" w:color="auto"/>
        </w:pBdr>
        <w:rPr>
          <w:lang w:val="fr-CA"/>
        </w:rPr>
      </w:pPr>
      <w:bookmarkStart w:id="6" w:name="_Toc32998868"/>
      <w:r w:rsidRPr="00956D0A">
        <w:rPr>
          <w:lang w:val="fr-CA"/>
        </w:rPr>
        <w:t>Motions</w:t>
      </w:r>
      <w:r w:rsidR="00271E1E" w:rsidRPr="00956D0A">
        <w:rPr>
          <w:lang w:val="fr-CA"/>
        </w:rPr>
        <w:t xml:space="preserve"> / </w:t>
      </w:r>
      <w:r w:rsidR="00693C38" w:rsidRPr="00956D0A">
        <w:rPr>
          <w:lang w:val="fr-CA"/>
        </w:rPr>
        <w:br/>
      </w:r>
      <w:r w:rsidRPr="00956D0A">
        <w:rPr>
          <w:lang w:val="fr-CA"/>
        </w:rPr>
        <w:t>Requêtes</w:t>
      </w:r>
      <w:bookmarkEnd w:id="6"/>
    </w:p>
    <w:p w:rsidR="00890FEB" w:rsidRPr="00956D0A" w:rsidRDefault="00890FEB" w:rsidP="00890FEB">
      <w:pPr>
        <w:rPr>
          <w:sz w:val="20"/>
          <w:szCs w:val="20"/>
          <w:lang w:val="fr-CA"/>
        </w:rPr>
      </w:pPr>
    </w:p>
    <w:p w:rsidR="008859F1" w:rsidRPr="00956D0A" w:rsidRDefault="00657C6C" w:rsidP="008859F1">
      <w:pPr>
        <w:rPr>
          <w:b/>
          <w:sz w:val="20"/>
          <w:szCs w:val="20"/>
          <w:lang w:val="fr-CA"/>
        </w:rPr>
      </w:pPr>
      <w:r w:rsidRPr="00956D0A">
        <w:rPr>
          <w:b/>
          <w:sz w:val="20"/>
          <w:szCs w:val="20"/>
          <w:lang w:val="fr-CA"/>
        </w:rPr>
        <w:t>FEBRUARY</w:t>
      </w:r>
      <w:r w:rsidR="008859F1" w:rsidRPr="00956D0A">
        <w:rPr>
          <w:b/>
          <w:sz w:val="20"/>
          <w:szCs w:val="20"/>
          <w:lang w:val="fr-CA"/>
        </w:rPr>
        <w:t xml:space="preserve"> </w:t>
      </w:r>
      <w:r w:rsidRPr="00956D0A">
        <w:rPr>
          <w:b/>
          <w:sz w:val="20"/>
          <w:szCs w:val="20"/>
          <w:lang w:val="fr-CA"/>
        </w:rPr>
        <w:t>19</w:t>
      </w:r>
      <w:r w:rsidR="008859F1" w:rsidRPr="00956D0A">
        <w:rPr>
          <w:b/>
          <w:sz w:val="20"/>
          <w:szCs w:val="20"/>
          <w:lang w:val="fr-CA"/>
        </w:rPr>
        <w:t>, 20</w:t>
      </w:r>
      <w:r w:rsidR="005967EF" w:rsidRPr="00956D0A">
        <w:rPr>
          <w:b/>
          <w:sz w:val="20"/>
          <w:szCs w:val="20"/>
          <w:lang w:val="fr-CA"/>
        </w:rPr>
        <w:t>20</w:t>
      </w:r>
      <w:r w:rsidR="008859F1" w:rsidRPr="00956D0A">
        <w:rPr>
          <w:b/>
          <w:sz w:val="20"/>
          <w:szCs w:val="20"/>
          <w:lang w:val="fr-CA"/>
        </w:rPr>
        <w:t xml:space="preserve"> / LE </w:t>
      </w:r>
      <w:r w:rsidRPr="00956D0A">
        <w:rPr>
          <w:b/>
          <w:sz w:val="20"/>
          <w:szCs w:val="20"/>
          <w:lang w:val="fr-CA"/>
        </w:rPr>
        <w:t>29</w:t>
      </w:r>
      <w:r w:rsidR="008859F1" w:rsidRPr="00956D0A">
        <w:rPr>
          <w:b/>
          <w:sz w:val="20"/>
          <w:szCs w:val="20"/>
          <w:lang w:val="fr-CA"/>
        </w:rPr>
        <w:t xml:space="preserve"> </w:t>
      </w:r>
      <w:r w:rsidRPr="00956D0A">
        <w:rPr>
          <w:b/>
          <w:sz w:val="20"/>
          <w:szCs w:val="20"/>
          <w:lang w:val="fr-CA"/>
        </w:rPr>
        <w:t>FÉVRIER</w:t>
      </w:r>
      <w:r w:rsidR="008859F1" w:rsidRPr="00956D0A">
        <w:rPr>
          <w:b/>
          <w:sz w:val="20"/>
          <w:szCs w:val="20"/>
          <w:lang w:val="fr-CA"/>
        </w:rPr>
        <w:t xml:space="preserve"> 20</w:t>
      </w:r>
      <w:r w:rsidR="005967EF" w:rsidRPr="00956D0A">
        <w:rPr>
          <w:b/>
          <w:sz w:val="20"/>
          <w:szCs w:val="20"/>
          <w:lang w:val="fr-CA"/>
        </w:rPr>
        <w:t>20</w:t>
      </w:r>
    </w:p>
    <w:p w:rsidR="00102792" w:rsidRPr="00956D0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956D0A" w:rsidTr="00CF352B">
        <w:tc>
          <w:tcPr>
            <w:tcW w:w="4410" w:type="dxa"/>
            <w:tcBorders>
              <w:top w:val="nil"/>
              <w:left w:val="nil"/>
              <w:bottom w:val="nil"/>
              <w:right w:val="nil"/>
            </w:tcBorders>
          </w:tcPr>
          <w:p w:rsidR="00D93A6C" w:rsidRPr="00956D0A" w:rsidRDefault="00657C6C" w:rsidP="00CF352B">
            <w:pPr>
              <w:jc w:val="both"/>
              <w:rPr>
                <w:rFonts w:cs="Times New Roman"/>
                <w:b/>
                <w:bCs/>
                <w:sz w:val="20"/>
                <w:szCs w:val="20"/>
                <w:lang w:val="en-US"/>
              </w:rPr>
            </w:pPr>
            <w:r w:rsidRPr="00956D0A">
              <w:rPr>
                <w:rFonts w:eastAsia="Times New Roman" w:cs="Times New Roman"/>
                <w:b/>
                <w:sz w:val="20"/>
                <w:szCs w:val="20"/>
                <w:lang w:val="en-US" w:eastAsia="en-CA"/>
              </w:rPr>
              <w:t>Notice of miscellaneous motion</w:t>
            </w:r>
          </w:p>
        </w:tc>
        <w:tc>
          <w:tcPr>
            <w:tcW w:w="810" w:type="dxa"/>
            <w:tcBorders>
              <w:top w:val="nil"/>
              <w:left w:val="nil"/>
              <w:bottom w:val="nil"/>
              <w:right w:val="nil"/>
            </w:tcBorders>
          </w:tcPr>
          <w:p w:rsidR="00D93A6C" w:rsidRPr="00956D0A" w:rsidRDefault="00D93A6C" w:rsidP="00CF352B">
            <w:pPr>
              <w:jc w:val="both"/>
              <w:rPr>
                <w:rFonts w:cs="Times New Roman"/>
                <w:b/>
                <w:bCs/>
                <w:sz w:val="20"/>
                <w:szCs w:val="20"/>
                <w:lang w:val="en-US"/>
              </w:rPr>
            </w:pPr>
          </w:p>
        </w:tc>
        <w:tc>
          <w:tcPr>
            <w:tcW w:w="4399" w:type="dxa"/>
            <w:tcBorders>
              <w:top w:val="nil"/>
              <w:left w:val="nil"/>
              <w:bottom w:val="nil"/>
              <w:right w:val="nil"/>
            </w:tcBorders>
          </w:tcPr>
          <w:p w:rsidR="00D93A6C" w:rsidRPr="00956D0A" w:rsidRDefault="00657C6C" w:rsidP="00CF352B">
            <w:pPr>
              <w:jc w:val="both"/>
              <w:rPr>
                <w:rFonts w:cs="Times New Roman"/>
                <w:b/>
                <w:bCs/>
                <w:sz w:val="20"/>
                <w:szCs w:val="20"/>
                <w:lang w:val="fr-CA"/>
              </w:rPr>
            </w:pPr>
            <w:r w:rsidRPr="00956D0A">
              <w:rPr>
                <w:rFonts w:eastAsia="Times New Roman" w:cs="Times New Roman"/>
                <w:b/>
                <w:sz w:val="20"/>
                <w:szCs w:val="20"/>
                <w:lang w:val="fr-CA" w:eastAsia="en-CA"/>
              </w:rPr>
              <w:t>Avis de requête diverse</w:t>
            </w:r>
          </w:p>
        </w:tc>
      </w:tr>
    </w:tbl>
    <w:p w:rsidR="00D93A6C" w:rsidRPr="00956D0A" w:rsidRDefault="00D93A6C" w:rsidP="00102792">
      <w:pPr>
        <w:tabs>
          <w:tab w:val="left" w:pos="-1440"/>
          <w:tab w:val="left" w:pos="-720"/>
        </w:tabs>
        <w:jc w:val="both"/>
        <w:rPr>
          <w:rFonts w:eastAsia="Times New Roman" w:cs="Times New Roman"/>
          <w:sz w:val="20"/>
          <w:szCs w:val="20"/>
          <w:lang w:val="fr-CA" w:eastAsia="en-CA"/>
        </w:rPr>
      </w:pPr>
    </w:p>
    <w:p w:rsidR="00D93A6C" w:rsidRPr="00956D0A" w:rsidRDefault="00D93A6C" w:rsidP="00102792">
      <w:pPr>
        <w:tabs>
          <w:tab w:val="left" w:pos="-1440"/>
          <w:tab w:val="left" w:pos="-720"/>
        </w:tabs>
        <w:jc w:val="both"/>
        <w:rPr>
          <w:rFonts w:eastAsia="Times New Roman" w:cs="Times New Roman"/>
          <w:sz w:val="20"/>
          <w:szCs w:val="20"/>
          <w:lang w:val="fr-CA" w:eastAsia="en-CA"/>
        </w:rPr>
      </w:pPr>
    </w:p>
    <w:p w:rsidR="00657C6C" w:rsidRPr="00956D0A" w:rsidRDefault="00657C6C" w:rsidP="00657C6C">
      <w:pPr>
        <w:rPr>
          <w:b/>
          <w:sz w:val="20"/>
          <w:szCs w:val="20"/>
        </w:rPr>
      </w:pPr>
      <w:r w:rsidRPr="00956D0A">
        <w:rPr>
          <w:b/>
          <w:sz w:val="20"/>
          <w:szCs w:val="20"/>
        </w:rPr>
        <w:t>ATTORNEY GENERAL FOR SASKATCHEWAN v. ATTORNEY GENERAL OF CANADA</w:t>
      </w:r>
    </w:p>
    <w:p w:rsidR="00657C6C" w:rsidRPr="00956D0A" w:rsidRDefault="00657C6C" w:rsidP="00657C6C">
      <w:pPr>
        <w:jc w:val="both"/>
        <w:rPr>
          <w:sz w:val="20"/>
          <w:szCs w:val="20"/>
        </w:rPr>
      </w:pPr>
      <w:r w:rsidRPr="00956D0A">
        <w:rPr>
          <w:sz w:val="20"/>
          <w:szCs w:val="20"/>
        </w:rPr>
        <w:t>(Sask.) (38663)</w:t>
      </w:r>
    </w:p>
    <w:p w:rsidR="00657C6C" w:rsidRPr="00956D0A" w:rsidRDefault="00657C6C" w:rsidP="00657C6C">
      <w:pPr>
        <w:ind w:right="720"/>
        <w:jc w:val="both"/>
        <w:rPr>
          <w:sz w:val="20"/>
          <w:szCs w:val="20"/>
        </w:rPr>
      </w:pPr>
    </w:p>
    <w:p w:rsidR="00657C6C" w:rsidRPr="00956D0A" w:rsidRDefault="00657C6C" w:rsidP="00657C6C">
      <w:pPr>
        <w:ind w:right="720"/>
        <w:jc w:val="both"/>
        <w:rPr>
          <w:sz w:val="20"/>
          <w:szCs w:val="20"/>
        </w:rPr>
      </w:pPr>
      <w:r w:rsidRPr="00956D0A">
        <w:rPr>
          <w:sz w:val="20"/>
          <w:szCs w:val="20"/>
        </w:rPr>
        <w:t>and</w:t>
      </w:r>
    </w:p>
    <w:p w:rsidR="00657C6C" w:rsidRPr="00956D0A" w:rsidRDefault="00657C6C" w:rsidP="00657C6C">
      <w:pPr>
        <w:ind w:right="720"/>
        <w:jc w:val="both"/>
        <w:rPr>
          <w:sz w:val="20"/>
          <w:szCs w:val="20"/>
        </w:rPr>
      </w:pPr>
    </w:p>
    <w:p w:rsidR="00657C6C" w:rsidRPr="00956D0A" w:rsidRDefault="00657C6C" w:rsidP="00657C6C">
      <w:pPr>
        <w:rPr>
          <w:b/>
          <w:sz w:val="20"/>
          <w:szCs w:val="20"/>
        </w:rPr>
      </w:pPr>
      <w:r w:rsidRPr="00956D0A">
        <w:rPr>
          <w:b/>
          <w:sz w:val="20"/>
          <w:szCs w:val="20"/>
        </w:rPr>
        <w:t>ATTORNEY GENERAL OF ONTARIO v.  ATTORNEY GENERAL OF CANADA</w:t>
      </w:r>
    </w:p>
    <w:p w:rsidR="00657C6C" w:rsidRPr="00956D0A" w:rsidRDefault="00657C6C" w:rsidP="00657C6C">
      <w:pPr>
        <w:jc w:val="both"/>
        <w:rPr>
          <w:sz w:val="20"/>
          <w:szCs w:val="20"/>
        </w:rPr>
      </w:pPr>
      <w:r w:rsidRPr="00956D0A">
        <w:rPr>
          <w:sz w:val="20"/>
          <w:szCs w:val="20"/>
        </w:rPr>
        <w:t>(Ont.) (38781)</w:t>
      </w:r>
    </w:p>
    <w:p w:rsidR="00657C6C" w:rsidRPr="00956D0A" w:rsidRDefault="00657C6C" w:rsidP="00657C6C">
      <w:pPr>
        <w:jc w:val="both"/>
        <w:rPr>
          <w:bCs/>
          <w:sz w:val="20"/>
          <w:szCs w:val="20"/>
        </w:rPr>
      </w:pPr>
    </w:p>
    <w:p w:rsidR="00657C6C" w:rsidRPr="00956D0A" w:rsidRDefault="00657C6C" w:rsidP="00657C6C">
      <w:pPr>
        <w:jc w:val="both"/>
        <w:rPr>
          <w:sz w:val="20"/>
          <w:szCs w:val="20"/>
        </w:rPr>
      </w:pPr>
      <w:r w:rsidRPr="00956D0A">
        <w:rPr>
          <w:b/>
          <w:bCs/>
          <w:caps/>
          <w:sz w:val="20"/>
          <w:szCs w:val="20"/>
          <w:u w:val="single"/>
        </w:rPr>
        <w:t>THE CHIEF JUSTICE</w:t>
      </w:r>
      <w:r w:rsidRPr="00956D0A">
        <w:rPr>
          <w:b/>
          <w:bCs/>
          <w:sz w:val="20"/>
          <w:szCs w:val="20"/>
        </w:rPr>
        <w:t>:</w:t>
      </w:r>
    </w:p>
    <w:p w:rsidR="00657C6C" w:rsidRPr="00956D0A" w:rsidRDefault="00657C6C" w:rsidP="00657C6C">
      <w:pPr>
        <w:jc w:val="both"/>
        <w:rPr>
          <w:sz w:val="20"/>
          <w:szCs w:val="20"/>
        </w:rPr>
      </w:pPr>
    </w:p>
    <w:p w:rsidR="00657C6C" w:rsidRPr="00956D0A" w:rsidRDefault="00657C6C" w:rsidP="002165A6">
      <w:pPr>
        <w:rPr>
          <w:bCs/>
          <w:sz w:val="20"/>
          <w:szCs w:val="20"/>
        </w:rPr>
      </w:pPr>
      <w:r w:rsidRPr="00956D0A">
        <w:rPr>
          <w:b/>
          <w:bCs/>
          <w:sz w:val="20"/>
          <w:szCs w:val="20"/>
        </w:rPr>
        <w:t xml:space="preserve">UPON REQUEST </w:t>
      </w:r>
      <w:r w:rsidRPr="00956D0A">
        <w:rPr>
          <w:bCs/>
          <w:sz w:val="20"/>
          <w:szCs w:val="20"/>
        </w:rPr>
        <w:t xml:space="preserve">by </w:t>
      </w:r>
      <w:r w:rsidRPr="00956D0A">
        <w:rPr>
          <w:sz w:val="20"/>
          <w:szCs w:val="20"/>
        </w:rPr>
        <w:t>the intervener, Attorney General of Alberta, for an order granting the electronic filing of a supplementary record</w:t>
      </w:r>
      <w:r w:rsidRPr="00956D0A">
        <w:rPr>
          <w:bCs/>
          <w:sz w:val="20"/>
          <w:szCs w:val="20"/>
        </w:rPr>
        <w:t>;</w:t>
      </w:r>
    </w:p>
    <w:p w:rsidR="00657C6C" w:rsidRPr="00956D0A" w:rsidRDefault="00657C6C" w:rsidP="00657C6C">
      <w:pPr>
        <w:jc w:val="both"/>
        <w:rPr>
          <w:bCs/>
          <w:sz w:val="20"/>
          <w:szCs w:val="20"/>
        </w:rPr>
      </w:pPr>
    </w:p>
    <w:p w:rsidR="00657C6C" w:rsidRPr="00956D0A" w:rsidRDefault="00657C6C" w:rsidP="00657C6C">
      <w:pPr>
        <w:jc w:val="both"/>
        <w:rPr>
          <w:sz w:val="20"/>
          <w:szCs w:val="20"/>
        </w:rPr>
      </w:pPr>
      <w:r w:rsidRPr="00956D0A">
        <w:rPr>
          <w:b/>
          <w:bCs/>
          <w:sz w:val="20"/>
          <w:szCs w:val="20"/>
        </w:rPr>
        <w:t xml:space="preserve">AND THE MATERIAL FILED </w:t>
      </w:r>
      <w:r w:rsidRPr="00956D0A">
        <w:rPr>
          <w:sz w:val="20"/>
          <w:szCs w:val="20"/>
        </w:rPr>
        <w:t>having been read;</w:t>
      </w:r>
    </w:p>
    <w:p w:rsidR="00657C6C" w:rsidRPr="00956D0A" w:rsidRDefault="00657C6C" w:rsidP="00657C6C">
      <w:pPr>
        <w:jc w:val="both"/>
        <w:rPr>
          <w:sz w:val="20"/>
          <w:szCs w:val="20"/>
        </w:rPr>
      </w:pPr>
    </w:p>
    <w:p w:rsidR="00657C6C" w:rsidRPr="00956D0A" w:rsidRDefault="00657C6C" w:rsidP="00657C6C">
      <w:pPr>
        <w:jc w:val="both"/>
        <w:rPr>
          <w:b/>
          <w:bCs/>
          <w:sz w:val="20"/>
          <w:szCs w:val="20"/>
        </w:rPr>
      </w:pPr>
      <w:r w:rsidRPr="00956D0A">
        <w:rPr>
          <w:b/>
          <w:bCs/>
          <w:sz w:val="20"/>
          <w:szCs w:val="20"/>
        </w:rPr>
        <w:t>IT IS HEREBY ORDERED THAT:</w:t>
      </w:r>
    </w:p>
    <w:p w:rsidR="00657C6C" w:rsidRPr="00956D0A" w:rsidRDefault="00657C6C" w:rsidP="00657C6C">
      <w:pPr>
        <w:jc w:val="both"/>
        <w:rPr>
          <w:sz w:val="20"/>
          <w:szCs w:val="20"/>
        </w:rPr>
      </w:pPr>
    </w:p>
    <w:p w:rsidR="00102792" w:rsidRPr="00956D0A" w:rsidRDefault="00657C6C" w:rsidP="00657C6C">
      <w:pPr>
        <w:spacing w:line="228" w:lineRule="auto"/>
        <w:rPr>
          <w:sz w:val="20"/>
          <w:szCs w:val="20"/>
          <w:lang w:val="fr-CA"/>
        </w:rPr>
      </w:pPr>
      <w:r w:rsidRPr="00956D0A">
        <w:rPr>
          <w:sz w:val="20"/>
          <w:szCs w:val="20"/>
          <w:lang w:val="fr-CA"/>
        </w:rPr>
        <w:t>The motion is granted.</w:t>
      </w:r>
    </w:p>
    <w:p w:rsidR="00657C6C" w:rsidRPr="00956D0A" w:rsidRDefault="00657C6C" w:rsidP="00657C6C">
      <w:pPr>
        <w:spacing w:line="228" w:lineRule="auto"/>
        <w:rPr>
          <w:sz w:val="20"/>
          <w:lang w:val="fr-CA"/>
        </w:rPr>
      </w:pPr>
    </w:p>
    <w:p w:rsidR="005967EF" w:rsidRPr="00956D0A" w:rsidRDefault="005967EF" w:rsidP="00102792">
      <w:pPr>
        <w:spacing w:line="228" w:lineRule="auto"/>
        <w:rPr>
          <w:sz w:val="20"/>
          <w:lang w:val="fr-CA"/>
        </w:rPr>
      </w:pPr>
    </w:p>
    <w:p w:rsidR="00657C6C" w:rsidRPr="00956D0A" w:rsidRDefault="00657C6C" w:rsidP="002165A6">
      <w:pPr>
        <w:rPr>
          <w:sz w:val="20"/>
          <w:szCs w:val="20"/>
          <w:lang w:val="fr-CA"/>
        </w:rPr>
      </w:pPr>
      <w:r w:rsidRPr="00956D0A">
        <w:rPr>
          <w:b/>
          <w:bCs/>
          <w:sz w:val="20"/>
          <w:szCs w:val="20"/>
          <w:lang w:val="fr-CA"/>
        </w:rPr>
        <w:t xml:space="preserve">À LA SUITE DE LA DEMANDE </w:t>
      </w:r>
      <w:r w:rsidRPr="00956D0A">
        <w:rPr>
          <w:sz w:val="20"/>
          <w:szCs w:val="20"/>
          <w:lang w:val="fr-CA"/>
        </w:rPr>
        <w:t>présentée par l’intervenant, procureur général de l’Alberta, afin d’obtenir l’autorisation de déposer électroniquement un dossier supplémentaire;</w:t>
      </w:r>
    </w:p>
    <w:p w:rsidR="00657C6C" w:rsidRPr="00956D0A" w:rsidRDefault="00657C6C" w:rsidP="00657C6C">
      <w:pPr>
        <w:jc w:val="both"/>
        <w:rPr>
          <w:sz w:val="20"/>
          <w:szCs w:val="20"/>
          <w:lang w:val="fr-CA"/>
        </w:rPr>
      </w:pPr>
    </w:p>
    <w:p w:rsidR="00657C6C" w:rsidRPr="00956D0A" w:rsidRDefault="00657C6C" w:rsidP="00657C6C">
      <w:pPr>
        <w:rPr>
          <w:b/>
          <w:bCs/>
          <w:sz w:val="20"/>
          <w:szCs w:val="20"/>
          <w:lang w:val="fr-CA"/>
        </w:rPr>
      </w:pPr>
      <w:r w:rsidRPr="00956D0A">
        <w:rPr>
          <w:b/>
          <w:bCs/>
          <w:sz w:val="20"/>
          <w:szCs w:val="20"/>
          <w:lang w:val="fr-CA"/>
        </w:rPr>
        <w:t xml:space="preserve">ET APRÈS EXAMEN </w:t>
      </w:r>
      <w:r w:rsidRPr="00956D0A">
        <w:rPr>
          <w:sz w:val="20"/>
          <w:szCs w:val="20"/>
          <w:lang w:val="fr-CA"/>
        </w:rPr>
        <w:t>des documents déposés;</w:t>
      </w:r>
    </w:p>
    <w:p w:rsidR="00657C6C" w:rsidRPr="00956D0A" w:rsidRDefault="00657C6C" w:rsidP="00657C6C">
      <w:pPr>
        <w:rPr>
          <w:bCs/>
          <w:sz w:val="20"/>
          <w:szCs w:val="20"/>
          <w:lang w:val="fr-CA"/>
        </w:rPr>
      </w:pPr>
    </w:p>
    <w:p w:rsidR="00657C6C" w:rsidRPr="00956D0A" w:rsidRDefault="00657C6C" w:rsidP="00657C6C">
      <w:pPr>
        <w:rPr>
          <w:b/>
          <w:bCs/>
          <w:sz w:val="20"/>
          <w:szCs w:val="20"/>
          <w:lang w:val="fr-CA"/>
        </w:rPr>
      </w:pPr>
      <w:r w:rsidRPr="00956D0A">
        <w:rPr>
          <w:b/>
          <w:bCs/>
          <w:sz w:val="20"/>
          <w:szCs w:val="20"/>
          <w:lang w:val="fr-CA"/>
        </w:rPr>
        <w:t>IL EST ORDONNÉ CE QUI SUIT :</w:t>
      </w:r>
    </w:p>
    <w:p w:rsidR="00657C6C" w:rsidRPr="00956D0A" w:rsidRDefault="00657C6C" w:rsidP="00657C6C">
      <w:pPr>
        <w:rPr>
          <w:bCs/>
          <w:sz w:val="20"/>
          <w:szCs w:val="20"/>
          <w:lang w:val="fr-CA"/>
        </w:rPr>
      </w:pPr>
    </w:p>
    <w:p w:rsidR="00657C6C" w:rsidRPr="00956D0A" w:rsidRDefault="00657C6C" w:rsidP="00657C6C">
      <w:pPr>
        <w:jc w:val="both"/>
        <w:rPr>
          <w:sz w:val="20"/>
          <w:szCs w:val="20"/>
          <w:lang w:val="fr-CA"/>
        </w:rPr>
      </w:pPr>
      <w:r w:rsidRPr="00956D0A">
        <w:rPr>
          <w:bCs/>
          <w:sz w:val="20"/>
          <w:szCs w:val="20"/>
          <w:lang w:val="fr-CA"/>
        </w:rPr>
        <w:t>La requête est accueillie.</w:t>
      </w:r>
    </w:p>
    <w:p w:rsidR="00102792" w:rsidRPr="00956D0A" w:rsidRDefault="00102792" w:rsidP="00102792">
      <w:pPr>
        <w:spacing w:line="232" w:lineRule="auto"/>
        <w:rPr>
          <w:rFonts w:cs="Times New Roman"/>
          <w:sz w:val="20"/>
          <w:lang w:val="fr-CA"/>
        </w:rPr>
      </w:pPr>
    </w:p>
    <w:p w:rsidR="00102792" w:rsidRPr="00956D0A" w:rsidRDefault="00937000"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CA2DEA" w:rsidRPr="00956D0A" w:rsidRDefault="00CA2DEA" w:rsidP="00CA2DEA">
      <w:pPr>
        <w:widowControl w:val="0"/>
        <w:rPr>
          <w:rFonts w:eastAsia="Times New Roman" w:cs="Times New Roman"/>
          <w:sz w:val="20"/>
          <w:szCs w:val="20"/>
          <w:lang w:val="en-US" w:eastAsia="en-CA"/>
        </w:rPr>
      </w:pPr>
    </w:p>
    <w:p w:rsidR="00CA2DEA" w:rsidRPr="00956D0A" w:rsidRDefault="00CA2DEA" w:rsidP="0010587F">
      <w:pPr>
        <w:tabs>
          <w:tab w:val="left" w:pos="-1440"/>
          <w:tab w:val="left" w:pos="-720"/>
        </w:tabs>
        <w:jc w:val="both"/>
        <w:rPr>
          <w:sz w:val="20"/>
          <w:szCs w:val="20"/>
          <w:lang w:val="fr-CA"/>
        </w:rPr>
      </w:pPr>
    </w:p>
    <w:p w:rsidR="00890FEB" w:rsidRPr="00956D0A" w:rsidRDefault="00890FEB" w:rsidP="00831CA9">
      <w:pPr>
        <w:jc w:val="both"/>
        <w:rPr>
          <w:sz w:val="20"/>
          <w:szCs w:val="20"/>
          <w:lang w:val="fr-CA"/>
        </w:rPr>
      </w:pPr>
    </w:p>
    <w:p w:rsidR="00831CA9" w:rsidRPr="00956D0A" w:rsidRDefault="00831CA9" w:rsidP="00831CA9">
      <w:pPr>
        <w:jc w:val="both"/>
        <w:rPr>
          <w:sz w:val="20"/>
          <w:szCs w:val="20"/>
          <w:lang w:val="fr-CA"/>
        </w:rPr>
        <w:sectPr w:rsidR="00831CA9" w:rsidRPr="00956D0A" w:rsidSect="00831CA9">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326"/>
        </w:sectPr>
      </w:pPr>
    </w:p>
    <w:p w:rsidR="00567602" w:rsidRPr="00956D0A" w:rsidRDefault="001434B9" w:rsidP="00567602">
      <w:pPr>
        <w:pStyle w:val="Header1StyleE"/>
        <w:pBdr>
          <w:bottom w:val="single" w:sz="12" w:space="1" w:color="auto"/>
        </w:pBdr>
        <w:rPr>
          <w:sz w:val="20"/>
          <w:lang w:val="en-US"/>
        </w:rPr>
      </w:pPr>
      <w:bookmarkStart w:id="7" w:name="_Toc32998869"/>
      <w:r w:rsidRPr="00956D0A">
        <w:t>Notices of appeal filed since the last issue</w:t>
      </w:r>
      <w:r w:rsidR="00271E1E" w:rsidRPr="00956D0A">
        <w:t xml:space="preserve"> / </w:t>
      </w:r>
      <w:r w:rsidR="00567602" w:rsidRPr="00956D0A">
        <w:br/>
      </w:r>
      <w:r w:rsidRPr="00956D0A">
        <w:rPr>
          <w:lang w:val="fr-CA"/>
        </w:rPr>
        <w:t>Avis d’appel déposés depuis la dernière parution</w:t>
      </w:r>
      <w:bookmarkEnd w:id="7"/>
    </w:p>
    <w:p w:rsidR="00FB1DB6" w:rsidRPr="00956D0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56D0A" w:rsidTr="005F1ED8">
        <w:trPr>
          <w:cantSplit/>
        </w:trPr>
        <w:tc>
          <w:tcPr>
            <w:tcW w:w="2206" w:type="pct"/>
            <w:tcMar>
              <w:left w:w="0" w:type="dxa"/>
              <w:right w:w="0" w:type="dxa"/>
            </w:tcMar>
          </w:tcPr>
          <w:p w:rsidR="0086340B" w:rsidRPr="00956D0A" w:rsidRDefault="00D329E6" w:rsidP="005F1ED8">
            <w:pPr>
              <w:rPr>
                <w:sz w:val="20"/>
                <w:szCs w:val="20"/>
                <w:lang w:val="fr-CA"/>
              </w:rPr>
            </w:pPr>
            <w:r w:rsidRPr="00956D0A">
              <w:rPr>
                <w:sz w:val="20"/>
                <w:szCs w:val="20"/>
                <w:lang w:val="fr-CA"/>
              </w:rPr>
              <w:t>Le 10 février</w:t>
            </w:r>
            <w:r w:rsidR="008859F1" w:rsidRPr="00956D0A">
              <w:rPr>
                <w:sz w:val="20"/>
                <w:szCs w:val="20"/>
                <w:lang w:val="fr-CA"/>
              </w:rPr>
              <w:t xml:space="preserve"> 20</w:t>
            </w:r>
            <w:r w:rsidR="005967EF" w:rsidRPr="00956D0A">
              <w:rPr>
                <w:sz w:val="20"/>
                <w:szCs w:val="20"/>
                <w:lang w:val="fr-CA"/>
              </w:rPr>
              <w:t>20</w:t>
            </w:r>
          </w:p>
          <w:p w:rsidR="0034657E" w:rsidRPr="00956D0A" w:rsidRDefault="0034657E" w:rsidP="005F1ED8">
            <w:pPr>
              <w:rPr>
                <w:sz w:val="20"/>
                <w:szCs w:val="20"/>
                <w:lang w:val="fr-CA"/>
              </w:rPr>
            </w:pPr>
          </w:p>
          <w:p w:rsidR="0086340B" w:rsidRPr="00956D0A" w:rsidRDefault="00BE3908" w:rsidP="005F1ED8">
            <w:pPr>
              <w:rPr>
                <w:b/>
                <w:sz w:val="20"/>
                <w:szCs w:val="20"/>
                <w:lang w:val="fr-CA"/>
              </w:rPr>
            </w:pPr>
            <w:r w:rsidRPr="00956D0A">
              <w:rPr>
                <w:b/>
                <w:sz w:val="20"/>
                <w:szCs w:val="20"/>
                <w:lang w:val="fr-CA"/>
              </w:rPr>
              <w:t>MédiaQMI inc.</w:t>
            </w:r>
          </w:p>
          <w:p w:rsidR="0086340B" w:rsidRPr="00956D0A" w:rsidRDefault="0086340B" w:rsidP="005F1ED8">
            <w:pPr>
              <w:rPr>
                <w:sz w:val="20"/>
                <w:szCs w:val="20"/>
                <w:lang w:val="fr-CA"/>
              </w:rPr>
            </w:pPr>
          </w:p>
          <w:p w:rsidR="0086340B" w:rsidRPr="00956D0A" w:rsidRDefault="0086340B" w:rsidP="005F1ED8">
            <w:pPr>
              <w:rPr>
                <w:b/>
                <w:sz w:val="20"/>
                <w:szCs w:val="20"/>
                <w:lang w:val="fr-CA"/>
              </w:rPr>
            </w:pPr>
            <w:r w:rsidRPr="00956D0A">
              <w:rPr>
                <w:b/>
                <w:sz w:val="20"/>
                <w:szCs w:val="20"/>
                <w:lang w:val="fr-CA"/>
              </w:rPr>
              <w:tab/>
            </w:r>
            <w:r w:rsidR="00BE3908" w:rsidRPr="00956D0A">
              <w:rPr>
                <w:b/>
                <w:sz w:val="20"/>
                <w:szCs w:val="20"/>
                <w:lang w:val="fr-CA"/>
              </w:rPr>
              <w:t>c</w:t>
            </w:r>
            <w:r w:rsidRPr="00956D0A">
              <w:rPr>
                <w:b/>
                <w:sz w:val="20"/>
                <w:szCs w:val="20"/>
                <w:lang w:val="fr-CA"/>
              </w:rPr>
              <w:t>. (3</w:t>
            </w:r>
            <w:r w:rsidR="00BE3908" w:rsidRPr="00956D0A">
              <w:rPr>
                <w:b/>
                <w:sz w:val="20"/>
                <w:szCs w:val="20"/>
                <w:lang w:val="fr-CA"/>
              </w:rPr>
              <w:t>875</w:t>
            </w:r>
            <w:r w:rsidRPr="00956D0A">
              <w:rPr>
                <w:b/>
                <w:sz w:val="20"/>
                <w:szCs w:val="20"/>
                <w:lang w:val="fr-CA"/>
              </w:rPr>
              <w:t>5)</w:t>
            </w:r>
          </w:p>
          <w:p w:rsidR="0086340B" w:rsidRPr="00956D0A" w:rsidRDefault="0086340B" w:rsidP="005F1ED8">
            <w:pPr>
              <w:rPr>
                <w:sz w:val="20"/>
                <w:szCs w:val="20"/>
                <w:lang w:val="fr-CA"/>
              </w:rPr>
            </w:pPr>
          </w:p>
          <w:p w:rsidR="0086340B" w:rsidRPr="00956D0A" w:rsidRDefault="00BE3908" w:rsidP="005F1ED8">
            <w:pPr>
              <w:rPr>
                <w:b/>
                <w:sz w:val="20"/>
                <w:szCs w:val="20"/>
                <w:lang w:val="fr-CA"/>
              </w:rPr>
            </w:pPr>
            <w:r w:rsidRPr="00956D0A">
              <w:rPr>
                <w:b/>
                <w:sz w:val="20"/>
                <w:szCs w:val="20"/>
                <w:lang w:val="fr-CA"/>
              </w:rPr>
              <w:t xml:space="preserve">Magdi Kamel, et al. </w:t>
            </w:r>
            <w:r w:rsidR="0086340B" w:rsidRPr="00956D0A">
              <w:rPr>
                <w:b/>
                <w:sz w:val="20"/>
                <w:szCs w:val="20"/>
                <w:lang w:val="fr-CA"/>
              </w:rPr>
              <w:t>(</w:t>
            </w:r>
            <w:r w:rsidRPr="00956D0A">
              <w:rPr>
                <w:b/>
                <w:sz w:val="20"/>
                <w:szCs w:val="20"/>
                <w:lang w:val="fr-CA"/>
              </w:rPr>
              <w:t>Qc</w:t>
            </w:r>
            <w:r w:rsidR="0086340B" w:rsidRPr="00956D0A">
              <w:rPr>
                <w:b/>
                <w:sz w:val="20"/>
                <w:szCs w:val="20"/>
                <w:lang w:val="fr-CA"/>
              </w:rPr>
              <w:t>)</w:t>
            </w:r>
          </w:p>
          <w:p w:rsidR="0086340B" w:rsidRPr="00956D0A" w:rsidRDefault="0086340B" w:rsidP="005F1ED8">
            <w:pPr>
              <w:rPr>
                <w:sz w:val="20"/>
                <w:szCs w:val="20"/>
                <w:lang w:val="fr-CA"/>
              </w:rPr>
            </w:pPr>
          </w:p>
          <w:p w:rsidR="0086340B" w:rsidRPr="00956D0A" w:rsidRDefault="0086340B" w:rsidP="005F1ED8">
            <w:pPr>
              <w:rPr>
                <w:sz w:val="20"/>
                <w:szCs w:val="20"/>
                <w:lang w:val="fr-CA"/>
              </w:rPr>
            </w:pPr>
            <w:r w:rsidRPr="00956D0A">
              <w:rPr>
                <w:sz w:val="20"/>
                <w:szCs w:val="20"/>
                <w:lang w:val="fr-CA"/>
              </w:rPr>
              <w:t>(</w:t>
            </w:r>
            <w:r w:rsidR="00BE3908" w:rsidRPr="00956D0A">
              <w:rPr>
                <w:sz w:val="20"/>
                <w:szCs w:val="20"/>
                <w:lang w:val="fr-CA"/>
              </w:rPr>
              <w:t>Autorisation</w:t>
            </w:r>
            <w:r w:rsidRPr="00956D0A">
              <w:rPr>
                <w:sz w:val="20"/>
                <w:szCs w:val="20"/>
                <w:lang w:val="fr-CA"/>
              </w:rPr>
              <w:t>)</w:t>
            </w:r>
          </w:p>
          <w:p w:rsidR="0086340B" w:rsidRPr="00956D0A" w:rsidRDefault="0086340B" w:rsidP="005F1ED8">
            <w:pPr>
              <w:rPr>
                <w:sz w:val="20"/>
                <w:szCs w:val="20"/>
                <w:lang w:val="fr-CA"/>
              </w:rPr>
            </w:pPr>
          </w:p>
          <w:p w:rsidR="0086340B" w:rsidRPr="00956D0A" w:rsidRDefault="00937000" w:rsidP="005F1ED8">
            <w:pPr>
              <w:rPr>
                <w:sz w:val="20"/>
                <w:szCs w:val="20"/>
                <w:lang w:val="fr-CA"/>
              </w:rPr>
            </w:pPr>
            <w:r>
              <w:rPr>
                <w:sz w:val="20"/>
                <w:szCs w:val="20"/>
                <w:lang w:val="fr-CA"/>
              </w:rPr>
              <w:pict>
                <v:rect id="_x0000_i1080" style="width:106.1pt;height:1pt" o:hrpct="500" o:hrstd="t" o:hrnoshade="t" o:hr="t" fillcolor="black [3213]" stroked="f"/>
              </w:pict>
            </w:r>
          </w:p>
        </w:tc>
        <w:tc>
          <w:tcPr>
            <w:tcW w:w="588" w:type="pct"/>
          </w:tcPr>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p w:rsidR="0086340B" w:rsidRPr="00956D0A" w:rsidRDefault="0086340B" w:rsidP="005F1ED8">
            <w:pPr>
              <w:jc w:val="center"/>
              <w:rPr>
                <w:sz w:val="20"/>
                <w:szCs w:val="20"/>
              </w:rPr>
            </w:pPr>
          </w:p>
        </w:tc>
        <w:tc>
          <w:tcPr>
            <w:tcW w:w="2206" w:type="pct"/>
          </w:tcPr>
          <w:p w:rsidR="0086340B" w:rsidRPr="00956D0A" w:rsidRDefault="00746FDE" w:rsidP="005F1ED8">
            <w:pPr>
              <w:rPr>
                <w:sz w:val="20"/>
                <w:szCs w:val="20"/>
                <w:lang w:val="en-US"/>
              </w:rPr>
            </w:pPr>
            <w:r w:rsidRPr="00956D0A">
              <w:rPr>
                <w:sz w:val="20"/>
                <w:szCs w:val="20"/>
                <w:lang w:val="en-US"/>
              </w:rPr>
              <w:t>February</w:t>
            </w:r>
            <w:r w:rsidR="008859F1" w:rsidRPr="00956D0A">
              <w:rPr>
                <w:sz w:val="20"/>
                <w:szCs w:val="20"/>
                <w:lang w:val="en-US"/>
              </w:rPr>
              <w:t xml:space="preserve"> </w:t>
            </w:r>
            <w:r w:rsidRPr="00956D0A">
              <w:rPr>
                <w:sz w:val="20"/>
                <w:szCs w:val="20"/>
                <w:lang w:val="en-US"/>
              </w:rPr>
              <w:t>12,</w:t>
            </w:r>
            <w:r w:rsidR="008859F1" w:rsidRPr="00956D0A">
              <w:rPr>
                <w:sz w:val="20"/>
                <w:szCs w:val="20"/>
                <w:lang w:val="en-US"/>
              </w:rPr>
              <w:t xml:space="preserve"> 20</w:t>
            </w:r>
            <w:r w:rsidR="005967EF" w:rsidRPr="00956D0A">
              <w:rPr>
                <w:sz w:val="20"/>
                <w:szCs w:val="20"/>
                <w:lang w:val="en-US"/>
              </w:rPr>
              <w:t>20</w:t>
            </w:r>
          </w:p>
          <w:p w:rsidR="0086340B" w:rsidRPr="00956D0A" w:rsidRDefault="0086340B" w:rsidP="005F1ED8">
            <w:pPr>
              <w:rPr>
                <w:sz w:val="20"/>
                <w:szCs w:val="20"/>
                <w:lang w:val="en-US"/>
              </w:rPr>
            </w:pPr>
          </w:p>
          <w:p w:rsidR="0086340B" w:rsidRPr="00956D0A" w:rsidRDefault="00746FDE" w:rsidP="005F1ED8">
            <w:pPr>
              <w:rPr>
                <w:b/>
                <w:sz w:val="20"/>
                <w:szCs w:val="20"/>
                <w:lang w:val="en-US"/>
              </w:rPr>
            </w:pPr>
            <w:r w:rsidRPr="00956D0A">
              <w:rPr>
                <w:b/>
                <w:sz w:val="20"/>
                <w:szCs w:val="20"/>
                <w:lang w:val="en-US"/>
              </w:rPr>
              <w:t>Ryan Curtis Reilly</w:t>
            </w:r>
          </w:p>
          <w:p w:rsidR="0086340B" w:rsidRPr="00956D0A" w:rsidRDefault="0086340B" w:rsidP="005F1ED8">
            <w:pPr>
              <w:rPr>
                <w:sz w:val="20"/>
                <w:szCs w:val="20"/>
                <w:lang w:val="en-US"/>
              </w:rPr>
            </w:pPr>
          </w:p>
          <w:p w:rsidR="0086340B" w:rsidRPr="00956D0A" w:rsidRDefault="0086340B" w:rsidP="005F1ED8">
            <w:pPr>
              <w:rPr>
                <w:b/>
                <w:sz w:val="20"/>
                <w:szCs w:val="20"/>
                <w:lang w:val="en-US"/>
              </w:rPr>
            </w:pPr>
            <w:r w:rsidRPr="00956D0A">
              <w:rPr>
                <w:b/>
                <w:sz w:val="20"/>
                <w:szCs w:val="20"/>
                <w:lang w:val="en-US"/>
              </w:rPr>
              <w:tab/>
            </w:r>
            <w:r w:rsidR="00746FDE" w:rsidRPr="00956D0A">
              <w:rPr>
                <w:b/>
                <w:sz w:val="20"/>
                <w:szCs w:val="20"/>
                <w:lang w:val="en-US"/>
              </w:rPr>
              <w:t>v</w:t>
            </w:r>
            <w:r w:rsidRPr="00956D0A">
              <w:rPr>
                <w:b/>
                <w:sz w:val="20"/>
                <w:szCs w:val="20"/>
                <w:lang w:val="en-US"/>
              </w:rPr>
              <w:t>. (3</w:t>
            </w:r>
            <w:r w:rsidR="00746FDE" w:rsidRPr="00956D0A">
              <w:rPr>
                <w:b/>
                <w:sz w:val="20"/>
                <w:szCs w:val="20"/>
                <w:lang w:val="en-US"/>
              </w:rPr>
              <w:t>8785</w:t>
            </w:r>
            <w:r w:rsidRPr="00956D0A">
              <w:rPr>
                <w:b/>
                <w:sz w:val="20"/>
                <w:szCs w:val="20"/>
                <w:lang w:val="en-US"/>
              </w:rPr>
              <w:t>)</w:t>
            </w:r>
          </w:p>
          <w:p w:rsidR="0086340B" w:rsidRPr="00956D0A" w:rsidRDefault="0086340B" w:rsidP="005F1ED8">
            <w:pPr>
              <w:rPr>
                <w:sz w:val="20"/>
                <w:szCs w:val="20"/>
                <w:lang w:val="en-US"/>
              </w:rPr>
            </w:pPr>
          </w:p>
          <w:p w:rsidR="0086340B" w:rsidRPr="00956D0A" w:rsidRDefault="00746FDE" w:rsidP="005F1ED8">
            <w:pPr>
              <w:rPr>
                <w:b/>
                <w:sz w:val="20"/>
                <w:szCs w:val="20"/>
                <w:lang w:val="en-US"/>
              </w:rPr>
            </w:pPr>
            <w:r w:rsidRPr="00956D0A">
              <w:rPr>
                <w:b/>
                <w:sz w:val="20"/>
                <w:szCs w:val="20"/>
                <w:lang w:val="en-US"/>
              </w:rPr>
              <w:t>Her Majesty the Queen</w:t>
            </w:r>
            <w:r w:rsidR="0086340B" w:rsidRPr="00956D0A">
              <w:rPr>
                <w:b/>
                <w:sz w:val="20"/>
                <w:szCs w:val="20"/>
                <w:lang w:val="en-US"/>
              </w:rPr>
              <w:t xml:space="preserve"> (</w:t>
            </w:r>
            <w:r w:rsidRPr="00956D0A">
              <w:rPr>
                <w:b/>
                <w:sz w:val="20"/>
                <w:szCs w:val="20"/>
                <w:lang w:val="en-US"/>
              </w:rPr>
              <w:t>Alta.</w:t>
            </w:r>
            <w:r w:rsidR="0086340B" w:rsidRPr="00956D0A">
              <w:rPr>
                <w:b/>
                <w:sz w:val="20"/>
                <w:szCs w:val="20"/>
                <w:lang w:val="en-US"/>
              </w:rPr>
              <w:t>)</w:t>
            </w:r>
          </w:p>
          <w:p w:rsidR="0086340B" w:rsidRPr="00956D0A" w:rsidRDefault="0086340B" w:rsidP="005F1ED8">
            <w:pPr>
              <w:rPr>
                <w:sz w:val="20"/>
                <w:szCs w:val="20"/>
                <w:lang w:val="en-US"/>
              </w:rPr>
            </w:pPr>
          </w:p>
          <w:p w:rsidR="0086340B" w:rsidRPr="00956D0A" w:rsidRDefault="0086340B" w:rsidP="005F1ED8">
            <w:pPr>
              <w:rPr>
                <w:sz w:val="20"/>
                <w:szCs w:val="20"/>
              </w:rPr>
            </w:pPr>
            <w:r w:rsidRPr="00956D0A">
              <w:rPr>
                <w:sz w:val="20"/>
                <w:szCs w:val="20"/>
              </w:rPr>
              <w:t>(</w:t>
            </w:r>
            <w:r w:rsidR="00746FDE" w:rsidRPr="00956D0A">
              <w:rPr>
                <w:sz w:val="20"/>
                <w:szCs w:val="20"/>
              </w:rPr>
              <w:t>By Leave</w:t>
            </w:r>
            <w:r w:rsidRPr="00956D0A">
              <w:rPr>
                <w:sz w:val="20"/>
                <w:szCs w:val="20"/>
              </w:rPr>
              <w:t>)</w:t>
            </w:r>
          </w:p>
          <w:p w:rsidR="0086340B" w:rsidRPr="00956D0A" w:rsidRDefault="0086340B" w:rsidP="005F1ED8">
            <w:pPr>
              <w:rPr>
                <w:sz w:val="20"/>
                <w:szCs w:val="20"/>
              </w:rPr>
            </w:pPr>
          </w:p>
          <w:p w:rsidR="0086340B" w:rsidRPr="00956D0A" w:rsidRDefault="00937000" w:rsidP="005F1ED8">
            <w:pPr>
              <w:rPr>
                <w:sz w:val="20"/>
                <w:szCs w:val="20"/>
              </w:rPr>
            </w:pPr>
            <w:r>
              <w:rPr>
                <w:sz w:val="20"/>
                <w:szCs w:val="20"/>
                <w:lang w:val="fr-CA"/>
              </w:rPr>
              <w:pict>
                <v:rect id="_x0000_i1081" style="width:106.1pt;height:1pt" o:hrpct="500" o:hrstd="t" o:hrnoshade="t" o:hr="t" fillcolor="black [3213]" stroked="f"/>
              </w:pict>
            </w:r>
          </w:p>
        </w:tc>
      </w:tr>
    </w:tbl>
    <w:p w:rsidR="008277C4" w:rsidRPr="00956D0A" w:rsidRDefault="008277C4" w:rsidP="00F40249">
      <w:pPr>
        <w:rPr>
          <w:sz w:val="20"/>
          <w:szCs w:val="20"/>
        </w:rPr>
      </w:pPr>
    </w:p>
    <w:p w:rsidR="008277C4" w:rsidRPr="00956D0A" w:rsidRDefault="008277C4" w:rsidP="00F40249">
      <w:pPr>
        <w:rPr>
          <w:sz w:val="20"/>
          <w:szCs w:val="20"/>
        </w:rPr>
      </w:pPr>
    </w:p>
    <w:p w:rsidR="0010587F" w:rsidRPr="00956D0A" w:rsidRDefault="0010587F" w:rsidP="00F40249">
      <w:pPr>
        <w:rPr>
          <w:sz w:val="20"/>
          <w:szCs w:val="20"/>
        </w:rPr>
      </w:pPr>
    </w:p>
    <w:p w:rsidR="00EB2B90" w:rsidRPr="00956D0A" w:rsidRDefault="00EB2B90" w:rsidP="00F40249">
      <w:pPr>
        <w:rPr>
          <w:sz w:val="20"/>
          <w:szCs w:val="20"/>
        </w:rPr>
        <w:sectPr w:rsidR="00EB2B90" w:rsidRPr="00956D0A" w:rsidSect="00F40249">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p w:rsidR="00567602" w:rsidRPr="00956D0A" w:rsidRDefault="001434B9" w:rsidP="00567602">
      <w:pPr>
        <w:pStyle w:val="Header1StyleE"/>
        <w:pBdr>
          <w:bottom w:val="single" w:sz="12" w:space="1" w:color="auto"/>
        </w:pBdr>
        <w:rPr>
          <w:lang w:val="fr-CA"/>
        </w:rPr>
      </w:pPr>
      <w:bookmarkStart w:id="8" w:name="_Toc32998870"/>
      <w:r w:rsidRPr="00956D0A">
        <w:rPr>
          <w:lang w:val="fr-CA"/>
        </w:rPr>
        <w:t>Appeals heard since the last issue and disposition</w:t>
      </w:r>
      <w:r w:rsidR="00271E1E" w:rsidRPr="00956D0A">
        <w:rPr>
          <w:lang w:val="fr-CA"/>
        </w:rPr>
        <w:t xml:space="preserve"> / </w:t>
      </w:r>
      <w:r w:rsidR="00567602" w:rsidRPr="00956D0A">
        <w:rPr>
          <w:lang w:val="fr-CA"/>
        </w:rPr>
        <w:br/>
      </w:r>
      <w:r w:rsidRPr="00956D0A">
        <w:rPr>
          <w:lang w:val="fr-CA"/>
        </w:rPr>
        <w:t>Appels entendus depuis la dernière parution et résultat</w:t>
      </w:r>
      <w:bookmarkEnd w:id="8"/>
    </w:p>
    <w:p w:rsidR="00567602" w:rsidRPr="00956D0A" w:rsidRDefault="00567602" w:rsidP="00567602">
      <w:pPr>
        <w:keepNext/>
        <w:keepLines/>
        <w:widowControl w:val="0"/>
        <w:jc w:val="both"/>
        <w:rPr>
          <w:sz w:val="20"/>
          <w:szCs w:val="20"/>
          <w:lang w:val="fr-CA"/>
        </w:rPr>
      </w:pPr>
    </w:p>
    <w:p w:rsidR="00717608" w:rsidRPr="00956D0A" w:rsidRDefault="00730514" w:rsidP="00717608">
      <w:pPr>
        <w:rPr>
          <w:b/>
          <w:sz w:val="20"/>
          <w:szCs w:val="20"/>
        </w:rPr>
      </w:pPr>
      <w:r w:rsidRPr="00956D0A">
        <w:rPr>
          <w:b/>
          <w:sz w:val="20"/>
          <w:szCs w:val="20"/>
        </w:rPr>
        <w:t>FEBRUARY</w:t>
      </w:r>
      <w:r w:rsidR="00717608" w:rsidRPr="00956D0A">
        <w:rPr>
          <w:b/>
          <w:sz w:val="20"/>
          <w:szCs w:val="20"/>
        </w:rPr>
        <w:t xml:space="preserve"> 1</w:t>
      </w:r>
      <w:r w:rsidRPr="00956D0A">
        <w:rPr>
          <w:b/>
          <w:sz w:val="20"/>
          <w:szCs w:val="20"/>
        </w:rPr>
        <w:t>8</w:t>
      </w:r>
      <w:r w:rsidR="00717608" w:rsidRPr="00956D0A">
        <w:rPr>
          <w:b/>
          <w:sz w:val="20"/>
          <w:szCs w:val="20"/>
        </w:rPr>
        <w:t>, 20</w:t>
      </w:r>
      <w:r w:rsidR="00172473" w:rsidRPr="00956D0A">
        <w:rPr>
          <w:b/>
          <w:sz w:val="20"/>
          <w:szCs w:val="20"/>
        </w:rPr>
        <w:t>20</w:t>
      </w:r>
      <w:r w:rsidR="00717608" w:rsidRPr="00956D0A">
        <w:rPr>
          <w:b/>
          <w:sz w:val="20"/>
          <w:szCs w:val="20"/>
        </w:rPr>
        <w:t xml:space="preserve"> / LE 1</w:t>
      </w:r>
      <w:r w:rsidRPr="00956D0A">
        <w:rPr>
          <w:b/>
          <w:sz w:val="20"/>
          <w:szCs w:val="20"/>
        </w:rPr>
        <w:t>8</w:t>
      </w:r>
      <w:r w:rsidR="00717608" w:rsidRPr="00956D0A">
        <w:rPr>
          <w:b/>
          <w:sz w:val="20"/>
          <w:szCs w:val="20"/>
        </w:rPr>
        <w:t xml:space="preserve"> </w:t>
      </w:r>
      <w:r w:rsidRPr="00956D0A">
        <w:rPr>
          <w:b/>
          <w:sz w:val="20"/>
          <w:szCs w:val="20"/>
        </w:rPr>
        <w:t>FÉVRIER</w:t>
      </w:r>
      <w:r w:rsidR="00717608" w:rsidRPr="00956D0A">
        <w:rPr>
          <w:b/>
          <w:sz w:val="20"/>
          <w:szCs w:val="20"/>
        </w:rPr>
        <w:t xml:space="preserve"> 20</w:t>
      </w:r>
      <w:r w:rsidR="00172473" w:rsidRPr="00956D0A">
        <w:rPr>
          <w:b/>
          <w:sz w:val="20"/>
          <w:szCs w:val="20"/>
        </w:rPr>
        <w:t>20</w:t>
      </w:r>
    </w:p>
    <w:p w:rsidR="00172473" w:rsidRPr="00956D0A" w:rsidRDefault="00172473" w:rsidP="00717608">
      <w:pPr>
        <w:rPr>
          <w:sz w:val="20"/>
          <w:szCs w:val="20"/>
        </w:rPr>
      </w:pPr>
    </w:p>
    <w:p w:rsidR="00730514" w:rsidRPr="00956D0A" w:rsidRDefault="00730514" w:rsidP="00730514">
      <w:pPr>
        <w:widowControl w:val="0"/>
        <w:rPr>
          <w:sz w:val="20"/>
          <w:szCs w:val="20"/>
        </w:rPr>
      </w:pPr>
      <w:r w:rsidRPr="00956D0A">
        <w:rPr>
          <w:b/>
          <w:sz w:val="20"/>
          <w:szCs w:val="20"/>
        </w:rPr>
        <w:t xml:space="preserve">Deborah Lee Doonanco v. Her Majesty the Queen </w:t>
      </w:r>
      <w:r w:rsidRPr="00956D0A">
        <w:rPr>
          <w:sz w:val="20"/>
          <w:szCs w:val="20"/>
        </w:rPr>
        <w:t xml:space="preserve">(Alta.) (Criminal) (As of Right/By Leave) </w:t>
      </w:r>
      <w:r w:rsidRPr="00956D0A">
        <w:rPr>
          <w:iCs/>
          <w:sz w:val="20"/>
          <w:szCs w:val="20"/>
        </w:rPr>
        <w:t>(</w:t>
      </w:r>
      <w:hyperlink r:id="rId107" w:history="1">
        <w:r w:rsidRPr="00956D0A">
          <w:rPr>
            <w:rStyle w:val="Hyperlink"/>
            <w:iCs/>
            <w:sz w:val="20"/>
            <w:szCs w:val="20"/>
          </w:rPr>
          <w:t>38577</w:t>
        </w:r>
      </w:hyperlink>
      <w:r w:rsidRPr="00956D0A">
        <w:rPr>
          <w:iCs/>
          <w:sz w:val="20"/>
          <w:szCs w:val="20"/>
        </w:rPr>
        <w:t>)</w:t>
      </w:r>
    </w:p>
    <w:p w:rsidR="00730514" w:rsidRPr="00956D0A" w:rsidRDefault="00730514" w:rsidP="00730514">
      <w:pPr>
        <w:widowControl w:val="0"/>
        <w:ind w:left="1109" w:hanging="1109"/>
        <w:rPr>
          <w:sz w:val="20"/>
          <w:szCs w:val="20"/>
        </w:rPr>
      </w:pPr>
      <w:r w:rsidRPr="00956D0A">
        <w:rPr>
          <w:b/>
          <w:sz w:val="20"/>
          <w:szCs w:val="20"/>
        </w:rPr>
        <w:t xml:space="preserve">2020 SCC </w:t>
      </w:r>
      <w:r w:rsidR="001E2E31" w:rsidRPr="00956D0A">
        <w:rPr>
          <w:b/>
          <w:sz w:val="20"/>
          <w:szCs w:val="20"/>
        </w:rPr>
        <w:t>2</w:t>
      </w:r>
      <w:r w:rsidRPr="00956D0A">
        <w:rPr>
          <w:b/>
          <w:sz w:val="20"/>
          <w:szCs w:val="20"/>
        </w:rPr>
        <w:t xml:space="preserve"> / 2020 CSC </w:t>
      </w:r>
      <w:r w:rsidR="001E2E31" w:rsidRPr="00956D0A">
        <w:rPr>
          <w:b/>
          <w:sz w:val="20"/>
          <w:szCs w:val="20"/>
        </w:rPr>
        <w:t>2</w:t>
      </w:r>
    </w:p>
    <w:p w:rsidR="00730514" w:rsidRPr="00956D0A" w:rsidRDefault="00730514" w:rsidP="00730514">
      <w:pPr>
        <w:widowControl w:val="0"/>
        <w:ind w:left="1109" w:hanging="1109"/>
        <w:rPr>
          <w:sz w:val="20"/>
          <w:szCs w:val="20"/>
        </w:rPr>
      </w:pPr>
    </w:p>
    <w:p w:rsidR="00730514" w:rsidRPr="00956D0A" w:rsidRDefault="00730514" w:rsidP="00730514">
      <w:pPr>
        <w:widowControl w:val="0"/>
        <w:ind w:left="1109" w:hanging="1109"/>
        <w:rPr>
          <w:sz w:val="20"/>
          <w:szCs w:val="20"/>
        </w:rPr>
      </w:pPr>
      <w:r w:rsidRPr="00956D0A">
        <w:rPr>
          <w:sz w:val="20"/>
          <w:szCs w:val="20"/>
        </w:rPr>
        <w:t xml:space="preserve">Coram: </w:t>
      </w:r>
      <w:r w:rsidRPr="00956D0A">
        <w:rPr>
          <w:sz w:val="20"/>
          <w:szCs w:val="20"/>
        </w:rPr>
        <w:tab/>
        <w:t>Wagner C.J. and Abella, Moldaver, Karakatsanis, Côté, Brown, Rowe, Martin and Kasirer JJ.</w:t>
      </w:r>
    </w:p>
    <w:p w:rsidR="00730514" w:rsidRPr="00410AEB" w:rsidRDefault="00730514" w:rsidP="00730514">
      <w:pPr>
        <w:widowControl w:val="0"/>
        <w:ind w:left="1109" w:hanging="1109"/>
        <w:rPr>
          <w:sz w:val="20"/>
          <w:szCs w:val="20"/>
        </w:rPr>
      </w:pPr>
    </w:p>
    <w:p w:rsidR="00410AEB" w:rsidRPr="00410AEB" w:rsidRDefault="00410AEB" w:rsidP="00410AEB">
      <w:pPr>
        <w:jc w:val="both"/>
        <w:rPr>
          <w:sz w:val="20"/>
          <w:szCs w:val="20"/>
        </w:rPr>
      </w:pPr>
      <w:r w:rsidRPr="00410AEB">
        <w:rPr>
          <w:sz w:val="20"/>
          <w:szCs w:val="20"/>
        </w:rPr>
        <w:t xml:space="preserve">The appeal from the judgment of the Court of Appeal of Alberta (Edmonton), Number 1703-0024-A, 2019 ABCA 118, dated April 3, 2019, was heard on February 18, 2020, and the Court on that day delivered the following judgment orally: </w:t>
      </w:r>
    </w:p>
    <w:p w:rsidR="00410AEB" w:rsidRPr="00410AEB" w:rsidRDefault="00410AEB" w:rsidP="00410AEB">
      <w:pPr>
        <w:jc w:val="both"/>
        <w:rPr>
          <w:sz w:val="20"/>
          <w:szCs w:val="20"/>
        </w:rPr>
      </w:pPr>
    </w:p>
    <w:p w:rsidR="00410AEB" w:rsidRPr="00410AEB" w:rsidRDefault="00410AEB" w:rsidP="00410AEB">
      <w:pPr>
        <w:jc w:val="both"/>
        <w:rPr>
          <w:sz w:val="20"/>
          <w:szCs w:val="20"/>
        </w:rPr>
      </w:pPr>
      <w:r w:rsidRPr="00410AEB">
        <w:rPr>
          <w:smallCaps/>
          <w:sz w:val="20"/>
          <w:szCs w:val="20"/>
        </w:rPr>
        <w:t>Moldaver</w:t>
      </w:r>
      <w:r w:rsidRPr="00410AEB">
        <w:rPr>
          <w:sz w:val="20"/>
          <w:szCs w:val="20"/>
        </w:rPr>
        <w:t xml:space="preserve"> J. </w:t>
      </w:r>
      <w:r w:rsidRPr="00410AEB">
        <w:rPr>
          <w:rFonts w:cs="Times New Roman"/>
          <w:sz w:val="20"/>
          <w:szCs w:val="20"/>
        </w:rPr>
        <w:t xml:space="preserve">— </w:t>
      </w:r>
      <w:r w:rsidRPr="00410AEB">
        <w:rPr>
          <w:sz w:val="20"/>
          <w:szCs w:val="20"/>
        </w:rPr>
        <w:t xml:space="preserve">We are all of the view that the appeal must be allowed and a new trial ordered on all counts. The Crown’s failure to disclose Dr. Glancy’s report before Dr. Walker completed her testimony, when considered together with the Crown’s failure to cross-examine Dr. Walker on the contents of that report, interfered with Ms. Doonanco’s ability to know the case she had to meet and make full answer and defence. To that extent, we agree with the reasons of Justice Bielby, dissenting in the Court of Appeal. </w:t>
      </w:r>
    </w:p>
    <w:p w:rsidR="00410AEB" w:rsidRPr="00410AEB" w:rsidRDefault="00410AEB" w:rsidP="00410AEB">
      <w:pPr>
        <w:jc w:val="both"/>
        <w:rPr>
          <w:sz w:val="20"/>
          <w:szCs w:val="20"/>
        </w:rPr>
      </w:pPr>
    </w:p>
    <w:p w:rsidR="00410AEB" w:rsidRPr="00410AEB" w:rsidRDefault="00410AEB" w:rsidP="00410AEB">
      <w:pPr>
        <w:jc w:val="both"/>
        <w:rPr>
          <w:sz w:val="20"/>
          <w:szCs w:val="20"/>
        </w:rPr>
      </w:pPr>
      <w:r w:rsidRPr="00410AEB">
        <w:rPr>
          <w:sz w:val="20"/>
          <w:szCs w:val="20"/>
        </w:rPr>
        <w:t>With respect, however, unlike Justice Bielby, we are not persuaded that the trial judge’s remedial ruling was capable of undoing the prejudice caused to Ms. Doonanco by the manner in which the Crown proceeded. In the circumstances, precluding Dr. Glancy from testifying was, in our view, the only way of preserving Ms. Doonanco’s right to a fair trial.</w:t>
      </w:r>
    </w:p>
    <w:p w:rsidR="00410AEB" w:rsidRPr="00410AEB" w:rsidRDefault="00410AEB" w:rsidP="00410AEB">
      <w:pPr>
        <w:jc w:val="both"/>
        <w:rPr>
          <w:sz w:val="20"/>
          <w:szCs w:val="20"/>
        </w:rPr>
      </w:pPr>
    </w:p>
    <w:p w:rsidR="00410AEB" w:rsidRPr="00410AEB" w:rsidRDefault="00410AEB" w:rsidP="00410AEB">
      <w:pPr>
        <w:jc w:val="both"/>
        <w:rPr>
          <w:sz w:val="20"/>
          <w:szCs w:val="20"/>
        </w:rPr>
      </w:pPr>
      <w:r w:rsidRPr="00410AEB">
        <w:rPr>
          <w:sz w:val="20"/>
          <w:szCs w:val="20"/>
        </w:rPr>
        <w:t xml:space="preserve">The net effect of Dr. Glancy’s evidence was to call into question Dr. Walker’s competence and the reliability of her expert testimony by showing that she failed to consider, much less explain, a number of factors that Dr. Glancy found to be atypical of the battered woman’s syndrome — factors which undermined Dr. Walker’s conclusion that Ms. Doonanco was suffering from this syndrome when she killed her domestic partner. </w:t>
      </w:r>
    </w:p>
    <w:p w:rsidR="00410AEB" w:rsidRPr="00410AEB" w:rsidRDefault="00410AEB" w:rsidP="00410AEB">
      <w:pPr>
        <w:jc w:val="both"/>
        <w:rPr>
          <w:sz w:val="20"/>
          <w:szCs w:val="20"/>
        </w:rPr>
      </w:pPr>
    </w:p>
    <w:p w:rsidR="00410AEB" w:rsidRPr="00410AEB" w:rsidRDefault="00410AEB" w:rsidP="00410AEB">
      <w:pPr>
        <w:jc w:val="both"/>
        <w:rPr>
          <w:sz w:val="20"/>
          <w:szCs w:val="20"/>
        </w:rPr>
      </w:pPr>
      <w:r w:rsidRPr="00410AEB">
        <w:rPr>
          <w:sz w:val="20"/>
          <w:szCs w:val="20"/>
        </w:rPr>
        <w:t>Because Dr. Glancy’s report was not disclosed to the defence before Dr. Walker completed her testimony, and because the factors that Dr. Glancy relied upon to characterize Ms. Doonanco’s case as atypical were never put to Dr. Walker by the Crown in cross-examination, the defence was not able to respond to Dr. Glancy’s critiques. This rendered Ms. Doonanco’s trial unfair, resulting in a miscarriage of justice (</w:t>
      </w:r>
      <w:r w:rsidRPr="00410AEB">
        <w:rPr>
          <w:sz w:val="20"/>
          <w:szCs w:val="20"/>
          <w:shd w:val="clear" w:color="auto" w:fill="FFFFFF" w:themeFill="background1"/>
        </w:rPr>
        <w:t xml:space="preserve">see </w:t>
      </w:r>
      <w:r w:rsidRPr="00410AEB">
        <w:rPr>
          <w:i/>
          <w:sz w:val="20"/>
          <w:szCs w:val="20"/>
          <w:shd w:val="clear" w:color="auto" w:fill="FFFFFF" w:themeFill="background1"/>
        </w:rPr>
        <w:t>Criminal Code</w:t>
      </w:r>
      <w:r w:rsidRPr="00410AEB">
        <w:rPr>
          <w:sz w:val="20"/>
          <w:szCs w:val="20"/>
        </w:rPr>
        <w:t>, R.S.C. 1985, c. C-46, s. 686(1)(a)(iii)).</w:t>
      </w:r>
    </w:p>
    <w:p w:rsidR="00410AEB" w:rsidRPr="00410AEB" w:rsidRDefault="00410AEB" w:rsidP="00410AEB">
      <w:pPr>
        <w:jc w:val="both"/>
        <w:rPr>
          <w:sz w:val="20"/>
          <w:szCs w:val="20"/>
        </w:rPr>
      </w:pPr>
    </w:p>
    <w:p w:rsidR="00410AEB" w:rsidRPr="00410AEB" w:rsidRDefault="00410AEB" w:rsidP="00410AEB">
      <w:pPr>
        <w:jc w:val="both"/>
        <w:rPr>
          <w:sz w:val="20"/>
          <w:szCs w:val="20"/>
        </w:rPr>
      </w:pPr>
      <w:r w:rsidRPr="00410AEB">
        <w:rPr>
          <w:sz w:val="20"/>
          <w:szCs w:val="20"/>
        </w:rPr>
        <w:t>Accordingly, the appeal is allowed, the convictions are set aside, and a new trial is ordered on all counts.</w:t>
      </w:r>
    </w:p>
    <w:p w:rsidR="00730514" w:rsidRPr="00A61E39" w:rsidRDefault="00730514" w:rsidP="00730514">
      <w:pPr>
        <w:widowControl w:val="0"/>
        <w:ind w:left="1109" w:hanging="1109"/>
        <w:rPr>
          <w:sz w:val="20"/>
          <w:szCs w:val="20"/>
        </w:rPr>
      </w:pPr>
    </w:p>
    <w:p w:rsidR="00A61E39" w:rsidRPr="00A61E39" w:rsidRDefault="00A61E39" w:rsidP="00A61E39">
      <w:pPr>
        <w:jc w:val="both"/>
        <w:rPr>
          <w:sz w:val="20"/>
          <w:szCs w:val="20"/>
          <w:lang w:val="fr-CA"/>
        </w:rPr>
      </w:pPr>
      <w:r w:rsidRPr="00A61E39">
        <w:rPr>
          <w:sz w:val="20"/>
          <w:szCs w:val="20"/>
          <w:lang w:val="fr-CA"/>
        </w:rPr>
        <w:t>L’appel interjeté contre l’arrêt de la Cour d’appel de l’Alberta (Edmonton), numéro 1703-0024-A, 2019 ABCA 118, daté du 3 avril 2019, a été entendu le 18 février 2020 et la Cour a prononcé oralement le même jour le jugement suivant :</w:t>
      </w:r>
    </w:p>
    <w:p w:rsidR="00A61E39" w:rsidRPr="00A61E39" w:rsidRDefault="00A61E39" w:rsidP="00A61E39">
      <w:pPr>
        <w:jc w:val="both"/>
        <w:rPr>
          <w:sz w:val="20"/>
          <w:szCs w:val="20"/>
          <w:lang w:val="fr-CA"/>
        </w:rPr>
      </w:pPr>
    </w:p>
    <w:p w:rsidR="00A61E39" w:rsidRPr="00A61E39" w:rsidRDefault="00A61E39" w:rsidP="00A61E39">
      <w:pPr>
        <w:jc w:val="both"/>
        <w:rPr>
          <w:sz w:val="20"/>
          <w:szCs w:val="20"/>
          <w:lang w:val="fr-CA"/>
        </w:rPr>
      </w:pPr>
      <w:r w:rsidRPr="00A61E39">
        <w:rPr>
          <w:sz w:val="20"/>
          <w:szCs w:val="20"/>
          <w:lang w:val="fr-CA"/>
        </w:rPr>
        <w:t>[</w:t>
      </w:r>
      <w:r w:rsidRPr="00A61E39">
        <w:rPr>
          <w:smallCaps/>
          <w:sz w:val="20"/>
          <w:szCs w:val="20"/>
          <w:lang w:val="fr-CA"/>
        </w:rPr>
        <w:t>traduction</w:t>
      </w:r>
      <w:r w:rsidRPr="00A61E39">
        <w:rPr>
          <w:sz w:val="20"/>
          <w:szCs w:val="20"/>
          <w:lang w:val="fr-CA"/>
        </w:rPr>
        <w:t>]</w:t>
      </w:r>
    </w:p>
    <w:p w:rsidR="00A61E39" w:rsidRPr="00A61E39" w:rsidRDefault="00A61E39" w:rsidP="00A61E39">
      <w:pPr>
        <w:jc w:val="both"/>
        <w:rPr>
          <w:rFonts w:cs="Times New Roman"/>
          <w:sz w:val="20"/>
          <w:szCs w:val="20"/>
          <w:lang w:val="fr-CA"/>
        </w:rPr>
      </w:pPr>
      <w:r w:rsidRPr="00A61E39">
        <w:rPr>
          <w:smallCaps/>
          <w:sz w:val="20"/>
          <w:szCs w:val="20"/>
          <w:lang w:val="fr-CA"/>
        </w:rPr>
        <w:t xml:space="preserve">Le juge Moldaver </w:t>
      </w:r>
      <w:r w:rsidRPr="00A61E39">
        <w:rPr>
          <w:rFonts w:cs="Times New Roman"/>
          <w:sz w:val="20"/>
          <w:szCs w:val="20"/>
          <w:lang w:val="fr-CA"/>
        </w:rPr>
        <w:t>— Nous sommes toutes et tous d’avis que le pourvoi doit être accueilli et qu’un nouveau procès doit être ordonné pour tous les chefs d’accusation. Le fait que la Couronne n’a pas communiqué le rapport du Dr Glancy avant la fin du témoignage de la Dre Walker, en plus du fait qu’elle n’a pas contre-interrogé la Dre Walker au sujet du contenu de ce rapport, a entravé la capacité de Mme Doonanco de connaître la preuve à charge et de présenter une défense pleine et entière. Dans cette mesure, nous souscrivons aux motifs de la juge Bielby, dissidente en Cour d’appel.</w:t>
      </w:r>
    </w:p>
    <w:p w:rsidR="00A61E39" w:rsidRPr="00A61E39" w:rsidRDefault="00A61E39" w:rsidP="00A61E39">
      <w:pPr>
        <w:jc w:val="both"/>
        <w:rPr>
          <w:rFonts w:cs="Times New Roman"/>
          <w:sz w:val="20"/>
          <w:szCs w:val="20"/>
          <w:lang w:val="fr-CA"/>
        </w:rPr>
      </w:pPr>
    </w:p>
    <w:p w:rsidR="00A61E39" w:rsidRPr="00A61E39" w:rsidRDefault="00A61E39" w:rsidP="00A61E39">
      <w:pPr>
        <w:jc w:val="both"/>
        <w:rPr>
          <w:rFonts w:cs="Times New Roman"/>
          <w:sz w:val="20"/>
          <w:szCs w:val="20"/>
          <w:lang w:val="fr-CA"/>
        </w:rPr>
      </w:pPr>
      <w:r w:rsidRPr="00A61E39">
        <w:rPr>
          <w:rFonts w:cs="Times New Roman"/>
          <w:sz w:val="20"/>
          <w:szCs w:val="20"/>
          <w:lang w:val="fr-CA"/>
        </w:rPr>
        <w:t>Toutefois, soit dit en tout respect, nous ne sommes pas convaincus, contrairement à la juge Bielby, que la décision réparatrice  prononcée par la juge du procès pouvait compenser le préjudice causé à Mme Doonanco par la façon dont la Couronne a procédé. Dans les circonstances, nous estimons que la seule façon de préserver le droit de Mme Doonanco à un procès équitable était d’empêcher le Dr Glancy de témoigner.</w:t>
      </w:r>
    </w:p>
    <w:p w:rsidR="00A61E39" w:rsidRPr="00A61E39" w:rsidRDefault="00A61E39" w:rsidP="00A61E39">
      <w:pPr>
        <w:jc w:val="both"/>
        <w:rPr>
          <w:rFonts w:cs="Times New Roman"/>
          <w:sz w:val="20"/>
          <w:szCs w:val="20"/>
          <w:lang w:val="fr-CA"/>
        </w:rPr>
      </w:pPr>
    </w:p>
    <w:p w:rsidR="00A61E39" w:rsidRPr="00A61E39" w:rsidRDefault="00A61E39" w:rsidP="00A61E39">
      <w:pPr>
        <w:jc w:val="both"/>
        <w:rPr>
          <w:sz w:val="20"/>
          <w:szCs w:val="20"/>
          <w:lang w:val="fr-CA"/>
        </w:rPr>
      </w:pPr>
      <w:r w:rsidRPr="00A61E39">
        <w:rPr>
          <w:rFonts w:cs="Times New Roman"/>
          <w:sz w:val="20"/>
          <w:szCs w:val="20"/>
          <w:lang w:val="fr-CA"/>
        </w:rPr>
        <w:t xml:space="preserve">Le témoignage du Dr Glancy a eu comme effet net de remettre en question la compétence de la Dre Walker et la fiabilité de son témoignage d’expert en montrant qu’elle a omis de prendre en considération, et par le fait même d’expliquer, un certain nombre de facteurs qui, selon le Dr Glancy, étaient atypiques du syndrome de la femme battue </w:t>
      </w:r>
      <w:r w:rsidRPr="00A61E39">
        <w:rPr>
          <w:sz w:val="20"/>
          <w:szCs w:val="20"/>
          <w:lang w:val="fr-CA"/>
        </w:rPr>
        <w:t>— des facteurs qui ont affaibli la conclusion de la Dre Walker selon laquelle Mme Doonanco souffrait de ce syndrome lorsqu’elle a tué son partenaire.</w:t>
      </w:r>
    </w:p>
    <w:p w:rsidR="00A61E39" w:rsidRPr="00A61E39" w:rsidRDefault="00A61E39" w:rsidP="00A61E39">
      <w:pPr>
        <w:jc w:val="both"/>
        <w:rPr>
          <w:sz w:val="20"/>
          <w:szCs w:val="20"/>
          <w:lang w:val="fr-CA"/>
        </w:rPr>
      </w:pPr>
    </w:p>
    <w:p w:rsidR="00A61E39" w:rsidRPr="00A61E39" w:rsidRDefault="00A61E39" w:rsidP="00A61E39">
      <w:pPr>
        <w:jc w:val="both"/>
        <w:rPr>
          <w:sz w:val="20"/>
          <w:szCs w:val="20"/>
          <w:lang w:val="fr-CA"/>
        </w:rPr>
      </w:pPr>
      <w:r w:rsidRPr="00A61E39">
        <w:rPr>
          <w:sz w:val="20"/>
          <w:szCs w:val="20"/>
          <w:lang w:val="fr-CA"/>
        </w:rPr>
        <w:t xml:space="preserve">Parce que le rapport du Dr Glancy n’a pas été communiqué à la défense avant la fin du témoignage de la Dre Walker, et parce que la Couronne n’a jamais présenté en contre-interrogatoire à la Dre Walker les facteurs sur lesquels le Dr Glancy s’est fondé pour qualifier le cas de Mme Doonanco d’atypique, la défense n’était pas en mesure de répondre aux critiques du Dr Glancy. Ces éléments ont fait en sorte que le procès de Mme Doonanco était inéquitable, donnant ainsi lieu à une erreur judiciaire (voir </w:t>
      </w:r>
      <w:r w:rsidRPr="00A61E39">
        <w:rPr>
          <w:i/>
          <w:sz w:val="20"/>
          <w:szCs w:val="20"/>
          <w:lang w:val="fr-CA"/>
        </w:rPr>
        <w:t>Code criminel</w:t>
      </w:r>
      <w:r w:rsidRPr="00A61E39">
        <w:rPr>
          <w:sz w:val="20"/>
          <w:szCs w:val="20"/>
          <w:lang w:val="fr-CA"/>
        </w:rPr>
        <w:t>, L.R.C. 1985, c. C-46, al. 686(1)a)(iii)).</w:t>
      </w:r>
    </w:p>
    <w:p w:rsidR="00A61E39" w:rsidRPr="00A61E39" w:rsidRDefault="00A61E39" w:rsidP="00A61E39">
      <w:pPr>
        <w:jc w:val="both"/>
        <w:rPr>
          <w:sz w:val="20"/>
          <w:szCs w:val="20"/>
          <w:lang w:val="fr-CA"/>
        </w:rPr>
      </w:pPr>
    </w:p>
    <w:p w:rsidR="00A61E39" w:rsidRPr="00A61E39" w:rsidRDefault="00A61E39" w:rsidP="00A61E39">
      <w:pPr>
        <w:jc w:val="both"/>
        <w:rPr>
          <w:sz w:val="20"/>
          <w:szCs w:val="20"/>
          <w:lang w:val="fr-CA"/>
        </w:rPr>
      </w:pPr>
      <w:r w:rsidRPr="00A61E39">
        <w:rPr>
          <w:sz w:val="20"/>
          <w:szCs w:val="20"/>
          <w:lang w:val="fr-CA"/>
        </w:rPr>
        <w:t>Par conséquent, le pourvoi est accueilli, les déclarations de culpabilité sont annulées et un nouveau procès est ordonné pour tous les chefs d’accusation.</w:t>
      </w:r>
    </w:p>
    <w:p w:rsidR="00A61E39" w:rsidRPr="00A61E39" w:rsidRDefault="00A61E39" w:rsidP="00102792">
      <w:pPr>
        <w:ind w:left="1109" w:hanging="1109"/>
        <w:rPr>
          <w:bCs/>
          <w:color w:val="000000"/>
          <w:sz w:val="20"/>
          <w:szCs w:val="20"/>
          <w:lang w:val="fr-CA"/>
        </w:rPr>
      </w:pPr>
    </w:p>
    <w:p w:rsidR="00E06F20" w:rsidRPr="00956D0A" w:rsidRDefault="00937000" w:rsidP="00281DA2">
      <w:pPr>
        <w:jc w:val="center"/>
        <w:rPr>
          <w:color w:val="000000"/>
          <w:sz w:val="20"/>
          <w:szCs w:val="27"/>
        </w:rPr>
      </w:pPr>
      <w:r>
        <w:rPr>
          <w:sz w:val="20"/>
          <w:szCs w:val="20"/>
        </w:rPr>
        <w:pict>
          <v:rect id="_x0000_i1084" style="width:2in;height:1pt" o:hrpct="0" o:hralign="center" o:hrstd="t" o:hrnoshade="t" o:hr="t" fillcolor="black [3213]" stroked="f"/>
        </w:pict>
      </w:r>
    </w:p>
    <w:p w:rsidR="00102792" w:rsidRPr="00956D0A" w:rsidRDefault="00102792" w:rsidP="00102792">
      <w:pPr>
        <w:widowControl w:val="0"/>
        <w:rPr>
          <w:sz w:val="20"/>
          <w:szCs w:val="20"/>
        </w:rPr>
      </w:pPr>
    </w:p>
    <w:p w:rsidR="00730514" w:rsidRPr="00956D0A" w:rsidRDefault="00730514" w:rsidP="00730514">
      <w:pPr>
        <w:rPr>
          <w:b/>
          <w:sz w:val="20"/>
          <w:szCs w:val="20"/>
        </w:rPr>
      </w:pPr>
      <w:r w:rsidRPr="00956D0A">
        <w:rPr>
          <w:b/>
          <w:sz w:val="20"/>
          <w:szCs w:val="20"/>
        </w:rPr>
        <w:t>FEBRUARY 19, 2020 / LE 19 FÉVRIER 2020</w:t>
      </w:r>
    </w:p>
    <w:p w:rsidR="00A234E1" w:rsidRPr="00956D0A" w:rsidRDefault="00A234E1" w:rsidP="00A234E1">
      <w:pPr>
        <w:widowControl w:val="0"/>
        <w:rPr>
          <w:sz w:val="20"/>
          <w:szCs w:val="20"/>
        </w:rPr>
      </w:pPr>
    </w:p>
    <w:p w:rsidR="00730514" w:rsidRPr="00956D0A" w:rsidRDefault="00730514" w:rsidP="00730514">
      <w:pPr>
        <w:widowControl w:val="0"/>
        <w:rPr>
          <w:sz w:val="20"/>
          <w:szCs w:val="20"/>
        </w:rPr>
      </w:pPr>
      <w:r w:rsidRPr="00956D0A">
        <w:rPr>
          <w:b/>
          <w:sz w:val="20"/>
          <w:szCs w:val="20"/>
        </w:rPr>
        <w:t xml:space="preserve">S.H. v. Her Majesty the Queen </w:t>
      </w:r>
      <w:r w:rsidRPr="00956D0A">
        <w:rPr>
          <w:sz w:val="20"/>
          <w:szCs w:val="20"/>
        </w:rPr>
        <w:t>(Ont.) (Criminal) (As of Right)</w:t>
      </w:r>
      <w:r w:rsidRPr="00956D0A">
        <w:rPr>
          <w:iCs/>
          <w:sz w:val="20"/>
          <w:szCs w:val="20"/>
        </w:rPr>
        <w:t xml:space="preserve"> (</w:t>
      </w:r>
      <w:hyperlink r:id="rId108" w:history="1">
        <w:r w:rsidRPr="00956D0A">
          <w:rPr>
            <w:rStyle w:val="Hyperlink"/>
            <w:iCs/>
            <w:sz w:val="20"/>
            <w:szCs w:val="20"/>
          </w:rPr>
          <w:t>38827</w:t>
        </w:r>
      </w:hyperlink>
      <w:r w:rsidRPr="00956D0A">
        <w:rPr>
          <w:iCs/>
          <w:sz w:val="20"/>
          <w:szCs w:val="20"/>
        </w:rPr>
        <w:t>)</w:t>
      </w:r>
    </w:p>
    <w:p w:rsidR="00730514" w:rsidRPr="00956D0A" w:rsidRDefault="00730514" w:rsidP="00730514">
      <w:pPr>
        <w:widowControl w:val="0"/>
        <w:ind w:left="1109" w:hanging="1109"/>
        <w:rPr>
          <w:sz w:val="20"/>
          <w:szCs w:val="20"/>
        </w:rPr>
      </w:pPr>
      <w:r w:rsidRPr="00956D0A">
        <w:rPr>
          <w:b/>
          <w:sz w:val="20"/>
          <w:szCs w:val="20"/>
        </w:rPr>
        <w:t xml:space="preserve">2020 SCC </w:t>
      </w:r>
      <w:r w:rsidR="00536B3F" w:rsidRPr="00956D0A">
        <w:rPr>
          <w:b/>
          <w:sz w:val="20"/>
          <w:szCs w:val="20"/>
        </w:rPr>
        <w:t>3</w:t>
      </w:r>
      <w:r w:rsidRPr="00956D0A">
        <w:rPr>
          <w:b/>
          <w:sz w:val="20"/>
          <w:szCs w:val="20"/>
        </w:rPr>
        <w:t xml:space="preserve"> / 2020 CSC </w:t>
      </w:r>
      <w:r w:rsidR="00536B3F" w:rsidRPr="00956D0A">
        <w:rPr>
          <w:b/>
          <w:sz w:val="20"/>
          <w:szCs w:val="20"/>
        </w:rPr>
        <w:t>3</w:t>
      </w:r>
    </w:p>
    <w:p w:rsidR="00730514" w:rsidRPr="00956D0A" w:rsidRDefault="00730514" w:rsidP="00730514">
      <w:pPr>
        <w:widowControl w:val="0"/>
        <w:ind w:left="1109" w:hanging="1109"/>
        <w:rPr>
          <w:sz w:val="20"/>
          <w:szCs w:val="20"/>
        </w:rPr>
      </w:pPr>
    </w:p>
    <w:p w:rsidR="00730514" w:rsidRPr="00956D0A" w:rsidRDefault="00730514" w:rsidP="00730514">
      <w:pPr>
        <w:widowControl w:val="0"/>
        <w:ind w:left="1109" w:hanging="1109"/>
        <w:rPr>
          <w:sz w:val="20"/>
          <w:szCs w:val="20"/>
        </w:rPr>
      </w:pPr>
      <w:r w:rsidRPr="00956D0A">
        <w:rPr>
          <w:sz w:val="20"/>
          <w:szCs w:val="20"/>
        </w:rPr>
        <w:t xml:space="preserve">Coram: </w:t>
      </w:r>
      <w:r w:rsidRPr="00956D0A">
        <w:rPr>
          <w:sz w:val="20"/>
          <w:szCs w:val="20"/>
        </w:rPr>
        <w:tab/>
        <w:t>Abella, Moldaver, Côté, Brown and Martin JJ.</w:t>
      </w:r>
    </w:p>
    <w:p w:rsidR="00730514" w:rsidRPr="00956D0A" w:rsidRDefault="00730514" w:rsidP="00730514">
      <w:pPr>
        <w:widowControl w:val="0"/>
        <w:ind w:left="1109" w:hanging="1109"/>
        <w:rPr>
          <w:sz w:val="20"/>
          <w:szCs w:val="20"/>
        </w:rPr>
      </w:pPr>
    </w:p>
    <w:p w:rsidR="00730514" w:rsidRPr="00956D0A" w:rsidRDefault="00730514" w:rsidP="00730514">
      <w:pPr>
        <w:widowControl w:val="0"/>
        <w:tabs>
          <w:tab w:val="left" w:pos="720"/>
          <w:tab w:val="left" w:pos="1440"/>
          <w:tab w:val="left" w:pos="2851"/>
          <w:tab w:val="left" w:pos="4320"/>
          <w:tab w:val="left" w:pos="10224"/>
          <w:tab w:val="left" w:pos="11376"/>
        </w:tabs>
        <w:rPr>
          <w:sz w:val="20"/>
          <w:szCs w:val="20"/>
        </w:rPr>
      </w:pPr>
      <w:r w:rsidRPr="00956D0A">
        <w:rPr>
          <w:b/>
          <w:sz w:val="20"/>
          <w:szCs w:val="20"/>
        </w:rPr>
        <w:t>DISMISSED</w:t>
      </w:r>
      <w:r w:rsidR="006B00FA" w:rsidRPr="00956D0A">
        <w:rPr>
          <w:b/>
          <w:sz w:val="20"/>
          <w:szCs w:val="20"/>
        </w:rPr>
        <w:t>, Brown and Martin JJ. dissenting</w:t>
      </w:r>
      <w:r w:rsidRPr="00956D0A">
        <w:rPr>
          <w:b/>
          <w:sz w:val="20"/>
          <w:szCs w:val="20"/>
        </w:rPr>
        <w:t xml:space="preserve"> / REJETÉ</w:t>
      </w:r>
      <w:r w:rsidR="006B00FA" w:rsidRPr="00956D0A">
        <w:rPr>
          <w:b/>
          <w:sz w:val="20"/>
          <w:szCs w:val="20"/>
        </w:rPr>
        <w:t>, les juges Brown et Martin sont dissidents</w:t>
      </w:r>
    </w:p>
    <w:p w:rsidR="00E06F20" w:rsidRPr="00956D0A" w:rsidRDefault="00E06F20" w:rsidP="00A234E1">
      <w:pPr>
        <w:jc w:val="both"/>
        <w:rPr>
          <w:sz w:val="20"/>
          <w:szCs w:val="20"/>
          <w:lang w:val="en-US"/>
        </w:rPr>
      </w:pPr>
    </w:p>
    <w:p w:rsidR="00D004FC" w:rsidRPr="00956D0A" w:rsidRDefault="00937000" w:rsidP="00102792">
      <w:pPr>
        <w:rPr>
          <w:sz w:val="20"/>
          <w:szCs w:val="20"/>
          <w:lang w:val="fr-CA"/>
        </w:rPr>
      </w:pPr>
      <w:r>
        <w:rPr>
          <w:sz w:val="20"/>
          <w:szCs w:val="20"/>
        </w:rPr>
        <w:pict>
          <v:rect id="_x0000_i1085" style="width:2in;height:1pt" o:hrpct="0" o:hralign="center" o:hrstd="t" o:hrnoshade="t" o:hr="t" fillcolor="black [3213]" stroked="f"/>
        </w:pict>
      </w:r>
    </w:p>
    <w:p w:rsidR="00730514" w:rsidRPr="00956D0A" w:rsidRDefault="00730514" w:rsidP="00730514">
      <w:pPr>
        <w:widowControl w:val="0"/>
        <w:rPr>
          <w:sz w:val="20"/>
          <w:szCs w:val="20"/>
        </w:rPr>
      </w:pPr>
    </w:p>
    <w:p w:rsidR="00730514" w:rsidRPr="00956D0A" w:rsidRDefault="00730514" w:rsidP="00730514">
      <w:pPr>
        <w:rPr>
          <w:b/>
          <w:sz w:val="20"/>
          <w:szCs w:val="20"/>
          <w:lang w:val="en-US"/>
        </w:rPr>
      </w:pPr>
      <w:r w:rsidRPr="00956D0A">
        <w:rPr>
          <w:b/>
          <w:sz w:val="20"/>
          <w:szCs w:val="20"/>
          <w:lang w:val="en-US"/>
        </w:rPr>
        <w:t>FEBRUARY 20, 2020 / LE 20 FÉVRIER 2020</w:t>
      </w:r>
    </w:p>
    <w:p w:rsidR="00730514" w:rsidRPr="00956D0A" w:rsidRDefault="00730514" w:rsidP="00730514">
      <w:pPr>
        <w:widowControl w:val="0"/>
        <w:rPr>
          <w:sz w:val="20"/>
          <w:szCs w:val="20"/>
          <w:lang w:val="en-US"/>
        </w:rPr>
      </w:pPr>
    </w:p>
    <w:p w:rsidR="00730514" w:rsidRPr="00956D0A" w:rsidRDefault="00730514" w:rsidP="00730514">
      <w:pPr>
        <w:widowControl w:val="0"/>
        <w:rPr>
          <w:sz w:val="20"/>
          <w:szCs w:val="20"/>
        </w:rPr>
      </w:pPr>
      <w:r w:rsidRPr="00956D0A">
        <w:rPr>
          <w:b/>
          <w:sz w:val="20"/>
          <w:szCs w:val="20"/>
        </w:rPr>
        <w:t xml:space="preserve">Attorney General of Ontario v. G. </w:t>
      </w:r>
      <w:r w:rsidRPr="00956D0A">
        <w:rPr>
          <w:sz w:val="20"/>
          <w:szCs w:val="20"/>
        </w:rPr>
        <w:t xml:space="preserve">(Ont.) (Criminal) (By Leave) </w:t>
      </w:r>
      <w:r w:rsidRPr="00956D0A">
        <w:rPr>
          <w:iCs/>
          <w:sz w:val="20"/>
          <w:szCs w:val="20"/>
        </w:rPr>
        <w:t>(</w:t>
      </w:r>
      <w:hyperlink r:id="rId109" w:history="1">
        <w:r w:rsidRPr="00956D0A">
          <w:rPr>
            <w:rStyle w:val="Hyperlink"/>
            <w:iCs/>
            <w:sz w:val="20"/>
            <w:szCs w:val="20"/>
          </w:rPr>
          <w:t>38585</w:t>
        </w:r>
      </w:hyperlink>
      <w:r w:rsidRPr="00956D0A">
        <w:rPr>
          <w:iCs/>
          <w:sz w:val="20"/>
          <w:szCs w:val="20"/>
        </w:rPr>
        <w:t>)</w:t>
      </w:r>
    </w:p>
    <w:p w:rsidR="00730514" w:rsidRPr="00956D0A" w:rsidRDefault="00730514" w:rsidP="00730514">
      <w:pPr>
        <w:widowControl w:val="0"/>
        <w:ind w:left="1109" w:hanging="1109"/>
        <w:rPr>
          <w:sz w:val="20"/>
          <w:szCs w:val="20"/>
        </w:rPr>
      </w:pPr>
    </w:p>
    <w:p w:rsidR="00730514" w:rsidRPr="00956D0A" w:rsidRDefault="00730514" w:rsidP="00730514">
      <w:pPr>
        <w:widowControl w:val="0"/>
        <w:ind w:left="1109" w:hanging="1109"/>
        <w:rPr>
          <w:sz w:val="20"/>
          <w:szCs w:val="20"/>
        </w:rPr>
      </w:pPr>
      <w:r w:rsidRPr="00956D0A">
        <w:rPr>
          <w:sz w:val="20"/>
          <w:szCs w:val="20"/>
        </w:rPr>
        <w:t xml:space="preserve">Coram: </w:t>
      </w:r>
      <w:r w:rsidRPr="00956D0A">
        <w:rPr>
          <w:sz w:val="20"/>
          <w:szCs w:val="20"/>
        </w:rPr>
        <w:tab/>
        <w:t>Wagner C.J. and Abella, Moldaver, Karakatsanis, Côté, Brown, Rowe, Martin and Kasirer JJ.</w:t>
      </w:r>
    </w:p>
    <w:p w:rsidR="00730514" w:rsidRPr="00956D0A" w:rsidRDefault="00730514" w:rsidP="00730514">
      <w:pPr>
        <w:widowControl w:val="0"/>
        <w:ind w:left="1109" w:hanging="1109"/>
        <w:rPr>
          <w:sz w:val="20"/>
          <w:szCs w:val="20"/>
        </w:rPr>
      </w:pPr>
    </w:p>
    <w:p w:rsidR="00730514" w:rsidRPr="00956D0A" w:rsidRDefault="00730514" w:rsidP="00730514">
      <w:pPr>
        <w:widowControl w:val="0"/>
        <w:ind w:left="1109" w:hanging="1109"/>
        <w:rPr>
          <w:sz w:val="20"/>
          <w:szCs w:val="20"/>
        </w:rPr>
      </w:pPr>
      <w:r w:rsidRPr="00956D0A">
        <w:rPr>
          <w:b/>
          <w:sz w:val="20"/>
          <w:szCs w:val="20"/>
        </w:rPr>
        <w:t>RESERVED / EN DÉLIBÉRÉ</w:t>
      </w:r>
    </w:p>
    <w:p w:rsidR="00730514" w:rsidRPr="00956D0A" w:rsidRDefault="00730514" w:rsidP="00732DB7">
      <w:pPr>
        <w:widowControl w:val="0"/>
        <w:rPr>
          <w:sz w:val="20"/>
          <w:szCs w:val="20"/>
          <w:lang w:val="fr-CA"/>
        </w:rPr>
      </w:pPr>
    </w:p>
    <w:p w:rsidR="00730514" w:rsidRPr="00956D0A" w:rsidRDefault="00937000" w:rsidP="00732DB7">
      <w:pPr>
        <w:widowControl w:val="0"/>
        <w:rPr>
          <w:sz w:val="20"/>
          <w:szCs w:val="20"/>
          <w:lang w:val="fr-CA"/>
        </w:rPr>
      </w:pPr>
      <w:r>
        <w:rPr>
          <w:sz w:val="20"/>
          <w:szCs w:val="20"/>
        </w:rPr>
        <w:pict>
          <v:rect id="_x0000_i1086" style="width:2in;height:1pt" o:hrpct="0" o:hralign="center" o:hrstd="t" o:hrnoshade="t" o:hr="t" fillcolor="black [3213]" stroked="f"/>
        </w:pict>
      </w:r>
    </w:p>
    <w:p w:rsidR="00730514" w:rsidRPr="00956D0A" w:rsidRDefault="00730514" w:rsidP="00732DB7">
      <w:pPr>
        <w:widowControl w:val="0"/>
        <w:rPr>
          <w:sz w:val="20"/>
          <w:szCs w:val="20"/>
          <w:lang w:val="fr-CA"/>
        </w:rPr>
      </w:pPr>
    </w:p>
    <w:p w:rsidR="00730514" w:rsidRPr="00956D0A" w:rsidRDefault="00730514" w:rsidP="00732DB7">
      <w:pPr>
        <w:widowControl w:val="0"/>
        <w:rPr>
          <w:sz w:val="20"/>
          <w:szCs w:val="20"/>
          <w:lang w:val="fr-CA"/>
        </w:rPr>
      </w:pPr>
    </w:p>
    <w:p w:rsidR="00732DB7" w:rsidRPr="00956D0A" w:rsidRDefault="00732DB7" w:rsidP="00732DB7">
      <w:pPr>
        <w:widowControl w:val="0"/>
        <w:rPr>
          <w:sz w:val="20"/>
          <w:szCs w:val="20"/>
          <w:lang w:val="fr-CA"/>
        </w:rPr>
      </w:pPr>
    </w:p>
    <w:p w:rsidR="00732DB7" w:rsidRPr="00956D0A" w:rsidRDefault="00732DB7" w:rsidP="00732DB7">
      <w:pPr>
        <w:widowControl w:val="0"/>
        <w:rPr>
          <w:sz w:val="20"/>
          <w:szCs w:val="20"/>
          <w:lang w:val="fr-CA"/>
        </w:rPr>
        <w:sectPr w:rsidR="00732DB7" w:rsidRPr="00956D0A" w:rsidSect="00732DB7">
          <w:headerReference w:type="even" r:id="rId110"/>
          <w:headerReference w:type="default" r:id="rId111"/>
          <w:footerReference w:type="even" r:id="rId112"/>
          <w:footerReference w:type="default" r:id="rId113"/>
          <w:headerReference w:type="first" r:id="rId114"/>
          <w:footerReference w:type="first" r:id="rId115"/>
          <w:pgSz w:w="12240" w:h="15840"/>
          <w:pgMar w:top="720" w:right="965" w:bottom="1080" w:left="1656" w:header="720" w:footer="960" w:gutter="0"/>
          <w:cols w:space="720"/>
          <w:titlePg/>
          <w:docGrid w:linePitch="326"/>
        </w:sectPr>
      </w:pPr>
    </w:p>
    <w:p w:rsidR="00567602" w:rsidRPr="00956D0A" w:rsidRDefault="001434B9" w:rsidP="00567602">
      <w:pPr>
        <w:pStyle w:val="Header1StyleE"/>
        <w:pBdr>
          <w:bottom w:val="single" w:sz="12" w:space="1" w:color="auto"/>
        </w:pBdr>
        <w:rPr>
          <w:lang w:val="fr-CA"/>
        </w:rPr>
      </w:pPr>
      <w:bookmarkStart w:id="9" w:name="_Toc32998871"/>
      <w:r w:rsidRPr="00956D0A">
        <w:rPr>
          <w:lang w:val="fr-CA"/>
        </w:rPr>
        <w:t>Pronouncements of reserved</w:t>
      </w:r>
      <w:r w:rsidR="00271E1E" w:rsidRPr="00956D0A">
        <w:rPr>
          <w:lang w:val="fr-CA"/>
        </w:rPr>
        <w:t xml:space="preserve"> appeals / </w:t>
      </w:r>
      <w:r w:rsidR="00567602" w:rsidRPr="00956D0A">
        <w:rPr>
          <w:lang w:val="fr-CA"/>
        </w:rPr>
        <w:br/>
      </w:r>
      <w:r w:rsidRPr="00956D0A">
        <w:rPr>
          <w:lang w:val="fr-CA"/>
        </w:rPr>
        <w:t>Jugements rendus sur les appels en délibéré</w:t>
      </w:r>
      <w:bookmarkEnd w:id="9"/>
    </w:p>
    <w:p w:rsidR="00FF6EEC" w:rsidRPr="00956D0A" w:rsidRDefault="00FF6EEC" w:rsidP="00FF6EEC">
      <w:pPr>
        <w:rPr>
          <w:sz w:val="20"/>
          <w:szCs w:val="20"/>
          <w:lang w:val="fr-CA"/>
        </w:rPr>
      </w:pPr>
    </w:p>
    <w:p w:rsidR="00102792" w:rsidRPr="00956D0A" w:rsidRDefault="00172473" w:rsidP="00102792">
      <w:pPr>
        <w:rPr>
          <w:b/>
          <w:sz w:val="20"/>
          <w:szCs w:val="20"/>
          <w:lang w:val="en-US"/>
        </w:rPr>
      </w:pPr>
      <w:r w:rsidRPr="00956D0A">
        <w:rPr>
          <w:b/>
          <w:sz w:val="20"/>
          <w:szCs w:val="20"/>
          <w:lang w:val="en-US"/>
        </w:rPr>
        <w:t>FEBRUARY</w:t>
      </w:r>
      <w:r w:rsidR="00102792" w:rsidRPr="00956D0A">
        <w:rPr>
          <w:b/>
          <w:sz w:val="20"/>
          <w:szCs w:val="20"/>
          <w:lang w:val="en-US"/>
        </w:rPr>
        <w:t xml:space="preserve"> </w:t>
      </w:r>
      <w:r w:rsidRPr="00956D0A">
        <w:rPr>
          <w:b/>
          <w:sz w:val="20"/>
          <w:szCs w:val="20"/>
          <w:lang w:val="en-US"/>
        </w:rPr>
        <w:t>2</w:t>
      </w:r>
      <w:r w:rsidR="00102792" w:rsidRPr="00956D0A">
        <w:rPr>
          <w:b/>
          <w:sz w:val="20"/>
          <w:szCs w:val="20"/>
          <w:lang w:val="en-US"/>
        </w:rPr>
        <w:t xml:space="preserve">1, </w:t>
      </w:r>
      <w:r w:rsidR="0034657E" w:rsidRPr="00956D0A">
        <w:rPr>
          <w:b/>
          <w:sz w:val="20"/>
          <w:szCs w:val="20"/>
          <w:lang w:val="en-US"/>
        </w:rPr>
        <w:t>20</w:t>
      </w:r>
      <w:r w:rsidRPr="00956D0A">
        <w:rPr>
          <w:b/>
          <w:sz w:val="20"/>
          <w:szCs w:val="20"/>
          <w:lang w:val="en-US"/>
        </w:rPr>
        <w:t>20</w:t>
      </w:r>
      <w:r w:rsidR="00102792" w:rsidRPr="00956D0A">
        <w:rPr>
          <w:b/>
          <w:sz w:val="20"/>
          <w:szCs w:val="20"/>
          <w:lang w:val="en-US"/>
        </w:rPr>
        <w:t xml:space="preserve"> / LE </w:t>
      </w:r>
      <w:r w:rsidRPr="00956D0A">
        <w:rPr>
          <w:b/>
          <w:sz w:val="20"/>
          <w:szCs w:val="20"/>
          <w:lang w:val="en-US"/>
        </w:rPr>
        <w:t>2</w:t>
      </w:r>
      <w:r w:rsidR="00102792" w:rsidRPr="00956D0A">
        <w:rPr>
          <w:b/>
          <w:sz w:val="20"/>
          <w:szCs w:val="20"/>
          <w:lang w:val="en-US"/>
        </w:rPr>
        <w:t xml:space="preserve">1 </w:t>
      </w:r>
      <w:r w:rsidRPr="00956D0A">
        <w:rPr>
          <w:b/>
          <w:sz w:val="20"/>
          <w:szCs w:val="20"/>
          <w:lang w:val="en-US"/>
        </w:rPr>
        <w:t>FÉVRIER</w:t>
      </w:r>
      <w:r w:rsidR="00102792" w:rsidRPr="00956D0A">
        <w:rPr>
          <w:b/>
          <w:sz w:val="20"/>
          <w:szCs w:val="20"/>
          <w:lang w:val="en-US"/>
        </w:rPr>
        <w:t xml:space="preserve"> </w:t>
      </w:r>
      <w:r w:rsidR="0034657E" w:rsidRPr="00956D0A">
        <w:rPr>
          <w:b/>
          <w:sz w:val="20"/>
          <w:szCs w:val="20"/>
          <w:lang w:val="en-US"/>
        </w:rPr>
        <w:t>20</w:t>
      </w:r>
      <w:r w:rsidRPr="00956D0A">
        <w:rPr>
          <w:b/>
          <w:sz w:val="20"/>
          <w:szCs w:val="20"/>
          <w:lang w:val="en-US"/>
        </w:rPr>
        <w:t>20</w:t>
      </w:r>
    </w:p>
    <w:p w:rsidR="00102792" w:rsidRPr="00956D0A" w:rsidRDefault="00102792" w:rsidP="00102792">
      <w:pPr>
        <w:rPr>
          <w:sz w:val="20"/>
          <w:szCs w:val="20"/>
          <w:lang w:val="en-US"/>
        </w:rPr>
      </w:pPr>
    </w:p>
    <w:p w:rsidR="00102792" w:rsidRPr="00956D0A" w:rsidRDefault="00102792" w:rsidP="00102792">
      <w:pPr>
        <w:ind w:left="1440" w:hanging="1440"/>
        <w:jc w:val="both"/>
        <w:rPr>
          <w:rFonts w:eastAsia="Times New Roman" w:cs="Times New Roman"/>
          <w:color w:val="000000"/>
          <w:sz w:val="20"/>
          <w:szCs w:val="20"/>
          <w:lang w:val="en-US"/>
        </w:rPr>
      </w:pPr>
      <w:r w:rsidRPr="00956D0A">
        <w:rPr>
          <w:rFonts w:eastAsia="Times New Roman" w:cs="Times New Roman"/>
          <w:b/>
          <w:bCs/>
          <w:color w:val="000000"/>
          <w:sz w:val="20"/>
          <w:szCs w:val="20"/>
          <w:lang w:val="en-US"/>
        </w:rPr>
        <w:t>37</w:t>
      </w:r>
      <w:r w:rsidR="001219B9" w:rsidRPr="00956D0A">
        <w:rPr>
          <w:rFonts w:eastAsia="Times New Roman" w:cs="Times New Roman"/>
          <w:b/>
          <w:bCs/>
          <w:color w:val="000000"/>
          <w:sz w:val="20"/>
          <w:szCs w:val="20"/>
          <w:lang w:val="en-US"/>
        </w:rPr>
        <w:t>91</w:t>
      </w:r>
      <w:r w:rsidRPr="00956D0A">
        <w:rPr>
          <w:rFonts w:eastAsia="Times New Roman" w:cs="Times New Roman"/>
          <w:b/>
          <w:bCs/>
          <w:color w:val="000000"/>
          <w:sz w:val="20"/>
          <w:szCs w:val="20"/>
          <w:lang w:val="en-US"/>
        </w:rPr>
        <w:t>2</w:t>
      </w:r>
      <w:r w:rsidR="00172473" w:rsidRPr="00956D0A">
        <w:rPr>
          <w:rFonts w:eastAsia="Times New Roman" w:cs="Times New Roman"/>
          <w:b/>
          <w:bCs/>
          <w:color w:val="000000"/>
          <w:sz w:val="20"/>
          <w:szCs w:val="20"/>
          <w:lang w:val="en-US"/>
        </w:rPr>
        <w:tab/>
      </w:r>
      <w:r w:rsidR="001219B9" w:rsidRPr="00956D0A">
        <w:rPr>
          <w:rFonts w:eastAsia="Times New Roman" w:cs="Times New Roman"/>
          <w:b/>
          <w:bCs/>
          <w:color w:val="000000"/>
          <w:sz w:val="20"/>
          <w:szCs w:val="20"/>
          <w:lang w:val="en-US"/>
        </w:rPr>
        <w:t>Attorney General of Newfoundland and Labrador</w:t>
      </w:r>
      <w:r w:rsidRPr="00956D0A">
        <w:rPr>
          <w:rFonts w:eastAsia="Times New Roman" w:cs="Times New Roman"/>
          <w:b/>
          <w:bCs/>
          <w:color w:val="000000"/>
          <w:sz w:val="20"/>
          <w:szCs w:val="20"/>
          <w:lang w:val="en-US"/>
        </w:rPr>
        <w:t xml:space="preserve"> v. </w:t>
      </w:r>
      <w:r w:rsidR="001219B9" w:rsidRPr="00956D0A">
        <w:rPr>
          <w:rFonts w:eastAsia="Times New Roman" w:cs="Times New Roman"/>
          <w:b/>
          <w:bCs/>
          <w:color w:val="000000"/>
          <w:sz w:val="20"/>
          <w:szCs w:val="20"/>
          <w:lang w:val="en-US"/>
        </w:rPr>
        <w:t>Uashaunnuat (Innu of Uashat and of Mani-Utenam), Innu of Matimekush-Lac John, Chief Georges-Ernest Grégoire, Chief Réal McKenzie, Innu Takuaikan Uashat Mak Mani-Utenam Band, Innu Nation Matimekush-Lac John, Mike McKenzie, Yves Rock, Jonathan McKenzie, Ronald Fontaine, Marie-Marthe Fontaine, Marcelle St-Onge, Évelyne St-Onge, William Fontaine, Adélard Joseph, Caroline Gabriel, Marie-Marthe McKenzie, Marie-Line Ambroise, Paco Vachon, Albert Vollant, Raoul Vollant, Gilbert Michel, Agnès McKenzie, Philippe McKenzie and Auguste Jean-Pierre</w:t>
      </w:r>
      <w:r w:rsidRPr="00956D0A">
        <w:rPr>
          <w:rFonts w:eastAsia="Times New Roman" w:cs="Times New Roman"/>
          <w:b/>
          <w:bCs/>
          <w:color w:val="000000"/>
          <w:sz w:val="20"/>
          <w:szCs w:val="20"/>
          <w:lang w:val="en-US"/>
        </w:rPr>
        <w:t xml:space="preserve"> </w:t>
      </w:r>
      <w:r w:rsidR="00281DA2" w:rsidRPr="00956D0A">
        <w:rPr>
          <w:rFonts w:eastAsia="Times New Roman" w:cs="Times New Roman"/>
          <w:b/>
          <w:bCs/>
          <w:color w:val="000000"/>
          <w:sz w:val="20"/>
          <w:szCs w:val="20"/>
          <w:lang w:val="en-US"/>
        </w:rPr>
        <w:t>-</w:t>
      </w:r>
      <w:r w:rsidRPr="00956D0A">
        <w:rPr>
          <w:rFonts w:eastAsia="Times New Roman" w:cs="Times New Roman"/>
          <w:b/>
          <w:bCs/>
          <w:color w:val="000000"/>
          <w:sz w:val="20"/>
          <w:szCs w:val="20"/>
          <w:lang w:val="en-US"/>
        </w:rPr>
        <w:t xml:space="preserve"> and - </w:t>
      </w:r>
      <w:r w:rsidR="001219B9" w:rsidRPr="00956D0A">
        <w:rPr>
          <w:rFonts w:eastAsia="Times New Roman" w:cs="Times New Roman"/>
          <w:b/>
          <w:bCs/>
          <w:color w:val="000000"/>
          <w:sz w:val="20"/>
          <w:szCs w:val="20"/>
          <w:lang w:val="en-US"/>
        </w:rPr>
        <w:t xml:space="preserve">Attorney General of Canada, Attorney General of Quebec, Attorney General of British Columbia, Iron Ore Company of Canada, Quebec North Shore and Labrador Railway Company Inc., Kitigan Zibi Anishinabeg, Algonquin Anishinabeg Nation Tribal Council, Amnesty International Canada and Tsawout First Nation </w:t>
      </w:r>
      <w:r w:rsidRPr="00956D0A">
        <w:rPr>
          <w:rFonts w:eastAsia="Times New Roman" w:cs="Times New Roman"/>
          <w:color w:val="000000"/>
          <w:sz w:val="20"/>
          <w:szCs w:val="20"/>
          <w:lang w:val="en-US"/>
        </w:rPr>
        <w:t>(</w:t>
      </w:r>
      <w:r w:rsidR="001219B9" w:rsidRPr="00956D0A">
        <w:rPr>
          <w:rFonts w:eastAsia="Times New Roman" w:cs="Times New Roman"/>
          <w:color w:val="000000"/>
          <w:sz w:val="20"/>
          <w:szCs w:val="20"/>
          <w:lang w:val="en-US"/>
        </w:rPr>
        <w:t>Que</w:t>
      </w:r>
      <w:r w:rsidRPr="00956D0A">
        <w:rPr>
          <w:rFonts w:eastAsia="Times New Roman" w:cs="Times New Roman"/>
          <w:color w:val="000000"/>
          <w:sz w:val="20"/>
          <w:szCs w:val="20"/>
          <w:lang w:val="en-US"/>
        </w:rPr>
        <w:t>.)</w:t>
      </w:r>
    </w:p>
    <w:p w:rsidR="00102792" w:rsidRPr="00956D0A" w:rsidRDefault="00102792" w:rsidP="00102792">
      <w:pPr>
        <w:ind w:left="1440"/>
        <w:jc w:val="both"/>
        <w:rPr>
          <w:rFonts w:eastAsia="Times New Roman" w:cs="Times New Roman"/>
          <w:color w:val="000000"/>
          <w:sz w:val="20"/>
          <w:szCs w:val="20"/>
          <w:lang w:val="en-US"/>
        </w:rPr>
      </w:pPr>
      <w:r w:rsidRPr="00956D0A">
        <w:rPr>
          <w:rFonts w:eastAsia="Times New Roman" w:cs="Times New Roman"/>
          <w:b/>
          <w:bCs/>
          <w:color w:val="000000"/>
          <w:sz w:val="20"/>
          <w:szCs w:val="20"/>
          <w:lang w:val="en-US"/>
        </w:rPr>
        <w:t>20</w:t>
      </w:r>
      <w:r w:rsidR="00172473" w:rsidRPr="00956D0A">
        <w:rPr>
          <w:rFonts w:eastAsia="Times New Roman" w:cs="Times New Roman"/>
          <w:b/>
          <w:bCs/>
          <w:color w:val="000000"/>
          <w:sz w:val="20"/>
          <w:szCs w:val="20"/>
          <w:lang w:val="en-US"/>
        </w:rPr>
        <w:t>20</w:t>
      </w:r>
      <w:r w:rsidRPr="00956D0A">
        <w:rPr>
          <w:rFonts w:eastAsia="Times New Roman" w:cs="Times New Roman"/>
          <w:b/>
          <w:bCs/>
          <w:color w:val="000000"/>
          <w:sz w:val="20"/>
          <w:szCs w:val="20"/>
          <w:lang w:val="en-US"/>
        </w:rPr>
        <w:t xml:space="preserve"> SCC </w:t>
      </w:r>
      <w:r w:rsidR="00BE15C7" w:rsidRPr="00956D0A">
        <w:rPr>
          <w:rFonts w:eastAsia="Times New Roman" w:cs="Times New Roman"/>
          <w:b/>
          <w:bCs/>
          <w:color w:val="000000"/>
          <w:sz w:val="20"/>
          <w:szCs w:val="20"/>
          <w:lang w:val="en-US"/>
        </w:rPr>
        <w:t>4</w:t>
      </w:r>
      <w:r w:rsidRPr="00956D0A">
        <w:rPr>
          <w:rFonts w:eastAsia="Times New Roman" w:cs="Times New Roman"/>
          <w:b/>
          <w:bCs/>
          <w:color w:val="000000"/>
          <w:sz w:val="20"/>
          <w:szCs w:val="20"/>
          <w:lang w:val="en-US"/>
        </w:rPr>
        <w:t xml:space="preserve"> / 20</w:t>
      </w:r>
      <w:r w:rsidR="00172473" w:rsidRPr="00956D0A">
        <w:rPr>
          <w:rFonts w:eastAsia="Times New Roman" w:cs="Times New Roman"/>
          <w:b/>
          <w:bCs/>
          <w:color w:val="000000"/>
          <w:sz w:val="20"/>
          <w:szCs w:val="20"/>
          <w:lang w:val="en-US"/>
        </w:rPr>
        <w:t>20</w:t>
      </w:r>
      <w:r w:rsidRPr="00956D0A">
        <w:rPr>
          <w:rFonts w:eastAsia="Times New Roman" w:cs="Times New Roman"/>
          <w:b/>
          <w:bCs/>
          <w:color w:val="000000"/>
          <w:sz w:val="20"/>
          <w:szCs w:val="20"/>
          <w:lang w:val="en-US"/>
        </w:rPr>
        <w:t xml:space="preserve"> CSC </w:t>
      </w:r>
      <w:r w:rsidR="00BE15C7" w:rsidRPr="00956D0A">
        <w:rPr>
          <w:rFonts w:eastAsia="Times New Roman" w:cs="Times New Roman"/>
          <w:b/>
          <w:bCs/>
          <w:color w:val="000000"/>
          <w:sz w:val="20"/>
          <w:szCs w:val="20"/>
          <w:lang w:val="en-US"/>
        </w:rPr>
        <w:t>4</w:t>
      </w:r>
    </w:p>
    <w:p w:rsidR="00102792" w:rsidRPr="00956D0A" w:rsidRDefault="00102792" w:rsidP="00102792">
      <w:pPr>
        <w:jc w:val="both"/>
        <w:rPr>
          <w:rFonts w:eastAsia="Times New Roman" w:cs="Times New Roman"/>
          <w:color w:val="000000"/>
          <w:sz w:val="20"/>
          <w:szCs w:val="20"/>
          <w:lang w:val="en-US"/>
        </w:rPr>
      </w:pPr>
    </w:p>
    <w:p w:rsidR="00102792" w:rsidRPr="00956D0A" w:rsidRDefault="00172473" w:rsidP="00102792">
      <w:pPr>
        <w:ind w:left="1440" w:hanging="1440"/>
        <w:rPr>
          <w:rFonts w:eastAsia="Times New Roman" w:cs="Times New Roman"/>
          <w:color w:val="000000"/>
          <w:sz w:val="20"/>
          <w:szCs w:val="20"/>
          <w:lang w:val="en-US"/>
        </w:rPr>
      </w:pPr>
      <w:r w:rsidRPr="00956D0A">
        <w:rPr>
          <w:rFonts w:eastAsia="Times New Roman" w:cs="Times New Roman"/>
          <w:color w:val="000000"/>
          <w:sz w:val="20"/>
          <w:szCs w:val="20"/>
          <w:lang w:val="en-US"/>
        </w:rPr>
        <w:t>Coram:</w:t>
      </w:r>
      <w:r w:rsidRPr="00956D0A">
        <w:rPr>
          <w:rFonts w:eastAsia="Times New Roman" w:cs="Times New Roman"/>
          <w:color w:val="000000"/>
          <w:sz w:val="20"/>
          <w:szCs w:val="20"/>
          <w:lang w:val="en-US"/>
        </w:rPr>
        <w:tab/>
      </w:r>
      <w:r w:rsidR="00102792" w:rsidRPr="00956D0A">
        <w:rPr>
          <w:rFonts w:eastAsia="Times New Roman" w:cs="Times New Roman"/>
          <w:color w:val="000000"/>
          <w:sz w:val="20"/>
          <w:szCs w:val="20"/>
          <w:lang w:val="en-US"/>
        </w:rPr>
        <w:t xml:space="preserve">Wagner C.J. and Abella, Moldaver, Karakatsanis, </w:t>
      </w:r>
      <w:r w:rsidR="001219B9" w:rsidRPr="00956D0A">
        <w:rPr>
          <w:rFonts w:eastAsia="Times New Roman" w:cs="Times New Roman"/>
          <w:color w:val="000000"/>
          <w:sz w:val="20"/>
          <w:szCs w:val="20"/>
          <w:lang w:val="en-US"/>
        </w:rPr>
        <w:t xml:space="preserve">Gascon, </w:t>
      </w:r>
      <w:r w:rsidR="00102792" w:rsidRPr="00956D0A">
        <w:rPr>
          <w:rFonts w:eastAsia="Times New Roman" w:cs="Times New Roman"/>
          <w:color w:val="000000"/>
          <w:sz w:val="20"/>
          <w:szCs w:val="20"/>
          <w:lang w:val="en-US"/>
        </w:rPr>
        <w:t>Côté, Brown, Rowe</w:t>
      </w:r>
      <w:r w:rsidR="001219B9" w:rsidRPr="00956D0A">
        <w:rPr>
          <w:rFonts w:eastAsia="Times New Roman" w:cs="Times New Roman"/>
          <w:color w:val="000000"/>
          <w:sz w:val="20"/>
          <w:szCs w:val="20"/>
          <w:lang w:val="en-US"/>
        </w:rPr>
        <w:t xml:space="preserve"> and</w:t>
      </w:r>
      <w:r w:rsidRPr="00956D0A">
        <w:rPr>
          <w:rFonts w:eastAsia="Times New Roman" w:cs="Times New Roman"/>
          <w:color w:val="000000"/>
          <w:sz w:val="20"/>
          <w:szCs w:val="20"/>
          <w:lang w:val="en-US"/>
        </w:rPr>
        <w:t xml:space="preserve"> </w:t>
      </w:r>
      <w:r w:rsidR="00102792" w:rsidRPr="00956D0A">
        <w:rPr>
          <w:rFonts w:eastAsia="Times New Roman" w:cs="Times New Roman"/>
          <w:color w:val="000000"/>
          <w:sz w:val="20"/>
          <w:szCs w:val="20"/>
          <w:lang w:val="en-US"/>
        </w:rPr>
        <w:t>Martin</w:t>
      </w:r>
      <w:r w:rsidRPr="00956D0A">
        <w:rPr>
          <w:rFonts w:eastAsia="Times New Roman" w:cs="Times New Roman"/>
          <w:color w:val="000000"/>
          <w:sz w:val="20"/>
          <w:szCs w:val="20"/>
          <w:lang w:val="en-US"/>
        </w:rPr>
        <w:t xml:space="preserve"> </w:t>
      </w:r>
      <w:r w:rsidR="00102792" w:rsidRPr="00956D0A">
        <w:rPr>
          <w:rFonts w:eastAsia="Times New Roman" w:cs="Times New Roman"/>
          <w:color w:val="000000"/>
          <w:sz w:val="20"/>
          <w:szCs w:val="20"/>
          <w:lang w:val="en-US"/>
        </w:rPr>
        <w:t>JJ.</w:t>
      </w:r>
    </w:p>
    <w:p w:rsidR="00102792" w:rsidRPr="00956D0A" w:rsidRDefault="00102792" w:rsidP="00102792">
      <w:pPr>
        <w:ind w:left="1440" w:hanging="1440"/>
        <w:rPr>
          <w:rFonts w:eastAsia="Times New Roman" w:cs="Times New Roman"/>
          <w:color w:val="000000"/>
          <w:sz w:val="20"/>
          <w:szCs w:val="20"/>
          <w:lang w:val="en-US"/>
        </w:rPr>
      </w:pPr>
    </w:p>
    <w:p w:rsidR="006E2A1F" w:rsidRPr="00956D0A" w:rsidRDefault="006E2A1F" w:rsidP="006E2A1F">
      <w:pPr>
        <w:jc w:val="both"/>
        <w:rPr>
          <w:sz w:val="20"/>
          <w:szCs w:val="20"/>
          <w:lang w:val="fr-CA"/>
        </w:rPr>
      </w:pPr>
      <w:r w:rsidRPr="00956D0A">
        <w:rPr>
          <w:sz w:val="20"/>
          <w:szCs w:val="20"/>
        </w:rPr>
        <w:t xml:space="preserve">The appeal from the judgment of the Court of Appeal of Quebec (Montréal), Number 500-09-026462-168, 2017 QCCA 1791, dated November 13, 2017, heard on April 24, 2019, is dismissed with costs throughout. </w:t>
      </w:r>
      <w:r w:rsidRPr="00956D0A">
        <w:rPr>
          <w:sz w:val="20"/>
          <w:szCs w:val="20"/>
          <w:lang w:val="fr-CA"/>
        </w:rPr>
        <w:t>Moldaver, Côté, Brown and Rowe JJ. dissent.</w:t>
      </w:r>
    </w:p>
    <w:p w:rsidR="006E2A1F" w:rsidRPr="00956D0A" w:rsidRDefault="006E2A1F" w:rsidP="006E2A1F">
      <w:pPr>
        <w:jc w:val="both"/>
        <w:rPr>
          <w:sz w:val="20"/>
          <w:szCs w:val="20"/>
          <w:lang w:val="fr-CA"/>
        </w:rPr>
      </w:pPr>
    </w:p>
    <w:p w:rsidR="006E2A1F" w:rsidRPr="00956D0A" w:rsidRDefault="006E2A1F" w:rsidP="006E2A1F">
      <w:pPr>
        <w:jc w:val="both"/>
        <w:rPr>
          <w:sz w:val="20"/>
          <w:szCs w:val="20"/>
          <w:lang w:val="fr-CA"/>
        </w:rPr>
      </w:pPr>
      <w:r w:rsidRPr="00956D0A">
        <w:rPr>
          <w:sz w:val="20"/>
          <w:szCs w:val="20"/>
          <w:lang w:val="fr-CA"/>
        </w:rPr>
        <w:t>L’appel interjeté contre l’arrêt de la Cour d’appel du Québec (Montréal), numéro 500-09-026462-168, 2017 QCCA 1791, daté du 13 novembre 2017, entendu le 24 avril 2019, est rejeté avec dépens devant toutes les cours. Les juges Moldaver, Côté, Brown et Rowe sont dissidents.</w:t>
      </w:r>
    </w:p>
    <w:p w:rsidR="00102792" w:rsidRPr="00956D0A" w:rsidRDefault="00102792" w:rsidP="00102792">
      <w:pPr>
        <w:rPr>
          <w:sz w:val="20"/>
          <w:szCs w:val="20"/>
          <w:lang w:val="fr-CA"/>
        </w:rPr>
      </w:pPr>
    </w:p>
    <w:p w:rsidR="00102792" w:rsidRPr="00956D0A" w:rsidRDefault="00937000" w:rsidP="00102792">
      <w:pPr>
        <w:rPr>
          <w:sz w:val="20"/>
          <w:szCs w:val="20"/>
          <w:lang w:val="fr-CA"/>
        </w:rPr>
      </w:pPr>
      <w:hyperlink r:id="rId116" w:history="1">
        <w:r w:rsidR="00506BE1" w:rsidRPr="00956D0A">
          <w:rPr>
            <w:rStyle w:val="Hyperlink"/>
            <w:sz w:val="20"/>
            <w:szCs w:val="20"/>
            <w:lang w:val="fr-CA"/>
          </w:rPr>
          <w:t xml:space="preserve">LINK TO </w:t>
        </w:r>
        <w:r w:rsidR="00D82BFF" w:rsidRPr="00956D0A">
          <w:rPr>
            <w:rStyle w:val="Hyperlink"/>
            <w:sz w:val="20"/>
            <w:szCs w:val="20"/>
            <w:lang w:val="fr-CA"/>
          </w:rPr>
          <w:t>REASONS</w:t>
        </w:r>
      </w:hyperlink>
      <w:r w:rsidR="00102792" w:rsidRPr="00956D0A">
        <w:rPr>
          <w:sz w:val="20"/>
          <w:szCs w:val="20"/>
          <w:lang w:val="fr-CA"/>
        </w:rPr>
        <w:t xml:space="preserve"> / </w:t>
      </w:r>
      <w:hyperlink r:id="rId117" w:history="1">
        <w:r w:rsidR="00D82BFF" w:rsidRPr="00956D0A">
          <w:rPr>
            <w:rStyle w:val="Hyperlink"/>
            <w:sz w:val="20"/>
            <w:szCs w:val="20"/>
            <w:lang w:val="fr-CA"/>
          </w:rPr>
          <w:t>LIEN VERS LES MOTIFS</w:t>
        </w:r>
      </w:hyperlink>
    </w:p>
    <w:p w:rsidR="00102792" w:rsidRPr="00956D0A" w:rsidRDefault="00102792" w:rsidP="00102792">
      <w:pPr>
        <w:rPr>
          <w:sz w:val="20"/>
          <w:szCs w:val="20"/>
          <w:lang w:val="fr-CA"/>
        </w:rPr>
      </w:pPr>
    </w:p>
    <w:p w:rsidR="00D004FC" w:rsidRPr="00956D0A" w:rsidRDefault="00937000" w:rsidP="00102792">
      <w:pPr>
        <w:jc w:val="both"/>
        <w:rPr>
          <w:rFonts w:cs="Times New Roman"/>
          <w:b/>
          <w:sz w:val="20"/>
          <w:szCs w:val="20"/>
        </w:rPr>
      </w:pPr>
      <w:r>
        <w:rPr>
          <w:b/>
          <w:sz w:val="20"/>
          <w:szCs w:val="20"/>
        </w:rPr>
        <w:pict>
          <v:rect id="_x0000_i1089" style="width:144.3pt;height:1pt" o:hrpct="300" o:hralign="center" o:hrstd="t" o:hrnoshade="t" o:hr="t" fillcolor="black [3213]" stroked="f"/>
        </w:pict>
      </w:r>
    </w:p>
    <w:p w:rsidR="00D004FC" w:rsidRPr="00956D0A" w:rsidRDefault="00D004FC" w:rsidP="00D004FC">
      <w:pPr>
        <w:jc w:val="both"/>
        <w:rPr>
          <w:rFonts w:cs="Times New Roman"/>
          <w:sz w:val="20"/>
          <w:szCs w:val="20"/>
        </w:rPr>
      </w:pPr>
    </w:p>
    <w:p w:rsidR="00281DA2" w:rsidRPr="00956D0A" w:rsidRDefault="00281DA2" w:rsidP="00D004FC">
      <w:pPr>
        <w:jc w:val="both"/>
        <w:rPr>
          <w:rFonts w:cs="Times New Roman"/>
          <w:sz w:val="20"/>
          <w:szCs w:val="20"/>
        </w:rPr>
      </w:pPr>
    </w:p>
    <w:p w:rsidR="0056248C" w:rsidRPr="00956D0A" w:rsidRDefault="0056248C" w:rsidP="00091BA6">
      <w:pPr>
        <w:rPr>
          <w:sz w:val="20"/>
          <w:szCs w:val="20"/>
          <w:lang w:val="fr-CA"/>
        </w:rPr>
      </w:pPr>
    </w:p>
    <w:p w:rsidR="00102926" w:rsidRPr="00956D0A" w:rsidRDefault="00102926" w:rsidP="00782AE4">
      <w:pPr>
        <w:jc w:val="both"/>
        <w:rPr>
          <w:sz w:val="20"/>
          <w:szCs w:val="20"/>
        </w:rPr>
        <w:sectPr w:rsidR="00102926" w:rsidRPr="00956D0A" w:rsidSect="00782AE4">
          <w:headerReference w:type="even" r:id="rId118"/>
          <w:headerReference w:type="default" r:id="rId119"/>
          <w:footerReference w:type="even" r:id="rId120"/>
          <w:footerReference w:type="default" r:id="rId121"/>
          <w:headerReference w:type="first" r:id="rId122"/>
          <w:footerReference w:type="first" r:id="rId123"/>
          <w:pgSz w:w="12240" w:h="15840"/>
          <w:pgMar w:top="720" w:right="965" w:bottom="1080" w:left="1656" w:header="576" w:footer="960" w:gutter="0"/>
          <w:cols w:space="720"/>
          <w:titlePg/>
          <w:docGrid w:linePitch="272"/>
        </w:sectPr>
      </w:pPr>
    </w:p>
    <w:p w:rsidR="004B2E86" w:rsidRPr="00956D0A" w:rsidRDefault="004B2E86" w:rsidP="004B2E86">
      <w:pPr>
        <w:tabs>
          <w:tab w:val="center" w:pos="5220"/>
          <w:tab w:val="right" w:pos="10800"/>
        </w:tabs>
        <w:jc w:val="center"/>
        <w:rPr>
          <w:rFonts w:ascii="Arial" w:hAnsi="Arial" w:cs="Arial"/>
          <w:sz w:val="16"/>
          <w:szCs w:val="18"/>
          <w:lang w:val="fr-CA"/>
        </w:rPr>
      </w:pPr>
      <w:bookmarkStart w:id="10" w:name="1"/>
      <w:bookmarkStart w:id="11" w:name="QuickMark"/>
      <w:bookmarkEnd w:id="10"/>
      <w:bookmarkEnd w:id="11"/>
      <w:r w:rsidRPr="00956D0A">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956D0A" w:rsidTr="002B11AE">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DECEMBER – DÉCEMBRE</w:t>
            </w:r>
          </w:p>
        </w:tc>
      </w:tr>
      <w:tr w:rsidR="004B2E86" w:rsidRPr="00956D0A" w:rsidTr="002B11AE">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4"/>
                <w:szCs w:val="14"/>
                <w:lang w:val="fr-FR"/>
              </w:rPr>
            </w:pPr>
            <w:r w:rsidRPr="00956D0A">
              <w:rPr>
                <w:rFonts w:ascii="Arial" w:hAnsi="Arial" w:cs="Arial"/>
                <w:b/>
                <w:sz w:val="14"/>
                <w:szCs w:val="14"/>
                <w:lang w:val="fr-FR"/>
              </w:rPr>
              <w:t>S</w:t>
            </w:r>
          </w:p>
          <w:p w:rsidR="004B2E86" w:rsidRPr="00956D0A" w:rsidRDefault="004B2E86" w:rsidP="002B11AE">
            <w:pPr>
              <w:tabs>
                <w:tab w:val="center" w:pos="5220"/>
                <w:tab w:val="right" w:pos="10440"/>
              </w:tabs>
              <w:jc w:val="center"/>
              <w:rPr>
                <w:rFonts w:ascii="Arial" w:hAnsi="Arial" w:cs="Arial"/>
                <w:b/>
                <w:sz w:val="14"/>
                <w:szCs w:val="14"/>
                <w:lang w:val="fr-FR"/>
              </w:rPr>
            </w:pPr>
            <w:r w:rsidRPr="00956D0A">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T</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W</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T</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F</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T</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W</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T</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F</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S</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M</w:t>
            </w:r>
          </w:p>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lang w:val="fr-FR"/>
              </w:rPr>
            </w:pPr>
            <w:r w:rsidRPr="00956D0A">
              <w:rPr>
                <w:rFonts w:ascii="Arial" w:hAnsi="Arial" w:cs="Arial"/>
                <w:b/>
                <w:sz w:val="13"/>
                <w:szCs w:val="13"/>
                <w:lang w:val="fr-FR"/>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r>
      <w:tr w:rsidR="004B2E86" w:rsidRPr="00956D0A" w:rsidTr="002B11A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RH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r>
      <w:tr w:rsidR="004B2E86" w:rsidRPr="00956D0A" w:rsidTr="002B11AE">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YK</w:t>
            </w:r>
          </w:p>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r>
      <w:tr w:rsidR="004B2E86" w:rsidRPr="00956D0A" w:rsidTr="002B11AE">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r>
      <w:tr w:rsidR="004B2E86" w:rsidRPr="00956D0A" w:rsidTr="002B11AE">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r>
      <w:tr w:rsidR="004B2E86" w:rsidRPr="00956D0A" w:rsidTr="002B11AE">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r>
    </w:tbl>
    <w:p w:rsidR="004B2E86" w:rsidRPr="00956D0A" w:rsidRDefault="004B2E86" w:rsidP="004B2E86">
      <w:pPr>
        <w:tabs>
          <w:tab w:val="center" w:pos="5220"/>
          <w:tab w:val="right" w:pos="10440"/>
        </w:tabs>
        <w:jc w:val="center"/>
        <w:rPr>
          <w:rFonts w:ascii="Arial" w:hAnsi="Arial" w:cs="Arial"/>
          <w:szCs w:val="28"/>
        </w:rPr>
      </w:pPr>
      <w:r w:rsidRPr="00956D0A">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956D0A"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MARCH – MARS</w:t>
            </w:r>
          </w:p>
        </w:tc>
      </w:tr>
      <w:tr w:rsidR="004B2E86" w:rsidRPr="00956D0A"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r>
      <w:tr w:rsidR="004B2E86" w:rsidRPr="00956D0A" w:rsidTr="002B11A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r>
      <w:tr w:rsidR="004B2E86" w:rsidRPr="00956D0A"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JUNE – JUIN</w:t>
            </w:r>
          </w:p>
        </w:tc>
      </w:tr>
      <w:tr w:rsidR="004B2E86" w:rsidRPr="00956D0A"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GO</w:t>
            </w:r>
          </w:p>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GO</w:t>
            </w:r>
          </w:p>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CC</w:t>
            </w:r>
          </w:p>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GO</w:t>
            </w:r>
          </w:p>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GO</w:t>
            </w:r>
          </w:p>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r>
      <w:tr w:rsidR="004B2E86" w:rsidRPr="00956D0A" w:rsidTr="002B11AE">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rPr>
                <w:rFonts w:ascii="Arial" w:hAnsi="Arial" w:cs="Arial"/>
                <w:sz w:val="13"/>
                <w:szCs w:val="13"/>
              </w:rPr>
            </w:pPr>
            <w:r w:rsidRPr="00956D0A">
              <w:rPr>
                <w:rFonts w:ascii="Arial" w:hAnsi="Arial" w:cs="Arial"/>
                <w:sz w:val="13"/>
                <w:szCs w:val="13"/>
              </w:rPr>
              <w:t xml:space="preserve"> 24 </w:t>
            </w:r>
            <w:r w:rsidRPr="00956D0A">
              <w:rPr>
                <w:rFonts w:ascii="Arial" w:hAnsi="Arial" w:cs="Arial"/>
                <w:sz w:val="13"/>
                <w:szCs w:val="13"/>
                <w:lang w:val="en-US"/>
              </w:rPr>
              <w:t>/</w:t>
            </w:r>
          </w:p>
          <w:p w:rsidR="004B2E86" w:rsidRPr="00956D0A" w:rsidRDefault="004B2E86" w:rsidP="002B11AE">
            <w:pPr>
              <w:jc w:val="right"/>
              <w:rPr>
                <w:rFonts w:ascii="Arial" w:hAnsi="Arial" w:cs="Arial"/>
                <w:sz w:val="13"/>
                <w:szCs w:val="13"/>
              </w:rPr>
            </w:pPr>
            <w:r w:rsidRPr="00956D0A">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r>
      <w:tr w:rsidR="004B2E86" w:rsidRPr="00956D0A" w:rsidTr="002B11AE">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SEPTEMBER – SEPTEMBRE</w:t>
            </w:r>
          </w:p>
        </w:tc>
      </w:tr>
      <w:tr w:rsidR="004B2E86" w:rsidRPr="00956D0A" w:rsidTr="002B11AE">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6"/>
                <w:szCs w:val="16"/>
              </w:rPr>
            </w:pPr>
            <w:r w:rsidRPr="00956D0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956D0A" w:rsidRDefault="004B2E86" w:rsidP="002B11AE">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W</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T</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F</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p w:rsidR="004B2E86" w:rsidRPr="00956D0A" w:rsidRDefault="004B2E86" w:rsidP="002B11AE">
            <w:pPr>
              <w:tabs>
                <w:tab w:val="center" w:pos="5220"/>
                <w:tab w:val="right" w:pos="10440"/>
              </w:tabs>
              <w:jc w:val="center"/>
              <w:rPr>
                <w:rFonts w:ascii="Arial" w:hAnsi="Arial" w:cs="Arial"/>
                <w:b/>
                <w:sz w:val="13"/>
                <w:szCs w:val="13"/>
              </w:rPr>
            </w:pPr>
            <w:r w:rsidRPr="00956D0A">
              <w:rPr>
                <w:rFonts w:ascii="Arial" w:hAnsi="Arial" w:cs="Arial"/>
                <w:b/>
                <w:sz w:val="13"/>
                <w:szCs w:val="13"/>
              </w:rPr>
              <w:t>S</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r>
      <w:tr w:rsidR="004B2E86" w:rsidRPr="00956D0A" w:rsidTr="002B11AE">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H</w:t>
            </w:r>
          </w:p>
          <w:p w:rsidR="004B2E86" w:rsidRPr="00956D0A" w:rsidRDefault="004B2E86" w:rsidP="002B11AE">
            <w:pPr>
              <w:jc w:val="center"/>
              <w:rPr>
                <w:rFonts w:ascii="Arial" w:hAnsi="Arial" w:cs="Arial"/>
                <w:sz w:val="13"/>
                <w:szCs w:val="13"/>
              </w:rPr>
            </w:pPr>
            <w:r w:rsidRPr="00956D0A">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RH</w:t>
            </w:r>
          </w:p>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r>
      <w:tr w:rsidR="004B2E86" w:rsidRPr="00956D0A" w:rsidTr="002B11AE">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RH</w:t>
            </w:r>
          </w:p>
          <w:p w:rsidR="004B2E86" w:rsidRPr="00956D0A" w:rsidRDefault="004B2E86" w:rsidP="002B11AE">
            <w:pPr>
              <w:jc w:val="center"/>
              <w:rPr>
                <w:rFonts w:ascii="Arial" w:hAnsi="Arial" w:cs="Arial"/>
                <w:sz w:val="13"/>
                <w:szCs w:val="13"/>
              </w:rPr>
            </w:pPr>
            <w:r w:rsidRPr="00956D0A">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r>
      <w:tr w:rsidR="004B2E86" w:rsidRPr="00956D0A" w:rsidTr="002B11AE">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rPr>
                <w:rFonts w:ascii="Arial" w:hAnsi="Arial" w:cs="Arial"/>
                <w:sz w:val="13"/>
                <w:szCs w:val="13"/>
              </w:rPr>
            </w:pPr>
            <w:r w:rsidRPr="00956D0A">
              <w:rPr>
                <w:rFonts w:ascii="Arial" w:hAnsi="Arial" w:cs="Arial"/>
                <w:sz w:val="13"/>
                <w:szCs w:val="13"/>
              </w:rPr>
              <w:t> 23 /</w:t>
            </w:r>
          </w:p>
          <w:p w:rsidR="004B2E86" w:rsidRPr="00956D0A" w:rsidRDefault="004B2E86" w:rsidP="002B11AE">
            <w:pPr>
              <w:jc w:val="right"/>
              <w:rPr>
                <w:rFonts w:ascii="Arial" w:hAnsi="Arial" w:cs="Arial"/>
                <w:sz w:val="13"/>
                <w:szCs w:val="13"/>
              </w:rPr>
            </w:pPr>
            <w:r w:rsidRPr="00956D0A">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rPr>
                <w:rFonts w:ascii="Arial" w:hAnsi="Arial" w:cs="Arial"/>
                <w:sz w:val="13"/>
                <w:szCs w:val="13"/>
              </w:rPr>
            </w:pPr>
            <w:r w:rsidRPr="00956D0A">
              <w:rPr>
                <w:rFonts w:ascii="Arial" w:hAnsi="Arial" w:cs="Arial"/>
                <w:sz w:val="13"/>
                <w:szCs w:val="13"/>
              </w:rPr>
              <w:t> 24 /</w:t>
            </w:r>
          </w:p>
          <w:p w:rsidR="004B2E86" w:rsidRPr="00956D0A" w:rsidRDefault="004B2E86" w:rsidP="002B11AE">
            <w:pPr>
              <w:jc w:val="right"/>
              <w:rPr>
                <w:rFonts w:ascii="Arial" w:hAnsi="Arial" w:cs="Arial"/>
                <w:sz w:val="13"/>
                <w:szCs w:val="13"/>
              </w:rPr>
            </w:pPr>
            <w:r w:rsidRPr="00956D0A">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956D0A" w:rsidRDefault="004B2E86" w:rsidP="002B11AE">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b/>
                <w:sz w:val="13"/>
                <w:szCs w:val="13"/>
              </w:rPr>
            </w:pPr>
            <w:r w:rsidRPr="00956D0A">
              <w:rPr>
                <w:rFonts w:ascii="Arial" w:hAnsi="Arial" w:cs="Arial"/>
                <w:b/>
                <w:sz w:val="13"/>
                <w:szCs w:val="13"/>
              </w:rPr>
              <w:t>YK</w:t>
            </w:r>
          </w:p>
          <w:p w:rsidR="004B2E86" w:rsidRPr="00956D0A" w:rsidRDefault="004B2E86" w:rsidP="002B11AE">
            <w:pPr>
              <w:jc w:val="center"/>
              <w:rPr>
                <w:rFonts w:ascii="Arial" w:hAnsi="Arial" w:cs="Arial"/>
                <w:sz w:val="13"/>
                <w:szCs w:val="13"/>
              </w:rPr>
            </w:pPr>
            <w:r w:rsidRPr="00956D0A">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956D0A" w:rsidRDefault="004B2E86" w:rsidP="002B11AE">
            <w:pPr>
              <w:jc w:val="center"/>
              <w:rPr>
                <w:rFonts w:ascii="Arial" w:hAnsi="Arial" w:cs="Arial"/>
                <w:sz w:val="13"/>
                <w:szCs w:val="13"/>
              </w:rPr>
            </w:pPr>
            <w:r w:rsidRPr="00956D0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956D0A" w:rsidRDefault="004B2E86" w:rsidP="002B11AE">
            <w:pPr>
              <w:jc w:val="center"/>
              <w:rPr>
                <w:rFonts w:ascii="Arial" w:hAnsi="Arial" w:cs="Arial"/>
                <w:sz w:val="13"/>
                <w:szCs w:val="13"/>
              </w:rPr>
            </w:pPr>
          </w:p>
        </w:tc>
      </w:tr>
    </w:tbl>
    <w:p w:rsidR="004B2E86" w:rsidRPr="00956D0A"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956D0A" w:rsidTr="002B11AE">
        <w:tc>
          <w:tcPr>
            <w:tcW w:w="1890" w:type="dxa"/>
            <w:tcBorders>
              <w:top w:val="nil"/>
              <w:left w:val="nil"/>
              <w:bottom w:val="nil"/>
              <w:right w:val="single" w:sz="4" w:space="0" w:color="000000" w:themeColor="text1"/>
            </w:tcBorders>
            <w:vAlign w:val="center"/>
            <w:hideMark/>
          </w:tcPr>
          <w:p w:rsidR="004B2E86" w:rsidRPr="00956D0A" w:rsidRDefault="004B2E86" w:rsidP="002B11AE">
            <w:pPr>
              <w:rPr>
                <w:rFonts w:ascii="Arial" w:hAnsi="Arial" w:cs="Arial"/>
                <w:b/>
                <w:sz w:val="14"/>
                <w:szCs w:val="14"/>
              </w:rPr>
            </w:pPr>
            <w:r w:rsidRPr="00956D0A">
              <w:rPr>
                <w:rFonts w:ascii="Arial" w:hAnsi="Arial" w:cs="Arial"/>
                <w:b/>
                <w:sz w:val="14"/>
                <w:szCs w:val="14"/>
              </w:rPr>
              <w:t>Sitting of the Court /</w:t>
            </w:r>
          </w:p>
          <w:p w:rsidR="004B2E86" w:rsidRPr="00956D0A" w:rsidRDefault="004B2E86" w:rsidP="002B11AE">
            <w:pPr>
              <w:rPr>
                <w:rFonts w:ascii="Arial" w:hAnsi="Arial" w:cs="Arial"/>
                <w:b/>
                <w:sz w:val="14"/>
                <w:szCs w:val="14"/>
              </w:rPr>
            </w:pPr>
            <w:r w:rsidRPr="00956D0A">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956D0A" w:rsidRDefault="004B2E86" w:rsidP="002B11AE">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956D0A" w:rsidRDefault="004B2E86" w:rsidP="002B11AE">
            <w:pPr>
              <w:tabs>
                <w:tab w:val="left" w:pos="203"/>
              </w:tabs>
              <w:spacing w:after="120"/>
              <w:rPr>
                <w:rFonts w:ascii="Arial" w:hAnsi="Arial" w:cs="Arial"/>
                <w:b/>
                <w:sz w:val="14"/>
                <w:szCs w:val="14"/>
                <w:lang w:val="fr-CA"/>
              </w:rPr>
            </w:pPr>
            <w:r w:rsidRPr="00956D0A">
              <w:rPr>
                <w:rFonts w:ascii="Arial" w:hAnsi="Arial" w:cs="Arial"/>
                <w:b/>
                <w:sz w:val="14"/>
                <w:szCs w:val="14"/>
                <w:lang w:val="fr-CA"/>
              </w:rPr>
              <w:t>18</w:t>
            </w:r>
            <w:r w:rsidRPr="00956D0A">
              <w:rPr>
                <w:rFonts w:ascii="Arial" w:hAnsi="Arial" w:cs="Arial"/>
                <w:b/>
                <w:sz w:val="14"/>
                <w:szCs w:val="14"/>
                <w:lang w:val="fr-CA"/>
              </w:rPr>
              <w:tab/>
              <w:t xml:space="preserve"> sitting weeks / semaines séances de la Cour</w:t>
            </w:r>
          </w:p>
          <w:p w:rsidR="004B2E86" w:rsidRPr="00956D0A" w:rsidRDefault="004B2E86" w:rsidP="002B11AE">
            <w:pPr>
              <w:tabs>
                <w:tab w:val="left" w:pos="203"/>
              </w:tabs>
              <w:rPr>
                <w:rFonts w:ascii="Arial" w:hAnsi="Arial" w:cs="Arial"/>
                <w:b/>
                <w:sz w:val="14"/>
                <w:szCs w:val="14"/>
                <w:lang w:val="fr-CA"/>
              </w:rPr>
            </w:pPr>
            <w:r w:rsidRPr="00956D0A">
              <w:rPr>
                <w:rFonts w:ascii="Arial" w:hAnsi="Arial" w:cs="Arial"/>
                <w:b/>
                <w:sz w:val="14"/>
                <w:szCs w:val="14"/>
                <w:lang w:val="fr-CA"/>
              </w:rPr>
              <w:t>86</w:t>
            </w:r>
            <w:r w:rsidRPr="00956D0A">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956D0A" w:rsidRDefault="004B2E86" w:rsidP="002B11AE">
            <w:pPr>
              <w:spacing w:after="120"/>
              <w:rPr>
                <w:rFonts w:ascii="Arial" w:hAnsi="Arial" w:cs="Arial"/>
                <w:b/>
                <w:sz w:val="14"/>
                <w:szCs w:val="14"/>
                <w:lang w:val="fr-FR"/>
              </w:rPr>
            </w:pPr>
            <w:r w:rsidRPr="00956D0A">
              <w:rPr>
                <w:rFonts w:ascii="Arial" w:hAnsi="Arial" w:cs="Arial"/>
                <w:b/>
                <w:sz w:val="14"/>
                <w:szCs w:val="14"/>
                <w:lang w:val="fr-FR"/>
              </w:rPr>
              <w:t>Rosh Hashanah / Nouvel An juif</w:t>
            </w:r>
          </w:p>
          <w:p w:rsidR="004B2E86" w:rsidRPr="00956D0A" w:rsidRDefault="004B2E86" w:rsidP="002B11AE">
            <w:pPr>
              <w:spacing w:after="120"/>
              <w:rPr>
                <w:rFonts w:ascii="Arial" w:hAnsi="Arial" w:cs="Arial"/>
                <w:b/>
                <w:sz w:val="14"/>
                <w:szCs w:val="14"/>
                <w:lang w:val="fr-CA"/>
              </w:rPr>
            </w:pPr>
            <w:r w:rsidRPr="00956D0A">
              <w:rPr>
                <w:rFonts w:ascii="Arial" w:hAnsi="Arial" w:cs="Arial"/>
                <w:b/>
                <w:sz w:val="14"/>
                <w:szCs w:val="14"/>
                <w:lang w:val="fr-FR"/>
              </w:rPr>
              <w:t>Yom Kippur / Yom Kippour</w:t>
            </w:r>
          </w:p>
        </w:tc>
        <w:tc>
          <w:tcPr>
            <w:tcW w:w="567" w:type="dxa"/>
            <w:hideMark/>
          </w:tcPr>
          <w:p w:rsidR="004B2E86" w:rsidRPr="00956D0A" w:rsidRDefault="004B2E86" w:rsidP="002B11AE">
            <w:pPr>
              <w:spacing w:after="120"/>
              <w:jc w:val="center"/>
              <w:rPr>
                <w:rFonts w:ascii="Arial" w:hAnsi="Arial" w:cs="Arial"/>
                <w:b/>
                <w:sz w:val="14"/>
                <w:szCs w:val="14"/>
                <w:lang w:val="fr-CA"/>
              </w:rPr>
            </w:pPr>
            <w:r w:rsidRPr="00956D0A">
              <w:rPr>
                <w:rFonts w:ascii="Arial" w:hAnsi="Arial" w:cs="Arial"/>
                <w:b/>
                <w:sz w:val="14"/>
                <w:szCs w:val="14"/>
                <w:lang w:val="fr-CA"/>
              </w:rPr>
              <w:t>RH</w:t>
            </w:r>
          </w:p>
          <w:p w:rsidR="004B2E86" w:rsidRPr="00956D0A" w:rsidRDefault="004B2E86" w:rsidP="002B11AE">
            <w:pPr>
              <w:jc w:val="center"/>
              <w:rPr>
                <w:rFonts w:ascii="Arial" w:hAnsi="Arial" w:cs="Arial"/>
                <w:b/>
                <w:sz w:val="14"/>
                <w:szCs w:val="14"/>
                <w:lang w:val="fr-CA"/>
              </w:rPr>
            </w:pPr>
            <w:r w:rsidRPr="00956D0A">
              <w:rPr>
                <w:rFonts w:ascii="Arial" w:hAnsi="Arial" w:cs="Arial"/>
                <w:b/>
                <w:sz w:val="14"/>
                <w:szCs w:val="14"/>
                <w:lang w:val="fr-CA"/>
              </w:rPr>
              <w:t>YK</w:t>
            </w:r>
          </w:p>
        </w:tc>
      </w:tr>
      <w:tr w:rsidR="004B2E86" w:rsidRPr="00956D0A" w:rsidTr="002B11AE">
        <w:tc>
          <w:tcPr>
            <w:tcW w:w="1890" w:type="dxa"/>
            <w:tcBorders>
              <w:top w:val="nil"/>
              <w:left w:val="nil"/>
              <w:bottom w:val="nil"/>
              <w:right w:val="double" w:sz="4" w:space="0" w:color="auto"/>
            </w:tcBorders>
            <w:vAlign w:val="center"/>
            <w:hideMark/>
          </w:tcPr>
          <w:p w:rsidR="004B2E86" w:rsidRPr="00956D0A" w:rsidRDefault="004B2E86" w:rsidP="002B11AE">
            <w:pPr>
              <w:spacing w:before="60"/>
              <w:rPr>
                <w:rFonts w:ascii="Arial" w:hAnsi="Arial" w:cs="Arial"/>
                <w:b/>
                <w:sz w:val="14"/>
                <w:szCs w:val="14"/>
                <w:lang w:val="fr-CA"/>
              </w:rPr>
            </w:pPr>
            <w:r w:rsidRPr="00956D0A">
              <w:rPr>
                <w:rFonts w:ascii="Arial" w:hAnsi="Arial" w:cs="Arial"/>
                <w:b/>
                <w:sz w:val="14"/>
                <w:szCs w:val="14"/>
                <w:lang w:val="fr-CA"/>
              </w:rPr>
              <w:t>Court conference /</w:t>
            </w:r>
          </w:p>
          <w:p w:rsidR="004B2E86" w:rsidRPr="00956D0A" w:rsidRDefault="004B2E86" w:rsidP="002B11AE">
            <w:pPr>
              <w:rPr>
                <w:rFonts w:ascii="Arial" w:hAnsi="Arial" w:cs="Arial"/>
                <w:b/>
                <w:sz w:val="14"/>
                <w:szCs w:val="14"/>
                <w:lang w:val="fr-CA"/>
              </w:rPr>
            </w:pPr>
            <w:r w:rsidRPr="00956D0A">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956D0A" w:rsidRDefault="004B2E86" w:rsidP="002B11AE">
            <w:pPr>
              <w:jc w:val="center"/>
              <w:rPr>
                <w:rFonts w:ascii="Arial" w:hAnsi="Arial" w:cs="Arial"/>
                <w:b/>
                <w:sz w:val="14"/>
                <w:szCs w:val="14"/>
                <w:lang w:val="fr-FR"/>
              </w:rPr>
            </w:pPr>
            <w:r w:rsidRPr="00956D0A">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956D0A" w:rsidRDefault="004B2E86" w:rsidP="002B11AE">
            <w:pPr>
              <w:tabs>
                <w:tab w:val="left" w:pos="203"/>
              </w:tabs>
              <w:spacing w:before="120"/>
              <w:rPr>
                <w:rFonts w:ascii="Arial" w:hAnsi="Arial" w:cs="Arial"/>
                <w:b/>
                <w:sz w:val="14"/>
                <w:szCs w:val="14"/>
                <w:lang w:val="fr-CA"/>
              </w:rPr>
            </w:pPr>
            <w:r w:rsidRPr="00956D0A">
              <w:rPr>
                <w:rFonts w:ascii="Arial" w:hAnsi="Arial" w:cs="Arial"/>
                <w:b/>
                <w:sz w:val="14"/>
                <w:szCs w:val="14"/>
                <w:lang w:val="fr-CA"/>
              </w:rPr>
              <w:t>9</w:t>
            </w:r>
            <w:r w:rsidRPr="00956D0A">
              <w:rPr>
                <w:rFonts w:ascii="Arial" w:hAnsi="Arial" w:cs="Arial"/>
                <w:b/>
                <w:sz w:val="14"/>
                <w:szCs w:val="14"/>
                <w:lang w:val="fr-CA"/>
              </w:rPr>
              <w:tab/>
              <w:t>Court conference days /</w:t>
            </w:r>
          </w:p>
          <w:p w:rsidR="004B2E86" w:rsidRPr="00956D0A" w:rsidRDefault="004B2E86" w:rsidP="002B11AE">
            <w:pPr>
              <w:tabs>
                <w:tab w:val="left" w:pos="203"/>
              </w:tabs>
              <w:rPr>
                <w:rFonts w:ascii="Arial" w:hAnsi="Arial" w:cs="Arial"/>
                <w:b/>
                <w:sz w:val="14"/>
                <w:szCs w:val="14"/>
                <w:lang w:val="fr-CA"/>
              </w:rPr>
            </w:pPr>
            <w:r w:rsidRPr="00956D0A">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956D0A" w:rsidRDefault="004B2E86" w:rsidP="002B11AE">
            <w:pPr>
              <w:rPr>
                <w:rFonts w:ascii="Arial" w:hAnsi="Arial" w:cs="Arial"/>
                <w:b/>
                <w:sz w:val="14"/>
                <w:szCs w:val="14"/>
                <w:lang w:val="en-US"/>
              </w:rPr>
            </w:pPr>
            <w:r w:rsidRPr="00956D0A">
              <w:rPr>
                <w:rFonts w:ascii="Arial" w:hAnsi="Arial" w:cs="Arial"/>
                <w:b/>
                <w:sz w:val="14"/>
                <w:szCs w:val="14"/>
                <w:lang w:val="en-US"/>
              </w:rPr>
              <w:t>Greek Orthodox Easter / Pâques orthodoxe grecque</w:t>
            </w:r>
          </w:p>
        </w:tc>
        <w:tc>
          <w:tcPr>
            <w:tcW w:w="567" w:type="dxa"/>
            <w:hideMark/>
          </w:tcPr>
          <w:p w:rsidR="004B2E86" w:rsidRPr="00956D0A" w:rsidRDefault="004B2E86" w:rsidP="002B11AE">
            <w:pPr>
              <w:jc w:val="center"/>
              <w:rPr>
                <w:rFonts w:ascii="Arial" w:hAnsi="Arial" w:cs="Arial"/>
                <w:b/>
                <w:sz w:val="14"/>
                <w:szCs w:val="14"/>
                <w:lang w:val="en-US"/>
              </w:rPr>
            </w:pPr>
            <w:r w:rsidRPr="00956D0A">
              <w:rPr>
                <w:rFonts w:ascii="Arial" w:hAnsi="Arial" w:cs="Arial"/>
                <w:b/>
                <w:sz w:val="14"/>
                <w:szCs w:val="14"/>
                <w:lang w:val="en-US"/>
              </w:rPr>
              <w:t>GO</w:t>
            </w:r>
          </w:p>
        </w:tc>
      </w:tr>
      <w:tr w:rsidR="004B2E86" w:rsidTr="002B11AE">
        <w:trPr>
          <w:trHeight w:val="420"/>
        </w:trPr>
        <w:tc>
          <w:tcPr>
            <w:tcW w:w="1890" w:type="dxa"/>
            <w:tcBorders>
              <w:top w:val="nil"/>
              <w:left w:val="nil"/>
              <w:bottom w:val="nil"/>
              <w:right w:val="double" w:sz="4" w:space="0" w:color="auto"/>
            </w:tcBorders>
            <w:vAlign w:val="center"/>
            <w:hideMark/>
          </w:tcPr>
          <w:p w:rsidR="004B2E86" w:rsidRPr="00956D0A" w:rsidRDefault="004B2E86" w:rsidP="002B11AE">
            <w:pPr>
              <w:rPr>
                <w:rFonts w:ascii="Arial" w:hAnsi="Arial" w:cs="Arial"/>
                <w:b/>
                <w:sz w:val="14"/>
                <w:szCs w:val="14"/>
              </w:rPr>
            </w:pPr>
            <w:r w:rsidRPr="00956D0A">
              <w:rPr>
                <w:rFonts w:ascii="Arial" w:hAnsi="Arial" w:cs="Arial"/>
                <w:b/>
                <w:sz w:val="14"/>
                <w:szCs w:val="14"/>
              </w:rPr>
              <w:t xml:space="preserve">Holiday / </w:t>
            </w:r>
            <w:r w:rsidRPr="00956D0A">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956D0A" w:rsidRDefault="004B2E86" w:rsidP="002B11AE">
            <w:pPr>
              <w:jc w:val="center"/>
              <w:rPr>
                <w:rFonts w:ascii="Arial" w:hAnsi="Arial" w:cs="Arial"/>
                <w:b/>
                <w:sz w:val="14"/>
                <w:szCs w:val="14"/>
              </w:rPr>
            </w:pPr>
            <w:r w:rsidRPr="00956D0A">
              <w:rPr>
                <w:rFonts w:ascii="Arial" w:hAnsi="Arial" w:cs="Arial"/>
                <w:b/>
                <w:sz w:val="14"/>
                <w:szCs w:val="14"/>
              </w:rPr>
              <w:t>H</w:t>
            </w:r>
          </w:p>
        </w:tc>
        <w:tc>
          <w:tcPr>
            <w:tcW w:w="3524" w:type="dxa"/>
            <w:tcBorders>
              <w:top w:val="nil"/>
              <w:left w:val="double" w:sz="4" w:space="0" w:color="auto"/>
              <w:bottom w:val="nil"/>
              <w:right w:val="nil"/>
            </w:tcBorders>
            <w:hideMark/>
          </w:tcPr>
          <w:p w:rsidR="004B2E86" w:rsidRPr="00956D0A" w:rsidRDefault="004B2E86" w:rsidP="002B11AE">
            <w:pPr>
              <w:tabs>
                <w:tab w:val="left" w:pos="203"/>
              </w:tabs>
              <w:spacing w:before="120"/>
              <w:rPr>
                <w:rFonts w:ascii="Arial" w:hAnsi="Arial" w:cs="Arial"/>
                <w:b/>
                <w:sz w:val="14"/>
                <w:szCs w:val="14"/>
              </w:rPr>
            </w:pPr>
            <w:r w:rsidRPr="00956D0A">
              <w:rPr>
                <w:rFonts w:ascii="Arial" w:hAnsi="Arial" w:cs="Arial"/>
                <w:b/>
                <w:sz w:val="14"/>
                <w:szCs w:val="14"/>
              </w:rPr>
              <w:t>4</w:t>
            </w:r>
            <w:r w:rsidRPr="00956D0A">
              <w:rPr>
                <w:rFonts w:ascii="Arial" w:hAnsi="Arial" w:cs="Arial"/>
                <w:b/>
                <w:sz w:val="14"/>
                <w:szCs w:val="14"/>
              </w:rPr>
              <w:tab/>
              <w:t xml:space="preserve">holidays during sitting days / </w:t>
            </w:r>
          </w:p>
          <w:p w:rsidR="004B2E86" w:rsidRDefault="004B2E86" w:rsidP="002B11AE">
            <w:pPr>
              <w:tabs>
                <w:tab w:val="left" w:pos="203"/>
              </w:tabs>
              <w:rPr>
                <w:rFonts w:ascii="Arial" w:hAnsi="Arial" w:cs="Arial"/>
                <w:b/>
                <w:sz w:val="14"/>
                <w:szCs w:val="14"/>
                <w:lang w:val="fr-CA"/>
              </w:rPr>
            </w:pPr>
            <w:r w:rsidRPr="00956D0A">
              <w:rPr>
                <w:rFonts w:ascii="Arial" w:hAnsi="Arial" w:cs="Arial"/>
                <w:b/>
                <w:sz w:val="14"/>
                <w:szCs w:val="14"/>
              </w:rPr>
              <w:tab/>
            </w:r>
            <w:r w:rsidRPr="00956D0A">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2B11AE">
            <w:pPr>
              <w:rPr>
                <w:rFonts w:ascii="Arial" w:hAnsi="Arial" w:cs="Arial"/>
                <w:b/>
                <w:sz w:val="14"/>
                <w:szCs w:val="14"/>
                <w:lang w:val="fr-FR"/>
              </w:rPr>
            </w:pPr>
          </w:p>
        </w:tc>
        <w:tc>
          <w:tcPr>
            <w:tcW w:w="567" w:type="dxa"/>
          </w:tcPr>
          <w:p w:rsidR="004B2E86" w:rsidRDefault="004B2E86" w:rsidP="002B11AE">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24"/>
      <w:footerReference w:type="default" r:id="rId125"/>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3E4" w:rsidRDefault="000D43E4" w:rsidP="00A87207">
      <w:r>
        <w:separator/>
      </w:r>
    </w:p>
  </w:endnote>
  <w:endnote w:type="continuationSeparator" w:id="0">
    <w:p w:rsidR="000D43E4" w:rsidRDefault="000D43E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A87207">
    <w:pPr>
      <w:pStyle w:val="Footer"/>
    </w:pPr>
    <w:r>
      <w:pict>
        <v:rect id="_x0000_i1034" style="width:480.95pt;height:1pt" o:hralign="center" o:hrstd="t" o:hrnoshade="t" o:hr="t" fillcolor="black [3213]" stroked="f"/>
      </w:pict>
    </w:r>
  </w:p>
  <w:p w:rsidR="00B00A0B" w:rsidRPr="00B7374B"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37000">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EB2B90">
    <w:pPr>
      <w:tabs>
        <w:tab w:val="center" w:pos="4680"/>
      </w:tabs>
    </w:pPr>
    <w:r>
      <w:pict>
        <v:rect id="_x0000_i1079" style="width:480.95pt;height:1pt" o:hralign="center" o:hrstd="t" o:hrnoshade="t" o:hr="t" fillcolor="black [3213]" stroked="f"/>
      </w:pict>
    </w:r>
  </w:p>
  <w:p w:rsidR="00B00A0B" w:rsidRPr="0031432F" w:rsidRDefault="00B00A0B" w:rsidP="00EB2B90">
    <w:pPr>
      <w:tabs>
        <w:tab w:val="center" w:pos="4680"/>
      </w:tabs>
    </w:pPr>
    <w:r>
      <w:tab/>
      <w:t xml:space="preserve">- </w:t>
    </w:r>
    <w:r>
      <w:fldChar w:fldCharType="begin"/>
    </w:r>
    <w:r>
      <w:instrText xml:space="preserve"> PAGE   \* MERGEFORMAT </w:instrText>
    </w:r>
    <w:r>
      <w:fldChar w:fldCharType="separate"/>
    </w:r>
    <w:r w:rsidR="00937000">
      <w:rPr>
        <w:noProof/>
      </w:rPr>
      <w:t>39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B00A0B" w:rsidRDefault="00B00A0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pPr>
      <w:pStyle w:val="Footer"/>
      <w:rPr>
        <w:lang w:val="fr-CA"/>
      </w:rPr>
    </w:pPr>
    <w:r>
      <w:rPr>
        <w:lang w:val="fr-CA"/>
      </w:rPr>
      <w:pict>
        <v:rect id="_x0000_i1083" style="width:480.95pt;height:1pt" o:hralign="center" o:hrstd="t" o:hrnoshade="t" o:hr="t" fillcolor="black [3213]" stroked="f"/>
      </w:pict>
    </w:r>
  </w:p>
  <w:p w:rsidR="00B00A0B" w:rsidRDefault="00B00A0B" w:rsidP="00EB2B90">
    <w:pPr>
      <w:tabs>
        <w:tab w:val="center" w:pos="4680"/>
      </w:tabs>
    </w:pPr>
    <w:r>
      <w:tab/>
      <w:t xml:space="preserve">- </w:t>
    </w:r>
    <w:r>
      <w:fldChar w:fldCharType="begin"/>
    </w:r>
    <w:r>
      <w:instrText xml:space="preserve"> PAGE   \* MERGEFORMAT </w:instrText>
    </w:r>
    <w:r>
      <w:fldChar w:fldCharType="separate"/>
    </w:r>
    <w:r w:rsidR="00937000">
      <w:rPr>
        <w:noProof/>
      </w:rPr>
      <w:t>40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732DB7">
    <w:r>
      <w:pict>
        <v:rect id="_x0000_i1087" style="width:480.95pt;height:1pt" o:hralign="center" o:hrstd="t" o:hrnoshade="t" o:hr="t" fillcolor="black" stroked="f"/>
      </w:pict>
    </w:r>
  </w:p>
  <w:p w:rsidR="00B00A0B" w:rsidRDefault="00B00A0B">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pPr>
      <w:pStyle w:val="Footer"/>
    </w:pPr>
    <w:r>
      <w:pict>
        <v:rect id="_x0000_i1088" style="width:480.95pt;height:1pt" o:hralign="center" o:hrstd="t" o:hrnoshade="t" o:hr="t" fillcolor="black" stroked="f"/>
      </w:pict>
    </w:r>
  </w:p>
  <w:p w:rsidR="00B00A0B" w:rsidRPr="00283C52" w:rsidRDefault="00B00A0B">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937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0" style="width:480.95pt;height:1pt" o:hralign="center" o:hrstd="t" o:hrnoshade="t" o:hr="t" fillcolor="black [3213]" stroked="f"/>
      </w:pict>
    </w:r>
  </w:p>
  <w:p w:rsidR="00B00A0B" w:rsidRDefault="00B00A0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782AE4">
    <w:pPr>
      <w:tabs>
        <w:tab w:val="center" w:pos="4680"/>
      </w:tabs>
    </w:pPr>
    <w:r>
      <w:pict>
        <v:rect id="_x0000_i1091" style="width:480.95pt;height:1pt" o:hralign="center" o:hrstd="t" o:hrnoshade="t" o:hr="t" fillcolor="black [3213]" stroked="f"/>
      </w:pict>
    </w:r>
  </w:p>
  <w:p w:rsidR="00B00A0B" w:rsidRDefault="00B00A0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37000">
      <w:rPr>
        <w:noProof/>
        <w:szCs w:val="24"/>
      </w:rPr>
      <w:t>43</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755F22">
    <w:pPr>
      <w:tabs>
        <w:tab w:val="left" w:pos="-1440"/>
        <w:tab w:val="left" w:pos="-720"/>
      </w:tabs>
    </w:pPr>
    <w:r>
      <w:pict>
        <v:rect id="_x0000_i1035" style="width:480.95pt;height:1pt" o:hralign="center" o:hrstd="t" o:hrnoshade="t" o:hr="t" fillcolor="black [3213]" stroked="f"/>
      </w:pict>
    </w:r>
  </w:p>
  <w:p w:rsidR="00B00A0B" w:rsidRPr="00954D22" w:rsidRDefault="00B00A0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37000">
      <w:rPr>
        <w:noProof/>
        <w:szCs w:val="24"/>
      </w:rPr>
      <w:t>1</w:t>
    </w:r>
    <w:r>
      <w:rPr>
        <w:szCs w:val="24"/>
      </w:rPr>
      <w:fldChar w:fldCharType="end"/>
    </w:r>
    <w:r w:rsidRPr="00954D22">
      <w:rPr>
        <w:szCs w:val="24"/>
      </w:rPr>
      <w:t xml:space="preserve"> -</w:t>
    </w:r>
  </w:p>
  <w:p w:rsidR="00B00A0B" w:rsidRDefault="00B00A0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Pr="00924065" w:rsidRDefault="00937000"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A87207">
    <w:pPr>
      <w:pStyle w:val="Footer"/>
    </w:pPr>
    <w:r>
      <w:pict>
        <v:rect id="_x0000_i1037" style="width:480.95pt;height:1pt" o:hralign="center" o:hrstd="t" o:hrnoshade="t" o:hr="t" fillcolor="black [3213]" stroked="f"/>
      </w:pict>
    </w:r>
  </w:p>
  <w:p w:rsidR="00B00A0B" w:rsidRPr="00B7374B"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37000">
      <w:rPr>
        <w:noProof/>
        <w:szCs w:val="24"/>
      </w:rPr>
      <w:t>4</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B00A0B" w:rsidRPr="00954D22" w:rsidRDefault="00B00A0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37000">
      <w:rPr>
        <w:noProof/>
        <w:szCs w:val="24"/>
      </w:rPr>
      <w:t>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B00A0B" w:rsidRPr="0009648D" w:rsidRDefault="00B00A0B" w:rsidP="00ED7E83">
    <w:pPr>
      <w:tabs>
        <w:tab w:val="center" w:pos="4680"/>
      </w:tabs>
    </w:pPr>
    <w:r>
      <w:tab/>
    </w:r>
    <w:r w:rsidRPr="0009648D">
      <w:t xml:space="preserve">- </w:t>
    </w:r>
    <w:r>
      <w:fldChar w:fldCharType="begin"/>
    </w:r>
    <w:r>
      <w:instrText xml:space="preserve"> PAGE   \* MERGEFORMAT </w:instrText>
    </w:r>
    <w:r>
      <w:fldChar w:fldCharType="separate"/>
    </w:r>
    <w:r w:rsidR="00937000">
      <w:rPr>
        <w:noProof/>
      </w:rPr>
      <w:t>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pPr>
      <w:pStyle w:val="Footer"/>
      <w:rPr>
        <w:lang w:val="fr-CA"/>
      </w:rPr>
    </w:pPr>
    <w:r>
      <w:rPr>
        <w:lang w:val="fr-CA"/>
      </w:rPr>
      <w:pict>
        <v:rect id="_x0000_i1076" style="width:480.95pt;height:1pt" o:hralign="center" o:hrstd="t" o:hrnoshade="t" o:hr="t" fillcolor="black [3213]" stroked="f"/>
      </w:pict>
    </w:r>
  </w:p>
  <w:p w:rsidR="00B00A0B" w:rsidRDefault="00B00A0B" w:rsidP="00245129">
    <w:pPr>
      <w:tabs>
        <w:tab w:val="center" w:pos="4680"/>
      </w:tabs>
    </w:pPr>
    <w:r>
      <w:tab/>
    </w:r>
    <w:r w:rsidRPr="0009648D">
      <w:t xml:space="preserve">- </w:t>
    </w:r>
    <w:r>
      <w:fldChar w:fldCharType="begin"/>
    </w:r>
    <w:r>
      <w:instrText xml:space="preserve"> PAGE   \* MERGEFORMAT </w:instrText>
    </w:r>
    <w:r>
      <w:fldChar w:fldCharType="separate"/>
    </w:r>
    <w:r w:rsidR="00937000">
      <w:rPr>
        <w:noProof/>
      </w:rPr>
      <w:t>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00A0B" w:rsidRDefault="00B00A0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937000" w:rsidP="00755F22">
    <w:pPr>
      <w:tabs>
        <w:tab w:val="left" w:pos="-1440"/>
        <w:tab w:val="left" w:pos="-720"/>
      </w:tabs>
    </w:pPr>
    <w:r>
      <w:pict>
        <v:rect id="_x0000_i1078" style="width:480.95pt;height:1pt" o:hralign="center" o:hrstd="t" o:hrnoshade="t" o:hr="t" fillcolor="black [3213]" stroked="f"/>
      </w:pict>
    </w:r>
  </w:p>
  <w:p w:rsidR="00B00A0B" w:rsidRDefault="00B00A0B" w:rsidP="00EB2B90">
    <w:pPr>
      <w:tabs>
        <w:tab w:val="center" w:pos="4680"/>
      </w:tabs>
    </w:pPr>
    <w:r>
      <w:tab/>
      <w:t xml:space="preserve">- </w:t>
    </w:r>
    <w:r>
      <w:fldChar w:fldCharType="begin"/>
    </w:r>
    <w:r>
      <w:instrText xml:space="preserve"> PAGE   \* MERGEFORMAT </w:instrText>
    </w:r>
    <w:r>
      <w:fldChar w:fldCharType="separate"/>
    </w:r>
    <w:r w:rsidR="00FB6C56">
      <w:rPr>
        <w:noProof/>
      </w:rPr>
      <w:t>38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3E4" w:rsidRDefault="000D43E4" w:rsidP="00A87207">
      <w:r>
        <w:separator/>
      </w:r>
    </w:p>
  </w:footnote>
  <w:footnote w:type="continuationSeparator" w:id="0">
    <w:p w:rsidR="000D43E4" w:rsidRDefault="000D43E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00A0B" w:rsidRPr="0044776A" w:rsidTr="00245129">
      <w:tc>
        <w:tcPr>
          <w:tcW w:w="4290" w:type="dxa"/>
          <w:tcMar>
            <w:left w:w="0" w:type="dxa"/>
            <w:right w:w="0" w:type="dxa"/>
          </w:tcMar>
        </w:tcPr>
        <w:p w:rsidR="00B00A0B" w:rsidRPr="00D31809" w:rsidRDefault="00B00A0B" w:rsidP="00D31809">
          <w:pPr>
            <w:keepNext/>
            <w:keepLines/>
            <w:rPr>
              <w:sz w:val="20"/>
              <w:szCs w:val="20"/>
              <w:lang w:val="en-US"/>
            </w:rPr>
          </w:pPr>
          <w:r w:rsidRPr="00D31809">
            <w:rPr>
              <w:sz w:val="20"/>
              <w:szCs w:val="20"/>
              <w:lang w:val="en-US"/>
            </w:rPr>
            <w:t>Applications for leave to appeal filed</w:t>
          </w:r>
        </w:p>
        <w:p w:rsidR="00B00A0B" w:rsidRPr="00D31809" w:rsidRDefault="00B00A0B" w:rsidP="00D31809">
          <w:pPr>
            <w:keepNext/>
            <w:keepLines/>
            <w:rPr>
              <w:sz w:val="20"/>
              <w:szCs w:val="20"/>
            </w:rPr>
          </w:pPr>
        </w:p>
      </w:tc>
      <w:tc>
        <w:tcPr>
          <w:tcW w:w="1200" w:type="dxa"/>
          <w:tcMar>
            <w:left w:w="0" w:type="dxa"/>
            <w:right w:w="0" w:type="dxa"/>
          </w:tcMar>
        </w:tcPr>
        <w:p w:rsidR="00B00A0B" w:rsidRPr="00D31809" w:rsidRDefault="00B00A0B" w:rsidP="002E2327">
          <w:pPr>
            <w:keepNext/>
            <w:keepLines/>
            <w:tabs>
              <w:tab w:val="left" w:pos="-1440"/>
              <w:tab w:val="left" w:pos="-720"/>
            </w:tabs>
            <w:jc w:val="center"/>
            <w:rPr>
              <w:sz w:val="20"/>
              <w:szCs w:val="20"/>
            </w:rPr>
          </w:pPr>
        </w:p>
      </w:tc>
      <w:tc>
        <w:tcPr>
          <w:tcW w:w="4320" w:type="dxa"/>
          <w:tcMar>
            <w:left w:w="0" w:type="dxa"/>
            <w:right w:w="0" w:type="dxa"/>
          </w:tcMar>
        </w:tcPr>
        <w:p w:rsidR="00B00A0B" w:rsidRPr="00D31809" w:rsidRDefault="00B00A0B" w:rsidP="002E2327">
          <w:pPr>
            <w:keepLines/>
            <w:rPr>
              <w:sz w:val="20"/>
              <w:szCs w:val="20"/>
              <w:lang w:val="fr-CA"/>
            </w:rPr>
          </w:pPr>
          <w:r w:rsidRPr="00D31809">
            <w:rPr>
              <w:sz w:val="20"/>
              <w:szCs w:val="20"/>
              <w:lang w:val="fr-CA"/>
            </w:rPr>
            <w:t>Demandes d’autorisation d’appel déposées</w:t>
          </w:r>
        </w:p>
      </w:tc>
    </w:tr>
  </w:tbl>
  <w:p w:rsidR="00B00A0B" w:rsidRDefault="00B00A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tc>
        <w:tcPr>
          <w:tcW w:w="4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Pr="00B01A03"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00A0B" w:rsidRPr="00B01A03"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00A0B" w:rsidRPr="00B01A03"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00A0B" w:rsidRPr="00937000" w:rsidTr="00245129">
      <w:tc>
        <w:tcPr>
          <w:tcW w:w="4200" w:type="dxa"/>
          <w:tcMar>
            <w:left w:w="0" w:type="dxa"/>
            <w:right w:w="0" w:type="dxa"/>
          </w:tcMar>
        </w:tcPr>
        <w:p w:rsidR="00B00A0B" w:rsidRPr="00F40249" w:rsidRDefault="00B00A0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00A0B" w:rsidRDefault="00B00A0B" w:rsidP="00102926">
          <w:pPr>
            <w:keepNext/>
            <w:keepLines/>
            <w:tabs>
              <w:tab w:val="left" w:pos="-1440"/>
              <w:tab w:val="left" w:pos="-720"/>
            </w:tabs>
            <w:jc w:val="center"/>
            <w:rPr>
              <w:sz w:val="20"/>
              <w:szCs w:val="20"/>
            </w:rPr>
          </w:pPr>
        </w:p>
        <w:p w:rsidR="00B00A0B" w:rsidRDefault="00B00A0B" w:rsidP="00102926">
          <w:pPr>
            <w:keepNext/>
            <w:keepLines/>
            <w:tabs>
              <w:tab w:val="left" w:pos="-1440"/>
              <w:tab w:val="left" w:pos="-720"/>
            </w:tabs>
            <w:jc w:val="center"/>
            <w:rPr>
              <w:sz w:val="20"/>
              <w:szCs w:val="20"/>
            </w:rPr>
          </w:pPr>
        </w:p>
        <w:p w:rsidR="00B00A0B" w:rsidRPr="00F40249" w:rsidRDefault="00B00A0B" w:rsidP="00102926">
          <w:pPr>
            <w:keepNext/>
            <w:keepLines/>
            <w:tabs>
              <w:tab w:val="left" w:pos="-1440"/>
              <w:tab w:val="left" w:pos="-720"/>
            </w:tabs>
            <w:jc w:val="center"/>
            <w:rPr>
              <w:sz w:val="20"/>
              <w:szCs w:val="20"/>
            </w:rPr>
          </w:pPr>
        </w:p>
      </w:tc>
      <w:tc>
        <w:tcPr>
          <w:tcW w:w="4230" w:type="dxa"/>
          <w:tcMar>
            <w:left w:w="0" w:type="dxa"/>
            <w:right w:w="0" w:type="dxa"/>
          </w:tcMar>
        </w:tcPr>
        <w:p w:rsidR="00B00A0B" w:rsidRPr="00F40249" w:rsidRDefault="00B00A0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00A0B" w:rsidRPr="00B01A03" w:rsidRDefault="00B00A0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tc>
        <w:tcPr>
          <w:tcW w:w="4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Pr="00283C52"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00A0B" w:rsidRPr="00283C52"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00A0B" w:rsidRPr="00283C52"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rsidTr="00245129">
      <w:tc>
        <w:tcPr>
          <w:tcW w:w="4200" w:type="dxa"/>
          <w:tcMar>
            <w:left w:w="0" w:type="dxa"/>
            <w:right w:w="0" w:type="dxa"/>
          </w:tcMar>
        </w:tcPr>
        <w:p w:rsidR="00B00A0B" w:rsidRPr="00732DB7" w:rsidRDefault="00B00A0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00A0B" w:rsidRPr="00732DB7" w:rsidRDefault="00B00A0B" w:rsidP="00732DB7">
          <w:pPr>
            <w:keepNext/>
            <w:keepLines/>
            <w:tabs>
              <w:tab w:val="left" w:pos="-1440"/>
              <w:tab w:val="left" w:pos="-720"/>
            </w:tabs>
            <w:jc w:val="center"/>
            <w:rPr>
              <w:sz w:val="20"/>
              <w:szCs w:val="20"/>
            </w:rPr>
          </w:pPr>
        </w:p>
        <w:p w:rsidR="00B00A0B" w:rsidRPr="00732DB7" w:rsidRDefault="00B00A0B" w:rsidP="00732DB7">
          <w:pPr>
            <w:keepNext/>
            <w:keepLines/>
            <w:tabs>
              <w:tab w:val="left" w:pos="-1440"/>
              <w:tab w:val="left" w:pos="-720"/>
            </w:tabs>
            <w:jc w:val="center"/>
            <w:rPr>
              <w:sz w:val="20"/>
              <w:szCs w:val="20"/>
            </w:rPr>
          </w:pPr>
        </w:p>
        <w:p w:rsidR="00B00A0B" w:rsidRPr="00732DB7" w:rsidRDefault="00B00A0B" w:rsidP="00732DB7">
          <w:pPr>
            <w:keepNext/>
            <w:keepLines/>
            <w:tabs>
              <w:tab w:val="left" w:pos="-1440"/>
              <w:tab w:val="left" w:pos="-720"/>
            </w:tabs>
            <w:jc w:val="center"/>
            <w:rPr>
              <w:sz w:val="20"/>
              <w:szCs w:val="20"/>
            </w:rPr>
          </w:pPr>
        </w:p>
      </w:tc>
      <w:tc>
        <w:tcPr>
          <w:tcW w:w="4080" w:type="dxa"/>
          <w:tcMar>
            <w:left w:w="0" w:type="dxa"/>
            <w:right w:w="0" w:type="dxa"/>
          </w:tcMar>
        </w:tcPr>
        <w:p w:rsidR="00B00A0B" w:rsidRPr="00732DB7" w:rsidRDefault="00B00A0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00A0B" w:rsidRPr="00283C52" w:rsidRDefault="00B00A0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00A0B">
      <w:tc>
        <w:tcPr>
          <w:tcW w:w="423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00A0B" w:rsidRPr="00782AE4" w:rsidTr="00245129">
      <w:tc>
        <w:tcPr>
          <w:tcW w:w="4230" w:type="dxa"/>
          <w:tcMar>
            <w:left w:w="0" w:type="dxa"/>
            <w:right w:w="0" w:type="dxa"/>
          </w:tcMar>
        </w:tcPr>
        <w:p w:rsidR="00B00A0B" w:rsidRPr="00782AE4" w:rsidRDefault="00B00A0B" w:rsidP="00102926">
          <w:pPr>
            <w:keepNext/>
            <w:keepLines/>
            <w:tabs>
              <w:tab w:val="left" w:pos="-1440"/>
              <w:tab w:val="left" w:pos="-720"/>
            </w:tabs>
            <w:rPr>
              <w:sz w:val="20"/>
              <w:szCs w:val="20"/>
            </w:rPr>
          </w:pPr>
          <w:r w:rsidRPr="00782AE4">
            <w:rPr>
              <w:sz w:val="20"/>
              <w:szCs w:val="20"/>
            </w:rPr>
            <w:t xml:space="preserve">HEADNOTES OF RECENT </w:t>
          </w:r>
        </w:p>
        <w:p w:rsidR="00B00A0B" w:rsidRPr="00782AE4"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00A0B" w:rsidRDefault="00B00A0B" w:rsidP="00102926">
          <w:pPr>
            <w:keepNext/>
            <w:keepLines/>
            <w:tabs>
              <w:tab w:val="left" w:pos="-1440"/>
              <w:tab w:val="left" w:pos="-720"/>
            </w:tabs>
            <w:jc w:val="center"/>
            <w:rPr>
              <w:sz w:val="20"/>
              <w:szCs w:val="20"/>
            </w:rPr>
          </w:pPr>
        </w:p>
        <w:p w:rsidR="00B00A0B" w:rsidRDefault="00B00A0B" w:rsidP="00102926">
          <w:pPr>
            <w:keepNext/>
            <w:keepLines/>
            <w:tabs>
              <w:tab w:val="left" w:pos="-1440"/>
              <w:tab w:val="left" w:pos="-720"/>
            </w:tabs>
            <w:jc w:val="center"/>
            <w:rPr>
              <w:sz w:val="20"/>
              <w:szCs w:val="20"/>
            </w:rPr>
          </w:pPr>
        </w:p>
        <w:p w:rsidR="00B00A0B" w:rsidRPr="00782AE4" w:rsidRDefault="00B00A0B" w:rsidP="00102926">
          <w:pPr>
            <w:keepNext/>
            <w:keepLines/>
            <w:tabs>
              <w:tab w:val="left" w:pos="-1440"/>
              <w:tab w:val="left" w:pos="-720"/>
            </w:tabs>
            <w:jc w:val="center"/>
            <w:rPr>
              <w:sz w:val="20"/>
              <w:szCs w:val="20"/>
            </w:rPr>
          </w:pPr>
        </w:p>
      </w:tc>
      <w:tc>
        <w:tcPr>
          <w:tcW w:w="4080" w:type="dxa"/>
          <w:tcMar>
            <w:left w:w="0" w:type="dxa"/>
            <w:right w:w="0" w:type="dxa"/>
          </w:tcMar>
        </w:tcPr>
        <w:p w:rsidR="00B00A0B" w:rsidRPr="00102926"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00A0B" w:rsidRPr="00782AE4" w:rsidRDefault="00B00A0B" w:rsidP="00102926">
          <w:pPr>
            <w:keepLines/>
            <w:tabs>
              <w:tab w:val="left" w:pos="-1440"/>
              <w:tab w:val="left" w:pos="-720"/>
            </w:tabs>
            <w:rPr>
              <w:sz w:val="20"/>
              <w:szCs w:val="20"/>
            </w:rPr>
          </w:pPr>
          <w:r w:rsidRPr="00102926">
            <w:rPr>
              <w:sz w:val="20"/>
              <w:szCs w:val="20"/>
              <w:lang w:val="fr-CA"/>
            </w:rPr>
            <w:t>RÉCENTS</w:t>
          </w:r>
        </w:p>
      </w:tc>
    </w:tr>
  </w:tbl>
  <w:p w:rsidR="00B00A0B" w:rsidRDefault="00B00A0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F0" w:rsidRDefault="00937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rsidTr="00245129">
      <w:tc>
        <w:tcPr>
          <w:tcW w:w="4200" w:type="dxa"/>
          <w:tcMar>
            <w:left w:w="0" w:type="dxa"/>
            <w:right w:w="0" w:type="dxa"/>
          </w:tcMar>
        </w:tcPr>
        <w:p w:rsidR="00B00A0B" w:rsidRPr="00A81DCF" w:rsidRDefault="00B00A0B"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B00A0B" w:rsidRPr="0044776A" w:rsidRDefault="00B00A0B" w:rsidP="0044776A">
          <w:pPr>
            <w:keepNext/>
            <w:keepLines/>
            <w:widowControl w:val="0"/>
            <w:jc w:val="center"/>
            <w:rPr>
              <w:sz w:val="20"/>
              <w:szCs w:val="20"/>
            </w:rPr>
          </w:pPr>
        </w:p>
        <w:p w:rsidR="00B00A0B" w:rsidRPr="0044776A" w:rsidRDefault="00B00A0B" w:rsidP="0044776A">
          <w:pPr>
            <w:keepNext/>
            <w:keepLines/>
            <w:widowControl w:val="0"/>
            <w:jc w:val="center"/>
            <w:rPr>
              <w:sz w:val="20"/>
              <w:szCs w:val="20"/>
            </w:rPr>
          </w:pPr>
        </w:p>
        <w:p w:rsidR="00B00A0B" w:rsidRPr="0044776A" w:rsidRDefault="00B00A0B" w:rsidP="0044776A">
          <w:pPr>
            <w:keepNext/>
            <w:keepLines/>
            <w:widowControl w:val="0"/>
            <w:jc w:val="center"/>
            <w:rPr>
              <w:sz w:val="20"/>
              <w:szCs w:val="20"/>
            </w:rPr>
          </w:pPr>
        </w:p>
      </w:tc>
      <w:tc>
        <w:tcPr>
          <w:tcW w:w="4080" w:type="dxa"/>
          <w:tcMar>
            <w:left w:w="0" w:type="dxa"/>
            <w:right w:w="0" w:type="dxa"/>
          </w:tcMar>
        </w:tcPr>
        <w:p w:rsidR="00B00A0B" w:rsidRPr="0044776A" w:rsidRDefault="00B00A0B"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B00A0B" w:rsidRPr="002E2327" w:rsidRDefault="00B00A0B">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tc>
        <w:tcPr>
          <w:tcW w:w="420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Pr="00FF6BA5"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00A0B" w:rsidRPr="00FF6BA5"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00A0B" w:rsidRPr="00937000" w:rsidTr="00245129">
      <w:tc>
        <w:tcPr>
          <w:tcW w:w="4200" w:type="dxa"/>
          <w:tcMar>
            <w:left w:w="0" w:type="dxa"/>
            <w:right w:w="0" w:type="dxa"/>
          </w:tcMar>
        </w:tcPr>
        <w:p w:rsidR="00B00A0B" w:rsidRPr="00634F42" w:rsidRDefault="00B00A0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00A0B" w:rsidRPr="00755F22" w:rsidRDefault="00B00A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00A0B" w:rsidRPr="00755F22" w:rsidRDefault="00B00A0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00A0B" w:rsidRPr="00755F22"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00A0B" w:rsidRPr="00FF6BA5" w:rsidRDefault="00B00A0B"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0B" w:rsidRDefault="00B00A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00A0B">
      <w:tc>
        <w:tcPr>
          <w:tcW w:w="4230" w:type="dxa"/>
          <w:tcMar>
            <w:left w:w="0" w:type="dxa"/>
            <w:right w:w="0" w:type="dxa"/>
          </w:tcMar>
        </w:tcPr>
        <w:p w:rsidR="00B00A0B" w:rsidRDefault="00B00A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00A0B" w:rsidRDefault="00B00A0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00A0B">
      <w:trPr>
        <w:gridAfter w:val="2"/>
        <w:wAfter w:w="5250" w:type="dxa"/>
      </w:trPr>
      <w:tc>
        <w:tcPr>
          <w:tcW w:w="4230" w:type="dxa"/>
          <w:tcMar>
            <w:left w:w="0" w:type="dxa"/>
            <w:right w:w="0" w:type="dxa"/>
          </w:tcMar>
        </w:tcPr>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00A0B" w:rsidRDefault="00B00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00A0B" w:rsidRPr="00755F22" w:rsidTr="00245129">
      <w:tc>
        <w:tcPr>
          <w:tcW w:w="4230" w:type="dxa"/>
          <w:tcMar>
            <w:left w:w="0" w:type="dxa"/>
            <w:right w:w="0" w:type="dxa"/>
          </w:tcMar>
        </w:tcPr>
        <w:p w:rsidR="00B00A0B" w:rsidRPr="00755F22" w:rsidRDefault="00B00A0B" w:rsidP="00831CA9">
          <w:pPr>
            <w:keepNext/>
            <w:keepLines/>
            <w:rPr>
              <w:sz w:val="20"/>
              <w:szCs w:val="20"/>
            </w:rPr>
          </w:pPr>
          <w:r w:rsidRPr="00755F22">
            <w:rPr>
              <w:sz w:val="20"/>
              <w:szCs w:val="20"/>
            </w:rPr>
            <w:t>Motions</w:t>
          </w:r>
        </w:p>
      </w:tc>
      <w:tc>
        <w:tcPr>
          <w:tcW w:w="1170" w:type="dxa"/>
          <w:tcMar>
            <w:left w:w="0" w:type="dxa"/>
            <w:right w:w="0" w:type="dxa"/>
          </w:tcMar>
        </w:tcPr>
        <w:p w:rsidR="00B00A0B" w:rsidRPr="00755F22" w:rsidRDefault="00B00A0B" w:rsidP="00831CA9">
          <w:pPr>
            <w:keepLines/>
            <w:jc w:val="center"/>
            <w:rPr>
              <w:sz w:val="20"/>
              <w:szCs w:val="20"/>
            </w:rPr>
          </w:pPr>
        </w:p>
        <w:p w:rsidR="00B00A0B" w:rsidRPr="00755F22" w:rsidRDefault="00B00A0B" w:rsidP="00831CA9">
          <w:pPr>
            <w:keepLines/>
            <w:tabs>
              <w:tab w:val="left" w:pos="-1440"/>
              <w:tab w:val="left" w:pos="-720"/>
            </w:tabs>
            <w:jc w:val="center"/>
            <w:rPr>
              <w:sz w:val="20"/>
              <w:szCs w:val="20"/>
            </w:rPr>
          </w:pPr>
        </w:p>
      </w:tc>
      <w:tc>
        <w:tcPr>
          <w:tcW w:w="4080" w:type="dxa"/>
          <w:tcMar>
            <w:left w:w="0" w:type="dxa"/>
            <w:right w:w="0" w:type="dxa"/>
          </w:tcMar>
        </w:tcPr>
        <w:p w:rsidR="00B00A0B" w:rsidRPr="00BA6468" w:rsidRDefault="00B00A0B" w:rsidP="00BA6468">
          <w:pPr>
            <w:keepLines/>
            <w:rPr>
              <w:sz w:val="20"/>
              <w:szCs w:val="20"/>
              <w:lang w:val="fr-CA"/>
            </w:rPr>
          </w:pPr>
          <w:r w:rsidRPr="00BA6468">
            <w:rPr>
              <w:sz w:val="20"/>
              <w:szCs w:val="20"/>
              <w:lang w:val="fr-CA"/>
            </w:rPr>
            <w:t>Requêtes</w:t>
          </w:r>
        </w:p>
      </w:tc>
    </w:tr>
  </w:tbl>
  <w:p w:rsidR="00B00A0B" w:rsidRDefault="00B00A0B"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5"/>
  </w:num>
  <w:num w:numId="10">
    <w:abstractNumId w:val="24"/>
  </w:num>
  <w:num w:numId="11">
    <w:abstractNumId w:val="22"/>
  </w:num>
  <w:num w:numId="12">
    <w:abstractNumId w:val="2"/>
  </w:num>
  <w:num w:numId="13">
    <w:abstractNumId w:val="23"/>
  </w:num>
  <w:num w:numId="14">
    <w:abstractNumId w:val="18"/>
  </w:num>
  <w:num w:numId="15">
    <w:abstractNumId w:val="16"/>
  </w:num>
  <w:num w:numId="16">
    <w:abstractNumId w:val="15"/>
  </w:num>
  <w:num w:numId="17">
    <w:abstractNumId w:val="14"/>
  </w:num>
  <w:num w:numId="18">
    <w:abstractNumId w:val="25"/>
  </w:num>
  <w:num w:numId="19">
    <w:abstractNumId w:val="1"/>
  </w:num>
  <w:num w:numId="20">
    <w:abstractNumId w:val="9"/>
  </w:num>
  <w:num w:numId="21">
    <w:abstractNumId w:val="4"/>
  </w:num>
  <w:num w:numId="22">
    <w:abstractNumId w:val="6"/>
  </w:num>
  <w:num w:numId="23">
    <w:abstractNumId w:val="13"/>
  </w:num>
  <w:num w:numId="24">
    <w:abstractNumId w:val="10"/>
  </w:num>
  <w:num w:numId="25">
    <w:abstractNumId w:val="0"/>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E4"/>
    <w:rsid w:val="00002001"/>
    <w:rsid w:val="00002704"/>
    <w:rsid w:val="00020DC3"/>
    <w:rsid w:val="0002635B"/>
    <w:rsid w:val="0003223B"/>
    <w:rsid w:val="000327B2"/>
    <w:rsid w:val="00033A57"/>
    <w:rsid w:val="0004528B"/>
    <w:rsid w:val="00062F7C"/>
    <w:rsid w:val="00064FBA"/>
    <w:rsid w:val="00091BA6"/>
    <w:rsid w:val="00091FA6"/>
    <w:rsid w:val="0009686C"/>
    <w:rsid w:val="00096BD9"/>
    <w:rsid w:val="000A65B6"/>
    <w:rsid w:val="000B3C9A"/>
    <w:rsid w:val="000B40A2"/>
    <w:rsid w:val="000B4624"/>
    <w:rsid w:val="000C0ACD"/>
    <w:rsid w:val="000C0D2A"/>
    <w:rsid w:val="000C1D9D"/>
    <w:rsid w:val="000C4310"/>
    <w:rsid w:val="000C5CE8"/>
    <w:rsid w:val="000D0C1F"/>
    <w:rsid w:val="000D43E4"/>
    <w:rsid w:val="000E1B5E"/>
    <w:rsid w:val="000E27A5"/>
    <w:rsid w:val="000E2959"/>
    <w:rsid w:val="000F0B60"/>
    <w:rsid w:val="000F2CA3"/>
    <w:rsid w:val="000F7EF5"/>
    <w:rsid w:val="00102792"/>
    <w:rsid w:val="00102926"/>
    <w:rsid w:val="0010587F"/>
    <w:rsid w:val="00111C6B"/>
    <w:rsid w:val="00116AD9"/>
    <w:rsid w:val="0012102B"/>
    <w:rsid w:val="001219B9"/>
    <w:rsid w:val="00124D41"/>
    <w:rsid w:val="00125B8F"/>
    <w:rsid w:val="0013369E"/>
    <w:rsid w:val="0013595D"/>
    <w:rsid w:val="001434B9"/>
    <w:rsid w:val="00143EF6"/>
    <w:rsid w:val="00152E76"/>
    <w:rsid w:val="00164E6D"/>
    <w:rsid w:val="0016538E"/>
    <w:rsid w:val="00172473"/>
    <w:rsid w:val="00183454"/>
    <w:rsid w:val="0019203D"/>
    <w:rsid w:val="001934C4"/>
    <w:rsid w:val="00195F99"/>
    <w:rsid w:val="001A5D55"/>
    <w:rsid w:val="001B157C"/>
    <w:rsid w:val="001B1994"/>
    <w:rsid w:val="001B4006"/>
    <w:rsid w:val="001B5C23"/>
    <w:rsid w:val="001D0D5F"/>
    <w:rsid w:val="001D6B8C"/>
    <w:rsid w:val="001D6F21"/>
    <w:rsid w:val="001E2E31"/>
    <w:rsid w:val="001F1F83"/>
    <w:rsid w:val="001F40DF"/>
    <w:rsid w:val="001F43F8"/>
    <w:rsid w:val="001F6B2D"/>
    <w:rsid w:val="002021A9"/>
    <w:rsid w:val="002054B3"/>
    <w:rsid w:val="002139A7"/>
    <w:rsid w:val="00215574"/>
    <w:rsid w:val="00215F7C"/>
    <w:rsid w:val="002165A6"/>
    <w:rsid w:val="00221DEF"/>
    <w:rsid w:val="0022323B"/>
    <w:rsid w:val="00230CCE"/>
    <w:rsid w:val="002410B8"/>
    <w:rsid w:val="00242AEE"/>
    <w:rsid w:val="00245129"/>
    <w:rsid w:val="00245879"/>
    <w:rsid w:val="00247368"/>
    <w:rsid w:val="00253236"/>
    <w:rsid w:val="002534CE"/>
    <w:rsid w:val="00267FD5"/>
    <w:rsid w:val="00271E1E"/>
    <w:rsid w:val="00274D34"/>
    <w:rsid w:val="00281DA2"/>
    <w:rsid w:val="00283AFF"/>
    <w:rsid w:val="00283ED8"/>
    <w:rsid w:val="002868D0"/>
    <w:rsid w:val="0028760B"/>
    <w:rsid w:val="002A008C"/>
    <w:rsid w:val="002A1BA5"/>
    <w:rsid w:val="002A23E0"/>
    <w:rsid w:val="002A27D1"/>
    <w:rsid w:val="002A4AFA"/>
    <w:rsid w:val="002B2610"/>
    <w:rsid w:val="002B516C"/>
    <w:rsid w:val="002B5D82"/>
    <w:rsid w:val="002C022F"/>
    <w:rsid w:val="002C4FA4"/>
    <w:rsid w:val="002D72EB"/>
    <w:rsid w:val="002E2327"/>
    <w:rsid w:val="002E3583"/>
    <w:rsid w:val="002E5576"/>
    <w:rsid w:val="002F7385"/>
    <w:rsid w:val="0030050B"/>
    <w:rsid w:val="003008F5"/>
    <w:rsid w:val="00304081"/>
    <w:rsid w:val="00305490"/>
    <w:rsid w:val="003247EC"/>
    <w:rsid w:val="00325F29"/>
    <w:rsid w:val="003308AA"/>
    <w:rsid w:val="00331B52"/>
    <w:rsid w:val="00333403"/>
    <w:rsid w:val="00334E8E"/>
    <w:rsid w:val="003359D3"/>
    <w:rsid w:val="00341831"/>
    <w:rsid w:val="0034657E"/>
    <w:rsid w:val="00351475"/>
    <w:rsid w:val="00355967"/>
    <w:rsid w:val="00382C47"/>
    <w:rsid w:val="00384384"/>
    <w:rsid w:val="003866AE"/>
    <w:rsid w:val="003A7C3A"/>
    <w:rsid w:val="003B3977"/>
    <w:rsid w:val="003D49B1"/>
    <w:rsid w:val="003D7C55"/>
    <w:rsid w:val="003E1D4C"/>
    <w:rsid w:val="003E22A3"/>
    <w:rsid w:val="003E2618"/>
    <w:rsid w:val="003E5F3E"/>
    <w:rsid w:val="003F725F"/>
    <w:rsid w:val="004048E2"/>
    <w:rsid w:val="00407C5D"/>
    <w:rsid w:val="00410AEB"/>
    <w:rsid w:val="0041245B"/>
    <w:rsid w:val="004137A0"/>
    <w:rsid w:val="00422D9A"/>
    <w:rsid w:val="0042462A"/>
    <w:rsid w:val="004317DE"/>
    <w:rsid w:val="00432989"/>
    <w:rsid w:val="00433966"/>
    <w:rsid w:val="004342A0"/>
    <w:rsid w:val="00440E24"/>
    <w:rsid w:val="0044776A"/>
    <w:rsid w:val="00460AFC"/>
    <w:rsid w:val="0047471F"/>
    <w:rsid w:val="0047678F"/>
    <w:rsid w:val="004A0A25"/>
    <w:rsid w:val="004A7C02"/>
    <w:rsid w:val="004B195E"/>
    <w:rsid w:val="004B2E86"/>
    <w:rsid w:val="004B66B4"/>
    <w:rsid w:val="004B6D12"/>
    <w:rsid w:val="004B7F60"/>
    <w:rsid w:val="004C1AAC"/>
    <w:rsid w:val="004C1C35"/>
    <w:rsid w:val="004D51FA"/>
    <w:rsid w:val="004E1E0A"/>
    <w:rsid w:val="004E44A7"/>
    <w:rsid w:val="004E5524"/>
    <w:rsid w:val="004F090E"/>
    <w:rsid w:val="00501F3C"/>
    <w:rsid w:val="00506BE1"/>
    <w:rsid w:val="00520F9E"/>
    <w:rsid w:val="0052229C"/>
    <w:rsid w:val="00527CC7"/>
    <w:rsid w:val="00536B3F"/>
    <w:rsid w:val="00560DF1"/>
    <w:rsid w:val="0056248C"/>
    <w:rsid w:val="00564B09"/>
    <w:rsid w:val="00567602"/>
    <w:rsid w:val="00567680"/>
    <w:rsid w:val="00571CA4"/>
    <w:rsid w:val="00573AF2"/>
    <w:rsid w:val="00582136"/>
    <w:rsid w:val="00594F38"/>
    <w:rsid w:val="005964BD"/>
    <w:rsid w:val="005967EF"/>
    <w:rsid w:val="005B6826"/>
    <w:rsid w:val="005C48A3"/>
    <w:rsid w:val="005C6840"/>
    <w:rsid w:val="005F1ED8"/>
    <w:rsid w:val="005F263E"/>
    <w:rsid w:val="00600252"/>
    <w:rsid w:val="006110F5"/>
    <w:rsid w:val="00612A40"/>
    <w:rsid w:val="0062714A"/>
    <w:rsid w:val="00634F42"/>
    <w:rsid w:val="00643496"/>
    <w:rsid w:val="00645947"/>
    <w:rsid w:val="0064739A"/>
    <w:rsid w:val="00657279"/>
    <w:rsid w:val="00657C6C"/>
    <w:rsid w:val="006615F4"/>
    <w:rsid w:val="00675479"/>
    <w:rsid w:val="00680709"/>
    <w:rsid w:val="00681F61"/>
    <w:rsid w:val="00684F23"/>
    <w:rsid w:val="00693C38"/>
    <w:rsid w:val="00696BF9"/>
    <w:rsid w:val="00697C62"/>
    <w:rsid w:val="006A329B"/>
    <w:rsid w:val="006A7342"/>
    <w:rsid w:val="006A7EB8"/>
    <w:rsid w:val="006B00FA"/>
    <w:rsid w:val="006B26D7"/>
    <w:rsid w:val="006B6926"/>
    <w:rsid w:val="006C3F47"/>
    <w:rsid w:val="006C5F7A"/>
    <w:rsid w:val="006C6B4F"/>
    <w:rsid w:val="006D73A7"/>
    <w:rsid w:val="006E06AF"/>
    <w:rsid w:val="006E1CB0"/>
    <w:rsid w:val="006E2A1F"/>
    <w:rsid w:val="006F350F"/>
    <w:rsid w:val="00704FB0"/>
    <w:rsid w:val="00717608"/>
    <w:rsid w:val="00727571"/>
    <w:rsid w:val="00730514"/>
    <w:rsid w:val="00732DB7"/>
    <w:rsid w:val="00734E31"/>
    <w:rsid w:val="0074238B"/>
    <w:rsid w:val="00745EF7"/>
    <w:rsid w:val="00746F5C"/>
    <w:rsid w:val="00746FDE"/>
    <w:rsid w:val="00755F22"/>
    <w:rsid w:val="00766E4A"/>
    <w:rsid w:val="007820CE"/>
    <w:rsid w:val="00782AE4"/>
    <w:rsid w:val="00796D59"/>
    <w:rsid w:val="0079724F"/>
    <w:rsid w:val="007A3EAE"/>
    <w:rsid w:val="007B09D6"/>
    <w:rsid w:val="007B4DFF"/>
    <w:rsid w:val="007C04FC"/>
    <w:rsid w:val="007C3D5F"/>
    <w:rsid w:val="007C3DB0"/>
    <w:rsid w:val="007C47C2"/>
    <w:rsid w:val="007D051E"/>
    <w:rsid w:val="007D3E0F"/>
    <w:rsid w:val="007E4282"/>
    <w:rsid w:val="007F387B"/>
    <w:rsid w:val="00802863"/>
    <w:rsid w:val="008112A9"/>
    <w:rsid w:val="0081473A"/>
    <w:rsid w:val="00815B3C"/>
    <w:rsid w:val="0081610A"/>
    <w:rsid w:val="008277C4"/>
    <w:rsid w:val="0082783A"/>
    <w:rsid w:val="00831CA9"/>
    <w:rsid w:val="008370F4"/>
    <w:rsid w:val="00837DF5"/>
    <w:rsid w:val="008400C0"/>
    <w:rsid w:val="00842B6B"/>
    <w:rsid w:val="00842F6F"/>
    <w:rsid w:val="00844E40"/>
    <w:rsid w:val="00845C2A"/>
    <w:rsid w:val="00850E1F"/>
    <w:rsid w:val="0085476B"/>
    <w:rsid w:val="008606A1"/>
    <w:rsid w:val="0086340B"/>
    <w:rsid w:val="00867BEC"/>
    <w:rsid w:val="00877592"/>
    <w:rsid w:val="008850D8"/>
    <w:rsid w:val="008859F1"/>
    <w:rsid w:val="008902B1"/>
    <w:rsid w:val="00890FEB"/>
    <w:rsid w:val="00893449"/>
    <w:rsid w:val="00895E7E"/>
    <w:rsid w:val="008961FD"/>
    <w:rsid w:val="008A5C1A"/>
    <w:rsid w:val="008C2318"/>
    <w:rsid w:val="008C62D8"/>
    <w:rsid w:val="008C7046"/>
    <w:rsid w:val="008D085E"/>
    <w:rsid w:val="008D292F"/>
    <w:rsid w:val="008D3D4B"/>
    <w:rsid w:val="008D7506"/>
    <w:rsid w:val="008E03DC"/>
    <w:rsid w:val="008F385C"/>
    <w:rsid w:val="00902E51"/>
    <w:rsid w:val="009058B9"/>
    <w:rsid w:val="00924065"/>
    <w:rsid w:val="00930B8A"/>
    <w:rsid w:val="00930D68"/>
    <w:rsid w:val="00932DB4"/>
    <w:rsid w:val="00937000"/>
    <w:rsid w:val="00941A4B"/>
    <w:rsid w:val="00946242"/>
    <w:rsid w:val="0095096B"/>
    <w:rsid w:val="00955827"/>
    <w:rsid w:val="0095656D"/>
    <w:rsid w:val="00956D0A"/>
    <w:rsid w:val="00957556"/>
    <w:rsid w:val="00961C83"/>
    <w:rsid w:val="00970CD3"/>
    <w:rsid w:val="009723FA"/>
    <w:rsid w:val="00984546"/>
    <w:rsid w:val="00996510"/>
    <w:rsid w:val="009A1D05"/>
    <w:rsid w:val="009A75CF"/>
    <w:rsid w:val="009C1A1F"/>
    <w:rsid w:val="009C4E23"/>
    <w:rsid w:val="009D1F15"/>
    <w:rsid w:val="009D555E"/>
    <w:rsid w:val="009F3024"/>
    <w:rsid w:val="009F39BA"/>
    <w:rsid w:val="00A03221"/>
    <w:rsid w:val="00A0355E"/>
    <w:rsid w:val="00A234E1"/>
    <w:rsid w:val="00A242F4"/>
    <w:rsid w:val="00A27181"/>
    <w:rsid w:val="00A339D5"/>
    <w:rsid w:val="00A373CD"/>
    <w:rsid w:val="00A375D1"/>
    <w:rsid w:val="00A41D2B"/>
    <w:rsid w:val="00A45463"/>
    <w:rsid w:val="00A51D10"/>
    <w:rsid w:val="00A52A83"/>
    <w:rsid w:val="00A61252"/>
    <w:rsid w:val="00A61E39"/>
    <w:rsid w:val="00A6552C"/>
    <w:rsid w:val="00A744AF"/>
    <w:rsid w:val="00A760C7"/>
    <w:rsid w:val="00A81DCF"/>
    <w:rsid w:val="00A87207"/>
    <w:rsid w:val="00A935AA"/>
    <w:rsid w:val="00A956D3"/>
    <w:rsid w:val="00AA6156"/>
    <w:rsid w:val="00AB2201"/>
    <w:rsid w:val="00AB44F2"/>
    <w:rsid w:val="00AC3CBD"/>
    <w:rsid w:val="00AC7EFA"/>
    <w:rsid w:val="00AD1D34"/>
    <w:rsid w:val="00AD3259"/>
    <w:rsid w:val="00AD7185"/>
    <w:rsid w:val="00AE043C"/>
    <w:rsid w:val="00AF1715"/>
    <w:rsid w:val="00AF3904"/>
    <w:rsid w:val="00B00A0B"/>
    <w:rsid w:val="00B010C0"/>
    <w:rsid w:val="00B15CBE"/>
    <w:rsid w:val="00B20ABA"/>
    <w:rsid w:val="00B40FD9"/>
    <w:rsid w:val="00B4740D"/>
    <w:rsid w:val="00B5203D"/>
    <w:rsid w:val="00B61629"/>
    <w:rsid w:val="00B635E0"/>
    <w:rsid w:val="00B67395"/>
    <w:rsid w:val="00B7374B"/>
    <w:rsid w:val="00B90DC0"/>
    <w:rsid w:val="00BA116A"/>
    <w:rsid w:val="00BA5582"/>
    <w:rsid w:val="00BA6468"/>
    <w:rsid w:val="00BB15A8"/>
    <w:rsid w:val="00BB1D44"/>
    <w:rsid w:val="00BB35AA"/>
    <w:rsid w:val="00BC680C"/>
    <w:rsid w:val="00BD06DA"/>
    <w:rsid w:val="00BD264E"/>
    <w:rsid w:val="00BD4217"/>
    <w:rsid w:val="00BE15C7"/>
    <w:rsid w:val="00BE34F7"/>
    <w:rsid w:val="00BE3908"/>
    <w:rsid w:val="00BE7833"/>
    <w:rsid w:val="00BF25F3"/>
    <w:rsid w:val="00C01FCB"/>
    <w:rsid w:val="00C07BFC"/>
    <w:rsid w:val="00C1697B"/>
    <w:rsid w:val="00C21644"/>
    <w:rsid w:val="00C21CB5"/>
    <w:rsid w:val="00C257CD"/>
    <w:rsid w:val="00C27015"/>
    <w:rsid w:val="00C320E5"/>
    <w:rsid w:val="00C406CA"/>
    <w:rsid w:val="00C46376"/>
    <w:rsid w:val="00C50A5C"/>
    <w:rsid w:val="00C50FDF"/>
    <w:rsid w:val="00C63381"/>
    <w:rsid w:val="00C6378F"/>
    <w:rsid w:val="00C73D06"/>
    <w:rsid w:val="00C73E1B"/>
    <w:rsid w:val="00C73EE8"/>
    <w:rsid w:val="00C7556C"/>
    <w:rsid w:val="00C757A0"/>
    <w:rsid w:val="00C759B4"/>
    <w:rsid w:val="00C77713"/>
    <w:rsid w:val="00C8528C"/>
    <w:rsid w:val="00C85BB7"/>
    <w:rsid w:val="00C86E0F"/>
    <w:rsid w:val="00CA1D57"/>
    <w:rsid w:val="00CA2DEA"/>
    <w:rsid w:val="00CB3520"/>
    <w:rsid w:val="00CB43D5"/>
    <w:rsid w:val="00CC4D84"/>
    <w:rsid w:val="00CE1903"/>
    <w:rsid w:val="00CE198A"/>
    <w:rsid w:val="00CF08C8"/>
    <w:rsid w:val="00D004FC"/>
    <w:rsid w:val="00D022B2"/>
    <w:rsid w:val="00D05E5D"/>
    <w:rsid w:val="00D07E3F"/>
    <w:rsid w:val="00D16B88"/>
    <w:rsid w:val="00D22BC0"/>
    <w:rsid w:val="00D31809"/>
    <w:rsid w:val="00D329E6"/>
    <w:rsid w:val="00D519C7"/>
    <w:rsid w:val="00D52E9B"/>
    <w:rsid w:val="00D534D5"/>
    <w:rsid w:val="00D6331A"/>
    <w:rsid w:val="00D64901"/>
    <w:rsid w:val="00D76BDF"/>
    <w:rsid w:val="00D818B6"/>
    <w:rsid w:val="00D82A57"/>
    <w:rsid w:val="00D82BFF"/>
    <w:rsid w:val="00D8443D"/>
    <w:rsid w:val="00D84A63"/>
    <w:rsid w:val="00D85E06"/>
    <w:rsid w:val="00D862C1"/>
    <w:rsid w:val="00D93A6C"/>
    <w:rsid w:val="00D93B50"/>
    <w:rsid w:val="00D94028"/>
    <w:rsid w:val="00D94670"/>
    <w:rsid w:val="00DA1326"/>
    <w:rsid w:val="00DA46F6"/>
    <w:rsid w:val="00DA58A8"/>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8CD"/>
    <w:rsid w:val="00E65960"/>
    <w:rsid w:val="00E664DA"/>
    <w:rsid w:val="00E670F7"/>
    <w:rsid w:val="00E71254"/>
    <w:rsid w:val="00E75CFD"/>
    <w:rsid w:val="00E770CB"/>
    <w:rsid w:val="00E8544A"/>
    <w:rsid w:val="00E903A1"/>
    <w:rsid w:val="00E92A37"/>
    <w:rsid w:val="00E940EB"/>
    <w:rsid w:val="00E942C2"/>
    <w:rsid w:val="00E9703F"/>
    <w:rsid w:val="00E97984"/>
    <w:rsid w:val="00EA06D7"/>
    <w:rsid w:val="00EA200C"/>
    <w:rsid w:val="00EB2B90"/>
    <w:rsid w:val="00EB6F25"/>
    <w:rsid w:val="00ED078F"/>
    <w:rsid w:val="00ED7E83"/>
    <w:rsid w:val="00EE091F"/>
    <w:rsid w:val="00EF4B63"/>
    <w:rsid w:val="00F0068D"/>
    <w:rsid w:val="00F0576D"/>
    <w:rsid w:val="00F138C1"/>
    <w:rsid w:val="00F1467A"/>
    <w:rsid w:val="00F14E6D"/>
    <w:rsid w:val="00F15EA8"/>
    <w:rsid w:val="00F16063"/>
    <w:rsid w:val="00F16C8D"/>
    <w:rsid w:val="00F253CC"/>
    <w:rsid w:val="00F26C61"/>
    <w:rsid w:val="00F33CCE"/>
    <w:rsid w:val="00F40249"/>
    <w:rsid w:val="00F42D44"/>
    <w:rsid w:val="00F526C8"/>
    <w:rsid w:val="00F554B5"/>
    <w:rsid w:val="00F6571B"/>
    <w:rsid w:val="00F663FF"/>
    <w:rsid w:val="00F75954"/>
    <w:rsid w:val="00F761A3"/>
    <w:rsid w:val="00F9272D"/>
    <w:rsid w:val="00F9518C"/>
    <w:rsid w:val="00FA316E"/>
    <w:rsid w:val="00FA3373"/>
    <w:rsid w:val="00FA59EF"/>
    <w:rsid w:val="00FA68D9"/>
    <w:rsid w:val="00FB19A2"/>
    <w:rsid w:val="00FB1DB6"/>
    <w:rsid w:val="00FB4A2E"/>
    <w:rsid w:val="00FB6C56"/>
    <w:rsid w:val="00FD053D"/>
    <w:rsid w:val="00FD22B5"/>
    <w:rsid w:val="00FF106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3D7C55"/>
    <w:pPr>
      <w:jc w:val="both"/>
    </w:pPr>
    <w:rPr>
      <w:rFonts w:eastAsia="Calibri" w:cs="Times New Roman"/>
      <w:smallCaps/>
    </w:rPr>
  </w:style>
  <w:style w:type="character" w:customStyle="1" w:styleId="SCCBanSummaryChar">
    <w:name w:val="SCC.BanSummary Char"/>
    <w:basedOn w:val="DefaultParagraphFont"/>
    <w:link w:val="SCCBanSummary0"/>
    <w:rsid w:val="003D7C55"/>
    <w:rPr>
      <w:rFonts w:eastAsia="Calibri" w:cs="Times New Roman"/>
      <w:smallCaps/>
      <w:lang w:val="en-CA"/>
    </w:rPr>
  </w:style>
  <w:style w:type="paragraph" w:styleId="NoSpacing">
    <w:name w:val="No Spacing"/>
    <w:uiPriority w:val="1"/>
    <w:qFormat/>
    <w:rsid w:val="003D7C55"/>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D7C5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D7C55"/>
    <w:rPr>
      <w:rFonts w:ascii="Tahoma" w:eastAsia="Times New Roman" w:hAnsi="Tahoma" w:cs="Tahoma"/>
      <w:sz w:val="16"/>
      <w:szCs w:val="16"/>
    </w:rPr>
  </w:style>
  <w:style w:type="paragraph" w:customStyle="1" w:styleId="Style268435469">
    <w:name w:val="Style268435469"/>
    <w:rsid w:val="003D7C55"/>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D7C5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D7C5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D7C55"/>
    <w:rPr>
      <w:sz w:val="16"/>
      <w:szCs w:val="16"/>
    </w:rPr>
  </w:style>
  <w:style w:type="paragraph" w:styleId="CommentText">
    <w:name w:val="annotation text"/>
    <w:basedOn w:val="Normal"/>
    <w:link w:val="CommentTextChar"/>
    <w:uiPriority w:val="99"/>
    <w:semiHidden/>
    <w:unhideWhenUsed/>
    <w:rsid w:val="003D7C5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D7C5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7C55"/>
    <w:rPr>
      <w:b/>
      <w:bCs/>
    </w:rPr>
  </w:style>
  <w:style w:type="character" w:customStyle="1" w:styleId="CommentSubjectChar">
    <w:name w:val="Comment Subject Char"/>
    <w:basedOn w:val="CommentTextChar"/>
    <w:link w:val="CommentSubject"/>
    <w:uiPriority w:val="99"/>
    <w:semiHidden/>
    <w:rsid w:val="003D7C55"/>
    <w:rPr>
      <w:rFonts w:eastAsia="Times New Roman" w:cs="Times New Roman"/>
      <w:b/>
      <w:bCs/>
      <w:sz w:val="20"/>
      <w:szCs w:val="20"/>
    </w:rPr>
  </w:style>
  <w:style w:type="paragraph" w:customStyle="1" w:styleId="mainparagraph1">
    <w:name w:val="mainparagraph1"/>
    <w:basedOn w:val="Normal"/>
    <w:rsid w:val="003D7C55"/>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D7C55"/>
    <w:pPr>
      <w:spacing w:before="120" w:after="120"/>
      <w:jc w:val="both"/>
    </w:pPr>
    <w:rPr>
      <w:rFonts w:ascii="Arial" w:eastAsia="Times New Roman" w:hAnsi="Arial" w:cs="Arial"/>
      <w:sz w:val="26"/>
      <w:szCs w:val="26"/>
      <w:lang w:val="en-US"/>
    </w:rPr>
  </w:style>
  <w:style w:type="paragraph" w:customStyle="1" w:styleId="number1">
    <w:name w:val="number1"/>
    <w:basedOn w:val="Normal"/>
    <w:rsid w:val="003D7C55"/>
    <w:pPr>
      <w:jc w:val="both"/>
    </w:pPr>
    <w:rPr>
      <w:rFonts w:ascii="Tahoma" w:eastAsia="Times New Roman" w:hAnsi="Tahoma" w:cs="Tahoma"/>
      <w:szCs w:val="24"/>
      <w:lang w:val="en-US"/>
    </w:rPr>
  </w:style>
  <w:style w:type="character" w:customStyle="1" w:styleId="reflex3-block">
    <w:name w:val="reflex3-block"/>
    <w:basedOn w:val="DefaultParagraphFont"/>
    <w:rsid w:val="003D7C55"/>
  </w:style>
  <w:style w:type="character" w:customStyle="1" w:styleId="reflex3-alt">
    <w:name w:val="reflex3-alt"/>
    <w:basedOn w:val="DefaultParagraphFont"/>
    <w:rsid w:val="003D7C55"/>
  </w:style>
  <w:style w:type="paragraph" w:customStyle="1" w:styleId="scjnumber1">
    <w:name w:val="scjnumber1"/>
    <w:basedOn w:val="Normal"/>
    <w:rsid w:val="003D7C55"/>
    <w:pPr>
      <w:spacing w:after="240"/>
    </w:pPr>
    <w:rPr>
      <w:rFonts w:ascii="Arial" w:eastAsia="Times New Roman" w:hAnsi="Arial" w:cs="Arial"/>
      <w:szCs w:val="24"/>
      <w:lang w:val="en-US"/>
    </w:rPr>
  </w:style>
  <w:style w:type="paragraph" w:customStyle="1" w:styleId="SCCLsocSubfileSeparator0">
    <w:name w:val="SCC.Lsoc.SubfileSeparator"/>
    <w:basedOn w:val="Normal"/>
    <w:next w:val="Normal"/>
    <w:link w:val="SCCLsocSubfileSeparatorChar"/>
    <w:rsid w:val="003D7C55"/>
    <w:pPr>
      <w:jc w:val="both"/>
    </w:pPr>
    <w:rPr>
      <w:rFonts w:cs="Times New Roman"/>
      <w:b/>
      <w:szCs w:val="24"/>
    </w:rPr>
  </w:style>
  <w:style w:type="character" w:customStyle="1" w:styleId="SCCLsocSubfileSeparatorChar">
    <w:name w:val="SCC.Lsoc.SubfileSeparator Char"/>
    <w:basedOn w:val="DefaultParagraphFont"/>
    <w:link w:val="SCCLsocSubfileSeparator0"/>
    <w:rsid w:val="003D7C55"/>
    <w:rPr>
      <w:rFonts w:cs="Times New Roman"/>
      <w:b/>
      <w:szCs w:val="24"/>
      <w:lang w:val="en-CA"/>
    </w:rPr>
  </w:style>
  <w:style w:type="character" w:customStyle="1" w:styleId="solexhl">
    <w:name w:val="solexhl"/>
    <w:basedOn w:val="DefaultParagraphFont"/>
    <w:rsid w:val="00AC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19/2019onca672/2019onca672.html?resultIndex=1" TargetMode="External"/><Relationship Id="rId117" Type="http://schemas.openxmlformats.org/officeDocument/2006/relationships/hyperlink" Target="https://decisions.scc-csc.ca/scc-csc/scc-csc/fr/item/18158/index.do" TargetMode="External"/><Relationship Id="rId21" Type="http://schemas.openxmlformats.org/officeDocument/2006/relationships/hyperlink" Target="https://www.canlii.org/fr/nb/nbbr/doc/2016/2016nbbr82/2016nbbr82.html" TargetMode="External"/><Relationship Id="rId42" Type="http://schemas.openxmlformats.org/officeDocument/2006/relationships/hyperlink" Target="https://www.canlii.org/en/ab/abqb/doc/2018/2018abqb932/2018abqb932.html?resultIndex=1" TargetMode="External"/><Relationship Id="rId47" Type="http://schemas.openxmlformats.org/officeDocument/2006/relationships/hyperlink" Target="https://www.canlii.org/en/on/onsc/doc/2018/2018onsc5930/2018onsc5930.html?autocompleteStr=2018%20Ohttps://www.canlii.org/en/on/onsc/doc/2018/2018onsc5930/2018onsc5930.html?autocompleteStr=2018%20ONSC%205930&amp;autocompletePos=1NSC%205930&amp;autocompletePos=1" TargetMode="External"/><Relationship Id="rId63" Type="http://schemas.openxmlformats.org/officeDocument/2006/relationships/hyperlink" Target="https://www.canlii.org/en/ca/fca/doc/2019/2019fca222/2019fca222.html?autocompleteStr=2019%20FCA%20222&amp;autocompletePos=1" TargetMode="External"/><Relationship Id="rId68" Type="http://schemas.openxmlformats.org/officeDocument/2006/relationships/hyperlink" Target="https://www.canlii.org/en/on/onca/doc/2019/2019onca616/2019onca616.html?autocompleteStr=2019%20ONCA%20616&amp;autocompletePos=1" TargetMode="External"/><Relationship Id="rId84" Type="http://schemas.openxmlformats.org/officeDocument/2006/relationships/hyperlink" Target="https://www.canlii.org/en/bc/bcsc/doc/2017/2017bcsc85/2017bcsc85.html?autocompleteStr=2017%20BCSC%2085&amp;autocompletePos=1" TargetMode="External"/><Relationship Id="rId89" Type="http://schemas.openxmlformats.org/officeDocument/2006/relationships/header" Target="header5.xml"/><Relationship Id="rId112" Type="http://schemas.openxmlformats.org/officeDocument/2006/relationships/footer" Target="footer14.xml"/><Relationship Id="rId16" Type="http://schemas.openxmlformats.org/officeDocument/2006/relationships/footer" Target="footer3.xml"/><Relationship Id="rId107" Type="http://schemas.openxmlformats.org/officeDocument/2006/relationships/hyperlink" Target="http://www.scc-csc.ca/case-dossier/info/sum-som-eng.aspx?cas=38577" TargetMode="External"/><Relationship Id="rId11" Type="http://schemas.openxmlformats.org/officeDocument/2006/relationships/header" Target="header1.xml"/><Relationship Id="rId32" Type="http://schemas.openxmlformats.org/officeDocument/2006/relationships/hyperlink" Target="https://www.canlii.org/en/qc/qcca/doc/2019/2019qcca1227/2019qcca1227.html" TargetMode="External"/><Relationship Id="rId37" Type="http://schemas.openxmlformats.org/officeDocument/2006/relationships/hyperlink" Target="https://www.canlii.org/fr/qc/qcca/doc/2019/2019qcca851/2019qcca851.html?autocompleteStr=200-09-009994-192&amp;autocompletePos=1" TargetMode="External"/><Relationship Id="rId53" Type="http://schemas.openxmlformats.org/officeDocument/2006/relationships/hyperlink" Target="https://www.canlii.org/en/ns/nssc/doc/2018/2018nssc185/2018nssc185.html?resultIndex=1" TargetMode="External"/><Relationship Id="rId58" Type="http://schemas.openxmlformats.org/officeDocument/2006/relationships/hyperlink" Target="https://www.canlii.org/fr/qc/qcca/doc/2019/2019qcca794/2019qcca794.html" TargetMode="External"/><Relationship Id="rId74" Type="http://schemas.openxmlformats.org/officeDocument/2006/relationships/hyperlink" Target="https://www.canlii.org/fr/ca/caf/doc/2019/2019caf144/2019caf144.html" TargetMode="External"/><Relationship Id="rId79" Type="http://schemas.openxmlformats.org/officeDocument/2006/relationships/hyperlink" Target="https://www.canlii.org/en/mb/mbqb/doc/2017/2017mbqb209/2017mbqb209.html?autocompleteStr=2017%20MBQB%20209&amp;autocompletePos=1" TargetMode="External"/><Relationship Id="rId102" Type="http://schemas.openxmlformats.org/officeDocument/2006/relationships/header" Target="header12.xml"/><Relationship Id="rId123" Type="http://schemas.openxmlformats.org/officeDocument/2006/relationships/footer" Target="footer19.xml"/><Relationship Id="rId5" Type="http://schemas.openxmlformats.org/officeDocument/2006/relationships/webSettings" Target="webSettings.xml"/><Relationship Id="rId90" Type="http://schemas.openxmlformats.org/officeDocument/2006/relationships/header" Target="header6.xml"/><Relationship Id="rId95" Type="http://schemas.openxmlformats.org/officeDocument/2006/relationships/header" Target="header8.xml"/><Relationship Id="rId19" Type="http://schemas.openxmlformats.org/officeDocument/2006/relationships/hyperlink" Target="https://www.canlii.org/en/nb/nbqb/doc/2016/2016nbqb82/2016nbqb82.html" TargetMode="External"/><Relationship Id="rId14" Type="http://schemas.openxmlformats.org/officeDocument/2006/relationships/footer" Target="footer2.xml"/><Relationship Id="rId22" Type="http://schemas.openxmlformats.org/officeDocument/2006/relationships/hyperlink" Target="https://www.canlii.org/fr/nb/nbbr/doc/2018/2018nbbr208/2018nbbr208.html" TargetMode="External"/><Relationship Id="rId27" Type="http://schemas.openxmlformats.org/officeDocument/2006/relationships/hyperlink" Target="http://canlii.ca/t/hw6cc" TargetMode="External"/><Relationship Id="rId30" Type="http://schemas.openxmlformats.org/officeDocument/2006/relationships/hyperlink" Target="http://canlii.ca/t/j1pnj" TargetMode="External"/><Relationship Id="rId35" Type="http://schemas.openxmlformats.org/officeDocument/2006/relationships/hyperlink" Target="https://www.canlii.org/fr/qc/qctat/doc/2018/2018qctat3243/2018qctat3243.html?autocompleteStr=2018-1159&amp;autocompletePos=1" TargetMode="External"/><Relationship Id="rId43" Type="http://schemas.openxmlformats.org/officeDocument/2006/relationships/hyperlink" Target="https://www.canlii.org/en/ab/abca/doc/2019/2019abca318/2019abca318.html?resultIndex=1" TargetMode="External"/><Relationship Id="rId48" Type="http://schemas.openxmlformats.org/officeDocument/2006/relationships/hyperlink" Target="https://www.canlii.org/en/on/onca/doc/2019/2019onca415/2019onca415.html?autocompleteStr=2019%20ONCA%20415&amp;autocompletePos=1" TargetMode="External"/><Relationship Id="rId56" Type="http://schemas.openxmlformats.org/officeDocument/2006/relationships/hyperlink" Target="https://www.canlii.org/en/ns/nsca/doc/2019/2019nsca38/2019nsca38.html?resultIndex=1" TargetMode="External"/><Relationship Id="rId64" Type="http://schemas.openxmlformats.org/officeDocument/2006/relationships/hyperlink" Target="https://www.canlii.org/en/ca/fca/doc/2019/2019fca222/2019fca222.html?autocompleteStr=2019%20FCA%20222&amp;autocompletePos=1" TargetMode="External"/><Relationship Id="rId69" Type="http://schemas.openxmlformats.org/officeDocument/2006/relationships/hyperlink" Target="https://www.canlii.org/en/on/onsc/doc/2017/2017onsc3690/2017onsc3690.html" TargetMode="External"/><Relationship Id="rId77" Type="http://schemas.openxmlformats.org/officeDocument/2006/relationships/hyperlink" Target="https://www.canlii.org/en/on/onsc/doc/2018/2018onsc1365/2018onsc1365.html?resultIndex=1" TargetMode="External"/><Relationship Id="rId100" Type="http://schemas.openxmlformats.org/officeDocument/2006/relationships/footer" Target="footer10.xml"/><Relationship Id="rId105" Type="http://schemas.openxmlformats.org/officeDocument/2006/relationships/header" Target="header13.xml"/><Relationship Id="rId113" Type="http://schemas.openxmlformats.org/officeDocument/2006/relationships/footer" Target="footer15.xml"/><Relationship Id="rId118" Type="http://schemas.openxmlformats.org/officeDocument/2006/relationships/header" Target="header17.xml"/><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canlii.org/en/on/onsc/doc/2017/2017onsc1275/2017onsc1275.html?resultIndex=1" TargetMode="External"/><Relationship Id="rId72" Type="http://schemas.openxmlformats.org/officeDocument/2006/relationships/hyperlink" Target="http://canlii.ca/t/j09fh" TargetMode="External"/><Relationship Id="rId80" Type="http://schemas.openxmlformats.org/officeDocument/2006/relationships/hyperlink" Target="https://www.canlii.org/en/mb/mbca/doc/2019/2019mbca74/2019mbca74.html?autocompleteStr=2019%20MBCA%2074&amp;autocompletePos=1" TargetMode="External"/><Relationship Id="rId85" Type="http://schemas.openxmlformats.org/officeDocument/2006/relationships/hyperlink" Target="https://www.canlii.org/en/bc/bcca/doc/2019/2019bcca329/2019bcca329.html?autocompleteStr=2019%20BCCA%20329&amp;autocompletePos=1" TargetMode="External"/><Relationship Id="rId93" Type="http://schemas.openxmlformats.org/officeDocument/2006/relationships/header" Target="header7.xml"/><Relationship Id="rId98" Type="http://schemas.openxmlformats.org/officeDocument/2006/relationships/footer" Target="footer9.xml"/><Relationship Id="rId12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onsc/doc/2014/2014onsc7528/2014onsc7528.html" TargetMode="External"/><Relationship Id="rId33" Type="http://schemas.openxmlformats.org/officeDocument/2006/relationships/hyperlink" Target="https://www.canlii.org/fr/qc/qccs/doc/2015/2015qccs4903/2015qccs4903.html?resultIndex=1" TargetMode="External"/><Relationship Id="rId38" Type="http://schemas.openxmlformats.org/officeDocument/2006/relationships/hyperlink" Target="https://www.canlii.org/fr/qc/qctat/doc/2018/2018qctat3243/2018qctat3243.html?autocompleteStr=2018-1159&amp;autocompletePos=1" TargetMode="External"/><Relationship Id="rId46" Type="http://schemas.openxmlformats.org/officeDocument/2006/relationships/hyperlink" Target="https://www.canlii.org/en/ab/abca/doc/2019/2019abca318/2019abca318.html?resultIndex=1" TargetMode="External"/><Relationship Id="rId59" Type="http://schemas.openxmlformats.org/officeDocument/2006/relationships/hyperlink" Target="https://www.canlii.org/fr/qc/qccs/doc/2017/2017qccs1442/2017qccs1442.html" TargetMode="External"/><Relationship Id="rId67" Type="http://schemas.openxmlformats.org/officeDocument/2006/relationships/hyperlink" Target="https://www.canlii.org/en/on/onsc/doc/2017/2017onsc3690/2017onsc3690.html" TargetMode="External"/><Relationship Id="rId103" Type="http://schemas.openxmlformats.org/officeDocument/2006/relationships/footer" Target="footer11.xml"/><Relationship Id="rId108" Type="http://schemas.openxmlformats.org/officeDocument/2006/relationships/hyperlink" Target="http://www.scc-csc.ca/case-dossier/info/sum-som-eng.aspx?cas=38827" TargetMode="External"/><Relationship Id="rId116" Type="http://schemas.openxmlformats.org/officeDocument/2006/relationships/hyperlink" Target="https://decisions.scc-csc.ca/scc-csc/scc-csc/en/item/18158/index.do" TargetMode="External"/><Relationship Id="rId124" Type="http://schemas.openxmlformats.org/officeDocument/2006/relationships/header" Target="header20.xml"/><Relationship Id="rId20" Type="http://schemas.openxmlformats.org/officeDocument/2006/relationships/hyperlink" Target="https://www.canlii.org/en/nb/nbqb/doc/2018/2018nbqb208/2018nbqb208.html" TargetMode="External"/><Relationship Id="rId41" Type="http://schemas.openxmlformats.org/officeDocument/2006/relationships/hyperlink" Target="https://www.canlii.org/en/ab/laws/regu/alta-reg-158-2003/latest/alta-reg-158-2003.html" TargetMode="External"/><Relationship Id="rId54" Type="http://schemas.openxmlformats.org/officeDocument/2006/relationships/hyperlink" Target="https://www.canlii.org/en/ns/nsca/doc/2019/2019nsca38/2019nsca38.html?resultIndex=1" TargetMode="External"/><Relationship Id="rId62" Type="http://schemas.openxmlformats.org/officeDocument/2006/relationships/hyperlink" Target="https://www.canlii.org/en/on/onca/doc/2018/2018onca448/2018onca448.html?resultIndex=1" TargetMode="External"/><Relationship Id="rId70" Type="http://schemas.openxmlformats.org/officeDocument/2006/relationships/hyperlink" Target="https://www.canlii.org/en/on/onca/doc/2019/2019onca616/2019onca616.html?autocompleteStr=2019%20ONCA%20616&amp;autocompletePos=1" TargetMode="External"/><Relationship Id="rId75" Type="http://schemas.openxmlformats.org/officeDocument/2006/relationships/hyperlink" Target="https://www.canlii.org/en/on/onsc/doc/2018/2018onsc1365/2018onsc1365.html?resultIndex=1" TargetMode="External"/><Relationship Id="rId83" Type="http://schemas.openxmlformats.org/officeDocument/2006/relationships/hyperlink" Target="https://www.canlii.org/en/bc/bcsc/doc/2016/2016bcsc110/2016bcsc110.html?autocompleteStr=2016%20BCSC%20110&amp;autocompletePos=1" TargetMode="External"/><Relationship Id="rId88" Type="http://schemas.openxmlformats.org/officeDocument/2006/relationships/hyperlink" Target="https://www.canlii.org/en/bc/bcca/doc/2019/2019bcca329/2019bcca329.html?autocompleteStr=2019%20BCCA%20329&amp;autocompletePos=1" TargetMode="External"/><Relationship Id="rId91" Type="http://schemas.openxmlformats.org/officeDocument/2006/relationships/footer" Target="footer5.xml"/><Relationship Id="rId96" Type="http://schemas.openxmlformats.org/officeDocument/2006/relationships/header" Target="header9.xm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on/onsc/doc/2014/2014onsc7528/2014onsc7528.html" TargetMode="External"/><Relationship Id="rId28" Type="http://schemas.openxmlformats.org/officeDocument/2006/relationships/hyperlink" Target="http://canlii.ca/t/j1pnj" TargetMode="External"/><Relationship Id="rId36" Type="http://schemas.openxmlformats.org/officeDocument/2006/relationships/hyperlink" Target="https://www.canlii.org/fr/qc/qccs/doc/2019/2019qccs1057/2019qccs1057.html?autocompleteStr=200-17-028219-186&amp;autocompletePos=1" TargetMode="External"/><Relationship Id="rId49" Type="http://schemas.openxmlformats.org/officeDocument/2006/relationships/hyperlink" Target="https://www.canlii.org/en/on/onsc/doc/2018/2018onsc5930/2018onsc5930.html?autocompleteStr=2018%20Ohttps://www.canlii.org/en/on/onsc/doc/2018/2018onsc5930/2018onsc5930.html?autocompleteStr=2018%20ONSC%205930&amp;autocompletePos=1NSC%205930&amp;autocompletePos=1" TargetMode="External"/><Relationship Id="rId57" Type="http://schemas.openxmlformats.org/officeDocument/2006/relationships/hyperlink" Target="https://www.canlii.org/fr/qc/qccs/doc/2017/2017qccs1442/2017qccs1442.html" TargetMode="External"/><Relationship Id="rId106" Type="http://schemas.openxmlformats.org/officeDocument/2006/relationships/footer" Target="footer13.xml"/><Relationship Id="rId114" Type="http://schemas.openxmlformats.org/officeDocument/2006/relationships/header" Target="header16.xml"/><Relationship Id="rId119" Type="http://schemas.openxmlformats.org/officeDocument/2006/relationships/header" Target="header18.xml"/><Relationship Id="rId127" Type="http://schemas.openxmlformats.org/officeDocument/2006/relationships/theme" Target="theme/theme1.xml"/><Relationship Id="rId10" Type="http://schemas.openxmlformats.org/officeDocument/2006/relationships/hyperlink" Target="https://www.scc-csc.ca" TargetMode="External"/><Relationship Id="rId31" Type="http://schemas.openxmlformats.org/officeDocument/2006/relationships/hyperlink" Target="https://www.canlii.org/fr/qc/qccs/doc/2015/2015qccs4903/2015qccs4903.html?resultIndex=1" TargetMode="External"/><Relationship Id="rId44" Type="http://schemas.openxmlformats.org/officeDocument/2006/relationships/hyperlink" Target="https://www.canlii.org/en/ab/laws/regu/alta-reg-158-2003/latest/alta-reg-158-2003.html" TargetMode="External"/><Relationship Id="rId52" Type="http://schemas.openxmlformats.org/officeDocument/2006/relationships/hyperlink" Target="https://www.canlii.org/en/on/onsc/doc/2017/2017onsc1275/2017onsc1275.html?resultIndex=1" TargetMode="External"/><Relationship Id="rId60" Type="http://schemas.openxmlformats.org/officeDocument/2006/relationships/hyperlink" Target="https://www.canlii.org/fr/qc/qcca/doc/2019/2019qcca794/2019qcca794.html" TargetMode="External"/><Relationship Id="rId65" Type="http://schemas.openxmlformats.org/officeDocument/2006/relationships/hyperlink" Target="https://www.canlii.org/en/pe/pescad/doc/2019/2019peca13/2019peca13.html?autocompleteStr=2019%20PECA%2013&amp;autocompletePos=1" TargetMode="External"/><Relationship Id="rId73" Type="http://schemas.openxmlformats.org/officeDocument/2006/relationships/hyperlink" Target="https://www.canlii.org/fr/ca/crtefp/doc/2018/2018crtespf54/2018crtespf54.html" TargetMode="External"/><Relationship Id="rId78" Type="http://schemas.openxmlformats.org/officeDocument/2006/relationships/hyperlink" Target="https://www.canlii.org/en/on/onca/doc/2019/2019onca635/2019onca635.html?resultIndex=1" TargetMode="External"/><Relationship Id="rId81" Type="http://schemas.openxmlformats.org/officeDocument/2006/relationships/hyperlink" Target="https://www.canlii.org/en/mb/mbqb/doc/2017/2017mbqb209/2017mbqb209.html?autocompleteStr=2017%20MBQB%20209&amp;autocompletePos=1" TargetMode="External"/><Relationship Id="rId86" Type="http://schemas.openxmlformats.org/officeDocument/2006/relationships/hyperlink" Target="https://www.canlii.org/en/bc/bcsc/doc/2016/2016bcsc110/2016bcsc110.html?autocompleteStr=2016%20BCSC%20110&amp;autocompletePos=1" TargetMode="External"/><Relationship Id="rId94" Type="http://schemas.openxmlformats.org/officeDocument/2006/relationships/footer" Target="footer7.xml"/><Relationship Id="rId99" Type="http://schemas.openxmlformats.org/officeDocument/2006/relationships/header" Target="header10.xml"/><Relationship Id="rId101" Type="http://schemas.openxmlformats.org/officeDocument/2006/relationships/header" Target="header11.xml"/><Relationship Id="rId12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9/2019qccs1057/2019qccs1057.html?autocompleteStr=200-17-028219-186&amp;autocompletePos=1" TargetMode="External"/><Relationship Id="rId109" Type="http://schemas.openxmlformats.org/officeDocument/2006/relationships/hyperlink" Target="http://www.scc-csc.ca/case-dossier/info/sum-som-eng.aspx?cas=38585" TargetMode="External"/><Relationship Id="rId34" Type="http://schemas.openxmlformats.org/officeDocument/2006/relationships/hyperlink" Target="https://www.canlii.org/fr/qc/qcca/doc/2019/2019qcca1227/2019qcca1227.html?resultIndex=11" TargetMode="External"/><Relationship Id="rId50" Type="http://schemas.openxmlformats.org/officeDocument/2006/relationships/hyperlink" Target="https://www.canlii.org/en/on/onca/doc/2019/2019onca415/2019onca415.html?autocompleteStr=2019%20ONCA%20415&amp;autocompletePos=1" TargetMode="External"/><Relationship Id="rId55" Type="http://schemas.openxmlformats.org/officeDocument/2006/relationships/hyperlink" Target="https://www.canlii.org/en/ns/nssc/doc/2018/2018nssc185/2018nssc185.html?resultIndex=1" TargetMode="External"/><Relationship Id="rId76" Type="http://schemas.openxmlformats.org/officeDocument/2006/relationships/hyperlink" Target="https://www.canlii.org/en/on/onca/doc/2019/2019onca635/2019onca635.html?resultIndex=1" TargetMode="External"/><Relationship Id="rId97" Type="http://schemas.openxmlformats.org/officeDocument/2006/relationships/footer" Target="footer8.xml"/><Relationship Id="rId104" Type="http://schemas.openxmlformats.org/officeDocument/2006/relationships/footer" Target="footer12.xml"/><Relationship Id="rId120" Type="http://schemas.openxmlformats.org/officeDocument/2006/relationships/footer" Target="footer17.xml"/><Relationship Id="rId125"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canlii.ca/t/ht735" TargetMode="External"/><Relationship Id="rId92"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hyperlink" Target="http://canlii.ca/t/hw6cc" TargetMode="External"/><Relationship Id="rId24" Type="http://schemas.openxmlformats.org/officeDocument/2006/relationships/hyperlink" Target="https://www.canlii.org/en/on/onca/doc/2019/2019onca672/2019onca672.html?resultIndex=1" TargetMode="External"/><Relationship Id="rId40" Type="http://schemas.openxmlformats.org/officeDocument/2006/relationships/hyperlink" Target="https://www.canlii.org/fr/qc/qcca/doc/2019/2019qcca851/2019qcca851.html?autocompleteStr=200-09-009994-192&amp;autocompletePos=1" TargetMode="External"/><Relationship Id="rId45" Type="http://schemas.openxmlformats.org/officeDocument/2006/relationships/hyperlink" Target="https://www.canlii.org/en/ab/abqb/doc/2018/2018abqb932/2018abqb932.html?resultIndex=1" TargetMode="External"/><Relationship Id="rId66" Type="http://schemas.openxmlformats.org/officeDocument/2006/relationships/hyperlink" Target="https://www.canlii.org/en/pe/pescad/doc/2019/2019peca13/2019peca13.html?autocompleteStr=2019%20PECA%2013&amp;autocompletePos=1" TargetMode="External"/><Relationship Id="rId87" Type="http://schemas.openxmlformats.org/officeDocument/2006/relationships/hyperlink" Target="https://www.canlii.org/en/bc/bcsc/doc/2017/2017bcsc85/2017bcsc85.html?autocompleteStr=2017%20BCSC%2085&amp;autocompletePos=1" TargetMode="External"/><Relationship Id="rId110" Type="http://schemas.openxmlformats.org/officeDocument/2006/relationships/header" Target="header14.xml"/><Relationship Id="rId115" Type="http://schemas.openxmlformats.org/officeDocument/2006/relationships/footer" Target="footer16.xml"/><Relationship Id="rId61" Type="http://schemas.openxmlformats.org/officeDocument/2006/relationships/hyperlink" Target="https://www.canlii.org/en/on/onca/doc/2018/2018onca448/2018onca448.html?resultIndex=1" TargetMode="External"/><Relationship Id="rId82" Type="http://schemas.openxmlformats.org/officeDocument/2006/relationships/hyperlink" Target="https://www.canlii.org/en/mb/mbca/doc/2019/2019mbca74/2019mbca74.html?autocompleteStr=2019%20MBCA%2074&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9176-687D-4F89-BF07-60B41793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46</Pages>
  <Words>19474</Words>
  <Characters>111004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2020-02-18T14:21:00Z</dcterms:created>
  <dcterms:modified xsi:type="dcterms:W3CDTF">2020-05-07T15:01:00Z</dcterms:modified>
</cp:coreProperties>
</file>