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1448E" w:rsidTr="00F138C1">
        <w:tc>
          <w:tcPr>
            <w:tcW w:w="9648" w:type="dxa"/>
            <w:gridSpan w:val="3"/>
          </w:tcPr>
          <w:p w:rsidR="00F138C1" w:rsidRPr="0081448E" w:rsidRDefault="00F138C1" w:rsidP="00F138C1">
            <w:pPr>
              <w:tabs>
                <w:tab w:val="left" w:pos="6075"/>
              </w:tabs>
              <w:jc w:val="center"/>
              <w:rPr>
                <w:b/>
                <w:sz w:val="32"/>
                <w:szCs w:val="32"/>
                <w:lang w:val="fr-CA"/>
              </w:rPr>
            </w:pPr>
            <w:r w:rsidRPr="0081448E">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81448E" w:rsidTr="00F138C1">
        <w:tc>
          <w:tcPr>
            <w:tcW w:w="4599" w:type="dxa"/>
            <w:tcMar>
              <w:top w:w="284" w:type="dxa"/>
            </w:tcMar>
          </w:tcPr>
          <w:p w:rsidR="00F138C1" w:rsidRPr="0081448E" w:rsidRDefault="00F138C1" w:rsidP="00F138C1">
            <w:pPr>
              <w:tabs>
                <w:tab w:val="left" w:pos="6075"/>
              </w:tabs>
              <w:jc w:val="center"/>
              <w:rPr>
                <w:b/>
                <w:sz w:val="32"/>
                <w:szCs w:val="32"/>
              </w:rPr>
            </w:pPr>
            <w:r w:rsidRPr="0081448E">
              <w:rPr>
                <w:b/>
                <w:sz w:val="32"/>
                <w:szCs w:val="32"/>
              </w:rPr>
              <w:t>SUPREME COURT OF CANADA</w:t>
            </w:r>
          </w:p>
        </w:tc>
        <w:tc>
          <w:tcPr>
            <w:tcW w:w="483" w:type="dxa"/>
          </w:tcPr>
          <w:p w:rsidR="00F138C1" w:rsidRPr="0081448E" w:rsidRDefault="00F138C1" w:rsidP="00F138C1">
            <w:pPr>
              <w:tabs>
                <w:tab w:val="left" w:pos="6075"/>
              </w:tabs>
              <w:jc w:val="center"/>
              <w:rPr>
                <w:sz w:val="32"/>
                <w:szCs w:val="32"/>
              </w:rPr>
            </w:pPr>
          </w:p>
        </w:tc>
        <w:tc>
          <w:tcPr>
            <w:tcW w:w="4566" w:type="dxa"/>
            <w:tcMar>
              <w:top w:w="284" w:type="dxa"/>
            </w:tcMar>
          </w:tcPr>
          <w:p w:rsidR="00F138C1" w:rsidRPr="0081448E" w:rsidRDefault="00F138C1" w:rsidP="00F138C1">
            <w:pPr>
              <w:tabs>
                <w:tab w:val="left" w:pos="6075"/>
              </w:tabs>
              <w:jc w:val="center"/>
              <w:rPr>
                <w:b/>
                <w:sz w:val="32"/>
                <w:szCs w:val="32"/>
                <w:lang w:val="fr-CA"/>
              </w:rPr>
            </w:pPr>
            <w:r w:rsidRPr="0081448E">
              <w:rPr>
                <w:b/>
                <w:sz w:val="32"/>
                <w:szCs w:val="32"/>
                <w:lang w:val="fr-CA"/>
              </w:rPr>
              <w:t>COUR SUPRÊME DU CANADA</w:t>
            </w:r>
          </w:p>
        </w:tc>
      </w:tr>
      <w:tr w:rsidR="00F138C1" w:rsidRPr="0081448E" w:rsidTr="00F138C1">
        <w:tc>
          <w:tcPr>
            <w:tcW w:w="4599" w:type="dxa"/>
            <w:tcMar>
              <w:top w:w="567" w:type="dxa"/>
            </w:tcMar>
          </w:tcPr>
          <w:p w:rsidR="00F138C1" w:rsidRPr="0081448E" w:rsidRDefault="00F138C1" w:rsidP="00F138C1">
            <w:pPr>
              <w:tabs>
                <w:tab w:val="left" w:pos="6075"/>
              </w:tabs>
              <w:jc w:val="center"/>
              <w:rPr>
                <w:sz w:val="28"/>
                <w:szCs w:val="28"/>
              </w:rPr>
            </w:pPr>
            <w:r w:rsidRPr="0081448E">
              <w:rPr>
                <w:sz w:val="28"/>
                <w:szCs w:val="28"/>
              </w:rPr>
              <w:t>BULLETIN OF</w:t>
            </w:r>
            <w:r w:rsidRPr="0081448E">
              <w:rPr>
                <w:sz w:val="28"/>
                <w:szCs w:val="28"/>
              </w:rPr>
              <w:br/>
              <w:t xml:space="preserve"> PROCEEDINGS</w:t>
            </w:r>
          </w:p>
        </w:tc>
        <w:tc>
          <w:tcPr>
            <w:tcW w:w="483" w:type="dxa"/>
          </w:tcPr>
          <w:p w:rsidR="00F138C1" w:rsidRPr="0081448E" w:rsidRDefault="00F138C1" w:rsidP="00F138C1">
            <w:pPr>
              <w:tabs>
                <w:tab w:val="left" w:pos="6075"/>
              </w:tabs>
            </w:pPr>
          </w:p>
        </w:tc>
        <w:tc>
          <w:tcPr>
            <w:tcW w:w="4566" w:type="dxa"/>
            <w:tcMar>
              <w:top w:w="567" w:type="dxa"/>
            </w:tcMar>
          </w:tcPr>
          <w:p w:rsidR="00F138C1" w:rsidRPr="0081448E" w:rsidRDefault="00F138C1" w:rsidP="00F138C1">
            <w:pPr>
              <w:tabs>
                <w:tab w:val="left" w:pos="6075"/>
              </w:tabs>
              <w:jc w:val="center"/>
              <w:rPr>
                <w:sz w:val="28"/>
                <w:szCs w:val="28"/>
                <w:lang w:val="fr-CA"/>
              </w:rPr>
            </w:pPr>
            <w:r w:rsidRPr="0081448E">
              <w:rPr>
                <w:sz w:val="28"/>
                <w:szCs w:val="28"/>
                <w:lang w:val="fr-CA"/>
              </w:rPr>
              <w:t>BULLETIN DES</w:t>
            </w:r>
            <w:r w:rsidRPr="0081448E">
              <w:rPr>
                <w:sz w:val="28"/>
                <w:szCs w:val="28"/>
                <w:lang w:val="fr-CA"/>
              </w:rPr>
              <w:br/>
              <w:t xml:space="preserve"> PROCÉDURES</w:t>
            </w:r>
          </w:p>
        </w:tc>
      </w:tr>
      <w:tr w:rsidR="00F138C1" w:rsidRPr="005C4158" w:rsidTr="00F138C1">
        <w:tc>
          <w:tcPr>
            <w:tcW w:w="4599" w:type="dxa"/>
            <w:tcMar>
              <w:top w:w="567" w:type="dxa"/>
            </w:tcMar>
          </w:tcPr>
          <w:p w:rsidR="00F138C1" w:rsidRPr="0081448E" w:rsidRDefault="00F138C1" w:rsidP="00F138C1">
            <w:pPr>
              <w:tabs>
                <w:tab w:val="left" w:pos="6075"/>
              </w:tabs>
              <w:jc w:val="both"/>
              <w:rPr>
                <w:rFonts w:ascii="Arial" w:hAnsi="Arial" w:cs="Arial"/>
                <w:i/>
                <w:sz w:val="20"/>
                <w:szCs w:val="20"/>
              </w:rPr>
            </w:pPr>
            <w:r w:rsidRPr="0081448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144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1448E" w:rsidRDefault="00F138C1" w:rsidP="00F138C1">
            <w:pPr>
              <w:tabs>
                <w:tab w:val="left" w:pos="6075"/>
              </w:tabs>
              <w:jc w:val="both"/>
              <w:rPr>
                <w:rFonts w:ascii="Arial" w:hAnsi="Arial" w:cs="Arial"/>
                <w:i/>
                <w:sz w:val="20"/>
                <w:szCs w:val="20"/>
                <w:lang w:val="fr-CA"/>
              </w:rPr>
            </w:pPr>
            <w:r w:rsidRPr="0081448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C4158" w:rsidTr="00F138C1">
        <w:tc>
          <w:tcPr>
            <w:tcW w:w="4599" w:type="dxa"/>
            <w:tcMar>
              <w:top w:w="567" w:type="dxa"/>
            </w:tcMar>
          </w:tcPr>
          <w:p w:rsidR="00F138C1" w:rsidRPr="0081448E" w:rsidRDefault="00F138C1" w:rsidP="00F138C1">
            <w:pPr>
              <w:tabs>
                <w:tab w:val="left" w:pos="6075"/>
              </w:tabs>
              <w:jc w:val="both"/>
              <w:rPr>
                <w:rFonts w:ascii="Arial" w:hAnsi="Arial" w:cs="Arial"/>
                <w:i/>
                <w:sz w:val="20"/>
                <w:szCs w:val="20"/>
              </w:rPr>
            </w:pPr>
            <w:r w:rsidRPr="0081448E">
              <w:rPr>
                <w:rFonts w:ascii="Arial" w:hAnsi="Arial" w:cs="Arial"/>
                <w:i/>
                <w:sz w:val="20"/>
                <w:szCs w:val="20"/>
              </w:rPr>
              <w:t>During Court sessions, the Bulletin is usually issued weekly.</w:t>
            </w:r>
          </w:p>
        </w:tc>
        <w:tc>
          <w:tcPr>
            <w:tcW w:w="483" w:type="dxa"/>
          </w:tcPr>
          <w:p w:rsidR="00F138C1" w:rsidRPr="008144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1448E" w:rsidRDefault="00F138C1" w:rsidP="00F138C1">
            <w:pPr>
              <w:tabs>
                <w:tab w:val="left" w:pos="6075"/>
              </w:tabs>
              <w:jc w:val="both"/>
              <w:rPr>
                <w:rFonts w:ascii="Arial" w:hAnsi="Arial" w:cs="Arial"/>
                <w:i/>
                <w:sz w:val="20"/>
                <w:szCs w:val="20"/>
                <w:lang w:val="fr-CA"/>
              </w:rPr>
            </w:pPr>
            <w:r w:rsidRPr="0081448E">
              <w:rPr>
                <w:rFonts w:ascii="Arial" w:hAnsi="Arial" w:cs="Arial"/>
                <w:i/>
                <w:sz w:val="20"/>
                <w:szCs w:val="20"/>
                <w:lang w:val="fr-CA"/>
              </w:rPr>
              <w:t>Le Bulletin paraît en principe toutes les semaines pendant les sessions de la Cour.</w:t>
            </w:r>
          </w:p>
        </w:tc>
      </w:tr>
      <w:tr w:rsidR="00F138C1" w:rsidRPr="005C4158" w:rsidTr="00F138C1">
        <w:tc>
          <w:tcPr>
            <w:tcW w:w="4599" w:type="dxa"/>
            <w:tcMar>
              <w:top w:w="567" w:type="dxa"/>
            </w:tcMar>
          </w:tcPr>
          <w:p w:rsidR="00F138C1" w:rsidRPr="0081448E" w:rsidRDefault="00F138C1" w:rsidP="00F138C1">
            <w:pPr>
              <w:tabs>
                <w:tab w:val="left" w:pos="6075"/>
              </w:tabs>
              <w:jc w:val="both"/>
              <w:rPr>
                <w:rFonts w:ascii="Arial" w:hAnsi="Arial" w:cs="Arial"/>
                <w:i/>
                <w:sz w:val="20"/>
                <w:szCs w:val="20"/>
              </w:rPr>
            </w:pPr>
            <w:r w:rsidRPr="0081448E">
              <w:rPr>
                <w:rFonts w:ascii="Arial" w:hAnsi="Arial" w:cs="Arial"/>
                <w:i/>
                <w:sz w:val="20"/>
                <w:szCs w:val="20"/>
              </w:rPr>
              <w:fldChar w:fldCharType="begin"/>
            </w:r>
            <w:r w:rsidRPr="0081448E">
              <w:rPr>
                <w:rFonts w:ascii="Arial" w:hAnsi="Arial" w:cs="Arial"/>
                <w:i/>
                <w:sz w:val="20"/>
                <w:szCs w:val="20"/>
              </w:rPr>
              <w:instrText xml:space="preserve"> SEQ CHAPTER \h \r 1</w:instrText>
            </w:r>
            <w:r w:rsidRPr="0081448E">
              <w:rPr>
                <w:rFonts w:ascii="Arial" w:hAnsi="Arial" w:cs="Arial"/>
                <w:i/>
                <w:sz w:val="20"/>
                <w:szCs w:val="20"/>
              </w:rPr>
              <w:fldChar w:fldCharType="end"/>
            </w:r>
            <w:r w:rsidRPr="0081448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8144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1448E" w:rsidRDefault="00F138C1" w:rsidP="00F138C1">
            <w:pPr>
              <w:tabs>
                <w:tab w:val="left" w:pos="6075"/>
              </w:tabs>
              <w:jc w:val="both"/>
              <w:rPr>
                <w:rFonts w:ascii="Arial" w:hAnsi="Arial" w:cs="Arial"/>
                <w:i/>
                <w:sz w:val="20"/>
                <w:szCs w:val="20"/>
                <w:lang w:val="fr-CA"/>
              </w:rPr>
            </w:pPr>
            <w:r w:rsidRPr="0081448E">
              <w:rPr>
                <w:rFonts w:ascii="Arial" w:hAnsi="Arial" w:cs="Arial"/>
                <w:i/>
                <w:sz w:val="20"/>
                <w:szCs w:val="20"/>
                <w:lang w:val="fr-CA"/>
              </w:rPr>
              <w:fldChar w:fldCharType="begin"/>
            </w:r>
            <w:r w:rsidRPr="0081448E">
              <w:rPr>
                <w:rFonts w:ascii="Arial" w:hAnsi="Arial" w:cs="Arial"/>
                <w:i/>
                <w:sz w:val="20"/>
                <w:szCs w:val="20"/>
                <w:lang w:val="fr-CA"/>
              </w:rPr>
              <w:instrText xml:space="preserve"> SEQ CHAPTER \h \r 1</w:instrText>
            </w:r>
            <w:r w:rsidRPr="0081448E">
              <w:rPr>
                <w:rFonts w:ascii="Arial" w:hAnsi="Arial" w:cs="Arial"/>
                <w:i/>
                <w:sz w:val="20"/>
                <w:szCs w:val="20"/>
                <w:lang w:val="fr-CA"/>
              </w:rPr>
              <w:fldChar w:fldCharType="end"/>
            </w:r>
            <w:r w:rsidRPr="0081448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C4158" w:rsidTr="00F138C1">
        <w:tc>
          <w:tcPr>
            <w:tcW w:w="4599" w:type="dxa"/>
            <w:tcMar>
              <w:top w:w="567" w:type="dxa"/>
            </w:tcMar>
          </w:tcPr>
          <w:p w:rsidR="00F138C1" w:rsidRPr="0081448E" w:rsidRDefault="00F138C1" w:rsidP="00F138C1">
            <w:pPr>
              <w:tabs>
                <w:tab w:val="left" w:pos="6075"/>
              </w:tabs>
              <w:jc w:val="both"/>
              <w:rPr>
                <w:rFonts w:ascii="Arial" w:hAnsi="Arial" w:cs="Arial"/>
                <w:i/>
                <w:sz w:val="20"/>
                <w:szCs w:val="20"/>
              </w:rPr>
            </w:pPr>
            <w:r w:rsidRPr="0081448E">
              <w:rPr>
                <w:rFonts w:ascii="Arial" w:hAnsi="Arial" w:cs="Arial"/>
                <w:i/>
                <w:sz w:val="20"/>
                <w:szCs w:val="20"/>
                <w:lang w:val="en-US"/>
              </w:rPr>
              <w:t>Please c</w:t>
            </w:r>
            <w:r w:rsidRPr="0081448E">
              <w:rPr>
                <w:rFonts w:ascii="Arial" w:hAnsi="Arial" w:cs="Arial"/>
                <w:i/>
                <w:sz w:val="20"/>
                <w:szCs w:val="20"/>
              </w:rPr>
              <w:t xml:space="preserve">onsult the Supreme Court of Canada website at </w:t>
            </w:r>
            <w:hyperlink r:id="rId9" w:history="1">
              <w:r w:rsidRPr="0081448E">
                <w:rPr>
                  <w:rStyle w:val="Hyperlink"/>
                  <w:rFonts w:ascii="Arial" w:hAnsi="Arial" w:cs="Arial"/>
                  <w:i/>
                  <w:sz w:val="20"/>
                  <w:szCs w:val="20"/>
                </w:rPr>
                <w:t>www.scc-csc.ca</w:t>
              </w:r>
            </w:hyperlink>
            <w:r w:rsidRPr="0081448E">
              <w:rPr>
                <w:rFonts w:ascii="Arial" w:hAnsi="Arial" w:cs="Arial"/>
                <w:i/>
                <w:sz w:val="20"/>
                <w:szCs w:val="20"/>
              </w:rPr>
              <w:t xml:space="preserve"> for more information.</w:t>
            </w:r>
          </w:p>
        </w:tc>
        <w:tc>
          <w:tcPr>
            <w:tcW w:w="483" w:type="dxa"/>
          </w:tcPr>
          <w:p w:rsidR="00F138C1" w:rsidRPr="008144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1448E" w:rsidRDefault="00F138C1" w:rsidP="00F138C1">
            <w:pPr>
              <w:tabs>
                <w:tab w:val="left" w:pos="6075"/>
              </w:tabs>
              <w:jc w:val="both"/>
              <w:rPr>
                <w:rFonts w:ascii="Arial" w:hAnsi="Arial" w:cs="Arial"/>
                <w:i/>
                <w:sz w:val="20"/>
                <w:szCs w:val="20"/>
                <w:lang w:val="fr-CA"/>
              </w:rPr>
            </w:pPr>
            <w:r w:rsidRPr="0081448E">
              <w:rPr>
                <w:rFonts w:ascii="Arial" w:hAnsi="Arial" w:cs="Arial"/>
                <w:i/>
                <w:sz w:val="20"/>
                <w:szCs w:val="20"/>
                <w:lang w:val="fr-CA"/>
              </w:rPr>
              <w:t xml:space="preserve">Pour de plus amples informations, veuillez consulter le site Web de la Cour suprême du Canada à l’adresse suivante : </w:t>
            </w:r>
            <w:hyperlink r:id="rId10" w:history="1">
              <w:r w:rsidRPr="0081448E">
                <w:rPr>
                  <w:rStyle w:val="Hyperlink"/>
                  <w:rFonts w:ascii="Arial" w:hAnsi="Arial" w:cs="Arial"/>
                  <w:i/>
                  <w:sz w:val="20"/>
                  <w:szCs w:val="20"/>
                  <w:lang w:val="fr-CA"/>
                </w:rPr>
                <w:t>www.scc-csc.ca</w:t>
              </w:r>
            </w:hyperlink>
            <w:r w:rsidRPr="0081448E">
              <w:rPr>
                <w:rFonts w:ascii="Arial" w:hAnsi="Arial" w:cs="Arial"/>
                <w:i/>
                <w:sz w:val="20"/>
                <w:szCs w:val="20"/>
                <w:lang w:val="fr-CA"/>
              </w:rPr>
              <w:t xml:space="preserve"> </w:t>
            </w:r>
          </w:p>
        </w:tc>
      </w:tr>
    </w:tbl>
    <w:p w:rsidR="00F138C1" w:rsidRPr="0081448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1448E" w:rsidTr="00F138C1">
        <w:tc>
          <w:tcPr>
            <w:tcW w:w="2250" w:type="pct"/>
            <w:tcBorders>
              <w:top w:val="single" w:sz="4" w:space="0" w:color="auto"/>
            </w:tcBorders>
            <w:tcMar>
              <w:top w:w="284" w:type="dxa"/>
              <w:bottom w:w="284" w:type="dxa"/>
            </w:tcMar>
          </w:tcPr>
          <w:p w:rsidR="00F138C1" w:rsidRPr="0081448E" w:rsidRDefault="002D2C17" w:rsidP="002D2C17">
            <w:pPr>
              <w:tabs>
                <w:tab w:val="left" w:pos="6075"/>
              </w:tabs>
              <w:rPr>
                <w:rFonts w:ascii="Arial" w:hAnsi="Arial" w:cs="Arial"/>
                <w:i/>
                <w:sz w:val="20"/>
                <w:szCs w:val="20"/>
              </w:rPr>
            </w:pPr>
            <w:r w:rsidRPr="0081448E">
              <w:rPr>
                <w:lang w:val="fr-CA"/>
              </w:rPr>
              <w:t>October</w:t>
            </w:r>
            <w:r w:rsidR="00F138C1" w:rsidRPr="0081448E">
              <w:rPr>
                <w:lang w:val="fr-CA"/>
              </w:rPr>
              <w:t xml:space="preserve"> </w:t>
            </w:r>
            <w:r w:rsidRPr="0081448E">
              <w:rPr>
                <w:lang w:val="fr-CA"/>
              </w:rPr>
              <w:t>23</w:t>
            </w:r>
            <w:r w:rsidR="00F138C1" w:rsidRPr="0081448E">
              <w:rPr>
                <w:lang w:val="fr-CA"/>
              </w:rPr>
              <w:t>, 2020</w:t>
            </w:r>
          </w:p>
        </w:tc>
        <w:tc>
          <w:tcPr>
            <w:tcW w:w="500" w:type="pct"/>
            <w:tcBorders>
              <w:top w:val="single" w:sz="4" w:space="0" w:color="auto"/>
            </w:tcBorders>
            <w:tcMar>
              <w:top w:w="284" w:type="dxa"/>
              <w:bottom w:w="284" w:type="dxa"/>
            </w:tcMar>
          </w:tcPr>
          <w:p w:rsidR="00F138C1" w:rsidRPr="0081448E" w:rsidRDefault="00F138C1" w:rsidP="0081448E">
            <w:pPr>
              <w:tabs>
                <w:tab w:val="left" w:pos="6075"/>
              </w:tabs>
              <w:jc w:val="center"/>
              <w:rPr>
                <w:rFonts w:ascii="Arial" w:hAnsi="Arial" w:cs="Arial"/>
                <w:i/>
                <w:sz w:val="20"/>
                <w:szCs w:val="20"/>
              </w:rPr>
            </w:pPr>
            <w:r w:rsidRPr="0081448E">
              <w:rPr>
                <w:lang w:val="fr-CA"/>
              </w:rPr>
              <w:t xml:space="preserve">1 - </w:t>
            </w:r>
            <w:r w:rsidR="005C4158">
              <w:rPr>
                <w:lang w:val="fr-CA"/>
              </w:rPr>
              <w:t>2</w:t>
            </w:r>
            <w:r w:rsidR="0081448E" w:rsidRPr="0081448E">
              <w:rPr>
                <w:lang w:val="fr-CA"/>
              </w:rPr>
              <w:t>1</w:t>
            </w:r>
          </w:p>
        </w:tc>
        <w:tc>
          <w:tcPr>
            <w:tcW w:w="2250" w:type="pct"/>
            <w:tcBorders>
              <w:top w:val="single" w:sz="4" w:space="0" w:color="auto"/>
            </w:tcBorders>
            <w:tcMar>
              <w:top w:w="284" w:type="dxa"/>
              <w:bottom w:w="284" w:type="dxa"/>
            </w:tcMar>
          </w:tcPr>
          <w:p w:rsidR="00F138C1" w:rsidRPr="0081448E" w:rsidRDefault="00F138C1" w:rsidP="002D2C17">
            <w:pPr>
              <w:tabs>
                <w:tab w:val="left" w:pos="6075"/>
              </w:tabs>
              <w:jc w:val="right"/>
              <w:rPr>
                <w:rFonts w:ascii="Arial" w:hAnsi="Arial" w:cs="Arial"/>
                <w:i/>
                <w:sz w:val="20"/>
                <w:szCs w:val="20"/>
                <w:lang w:val="fr-CA"/>
              </w:rPr>
            </w:pPr>
            <w:r w:rsidRPr="0081448E">
              <w:rPr>
                <w:lang w:val="fr-CA"/>
              </w:rPr>
              <w:t xml:space="preserve">Le </w:t>
            </w:r>
            <w:r w:rsidR="002D2C17" w:rsidRPr="0081448E">
              <w:rPr>
                <w:lang w:val="fr-CA"/>
              </w:rPr>
              <w:t>23</w:t>
            </w:r>
            <w:r w:rsidRPr="0081448E">
              <w:rPr>
                <w:lang w:val="fr-CA"/>
              </w:rPr>
              <w:t xml:space="preserve"> </w:t>
            </w:r>
            <w:r w:rsidR="002D2C17" w:rsidRPr="0081448E">
              <w:rPr>
                <w:lang w:val="fr-CA"/>
              </w:rPr>
              <w:t>octobre</w:t>
            </w:r>
            <w:r w:rsidRPr="0081448E">
              <w:rPr>
                <w:lang w:val="fr-CA"/>
              </w:rPr>
              <w:t xml:space="preserve"> 2020</w:t>
            </w:r>
          </w:p>
        </w:tc>
      </w:tr>
      <w:tr w:rsidR="00F138C1" w:rsidRPr="00DC444A" w:rsidTr="00F138C1">
        <w:tc>
          <w:tcPr>
            <w:tcW w:w="2250" w:type="pct"/>
            <w:tcBorders>
              <w:bottom w:val="single" w:sz="4" w:space="0" w:color="auto"/>
            </w:tcBorders>
            <w:tcMar>
              <w:top w:w="284" w:type="dxa"/>
              <w:bottom w:w="284" w:type="dxa"/>
            </w:tcMar>
          </w:tcPr>
          <w:p w:rsidR="00F138C1" w:rsidRPr="0081448E" w:rsidRDefault="00F138C1" w:rsidP="00F138C1">
            <w:pPr>
              <w:tabs>
                <w:tab w:val="left" w:pos="6075"/>
              </w:tabs>
              <w:rPr>
                <w:rFonts w:ascii="Arial" w:hAnsi="Arial" w:cs="Arial"/>
                <w:i/>
                <w:sz w:val="20"/>
                <w:szCs w:val="20"/>
              </w:rPr>
            </w:pPr>
            <w:r w:rsidRPr="0081448E">
              <w:rPr>
                <w:sz w:val="18"/>
                <w:szCs w:val="18"/>
                <w:lang w:val="en-US"/>
              </w:rPr>
              <w:t>© Supreme Court of Canada (2020)</w:t>
            </w:r>
            <w:r w:rsidRPr="0081448E">
              <w:rPr>
                <w:sz w:val="18"/>
                <w:szCs w:val="18"/>
                <w:lang w:val="en-US"/>
              </w:rPr>
              <w:br/>
              <w:t>ISSN 1918-8358 (Online)</w:t>
            </w:r>
          </w:p>
        </w:tc>
        <w:tc>
          <w:tcPr>
            <w:tcW w:w="500" w:type="pct"/>
            <w:tcBorders>
              <w:bottom w:val="single" w:sz="4" w:space="0" w:color="auto"/>
            </w:tcBorders>
            <w:tcMar>
              <w:top w:w="284" w:type="dxa"/>
              <w:bottom w:w="284" w:type="dxa"/>
            </w:tcMar>
          </w:tcPr>
          <w:p w:rsidR="00F138C1" w:rsidRPr="0081448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1448E" w:rsidRDefault="00F138C1" w:rsidP="00F138C1">
            <w:pPr>
              <w:tabs>
                <w:tab w:val="left" w:pos="6075"/>
              </w:tabs>
              <w:jc w:val="right"/>
              <w:rPr>
                <w:rFonts w:ascii="Arial" w:hAnsi="Arial" w:cs="Arial"/>
                <w:i/>
                <w:sz w:val="20"/>
                <w:szCs w:val="20"/>
                <w:lang w:val="fr-CA"/>
              </w:rPr>
            </w:pPr>
            <w:r w:rsidRPr="0081448E">
              <w:rPr>
                <w:sz w:val="18"/>
                <w:szCs w:val="18"/>
                <w:lang w:val="fr-CA"/>
              </w:rPr>
              <w:t>© Cour suprême du Canada (2020</w:t>
            </w:r>
            <w:proofErr w:type="gramStart"/>
            <w:r w:rsidRPr="0081448E">
              <w:rPr>
                <w:sz w:val="18"/>
                <w:szCs w:val="18"/>
                <w:lang w:val="fr-CA"/>
              </w:rPr>
              <w:t>)</w:t>
            </w:r>
            <w:proofErr w:type="gramEnd"/>
            <w:r w:rsidRPr="0081448E">
              <w:rPr>
                <w:sz w:val="18"/>
                <w:szCs w:val="18"/>
                <w:lang w:val="fr-CA"/>
              </w:rPr>
              <w:br/>
              <w:t>ISSN 1918-8358 (En ligne)</w:t>
            </w:r>
          </w:p>
        </w:tc>
      </w:tr>
    </w:tbl>
    <w:p w:rsidR="0030050B" w:rsidRPr="0081448E" w:rsidRDefault="0030050B" w:rsidP="00F138C1">
      <w:pPr>
        <w:tabs>
          <w:tab w:val="left" w:pos="6075"/>
        </w:tabs>
        <w:rPr>
          <w:lang w:val="fr-CA"/>
        </w:rPr>
      </w:pPr>
    </w:p>
    <w:p w:rsidR="00560DF1" w:rsidRPr="0081448E" w:rsidRDefault="00560DF1" w:rsidP="0095096B">
      <w:pPr>
        <w:tabs>
          <w:tab w:val="right" w:pos="9360"/>
        </w:tabs>
        <w:rPr>
          <w:lang w:val="fr-CA"/>
        </w:rPr>
      </w:pPr>
    </w:p>
    <w:p w:rsidR="00F138C1" w:rsidRPr="0081448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1448E" w:rsidRDefault="00DC6B2E" w:rsidP="00693C38">
          <w:pPr>
            <w:pStyle w:val="Title"/>
            <w:jc w:val="center"/>
            <w:rPr>
              <w:rFonts w:ascii="Times New Roman" w:hAnsi="Times New Roman" w:cs="Times New Roman"/>
              <w:b/>
              <w:sz w:val="24"/>
              <w:szCs w:val="28"/>
              <w:lang w:val="fr-CA"/>
            </w:rPr>
          </w:pPr>
          <w:r w:rsidRPr="0081448E">
            <w:rPr>
              <w:rFonts w:ascii="Times New Roman" w:hAnsi="Times New Roman" w:cs="Times New Roman"/>
              <w:b/>
              <w:sz w:val="24"/>
              <w:szCs w:val="28"/>
              <w:lang w:val="fr-CA"/>
            </w:rPr>
            <w:t>Contents</w:t>
          </w:r>
        </w:p>
        <w:p w:rsidR="00693C38" w:rsidRPr="0081448E" w:rsidRDefault="00DC6B2E" w:rsidP="00693C38">
          <w:pPr>
            <w:jc w:val="center"/>
            <w:rPr>
              <w:b/>
              <w:szCs w:val="28"/>
              <w:lang w:val="fr-CA"/>
            </w:rPr>
          </w:pPr>
          <w:r w:rsidRPr="0081448E">
            <w:rPr>
              <w:b/>
              <w:szCs w:val="28"/>
              <w:lang w:val="fr-CA"/>
            </w:rPr>
            <w:t>Table des matières</w:t>
          </w:r>
        </w:p>
        <w:p w:rsidR="00693C38" w:rsidRPr="0081448E" w:rsidRDefault="00693C38" w:rsidP="00693C38">
          <w:pPr>
            <w:rPr>
              <w:lang w:val="fr-CA"/>
            </w:rPr>
          </w:pPr>
        </w:p>
        <w:p w:rsidR="00D873EC" w:rsidRPr="0081448E" w:rsidRDefault="00DC6B2E">
          <w:pPr>
            <w:pStyle w:val="TOC1"/>
            <w:tabs>
              <w:tab w:val="right" w:leader="dot" w:pos="9638"/>
            </w:tabs>
            <w:rPr>
              <w:rFonts w:asciiTheme="minorHAnsi" w:eastAsiaTheme="minorEastAsia" w:hAnsiTheme="minorHAnsi"/>
              <w:noProof/>
              <w:sz w:val="22"/>
              <w:lang w:val="en-US"/>
            </w:rPr>
          </w:pPr>
          <w:r w:rsidRPr="0081448E">
            <w:rPr>
              <w:b/>
              <w:bCs/>
              <w:noProof/>
            </w:rPr>
            <w:fldChar w:fldCharType="begin"/>
          </w:r>
          <w:r w:rsidRPr="0081448E">
            <w:rPr>
              <w:b/>
              <w:bCs/>
              <w:noProof/>
            </w:rPr>
            <w:instrText xml:space="preserve"> TOC \o "1-3" \h \z \u </w:instrText>
          </w:r>
          <w:r w:rsidRPr="0081448E">
            <w:rPr>
              <w:b/>
              <w:bCs/>
              <w:noProof/>
            </w:rPr>
            <w:fldChar w:fldCharType="separate"/>
          </w:r>
          <w:hyperlink w:anchor="_Toc54283825" w:history="1">
            <w:r w:rsidR="00D873EC" w:rsidRPr="0081448E">
              <w:rPr>
                <w:rStyle w:val="Hyperlink"/>
                <w:noProof/>
                <w:lang w:val="fr-CA"/>
              </w:rPr>
              <w:t>Applications for leave to appeal filed /  Demandes d’autorisation d’appel déposées</w:t>
            </w:r>
            <w:r w:rsidR="00D873EC" w:rsidRPr="0081448E">
              <w:rPr>
                <w:noProof/>
                <w:webHidden/>
              </w:rPr>
              <w:tab/>
            </w:r>
            <w:r w:rsidR="00D873EC" w:rsidRPr="0081448E">
              <w:rPr>
                <w:noProof/>
                <w:webHidden/>
              </w:rPr>
              <w:fldChar w:fldCharType="begin"/>
            </w:r>
            <w:r w:rsidR="00D873EC" w:rsidRPr="0081448E">
              <w:rPr>
                <w:noProof/>
                <w:webHidden/>
              </w:rPr>
              <w:instrText xml:space="preserve"> PAGEREF _Toc54283825 \h </w:instrText>
            </w:r>
            <w:r w:rsidR="00D873EC" w:rsidRPr="0081448E">
              <w:rPr>
                <w:noProof/>
                <w:webHidden/>
              </w:rPr>
            </w:r>
            <w:r w:rsidR="00D873EC" w:rsidRPr="0081448E">
              <w:rPr>
                <w:noProof/>
                <w:webHidden/>
              </w:rPr>
              <w:fldChar w:fldCharType="separate"/>
            </w:r>
            <w:r w:rsidR="005C4158">
              <w:rPr>
                <w:noProof/>
                <w:webHidden/>
              </w:rPr>
              <w:t>1</w:t>
            </w:r>
            <w:r w:rsidR="00D873EC" w:rsidRPr="0081448E">
              <w:rPr>
                <w:noProof/>
                <w:webHidden/>
              </w:rPr>
              <w:fldChar w:fldCharType="end"/>
            </w:r>
          </w:hyperlink>
        </w:p>
        <w:p w:rsidR="00D873EC" w:rsidRPr="0081448E" w:rsidRDefault="00DC444A">
          <w:pPr>
            <w:pStyle w:val="TOC1"/>
            <w:tabs>
              <w:tab w:val="right" w:leader="dot" w:pos="9638"/>
            </w:tabs>
            <w:rPr>
              <w:rFonts w:asciiTheme="minorHAnsi" w:eastAsiaTheme="minorEastAsia" w:hAnsiTheme="minorHAnsi"/>
              <w:noProof/>
              <w:sz w:val="22"/>
              <w:lang w:val="en-US"/>
            </w:rPr>
          </w:pPr>
          <w:hyperlink w:anchor="_Toc54283826" w:history="1">
            <w:r w:rsidR="00D873EC" w:rsidRPr="0081448E">
              <w:rPr>
                <w:rStyle w:val="Hyperlink"/>
                <w:noProof/>
                <w:lang w:val="fr-CA"/>
              </w:rPr>
              <w:t>Judgments on applications for leave /  Jugements rendus sur les demandes d’autorisation</w:t>
            </w:r>
            <w:r w:rsidR="00D873EC" w:rsidRPr="0081448E">
              <w:rPr>
                <w:noProof/>
                <w:webHidden/>
              </w:rPr>
              <w:tab/>
            </w:r>
            <w:r w:rsidR="00D873EC" w:rsidRPr="0081448E">
              <w:rPr>
                <w:noProof/>
                <w:webHidden/>
              </w:rPr>
              <w:fldChar w:fldCharType="begin"/>
            </w:r>
            <w:r w:rsidR="00D873EC" w:rsidRPr="0081448E">
              <w:rPr>
                <w:noProof/>
                <w:webHidden/>
              </w:rPr>
              <w:instrText xml:space="preserve"> PAGEREF _Toc54283826 \h </w:instrText>
            </w:r>
            <w:r w:rsidR="00D873EC" w:rsidRPr="0081448E">
              <w:rPr>
                <w:noProof/>
                <w:webHidden/>
              </w:rPr>
            </w:r>
            <w:r w:rsidR="00D873EC" w:rsidRPr="0081448E">
              <w:rPr>
                <w:noProof/>
                <w:webHidden/>
              </w:rPr>
              <w:fldChar w:fldCharType="separate"/>
            </w:r>
            <w:r w:rsidR="005C4158">
              <w:rPr>
                <w:noProof/>
                <w:webHidden/>
              </w:rPr>
              <w:t>3</w:t>
            </w:r>
            <w:r w:rsidR="00D873EC" w:rsidRPr="0081448E">
              <w:rPr>
                <w:noProof/>
                <w:webHidden/>
              </w:rPr>
              <w:fldChar w:fldCharType="end"/>
            </w:r>
          </w:hyperlink>
        </w:p>
        <w:p w:rsidR="00D873EC" w:rsidRPr="0081448E" w:rsidRDefault="00DC444A">
          <w:pPr>
            <w:pStyle w:val="TOC1"/>
            <w:tabs>
              <w:tab w:val="right" w:leader="dot" w:pos="9638"/>
            </w:tabs>
            <w:rPr>
              <w:rFonts w:asciiTheme="minorHAnsi" w:eastAsiaTheme="minorEastAsia" w:hAnsiTheme="minorHAnsi"/>
              <w:noProof/>
              <w:sz w:val="22"/>
              <w:lang w:val="en-US"/>
            </w:rPr>
          </w:pPr>
          <w:hyperlink w:anchor="_Toc54283827" w:history="1">
            <w:r w:rsidR="00D873EC" w:rsidRPr="0081448E">
              <w:rPr>
                <w:rStyle w:val="Hyperlink"/>
                <w:noProof/>
                <w:lang w:val="fr-CA"/>
              </w:rPr>
              <w:t>Motions /  Requêtes</w:t>
            </w:r>
            <w:r w:rsidR="00D873EC" w:rsidRPr="0081448E">
              <w:rPr>
                <w:noProof/>
                <w:webHidden/>
              </w:rPr>
              <w:tab/>
            </w:r>
            <w:r w:rsidR="00D873EC" w:rsidRPr="0081448E">
              <w:rPr>
                <w:noProof/>
                <w:webHidden/>
              </w:rPr>
              <w:fldChar w:fldCharType="begin"/>
            </w:r>
            <w:r w:rsidR="00D873EC" w:rsidRPr="0081448E">
              <w:rPr>
                <w:noProof/>
                <w:webHidden/>
              </w:rPr>
              <w:instrText xml:space="preserve"> PAGEREF _Toc54283827 \h </w:instrText>
            </w:r>
            <w:r w:rsidR="00D873EC" w:rsidRPr="0081448E">
              <w:rPr>
                <w:noProof/>
                <w:webHidden/>
              </w:rPr>
            </w:r>
            <w:r w:rsidR="00D873EC" w:rsidRPr="0081448E">
              <w:rPr>
                <w:noProof/>
                <w:webHidden/>
              </w:rPr>
              <w:fldChar w:fldCharType="separate"/>
            </w:r>
            <w:r w:rsidR="005C4158">
              <w:rPr>
                <w:noProof/>
                <w:webHidden/>
              </w:rPr>
              <w:t>9</w:t>
            </w:r>
            <w:r w:rsidR="00D873EC" w:rsidRPr="0081448E">
              <w:rPr>
                <w:noProof/>
                <w:webHidden/>
              </w:rPr>
              <w:fldChar w:fldCharType="end"/>
            </w:r>
          </w:hyperlink>
        </w:p>
        <w:p w:rsidR="00D873EC" w:rsidRPr="0081448E" w:rsidRDefault="00DC444A">
          <w:pPr>
            <w:pStyle w:val="TOC1"/>
            <w:tabs>
              <w:tab w:val="right" w:leader="dot" w:pos="9638"/>
            </w:tabs>
            <w:rPr>
              <w:rFonts w:asciiTheme="minorHAnsi" w:eastAsiaTheme="minorEastAsia" w:hAnsiTheme="minorHAnsi"/>
              <w:noProof/>
              <w:sz w:val="22"/>
              <w:lang w:val="en-US"/>
            </w:rPr>
          </w:pPr>
          <w:hyperlink w:anchor="_Toc54283828" w:history="1">
            <w:r w:rsidR="00D873EC" w:rsidRPr="0081448E">
              <w:rPr>
                <w:rStyle w:val="Hyperlink"/>
                <w:noProof/>
                <w:lang w:val="fr-CA"/>
              </w:rPr>
              <w:t>Pronouncements of reserved appeals /  Jugements rendus sur les appels en délibéré</w:t>
            </w:r>
            <w:r w:rsidR="00D873EC" w:rsidRPr="0081448E">
              <w:rPr>
                <w:noProof/>
                <w:webHidden/>
              </w:rPr>
              <w:tab/>
            </w:r>
            <w:r w:rsidR="00D873EC" w:rsidRPr="0081448E">
              <w:rPr>
                <w:noProof/>
                <w:webHidden/>
              </w:rPr>
              <w:fldChar w:fldCharType="begin"/>
            </w:r>
            <w:r w:rsidR="00D873EC" w:rsidRPr="0081448E">
              <w:rPr>
                <w:noProof/>
                <w:webHidden/>
              </w:rPr>
              <w:instrText xml:space="preserve"> PAGEREF _Toc54283828 \h </w:instrText>
            </w:r>
            <w:r w:rsidR="00D873EC" w:rsidRPr="0081448E">
              <w:rPr>
                <w:noProof/>
                <w:webHidden/>
              </w:rPr>
            </w:r>
            <w:r w:rsidR="00D873EC" w:rsidRPr="0081448E">
              <w:rPr>
                <w:noProof/>
                <w:webHidden/>
              </w:rPr>
              <w:fldChar w:fldCharType="separate"/>
            </w:r>
            <w:r w:rsidR="005C4158">
              <w:rPr>
                <w:noProof/>
                <w:webHidden/>
              </w:rPr>
              <w:t>10</w:t>
            </w:r>
            <w:r w:rsidR="00D873EC" w:rsidRPr="0081448E">
              <w:rPr>
                <w:noProof/>
                <w:webHidden/>
              </w:rPr>
              <w:fldChar w:fldCharType="end"/>
            </w:r>
          </w:hyperlink>
        </w:p>
        <w:p w:rsidR="00D873EC" w:rsidRPr="0081448E" w:rsidRDefault="00DC444A">
          <w:pPr>
            <w:pStyle w:val="TOC1"/>
            <w:tabs>
              <w:tab w:val="right" w:leader="dot" w:pos="9638"/>
            </w:tabs>
            <w:rPr>
              <w:rFonts w:asciiTheme="minorHAnsi" w:eastAsiaTheme="minorEastAsia" w:hAnsiTheme="minorHAnsi"/>
              <w:noProof/>
              <w:sz w:val="22"/>
              <w:lang w:val="en-US"/>
            </w:rPr>
          </w:pPr>
          <w:hyperlink w:anchor="_Toc54283829" w:history="1">
            <w:r w:rsidR="00D873EC" w:rsidRPr="0081448E">
              <w:rPr>
                <w:rStyle w:val="Hyperlink"/>
                <w:noProof/>
                <w:lang w:val="fr-CA"/>
              </w:rPr>
              <w:t>Agenda and case summaries for November 2020 /  Calendrier et sommaires des causes de novembre 2020</w:t>
            </w:r>
            <w:r w:rsidR="00D873EC" w:rsidRPr="0081448E">
              <w:rPr>
                <w:noProof/>
                <w:webHidden/>
              </w:rPr>
              <w:tab/>
            </w:r>
            <w:r w:rsidR="00D873EC" w:rsidRPr="0081448E">
              <w:rPr>
                <w:noProof/>
                <w:webHidden/>
              </w:rPr>
              <w:fldChar w:fldCharType="begin"/>
            </w:r>
            <w:r w:rsidR="00D873EC" w:rsidRPr="0081448E">
              <w:rPr>
                <w:noProof/>
                <w:webHidden/>
              </w:rPr>
              <w:instrText xml:space="preserve"> PAGEREF _Toc54283829 \h </w:instrText>
            </w:r>
            <w:r w:rsidR="00D873EC" w:rsidRPr="0081448E">
              <w:rPr>
                <w:noProof/>
                <w:webHidden/>
              </w:rPr>
            </w:r>
            <w:r w:rsidR="00D873EC" w:rsidRPr="0081448E">
              <w:rPr>
                <w:noProof/>
                <w:webHidden/>
              </w:rPr>
              <w:fldChar w:fldCharType="separate"/>
            </w:r>
            <w:r w:rsidR="005C4158">
              <w:rPr>
                <w:noProof/>
                <w:webHidden/>
              </w:rPr>
              <w:t>11</w:t>
            </w:r>
            <w:r w:rsidR="00D873EC" w:rsidRPr="0081448E">
              <w:rPr>
                <w:noProof/>
                <w:webHidden/>
              </w:rPr>
              <w:fldChar w:fldCharType="end"/>
            </w:r>
          </w:hyperlink>
        </w:p>
        <w:p w:rsidR="00560DF1" w:rsidRPr="0081448E" w:rsidRDefault="00DC6B2E">
          <w:r w:rsidRPr="0081448E">
            <w:rPr>
              <w:b/>
              <w:bCs/>
              <w:noProof/>
              <w:sz w:val="20"/>
            </w:rPr>
            <w:fldChar w:fldCharType="end"/>
          </w:r>
        </w:p>
      </w:sdtContent>
    </w:sdt>
    <w:p w:rsidR="00560DF1" w:rsidRPr="0081448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C4158" w:rsidTr="00F138C1">
        <w:trPr>
          <w:jc w:val="center"/>
        </w:trPr>
        <w:tc>
          <w:tcPr>
            <w:tcW w:w="9638" w:type="dxa"/>
          </w:tcPr>
          <w:p w:rsidR="00F138C1" w:rsidRPr="0081448E" w:rsidRDefault="00F138C1" w:rsidP="00F138C1">
            <w:pPr>
              <w:keepNext/>
              <w:tabs>
                <w:tab w:val="right" w:pos="9360"/>
              </w:tabs>
              <w:spacing w:after="120"/>
              <w:jc w:val="center"/>
              <w:rPr>
                <w:szCs w:val="24"/>
              </w:rPr>
            </w:pPr>
            <w:r w:rsidRPr="0081448E">
              <w:rPr>
                <w:szCs w:val="24"/>
              </w:rPr>
              <w:t>NOTICE</w:t>
            </w:r>
          </w:p>
          <w:p w:rsidR="00F138C1" w:rsidRPr="0081448E" w:rsidRDefault="00F138C1" w:rsidP="00F138C1">
            <w:pPr>
              <w:keepNext/>
              <w:tabs>
                <w:tab w:val="right" w:pos="9360"/>
              </w:tabs>
              <w:spacing w:after="120"/>
              <w:jc w:val="both"/>
              <w:rPr>
                <w:szCs w:val="24"/>
              </w:rPr>
            </w:pPr>
            <w:r w:rsidRPr="0081448E">
              <w:rPr>
                <w:szCs w:val="24"/>
              </w:rPr>
              <w:t>Case summaries included in the Bulletin are prepared by the Office of the Registrar of the Supreme Court of Canada (Law Branch) for information purposes only.</w:t>
            </w:r>
          </w:p>
          <w:p w:rsidR="00F138C1" w:rsidRPr="0081448E" w:rsidRDefault="00F138C1" w:rsidP="00F138C1">
            <w:pPr>
              <w:keepNext/>
              <w:tabs>
                <w:tab w:val="right" w:pos="9360"/>
              </w:tabs>
              <w:spacing w:after="120"/>
              <w:jc w:val="center"/>
              <w:rPr>
                <w:szCs w:val="24"/>
                <w:lang w:val="fr-CA"/>
              </w:rPr>
            </w:pPr>
            <w:r w:rsidRPr="0081448E">
              <w:rPr>
                <w:szCs w:val="24"/>
                <w:lang w:val="fr-CA"/>
              </w:rPr>
              <w:t>AVIS</w:t>
            </w:r>
          </w:p>
          <w:p w:rsidR="00F138C1" w:rsidRPr="0081448E" w:rsidRDefault="00F138C1" w:rsidP="00F138C1">
            <w:pPr>
              <w:keepNext/>
              <w:tabs>
                <w:tab w:val="right" w:pos="9360"/>
              </w:tabs>
              <w:spacing w:after="120"/>
              <w:jc w:val="both"/>
              <w:rPr>
                <w:sz w:val="20"/>
                <w:szCs w:val="20"/>
                <w:lang w:val="fr-CA"/>
              </w:rPr>
            </w:pPr>
            <w:r w:rsidRPr="0081448E">
              <w:rPr>
                <w:szCs w:val="24"/>
                <w:lang w:val="fr-CA"/>
              </w:rPr>
              <w:t>Les résumés des causes publiés dans le bulletin sont préparés par le Bureau du registraire (Direction générale du droit) uniquement à titre d’information.</w:t>
            </w:r>
          </w:p>
        </w:tc>
      </w:tr>
    </w:tbl>
    <w:p w:rsidR="00F138C1" w:rsidRPr="0081448E" w:rsidRDefault="00F138C1" w:rsidP="00F138C1">
      <w:pPr>
        <w:tabs>
          <w:tab w:val="right" w:pos="9360"/>
        </w:tabs>
        <w:rPr>
          <w:lang w:val="fr-CA"/>
        </w:rPr>
      </w:pPr>
    </w:p>
    <w:p w:rsidR="00F138C1" w:rsidRPr="0081448E" w:rsidRDefault="00F138C1" w:rsidP="00F138C1">
      <w:pPr>
        <w:tabs>
          <w:tab w:val="right" w:pos="9360"/>
        </w:tabs>
        <w:rPr>
          <w:lang w:val="fr-CA"/>
        </w:rPr>
      </w:pPr>
    </w:p>
    <w:p w:rsidR="00C01FCB" w:rsidRPr="0081448E" w:rsidRDefault="00C01FCB" w:rsidP="0095096B">
      <w:pPr>
        <w:tabs>
          <w:tab w:val="right" w:pos="9360"/>
        </w:tabs>
        <w:rPr>
          <w:lang w:val="fr-CA"/>
        </w:rPr>
      </w:pPr>
    </w:p>
    <w:p w:rsidR="00A87207" w:rsidRPr="0081448E" w:rsidRDefault="00A87207" w:rsidP="0095096B">
      <w:pPr>
        <w:tabs>
          <w:tab w:val="right" w:pos="9360"/>
        </w:tabs>
        <w:rPr>
          <w:lang w:val="fr-CA"/>
        </w:rPr>
        <w:sectPr w:rsidR="00A87207" w:rsidRPr="0081448E" w:rsidSect="0044776A">
          <w:pgSz w:w="12240" w:h="15840"/>
          <w:pgMar w:top="720" w:right="1152" w:bottom="1080" w:left="1440" w:header="706" w:footer="706" w:gutter="0"/>
          <w:cols w:space="708"/>
          <w:titlePg/>
          <w:docGrid w:linePitch="360"/>
        </w:sectPr>
      </w:pPr>
    </w:p>
    <w:p w:rsidR="00560DF1" w:rsidRPr="0081448E" w:rsidRDefault="00DD0BDC" w:rsidP="00567602">
      <w:pPr>
        <w:pStyle w:val="Header1StyleE"/>
        <w:pBdr>
          <w:bottom w:val="single" w:sz="12" w:space="1" w:color="auto"/>
        </w:pBdr>
        <w:rPr>
          <w:lang w:val="fr-CA"/>
        </w:rPr>
      </w:pPr>
      <w:bookmarkStart w:id="0" w:name="_Toc54283825"/>
      <w:r w:rsidRPr="0081448E">
        <w:rPr>
          <w:lang w:val="fr-CA"/>
        </w:rPr>
        <w:lastRenderedPageBreak/>
        <w:t>Applications for leave to appeal filed</w:t>
      </w:r>
      <w:r w:rsidR="00271E1E" w:rsidRPr="0081448E">
        <w:rPr>
          <w:lang w:val="fr-CA"/>
        </w:rPr>
        <w:t xml:space="preserve"> / </w:t>
      </w:r>
      <w:r w:rsidR="00727571" w:rsidRPr="0081448E">
        <w:rPr>
          <w:lang w:val="fr-CA"/>
        </w:rPr>
        <w:br/>
      </w:r>
      <w:r w:rsidRPr="0081448E">
        <w:rPr>
          <w:lang w:val="fr-CA"/>
        </w:rPr>
        <w:t>Demandes d’autorisation d’appel déposées</w:t>
      </w:r>
      <w:bookmarkEnd w:id="0"/>
    </w:p>
    <w:p w:rsidR="00F138C1" w:rsidRPr="0081448E"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81448E" w:rsidTr="00F138C1">
        <w:tc>
          <w:tcPr>
            <w:tcW w:w="4239" w:type="dxa"/>
            <w:shd w:val="clear" w:color="auto" w:fill="auto"/>
          </w:tcPr>
          <w:p w:rsidR="00F138C1" w:rsidRPr="0081448E" w:rsidRDefault="008D0E06" w:rsidP="00F138C1">
            <w:pPr>
              <w:rPr>
                <w:sz w:val="20"/>
                <w:szCs w:val="20"/>
                <w:lang w:val="en-US"/>
              </w:rPr>
            </w:pPr>
            <w:r w:rsidRPr="0081448E">
              <w:rPr>
                <w:b/>
                <w:sz w:val="20"/>
                <w:szCs w:val="20"/>
                <w:lang w:val="en-US"/>
              </w:rPr>
              <w:t>Cédric Catellier</w:t>
            </w:r>
          </w:p>
          <w:p w:rsidR="00F138C1" w:rsidRPr="0081448E" w:rsidRDefault="00F138C1" w:rsidP="00F138C1">
            <w:pPr>
              <w:tabs>
                <w:tab w:val="left" w:pos="-1440"/>
                <w:tab w:val="left" w:pos="-720"/>
              </w:tabs>
              <w:rPr>
                <w:sz w:val="20"/>
                <w:szCs w:val="20"/>
                <w:lang w:val="en-US"/>
              </w:rPr>
            </w:pPr>
            <w:r w:rsidRPr="0081448E">
              <w:rPr>
                <w:sz w:val="20"/>
                <w:szCs w:val="20"/>
                <w:lang w:val="en-US"/>
              </w:rPr>
              <w:tab/>
            </w:r>
            <w:r w:rsidR="008D0E06" w:rsidRPr="0081448E">
              <w:rPr>
                <w:sz w:val="20"/>
                <w:szCs w:val="20"/>
                <w:lang w:val="en-US"/>
              </w:rPr>
              <w:t>Saaty, Nazar</w:t>
            </w:r>
          </w:p>
          <w:p w:rsidR="00F138C1" w:rsidRPr="0081448E" w:rsidRDefault="008D0E06" w:rsidP="00F138C1">
            <w:pPr>
              <w:tabs>
                <w:tab w:val="left" w:pos="-1440"/>
                <w:tab w:val="left" w:pos="-720"/>
              </w:tabs>
              <w:rPr>
                <w:sz w:val="20"/>
                <w:szCs w:val="20"/>
                <w:lang w:val="en-US"/>
              </w:rPr>
            </w:pPr>
            <w:r w:rsidRPr="0081448E">
              <w:rPr>
                <w:sz w:val="20"/>
                <w:szCs w:val="20"/>
                <w:lang w:val="en-US"/>
              </w:rPr>
              <w:tab/>
              <w:t>Simard Saaty Beaudoin</w:t>
            </w:r>
          </w:p>
          <w:p w:rsidR="008D0E06" w:rsidRPr="0081448E" w:rsidRDefault="008D0E06" w:rsidP="00F138C1">
            <w:pPr>
              <w:tabs>
                <w:tab w:val="left" w:pos="-1440"/>
                <w:tab w:val="left" w:pos="-720"/>
              </w:tabs>
              <w:rPr>
                <w:sz w:val="20"/>
                <w:szCs w:val="20"/>
                <w:lang w:val="en-US"/>
              </w:rPr>
            </w:pPr>
          </w:p>
          <w:p w:rsidR="00F138C1" w:rsidRPr="0081448E" w:rsidRDefault="00F138C1" w:rsidP="00F138C1">
            <w:pPr>
              <w:tabs>
                <w:tab w:val="left" w:pos="-1440"/>
                <w:tab w:val="left" w:pos="-720"/>
              </w:tabs>
              <w:rPr>
                <w:sz w:val="20"/>
                <w:szCs w:val="20"/>
                <w:lang w:val="fr-CA"/>
              </w:rPr>
            </w:pPr>
            <w:r w:rsidRPr="0081448E">
              <w:rPr>
                <w:sz w:val="20"/>
                <w:szCs w:val="20"/>
                <w:lang w:val="en-US"/>
              </w:rPr>
              <w:tab/>
            </w:r>
            <w:r w:rsidR="008D0E06" w:rsidRPr="0081448E">
              <w:rPr>
                <w:sz w:val="20"/>
                <w:szCs w:val="20"/>
                <w:lang w:val="fr-CA"/>
              </w:rPr>
              <w:t>c</w:t>
            </w:r>
            <w:r w:rsidRPr="0081448E">
              <w:rPr>
                <w:sz w:val="20"/>
                <w:szCs w:val="20"/>
                <w:lang w:val="fr-CA"/>
              </w:rPr>
              <w:t>. (39</w:t>
            </w:r>
            <w:r w:rsidR="008D0E06" w:rsidRPr="0081448E">
              <w:rPr>
                <w:sz w:val="20"/>
                <w:szCs w:val="20"/>
                <w:lang w:val="fr-CA"/>
              </w:rPr>
              <w:t>342</w:t>
            </w:r>
            <w:r w:rsidRPr="0081448E">
              <w:rPr>
                <w:sz w:val="20"/>
                <w:szCs w:val="20"/>
                <w:lang w:val="fr-CA"/>
              </w:rPr>
              <w:t>)</w:t>
            </w:r>
          </w:p>
          <w:p w:rsidR="00F138C1" w:rsidRPr="0081448E" w:rsidRDefault="00F138C1" w:rsidP="00F138C1">
            <w:pPr>
              <w:tabs>
                <w:tab w:val="left" w:pos="-1440"/>
                <w:tab w:val="left" w:pos="-720"/>
              </w:tabs>
              <w:rPr>
                <w:sz w:val="20"/>
                <w:szCs w:val="20"/>
                <w:lang w:val="fr-CA"/>
              </w:rPr>
            </w:pPr>
          </w:p>
          <w:p w:rsidR="00F138C1" w:rsidRPr="0081448E" w:rsidRDefault="008D0E06" w:rsidP="00F138C1">
            <w:pPr>
              <w:tabs>
                <w:tab w:val="left" w:pos="-1440"/>
                <w:tab w:val="left" w:pos="-720"/>
              </w:tabs>
              <w:rPr>
                <w:b/>
                <w:sz w:val="20"/>
                <w:szCs w:val="20"/>
                <w:lang w:val="fr-CA"/>
              </w:rPr>
            </w:pPr>
            <w:r w:rsidRPr="0081448E">
              <w:rPr>
                <w:b/>
                <w:sz w:val="20"/>
                <w:szCs w:val="20"/>
                <w:lang w:val="fr-CA"/>
              </w:rPr>
              <w:t>Sa Majesté la Reine</w:t>
            </w:r>
            <w:r w:rsidR="00F138C1" w:rsidRPr="0081448E">
              <w:rPr>
                <w:b/>
                <w:sz w:val="20"/>
                <w:szCs w:val="20"/>
                <w:lang w:val="fr-CA"/>
              </w:rPr>
              <w:t xml:space="preserve"> (</w:t>
            </w:r>
            <w:r w:rsidRPr="0081448E">
              <w:rPr>
                <w:b/>
                <w:sz w:val="20"/>
                <w:szCs w:val="20"/>
                <w:lang w:val="fr-CA"/>
              </w:rPr>
              <w:t>Qc</w:t>
            </w:r>
            <w:r w:rsidR="00F138C1" w:rsidRPr="0081448E">
              <w:rPr>
                <w:b/>
                <w:sz w:val="20"/>
                <w:szCs w:val="20"/>
                <w:lang w:val="fr-CA"/>
              </w:rPr>
              <w:t>)</w:t>
            </w:r>
          </w:p>
          <w:p w:rsidR="00F138C1" w:rsidRPr="0081448E" w:rsidRDefault="00F138C1" w:rsidP="00F138C1">
            <w:pPr>
              <w:tabs>
                <w:tab w:val="left" w:pos="-1440"/>
                <w:tab w:val="left" w:pos="-720"/>
              </w:tabs>
              <w:rPr>
                <w:sz w:val="20"/>
                <w:szCs w:val="20"/>
                <w:lang w:val="fr-CA"/>
              </w:rPr>
            </w:pPr>
            <w:r w:rsidRPr="0081448E">
              <w:rPr>
                <w:sz w:val="20"/>
                <w:szCs w:val="20"/>
                <w:lang w:val="fr-CA"/>
              </w:rPr>
              <w:tab/>
            </w:r>
            <w:r w:rsidR="008D0E06" w:rsidRPr="0081448E">
              <w:rPr>
                <w:sz w:val="20"/>
                <w:szCs w:val="20"/>
                <w:lang w:val="fr-CA"/>
              </w:rPr>
              <w:t>Mayer, Marie-Ève</w:t>
            </w:r>
          </w:p>
          <w:p w:rsidR="008D0E06" w:rsidRPr="0081448E" w:rsidRDefault="00F138C1" w:rsidP="00F138C1">
            <w:pPr>
              <w:tabs>
                <w:tab w:val="left" w:pos="-1440"/>
                <w:tab w:val="left" w:pos="-720"/>
              </w:tabs>
              <w:rPr>
                <w:sz w:val="20"/>
                <w:szCs w:val="20"/>
                <w:lang w:val="fr-CA"/>
              </w:rPr>
            </w:pPr>
            <w:r w:rsidRPr="0081448E">
              <w:rPr>
                <w:sz w:val="20"/>
                <w:szCs w:val="20"/>
                <w:lang w:val="fr-CA"/>
              </w:rPr>
              <w:tab/>
            </w:r>
            <w:r w:rsidR="008D0E06" w:rsidRPr="0081448E">
              <w:rPr>
                <w:sz w:val="20"/>
                <w:szCs w:val="20"/>
                <w:lang w:val="fr-CA"/>
              </w:rPr>
              <w:t xml:space="preserve">Directeur des poursuites criminelles et </w:t>
            </w:r>
          </w:p>
          <w:p w:rsidR="00F138C1" w:rsidRPr="0081448E" w:rsidRDefault="008D0E06" w:rsidP="00F138C1">
            <w:pPr>
              <w:tabs>
                <w:tab w:val="left" w:pos="-1440"/>
                <w:tab w:val="left" w:pos="-720"/>
              </w:tabs>
              <w:rPr>
                <w:sz w:val="20"/>
                <w:szCs w:val="20"/>
                <w:lang w:val="fr-CA"/>
              </w:rPr>
            </w:pPr>
            <w:r w:rsidRPr="0081448E">
              <w:rPr>
                <w:sz w:val="20"/>
                <w:szCs w:val="20"/>
                <w:lang w:val="fr-CA"/>
              </w:rPr>
              <w:tab/>
              <w:t>pénales du Québec</w:t>
            </w:r>
          </w:p>
          <w:p w:rsidR="00F138C1" w:rsidRPr="0081448E" w:rsidRDefault="00F138C1" w:rsidP="00F138C1">
            <w:pPr>
              <w:tabs>
                <w:tab w:val="left" w:pos="-1440"/>
                <w:tab w:val="left" w:pos="-720"/>
              </w:tabs>
              <w:rPr>
                <w:sz w:val="20"/>
                <w:szCs w:val="20"/>
                <w:lang w:val="fr-CA"/>
              </w:rPr>
            </w:pPr>
          </w:p>
          <w:p w:rsidR="00F138C1" w:rsidRPr="0081448E" w:rsidRDefault="00F138C1" w:rsidP="00F138C1">
            <w:pPr>
              <w:rPr>
                <w:sz w:val="20"/>
                <w:szCs w:val="20"/>
                <w:lang w:val="fr-CA"/>
              </w:rPr>
            </w:pPr>
            <w:r w:rsidRPr="0081448E">
              <w:rPr>
                <w:sz w:val="20"/>
                <w:szCs w:val="20"/>
                <w:lang w:val="fr-CA"/>
              </w:rPr>
              <w:t>DATE</w:t>
            </w:r>
            <w:r w:rsidR="008D0E06" w:rsidRPr="0081448E">
              <w:rPr>
                <w:sz w:val="20"/>
                <w:szCs w:val="20"/>
                <w:lang w:val="fr-CA"/>
              </w:rPr>
              <w:t xml:space="preserve"> DE PRODUCTION </w:t>
            </w:r>
            <w:r w:rsidRPr="0081448E">
              <w:rPr>
                <w:sz w:val="20"/>
                <w:szCs w:val="20"/>
                <w:lang w:val="fr-CA"/>
              </w:rPr>
              <w:t xml:space="preserve">: </w:t>
            </w:r>
            <w:r w:rsidR="008D0E06" w:rsidRPr="0081448E">
              <w:rPr>
                <w:sz w:val="20"/>
                <w:szCs w:val="20"/>
                <w:lang w:val="fr-CA"/>
              </w:rPr>
              <w:t>le 9 octobre</w:t>
            </w:r>
            <w:r w:rsidRPr="0081448E">
              <w:rPr>
                <w:sz w:val="20"/>
                <w:szCs w:val="20"/>
                <w:lang w:val="fr-CA"/>
              </w:rPr>
              <w:t xml:space="preserve"> 20</w:t>
            </w:r>
            <w:r w:rsidR="00DA1D48" w:rsidRPr="0081448E">
              <w:rPr>
                <w:sz w:val="20"/>
                <w:szCs w:val="20"/>
                <w:lang w:val="fr-CA"/>
              </w:rPr>
              <w:t>20</w:t>
            </w:r>
          </w:p>
          <w:p w:rsidR="004B2E86" w:rsidRPr="0081448E" w:rsidRDefault="004B2E86" w:rsidP="00F138C1">
            <w:pPr>
              <w:rPr>
                <w:sz w:val="20"/>
                <w:szCs w:val="20"/>
                <w:lang w:val="fr-CA"/>
              </w:rPr>
            </w:pPr>
          </w:p>
          <w:p w:rsidR="00F138C1" w:rsidRPr="0081448E" w:rsidRDefault="00DC444A"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1448E" w:rsidRDefault="00F138C1" w:rsidP="00F138C1">
            <w:pPr>
              <w:jc w:val="center"/>
              <w:rPr>
                <w:sz w:val="20"/>
                <w:szCs w:val="20"/>
              </w:rPr>
            </w:pPr>
          </w:p>
          <w:p w:rsidR="00F138C1" w:rsidRPr="0081448E" w:rsidRDefault="00F138C1" w:rsidP="00F138C1">
            <w:pPr>
              <w:jc w:val="center"/>
              <w:rPr>
                <w:sz w:val="20"/>
                <w:szCs w:val="20"/>
              </w:rPr>
            </w:pPr>
          </w:p>
          <w:p w:rsidR="00F138C1" w:rsidRPr="0081448E" w:rsidRDefault="00F138C1" w:rsidP="00F138C1">
            <w:pPr>
              <w:jc w:val="center"/>
              <w:rPr>
                <w:sz w:val="20"/>
                <w:szCs w:val="20"/>
              </w:rPr>
            </w:pPr>
          </w:p>
          <w:p w:rsidR="00F138C1" w:rsidRPr="0081448E" w:rsidRDefault="00F138C1" w:rsidP="00F138C1">
            <w:pPr>
              <w:jc w:val="center"/>
              <w:rPr>
                <w:sz w:val="20"/>
                <w:szCs w:val="20"/>
              </w:rPr>
            </w:pPr>
          </w:p>
          <w:p w:rsidR="00F138C1" w:rsidRPr="0081448E" w:rsidRDefault="00F138C1" w:rsidP="00F138C1">
            <w:pPr>
              <w:jc w:val="center"/>
              <w:rPr>
                <w:sz w:val="20"/>
                <w:szCs w:val="20"/>
              </w:rPr>
            </w:pPr>
          </w:p>
          <w:p w:rsidR="00F138C1" w:rsidRPr="0081448E" w:rsidRDefault="00F138C1" w:rsidP="00F138C1">
            <w:pPr>
              <w:jc w:val="center"/>
              <w:rPr>
                <w:sz w:val="20"/>
                <w:szCs w:val="20"/>
              </w:rPr>
            </w:pPr>
          </w:p>
          <w:p w:rsidR="00F138C1" w:rsidRPr="0081448E" w:rsidRDefault="00F138C1" w:rsidP="00F138C1">
            <w:pPr>
              <w:jc w:val="center"/>
              <w:rPr>
                <w:sz w:val="20"/>
                <w:szCs w:val="20"/>
              </w:rPr>
            </w:pPr>
          </w:p>
          <w:p w:rsidR="00F138C1" w:rsidRPr="0081448E" w:rsidRDefault="00F138C1" w:rsidP="00F138C1">
            <w:pPr>
              <w:jc w:val="center"/>
              <w:rPr>
                <w:sz w:val="20"/>
                <w:szCs w:val="20"/>
              </w:rPr>
            </w:pPr>
          </w:p>
          <w:p w:rsidR="00F138C1" w:rsidRPr="0081448E" w:rsidRDefault="00F138C1" w:rsidP="00F138C1">
            <w:pPr>
              <w:jc w:val="center"/>
              <w:rPr>
                <w:sz w:val="20"/>
                <w:szCs w:val="20"/>
              </w:rPr>
            </w:pPr>
          </w:p>
          <w:p w:rsidR="00F138C1" w:rsidRPr="0081448E" w:rsidRDefault="00F138C1" w:rsidP="00F138C1">
            <w:pPr>
              <w:jc w:val="center"/>
              <w:rPr>
                <w:sz w:val="20"/>
                <w:szCs w:val="20"/>
              </w:rPr>
            </w:pPr>
          </w:p>
          <w:p w:rsidR="008D0E06" w:rsidRPr="0081448E" w:rsidRDefault="008D0E06" w:rsidP="00F138C1">
            <w:pPr>
              <w:jc w:val="center"/>
              <w:rPr>
                <w:sz w:val="20"/>
                <w:szCs w:val="20"/>
              </w:rPr>
            </w:pPr>
          </w:p>
          <w:p w:rsidR="00F138C1" w:rsidRPr="0081448E" w:rsidRDefault="00F138C1" w:rsidP="00F138C1">
            <w:pPr>
              <w:jc w:val="center"/>
              <w:rPr>
                <w:sz w:val="20"/>
                <w:szCs w:val="20"/>
              </w:rPr>
            </w:pPr>
          </w:p>
          <w:p w:rsidR="00F138C1" w:rsidRPr="0081448E" w:rsidRDefault="00F138C1" w:rsidP="00F138C1">
            <w:pPr>
              <w:jc w:val="center"/>
              <w:rPr>
                <w:sz w:val="20"/>
                <w:szCs w:val="20"/>
              </w:rPr>
            </w:pPr>
          </w:p>
          <w:p w:rsidR="004B2E86" w:rsidRPr="0081448E" w:rsidRDefault="004B2E86" w:rsidP="00F138C1">
            <w:pPr>
              <w:jc w:val="center"/>
              <w:rPr>
                <w:sz w:val="20"/>
                <w:szCs w:val="20"/>
              </w:rPr>
            </w:pPr>
          </w:p>
          <w:p w:rsidR="00F138C1" w:rsidRPr="0081448E" w:rsidRDefault="00F138C1" w:rsidP="00F138C1">
            <w:pPr>
              <w:jc w:val="center"/>
              <w:rPr>
                <w:sz w:val="20"/>
                <w:szCs w:val="20"/>
              </w:rPr>
            </w:pPr>
          </w:p>
        </w:tc>
        <w:tc>
          <w:tcPr>
            <w:tcW w:w="4239" w:type="dxa"/>
            <w:shd w:val="clear" w:color="auto" w:fill="auto"/>
          </w:tcPr>
          <w:p w:rsidR="00F138C1" w:rsidRPr="0081448E" w:rsidRDefault="004E4E2C" w:rsidP="00F138C1">
            <w:pPr>
              <w:rPr>
                <w:b/>
                <w:sz w:val="20"/>
                <w:szCs w:val="20"/>
                <w:lang w:val="en-US"/>
              </w:rPr>
            </w:pPr>
            <w:r w:rsidRPr="0081448E">
              <w:rPr>
                <w:b/>
                <w:sz w:val="20"/>
                <w:szCs w:val="20"/>
                <w:lang w:val="en-US"/>
              </w:rPr>
              <w:t>The Roman Catholic Episcopal Corporation of St. John’s</w:t>
            </w:r>
          </w:p>
          <w:p w:rsidR="00F138C1" w:rsidRPr="0081448E" w:rsidRDefault="00F138C1" w:rsidP="00F138C1">
            <w:pPr>
              <w:tabs>
                <w:tab w:val="left" w:pos="-1440"/>
                <w:tab w:val="left" w:pos="-720"/>
              </w:tabs>
              <w:rPr>
                <w:sz w:val="20"/>
                <w:szCs w:val="20"/>
                <w:lang w:val="en-US"/>
              </w:rPr>
            </w:pPr>
            <w:r w:rsidRPr="0081448E">
              <w:rPr>
                <w:sz w:val="20"/>
                <w:szCs w:val="20"/>
                <w:lang w:val="en-US"/>
              </w:rPr>
              <w:tab/>
            </w:r>
            <w:r w:rsidR="004E4E2C" w:rsidRPr="0081448E">
              <w:rPr>
                <w:sz w:val="20"/>
                <w:szCs w:val="20"/>
                <w:lang w:val="en-US"/>
              </w:rPr>
              <w:t>Frederick, Mark R.</w:t>
            </w:r>
          </w:p>
          <w:p w:rsidR="00F138C1" w:rsidRPr="0081448E" w:rsidRDefault="00F138C1" w:rsidP="00F138C1">
            <w:pPr>
              <w:tabs>
                <w:tab w:val="left" w:pos="-1440"/>
                <w:tab w:val="left" w:pos="-720"/>
              </w:tabs>
              <w:rPr>
                <w:sz w:val="20"/>
                <w:szCs w:val="20"/>
                <w:lang w:val="en-US"/>
              </w:rPr>
            </w:pPr>
            <w:r w:rsidRPr="0081448E">
              <w:rPr>
                <w:sz w:val="20"/>
                <w:szCs w:val="20"/>
                <w:lang w:val="en-US"/>
              </w:rPr>
              <w:tab/>
            </w:r>
            <w:r w:rsidR="004E4E2C" w:rsidRPr="0081448E">
              <w:rPr>
                <w:sz w:val="20"/>
                <w:szCs w:val="20"/>
                <w:lang w:val="en-US"/>
              </w:rPr>
              <w:t>Miller Thomson LLP</w:t>
            </w:r>
          </w:p>
          <w:p w:rsidR="00F138C1" w:rsidRPr="0081448E" w:rsidRDefault="00F138C1" w:rsidP="00F138C1">
            <w:pPr>
              <w:tabs>
                <w:tab w:val="left" w:pos="-1440"/>
                <w:tab w:val="left" w:pos="-720"/>
              </w:tabs>
              <w:rPr>
                <w:sz w:val="20"/>
                <w:szCs w:val="20"/>
                <w:lang w:val="en-US"/>
              </w:rPr>
            </w:pPr>
          </w:p>
          <w:p w:rsidR="00F138C1" w:rsidRPr="0081448E" w:rsidRDefault="00F138C1" w:rsidP="00F138C1">
            <w:pPr>
              <w:tabs>
                <w:tab w:val="left" w:pos="-1440"/>
                <w:tab w:val="left" w:pos="-720"/>
              </w:tabs>
              <w:rPr>
                <w:sz w:val="20"/>
                <w:szCs w:val="20"/>
                <w:lang w:val="en-US"/>
              </w:rPr>
            </w:pPr>
            <w:r w:rsidRPr="0081448E">
              <w:rPr>
                <w:sz w:val="20"/>
                <w:szCs w:val="20"/>
                <w:lang w:val="en-US"/>
              </w:rPr>
              <w:tab/>
            </w:r>
            <w:r w:rsidR="004E4E2C" w:rsidRPr="0081448E">
              <w:rPr>
                <w:sz w:val="20"/>
                <w:szCs w:val="20"/>
                <w:lang w:val="en-US"/>
              </w:rPr>
              <w:t>v</w:t>
            </w:r>
            <w:r w:rsidRPr="0081448E">
              <w:rPr>
                <w:sz w:val="20"/>
                <w:szCs w:val="20"/>
                <w:lang w:val="en-US"/>
              </w:rPr>
              <w:t>. (39</w:t>
            </w:r>
            <w:r w:rsidR="004E4E2C" w:rsidRPr="0081448E">
              <w:rPr>
                <w:sz w:val="20"/>
                <w:szCs w:val="20"/>
                <w:lang w:val="en-US"/>
              </w:rPr>
              <w:t>343</w:t>
            </w:r>
            <w:r w:rsidRPr="0081448E">
              <w:rPr>
                <w:sz w:val="20"/>
                <w:szCs w:val="20"/>
                <w:lang w:val="en-US"/>
              </w:rPr>
              <w:t>)</w:t>
            </w:r>
          </w:p>
          <w:p w:rsidR="00F138C1" w:rsidRPr="0081448E" w:rsidRDefault="00F138C1" w:rsidP="00F138C1">
            <w:pPr>
              <w:tabs>
                <w:tab w:val="left" w:pos="-1440"/>
                <w:tab w:val="left" w:pos="-720"/>
              </w:tabs>
              <w:rPr>
                <w:sz w:val="20"/>
                <w:szCs w:val="20"/>
                <w:lang w:val="en-US"/>
              </w:rPr>
            </w:pPr>
          </w:p>
          <w:p w:rsidR="00F138C1" w:rsidRPr="0081448E" w:rsidRDefault="004E4E2C" w:rsidP="00F138C1">
            <w:pPr>
              <w:tabs>
                <w:tab w:val="left" w:pos="-1440"/>
                <w:tab w:val="left" w:pos="-720"/>
              </w:tabs>
              <w:rPr>
                <w:b/>
                <w:sz w:val="20"/>
                <w:szCs w:val="20"/>
                <w:lang w:val="en-US"/>
              </w:rPr>
            </w:pPr>
            <w:r w:rsidRPr="0081448E">
              <w:rPr>
                <w:b/>
                <w:sz w:val="20"/>
                <w:szCs w:val="20"/>
                <w:lang w:val="en-US"/>
              </w:rPr>
              <w:t xml:space="preserve">John Doe (G.E.B. #25), et al. </w:t>
            </w:r>
            <w:r w:rsidR="00F138C1" w:rsidRPr="0081448E">
              <w:rPr>
                <w:b/>
                <w:sz w:val="20"/>
                <w:szCs w:val="20"/>
                <w:lang w:val="en-US"/>
              </w:rPr>
              <w:t>(</w:t>
            </w:r>
            <w:r w:rsidRPr="0081448E">
              <w:rPr>
                <w:b/>
                <w:sz w:val="20"/>
                <w:szCs w:val="20"/>
                <w:lang w:val="en-US"/>
              </w:rPr>
              <w:t>N.L.</w:t>
            </w:r>
            <w:r w:rsidR="00F138C1" w:rsidRPr="0081448E">
              <w:rPr>
                <w:b/>
                <w:sz w:val="20"/>
                <w:szCs w:val="20"/>
                <w:lang w:val="en-US"/>
              </w:rPr>
              <w:t>)</w:t>
            </w:r>
          </w:p>
          <w:p w:rsidR="00F138C1" w:rsidRPr="0081448E" w:rsidRDefault="00F138C1" w:rsidP="00F138C1">
            <w:pPr>
              <w:tabs>
                <w:tab w:val="left" w:pos="-1440"/>
                <w:tab w:val="left" w:pos="-720"/>
              </w:tabs>
              <w:rPr>
                <w:sz w:val="20"/>
                <w:szCs w:val="20"/>
                <w:lang w:val="en-US"/>
              </w:rPr>
            </w:pPr>
            <w:r w:rsidRPr="0081448E">
              <w:rPr>
                <w:sz w:val="20"/>
                <w:szCs w:val="20"/>
                <w:lang w:val="en-US"/>
              </w:rPr>
              <w:tab/>
            </w:r>
            <w:r w:rsidR="004E4E2C" w:rsidRPr="0081448E">
              <w:rPr>
                <w:sz w:val="20"/>
                <w:szCs w:val="20"/>
                <w:lang w:val="en-US"/>
              </w:rPr>
              <w:t>Meehan, Q.C., Eugene</w:t>
            </w:r>
          </w:p>
          <w:p w:rsidR="00F138C1" w:rsidRPr="0081448E" w:rsidRDefault="00F138C1" w:rsidP="00F138C1">
            <w:pPr>
              <w:tabs>
                <w:tab w:val="left" w:pos="-1440"/>
                <w:tab w:val="left" w:pos="-720"/>
              </w:tabs>
              <w:rPr>
                <w:sz w:val="20"/>
                <w:szCs w:val="20"/>
                <w:lang w:val="en-US"/>
              </w:rPr>
            </w:pPr>
            <w:r w:rsidRPr="0081448E">
              <w:rPr>
                <w:sz w:val="20"/>
                <w:szCs w:val="20"/>
                <w:lang w:val="en-US"/>
              </w:rPr>
              <w:tab/>
            </w:r>
            <w:r w:rsidR="004E4E2C" w:rsidRPr="0081448E">
              <w:rPr>
                <w:sz w:val="20"/>
                <w:szCs w:val="20"/>
                <w:lang w:val="en-US"/>
              </w:rPr>
              <w:t>Supreme Advocacy LLP</w:t>
            </w:r>
          </w:p>
          <w:p w:rsidR="00F138C1" w:rsidRPr="0081448E" w:rsidRDefault="00F138C1" w:rsidP="00F138C1">
            <w:pPr>
              <w:tabs>
                <w:tab w:val="left" w:pos="-1440"/>
                <w:tab w:val="left" w:pos="-720"/>
              </w:tabs>
              <w:rPr>
                <w:sz w:val="20"/>
                <w:szCs w:val="20"/>
                <w:lang w:val="en-US"/>
              </w:rPr>
            </w:pPr>
          </w:p>
          <w:p w:rsidR="00F138C1" w:rsidRPr="0081448E" w:rsidRDefault="004E4E2C" w:rsidP="00F138C1">
            <w:pPr>
              <w:rPr>
                <w:sz w:val="20"/>
                <w:szCs w:val="20"/>
                <w:lang w:val="en-US"/>
              </w:rPr>
            </w:pPr>
            <w:r w:rsidRPr="0081448E">
              <w:rPr>
                <w:sz w:val="20"/>
                <w:szCs w:val="20"/>
                <w:lang w:val="en-US"/>
              </w:rPr>
              <w:t xml:space="preserve">FILING </w:t>
            </w:r>
            <w:r w:rsidR="00F138C1" w:rsidRPr="0081448E">
              <w:rPr>
                <w:sz w:val="20"/>
                <w:szCs w:val="20"/>
                <w:lang w:val="en-US"/>
              </w:rPr>
              <w:t xml:space="preserve">DATE: </w:t>
            </w:r>
            <w:r w:rsidRPr="0081448E">
              <w:rPr>
                <w:sz w:val="20"/>
                <w:szCs w:val="20"/>
                <w:lang w:val="en-US"/>
              </w:rPr>
              <w:t>October</w:t>
            </w:r>
            <w:r w:rsidR="00F138C1" w:rsidRPr="0081448E">
              <w:rPr>
                <w:sz w:val="20"/>
                <w:szCs w:val="20"/>
                <w:lang w:val="en-US"/>
              </w:rPr>
              <w:t xml:space="preserve"> </w:t>
            </w:r>
            <w:r w:rsidRPr="0081448E">
              <w:rPr>
                <w:sz w:val="20"/>
                <w:szCs w:val="20"/>
                <w:lang w:val="en-US"/>
              </w:rPr>
              <w:t>9,</w:t>
            </w:r>
            <w:r w:rsidR="00F138C1" w:rsidRPr="0081448E">
              <w:rPr>
                <w:sz w:val="20"/>
                <w:szCs w:val="20"/>
                <w:lang w:val="en-US"/>
              </w:rPr>
              <w:t xml:space="preserve"> 20</w:t>
            </w:r>
            <w:r w:rsidR="00DA1D48" w:rsidRPr="0081448E">
              <w:rPr>
                <w:sz w:val="20"/>
                <w:szCs w:val="20"/>
                <w:lang w:val="en-US"/>
              </w:rPr>
              <w:t>20</w:t>
            </w:r>
          </w:p>
          <w:p w:rsidR="004B2E86" w:rsidRPr="0081448E" w:rsidRDefault="004B2E86" w:rsidP="00F138C1">
            <w:pPr>
              <w:rPr>
                <w:sz w:val="20"/>
                <w:szCs w:val="20"/>
                <w:lang w:val="en-US"/>
              </w:rPr>
            </w:pPr>
          </w:p>
          <w:p w:rsidR="00F138C1" w:rsidRPr="0081448E" w:rsidRDefault="00DC444A"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81448E" w:rsidTr="00F138C1">
        <w:tc>
          <w:tcPr>
            <w:tcW w:w="4239" w:type="dxa"/>
            <w:shd w:val="clear" w:color="auto" w:fill="auto"/>
          </w:tcPr>
          <w:p w:rsidR="00F138C1" w:rsidRPr="0081448E" w:rsidRDefault="001C7304" w:rsidP="00A979EE">
            <w:pPr>
              <w:tabs>
                <w:tab w:val="left" w:pos="-1440"/>
                <w:tab w:val="left" w:pos="-720"/>
              </w:tabs>
              <w:rPr>
                <w:b/>
                <w:sz w:val="20"/>
                <w:szCs w:val="20"/>
                <w:lang w:val="en-US"/>
              </w:rPr>
            </w:pPr>
            <w:r w:rsidRPr="0081448E">
              <w:rPr>
                <w:b/>
                <w:sz w:val="20"/>
                <w:szCs w:val="20"/>
                <w:lang w:val="en-US"/>
              </w:rPr>
              <w:t>Nicholas Jordan Butcher</w:t>
            </w:r>
          </w:p>
          <w:p w:rsidR="00F138C1" w:rsidRPr="0081448E" w:rsidRDefault="00F138C1" w:rsidP="00F138C1">
            <w:pPr>
              <w:keepNext/>
              <w:keepLines/>
              <w:tabs>
                <w:tab w:val="left" w:pos="-1440"/>
                <w:tab w:val="left" w:pos="-720"/>
              </w:tabs>
              <w:rPr>
                <w:sz w:val="20"/>
                <w:szCs w:val="20"/>
                <w:lang w:val="en-US"/>
              </w:rPr>
            </w:pPr>
            <w:r w:rsidRPr="0081448E">
              <w:rPr>
                <w:sz w:val="20"/>
                <w:szCs w:val="20"/>
                <w:lang w:val="en-US"/>
              </w:rPr>
              <w:tab/>
            </w:r>
            <w:r w:rsidR="001C7304" w:rsidRPr="0081448E">
              <w:rPr>
                <w:sz w:val="20"/>
                <w:szCs w:val="20"/>
                <w:lang w:val="en-US"/>
              </w:rPr>
              <w:t>Hughes, Jonathan T.</w:t>
            </w:r>
          </w:p>
          <w:p w:rsidR="00F138C1" w:rsidRPr="0081448E" w:rsidRDefault="00F138C1" w:rsidP="00F138C1">
            <w:pPr>
              <w:keepNext/>
              <w:keepLines/>
              <w:tabs>
                <w:tab w:val="left" w:pos="-1440"/>
                <w:tab w:val="left" w:pos="-720"/>
              </w:tabs>
              <w:rPr>
                <w:sz w:val="20"/>
                <w:szCs w:val="20"/>
                <w:lang w:val="en-US"/>
              </w:rPr>
            </w:pPr>
            <w:r w:rsidRPr="0081448E">
              <w:rPr>
                <w:sz w:val="20"/>
                <w:szCs w:val="20"/>
                <w:lang w:val="en-US"/>
              </w:rPr>
              <w:tab/>
            </w:r>
            <w:r w:rsidR="001C7304" w:rsidRPr="0081448E">
              <w:rPr>
                <w:sz w:val="20"/>
                <w:szCs w:val="20"/>
                <w:lang w:val="en-US"/>
              </w:rPr>
              <w:t>Planetta Hughes LLP</w:t>
            </w:r>
          </w:p>
          <w:p w:rsidR="00F138C1" w:rsidRPr="0081448E" w:rsidRDefault="00F138C1" w:rsidP="00F138C1">
            <w:pPr>
              <w:keepNext/>
              <w:keepLines/>
              <w:tabs>
                <w:tab w:val="left" w:pos="-1440"/>
                <w:tab w:val="left" w:pos="-720"/>
              </w:tabs>
              <w:rPr>
                <w:sz w:val="20"/>
                <w:szCs w:val="20"/>
                <w:lang w:val="en-US"/>
              </w:rPr>
            </w:pPr>
          </w:p>
          <w:p w:rsidR="00F138C1" w:rsidRPr="0081448E" w:rsidRDefault="00F138C1" w:rsidP="00F138C1">
            <w:pPr>
              <w:keepNext/>
              <w:keepLines/>
              <w:tabs>
                <w:tab w:val="left" w:pos="-1440"/>
                <w:tab w:val="left" w:pos="-720"/>
              </w:tabs>
              <w:rPr>
                <w:sz w:val="20"/>
                <w:szCs w:val="20"/>
                <w:lang w:val="en-US"/>
              </w:rPr>
            </w:pPr>
            <w:r w:rsidRPr="0081448E">
              <w:rPr>
                <w:sz w:val="20"/>
                <w:szCs w:val="20"/>
                <w:lang w:val="en-US"/>
              </w:rPr>
              <w:tab/>
              <w:t>v. (39</w:t>
            </w:r>
            <w:r w:rsidR="001C7304" w:rsidRPr="0081448E">
              <w:rPr>
                <w:sz w:val="20"/>
                <w:szCs w:val="20"/>
                <w:lang w:val="en-US"/>
              </w:rPr>
              <w:t>344</w:t>
            </w:r>
            <w:r w:rsidRPr="0081448E">
              <w:rPr>
                <w:sz w:val="20"/>
                <w:szCs w:val="20"/>
                <w:lang w:val="en-US"/>
              </w:rPr>
              <w:t>)</w:t>
            </w:r>
          </w:p>
          <w:p w:rsidR="00F138C1" w:rsidRPr="0081448E" w:rsidRDefault="00F138C1" w:rsidP="00F138C1">
            <w:pPr>
              <w:keepNext/>
              <w:keepLines/>
              <w:tabs>
                <w:tab w:val="left" w:pos="-1440"/>
                <w:tab w:val="left" w:pos="-720"/>
              </w:tabs>
              <w:rPr>
                <w:sz w:val="20"/>
                <w:szCs w:val="20"/>
                <w:lang w:val="en-US"/>
              </w:rPr>
            </w:pPr>
          </w:p>
          <w:p w:rsidR="00F138C1" w:rsidRPr="0081448E" w:rsidRDefault="001C7304" w:rsidP="00F138C1">
            <w:pPr>
              <w:keepNext/>
              <w:keepLines/>
              <w:tabs>
                <w:tab w:val="left" w:pos="-1440"/>
                <w:tab w:val="left" w:pos="-720"/>
              </w:tabs>
              <w:rPr>
                <w:b/>
                <w:sz w:val="20"/>
                <w:szCs w:val="20"/>
                <w:lang w:val="en-US"/>
              </w:rPr>
            </w:pPr>
            <w:r w:rsidRPr="0081448E">
              <w:rPr>
                <w:b/>
                <w:sz w:val="20"/>
                <w:szCs w:val="20"/>
                <w:lang w:val="en-US"/>
              </w:rPr>
              <w:t xml:space="preserve">Her Majesty the Queen </w:t>
            </w:r>
            <w:r w:rsidR="00F138C1" w:rsidRPr="0081448E">
              <w:rPr>
                <w:b/>
                <w:sz w:val="20"/>
                <w:szCs w:val="20"/>
                <w:lang w:val="en-US"/>
              </w:rPr>
              <w:t>(</w:t>
            </w:r>
            <w:r w:rsidRPr="0081448E">
              <w:rPr>
                <w:b/>
                <w:sz w:val="20"/>
                <w:szCs w:val="20"/>
                <w:lang w:val="en-US"/>
              </w:rPr>
              <w:t>N.S</w:t>
            </w:r>
            <w:r w:rsidR="00F138C1" w:rsidRPr="0081448E">
              <w:rPr>
                <w:b/>
                <w:sz w:val="20"/>
                <w:szCs w:val="20"/>
                <w:lang w:val="en-US"/>
              </w:rPr>
              <w:t>.)</w:t>
            </w:r>
          </w:p>
          <w:p w:rsidR="00F138C1" w:rsidRPr="0081448E" w:rsidRDefault="00F138C1" w:rsidP="00F138C1">
            <w:pPr>
              <w:keepNext/>
              <w:keepLines/>
              <w:tabs>
                <w:tab w:val="left" w:pos="-1440"/>
                <w:tab w:val="left" w:pos="-720"/>
              </w:tabs>
              <w:rPr>
                <w:sz w:val="20"/>
                <w:szCs w:val="20"/>
                <w:lang w:val="en-US"/>
              </w:rPr>
            </w:pPr>
            <w:r w:rsidRPr="0081448E">
              <w:rPr>
                <w:sz w:val="20"/>
                <w:szCs w:val="20"/>
                <w:lang w:val="en-US"/>
              </w:rPr>
              <w:tab/>
            </w:r>
            <w:r w:rsidR="001C7304" w:rsidRPr="0081448E">
              <w:rPr>
                <w:sz w:val="20"/>
                <w:szCs w:val="20"/>
                <w:lang w:val="en-US"/>
              </w:rPr>
              <w:t>Hubbard, Glenn</w:t>
            </w:r>
          </w:p>
          <w:p w:rsidR="00F138C1" w:rsidRPr="0081448E" w:rsidRDefault="00F138C1" w:rsidP="00F138C1">
            <w:pPr>
              <w:keepNext/>
              <w:keepLines/>
              <w:tabs>
                <w:tab w:val="left" w:pos="-1440"/>
                <w:tab w:val="left" w:pos="-720"/>
              </w:tabs>
              <w:rPr>
                <w:sz w:val="20"/>
                <w:szCs w:val="20"/>
                <w:lang w:val="en-US"/>
              </w:rPr>
            </w:pPr>
            <w:r w:rsidRPr="0081448E">
              <w:rPr>
                <w:sz w:val="20"/>
                <w:szCs w:val="20"/>
                <w:lang w:val="en-US"/>
              </w:rPr>
              <w:tab/>
            </w:r>
            <w:r w:rsidR="001C7304" w:rsidRPr="0081448E">
              <w:rPr>
                <w:sz w:val="20"/>
                <w:szCs w:val="20"/>
                <w:lang w:val="en-US"/>
              </w:rPr>
              <w:t>Nova Scotia Public Prosecution Service</w:t>
            </w:r>
          </w:p>
          <w:p w:rsidR="00F138C1" w:rsidRPr="0081448E" w:rsidRDefault="00F138C1" w:rsidP="00F138C1">
            <w:pPr>
              <w:keepNext/>
              <w:keepLines/>
              <w:tabs>
                <w:tab w:val="left" w:pos="-1440"/>
                <w:tab w:val="left" w:pos="-720"/>
              </w:tabs>
              <w:rPr>
                <w:sz w:val="20"/>
                <w:szCs w:val="20"/>
                <w:lang w:val="en-US"/>
              </w:rPr>
            </w:pPr>
          </w:p>
          <w:p w:rsidR="004B2E86" w:rsidRPr="0081448E" w:rsidRDefault="00F138C1" w:rsidP="00F138C1">
            <w:pPr>
              <w:rPr>
                <w:sz w:val="20"/>
                <w:szCs w:val="20"/>
                <w:lang w:val="fr-CA"/>
              </w:rPr>
            </w:pPr>
            <w:r w:rsidRPr="0081448E">
              <w:rPr>
                <w:sz w:val="20"/>
                <w:szCs w:val="20"/>
                <w:lang w:val="fr-CA"/>
              </w:rPr>
              <w:t xml:space="preserve">FILING DATE: </w:t>
            </w:r>
            <w:r w:rsidR="001C7304" w:rsidRPr="0081448E">
              <w:rPr>
                <w:sz w:val="20"/>
                <w:szCs w:val="20"/>
                <w:lang w:val="fr-CA"/>
              </w:rPr>
              <w:t>October</w:t>
            </w:r>
            <w:r w:rsidRPr="0081448E">
              <w:rPr>
                <w:sz w:val="20"/>
                <w:szCs w:val="20"/>
                <w:lang w:val="fr-CA"/>
              </w:rPr>
              <w:t xml:space="preserve"> </w:t>
            </w:r>
            <w:r w:rsidR="001C7304" w:rsidRPr="0081448E">
              <w:rPr>
                <w:sz w:val="20"/>
                <w:szCs w:val="20"/>
                <w:lang w:val="fr-CA"/>
              </w:rPr>
              <w:t>9</w:t>
            </w:r>
            <w:r w:rsidRPr="0081448E">
              <w:rPr>
                <w:sz w:val="20"/>
                <w:szCs w:val="20"/>
                <w:lang w:val="fr-CA"/>
              </w:rPr>
              <w:t>, 20</w:t>
            </w:r>
            <w:r w:rsidR="00DA1D48" w:rsidRPr="0081448E">
              <w:rPr>
                <w:sz w:val="20"/>
                <w:szCs w:val="20"/>
                <w:lang w:val="fr-CA"/>
              </w:rPr>
              <w:t>20</w:t>
            </w:r>
          </w:p>
          <w:p w:rsidR="004B2E86" w:rsidRPr="0081448E" w:rsidRDefault="004B2E86" w:rsidP="00F138C1">
            <w:pPr>
              <w:rPr>
                <w:sz w:val="20"/>
                <w:szCs w:val="20"/>
                <w:lang w:val="fr-CA"/>
              </w:rPr>
            </w:pPr>
          </w:p>
          <w:p w:rsidR="00F138C1" w:rsidRPr="0081448E" w:rsidRDefault="00DC444A"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F138C1" w:rsidRPr="0081448E" w:rsidRDefault="00F138C1" w:rsidP="00F138C1">
            <w:pPr>
              <w:jc w:val="center"/>
              <w:rPr>
                <w:sz w:val="20"/>
                <w:szCs w:val="20"/>
                <w:lang w:val="en-US"/>
              </w:rPr>
            </w:pPr>
          </w:p>
          <w:p w:rsidR="004B2E86" w:rsidRPr="0081448E" w:rsidRDefault="004B2E86" w:rsidP="00F138C1">
            <w:pPr>
              <w:jc w:val="center"/>
              <w:rPr>
                <w:sz w:val="20"/>
                <w:szCs w:val="20"/>
                <w:lang w:val="en-US"/>
              </w:rPr>
            </w:pPr>
          </w:p>
        </w:tc>
        <w:tc>
          <w:tcPr>
            <w:tcW w:w="4239" w:type="dxa"/>
            <w:shd w:val="clear" w:color="auto" w:fill="auto"/>
          </w:tcPr>
          <w:p w:rsidR="00F138C1" w:rsidRPr="0081448E" w:rsidRDefault="00774E02" w:rsidP="00F138C1">
            <w:pPr>
              <w:rPr>
                <w:b/>
                <w:sz w:val="20"/>
                <w:szCs w:val="20"/>
                <w:lang w:val="en-US"/>
              </w:rPr>
            </w:pPr>
            <w:r w:rsidRPr="0081448E">
              <w:rPr>
                <w:b/>
                <w:sz w:val="20"/>
                <w:szCs w:val="20"/>
                <w:lang w:val="en-US"/>
              </w:rPr>
              <w:t>Her Majesty the Queen in Right of Canada</w:t>
            </w:r>
          </w:p>
          <w:p w:rsidR="00F138C1" w:rsidRPr="0081448E" w:rsidRDefault="00F138C1" w:rsidP="00F138C1">
            <w:pPr>
              <w:tabs>
                <w:tab w:val="left" w:pos="-1440"/>
                <w:tab w:val="left" w:pos="-720"/>
              </w:tabs>
              <w:rPr>
                <w:sz w:val="20"/>
                <w:szCs w:val="20"/>
                <w:lang w:val="en-US"/>
              </w:rPr>
            </w:pPr>
            <w:r w:rsidRPr="0081448E">
              <w:rPr>
                <w:sz w:val="20"/>
                <w:szCs w:val="20"/>
                <w:lang w:val="en-US"/>
              </w:rPr>
              <w:tab/>
            </w:r>
            <w:r w:rsidR="00774E02" w:rsidRPr="0081448E">
              <w:rPr>
                <w:sz w:val="20"/>
                <w:szCs w:val="20"/>
                <w:lang w:val="en-US"/>
              </w:rPr>
              <w:t>Conroy, Jennifer</w:t>
            </w:r>
          </w:p>
          <w:p w:rsidR="00F138C1" w:rsidRPr="0081448E" w:rsidRDefault="00F138C1" w:rsidP="00F138C1">
            <w:pPr>
              <w:tabs>
                <w:tab w:val="left" w:pos="-1440"/>
                <w:tab w:val="left" w:pos="-720"/>
              </w:tabs>
              <w:rPr>
                <w:sz w:val="20"/>
                <w:szCs w:val="20"/>
                <w:lang w:val="en-US"/>
              </w:rPr>
            </w:pPr>
            <w:r w:rsidRPr="0081448E">
              <w:rPr>
                <w:sz w:val="20"/>
                <w:szCs w:val="20"/>
                <w:lang w:val="en-US"/>
              </w:rPr>
              <w:tab/>
            </w:r>
            <w:r w:rsidR="00774E02" w:rsidRPr="0081448E">
              <w:rPr>
                <w:sz w:val="20"/>
                <w:szCs w:val="20"/>
                <w:lang w:val="en-US"/>
              </w:rPr>
              <w:t>Public Prosecution Service of Canada</w:t>
            </w:r>
          </w:p>
          <w:p w:rsidR="00F138C1" w:rsidRPr="0081448E" w:rsidRDefault="00F138C1" w:rsidP="00F138C1">
            <w:pPr>
              <w:tabs>
                <w:tab w:val="left" w:pos="-1440"/>
                <w:tab w:val="left" w:pos="-720"/>
              </w:tabs>
              <w:rPr>
                <w:sz w:val="20"/>
                <w:szCs w:val="20"/>
                <w:lang w:val="en-US"/>
              </w:rPr>
            </w:pPr>
          </w:p>
          <w:p w:rsidR="00F138C1" w:rsidRPr="0081448E" w:rsidRDefault="00774E02" w:rsidP="00F138C1">
            <w:pPr>
              <w:tabs>
                <w:tab w:val="left" w:pos="-1440"/>
                <w:tab w:val="left" w:pos="-720"/>
              </w:tabs>
              <w:rPr>
                <w:sz w:val="20"/>
                <w:szCs w:val="20"/>
                <w:lang w:val="en-US"/>
              </w:rPr>
            </w:pPr>
            <w:r w:rsidRPr="0081448E">
              <w:rPr>
                <w:sz w:val="20"/>
                <w:szCs w:val="20"/>
                <w:lang w:val="en-US"/>
              </w:rPr>
              <w:tab/>
              <w:t>v. (3</w:t>
            </w:r>
            <w:r w:rsidR="00F138C1" w:rsidRPr="0081448E">
              <w:rPr>
                <w:sz w:val="20"/>
                <w:szCs w:val="20"/>
                <w:lang w:val="en-US"/>
              </w:rPr>
              <w:t>9</w:t>
            </w:r>
            <w:r w:rsidRPr="0081448E">
              <w:rPr>
                <w:sz w:val="20"/>
                <w:szCs w:val="20"/>
                <w:lang w:val="en-US"/>
              </w:rPr>
              <w:t>346</w:t>
            </w:r>
            <w:r w:rsidR="00F138C1" w:rsidRPr="0081448E">
              <w:rPr>
                <w:sz w:val="20"/>
                <w:szCs w:val="20"/>
                <w:lang w:val="en-US"/>
              </w:rPr>
              <w:t>)</w:t>
            </w:r>
          </w:p>
          <w:p w:rsidR="00F138C1" w:rsidRPr="0081448E" w:rsidRDefault="00F138C1" w:rsidP="00F138C1">
            <w:pPr>
              <w:tabs>
                <w:tab w:val="left" w:pos="-1440"/>
                <w:tab w:val="left" w:pos="-720"/>
              </w:tabs>
              <w:rPr>
                <w:sz w:val="20"/>
                <w:szCs w:val="20"/>
                <w:lang w:val="en-US"/>
              </w:rPr>
            </w:pPr>
          </w:p>
          <w:p w:rsidR="00F138C1" w:rsidRPr="0081448E" w:rsidRDefault="00774E02" w:rsidP="00F138C1">
            <w:pPr>
              <w:tabs>
                <w:tab w:val="left" w:pos="-1440"/>
                <w:tab w:val="left" w:pos="-720"/>
              </w:tabs>
              <w:rPr>
                <w:b/>
                <w:sz w:val="20"/>
                <w:szCs w:val="20"/>
                <w:lang w:val="en-US"/>
              </w:rPr>
            </w:pPr>
            <w:r w:rsidRPr="0081448E">
              <w:rPr>
                <w:b/>
                <w:sz w:val="20"/>
                <w:szCs w:val="20"/>
                <w:lang w:val="en-US"/>
              </w:rPr>
              <w:t>Cheyenne Sharma (Ont.</w:t>
            </w:r>
            <w:r w:rsidR="00F138C1" w:rsidRPr="0081448E">
              <w:rPr>
                <w:b/>
                <w:sz w:val="20"/>
                <w:szCs w:val="20"/>
                <w:lang w:val="en-US"/>
              </w:rPr>
              <w:t>)</w:t>
            </w:r>
          </w:p>
          <w:p w:rsidR="00F138C1" w:rsidRPr="0081448E" w:rsidRDefault="00F138C1" w:rsidP="00F138C1">
            <w:pPr>
              <w:tabs>
                <w:tab w:val="left" w:pos="-1440"/>
                <w:tab w:val="left" w:pos="-720"/>
              </w:tabs>
              <w:rPr>
                <w:sz w:val="20"/>
                <w:szCs w:val="20"/>
                <w:lang w:val="en-US"/>
              </w:rPr>
            </w:pPr>
            <w:r w:rsidRPr="0081448E">
              <w:rPr>
                <w:sz w:val="20"/>
                <w:szCs w:val="20"/>
                <w:lang w:val="en-US"/>
              </w:rPr>
              <w:tab/>
            </w:r>
            <w:r w:rsidR="00774E02" w:rsidRPr="0081448E">
              <w:rPr>
                <w:sz w:val="20"/>
                <w:szCs w:val="20"/>
                <w:lang w:val="en-US"/>
              </w:rPr>
              <w:t>Hasan, Nader R.</w:t>
            </w:r>
          </w:p>
          <w:p w:rsidR="00F138C1" w:rsidRPr="0081448E" w:rsidRDefault="00F138C1" w:rsidP="00F138C1">
            <w:pPr>
              <w:tabs>
                <w:tab w:val="left" w:pos="-1440"/>
                <w:tab w:val="left" w:pos="-720"/>
              </w:tabs>
              <w:rPr>
                <w:sz w:val="20"/>
                <w:szCs w:val="20"/>
                <w:lang w:val="en-US"/>
              </w:rPr>
            </w:pPr>
            <w:r w:rsidRPr="0081448E">
              <w:rPr>
                <w:sz w:val="20"/>
                <w:szCs w:val="20"/>
                <w:lang w:val="en-US"/>
              </w:rPr>
              <w:tab/>
            </w:r>
            <w:r w:rsidR="00774E02" w:rsidRPr="0081448E">
              <w:rPr>
                <w:sz w:val="20"/>
                <w:szCs w:val="20"/>
                <w:lang w:val="en-US"/>
              </w:rPr>
              <w:t>Stockwoods LLP</w:t>
            </w:r>
          </w:p>
          <w:p w:rsidR="00F138C1" w:rsidRPr="0081448E" w:rsidRDefault="00F138C1" w:rsidP="00F138C1">
            <w:pPr>
              <w:tabs>
                <w:tab w:val="left" w:pos="-1440"/>
                <w:tab w:val="left" w:pos="-720"/>
              </w:tabs>
              <w:rPr>
                <w:sz w:val="20"/>
                <w:szCs w:val="20"/>
                <w:lang w:val="en-US"/>
              </w:rPr>
            </w:pPr>
          </w:p>
          <w:p w:rsidR="00F138C1" w:rsidRPr="0081448E" w:rsidRDefault="00774E02" w:rsidP="00F138C1">
            <w:pPr>
              <w:rPr>
                <w:sz w:val="20"/>
                <w:szCs w:val="20"/>
                <w:lang w:val="en-US"/>
              </w:rPr>
            </w:pPr>
            <w:r w:rsidRPr="0081448E">
              <w:rPr>
                <w:sz w:val="20"/>
                <w:szCs w:val="20"/>
                <w:lang w:val="en-US"/>
              </w:rPr>
              <w:t xml:space="preserve">FILING </w:t>
            </w:r>
            <w:r w:rsidR="00F138C1" w:rsidRPr="0081448E">
              <w:rPr>
                <w:sz w:val="20"/>
                <w:szCs w:val="20"/>
                <w:lang w:val="en-US"/>
              </w:rPr>
              <w:t xml:space="preserve">DATE: </w:t>
            </w:r>
            <w:r w:rsidRPr="0081448E">
              <w:rPr>
                <w:sz w:val="20"/>
                <w:szCs w:val="20"/>
                <w:lang w:val="en-US"/>
              </w:rPr>
              <w:t>October</w:t>
            </w:r>
            <w:r w:rsidR="00F138C1" w:rsidRPr="0081448E">
              <w:rPr>
                <w:sz w:val="20"/>
                <w:szCs w:val="20"/>
                <w:lang w:val="en-US"/>
              </w:rPr>
              <w:t xml:space="preserve"> </w:t>
            </w:r>
            <w:r w:rsidRPr="0081448E">
              <w:rPr>
                <w:sz w:val="20"/>
                <w:szCs w:val="20"/>
                <w:lang w:val="en-US"/>
              </w:rPr>
              <w:t>13,</w:t>
            </w:r>
            <w:r w:rsidR="00F138C1" w:rsidRPr="0081448E">
              <w:rPr>
                <w:sz w:val="20"/>
                <w:szCs w:val="20"/>
                <w:lang w:val="en-US"/>
              </w:rPr>
              <w:t xml:space="preserve"> 20</w:t>
            </w:r>
            <w:r w:rsidR="00DA1D48" w:rsidRPr="0081448E">
              <w:rPr>
                <w:sz w:val="20"/>
                <w:szCs w:val="20"/>
                <w:lang w:val="en-US"/>
              </w:rPr>
              <w:t>20</w:t>
            </w:r>
          </w:p>
          <w:p w:rsidR="004B2E86" w:rsidRPr="0081448E" w:rsidRDefault="004B2E86" w:rsidP="00F138C1">
            <w:pPr>
              <w:rPr>
                <w:sz w:val="20"/>
                <w:szCs w:val="20"/>
                <w:lang w:val="en-US"/>
              </w:rPr>
            </w:pPr>
          </w:p>
          <w:p w:rsidR="00F138C1" w:rsidRPr="0081448E" w:rsidRDefault="00DC444A"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81448E" w:rsidTr="00F138C1">
        <w:tc>
          <w:tcPr>
            <w:tcW w:w="4239" w:type="dxa"/>
            <w:shd w:val="clear" w:color="auto" w:fill="auto"/>
          </w:tcPr>
          <w:p w:rsidR="00DA1D48" w:rsidRPr="0081448E" w:rsidRDefault="00567271" w:rsidP="00DA1D48">
            <w:pPr>
              <w:rPr>
                <w:sz w:val="20"/>
                <w:szCs w:val="20"/>
                <w:lang w:val="en-US"/>
              </w:rPr>
            </w:pPr>
            <w:r w:rsidRPr="0081448E">
              <w:rPr>
                <w:b/>
                <w:sz w:val="20"/>
                <w:szCs w:val="20"/>
                <w:lang w:val="en-US"/>
              </w:rPr>
              <w:t>Hutchingame Growth Capital Corporation</w:t>
            </w:r>
          </w:p>
          <w:p w:rsidR="00DA1D48" w:rsidRPr="0081448E" w:rsidRDefault="00DA1D48" w:rsidP="00DA1D48">
            <w:pPr>
              <w:tabs>
                <w:tab w:val="left" w:pos="-1440"/>
                <w:tab w:val="left" w:pos="-720"/>
              </w:tabs>
              <w:rPr>
                <w:sz w:val="20"/>
                <w:szCs w:val="20"/>
                <w:lang w:val="en-US"/>
              </w:rPr>
            </w:pPr>
            <w:r w:rsidRPr="0081448E">
              <w:rPr>
                <w:sz w:val="20"/>
                <w:szCs w:val="20"/>
                <w:lang w:val="en-US"/>
              </w:rPr>
              <w:tab/>
            </w:r>
            <w:r w:rsidR="00567271" w:rsidRPr="0081448E">
              <w:rPr>
                <w:sz w:val="20"/>
                <w:szCs w:val="20"/>
                <w:lang w:val="en-US"/>
              </w:rPr>
              <w:t>Slade, Thomas</w:t>
            </w:r>
          </w:p>
          <w:p w:rsidR="00567271" w:rsidRPr="0081448E" w:rsidRDefault="00567271" w:rsidP="00DA1D48">
            <w:pPr>
              <w:tabs>
                <w:tab w:val="left" w:pos="-1440"/>
                <w:tab w:val="left" w:pos="-720"/>
              </w:tabs>
              <w:rPr>
                <w:sz w:val="20"/>
                <w:szCs w:val="20"/>
                <w:lang w:val="en-US"/>
              </w:rPr>
            </w:pPr>
            <w:r w:rsidRPr="0081448E">
              <w:rPr>
                <w:sz w:val="20"/>
                <w:szCs w:val="20"/>
                <w:lang w:val="en-US"/>
              </w:rPr>
              <w:tab/>
              <w:t>Supreme Advocacy LLP</w:t>
            </w:r>
          </w:p>
          <w:p w:rsidR="00DA1D48" w:rsidRPr="0081448E" w:rsidRDefault="00DA1D48" w:rsidP="00DA1D48">
            <w:pPr>
              <w:tabs>
                <w:tab w:val="left" w:pos="-1440"/>
                <w:tab w:val="left" w:pos="-720"/>
              </w:tabs>
              <w:rPr>
                <w:sz w:val="20"/>
                <w:szCs w:val="20"/>
                <w:lang w:val="en-US"/>
              </w:rPr>
            </w:pPr>
          </w:p>
          <w:p w:rsidR="00DA1D48" w:rsidRPr="0081448E" w:rsidRDefault="00DA1D48" w:rsidP="00DA1D48">
            <w:pPr>
              <w:tabs>
                <w:tab w:val="left" w:pos="-1440"/>
                <w:tab w:val="left" w:pos="-720"/>
              </w:tabs>
              <w:rPr>
                <w:sz w:val="20"/>
                <w:szCs w:val="20"/>
                <w:lang w:val="en-US"/>
              </w:rPr>
            </w:pPr>
            <w:r w:rsidRPr="0081448E">
              <w:rPr>
                <w:sz w:val="20"/>
                <w:szCs w:val="20"/>
                <w:lang w:val="en-US"/>
              </w:rPr>
              <w:tab/>
              <w:t>v. (39</w:t>
            </w:r>
            <w:r w:rsidR="00567271" w:rsidRPr="0081448E">
              <w:rPr>
                <w:sz w:val="20"/>
                <w:szCs w:val="20"/>
                <w:lang w:val="en-US"/>
              </w:rPr>
              <w:t>3</w:t>
            </w:r>
            <w:r w:rsidRPr="0081448E">
              <w:rPr>
                <w:sz w:val="20"/>
                <w:szCs w:val="20"/>
                <w:lang w:val="en-US"/>
              </w:rPr>
              <w:t>4</w:t>
            </w:r>
            <w:r w:rsidR="00567271" w:rsidRPr="0081448E">
              <w:rPr>
                <w:sz w:val="20"/>
                <w:szCs w:val="20"/>
                <w:lang w:val="en-US"/>
              </w:rPr>
              <w:t>7</w:t>
            </w:r>
            <w:r w:rsidRPr="0081448E">
              <w:rPr>
                <w:sz w:val="20"/>
                <w:szCs w:val="20"/>
                <w:lang w:val="en-US"/>
              </w:rPr>
              <w:t>)</w:t>
            </w:r>
          </w:p>
          <w:p w:rsidR="00DA1D48" w:rsidRPr="0081448E" w:rsidRDefault="00DA1D48" w:rsidP="00DA1D48">
            <w:pPr>
              <w:tabs>
                <w:tab w:val="left" w:pos="-1440"/>
                <w:tab w:val="left" w:pos="-720"/>
              </w:tabs>
              <w:rPr>
                <w:sz w:val="20"/>
                <w:szCs w:val="20"/>
                <w:lang w:val="en-US"/>
              </w:rPr>
            </w:pPr>
          </w:p>
          <w:p w:rsidR="00DA1D48" w:rsidRPr="0081448E" w:rsidRDefault="00567271" w:rsidP="00DA1D48">
            <w:pPr>
              <w:tabs>
                <w:tab w:val="left" w:pos="-1440"/>
                <w:tab w:val="left" w:pos="-720"/>
              </w:tabs>
              <w:rPr>
                <w:b/>
                <w:sz w:val="20"/>
                <w:szCs w:val="20"/>
                <w:lang w:val="en-US"/>
              </w:rPr>
            </w:pPr>
            <w:r w:rsidRPr="0081448E">
              <w:rPr>
                <w:b/>
                <w:sz w:val="20"/>
                <w:szCs w:val="20"/>
                <w:lang w:val="en-US"/>
              </w:rPr>
              <w:t xml:space="preserve">Independent Electricity System Operator </w:t>
            </w:r>
            <w:r w:rsidR="00DA1D48" w:rsidRPr="0081448E">
              <w:rPr>
                <w:b/>
                <w:sz w:val="20"/>
                <w:szCs w:val="20"/>
                <w:lang w:val="en-US"/>
              </w:rPr>
              <w:t>(</w:t>
            </w:r>
            <w:r w:rsidRPr="0081448E">
              <w:rPr>
                <w:b/>
                <w:sz w:val="20"/>
                <w:szCs w:val="20"/>
                <w:lang w:val="en-US"/>
              </w:rPr>
              <w:t>Ont</w:t>
            </w:r>
            <w:r w:rsidR="00DA1D48" w:rsidRPr="0081448E">
              <w:rPr>
                <w:b/>
                <w:sz w:val="20"/>
                <w:szCs w:val="20"/>
                <w:lang w:val="en-US"/>
              </w:rPr>
              <w:t>.)</w:t>
            </w:r>
          </w:p>
          <w:p w:rsidR="00DA1D48" w:rsidRPr="0081448E" w:rsidRDefault="00DA1D48" w:rsidP="00DA1D48">
            <w:pPr>
              <w:tabs>
                <w:tab w:val="left" w:pos="-1440"/>
                <w:tab w:val="left" w:pos="-720"/>
              </w:tabs>
              <w:rPr>
                <w:sz w:val="20"/>
                <w:szCs w:val="20"/>
                <w:lang w:val="en-US"/>
              </w:rPr>
            </w:pPr>
            <w:r w:rsidRPr="0081448E">
              <w:rPr>
                <w:sz w:val="20"/>
                <w:szCs w:val="20"/>
                <w:lang w:val="en-US"/>
              </w:rPr>
              <w:tab/>
            </w:r>
            <w:r w:rsidR="00567271" w:rsidRPr="0081448E">
              <w:rPr>
                <w:sz w:val="20"/>
                <w:szCs w:val="20"/>
                <w:lang w:val="en-US"/>
              </w:rPr>
              <w:t>Conway, Thomas G.</w:t>
            </w:r>
          </w:p>
          <w:p w:rsidR="00DA1D48" w:rsidRPr="0081448E" w:rsidRDefault="00DA1D48" w:rsidP="00DA1D48">
            <w:pPr>
              <w:tabs>
                <w:tab w:val="left" w:pos="-1440"/>
                <w:tab w:val="left" w:pos="-720"/>
              </w:tabs>
              <w:rPr>
                <w:sz w:val="20"/>
                <w:szCs w:val="20"/>
              </w:rPr>
            </w:pPr>
            <w:r w:rsidRPr="0081448E">
              <w:rPr>
                <w:sz w:val="20"/>
                <w:szCs w:val="20"/>
                <w:lang w:val="en-US"/>
              </w:rPr>
              <w:tab/>
            </w:r>
            <w:r w:rsidR="00567271" w:rsidRPr="0081448E">
              <w:rPr>
                <w:sz w:val="20"/>
                <w:szCs w:val="20"/>
              </w:rPr>
              <w:t>Conway Baxter Wilson LLP</w:t>
            </w:r>
          </w:p>
          <w:p w:rsidR="00DA1D48" w:rsidRPr="0081448E" w:rsidRDefault="00DA1D48" w:rsidP="00DA1D48">
            <w:pPr>
              <w:tabs>
                <w:tab w:val="left" w:pos="-1440"/>
                <w:tab w:val="left" w:pos="-720"/>
              </w:tabs>
              <w:rPr>
                <w:sz w:val="20"/>
                <w:szCs w:val="20"/>
              </w:rPr>
            </w:pPr>
          </w:p>
          <w:p w:rsidR="00DA1D48" w:rsidRPr="0081448E" w:rsidRDefault="00DA1D48" w:rsidP="00DA1D48">
            <w:pPr>
              <w:rPr>
                <w:sz w:val="20"/>
                <w:szCs w:val="20"/>
              </w:rPr>
            </w:pPr>
            <w:r w:rsidRPr="0081448E">
              <w:rPr>
                <w:sz w:val="20"/>
                <w:szCs w:val="20"/>
              </w:rPr>
              <w:t xml:space="preserve">FILING DATE: </w:t>
            </w:r>
            <w:r w:rsidR="00567271" w:rsidRPr="0081448E">
              <w:rPr>
                <w:sz w:val="20"/>
                <w:szCs w:val="20"/>
              </w:rPr>
              <w:t>October</w:t>
            </w:r>
            <w:r w:rsidRPr="0081448E">
              <w:rPr>
                <w:sz w:val="20"/>
                <w:szCs w:val="20"/>
              </w:rPr>
              <w:t xml:space="preserve"> </w:t>
            </w:r>
            <w:r w:rsidR="00567271" w:rsidRPr="0081448E">
              <w:rPr>
                <w:sz w:val="20"/>
                <w:szCs w:val="20"/>
              </w:rPr>
              <w:t>14</w:t>
            </w:r>
            <w:r w:rsidRPr="0081448E">
              <w:rPr>
                <w:sz w:val="20"/>
                <w:szCs w:val="20"/>
              </w:rPr>
              <w:t>, 2020</w:t>
            </w:r>
          </w:p>
          <w:p w:rsidR="00DA1D48" w:rsidRPr="0081448E" w:rsidRDefault="00DA1D48" w:rsidP="00DA1D48">
            <w:pPr>
              <w:rPr>
                <w:sz w:val="20"/>
                <w:szCs w:val="20"/>
              </w:rPr>
            </w:pPr>
          </w:p>
          <w:p w:rsidR="00F138C1" w:rsidRPr="0081448E" w:rsidRDefault="00DC444A"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81448E" w:rsidRDefault="00F138C1"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p w:rsidR="00567271" w:rsidRPr="0081448E" w:rsidRDefault="00567271"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p w:rsidR="00DA1D48" w:rsidRPr="0081448E" w:rsidRDefault="00DA1D48" w:rsidP="00F138C1">
            <w:pPr>
              <w:jc w:val="center"/>
              <w:rPr>
                <w:sz w:val="20"/>
                <w:szCs w:val="20"/>
                <w:lang w:val="en-US"/>
              </w:rPr>
            </w:pPr>
          </w:p>
        </w:tc>
        <w:tc>
          <w:tcPr>
            <w:tcW w:w="4239" w:type="dxa"/>
            <w:shd w:val="clear" w:color="auto" w:fill="auto"/>
          </w:tcPr>
          <w:p w:rsidR="00DA1D48" w:rsidRPr="0081448E" w:rsidRDefault="006B1554" w:rsidP="00DA1D48">
            <w:pPr>
              <w:rPr>
                <w:b/>
                <w:sz w:val="20"/>
                <w:szCs w:val="20"/>
                <w:lang w:val="en-US"/>
              </w:rPr>
            </w:pPr>
            <w:r w:rsidRPr="0081448E">
              <w:rPr>
                <w:b/>
                <w:sz w:val="20"/>
                <w:szCs w:val="20"/>
                <w:lang w:val="en-US"/>
              </w:rPr>
              <w:t>E.W.</w:t>
            </w:r>
          </w:p>
          <w:p w:rsidR="00DA1D48" w:rsidRPr="0081448E" w:rsidRDefault="00DA1D48" w:rsidP="00DA1D48">
            <w:pPr>
              <w:tabs>
                <w:tab w:val="left" w:pos="-1440"/>
                <w:tab w:val="left" w:pos="-720"/>
              </w:tabs>
              <w:rPr>
                <w:sz w:val="20"/>
                <w:szCs w:val="20"/>
                <w:lang w:val="en-US"/>
              </w:rPr>
            </w:pPr>
            <w:r w:rsidRPr="0081448E">
              <w:rPr>
                <w:sz w:val="20"/>
                <w:szCs w:val="20"/>
                <w:lang w:val="en-US"/>
              </w:rPr>
              <w:tab/>
            </w:r>
            <w:r w:rsidR="006B1554" w:rsidRPr="0081448E">
              <w:rPr>
                <w:sz w:val="20"/>
                <w:szCs w:val="20"/>
                <w:lang w:val="en-US"/>
              </w:rPr>
              <w:t>Grassby, Miriam</w:t>
            </w:r>
          </w:p>
          <w:p w:rsidR="00DA1D48" w:rsidRPr="0081448E" w:rsidRDefault="00DA1D48" w:rsidP="00DA1D48">
            <w:pPr>
              <w:tabs>
                <w:tab w:val="left" w:pos="-1440"/>
                <w:tab w:val="left" w:pos="-720"/>
              </w:tabs>
              <w:rPr>
                <w:sz w:val="20"/>
                <w:szCs w:val="20"/>
                <w:lang w:val="en-US"/>
              </w:rPr>
            </w:pPr>
            <w:r w:rsidRPr="0081448E">
              <w:rPr>
                <w:sz w:val="20"/>
                <w:szCs w:val="20"/>
                <w:lang w:val="en-US"/>
              </w:rPr>
              <w:tab/>
            </w:r>
            <w:r w:rsidR="006B1554" w:rsidRPr="0081448E">
              <w:rPr>
                <w:sz w:val="20"/>
                <w:szCs w:val="20"/>
                <w:lang w:val="en-US"/>
              </w:rPr>
              <w:t>Miriam Grassby &amp; Associés</w:t>
            </w:r>
          </w:p>
          <w:p w:rsidR="00DA1D48" w:rsidRPr="0081448E" w:rsidRDefault="00DA1D48" w:rsidP="00DA1D48">
            <w:pPr>
              <w:tabs>
                <w:tab w:val="left" w:pos="-1440"/>
                <w:tab w:val="left" w:pos="-720"/>
              </w:tabs>
              <w:rPr>
                <w:sz w:val="20"/>
                <w:szCs w:val="20"/>
                <w:lang w:val="en-US"/>
              </w:rPr>
            </w:pPr>
          </w:p>
          <w:p w:rsidR="00DA1D48" w:rsidRPr="0081448E" w:rsidRDefault="00DA1D48" w:rsidP="00DA1D48">
            <w:pPr>
              <w:tabs>
                <w:tab w:val="left" w:pos="-1440"/>
                <w:tab w:val="left" w:pos="-720"/>
              </w:tabs>
              <w:rPr>
                <w:sz w:val="20"/>
                <w:szCs w:val="20"/>
                <w:lang w:val="fr-CA"/>
              </w:rPr>
            </w:pPr>
            <w:r w:rsidRPr="0081448E">
              <w:rPr>
                <w:sz w:val="20"/>
                <w:szCs w:val="20"/>
                <w:lang w:val="en-US"/>
              </w:rPr>
              <w:tab/>
            </w:r>
            <w:r w:rsidR="006B1554" w:rsidRPr="0081448E">
              <w:rPr>
                <w:sz w:val="20"/>
                <w:szCs w:val="20"/>
                <w:lang w:val="fr-CA"/>
              </w:rPr>
              <w:t>v</w:t>
            </w:r>
            <w:r w:rsidRPr="0081448E">
              <w:rPr>
                <w:sz w:val="20"/>
                <w:szCs w:val="20"/>
                <w:lang w:val="fr-CA"/>
              </w:rPr>
              <w:t>. (39</w:t>
            </w:r>
            <w:r w:rsidR="006B1554" w:rsidRPr="0081448E">
              <w:rPr>
                <w:sz w:val="20"/>
                <w:szCs w:val="20"/>
                <w:lang w:val="fr-CA"/>
              </w:rPr>
              <w:t>348</w:t>
            </w:r>
            <w:r w:rsidRPr="0081448E">
              <w:rPr>
                <w:sz w:val="20"/>
                <w:szCs w:val="20"/>
                <w:lang w:val="fr-CA"/>
              </w:rPr>
              <w:t>)</w:t>
            </w:r>
          </w:p>
          <w:p w:rsidR="00DA1D48" w:rsidRPr="0081448E" w:rsidRDefault="00DA1D48" w:rsidP="00DA1D48">
            <w:pPr>
              <w:tabs>
                <w:tab w:val="left" w:pos="-1440"/>
                <w:tab w:val="left" w:pos="-720"/>
              </w:tabs>
              <w:rPr>
                <w:sz w:val="20"/>
                <w:szCs w:val="20"/>
                <w:lang w:val="fr-CA"/>
              </w:rPr>
            </w:pPr>
          </w:p>
          <w:p w:rsidR="00DA1D48" w:rsidRPr="0081448E" w:rsidRDefault="006B1554" w:rsidP="00DA1D48">
            <w:pPr>
              <w:tabs>
                <w:tab w:val="left" w:pos="-1440"/>
                <w:tab w:val="left" w:pos="-720"/>
              </w:tabs>
              <w:rPr>
                <w:b/>
                <w:sz w:val="20"/>
                <w:szCs w:val="20"/>
                <w:lang w:val="fr-CA"/>
              </w:rPr>
            </w:pPr>
            <w:r w:rsidRPr="0081448E">
              <w:rPr>
                <w:b/>
                <w:sz w:val="20"/>
                <w:szCs w:val="20"/>
                <w:lang w:val="fr-CA"/>
              </w:rPr>
              <w:t>M.R.</w:t>
            </w:r>
            <w:r w:rsidR="00DA1D48" w:rsidRPr="0081448E">
              <w:rPr>
                <w:sz w:val="20"/>
                <w:szCs w:val="20"/>
                <w:lang w:val="fr-CA"/>
              </w:rPr>
              <w:t xml:space="preserve"> </w:t>
            </w:r>
            <w:r w:rsidR="00DA1D48" w:rsidRPr="0081448E">
              <w:rPr>
                <w:b/>
                <w:sz w:val="20"/>
                <w:szCs w:val="20"/>
                <w:lang w:val="fr-CA"/>
              </w:rPr>
              <w:t>(Q</w:t>
            </w:r>
            <w:r w:rsidRPr="0081448E">
              <w:rPr>
                <w:b/>
                <w:sz w:val="20"/>
                <w:szCs w:val="20"/>
                <w:lang w:val="fr-CA"/>
              </w:rPr>
              <w:t>ue.</w:t>
            </w:r>
            <w:r w:rsidR="00DA1D48" w:rsidRPr="0081448E">
              <w:rPr>
                <w:b/>
                <w:sz w:val="20"/>
                <w:szCs w:val="20"/>
                <w:lang w:val="fr-CA"/>
              </w:rPr>
              <w:t>)</w:t>
            </w:r>
          </w:p>
          <w:p w:rsidR="00DA1D48" w:rsidRPr="0081448E" w:rsidRDefault="00DA1D48" w:rsidP="00DA1D48">
            <w:pPr>
              <w:tabs>
                <w:tab w:val="left" w:pos="-1440"/>
                <w:tab w:val="left" w:pos="-720"/>
              </w:tabs>
              <w:rPr>
                <w:sz w:val="20"/>
                <w:szCs w:val="20"/>
                <w:lang w:val="fr-CA"/>
              </w:rPr>
            </w:pPr>
            <w:r w:rsidRPr="0081448E">
              <w:rPr>
                <w:sz w:val="20"/>
                <w:szCs w:val="20"/>
                <w:lang w:val="fr-CA"/>
              </w:rPr>
              <w:tab/>
            </w:r>
            <w:r w:rsidR="006B1554" w:rsidRPr="0081448E">
              <w:rPr>
                <w:sz w:val="20"/>
                <w:szCs w:val="20"/>
                <w:lang w:val="fr-CA"/>
              </w:rPr>
              <w:t>Marchand, Mathieu</w:t>
            </w:r>
          </w:p>
          <w:p w:rsidR="00DA1D48" w:rsidRPr="0081448E" w:rsidRDefault="00DA1D48" w:rsidP="00DA1D48">
            <w:pPr>
              <w:tabs>
                <w:tab w:val="left" w:pos="-1440"/>
                <w:tab w:val="left" w:pos="-720"/>
              </w:tabs>
              <w:rPr>
                <w:sz w:val="20"/>
                <w:szCs w:val="20"/>
                <w:lang w:val="fr-CA"/>
              </w:rPr>
            </w:pPr>
          </w:p>
          <w:p w:rsidR="00DA1D48" w:rsidRPr="0081448E" w:rsidRDefault="006B1554" w:rsidP="00DA1D48">
            <w:pPr>
              <w:rPr>
                <w:sz w:val="20"/>
                <w:szCs w:val="20"/>
                <w:lang w:val="fr-CA"/>
              </w:rPr>
            </w:pPr>
            <w:r w:rsidRPr="0081448E">
              <w:rPr>
                <w:sz w:val="20"/>
                <w:szCs w:val="20"/>
                <w:lang w:val="fr-CA"/>
              </w:rPr>
              <w:t xml:space="preserve">FILING </w:t>
            </w:r>
            <w:r w:rsidR="00DA1D48" w:rsidRPr="0081448E">
              <w:rPr>
                <w:sz w:val="20"/>
                <w:szCs w:val="20"/>
                <w:lang w:val="fr-CA"/>
              </w:rPr>
              <w:t xml:space="preserve">DATE: </w:t>
            </w:r>
            <w:r w:rsidRPr="0081448E">
              <w:rPr>
                <w:sz w:val="20"/>
                <w:szCs w:val="20"/>
                <w:lang w:val="fr-CA"/>
              </w:rPr>
              <w:t>October</w:t>
            </w:r>
            <w:r w:rsidR="00DA1D48" w:rsidRPr="0081448E">
              <w:rPr>
                <w:sz w:val="20"/>
                <w:szCs w:val="20"/>
                <w:lang w:val="fr-CA"/>
              </w:rPr>
              <w:t xml:space="preserve"> </w:t>
            </w:r>
            <w:r w:rsidRPr="0081448E">
              <w:rPr>
                <w:sz w:val="20"/>
                <w:szCs w:val="20"/>
                <w:lang w:val="fr-CA"/>
              </w:rPr>
              <w:t>14,</w:t>
            </w:r>
            <w:r w:rsidR="00DA1D48" w:rsidRPr="0081448E">
              <w:rPr>
                <w:sz w:val="20"/>
                <w:szCs w:val="20"/>
                <w:lang w:val="fr-CA"/>
              </w:rPr>
              <w:t xml:space="preserve"> 2020</w:t>
            </w:r>
          </w:p>
          <w:p w:rsidR="00DA1D48" w:rsidRPr="0081448E" w:rsidRDefault="00DA1D48" w:rsidP="00DA1D48">
            <w:pPr>
              <w:rPr>
                <w:sz w:val="20"/>
                <w:szCs w:val="20"/>
                <w:lang w:val="fr-CA"/>
              </w:rPr>
            </w:pPr>
          </w:p>
          <w:p w:rsidR="00F138C1" w:rsidRPr="0081448E" w:rsidRDefault="00DC444A" w:rsidP="00DA1D48">
            <w:pPr>
              <w:rPr>
                <w:sz w:val="20"/>
                <w:szCs w:val="20"/>
                <w:lang w:val="fr-CA"/>
              </w:rPr>
            </w:pPr>
            <w:r>
              <w:rPr>
                <w:sz w:val="20"/>
                <w:szCs w:val="20"/>
                <w:lang w:val="fr-CA"/>
              </w:rPr>
              <w:pict>
                <v:rect id="_x0000_i1030" style="width:108pt;height:1pt" o:hrpct="0" o:hrstd="t" o:hrnoshade="t" o:hr="t" fillcolor="black [3213]" stroked="f"/>
              </w:pict>
            </w:r>
          </w:p>
        </w:tc>
      </w:tr>
    </w:tbl>
    <w:p w:rsidR="000F3881" w:rsidRPr="0081448E" w:rsidRDefault="000F3881">
      <w:r w:rsidRPr="0081448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0F3881" w:rsidRPr="0081448E" w:rsidTr="00F138C1">
        <w:tc>
          <w:tcPr>
            <w:tcW w:w="4239" w:type="dxa"/>
            <w:shd w:val="clear" w:color="auto" w:fill="auto"/>
          </w:tcPr>
          <w:p w:rsidR="000F3881" w:rsidRPr="0081448E" w:rsidRDefault="00343F65" w:rsidP="000F3881">
            <w:pPr>
              <w:rPr>
                <w:sz w:val="20"/>
                <w:szCs w:val="20"/>
                <w:lang w:val="en-US"/>
              </w:rPr>
            </w:pPr>
            <w:r w:rsidRPr="0081448E">
              <w:rPr>
                <w:b/>
                <w:sz w:val="20"/>
                <w:szCs w:val="20"/>
                <w:lang w:val="en-US"/>
              </w:rPr>
              <w:lastRenderedPageBreak/>
              <w:t>Cedric Ookowt</w:t>
            </w:r>
          </w:p>
          <w:p w:rsidR="000F3881" w:rsidRPr="0081448E" w:rsidRDefault="000F3881" w:rsidP="000F3881">
            <w:pPr>
              <w:tabs>
                <w:tab w:val="left" w:pos="-1440"/>
                <w:tab w:val="left" w:pos="-720"/>
              </w:tabs>
              <w:rPr>
                <w:sz w:val="20"/>
                <w:szCs w:val="20"/>
                <w:lang w:val="en-US"/>
              </w:rPr>
            </w:pPr>
            <w:r w:rsidRPr="0081448E">
              <w:rPr>
                <w:sz w:val="20"/>
                <w:szCs w:val="20"/>
                <w:lang w:val="en-US"/>
              </w:rPr>
              <w:tab/>
            </w:r>
            <w:r w:rsidR="007F2B86" w:rsidRPr="0081448E">
              <w:rPr>
                <w:sz w:val="20"/>
                <w:szCs w:val="20"/>
                <w:lang w:val="en-US"/>
              </w:rPr>
              <w:t>Cowan, John Scott</w:t>
            </w:r>
          </w:p>
          <w:p w:rsidR="000F3881" w:rsidRPr="0081448E" w:rsidRDefault="000F3881" w:rsidP="000F3881">
            <w:pPr>
              <w:tabs>
                <w:tab w:val="left" w:pos="-1440"/>
                <w:tab w:val="left" w:pos="-720"/>
              </w:tabs>
              <w:rPr>
                <w:sz w:val="20"/>
                <w:szCs w:val="20"/>
                <w:lang w:val="en-US"/>
              </w:rPr>
            </w:pPr>
          </w:p>
          <w:p w:rsidR="000F3881" w:rsidRPr="0081448E" w:rsidRDefault="000F3881" w:rsidP="000F3881">
            <w:pPr>
              <w:tabs>
                <w:tab w:val="left" w:pos="-1440"/>
                <w:tab w:val="left" w:pos="-720"/>
              </w:tabs>
              <w:rPr>
                <w:sz w:val="20"/>
                <w:szCs w:val="20"/>
                <w:lang w:val="en-US"/>
              </w:rPr>
            </w:pPr>
            <w:r w:rsidRPr="0081448E">
              <w:rPr>
                <w:sz w:val="20"/>
                <w:szCs w:val="20"/>
                <w:lang w:val="en-US"/>
              </w:rPr>
              <w:tab/>
              <w:t>v. (39</w:t>
            </w:r>
            <w:r w:rsidR="00343F65" w:rsidRPr="0081448E">
              <w:rPr>
                <w:sz w:val="20"/>
                <w:szCs w:val="20"/>
                <w:lang w:val="en-US"/>
              </w:rPr>
              <w:t>3</w:t>
            </w:r>
            <w:r w:rsidRPr="0081448E">
              <w:rPr>
                <w:sz w:val="20"/>
                <w:szCs w:val="20"/>
                <w:lang w:val="en-US"/>
              </w:rPr>
              <w:t>4</w:t>
            </w:r>
            <w:r w:rsidR="00343F65" w:rsidRPr="0081448E">
              <w:rPr>
                <w:sz w:val="20"/>
                <w:szCs w:val="20"/>
                <w:lang w:val="en-US"/>
              </w:rPr>
              <w:t>9</w:t>
            </w:r>
            <w:r w:rsidRPr="0081448E">
              <w:rPr>
                <w:sz w:val="20"/>
                <w:szCs w:val="20"/>
                <w:lang w:val="en-US"/>
              </w:rPr>
              <w:t>)</w:t>
            </w:r>
          </w:p>
          <w:p w:rsidR="000F3881" w:rsidRPr="0081448E" w:rsidRDefault="000F3881" w:rsidP="000F3881">
            <w:pPr>
              <w:tabs>
                <w:tab w:val="left" w:pos="-1440"/>
                <w:tab w:val="left" w:pos="-720"/>
              </w:tabs>
              <w:rPr>
                <w:sz w:val="20"/>
                <w:szCs w:val="20"/>
                <w:lang w:val="en-US"/>
              </w:rPr>
            </w:pPr>
          </w:p>
          <w:p w:rsidR="000F3881" w:rsidRPr="0081448E" w:rsidRDefault="00343F65" w:rsidP="000F3881">
            <w:pPr>
              <w:tabs>
                <w:tab w:val="left" w:pos="-1440"/>
                <w:tab w:val="left" w:pos="-720"/>
              </w:tabs>
              <w:rPr>
                <w:b/>
                <w:sz w:val="20"/>
                <w:szCs w:val="20"/>
                <w:lang w:val="en-US"/>
              </w:rPr>
            </w:pPr>
            <w:r w:rsidRPr="0081448E">
              <w:rPr>
                <w:b/>
                <w:sz w:val="20"/>
                <w:szCs w:val="20"/>
                <w:lang w:val="en-US"/>
              </w:rPr>
              <w:t>Her Majesty the Queen</w:t>
            </w:r>
            <w:r w:rsidR="000F3881" w:rsidRPr="0081448E">
              <w:rPr>
                <w:b/>
                <w:sz w:val="20"/>
                <w:szCs w:val="20"/>
                <w:lang w:val="en-US"/>
              </w:rPr>
              <w:t xml:space="preserve"> (</w:t>
            </w:r>
            <w:r w:rsidRPr="0081448E">
              <w:rPr>
                <w:b/>
                <w:sz w:val="20"/>
                <w:szCs w:val="20"/>
                <w:lang w:val="en-US"/>
              </w:rPr>
              <w:t>N</w:t>
            </w:r>
            <w:r w:rsidR="00D255DB" w:rsidRPr="0081448E">
              <w:rPr>
                <w:b/>
                <w:sz w:val="20"/>
                <w:szCs w:val="20"/>
                <w:lang w:val="en-US"/>
              </w:rPr>
              <w:t>vt</w:t>
            </w:r>
            <w:r w:rsidR="000F3881" w:rsidRPr="0081448E">
              <w:rPr>
                <w:b/>
                <w:sz w:val="20"/>
                <w:szCs w:val="20"/>
                <w:lang w:val="en-US"/>
              </w:rPr>
              <w:t>)</w:t>
            </w:r>
          </w:p>
          <w:p w:rsidR="000F3881" w:rsidRPr="0081448E" w:rsidRDefault="000F3881" w:rsidP="000F3881">
            <w:pPr>
              <w:tabs>
                <w:tab w:val="left" w:pos="-1440"/>
                <w:tab w:val="left" w:pos="-720"/>
              </w:tabs>
              <w:rPr>
                <w:sz w:val="20"/>
                <w:szCs w:val="20"/>
                <w:lang w:val="en-US"/>
              </w:rPr>
            </w:pPr>
            <w:r w:rsidRPr="0081448E">
              <w:rPr>
                <w:sz w:val="20"/>
                <w:szCs w:val="20"/>
                <w:lang w:val="en-US"/>
              </w:rPr>
              <w:tab/>
            </w:r>
            <w:r w:rsidR="007F2B86" w:rsidRPr="0081448E">
              <w:rPr>
                <w:sz w:val="20"/>
                <w:szCs w:val="20"/>
                <w:lang w:val="en-US"/>
              </w:rPr>
              <w:t>Hyman, Janna A.</w:t>
            </w:r>
          </w:p>
          <w:p w:rsidR="000F3881" w:rsidRPr="0081448E" w:rsidRDefault="000F3881" w:rsidP="000F3881">
            <w:pPr>
              <w:tabs>
                <w:tab w:val="left" w:pos="-1440"/>
                <w:tab w:val="left" w:pos="-720"/>
              </w:tabs>
              <w:rPr>
                <w:sz w:val="20"/>
                <w:szCs w:val="20"/>
              </w:rPr>
            </w:pPr>
            <w:r w:rsidRPr="0081448E">
              <w:rPr>
                <w:sz w:val="20"/>
                <w:szCs w:val="20"/>
                <w:lang w:val="en-US"/>
              </w:rPr>
              <w:tab/>
            </w:r>
            <w:r w:rsidR="007F2B86" w:rsidRPr="0081448E">
              <w:rPr>
                <w:sz w:val="20"/>
                <w:szCs w:val="20"/>
              </w:rPr>
              <w:t>Public Prosecution Service of Canada</w:t>
            </w:r>
          </w:p>
          <w:p w:rsidR="000F3881" w:rsidRPr="0081448E" w:rsidRDefault="000F3881" w:rsidP="000F3881">
            <w:pPr>
              <w:tabs>
                <w:tab w:val="left" w:pos="-1440"/>
                <w:tab w:val="left" w:pos="-720"/>
              </w:tabs>
              <w:rPr>
                <w:sz w:val="20"/>
                <w:szCs w:val="20"/>
              </w:rPr>
            </w:pPr>
          </w:p>
          <w:p w:rsidR="00343F65" w:rsidRPr="0081448E" w:rsidRDefault="00343F65" w:rsidP="000F3881">
            <w:pPr>
              <w:rPr>
                <w:sz w:val="20"/>
                <w:szCs w:val="20"/>
              </w:rPr>
            </w:pPr>
            <w:r w:rsidRPr="0081448E">
              <w:rPr>
                <w:sz w:val="20"/>
                <w:szCs w:val="20"/>
              </w:rPr>
              <w:t>-and between-</w:t>
            </w:r>
          </w:p>
          <w:p w:rsidR="00343F65" w:rsidRPr="0081448E" w:rsidRDefault="00343F65" w:rsidP="000F3881">
            <w:pPr>
              <w:rPr>
                <w:sz w:val="20"/>
                <w:szCs w:val="20"/>
              </w:rPr>
            </w:pPr>
          </w:p>
          <w:p w:rsidR="00343F65" w:rsidRPr="0081448E" w:rsidRDefault="00343F65" w:rsidP="00343F65">
            <w:pPr>
              <w:rPr>
                <w:sz w:val="20"/>
                <w:szCs w:val="20"/>
                <w:lang w:val="en-US"/>
              </w:rPr>
            </w:pPr>
            <w:r w:rsidRPr="0081448E">
              <w:rPr>
                <w:b/>
                <w:sz w:val="20"/>
                <w:szCs w:val="20"/>
                <w:lang w:val="en-US"/>
              </w:rPr>
              <w:t>Simeonie Itturiligaq</w:t>
            </w:r>
          </w:p>
          <w:p w:rsidR="00343F65" w:rsidRPr="0081448E" w:rsidRDefault="00343F65" w:rsidP="00343F65">
            <w:pPr>
              <w:tabs>
                <w:tab w:val="left" w:pos="-1440"/>
                <w:tab w:val="left" w:pos="-720"/>
              </w:tabs>
              <w:rPr>
                <w:sz w:val="20"/>
                <w:szCs w:val="20"/>
                <w:lang w:val="en-US"/>
              </w:rPr>
            </w:pPr>
            <w:r w:rsidRPr="0081448E">
              <w:rPr>
                <w:sz w:val="20"/>
                <w:szCs w:val="20"/>
                <w:lang w:val="en-US"/>
              </w:rPr>
              <w:tab/>
            </w:r>
            <w:r w:rsidR="007F2B86" w:rsidRPr="0081448E">
              <w:rPr>
                <w:sz w:val="20"/>
                <w:szCs w:val="20"/>
                <w:lang w:val="en-US"/>
              </w:rPr>
              <w:t>Martin, Maija</w:t>
            </w:r>
          </w:p>
          <w:p w:rsidR="00343F65" w:rsidRPr="0081448E" w:rsidRDefault="00343F65" w:rsidP="00343F65">
            <w:pPr>
              <w:tabs>
                <w:tab w:val="left" w:pos="-1440"/>
                <w:tab w:val="left" w:pos="-720"/>
              </w:tabs>
              <w:rPr>
                <w:sz w:val="20"/>
                <w:szCs w:val="20"/>
                <w:lang w:val="en-US"/>
              </w:rPr>
            </w:pPr>
          </w:p>
          <w:p w:rsidR="00343F65" w:rsidRPr="0081448E" w:rsidRDefault="00343F65" w:rsidP="00343F65">
            <w:pPr>
              <w:tabs>
                <w:tab w:val="left" w:pos="-1440"/>
                <w:tab w:val="left" w:pos="-720"/>
              </w:tabs>
              <w:rPr>
                <w:sz w:val="20"/>
                <w:szCs w:val="20"/>
                <w:lang w:val="en-US"/>
              </w:rPr>
            </w:pPr>
            <w:r w:rsidRPr="0081448E">
              <w:rPr>
                <w:sz w:val="20"/>
                <w:szCs w:val="20"/>
                <w:lang w:val="en-US"/>
              </w:rPr>
              <w:tab/>
              <w:t>v. (39349)</w:t>
            </w:r>
          </w:p>
          <w:p w:rsidR="00343F65" w:rsidRPr="0081448E" w:rsidRDefault="00343F65" w:rsidP="00343F65">
            <w:pPr>
              <w:tabs>
                <w:tab w:val="left" w:pos="-1440"/>
                <w:tab w:val="left" w:pos="-720"/>
              </w:tabs>
              <w:rPr>
                <w:sz w:val="20"/>
                <w:szCs w:val="20"/>
                <w:lang w:val="en-US"/>
              </w:rPr>
            </w:pPr>
          </w:p>
          <w:p w:rsidR="00343F65" w:rsidRPr="0081448E" w:rsidRDefault="00343F65" w:rsidP="00343F65">
            <w:pPr>
              <w:tabs>
                <w:tab w:val="left" w:pos="-1440"/>
                <w:tab w:val="left" w:pos="-720"/>
              </w:tabs>
              <w:rPr>
                <w:b/>
                <w:sz w:val="20"/>
                <w:szCs w:val="20"/>
                <w:lang w:val="en-US"/>
              </w:rPr>
            </w:pPr>
            <w:r w:rsidRPr="0081448E">
              <w:rPr>
                <w:b/>
                <w:sz w:val="20"/>
                <w:szCs w:val="20"/>
                <w:lang w:val="en-US"/>
              </w:rPr>
              <w:t>Her Majesty the Queen (N</w:t>
            </w:r>
            <w:r w:rsidR="00D255DB" w:rsidRPr="0081448E">
              <w:rPr>
                <w:b/>
                <w:sz w:val="20"/>
                <w:szCs w:val="20"/>
                <w:lang w:val="en-US"/>
              </w:rPr>
              <w:t>vt</w:t>
            </w:r>
            <w:r w:rsidRPr="0081448E">
              <w:rPr>
                <w:b/>
                <w:sz w:val="20"/>
                <w:szCs w:val="20"/>
                <w:lang w:val="en-US"/>
              </w:rPr>
              <w:t>)</w:t>
            </w:r>
          </w:p>
          <w:p w:rsidR="00343F65" w:rsidRPr="0081448E" w:rsidRDefault="00343F65" w:rsidP="00343F65">
            <w:pPr>
              <w:tabs>
                <w:tab w:val="left" w:pos="-1440"/>
                <w:tab w:val="left" w:pos="-720"/>
              </w:tabs>
              <w:rPr>
                <w:sz w:val="20"/>
                <w:szCs w:val="20"/>
                <w:lang w:val="en-US"/>
              </w:rPr>
            </w:pPr>
            <w:r w:rsidRPr="0081448E">
              <w:rPr>
                <w:sz w:val="20"/>
                <w:szCs w:val="20"/>
                <w:lang w:val="en-US"/>
              </w:rPr>
              <w:tab/>
            </w:r>
            <w:r w:rsidR="007F2B86" w:rsidRPr="0081448E">
              <w:rPr>
                <w:sz w:val="20"/>
                <w:szCs w:val="20"/>
                <w:lang w:val="en-US"/>
              </w:rPr>
              <w:t>Hyman, Janna A.</w:t>
            </w:r>
          </w:p>
          <w:p w:rsidR="00343F65" w:rsidRPr="0081448E" w:rsidRDefault="00343F65" w:rsidP="00343F65">
            <w:pPr>
              <w:tabs>
                <w:tab w:val="left" w:pos="-1440"/>
                <w:tab w:val="left" w:pos="-720"/>
              </w:tabs>
              <w:rPr>
                <w:sz w:val="20"/>
                <w:szCs w:val="20"/>
              </w:rPr>
            </w:pPr>
            <w:r w:rsidRPr="0081448E">
              <w:rPr>
                <w:sz w:val="20"/>
                <w:szCs w:val="20"/>
                <w:lang w:val="en-US"/>
              </w:rPr>
              <w:tab/>
            </w:r>
            <w:r w:rsidR="007F2B86" w:rsidRPr="0081448E">
              <w:rPr>
                <w:sz w:val="20"/>
                <w:szCs w:val="20"/>
              </w:rPr>
              <w:t>Public Prosecution Service of Canada</w:t>
            </w:r>
          </w:p>
          <w:p w:rsidR="00343F65" w:rsidRPr="0081448E" w:rsidRDefault="00343F65" w:rsidP="00343F65">
            <w:pPr>
              <w:tabs>
                <w:tab w:val="left" w:pos="-1440"/>
                <w:tab w:val="left" w:pos="-720"/>
              </w:tabs>
              <w:rPr>
                <w:sz w:val="20"/>
                <w:szCs w:val="20"/>
              </w:rPr>
            </w:pPr>
          </w:p>
          <w:p w:rsidR="00343F65" w:rsidRPr="0081448E" w:rsidRDefault="00343F65" w:rsidP="00343F65">
            <w:pPr>
              <w:rPr>
                <w:sz w:val="20"/>
                <w:szCs w:val="20"/>
              </w:rPr>
            </w:pPr>
            <w:r w:rsidRPr="0081448E">
              <w:rPr>
                <w:sz w:val="20"/>
                <w:szCs w:val="20"/>
              </w:rPr>
              <w:t>FILING DATE: October 15, 2020</w:t>
            </w:r>
          </w:p>
          <w:p w:rsidR="00343F65" w:rsidRPr="0081448E" w:rsidRDefault="00343F65" w:rsidP="000F3881">
            <w:pPr>
              <w:rPr>
                <w:sz w:val="20"/>
                <w:szCs w:val="20"/>
              </w:rPr>
            </w:pPr>
          </w:p>
          <w:p w:rsidR="000F3881" w:rsidRPr="0081448E" w:rsidRDefault="00DC444A" w:rsidP="000F3881">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0F3881" w:rsidRPr="0081448E" w:rsidRDefault="000F3881" w:rsidP="00F138C1">
            <w:pPr>
              <w:jc w:val="center"/>
              <w:rPr>
                <w:sz w:val="20"/>
                <w:szCs w:val="20"/>
                <w:lang w:val="en-US"/>
              </w:rPr>
            </w:pPr>
          </w:p>
          <w:p w:rsidR="00343F65" w:rsidRPr="0081448E" w:rsidRDefault="00343F65" w:rsidP="00F138C1">
            <w:pPr>
              <w:jc w:val="center"/>
              <w:rPr>
                <w:sz w:val="20"/>
                <w:szCs w:val="20"/>
                <w:lang w:val="en-US"/>
              </w:rPr>
            </w:pPr>
          </w:p>
          <w:p w:rsidR="00343F65" w:rsidRPr="0081448E" w:rsidRDefault="00343F65" w:rsidP="00F138C1">
            <w:pPr>
              <w:jc w:val="center"/>
              <w:rPr>
                <w:sz w:val="20"/>
                <w:szCs w:val="20"/>
                <w:lang w:val="en-US"/>
              </w:rPr>
            </w:pPr>
          </w:p>
          <w:p w:rsidR="00343F65" w:rsidRPr="0081448E" w:rsidRDefault="00343F65" w:rsidP="00F138C1">
            <w:pPr>
              <w:jc w:val="center"/>
              <w:rPr>
                <w:sz w:val="20"/>
                <w:szCs w:val="20"/>
                <w:lang w:val="en-US"/>
              </w:rPr>
            </w:pPr>
          </w:p>
          <w:p w:rsidR="00343F65" w:rsidRPr="0081448E" w:rsidRDefault="00343F65" w:rsidP="00F138C1">
            <w:pPr>
              <w:jc w:val="center"/>
              <w:rPr>
                <w:sz w:val="20"/>
                <w:szCs w:val="20"/>
                <w:lang w:val="en-US"/>
              </w:rPr>
            </w:pPr>
          </w:p>
          <w:p w:rsidR="00343F65" w:rsidRPr="0081448E" w:rsidRDefault="00343F65" w:rsidP="00F138C1">
            <w:pPr>
              <w:jc w:val="center"/>
              <w:rPr>
                <w:sz w:val="20"/>
                <w:szCs w:val="20"/>
                <w:lang w:val="en-US"/>
              </w:rPr>
            </w:pPr>
          </w:p>
          <w:p w:rsidR="00343F65" w:rsidRPr="0081448E" w:rsidRDefault="00343F65" w:rsidP="00F138C1">
            <w:pPr>
              <w:jc w:val="center"/>
              <w:rPr>
                <w:sz w:val="20"/>
                <w:szCs w:val="20"/>
                <w:lang w:val="en-US"/>
              </w:rPr>
            </w:pPr>
          </w:p>
          <w:p w:rsidR="00343F65" w:rsidRPr="0081448E" w:rsidRDefault="00343F65" w:rsidP="00F138C1">
            <w:pPr>
              <w:jc w:val="center"/>
              <w:rPr>
                <w:sz w:val="20"/>
                <w:szCs w:val="20"/>
                <w:lang w:val="en-US"/>
              </w:rPr>
            </w:pPr>
          </w:p>
          <w:p w:rsidR="00343F65" w:rsidRPr="0081448E" w:rsidRDefault="00343F65" w:rsidP="00F138C1">
            <w:pPr>
              <w:jc w:val="center"/>
              <w:rPr>
                <w:sz w:val="20"/>
                <w:szCs w:val="20"/>
                <w:lang w:val="en-US"/>
              </w:rPr>
            </w:pPr>
          </w:p>
          <w:p w:rsidR="00343F65" w:rsidRPr="0081448E" w:rsidRDefault="00343F65" w:rsidP="00F138C1">
            <w:pPr>
              <w:jc w:val="center"/>
              <w:rPr>
                <w:sz w:val="20"/>
                <w:szCs w:val="20"/>
                <w:lang w:val="en-US"/>
              </w:rPr>
            </w:pPr>
          </w:p>
          <w:p w:rsidR="00343F65" w:rsidRPr="0081448E" w:rsidRDefault="00343F65" w:rsidP="00F138C1">
            <w:pPr>
              <w:jc w:val="center"/>
              <w:rPr>
                <w:sz w:val="20"/>
                <w:szCs w:val="20"/>
                <w:lang w:val="en-US"/>
              </w:rPr>
            </w:pPr>
          </w:p>
          <w:p w:rsidR="00343F65" w:rsidRPr="0081448E" w:rsidRDefault="00343F65" w:rsidP="00F138C1">
            <w:pPr>
              <w:jc w:val="center"/>
              <w:rPr>
                <w:sz w:val="20"/>
                <w:szCs w:val="20"/>
                <w:lang w:val="en-US"/>
              </w:rPr>
            </w:pPr>
          </w:p>
          <w:p w:rsidR="000F3881" w:rsidRPr="0081448E" w:rsidRDefault="000F3881" w:rsidP="00F138C1">
            <w:pPr>
              <w:jc w:val="center"/>
              <w:rPr>
                <w:sz w:val="20"/>
                <w:szCs w:val="20"/>
                <w:lang w:val="en-US"/>
              </w:rPr>
            </w:pPr>
          </w:p>
        </w:tc>
        <w:tc>
          <w:tcPr>
            <w:tcW w:w="4239" w:type="dxa"/>
            <w:shd w:val="clear" w:color="auto" w:fill="auto"/>
          </w:tcPr>
          <w:p w:rsidR="000F3881" w:rsidRPr="0081448E" w:rsidRDefault="006C5092" w:rsidP="000F3881">
            <w:pPr>
              <w:rPr>
                <w:sz w:val="20"/>
                <w:szCs w:val="20"/>
                <w:lang w:val="en-US"/>
              </w:rPr>
            </w:pPr>
            <w:r w:rsidRPr="0081448E">
              <w:rPr>
                <w:b/>
                <w:sz w:val="20"/>
                <w:szCs w:val="20"/>
                <w:lang w:val="en-US"/>
              </w:rPr>
              <w:t>Her Majesty the Queen</w:t>
            </w:r>
          </w:p>
          <w:p w:rsidR="000F3881" w:rsidRPr="0081448E" w:rsidRDefault="000F3881" w:rsidP="000F3881">
            <w:pPr>
              <w:tabs>
                <w:tab w:val="left" w:pos="-1440"/>
                <w:tab w:val="left" w:pos="-720"/>
              </w:tabs>
              <w:rPr>
                <w:sz w:val="20"/>
                <w:szCs w:val="20"/>
                <w:lang w:val="en-US"/>
              </w:rPr>
            </w:pPr>
            <w:r w:rsidRPr="0081448E">
              <w:rPr>
                <w:sz w:val="20"/>
                <w:szCs w:val="20"/>
                <w:lang w:val="en-US"/>
              </w:rPr>
              <w:tab/>
            </w:r>
            <w:r w:rsidR="006C5092" w:rsidRPr="0081448E">
              <w:rPr>
                <w:sz w:val="20"/>
                <w:szCs w:val="20"/>
                <w:lang w:val="en-US"/>
              </w:rPr>
              <w:t>Griener, Matthew W.</w:t>
            </w:r>
          </w:p>
          <w:p w:rsidR="000F3881" w:rsidRPr="0081448E" w:rsidRDefault="006C5092" w:rsidP="000F3881">
            <w:pPr>
              <w:tabs>
                <w:tab w:val="left" w:pos="-1440"/>
                <w:tab w:val="left" w:pos="-720"/>
              </w:tabs>
              <w:rPr>
                <w:sz w:val="20"/>
                <w:szCs w:val="20"/>
                <w:lang w:val="en-US"/>
              </w:rPr>
            </w:pPr>
            <w:r w:rsidRPr="0081448E">
              <w:rPr>
                <w:sz w:val="20"/>
                <w:szCs w:val="20"/>
                <w:lang w:val="en-US"/>
              </w:rPr>
              <w:tab/>
              <w:t>Attorney General of Alberta</w:t>
            </w:r>
          </w:p>
          <w:p w:rsidR="006C5092" w:rsidRPr="0081448E" w:rsidRDefault="006C5092" w:rsidP="000F3881">
            <w:pPr>
              <w:tabs>
                <w:tab w:val="left" w:pos="-1440"/>
                <w:tab w:val="left" w:pos="-720"/>
              </w:tabs>
              <w:rPr>
                <w:sz w:val="20"/>
                <w:szCs w:val="20"/>
                <w:lang w:val="en-US"/>
              </w:rPr>
            </w:pPr>
          </w:p>
          <w:p w:rsidR="000F3881" w:rsidRPr="0081448E" w:rsidRDefault="000F3881" w:rsidP="000F3881">
            <w:pPr>
              <w:tabs>
                <w:tab w:val="left" w:pos="-1440"/>
                <w:tab w:val="left" w:pos="-720"/>
              </w:tabs>
              <w:rPr>
                <w:sz w:val="20"/>
                <w:szCs w:val="20"/>
                <w:lang w:val="en-US"/>
              </w:rPr>
            </w:pPr>
            <w:r w:rsidRPr="0081448E">
              <w:rPr>
                <w:sz w:val="20"/>
                <w:szCs w:val="20"/>
                <w:lang w:val="en-US"/>
              </w:rPr>
              <w:tab/>
              <w:t>v. (39</w:t>
            </w:r>
            <w:r w:rsidR="006C5092" w:rsidRPr="0081448E">
              <w:rPr>
                <w:sz w:val="20"/>
                <w:szCs w:val="20"/>
                <w:lang w:val="en-US"/>
              </w:rPr>
              <w:t>350</w:t>
            </w:r>
            <w:r w:rsidRPr="0081448E">
              <w:rPr>
                <w:sz w:val="20"/>
                <w:szCs w:val="20"/>
                <w:lang w:val="en-US"/>
              </w:rPr>
              <w:t>)</w:t>
            </w:r>
          </w:p>
          <w:p w:rsidR="000F3881" w:rsidRPr="0081448E" w:rsidRDefault="000F3881" w:rsidP="000F3881">
            <w:pPr>
              <w:tabs>
                <w:tab w:val="left" w:pos="-1440"/>
                <w:tab w:val="left" w:pos="-720"/>
              </w:tabs>
              <w:rPr>
                <w:sz w:val="20"/>
                <w:szCs w:val="20"/>
                <w:lang w:val="en-US"/>
              </w:rPr>
            </w:pPr>
          </w:p>
          <w:p w:rsidR="000F3881" w:rsidRPr="0081448E" w:rsidRDefault="006C5092" w:rsidP="000F3881">
            <w:pPr>
              <w:tabs>
                <w:tab w:val="left" w:pos="-1440"/>
                <w:tab w:val="left" w:pos="-720"/>
              </w:tabs>
              <w:rPr>
                <w:b/>
                <w:sz w:val="20"/>
                <w:szCs w:val="20"/>
                <w:lang w:val="en-US"/>
              </w:rPr>
            </w:pPr>
            <w:r w:rsidRPr="0081448E">
              <w:rPr>
                <w:b/>
                <w:sz w:val="20"/>
                <w:szCs w:val="20"/>
                <w:lang w:val="en-US"/>
              </w:rPr>
              <w:t xml:space="preserve">Russell Steven Tessier </w:t>
            </w:r>
            <w:r w:rsidR="000F3881" w:rsidRPr="0081448E">
              <w:rPr>
                <w:b/>
                <w:sz w:val="20"/>
                <w:szCs w:val="20"/>
                <w:lang w:val="en-US"/>
              </w:rPr>
              <w:t>(</w:t>
            </w:r>
            <w:r w:rsidRPr="0081448E">
              <w:rPr>
                <w:b/>
                <w:sz w:val="20"/>
                <w:szCs w:val="20"/>
                <w:lang w:val="en-US"/>
              </w:rPr>
              <w:t>Alta</w:t>
            </w:r>
            <w:r w:rsidR="000F3881" w:rsidRPr="0081448E">
              <w:rPr>
                <w:b/>
                <w:sz w:val="20"/>
                <w:szCs w:val="20"/>
                <w:lang w:val="en-US"/>
              </w:rPr>
              <w:t>.)</w:t>
            </w:r>
          </w:p>
          <w:p w:rsidR="000F3881" w:rsidRPr="0081448E" w:rsidRDefault="000F3881" w:rsidP="000F3881">
            <w:pPr>
              <w:tabs>
                <w:tab w:val="left" w:pos="-1440"/>
                <w:tab w:val="left" w:pos="-720"/>
              </w:tabs>
              <w:rPr>
                <w:sz w:val="20"/>
                <w:szCs w:val="20"/>
                <w:lang w:val="en-US"/>
              </w:rPr>
            </w:pPr>
            <w:r w:rsidRPr="0081448E">
              <w:rPr>
                <w:sz w:val="20"/>
                <w:szCs w:val="20"/>
                <w:lang w:val="en-US"/>
              </w:rPr>
              <w:tab/>
            </w:r>
            <w:r w:rsidR="006C5092" w:rsidRPr="0081448E">
              <w:rPr>
                <w:sz w:val="20"/>
                <w:szCs w:val="20"/>
                <w:lang w:val="en-US"/>
              </w:rPr>
              <w:t>Milczarek, Pawel J.</w:t>
            </w:r>
          </w:p>
          <w:p w:rsidR="000F3881" w:rsidRPr="0081448E" w:rsidRDefault="000F3881" w:rsidP="000F3881">
            <w:pPr>
              <w:tabs>
                <w:tab w:val="left" w:pos="-1440"/>
                <w:tab w:val="left" w:pos="-720"/>
              </w:tabs>
              <w:rPr>
                <w:sz w:val="20"/>
                <w:szCs w:val="20"/>
              </w:rPr>
            </w:pPr>
            <w:r w:rsidRPr="0081448E">
              <w:rPr>
                <w:sz w:val="20"/>
                <w:szCs w:val="20"/>
                <w:lang w:val="en-US"/>
              </w:rPr>
              <w:tab/>
            </w:r>
            <w:r w:rsidR="006C5092" w:rsidRPr="0081448E">
              <w:rPr>
                <w:sz w:val="20"/>
                <w:szCs w:val="20"/>
              </w:rPr>
              <w:t>Sitar &amp; Milczarek</w:t>
            </w:r>
          </w:p>
          <w:p w:rsidR="000F3881" w:rsidRPr="0081448E" w:rsidRDefault="000F3881" w:rsidP="000F3881">
            <w:pPr>
              <w:tabs>
                <w:tab w:val="left" w:pos="-1440"/>
                <w:tab w:val="left" w:pos="-720"/>
              </w:tabs>
              <w:rPr>
                <w:sz w:val="20"/>
                <w:szCs w:val="20"/>
              </w:rPr>
            </w:pPr>
          </w:p>
          <w:p w:rsidR="000F3881" w:rsidRPr="0081448E" w:rsidRDefault="006C5092" w:rsidP="000F3881">
            <w:pPr>
              <w:rPr>
                <w:sz w:val="20"/>
                <w:szCs w:val="20"/>
              </w:rPr>
            </w:pPr>
            <w:r w:rsidRPr="0081448E">
              <w:rPr>
                <w:sz w:val="20"/>
                <w:szCs w:val="20"/>
              </w:rPr>
              <w:t>FILING DATE: October</w:t>
            </w:r>
            <w:r w:rsidR="000F3881" w:rsidRPr="0081448E">
              <w:rPr>
                <w:sz w:val="20"/>
                <w:szCs w:val="20"/>
              </w:rPr>
              <w:t xml:space="preserve"> </w:t>
            </w:r>
            <w:r w:rsidRPr="0081448E">
              <w:rPr>
                <w:sz w:val="20"/>
                <w:szCs w:val="20"/>
              </w:rPr>
              <w:t>15</w:t>
            </w:r>
            <w:r w:rsidR="000F3881" w:rsidRPr="0081448E">
              <w:rPr>
                <w:sz w:val="20"/>
                <w:szCs w:val="20"/>
              </w:rPr>
              <w:t>, 2020</w:t>
            </w:r>
          </w:p>
          <w:p w:rsidR="000F3881" w:rsidRPr="0081448E" w:rsidRDefault="000F3881" w:rsidP="000F3881">
            <w:pPr>
              <w:rPr>
                <w:sz w:val="20"/>
                <w:szCs w:val="20"/>
              </w:rPr>
            </w:pPr>
          </w:p>
          <w:p w:rsidR="000F3881" w:rsidRPr="0081448E" w:rsidRDefault="00DC444A" w:rsidP="000F3881">
            <w:pPr>
              <w:rPr>
                <w:b/>
                <w:sz w:val="20"/>
                <w:szCs w:val="20"/>
                <w:lang w:val="fr-CA"/>
              </w:rPr>
            </w:pPr>
            <w:r>
              <w:rPr>
                <w:sz w:val="20"/>
                <w:szCs w:val="20"/>
                <w:lang w:val="fr-CA"/>
              </w:rPr>
              <w:pict>
                <v:rect id="_x0000_i1032" style="width:108pt;height:1pt" o:hrpct="0" o:hrstd="t" o:hrnoshade="t" o:hr="t" fillcolor="black [3213]" stroked="f"/>
              </w:pict>
            </w:r>
          </w:p>
        </w:tc>
      </w:tr>
    </w:tbl>
    <w:p w:rsidR="00F138C1" w:rsidRPr="0081448E" w:rsidRDefault="00F138C1" w:rsidP="00F138C1">
      <w:pPr>
        <w:tabs>
          <w:tab w:val="right" w:pos="9360"/>
        </w:tabs>
        <w:rPr>
          <w:sz w:val="20"/>
          <w:szCs w:val="20"/>
          <w:lang w:val="fr-CA"/>
        </w:rPr>
      </w:pPr>
    </w:p>
    <w:p w:rsidR="00F138C1" w:rsidRPr="0081448E" w:rsidRDefault="00F138C1" w:rsidP="00F138C1">
      <w:pPr>
        <w:tabs>
          <w:tab w:val="right" w:pos="9360"/>
        </w:tabs>
        <w:rPr>
          <w:sz w:val="20"/>
          <w:szCs w:val="20"/>
          <w:lang w:val="fr-CA"/>
        </w:rPr>
      </w:pPr>
    </w:p>
    <w:p w:rsidR="00C01FCB" w:rsidRPr="0081448E" w:rsidRDefault="00C01FCB" w:rsidP="0095096B">
      <w:pPr>
        <w:tabs>
          <w:tab w:val="right" w:pos="9360"/>
        </w:tabs>
        <w:rPr>
          <w:sz w:val="20"/>
          <w:szCs w:val="20"/>
          <w:lang w:val="fr-CA"/>
        </w:rPr>
      </w:pPr>
    </w:p>
    <w:p w:rsidR="00242AEE" w:rsidRPr="0081448E" w:rsidRDefault="00242AEE" w:rsidP="0095096B">
      <w:pPr>
        <w:tabs>
          <w:tab w:val="right" w:pos="9360"/>
        </w:tabs>
        <w:rPr>
          <w:sz w:val="20"/>
          <w:szCs w:val="20"/>
          <w:lang w:val="fr-CA"/>
        </w:rPr>
        <w:sectPr w:rsidR="00242AEE" w:rsidRPr="0081448E"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1448E" w:rsidRDefault="00DD0BDC" w:rsidP="00567602">
      <w:pPr>
        <w:pStyle w:val="Header1StyleE"/>
        <w:pBdr>
          <w:bottom w:val="single" w:sz="12" w:space="1" w:color="auto"/>
        </w:pBdr>
        <w:rPr>
          <w:lang w:val="fr-CA"/>
        </w:rPr>
      </w:pPr>
      <w:bookmarkStart w:id="1" w:name="QuickMark_1"/>
      <w:bookmarkStart w:id="2" w:name="_Toc54283826"/>
      <w:bookmarkEnd w:id="1"/>
      <w:r w:rsidRPr="0081448E">
        <w:rPr>
          <w:lang w:val="fr-CA"/>
        </w:rPr>
        <w:lastRenderedPageBreak/>
        <w:t>Judgments on applications</w:t>
      </w:r>
      <w:r w:rsidR="000C1D9D" w:rsidRPr="0081448E">
        <w:rPr>
          <w:lang w:val="fr-CA"/>
        </w:rPr>
        <w:t xml:space="preserve"> </w:t>
      </w:r>
      <w:r w:rsidRPr="0081448E">
        <w:rPr>
          <w:lang w:val="fr-CA"/>
        </w:rPr>
        <w:t>for leave</w:t>
      </w:r>
      <w:r w:rsidR="00693C38" w:rsidRPr="0081448E">
        <w:rPr>
          <w:noProof/>
          <w:sz w:val="20"/>
          <w:lang w:val="fr-CA"/>
        </w:rPr>
        <w:t xml:space="preserve"> </w:t>
      </w:r>
      <w:r w:rsidR="00271E1E" w:rsidRPr="0081448E">
        <w:rPr>
          <w:noProof/>
          <w:sz w:val="20"/>
          <w:lang w:val="fr-CA"/>
        </w:rPr>
        <w:t xml:space="preserve">/ </w:t>
      </w:r>
      <w:r w:rsidR="00693C38" w:rsidRPr="0081448E">
        <w:rPr>
          <w:noProof/>
          <w:sz w:val="20"/>
          <w:lang w:val="fr-CA"/>
        </w:rPr>
        <w:br/>
      </w:r>
      <w:r w:rsidRPr="0081448E">
        <w:rPr>
          <w:lang w:val="fr-CA"/>
        </w:rPr>
        <w:t>Jugements rendus sur les demandes d’autorisation</w:t>
      </w:r>
      <w:bookmarkEnd w:id="2"/>
    </w:p>
    <w:p w:rsidR="00FB1DB6" w:rsidRPr="0081448E" w:rsidRDefault="00FB1DB6" w:rsidP="00693C38">
      <w:pPr>
        <w:rPr>
          <w:sz w:val="20"/>
          <w:szCs w:val="20"/>
          <w:lang w:val="fr-CA"/>
        </w:rPr>
      </w:pPr>
    </w:p>
    <w:p w:rsidR="00F16063" w:rsidRPr="0081448E" w:rsidRDefault="002D2C17" w:rsidP="00F16063">
      <w:pPr>
        <w:rPr>
          <w:b/>
          <w:sz w:val="20"/>
          <w:szCs w:val="20"/>
        </w:rPr>
      </w:pPr>
      <w:r w:rsidRPr="0081448E">
        <w:rPr>
          <w:b/>
          <w:sz w:val="20"/>
          <w:szCs w:val="20"/>
          <w:lang w:val="fr-CA"/>
        </w:rPr>
        <w:t>OCTOBER</w:t>
      </w:r>
      <w:r w:rsidR="00F16063" w:rsidRPr="0081448E">
        <w:rPr>
          <w:b/>
          <w:sz w:val="20"/>
          <w:szCs w:val="20"/>
        </w:rPr>
        <w:t xml:space="preserve"> </w:t>
      </w:r>
      <w:r w:rsidRPr="0081448E">
        <w:rPr>
          <w:b/>
          <w:sz w:val="20"/>
          <w:szCs w:val="20"/>
        </w:rPr>
        <w:t>22</w:t>
      </w:r>
      <w:r w:rsidR="00F16063" w:rsidRPr="0081448E">
        <w:rPr>
          <w:b/>
          <w:sz w:val="20"/>
          <w:szCs w:val="20"/>
        </w:rPr>
        <w:t xml:space="preserve">, </w:t>
      </w:r>
      <w:r w:rsidR="0034657E" w:rsidRPr="0081448E">
        <w:rPr>
          <w:b/>
          <w:sz w:val="20"/>
          <w:szCs w:val="20"/>
        </w:rPr>
        <w:t>20</w:t>
      </w:r>
      <w:r w:rsidR="005967EF" w:rsidRPr="0081448E">
        <w:rPr>
          <w:b/>
          <w:sz w:val="20"/>
          <w:szCs w:val="20"/>
        </w:rPr>
        <w:t>20</w:t>
      </w:r>
      <w:r w:rsidR="00F16063" w:rsidRPr="0081448E">
        <w:rPr>
          <w:b/>
          <w:sz w:val="20"/>
          <w:szCs w:val="20"/>
        </w:rPr>
        <w:t xml:space="preserve"> / LE </w:t>
      </w:r>
      <w:r w:rsidRPr="0081448E">
        <w:rPr>
          <w:b/>
          <w:sz w:val="20"/>
          <w:szCs w:val="20"/>
        </w:rPr>
        <w:t>22</w:t>
      </w:r>
      <w:r w:rsidR="00F16063" w:rsidRPr="0081448E">
        <w:rPr>
          <w:b/>
          <w:sz w:val="20"/>
          <w:szCs w:val="20"/>
        </w:rPr>
        <w:t xml:space="preserve"> </w:t>
      </w:r>
      <w:r w:rsidRPr="0081448E">
        <w:rPr>
          <w:b/>
          <w:sz w:val="20"/>
          <w:szCs w:val="20"/>
        </w:rPr>
        <w:t>OCTOBRE</w:t>
      </w:r>
      <w:r w:rsidR="00F16063" w:rsidRPr="0081448E">
        <w:rPr>
          <w:b/>
          <w:sz w:val="20"/>
          <w:szCs w:val="20"/>
        </w:rPr>
        <w:t xml:space="preserve"> </w:t>
      </w:r>
      <w:r w:rsidR="0034657E" w:rsidRPr="0081448E">
        <w:rPr>
          <w:b/>
          <w:sz w:val="20"/>
          <w:szCs w:val="20"/>
        </w:rPr>
        <w:t>20</w:t>
      </w:r>
      <w:r w:rsidR="005967EF" w:rsidRPr="0081448E">
        <w:rPr>
          <w:b/>
          <w:sz w:val="20"/>
          <w:szCs w:val="20"/>
        </w:rPr>
        <w:t>20</w:t>
      </w:r>
    </w:p>
    <w:p w:rsidR="00681E2A" w:rsidRPr="0081448E" w:rsidRDefault="00681E2A" w:rsidP="00681E2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1E2A" w:rsidRPr="0081448E" w:rsidTr="00681E2A">
        <w:tc>
          <w:tcPr>
            <w:tcW w:w="543" w:type="pct"/>
          </w:tcPr>
          <w:p w:rsidR="00681E2A" w:rsidRPr="0081448E" w:rsidRDefault="00681E2A" w:rsidP="00681E2A">
            <w:pPr>
              <w:jc w:val="both"/>
              <w:rPr>
                <w:sz w:val="20"/>
                <w:szCs w:val="20"/>
              </w:rPr>
            </w:pPr>
            <w:r w:rsidRPr="0081448E">
              <w:rPr>
                <w:rStyle w:val="SCCFileNumberChar"/>
                <w:sz w:val="20"/>
                <w:szCs w:val="20"/>
              </w:rPr>
              <w:t>39219</w:t>
            </w:r>
          </w:p>
        </w:tc>
        <w:tc>
          <w:tcPr>
            <w:tcW w:w="4457" w:type="pct"/>
            <w:gridSpan w:val="3"/>
          </w:tcPr>
          <w:p w:rsidR="00681E2A" w:rsidRPr="0081448E" w:rsidRDefault="00681E2A" w:rsidP="00681E2A">
            <w:pPr>
              <w:pStyle w:val="SCCLsocParty"/>
              <w:jc w:val="both"/>
              <w:rPr>
                <w:b/>
                <w:sz w:val="20"/>
                <w:szCs w:val="20"/>
                <w:lang w:val="en-US"/>
              </w:rPr>
            </w:pPr>
            <w:r w:rsidRPr="0081448E">
              <w:rPr>
                <w:b/>
                <w:sz w:val="20"/>
                <w:szCs w:val="20"/>
                <w:lang w:val="en-US"/>
              </w:rPr>
              <w:t>Jenny Tran v. Her Majesty the Queen</w:t>
            </w:r>
          </w:p>
          <w:p w:rsidR="00681E2A" w:rsidRPr="0081448E" w:rsidRDefault="00681E2A" w:rsidP="00681E2A">
            <w:pPr>
              <w:jc w:val="both"/>
              <w:rPr>
                <w:sz w:val="20"/>
                <w:szCs w:val="20"/>
              </w:rPr>
            </w:pPr>
            <w:r w:rsidRPr="0081448E">
              <w:rPr>
                <w:sz w:val="20"/>
                <w:szCs w:val="20"/>
              </w:rPr>
              <w:t>(Ont.) (Criminal) (By Leave)</w:t>
            </w:r>
          </w:p>
        </w:tc>
      </w:tr>
      <w:tr w:rsidR="00681E2A" w:rsidRPr="0081448E" w:rsidTr="00681E2A">
        <w:tc>
          <w:tcPr>
            <w:tcW w:w="5000" w:type="pct"/>
            <w:gridSpan w:val="4"/>
          </w:tcPr>
          <w:p w:rsidR="000E4B43" w:rsidRPr="0081448E" w:rsidRDefault="000E4B43" w:rsidP="000E4B43">
            <w:pPr>
              <w:jc w:val="both"/>
              <w:rPr>
                <w:sz w:val="20"/>
                <w:szCs w:val="20"/>
              </w:rPr>
            </w:pPr>
            <w:r w:rsidRPr="0081448E">
              <w:rPr>
                <w:sz w:val="20"/>
                <w:szCs w:val="20"/>
              </w:rPr>
              <w:t xml:space="preserve">The motion for an extension of time to serve and file the application for leave to appeal is granted.  The motion to file a lengthy memorandum of argument is granted.  The motion for an appointment of an </w:t>
            </w:r>
            <w:r w:rsidRPr="0081448E">
              <w:rPr>
                <w:i/>
                <w:sz w:val="20"/>
                <w:szCs w:val="20"/>
              </w:rPr>
              <w:t>amicus curiae</w:t>
            </w:r>
            <w:r w:rsidRPr="0081448E">
              <w:rPr>
                <w:sz w:val="20"/>
                <w:szCs w:val="20"/>
              </w:rPr>
              <w:t xml:space="preserve"> is dismissed. The application for leave to appeal from the judgment of the</w:t>
            </w:r>
            <w:bookmarkStart w:id="3" w:name="BM_1_"/>
            <w:bookmarkEnd w:id="3"/>
            <w:r w:rsidRPr="0081448E">
              <w:rPr>
                <w:sz w:val="20"/>
                <w:szCs w:val="20"/>
              </w:rPr>
              <w:t xml:space="preserve"> Court of Appeal for Ontario, Number C62622, 2019 ONCA 919, dated November 22, 2019, is dismissed.</w:t>
            </w:r>
          </w:p>
          <w:p w:rsidR="00681E2A" w:rsidRPr="0081448E" w:rsidRDefault="00681E2A" w:rsidP="00681E2A">
            <w:pPr>
              <w:jc w:val="both"/>
              <w:rPr>
                <w:sz w:val="20"/>
                <w:szCs w:val="20"/>
              </w:rPr>
            </w:pPr>
          </w:p>
        </w:tc>
      </w:tr>
      <w:tr w:rsidR="00681E2A" w:rsidRPr="0081448E" w:rsidTr="00681E2A">
        <w:tc>
          <w:tcPr>
            <w:tcW w:w="5000" w:type="pct"/>
            <w:gridSpan w:val="4"/>
          </w:tcPr>
          <w:p w:rsidR="00681E2A" w:rsidRPr="0081448E" w:rsidRDefault="00681E2A" w:rsidP="00681E2A">
            <w:pPr>
              <w:jc w:val="both"/>
              <w:rPr>
                <w:sz w:val="20"/>
                <w:szCs w:val="20"/>
              </w:rPr>
            </w:pPr>
            <w:r w:rsidRPr="0081448E">
              <w:rPr>
                <w:sz w:val="20"/>
                <w:szCs w:val="20"/>
              </w:rPr>
              <w:t>Criminal law — Trial — Fraud — Applicant holding herself out as qualified health care provider — Applicant found guilty on seven counts of indictment connected to performance of services not qualified to perform and to billing of services not actually performed — Adjournment request denied by trial judge — Applicant held in custody for failing to attend trial as directed by trial judge — Does the application for leave to appeal raise an issue of public importance?</w:t>
            </w:r>
          </w:p>
        </w:tc>
      </w:tr>
      <w:tr w:rsidR="00681E2A" w:rsidRPr="0081448E" w:rsidTr="00681E2A">
        <w:tc>
          <w:tcPr>
            <w:tcW w:w="5000" w:type="pct"/>
            <w:gridSpan w:val="4"/>
          </w:tcPr>
          <w:p w:rsidR="00681E2A" w:rsidRPr="0081448E" w:rsidRDefault="00681E2A" w:rsidP="00681E2A">
            <w:pPr>
              <w:jc w:val="both"/>
              <w:rPr>
                <w:sz w:val="20"/>
                <w:szCs w:val="20"/>
              </w:rPr>
            </w:pPr>
          </w:p>
          <w:p w:rsidR="00681E2A" w:rsidRPr="0081448E" w:rsidRDefault="00681E2A" w:rsidP="00681E2A">
            <w:pPr>
              <w:jc w:val="both"/>
              <w:rPr>
                <w:sz w:val="20"/>
                <w:szCs w:val="20"/>
              </w:rPr>
            </w:pPr>
            <w:r w:rsidRPr="0081448E">
              <w:rPr>
                <w:sz w:val="20"/>
                <w:szCs w:val="20"/>
              </w:rPr>
              <w:t>The applicant, Ms. Tran, was indicted on a number of insurance fraud and other counts connected to services she performed while holding herself out to be a qualified health care provider. After a trial that spanned more than 70 days, Ms. Tran was convicted of two counts of fraud over $5000 (</w:t>
            </w:r>
            <w:r w:rsidRPr="0081448E">
              <w:rPr>
                <w:i/>
                <w:sz w:val="20"/>
                <w:szCs w:val="20"/>
              </w:rPr>
              <w:t>Criminal Code</w:t>
            </w:r>
            <w:r w:rsidRPr="0081448E">
              <w:rPr>
                <w:sz w:val="20"/>
                <w:szCs w:val="20"/>
              </w:rPr>
              <w:t>, R.S.C. 1985, c. C</w:t>
            </w:r>
            <w:r w:rsidRPr="0081448E">
              <w:rPr>
                <w:sz w:val="20"/>
                <w:szCs w:val="20"/>
              </w:rPr>
              <w:noBreakHyphen/>
              <w:t xml:space="preserve">46, s. 380(1)(a)); two counts of fraud under $5000 (s. 380(1)(b)); one count of attempting to obstruct justice (s. 139(2)); one count of forgery (s. 366(1)(a)); and one count of causing someone to use a forged document (s. 368(1)(b)). She was sentenced to 14 months in jail. Ms. Tran appealed her convictions and her sentence. She argued that (1) the trial judge erred in refusing to grant her request for an adjournment of the trial after she discharged her counsel; (2) the trial judge erred in ordering her detention to ensure attendance at trial; (3) a number of the counts of the indictment were “void for vagueness” and that her convictions on these counts were accordingly unreasonable and not supported by the evidence; and that (4) the trial judge reversed the burden of proof. The Court of Appeal dismissed all four grounds of appeal. </w:t>
            </w:r>
          </w:p>
        </w:tc>
      </w:tr>
      <w:tr w:rsidR="00681E2A" w:rsidRPr="0081448E" w:rsidTr="00681E2A">
        <w:tc>
          <w:tcPr>
            <w:tcW w:w="5000" w:type="pct"/>
            <w:gridSpan w:val="4"/>
          </w:tcPr>
          <w:p w:rsidR="00681E2A" w:rsidRPr="0081448E" w:rsidRDefault="00681E2A" w:rsidP="00681E2A">
            <w:pPr>
              <w:jc w:val="both"/>
              <w:rPr>
                <w:sz w:val="20"/>
                <w:szCs w:val="20"/>
              </w:rPr>
            </w:pPr>
          </w:p>
        </w:tc>
      </w:tr>
      <w:tr w:rsidR="00681E2A" w:rsidRPr="0081448E" w:rsidTr="00681E2A">
        <w:tc>
          <w:tcPr>
            <w:tcW w:w="2427" w:type="pct"/>
            <w:gridSpan w:val="2"/>
          </w:tcPr>
          <w:p w:rsidR="00681E2A" w:rsidRPr="0081448E" w:rsidRDefault="00681E2A" w:rsidP="00681E2A">
            <w:pPr>
              <w:jc w:val="both"/>
              <w:rPr>
                <w:sz w:val="20"/>
                <w:szCs w:val="20"/>
              </w:rPr>
            </w:pPr>
            <w:r w:rsidRPr="0081448E">
              <w:rPr>
                <w:sz w:val="20"/>
                <w:szCs w:val="20"/>
              </w:rPr>
              <w:t>January 23, 2015</w:t>
            </w:r>
          </w:p>
          <w:p w:rsidR="00681E2A" w:rsidRPr="0081448E" w:rsidRDefault="00681E2A" w:rsidP="00681E2A">
            <w:pPr>
              <w:jc w:val="both"/>
              <w:rPr>
                <w:sz w:val="20"/>
                <w:szCs w:val="20"/>
              </w:rPr>
            </w:pPr>
            <w:r w:rsidRPr="0081448E">
              <w:rPr>
                <w:sz w:val="20"/>
                <w:szCs w:val="20"/>
              </w:rPr>
              <w:t>Ontario Superior Court of Justice</w:t>
            </w:r>
          </w:p>
          <w:p w:rsidR="00681E2A" w:rsidRPr="0081448E" w:rsidRDefault="00681E2A" w:rsidP="00681E2A">
            <w:pPr>
              <w:jc w:val="both"/>
              <w:rPr>
                <w:sz w:val="20"/>
                <w:szCs w:val="20"/>
              </w:rPr>
            </w:pPr>
            <w:r w:rsidRPr="0081448E">
              <w:rPr>
                <w:sz w:val="20"/>
                <w:szCs w:val="20"/>
              </w:rPr>
              <w:t>(Wright J.)</w:t>
            </w:r>
          </w:p>
          <w:p w:rsidR="00681E2A" w:rsidRPr="0081448E" w:rsidRDefault="00DC444A" w:rsidP="00681E2A">
            <w:pPr>
              <w:jc w:val="both"/>
              <w:rPr>
                <w:sz w:val="20"/>
                <w:szCs w:val="20"/>
              </w:rPr>
            </w:pPr>
            <w:hyperlink r:id="rId15" w:history="1">
              <w:r w:rsidR="00681E2A" w:rsidRPr="0081448E">
                <w:rPr>
                  <w:rStyle w:val="Hyperlink"/>
                  <w:sz w:val="20"/>
                  <w:szCs w:val="20"/>
                </w:rPr>
                <w:t>2015 ONSC 534</w:t>
              </w:r>
            </w:hyperlink>
          </w:p>
          <w:p w:rsidR="00681E2A" w:rsidRPr="0081448E" w:rsidRDefault="00681E2A" w:rsidP="00681E2A">
            <w:pPr>
              <w:jc w:val="both"/>
              <w:rPr>
                <w:sz w:val="20"/>
                <w:szCs w:val="20"/>
              </w:rPr>
            </w:pPr>
          </w:p>
        </w:tc>
        <w:tc>
          <w:tcPr>
            <w:tcW w:w="243" w:type="pct"/>
          </w:tcPr>
          <w:p w:rsidR="00681E2A" w:rsidRPr="0081448E" w:rsidRDefault="00681E2A" w:rsidP="00681E2A">
            <w:pPr>
              <w:jc w:val="both"/>
              <w:rPr>
                <w:sz w:val="20"/>
                <w:szCs w:val="20"/>
              </w:rPr>
            </w:pPr>
          </w:p>
        </w:tc>
        <w:tc>
          <w:tcPr>
            <w:tcW w:w="2330" w:type="pct"/>
          </w:tcPr>
          <w:p w:rsidR="00681E2A" w:rsidRPr="0081448E" w:rsidRDefault="00681E2A" w:rsidP="00681E2A">
            <w:pPr>
              <w:jc w:val="both"/>
              <w:rPr>
                <w:sz w:val="20"/>
                <w:szCs w:val="20"/>
              </w:rPr>
            </w:pPr>
            <w:r w:rsidRPr="0081448E">
              <w:rPr>
                <w:sz w:val="20"/>
                <w:szCs w:val="20"/>
              </w:rPr>
              <w:t>Convictions on counts of defrauding in excess of $5000, attempting to defraud in excess of $5000, defrauding the public of a service of a value under $5000, attempting to obstruct justice by filing a false statement of claim, forging health care claim forms, and uttering a forged document entered</w:t>
            </w:r>
          </w:p>
          <w:p w:rsidR="00681E2A" w:rsidRPr="0081448E" w:rsidRDefault="00681E2A" w:rsidP="00681E2A">
            <w:pPr>
              <w:jc w:val="both"/>
              <w:rPr>
                <w:sz w:val="20"/>
                <w:szCs w:val="20"/>
              </w:rPr>
            </w:pPr>
          </w:p>
        </w:tc>
      </w:tr>
      <w:tr w:rsidR="00681E2A" w:rsidRPr="0081448E" w:rsidTr="00681E2A">
        <w:tc>
          <w:tcPr>
            <w:tcW w:w="2427" w:type="pct"/>
            <w:gridSpan w:val="2"/>
          </w:tcPr>
          <w:p w:rsidR="00681E2A" w:rsidRPr="0081448E" w:rsidRDefault="00681E2A" w:rsidP="00681E2A">
            <w:pPr>
              <w:jc w:val="both"/>
              <w:rPr>
                <w:sz w:val="20"/>
                <w:szCs w:val="20"/>
              </w:rPr>
            </w:pPr>
            <w:r w:rsidRPr="0081448E">
              <w:rPr>
                <w:sz w:val="20"/>
                <w:szCs w:val="20"/>
              </w:rPr>
              <w:t>November 22, 2019</w:t>
            </w:r>
          </w:p>
          <w:p w:rsidR="00681E2A" w:rsidRPr="0081448E" w:rsidRDefault="00681E2A" w:rsidP="00681E2A">
            <w:pPr>
              <w:jc w:val="both"/>
              <w:rPr>
                <w:sz w:val="20"/>
                <w:szCs w:val="20"/>
              </w:rPr>
            </w:pPr>
            <w:r w:rsidRPr="0081448E">
              <w:rPr>
                <w:sz w:val="20"/>
                <w:szCs w:val="20"/>
              </w:rPr>
              <w:t>Court of Appeal for Ontario</w:t>
            </w:r>
          </w:p>
          <w:p w:rsidR="00681E2A" w:rsidRPr="0081448E" w:rsidRDefault="00681E2A" w:rsidP="00681E2A">
            <w:pPr>
              <w:jc w:val="both"/>
              <w:rPr>
                <w:sz w:val="20"/>
                <w:szCs w:val="20"/>
              </w:rPr>
            </w:pPr>
            <w:r w:rsidRPr="0081448E">
              <w:rPr>
                <w:sz w:val="20"/>
                <w:szCs w:val="20"/>
              </w:rPr>
              <w:t>(Watt, Huscroft and Trotter JJ.A.)</w:t>
            </w:r>
          </w:p>
          <w:p w:rsidR="00681E2A" w:rsidRPr="0081448E" w:rsidRDefault="00681E2A" w:rsidP="00681E2A">
            <w:pPr>
              <w:jc w:val="both"/>
              <w:rPr>
                <w:sz w:val="20"/>
                <w:szCs w:val="20"/>
              </w:rPr>
            </w:pPr>
            <w:r w:rsidRPr="0081448E">
              <w:rPr>
                <w:sz w:val="20"/>
                <w:szCs w:val="20"/>
              </w:rPr>
              <w:t>File no. C62622</w:t>
            </w:r>
          </w:p>
          <w:p w:rsidR="00681E2A" w:rsidRPr="0081448E" w:rsidRDefault="00DC444A" w:rsidP="00681E2A">
            <w:pPr>
              <w:jc w:val="both"/>
              <w:rPr>
                <w:sz w:val="20"/>
                <w:szCs w:val="20"/>
              </w:rPr>
            </w:pPr>
            <w:hyperlink r:id="rId16" w:history="1">
              <w:r w:rsidR="00681E2A" w:rsidRPr="0081448E">
                <w:rPr>
                  <w:rStyle w:val="Hyperlink"/>
                  <w:sz w:val="20"/>
                  <w:szCs w:val="20"/>
                </w:rPr>
                <w:t>2019 ONCA 919</w:t>
              </w:r>
            </w:hyperlink>
          </w:p>
          <w:p w:rsidR="00681E2A" w:rsidRPr="0081448E" w:rsidRDefault="00681E2A" w:rsidP="00681E2A">
            <w:pPr>
              <w:jc w:val="both"/>
              <w:rPr>
                <w:sz w:val="20"/>
                <w:szCs w:val="20"/>
              </w:rPr>
            </w:pPr>
          </w:p>
        </w:tc>
        <w:tc>
          <w:tcPr>
            <w:tcW w:w="243" w:type="pct"/>
          </w:tcPr>
          <w:p w:rsidR="00681E2A" w:rsidRPr="0081448E" w:rsidRDefault="00681E2A" w:rsidP="00681E2A">
            <w:pPr>
              <w:jc w:val="both"/>
              <w:rPr>
                <w:sz w:val="20"/>
                <w:szCs w:val="20"/>
              </w:rPr>
            </w:pPr>
          </w:p>
        </w:tc>
        <w:tc>
          <w:tcPr>
            <w:tcW w:w="2330" w:type="pct"/>
          </w:tcPr>
          <w:p w:rsidR="00681E2A" w:rsidRPr="0081448E" w:rsidRDefault="00681E2A" w:rsidP="00681E2A">
            <w:pPr>
              <w:jc w:val="both"/>
              <w:rPr>
                <w:sz w:val="20"/>
                <w:szCs w:val="20"/>
              </w:rPr>
            </w:pPr>
            <w:r w:rsidRPr="0081448E">
              <w:rPr>
                <w:sz w:val="20"/>
                <w:szCs w:val="20"/>
              </w:rPr>
              <w:t>Appeal from conviction dismissed; appeal from sentence dismissed as moot</w:t>
            </w:r>
          </w:p>
          <w:p w:rsidR="00681E2A" w:rsidRPr="0081448E" w:rsidRDefault="00681E2A" w:rsidP="00681E2A">
            <w:pPr>
              <w:jc w:val="both"/>
              <w:rPr>
                <w:sz w:val="20"/>
                <w:szCs w:val="20"/>
              </w:rPr>
            </w:pPr>
          </w:p>
        </w:tc>
      </w:tr>
      <w:tr w:rsidR="00681E2A" w:rsidRPr="0081448E" w:rsidTr="00681E2A">
        <w:tc>
          <w:tcPr>
            <w:tcW w:w="2427" w:type="pct"/>
            <w:gridSpan w:val="2"/>
          </w:tcPr>
          <w:p w:rsidR="00681E2A" w:rsidRPr="0081448E" w:rsidRDefault="00681E2A" w:rsidP="00681E2A">
            <w:pPr>
              <w:jc w:val="both"/>
              <w:rPr>
                <w:sz w:val="20"/>
                <w:szCs w:val="20"/>
              </w:rPr>
            </w:pPr>
            <w:r w:rsidRPr="0081448E">
              <w:rPr>
                <w:sz w:val="20"/>
                <w:szCs w:val="20"/>
              </w:rPr>
              <w:t>January 28, 2020</w:t>
            </w:r>
          </w:p>
          <w:p w:rsidR="00681E2A" w:rsidRPr="0081448E" w:rsidRDefault="00681E2A" w:rsidP="00681E2A">
            <w:pPr>
              <w:jc w:val="both"/>
              <w:rPr>
                <w:sz w:val="20"/>
                <w:szCs w:val="20"/>
              </w:rPr>
            </w:pPr>
            <w:r w:rsidRPr="0081448E">
              <w:rPr>
                <w:sz w:val="20"/>
                <w:szCs w:val="20"/>
              </w:rPr>
              <w:t>Supreme Court of Canada</w:t>
            </w:r>
          </w:p>
        </w:tc>
        <w:tc>
          <w:tcPr>
            <w:tcW w:w="243" w:type="pct"/>
          </w:tcPr>
          <w:p w:rsidR="00681E2A" w:rsidRPr="0081448E" w:rsidRDefault="00681E2A" w:rsidP="00681E2A">
            <w:pPr>
              <w:jc w:val="both"/>
              <w:rPr>
                <w:sz w:val="20"/>
                <w:szCs w:val="20"/>
              </w:rPr>
            </w:pPr>
          </w:p>
        </w:tc>
        <w:tc>
          <w:tcPr>
            <w:tcW w:w="2330" w:type="pct"/>
          </w:tcPr>
          <w:p w:rsidR="00681E2A" w:rsidRPr="0081448E" w:rsidRDefault="00681E2A" w:rsidP="00681E2A">
            <w:pPr>
              <w:jc w:val="both"/>
              <w:rPr>
                <w:sz w:val="20"/>
                <w:szCs w:val="20"/>
              </w:rPr>
            </w:pPr>
            <w:r w:rsidRPr="0081448E">
              <w:rPr>
                <w:sz w:val="20"/>
                <w:szCs w:val="20"/>
              </w:rPr>
              <w:t>Application for leave to appeal filed</w:t>
            </w:r>
          </w:p>
          <w:p w:rsidR="00681E2A" w:rsidRPr="0081448E" w:rsidRDefault="00681E2A" w:rsidP="00681E2A">
            <w:pPr>
              <w:jc w:val="both"/>
              <w:rPr>
                <w:sz w:val="20"/>
                <w:szCs w:val="20"/>
              </w:rPr>
            </w:pPr>
          </w:p>
        </w:tc>
      </w:tr>
    </w:tbl>
    <w:p w:rsidR="00681E2A" w:rsidRPr="0081448E" w:rsidRDefault="00681E2A" w:rsidP="00681E2A">
      <w:pPr>
        <w:jc w:val="both"/>
        <w:rPr>
          <w:sz w:val="20"/>
        </w:rPr>
      </w:pPr>
    </w:p>
    <w:p w:rsidR="00681E2A" w:rsidRPr="0081448E" w:rsidRDefault="00DC444A" w:rsidP="00681E2A">
      <w:pPr>
        <w:jc w:val="both"/>
        <w:rPr>
          <w:sz w:val="20"/>
        </w:rPr>
      </w:pPr>
      <w:r>
        <w:rPr>
          <w:sz w:val="20"/>
        </w:rPr>
        <w:pict>
          <v:rect id="_x0000_i1035" style="width:2in;height:1pt" o:hrpct="0" o:hralign="center" o:hrstd="t" o:hrnoshade="t" o:hr="t" fillcolor="black [3213]" stroked="f"/>
        </w:pict>
      </w:r>
    </w:p>
    <w:p w:rsidR="00681E2A" w:rsidRPr="0081448E" w:rsidRDefault="00681E2A" w:rsidP="00681E2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1E2A" w:rsidRPr="0081448E" w:rsidTr="00681E2A">
        <w:tc>
          <w:tcPr>
            <w:tcW w:w="543" w:type="pct"/>
          </w:tcPr>
          <w:p w:rsidR="00681E2A" w:rsidRPr="0081448E" w:rsidRDefault="00681E2A" w:rsidP="00681E2A">
            <w:pPr>
              <w:jc w:val="both"/>
              <w:rPr>
                <w:sz w:val="20"/>
                <w:szCs w:val="20"/>
                <w:lang w:val="fr-CA"/>
              </w:rPr>
            </w:pPr>
            <w:r w:rsidRPr="0081448E">
              <w:rPr>
                <w:rStyle w:val="SCCFileNumberChar"/>
                <w:sz w:val="20"/>
                <w:szCs w:val="20"/>
                <w:lang w:val="fr-CA"/>
              </w:rPr>
              <w:t>39219</w:t>
            </w:r>
          </w:p>
        </w:tc>
        <w:tc>
          <w:tcPr>
            <w:tcW w:w="4457" w:type="pct"/>
            <w:gridSpan w:val="3"/>
          </w:tcPr>
          <w:p w:rsidR="00681E2A" w:rsidRPr="0081448E" w:rsidRDefault="00681E2A" w:rsidP="00681E2A">
            <w:pPr>
              <w:pStyle w:val="SCCLsocParty"/>
              <w:jc w:val="both"/>
              <w:rPr>
                <w:b/>
                <w:sz w:val="20"/>
                <w:szCs w:val="20"/>
              </w:rPr>
            </w:pPr>
            <w:r w:rsidRPr="0081448E">
              <w:rPr>
                <w:b/>
                <w:sz w:val="20"/>
                <w:szCs w:val="20"/>
              </w:rPr>
              <w:t>Jenny Tran c. Sa Majesté la Reine</w:t>
            </w:r>
          </w:p>
          <w:p w:rsidR="00681E2A" w:rsidRPr="0081448E" w:rsidRDefault="00681E2A" w:rsidP="00681E2A">
            <w:pPr>
              <w:jc w:val="both"/>
              <w:rPr>
                <w:sz w:val="20"/>
                <w:szCs w:val="20"/>
                <w:lang w:val="fr-CA"/>
              </w:rPr>
            </w:pPr>
            <w:r w:rsidRPr="0081448E">
              <w:rPr>
                <w:sz w:val="20"/>
                <w:szCs w:val="20"/>
                <w:lang w:val="fr-CA"/>
              </w:rPr>
              <w:t>(Ont.) (Criminelle) (Sur autorisation)</w:t>
            </w:r>
          </w:p>
        </w:tc>
      </w:tr>
      <w:tr w:rsidR="00681E2A" w:rsidRPr="005C4158" w:rsidTr="00681E2A">
        <w:tc>
          <w:tcPr>
            <w:tcW w:w="5000" w:type="pct"/>
            <w:gridSpan w:val="4"/>
          </w:tcPr>
          <w:p w:rsidR="00681E2A" w:rsidRPr="0081448E" w:rsidRDefault="000E4B43" w:rsidP="000E4B43">
            <w:pPr>
              <w:jc w:val="both"/>
              <w:rPr>
                <w:sz w:val="20"/>
                <w:szCs w:val="20"/>
                <w:lang w:val="fr-CA"/>
              </w:rPr>
            </w:pPr>
            <w:r w:rsidRPr="0081448E">
              <w:rPr>
                <w:sz w:val="20"/>
                <w:szCs w:val="20"/>
                <w:lang w:val="fr-CA"/>
              </w:rPr>
              <w:t>La requ</w:t>
            </w:r>
            <w:r w:rsidRPr="0081448E">
              <w:rPr>
                <w:rFonts w:cs="Times New Roman"/>
                <w:sz w:val="20"/>
                <w:szCs w:val="20"/>
                <w:lang w:val="fr-CA"/>
              </w:rPr>
              <w:t>ê</w:t>
            </w:r>
            <w:r w:rsidRPr="0081448E">
              <w:rPr>
                <w:sz w:val="20"/>
                <w:szCs w:val="20"/>
                <w:lang w:val="fr-CA"/>
              </w:rPr>
              <w:t>te en prorogation du d</w:t>
            </w:r>
            <w:r w:rsidRPr="0081448E">
              <w:rPr>
                <w:rFonts w:cs="Times New Roman"/>
                <w:sz w:val="20"/>
                <w:szCs w:val="20"/>
                <w:lang w:val="fr-CA"/>
              </w:rPr>
              <w:t>é</w:t>
            </w:r>
            <w:r w:rsidRPr="0081448E">
              <w:rPr>
                <w:sz w:val="20"/>
                <w:szCs w:val="20"/>
                <w:lang w:val="fr-CA"/>
              </w:rPr>
              <w:t>lai de signification et de d</w:t>
            </w:r>
            <w:r w:rsidRPr="0081448E">
              <w:rPr>
                <w:rFonts w:cs="Times New Roman"/>
                <w:sz w:val="20"/>
                <w:szCs w:val="20"/>
                <w:lang w:val="fr-CA"/>
              </w:rPr>
              <w:t>é</w:t>
            </w:r>
            <w:r w:rsidRPr="0081448E">
              <w:rPr>
                <w:sz w:val="20"/>
                <w:szCs w:val="20"/>
                <w:lang w:val="fr-CA"/>
              </w:rPr>
              <w:t>p</w:t>
            </w:r>
            <w:r w:rsidRPr="0081448E">
              <w:rPr>
                <w:rFonts w:cs="Times New Roman"/>
                <w:sz w:val="20"/>
                <w:szCs w:val="20"/>
                <w:lang w:val="fr-CA"/>
              </w:rPr>
              <w:t>ô</w:t>
            </w:r>
            <w:r w:rsidRPr="0081448E">
              <w:rPr>
                <w:sz w:val="20"/>
                <w:szCs w:val="20"/>
                <w:lang w:val="fr-CA"/>
              </w:rPr>
              <w:t>t de la demande d’autorisation d’appel est accueillie. La requ</w:t>
            </w:r>
            <w:r w:rsidRPr="0081448E">
              <w:rPr>
                <w:rFonts w:cs="Times New Roman"/>
                <w:sz w:val="20"/>
                <w:szCs w:val="20"/>
                <w:lang w:val="fr-CA"/>
              </w:rPr>
              <w:t>ê</w:t>
            </w:r>
            <w:r w:rsidRPr="0081448E">
              <w:rPr>
                <w:sz w:val="20"/>
                <w:szCs w:val="20"/>
                <w:lang w:val="fr-CA"/>
              </w:rPr>
              <w:t>te pour d</w:t>
            </w:r>
            <w:r w:rsidRPr="0081448E">
              <w:rPr>
                <w:rFonts w:cs="Times New Roman"/>
                <w:sz w:val="20"/>
                <w:szCs w:val="20"/>
                <w:lang w:val="fr-CA"/>
              </w:rPr>
              <w:t>é</w:t>
            </w:r>
            <w:r w:rsidRPr="0081448E">
              <w:rPr>
                <w:sz w:val="20"/>
                <w:szCs w:val="20"/>
                <w:lang w:val="fr-CA"/>
              </w:rPr>
              <w:t>poser un m</w:t>
            </w:r>
            <w:r w:rsidRPr="0081448E">
              <w:rPr>
                <w:rFonts w:cs="Times New Roman"/>
                <w:sz w:val="20"/>
                <w:szCs w:val="20"/>
                <w:lang w:val="fr-CA"/>
              </w:rPr>
              <w:t>é</w:t>
            </w:r>
            <w:r w:rsidRPr="0081448E">
              <w:rPr>
                <w:sz w:val="20"/>
                <w:szCs w:val="20"/>
                <w:lang w:val="fr-CA"/>
              </w:rPr>
              <w:t>moire volumineux est accueillie. La requ</w:t>
            </w:r>
            <w:r w:rsidRPr="0081448E">
              <w:rPr>
                <w:rFonts w:cs="Times New Roman"/>
                <w:sz w:val="20"/>
                <w:szCs w:val="20"/>
                <w:lang w:val="fr-CA"/>
              </w:rPr>
              <w:t>ê</w:t>
            </w:r>
            <w:r w:rsidRPr="0081448E">
              <w:rPr>
                <w:sz w:val="20"/>
                <w:szCs w:val="20"/>
                <w:lang w:val="fr-CA"/>
              </w:rPr>
              <w:t xml:space="preserve">te pour nommer un </w:t>
            </w:r>
            <w:r w:rsidRPr="0081448E">
              <w:rPr>
                <w:i/>
                <w:sz w:val="20"/>
                <w:szCs w:val="20"/>
                <w:lang w:val="fr-CA"/>
              </w:rPr>
              <w:t>amicus curiae</w:t>
            </w:r>
            <w:r w:rsidRPr="0081448E">
              <w:rPr>
                <w:sz w:val="20"/>
                <w:szCs w:val="20"/>
                <w:lang w:val="fr-CA"/>
              </w:rPr>
              <w:t xml:space="preserve"> est rejet</w:t>
            </w:r>
            <w:r w:rsidRPr="0081448E">
              <w:rPr>
                <w:rFonts w:cs="Times New Roman"/>
                <w:sz w:val="20"/>
                <w:szCs w:val="20"/>
                <w:lang w:val="fr-CA"/>
              </w:rPr>
              <w:t>é</w:t>
            </w:r>
            <w:r w:rsidRPr="0081448E">
              <w:rPr>
                <w:sz w:val="20"/>
                <w:szCs w:val="20"/>
                <w:lang w:val="fr-CA"/>
              </w:rPr>
              <w:t>e. La demande d’autorisation d’appel de l’arrêt de la Cour d’appel de l’Ontario, numéro C62622, 2019 ONCA 919, daté du 22 novembre 2019, est rejet</w:t>
            </w:r>
            <w:r w:rsidRPr="0081448E">
              <w:rPr>
                <w:rFonts w:cs="Times New Roman"/>
                <w:sz w:val="20"/>
                <w:szCs w:val="20"/>
                <w:lang w:val="fr-CA"/>
              </w:rPr>
              <w:t>é</w:t>
            </w:r>
            <w:r w:rsidRPr="0081448E">
              <w:rPr>
                <w:sz w:val="20"/>
                <w:szCs w:val="20"/>
                <w:lang w:val="fr-CA"/>
              </w:rPr>
              <w:t>e.</w:t>
            </w:r>
          </w:p>
          <w:p w:rsidR="000E4B43" w:rsidRPr="0081448E" w:rsidRDefault="000E4B43" w:rsidP="000E4B43">
            <w:pPr>
              <w:jc w:val="both"/>
              <w:rPr>
                <w:sz w:val="20"/>
                <w:szCs w:val="20"/>
                <w:lang w:val="fr-CA"/>
              </w:rPr>
            </w:pPr>
          </w:p>
        </w:tc>
      </w:tr>
      <w:tr w:rsidR="00681E2A" w:rsidRPr="005C4158" w:rsidTr="00681E2A">
        <w:tc>
          <w:tcPr>
            <w:tcW w:w="5000" w:type="pct"/>
            <w:gridSpan w:val="4"/>
          </w:tcPr>
          <w:p w:rsidR="00681E2A" w:rsidRPr="0081448E" w:rsidRDefault="00681E2A" w:rsidP="00681E2A">
            <w:pPr>
              <w:jc w:val="both"/>
              <w:rPr>
                <w:sz w:val="20"/>
                <w:szCs w:val="20"/>
                <w:lang w:val="fr-CA"/>
              </w:rPr>
            </w:pPr>
            <w:r w:rsidRPr="0081448E">
              <w:rPr>
                <w:sz w:val="20"/>
                <w:szCs w:val="20"/>
                <w:lang w:val="fr-CA"/>
              </w:rPr>
              <w:lastRenderedPageBreak/>
              <w:t>Droit criminel — Procès — Fraude — La demanderesse se présente comme fournisseur de soins de santé qualifié — La demanderesse est déclarée coupable de sept chefs d’accusation liés à la prestation de services pour laquelle elle n’avait pas la compétence requise et à la facturation de services qui n’ont pas été fournis — La demande d’ajournement a été rejetée par la juge de première instance — La demanderesse a été placée sous garde parce qu’elle ne s’est pas présentée à son procès conformément à l’ordonnance de la juge de première instance — La demande d’autorisation d’appel soulève</w:t>
            </w:r>
            <w:r w:rsidRPr="0081448E">
              <w:rPr>
                <w:sz w:val="20"/>
                <w:szCs w:val="20"/>
                <w:lang w:val="fr-CA"/>
              </w:rPr>
              <w:noBreakHyphen/>
              <w:t>t</w:t>
            </w:r>
            <w:r w:rsidRPr="0081448E">
              <w:rPr>
                <w:sz w:val="20"/>
                <w:szCs w:val="20"/>
                <w:lang w:val="fr-CA"/>
              </w:rPr>
              <w:noBreakHyphen/>
              <w:t>elle une question d’importance pour le public ?</w:t>
            </w:r>
          </w:p>
        </w:tc>
      </w:tr>
      <w:tr w:rsidR="00681E2A" w:rsidRPr="0081448E" w:rsidTr="00681E2A">
        <w:tc>
          <w:tcPr>
            <w:tcW w:w="5000" w:type="pct"/>
            <w:gridSpan w:val="4"/>
          </w:tcPr>
          <w:p w:rsidR="00681E2A" w:rsidRPr="0081448E" w:rsidRDefault="00681E2A" w:rsidP="00681E2A">
            <w:pPr>
              <w:jc w:val="both"/>
              <w:rPr>
                <w:sz w:val="20"/>
                <w:szCs w:val="20"/>
                <w:lang w:val="fr-CA"/>
              </w:rPr>
            </w:pPr>
          </w:p>
          <w:p w:rsidR="00681E2A" w:rsidRPr="0081448E" w:rsidRDefault="00681E2A" w:rsidP="00681E2A">
            <w:pPr>
              <w:jc w:val="both"/>
              <w:rPr>
                <w:sz w:val="20"/>
                <w:szCs w:val="20"/>
                <w:lang w:val="fr-CA"/>
              </w:rPr>
            </w:pPr>
            <w:r w:rsidRPr="0081448E">
              <w:rPr>
                <w:sz w:val="20"/>
                <w:szCs w:val="20"/>
                <w:lang w:val="fr-CA"/>
              </w:rPr>
              <w:t>La demanderesse, Mme Tran, a été accusée notamment de plusieurs chefs de fraude en matière d’assurance liés à des services qu’elle a fournis en se présentant comme fournisseur de soins de santé qualifié. À l’issue d’un procès qui a duré plus de 70 jours, Mme Tran a été déclarée coupable de deux chefs d’accusation de fraude de plus de 5000 $ (</w:t>
            </w:r>
            <w:r w:rsidRPr="0081448E">
              <w:rPr>
                <w:i/>
                <w:sz w:val="20"/>
                <w:szCs w:val="20"/>
                <w:lang w:val="fr-CA"/>
              </w:rPr>
              <w:t>Code criminel</w:t>
            </w:r>
            <w:r w:rsidRPr="0081448E">
              <w:rPr>
                <w:sz w:val="20"/>
                <w:szCs w:val="20"/>
                <w:lang w:val="fr-CA"/>
              </w:rPr>
              <w:t>, R.S.C. 1985, c. C</w:t>
            </w:r>
            <w:r w:rsidRPr="0081448E">
              <w:rPr>
                <w:sz w:val="20"/>
                <w:szCs w:val="20"/>
                <w:lang w:val="fr-CA"/>
              </w:rPr>
              <w:noBreakHyphen/>
              <w:t>46, al. 380(1)</w:t>
            </w:r>
            <w:r w:rsidRPr="0081448E">
              <w:rPr>
                <w:i/>
                <w:sz w:val="20"/>
                <w:szCs w:val="20"/>
                <w:lang w:val="fr-CA"/>
              </w:rPr>
              <w:t>a</w:t>
            </w:r>
            <w:r w:rsidRPr="0081448E">
              <w:rPr>
                <w:sz w:val="20"/>
                <w:szCs w:val="20"/>
                <w:lang w:val="fr-CA"/>
              </w:rPr>
              <w:t>)); de deux chefs d’accusation de fraude de moins de 5000 $ (al. 380(1)</w:t>
            </w:r>
            <w:r w:rsidRPr="0081448E">
              <w:rPr>
                <w:i/>
                <w:sz w:val="20"/>
                <w:szCs w:val="20"/>
                <w:lang w:val="fr-CA"/>
              </w:rPr>
              <w:t>b</w:t>
            </w:r>
            <w:r w:rsidRPr="0081448E">
              <w:rPr>
                <w:sz w:val="20"/>
                <w:szCs w:val="20"/>
                <w:lang w:val="fr-CA"/>
              </w:rPr>
              <w:t>)); d’un chef d’accusation pour avoir tenté d’entraver le cours de la justice (par. 139(2)); d’un chef d’accusation pour avoir commis un faux (al. 366(1)</w:t>
            </w:r>
            <w:r w:rsidRPr="0081448E">
              <w:rPr>
                <w:i/>
                <w:sz w:val="20"/>
                <w:szCs w:val="20"/>
                <w:lang w:val="fr-CA"/>
              </w:rPr>
              <w:t>a</w:t>
            </w:r>
            <w:r w:rsidRPr="0081448E">
              <w:rPr>
                <w:sz w:val="20"/>
                <w:szCs w:val="20"/>
                <w:lang w:val="fr-CA"/>
              </w:rPr>
              <w:t>)); et un chef d’accusation pour avoir fait utiliser par quelqu’un un document contrefait (art. 368(1)</w:t>
            </w:r>
            <w:r w:rsidRPr="0081448E">
              <w:rPr>
                <w:i/>
                <w:sz w:val="20"/>
                <w:szCs w:val="20"/>
                <w:lang w:val="fr-CA"/>
              </w:rPr>
              <w:t>b</w:t>
            </w:r>
            <w:r w:rsidRPr="0081448E">
              <w:rPr>
                <w:sz w:val="20"/>
                <w:szCs w:val="20"/>
                <w:lang w:val="fr-CA"/>
              </w:rPr>
              <w:t xml:space="preserve">)). Elle a été condamnée à 14 mois d’emprisonnement. Mme Tran a interjeté appel de ses déclarations de culpabilité et de sa peine d’emprisonnement. Elle a fait valoir ce qui suit : (1) la juge de première instance a commis une erreur en refusant de faire droit à sa demande d’ajournement du procès après qu’elle eut révoqué le mandat de son avocat; (2) la juge de première instance a commis une erreur en ordonnant sa mise sous garde afin de veiller à ce qu’elle se présente au procès; (3) plusieurs des chefs d’accusation sont « nuls pour cause d’imprécision » et, par conséquent, les déclarations de culpabilité relatives à ceux-ci sont déraisonnables et ne sont pas appuyées par la preuve; et (4) la juge de première instance a renversé le fardeau de la preuve. La Cour d’appel a rejeté ces quatre motifs d’appel. </w:t>
            </w:r>
          </w:p>
        </w:tc>
      </w:tr>
      <w:tr w:rsidR="00681E2A" w:rsidRPr="0081448E" w:rsidTr="00681E2A">
        <w:tc>
          <w:tcPr>
            <w:tcW w:w="5000" w:type="pct"/>
            <w:gridSpan w:val="4"/>
          </w:tcPr>
          <w:p w:rsidR="00681E2A" w:rsidRPr="0081448E" w:rsidRDefault="00681E2A" w:rsidP="00681E2A">
            <w:pPr>
              <w:jc w:val="both"/>
              <w:rPr>
                <w:sz w:val="20"/>
                <w:szCs w:val="20"/>
                <w:lang w:val="fr-CA"/>
              </w:rPr>
            </w:pPr>
          </w:p>
        </w:tc>
      </w:tr>
      <w:tr w:rsidR="00681E2A" w:rsidRPr="005C4158" w:rsidTr="00681E2A">
        <w:tc>
          <w:tcPr>
            <w:tcW w:w="2427" w:type="pct"/>
            <w:gridSpan w:val="2"/>
          </w:tcPr>
          <w:p w:rsidR="00681E2A" w:rsidRPr="0081448E" w:rsidRDefault="00681E2A" w:rsidP="00681E2A">
            <w:pPr>
              <w:jc w:val="both"/>
              <w:rPr>
                <w:sz w:val="20"/>
                <w:szCs w:val="20"/>
                <w:lang w:val="fr-CA"/>
              </w:rPr>
            </w:pPr>
            <w:r w:rsidRPr="0081448E">
              <w:rPr>
                <w:sz w:val="20"/>
                <w:szCs w:val="20"/>
                <w:lang w:val="fr-CA"/>
              </w:rPr>
              <w:t>23 janvier 2015</w:t>
            </w:r>
          </w:p>
          <w:p w:rsidR="00681E2A" w:rsidRPr="0081448E" w:rsidRDefault="00681E2A" w:rsidP="00681E2A">
            <w:pPr>
              <w:jc w:val="both"/>
              <w:rPr>
                <w:sz w:val="20"/>
                <w:szCs w:val="20"/>
                <w:lang w:val="fr-CA"/>
              </w:rPr>
            </w:pPr>
            <w:r w:rsidRPr="0081448E">
              <w:rPr>
                <w:sz w:val="20"/>
                <w:szCs w:val="20"/>
                <w:lang w:val="fr-CA"/>
              </w:rPr>
              <w:t xml:space="preserve">Cour supérieure de justice de l’Ontario </w:t>
            </w:r>
          </w:p>
          <w:p w:rsidR="00681E2A" w:rsidRPr="0081448E" w:rsidRDefault="00681E2A" w:rsidP="00681E2A">
            <w:pPr>
              <w:jc w:val="both"/>
              <w:rPr>
                <w:sz w:val="20"/>
                <w:szCs w:val="20"/>
                <w:lang w:val="fr-CA"/>
              </w:rPr>
            </w:pPr>
            <w:r w:rsidRPr="0081448E">
              <w:rPr>
                <w:sz w:val="20"/>
                <w:szCs w:val="20"/>
                <w:lang w:val="fr-CA"/>
              </w:rPr>
              <w:t>(Juge Wright)</w:t>
            </w:r>
          </w:p>
          <w:p w:rsidR="00681E2A" w:rsidRPr="0081448E" w:rsidRDefault="00DC444A" w:rsidP="00681E2A">
            <w:pPr>
              <w:jc w:val="both"/>
              <w:rPr>
                <w:sz w:val="20"/>
                <w:szCs w:val="20"/>
                <w:lang w:val="fr-CA"/>
              </w:rPr>
            </w:pPr>
            <w:hyperlink r:id="rId17" w:history="1">
              <w:r w:rsidR="00681E2A" w:rsidRPr="0081448E">
                <w:rPr>
                  <w:rStyle w:val="Hyperlink"/>
                  <w:sz w:val="20"/>
                  <w:szCs w:val="20"/>
                  <w:lang w:val="fr-CA"/>
                </w:rPr>
                <w:t>2015 ONSC 534</w:t>
              </w:r>
            </w:hyperlink>
          </w:p>
          <w:p w:rsidR="00681E2A" w:rsidRPr="0081448E" w:rsidRDefault="00681E2A" w:rsidP="00681E2A">
            <w:pPr>
              <w:jc w:val="both"/>
              <w:rPr>
                <w:sz w:val="20"/>
                <w:szCs w:val="20"/>
                <w:lang w:val="fr-CA"/>
              </w:rPr>
            </w:pPr>
          </w:p>
        </w:tc>
        <w:tc>
          <w:tcPr>
            <w:tcW w:w="243" w:type="pct"/>
          </w:tcPr>
          <w:p w:rsidR="00681E2A" w:rsidRPr="0081448E" w:rsidRDefault="00681E2A" w:rsidP="00681E2A">
            <w:pPr>
              <w:jc w:val="both"/>
              <w:rPr>
                <w:sz w:val="20"/>
                <w:szCs w:val="20"/>
                <w:lang w:val="fr-CA"/>
              </w:rPr>
            </w:pPr>
          </w:p>
        </w:tc>
        <w:tc>
          <w:tcPr>
            <w:tcW w:w="2330" w:type="pct"/>
          </w:tcPr>
          <w:p w:rsidR="00681E2A" w:rsidRPr="0081448E" w:rsidRDefault="00681E2A" w:rsidP="00681E2A">
            <w:pPr>
              <w:jc w:val="both"/>
              <w:rPr>
                <w:sz w:val="20"/>
                <w:szCs w:val="20"/>
                <w:lang w:val="fr-CA"/>
              </w:rPr>
            </w:pPr>
            <w:r w:rsidRPr="0081448E">
              <w:rPr>
                <w:sz w:val="20"/>
                <w:szCs w:val="20"/>
                <w:lang w:val="fr-CA"/>
              </w:rPr>
              <w:t>Déclarations de culpabilité à l’égard de chefs d’accusation de fraude de plus de 5000 $, d’avoir tenté de frauder pour plus de 5000 $, d’avoir fraudé le public relativement à un service d’une valeur de moins de 5000 $, d’avoir tenté d’entraver le cours de la justice en déposant une fausse déclaration, de contrefaçon de formulaires de soins de santé, et d’usage de faux.</w:t>
            </w:r>
          </w:p>
          <w:p w:rsidR="00681E2A" w:rsidRPr="0081448E" w:rsidRDefault="00681E2A" w:rsidP="00681E2A">
            <w:pPr>
              <w:jc w:val="both"/>
              <w:rPr>
                <w:sz w:val="20"/>
                <w:szCs w:val="20"/>
                <w:lang w:val="fr-CA"/>
              </w:rPr>
            </w:pPr>
          </w:p>
        </w:tc>
      </w:tr>
      <w:tr w:rsidR="00681E2A" w:rsidRPr="005C4158" w:rsidTr="00681E2A">
        <w:tc>
          <w:tcPr>
            <w:tcW w:w="2427" w:type="pct"/>
            <w:gridSpan w:val="2"/>
          </w:tcPr>
          <w:p w:rsidR="00681E2A" w:rsidRPr="0081448E" w:rsidRDefault="00681E2A" w:rsidP="00681E2A">
            <w:pPr>
              <w:jc w:val="both"/>
              <w:rPr>
                <w:sz w:val="20"/>
                <w:szCs w:val="20"/>
                <w:lang w:val="fr-CA"/>
              </w:rPr>
            </w:pPr>
            <w:r w:rsidRPr="0081448E">
              <w:rPr>
                <w:sz w:val="20"/>
                <w:szCs w:val="20"/>
                <w:lang w:val="fr-CA"/>
              </w:rPr>
              <w:t>22 novembre 2019</w:t>
            </w:r>
          </w:p>
          <w:p w:rsidR="00681E2A" w:rsidRPr="0081448E" w:rsidRDefault="00681E2A" w:rsidP="00681E2A">
            <w:pPr>
              <w:jc w:val="both"/>
              <w:rPr>
                <w:sz w:val="20"/>
                <w:szCs w:val="20"/>
                <w:lang w:val="fr-CA"/>
              </w:rPr>
            </w:pPr>
            <w:r w:rsidRPr="0081448E">
              <w:rPr>
                <w:sz w:val="20"/>
                <w:szCs w:val="20"/>
                <w:lang w:val="fr-CA"/>
              </w:rPr>
              <w:t>Cour d’appel de l’Ontario</w:t>
            </w:r>
          </w:p>
          <w:p w:rsidR="00681E2A" w:rsidRPr="0081448E" w:rsidRDefault="00681E2A" w:rsidP="00681E2A">
            <w:pPr>
              <w:jc w:val="both"/>
              <w:rPr>
                <w:sz w:val="20"/>
                <w:szCs w:val="20"/>
                <w:lang w:val="fr-CA"/>
              </w:rPr>
            </w:pPr>
            <w:r w:rsidRPr="0081448E">
              <w:rPr>
                <w:sz w:val="20"/>
                <w:szCs w:val="20"/>
                <w:lang w:val="fr-CA"/>
              </w:rPr>
              <w:t>(Juges Watt, Huscroft et Trotter)</w:t>
            </w:r>
          </w:p>
          <w:p w:rsidR="00681E2A" w:rsidRPr="0081448E" w:rsidRDefault="00681E2A" w:rsidP="00681E2A">
            <w:pPr>
              <w:jc w:val="both"/>
              <w:rPr>
                <w:sz w:val="20"/>
                <w:szCs w:val="20"/>
                <w:lang w:val="fr-CA"/>
              </w:rPr>
            </w:pPr>
            <w:r w:rsidRPr="0081448E">
              <w:rPr>
                <w:sz w:val="20"/>
                <w:szCs w:val="20"/>
                <w:lang w:val="fr-CA"/>
              </w:rPr>
              <w:t>N</w:t>
            </w:r>
            <w:r w:rsidRPr="0081448E">
              <w:rPr>
                <w:sz w:val="20"/>
                <w:szCs w:val="20"/>
                <w:vertAlign w:val="superscript"/>
                <w:lang w:val="fr-CA"/>
              </w:rPr>
              <w:t>o</w:t>
            </w:r>
            <w:r w:rsidRPr="0081448E">
              <w:rPr>
                <w:sz w:val="20"/>
                <w:szCs w:val="20"/>
                <w:lang w:val="fr-CA"/>
              </w:rPr>
              <w:t xml:space="preserve"> de dossier C62622</w:t>
            </w:r>
          </w:p>
          <w:p w:rsidR="00681E2A" w:rsidRPr="0081448E" w:rsidRDefault="00DC444A" w:rsidP="00681E2A">
            <w:pPr>
              <w:jc w:val="both"/>
              <w:rPr>
                <w:sz w:val="20"/>
                <w:szCs w:val="20"/>
                <w:lang w:val="fr-CA"/>
              </w:rPr>
            </w:pPr>
            <w:hyperlink r:id="rId18" w:history="1">
              <w:r w:rsidR="00681E2A" w:rsidRPr="0081448E">
                <w:rPr>
                  <w:rStyle w:val="Hyperlink"/>
                  <w:sz w:val="20"/>
                  <w:szCs w:val="20"/>
                  <w:lang w:val="fr-CA"/>
                </w:rPr>
                <w:t>2019 ONCA 919</w:t>
              </w:r>
            </w:hyperlink>
          </w:p>
          <w:p w:rsidR="00681E2A" w:rsidRPr="0081448E" w:rsidRDefault="00681E2A" w:rsidP="00681E2A">
            <w:pPr>
              <w:jc w:val="both"/>
              <w:rPr>
                <w:sz w:val="20"/>
                <w:szCs w:val="20"/>
                <w:lang w:val="fr-CA"/>
              </w:rPr>
            </w:pPr>
          </w:p>
        </w:tc>
        <w:tc>
          <w:tcPr>
            <w:tcW w:w="243" w:type="pct"/>
          </w:tcPr>
          <w:p w:rsidR="00681E2A" w:rsidRPr="0081448E" w:rsidRDefault="00681E2A" w:rsidP="00681E2A">
            <w:pPr>
              <w:jc w:val="both"/>
              <w:rPr>
                <w:sz w:val="20"/>
                <w:szCs w:val="20"/>
                <w:lang w:val="fr-CA"/>
              </w:rPr>
            </w:pPr>
          </w:p>
        </w:tc>
        <w:tc>
          <w:tcPr>
            <w:tcW w:w="2330" w:type="pct"/>
          </w:tcPr>
          <w:p w:rsidR="00681E2A" w:rsidRPr="0081448E" w:rsidRDefault="00681E2A" w:rsidP="00681E2A">
            <w:pPr>
              <w:jc w:val="both"/>
              <w:rPr>
                <w:sz w:val="20"/>
                <w:szCs w:val="20"/>
                <w:lang w:val="fr-CA"/>
              </w:rPr>
            </w:pPr>
            <w:r w:rsidRPr="0081448E">
              <w:rPr>
                <w:sz w:val="20"/>
                <w:szCs w:val="20"/>
                <w:lang w:val="fr-CA"/>
              </w:rPr>
              <w:t>Appel de la déclaration de culpabilité rejeté; appel de la peine rejeté en raison de son caractère théorique.</w:t>
            </w:r>
          </w:p>
          <w:p w:rsidR="00681E2A" w:rsidRPr="0081448E" w:rsidRDefault="00681E2A" w:rsidP="00681E2A">
            <w:pPr>
              <w:jc w:val="both"/>
              <w:rPr>
                <w:sz w:val="20"/>
                <w:szCs w:val="20"/>
                <w:lang w:val="fr-CA"/>
              </w:rPr>
            </w:pPr>
          </w:p>
        </w:tc>
      </w:tr>
      <w:tr w:rsidR="00681E2A" w:rsidRPr="0081448E" w:rsidTr="00681E2A">
        <w:tc>
          <w:tcPr>
            <w:tcW w:w="2427" w:type="pct"/>
            <w:gridSpan w:val="2"/>
          </w:tcPr>
          <w:p w:rsidR="00681E2A" w:rsidRPr="0081448E" w:rsidRDefault="00681E2A" w:rsidP="00681E2A">
            <w:pPr>
              <w:jc w:val="both"/>
              <w:rPr>
                <w:sz w:val="20"/>
                <w:szCs w:val="20"/>
                <w:lang w:val="fr-CA"/>
              </w:rPr>
            </w:pPr>
            <w:r w:rsidRPr="0081448E">
              <w:rPr>
                <w:sz w:val="20"/>
                <w:szCs w:val="20"/>
                <w:lang w:val="fr-CA"/>
              </w:rPr>
              <w:t>28 janvier 2020</w:t>
            </w:r>
          </w:p>
          <w:p w:rsidR="00681E2A" w:rsidRPr="0081448E" w:rsidRDefault="00681E2A" w:rsidP="00681E2A">
            <w:pPr>
              <w:jc w:val="both"/>
              <w:rPr>
                <w:sz w:val="20"/>
                <w:szCs w:val="20"/>
                <w:lang w:val="fr-CA"/>
              </w:rPr>
            </w:pPr>
            <w:r w:rsidRPr="0081448E">
              <w:rPr>
                <w:sz w:val="20"/>
                <w:szCs w:val="20"/>
                <w:lang w:val="fr-CA"/>
              </w:rPr>
              <w:t>Cour suprême du Canada</w:t>
            </w:r>
          </w:p>
        </w:tc>
        <w:tc>
          <w:tcPr>
            <w:tcW w:w="243" w:type="pct"/>
          </w:tcPr>
          <w:p w:rsidR="00681E2A" w:rsidRPr="0081448E" w:rsidRDefault="00681E2A" w:rsidP="00681E2A">
            <w:pPr>
              <w:jc w:val="both"/>
              <w:rPr>
                <w:sz w:val="20"/>
                <w:szCs w:val="20"/>
                <w:lang w:val="fr-CA"/>
              </w:rPr>
            </w:pPr>
          </w:p>
        </w:tc>
        <w:tc>
          <w:tcPr>
            <w:tcW w:w="2330" w:type="pct"/>
          </w:tcPr>
          <w:p w:rsidR="00681E2A" w:rsidRPr="0081448E" w:rsidRDefault="00681E2A" w:rsidP="00681E2A">
            <w:pPr>
              <w:jc w:val="both"/>
              <w:rPr>
                <w:sz w:val="20"/>
                <w:szCs w:val="20"/>
                <w:lang w:val="fr-CA"/>
              </w:rPr>
            </w:pPr>
            <w:r w:rsidRPr="0081448E">
              <w:rPr>
                <w:sz w:val="20"/>
                <w:szCs w:val="20"/>
                <w:lang w:val="fr-CA"/>
              </w:rPr>
              <w:t xml:space="preserve">Demande d’autorisation d’appel présentée </w:t>
            </w:r>
          </w:p>
          <w:p w:rsidR="00681E2A" w:rsidRPr="0081448E" w:rsidRDefault="00681E2A" w:rsidP="00681E2A">
            <w:pPr>
              <w:jc w:val="both"/>
              <w:rPr>
                <w:sz w:val="20"/>
                <w:szCs w:val="20"/>
                <w:lang w:val="fr-CA"/>
              </w:rPr>
            </w:pPr>
          </w:p>
        </w:tc>
      </w:tr>
    </w:tbl>
    <w:p w:rsidR="00681E2A" w:rsidRPr="0081448E" w:rsidRDefault="00681E2A" w:rsidP="00681E2A">
      <w:pPr>
        <w:jc w:val="both"/>
        <w:rPr>
          <w:sz w:val="20"/>
          <w:szCs w:val="20"/>
          <w:lang w:val="fr-CA"/>
        </w:rPr>
      </w:pPr>
    </w:p>
    <w:p w:rsidR="00681E2A" w:rsidRPr="0081448E" w:rsidRDefault="00DC444A" w:rsidP="00681E2A">
      <w:pPr>
        <w:widowControl w:val="0"/>
        <w:jc w:val="both"/>
        <w:rPr>
          <w:sz w:val="20"/>
          <w:szCs w:val="20"/>
        </w:rPr>
      </w:pPr>
      <w:r>
        <w:rPr>
          <w:sz w:val="20"/>
        </w:rPr>
        <w:pict>
          <v:rect id="_x0000_i1036" style="width:2in;height:1pt" o:hrpct="0" o:hralign="center" o:hrstd="t" o:hrnoshade="t" o:hr="t" fillcolor="black [3213]" stroked="f"/>
        </w:pict>
      </w:r>
    </w:p>
    <w:p w:rsidR="00681E2A" w:rsidRPr="0081448E" w:rsidRDefault="00681E2A" w:rsidP="00681E2A">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1E2A" w:rsidRPr="0081448E" w:rsidTr="00681E2A">
        <w:tc>
          <w:tcPr>
            <w:tcW w:w="543" w:type="pct"/>
          </w:tcPr>
          <w:p w:rsidR="00681E2A" w:rsidRPr="0081448E" w:rsidRDefault="00681E2A" w:rsidP="00681E2A">
            <w:pPr>
              <w:jc w:val="both"/>
              <w:rPr>
                <w:sz w:val="20"/>
                <w:szCs w:val="20"/>
              </w:rPr>
            </w:pPr>
            <w:r w:rsidRPr="0081448E">
              <w:rPr>
                <w:rStyle w:val="SCCFileNumberChar"/>
                <w:sz w:val="20"/>
                <w:szCs w:val="20"/>
              </w:rPr>
              <w:t>39132</w:t>
            </w:r>
          </w:p>
        </w:tc>
        <w:tc>
          <w:tcPr>
            <w:tcW w:w="4457" w:type="pct"/>
            <w:gridSpan w:val="3"/>
          </w:tcPr>
          <w:p w:rsidR="00681E2A" w:rsidRPr="0081448E" w:rsidRDefault="00681E2A" w:rsidP="00681E2A">
            <w:pPr>
              <w:pStyle w:val="SCCLsocParty"/>
              <w:jc w:val="both"/>
              <w:rPr>
                <w:b/>
                <w:sz w:val="20"/>
                <w:szCs w:val="20"/>
                <w:lang w:val="en-US"/>
              </w:rPr>
            </w:pPr>
            <w:r w:rsidRPr="0081448E">
              <w:rPr>
                <w:b/>
                <w:sz w:val="20"/>
                <w:szCs w:val="20"/>
                <w:lang w:val="en-US"/>
              </w:rPr>
              <w:t>Leon's Furniture Limited v. Option Consommateurs, Chantal Noël De Tilly and Fairstone Financial Inc. (previously known as CitiFinancière Canada inc.)</w:t>
            </w:r>
          </w:p>
          <w:p w:rsidR="00681E2A" w:rsidRPr="0081448E" w:rsidRDefault="00681E2A" w:rsidP="00681E2A">
            <w:pPr>
              <w:pStyle w:val="SCCLsocSubfileSeparator0"/>
              <w:rPr>
                <w:sz w:val="20"/>
                <w:szCs w:val="20"/>
              </w:rPr>
            </w:pPr>
            <w:r w:rsidRPr="0081448E">
              <w:rPr>
                <w:sz w:val="20"/>
                <w:szCs w:val="20"/>
              </w:rPr>
              <w:t>- and between -</w:t>
            </w:r>
          </w:p>
          <w:p w:rsidR="00681E2A" w:rsidRPr="0081448E" w:rsidRDefault="00681E2A" w:rsidP="00681E2A">
            <w:pPr>
              <w:pStyle w:val="SCCLsocParty"/>
              <w:jc w:val="both"/>
              <w:rPr>
                <w:b/>
                <w:sz w:val="20"/>
                <w:szCs w:val="20"/>
                <w:lang w:val="en-US"/>
              </w:rPr>
            </w:pPr>
            <w:r w:rsidRPr="0081448E">
              <w:rPr>
                <w:b/>
                <w:sz w:val="20"/>
                <w:szCs w:val="20"/>
                <w:lang w:val="en-US"/>
              </w:rPr>
              <w:t>Option Consommateurs v. Leon's Furniture Limited and Fairstone Financial Inc. (previously known as CitiFinancière Canada inc.)</w:t>
            </w:r>
          </w:p>
          <w:p w:rsidR="00681E2A" w:rsidRPr="0081448E" w:rsidRDefault="00681E2A" w:rsidP="00681E2A">
            <w:pPr>
              <w:jc w:val="both"/>
              <w:rPr>
                <w:sz w:val="20"/>
                <w:szCs w:val="20"/>
              </w:rPr>
            </w:pPr>
            <w:r w:rsidRPr="0081448E">
              <w:rPr>
                <w:sz w:val="20"/>
                <w:szCs w:val="20"/>
              </w:rPr>
              <w:t>(Que.) (Civil) (By Leave)</w:t>
            </w:r>
          </w:p>
        </w:tc>
      </w:tr>
      <w:tr w:rsidR="00681E2A" w:rsidRPr="0081448E" w:rsidTr="00681E2A">
        <w:tc>
          <w:tcPr>
            <w:tcW w:w="5000" w:type="pct"/>
            <w:gridSpan w:val="4"/>
          </w:tcPr>
          <w:p w:rsidR="000E4B43" w:rsidRPr="0081448E" w:rsidRDefault="000E4B43" w:rsidP="000E4B43">
            <w:pPr>
              <w:jc w:val="both"/>
              <w:rPr>
                <w:sz w:val="20"/>
                <w:szCs w:val="20"/>
              </w:rPr>
            </w:pPr>
            <w:r w:rsidRPr="0081448E">
              <w:rPr>
                <w:sz w:val="20"/>
                <w:szCs w:val="20"/>
              </w:rPr>
              <w:t>The motion for leave to intervene filed by Groupe BMTC inc. is dismissed. The motion for leave to intervene filed by Brick Warehouse LP is dismissed.</w:t>
            </w:r>
          </w:p>
          <w:p w:rsidR="000E4B43" w:rsidRPr="0081448E" w:rsidRDefault="000E4B43" w:rsidP="000E4B43">
            <w:pPr>
              <w:jc w:val="both"/>
              <w:rPr>
                <w:sz w:val="20"/>
                <w:szCs w:val="20"/>
              </w:rPr>
            </w:pPr>
          </w:p>
          <w:p w:rsidR="000E4B43" w:rsidRPr="0081448E" w:rsidRDefault="000E4B43" w:rsidP="000E4B43">
            <w:pPr>
              <w:jc w:val="both"/>
              <w:rPr>
                <w:sz w:val="20"/>
                <w:szCs w:val="20"/>
              </w:rPr>
            </w:pPr>
            <w:r w:rsidRPr="0081448E">
              <w:rPr>
                <w:sz w:val="20"/>
                <w:szCs w:val="20"/>
              </w:rPr>
              <w:t>The application for leave to appeal, filed by Leon’s Furniture Limited, from the judgment of the Court of Appeal of Quebec (Montréal), Numbers 500-09-027018-175 and 500-09-027020-171, 2020 QCCA 44, dated January 20, 2020, is dismissed with costs to Option Consommateurs and Chantal Noël de Tilly.</w:t>
            </w:r>
          </w:p>
          <w:p w:rsidR="000E4B43" w:rsidRPr="0081448E" w:rsidRDefault="000E4B43" w:rsidP="000E4B43">
            <w:pPr>
              <w:jc w:val="both"/>
              <w:rPr>
                <w:sz w:val="20"/>
                <w:szCs w:val="20"/>
              </w:rPr>
            </w:pPr>
          </w:p>
          <w:p w:rsidR="000E4B43" w:rsidRPr="0081448E" w:rsidRDefault="000E4B43" w:rsidP="000E4B43">
            <w:pPr>
              <w:jc w:val="both"/>
              <w:rPr>
                <w:sz w:val="20"/>
                <w:szCs w:val="20"/>
              </w:rPr>
            </w:pPr>
            <w:r w:rsidRPr="0081448E">
              <w:rPr>
                <w:sz w:val="20"/>
                <w:szCs w:val="20"/>
              </w:rPr>
              <w:t xml:space="preserve">The application for leave to appeal, filed by Option Consommateurs, from the judgment of the Court of Appeal of Quebec (Montréal), Numbers 500-09-027018-175 and 500-09-027020-171, 2020 QCCA 44, dated January 20, 2020 is dismissed with costs in favour of Leon’s Furniture Limited and Fairstone Financial Inc. </w:t>
            </w:r>
          </w:p>
          <w:p w:rsidR="00681E2A" w:rsidRPr="0081448E" w:rsidRDefault="00681E2A" w:rsidP="00681E2A">
            <w:pPr>
              <w:jc w:val="both"/>
              <w:rPr>
                <w:sz w:val="20"/>
                <w:szCs w:val="20"/>
              </w:rPr>
            </w:pPr>
          </w:p>
        </w:tc>
      </w:tr>
      <w:tr w:rsidR="00681E2A" w:rsidRPr="0081448E" w:rsidTr="00681E2A">
        <w:tc>
          <w:tcPr>
            <w:tcW w:w="5000" w:type="pct"/>
            <w:gridSpan w:val="4"/>
          </w:tcPr>
          <w:p w:rsidR="00681E2A" w:rsidRPr="0081448E" w:rsidRDefault="00681E2A" w:rsidP="00681E2A">
            <w:pPr>
              <w:jc w:val="both"/>
              <w:rPr>
                <w:sz w:val="20"/>
                <w:szCs w:val="20"/>
              </w:rPr>
            </w:pPr>
            <w:r w:rsidRPr="0081448E">
              <w:rPr>
                <w:sz w:val="20"/>
                <w:szCs w:val="20"/>
              </w:rPr>
              <w:lastRenderedPageBreak/>
              <w:t xml:space="preserve">Consumer Protection Act — Advertising — Terms and Conditions of Credit — Class action — Right of members of group to exclude themselves — Authority of </w:t>
            </w:r>
            <w:r w:rsidRPr="0081448E">
              <w:rPr>
                <w:i/>
                <w:sz w:val="20"/>
                <w:szCs w:val="20"/>
              </w:rPr>
              <w:t>Res judicata</w:t>
            </w:r>
            <w:r w:rsidRPr="0081448E">
              <w:rPr>
                <w:sz w:val="20"/>
                <w:szCs w:val="20"/>
              </w:rPr>
              <w:t xml:space="preserve"> — Whether merchant in Québec can advertise goods, availability of credit and terms and conditions of credit simultaneously — Whether ss. 244 and 247 of </w:t>
            </w:r>
            <w:r w:rsidRPr="0081448E">
              <w:rPr>
                <w:i/>
                <w:sz w:val="20"/>
                <w:szCs w:val="20"/>
              </w:rPr>
              <w:t>Consumer Protection Act</w:t>
            </w:r>
            <w:r w:rsidRPr="0081448E">
              <w:rPr>
                <w:sz w:val="20"/>
                <w:szCs w:val="20"/>
              </w:rPr>
              <w:t>, CQLR c. P</w:t>
            </w:r>
            <w:r w:rsidRPr="0081448E">
              <w:rPr>
                <w:sz w:val="20"/>
                <w:szCs w:val="20"/>
              </w:rPr>
              <w:noBreakHyphen/>
              <w:t xml:space="preserve">40, and ss. 80 and 85 of </w:t>
            </w:r>
            <w:r w:rsidRPr="0081448E">
              <w:rPr>
                <w:i/>
                <w:sz w:val="20"/>
                <w:szCs w:val="20"/>
              </w:rPr>
              <w:t>Regulation Respecting the Application of the Consumer Protection Act</w:t>
            </w:r>
            <w:r w:rsidRPr="0081448E">
              <w:rPr>
                <w:sz w:val="20"/>
                <w:szCs w:val="20"/>
              </w:rPr>
              <w:t>, CQLR c. P</w:t>
            </w:r>
            <w:r w:rsidRPr="0081448E">
              <w:rPr>
                <w:sz w:val="20"/>
                <w:szCs w:val="20"/>
              </w:rPr>
              <w:noBreakHyphen/>
              <w:t xml:space="preserve">40.1, r. 3, are mutually exclusive — Whether class action plaintiff can represent people who have not been offered opportunity to be excluded from target group and are therefore bound to settlement — </w:t>
            </w:r>
            <w:r w:rsidRPr="0081448E">
              <w:rPr>
                <w:i/>
                <w:sz w:val="20"/>
                <w:szCs w:val="20"/>
              </w:rPr>
              <w:t>Consumer Protection Act</w:t>
            </w:r>
            <w:r w:rsidRPr="0081448E">
              <w:rPr>
                <w:sz w:val="20"/>
                <w:szCs w:val="20"/>
              </w:rPr>
              <w:t>, CQLR c. P</w:t>
            </w:r>
            <w:r w:rsidRPr="0081448E">
              <w:rPr>
                <w:sz w:val="20"/>
                <w:szCs w:val="20"/>
              </w:rPr>
              <w:noBreakHyphen/>
              <w:t xml:space="preserve">40, ss. 244, 247 — </w:t>
            </w:r>
            <w:r w:rsidRPr="0081448E">
              <w:rPr>
                <w:i/>
                <w:sz w:val="20"/>
                <w:szCs w:val="20"/>
              </w:rPr>
              <w:t>Regulation Respecting the Application of the Consumer Protection Act</w:t>
            </w:r>
            <w:r w:rsidRPr="0081448E">
              <w:rPr>
                <w:sz w:val="20"/>
                <w:szCs w:val="20"/>
              </w:rPr>
              <w:t>, CQLR c. P</w:t>
            </w:r>
            <w:r w:rsidRPr="0081448E">
              <w:rPr>
                <w:sz w:val="20"/>
                <w:szCs w:val="20"/>
              </w:rPr>
              <w:noBreakHyphen/>
              <w:t xml:space="preserve">40.1, r. 3, ss. 80 and 85 — </w:t>
            </w:r>
            <w:r w:rsidRPr="0081448E">
              <w:rPr>
                <w:i/>
                <w:sz w:val="20"/>
                <w:szCs w:val="20"/>
              </w:rPr>
              <w:t>Civil Code of Quebec</w:t>
            </w:r>
            <w:r w:rsidRPr="0081448E">
              <w:rPr>
                <w:sz w:val="20"/>
                <w:szCs w:val="20"/>
              </w:rPr>
              <w:t>, art. 2848.</w:t>
            </w:r>
          </w:p>
        </w:tc>
      </w:tr>
      <w:tr w:rsidR="00681E2A" w:rsidRPr="0081448E" w:rsidTr="00681E2A">
        <w:tc>
          <w:tcPr>
            <w:tcW w:w="5000" w:type="pct"/>
            <w:gridSpan w:val="4"/>
          </w:tcPr>
          <w:p w:rsidR="00681E2A" w:rsidRPr="0081448E" w:rsidRDefault="00681E2A" w:rsidP="00681E2A">
            <w:pPr>
              <w:jc w:val="both"/>
              <w:rPr>
                <w:sz w:val="20"/>
                <w:szCs w:val="20"/>
              </w:rPr>
            </w:pPr>
          </w:p>
        </w:tc>
      </w:tr>
      <w:tr w:rsidR="00681E2A" w:rsidRPr="0081448E" w:rsidTr="00681E2A">
        <w:tc>
          <w:tcPr>
            <w:tcW w:w="5000" w:type="pct"/>
            <w:gridSpan w:val="4"/>
          </w:tcPr>
          <w:p w:rsidR="00681E2A" w:rsidRPr="0081448E" w:rsidRDefault="00681E2A" w:rsidP="00681E2A">
            <w:pPr>
              <w:jc w:val="both"/>
              <w:rPr>
                <w:sz w:val="20"/>
                <w:szCs w:val="20"/>
              </w:rPr>
            </w:pPr>
            <w:r w:rsidRPr="0081448E">
              <w:rPr>
                <w:sz w:val="20"/>
                <w:szCs w:val="20"/>
              </w:rPr>
              <w:t xml:space="preserve">Leon’s Furniture Limited is a retailer of furniture, home electronics and household appliances. In 2001, Leon’s concluded an agreement with CitiFinancière Canada inc., now the respondent Fairstone Financial Inc., by which Fairstone would become its financing company across the country. Although the agreement between the companies is silent on the possibility of Fairstone charging fees to Leon’s customers, the financing contract signed by customers provides for such a possibility. At the end of 2008, Fairstone announced to Leon’s that it had decided to charge customers an annual fee of $21. In the Spring of 2009, Fairstone informed clients of the annual fee but offered them the possibility to fully reimburse the balance of their account to avoid paying the fee. Leon’s received a copy of the notice sent by Fairstone to clients as well as related copies of documents intended to inform customers and sellers of the change that occurred in the terms and conditions of credit. In May 2009, fees were charged to new clients as well as actual clients with a balance of $450 or more in their account. In November 2009, Leon’s ceased its business relationship with Fairstone. In November 2009, Option consommateurs and Mrs. Noël de Tilly, as the representative plaintiff, filed an application for authorization to institute a class action against Leon’s seeking the reimbursement of the fee charged by Fairstone as well as damages based on the alleged non-compliance of Leon’s advertisement with the provisions of the </w:t>
            </w:r>
            <w:r w:rsidRPr="0081448E">
              <w:rPr>
                <w:i/>
                <w:sz w:val="20"/>
                <w:szCs w:val="20"/>
              </w:rPr>
              <w:t>Consumer Protection Act</w:t>
            </w:r>
            <w:r w:rsidRPr="0081448E">
              <w:rPr>
                <w:sz w:val="20"/>
                <w:szCs w:val="20"/>
              </w:rPr>
              <w:t xml:space="preserve"> and related regulations. On June 21, 2012, the trial judge authorized the class action and dismissed the application to dismiss in part based on </w:t>
            </w:r>
            <w:r w:rsidRPr="0081448E">
              <w:rPr>
                <w:i/>
                <w:sz w:val="20"/>
                <w:szCs w:val="20"/>
              </w:rPr>
              <w:t>res judicata</w:t>
            </w:r>
            <w:r w:rsidRPr="0081448E">
              <w:rPr>
                <w:sz w:val="20"/>
                <w:szCs w:val="20"/>
              </w:rPr>
              <w:t>. In November 2012, Option consommateurs and Mrs. Noël de Tilly filed their originating application and Leon’s filed an originating application for recourse in warranty against Fairstone. The Superior Court granted the class action and the recourse in warranty. The Court of Appeal granted in part the appeal files by Leon’s and Fairstone and dismissed the cross appeal filed by Option consommateurs. Leon’s and Option consommateurs filed separate applications for leave to appeal before the Supreme Court naming each other as respondents as well as Fairstone. Mrs. Noël de Tilly is also a respondent in the application filed by Leon’s.</w:t>
            </w:r>
          </w:p>
          <w:p w:rsidR="00681E2A" w:rsidRPr="0081448E" w:rsidRDefault="00681E2A" w:rsidP="00681E2A">
            <w:pPr>
              <w:jc w:val="both"/>
              <w:rPr>
                <w:sz w:val="20"/>
                <w:szCs w:val="20"/>
              </w:rPr>
            </w:pPr>
          </w:p>
        </w:tc>
      </w:tr>
      <w:tr w:rsidR="00681E2A" w:rsidRPr="0081448E" w:rsidTr="00681E2A">
        <w:tc>
          <w:tcPr>
            <w:tcW w:w="2427" w:type="pct"/>
            <w:gridSpan w:val="2"/>
          </w:tcPr>
          <w:p w:rsidR="00681E2A" w:rsidRPr="0081448E" w:rsidRDefault="00681E2A" w:rsidP="00681E2A">
            <w:pPr>
              <w:jc w:val="both"/>
              <w:rPr>
                <w:sz w:val="20"/>
                <w:szCs w:val="20"/>
              </w:rPr>
            </w:pPr>
            <w:r w:rsidRPr="0081448E">
              <w:rPr>
                <w:sz w:val="20"/>
                <w:szCs w:val="20"/>
              </w:rPr>
              <w:t xml:space="preserve">July 31, 2017 </w:t>
            </w:r>
          </w:p>
          <w:p w:rsidR="00681E2A" w:rsidRPr="0081448E" w:rsidRDefault="00681E2A" w:rsidP="00681E2A">
            <w:pPr>
              <w:jc w:val="both"/>
              <w:rPr>
                <w:sz w:val="20"/>
                <w:szCs w:val="20"/>
              </w:rPr>
            </w:pPr>
            <w:r w:rsidRPr="0081448E">
              <w:rPr>
                <w:sz w:val="20"/>
                <w:szCs w:val="20"/>
              </w:rPr>
              <w:t>Superior Court of Quebec</w:t>
            </w:r>
          </w:p>
          <w:p w:rsidR="00681E2A" w:rsidRPr="0081448E" w:rsidRDefault="00681E2A" w:rsidP="00681E2A">
            <w:pPr>
              <w:jc w:val="both"/>
              <w:rPr>
                <w:sz w:val="20"/>
                <w:szCs w:val="20"/>
              </w:rPr>
            </w:pPr>
            <w:r w:rsidRPr="0081448E">
              <w:rPr>
                <w:sz w:val="20"/>
                <w:szCs w:val="20"/>
              </w:rPr>
              <w:t>(Blanchard J.)</w:t>
            </w:r>
          </w:p>
          <w:p w:rsidR="00681E2A" w:rsidRPr="0081448E" w:rsidRDefault="00DC444A" w:rsidP="00681E2A">
            <w:pPr>
              <w:jc w:val="both"/>
              <w:rPr>
                <w:sz w:val="20"/>
                <w:szCs w:val="20"/>
              </w:rPr>
            </w:pPr>
            <w:hyperlink r:id="rId19" w:history="1">
              <w:r w:rsidR="00681E2A" w:rsidRPr="0081448E">
                <w:rPr>
                  <w:rStyle w:val="Hyperlink"/>
                  <w:sz w:val="20"/>
                  <w:szCs w:val="20"/>
                </w:rPr>
                <w:t>2017 QCCS 3526</w:t>
              </w:r>
            </w:hyperlink>
            <w:r w:rsidR="00681E2A" w:rsidRPr="0081448E">
              <w:rPr>
                <w:sz w:val="20"/>
                <w:szCs w:val="20"/>
              </w:rPr>
              <w:t xml:space="preserve"> </w:t>
            </w:r>
          </w:p>
          <w:p w:rsidR="00681E2A" w:rsidRPr="0081448E" w:rsidRDefault="00681E2A" w:rsidP="00681E2A">
            <w:pPr>
              <w:jc w:val="both"/>
              <w:rPr>
                <w:sz w:val="20"/>
                <w:szCs w:val="20"/>
              </w:rPr>
            </w:pPr>
          </w:p>
        </w:tc>
        <w:tc>
          <w:tcPr>
            <w:tcW w:w="243" w:type="pct"/>
          </w:tcPr>
          <w:p w:rsidR="00681E2A" w:rsidRPr="0081448E" w:rsidRDefault="00681E2A" w:rsidP="00681E2A">
            <w:pPr>
              <w:jc w:val="both"/>
              <w:rPr>
                <w:sz w:val="20"/>
                <w:szCs w:val="20"/>
              </w:rPr>
            </w:pPr>
          </w:p>
        </w:tc>
        <w:tc>
          <w:tcPr>
            <w:tcW w:w="2330" w:type="pct"/>
          </w:tcPr>
          <w:p w:rsidR="00681E2A" w:rsidRPr="0081448E" w:rsidRDefault="00681E2A" w:rsidP="00681E2A">
            <w:pPr>
              <w:jc w:val="both"/>
              <w:rPr>
                <w:sz w:val="20"/>
                <w:szCs w:val="20"/>
              </w:rPr>
            </w:pPr>
            <w:r w:rsidRPr="0081448E">
              <w:rPr>
                <w:sz w:val="20"/>
                <w:szCs w:val="20"/>
              </w:rPr>
              <w:t>Class action granted.</w:t>
            </w:r>
          </w:p>
          <w:p w:rsidR="00681E2A" w:rsidRPr="0081448E" w:rsidRDefault="00681E2A" w:rsidP="00681E2A">
            <w:pPr>
              <w:jc w:val="both"/>
              <w:rPr>
                <w:sz w:val="20"/>
                <w:szCs w:val="20"/>
              </w:rPr>
            </w:pPr>
            <w:r w:rsidRPr="0081448E">
              <w:rPr>
                <w:sz w:val="20"/>
                <w:szCs w:val="20"/>
              </w:rPr>
              <w:t>Recourse in warranty granted.</w:t>
            </w:r>
          </w:p>
          <w:p w:rsidR="00681E2A" w:rsidRPr="0081448E" w:rsidRDefault="00681E2A" w:rsidP="00681E2A">
            <w:pPr>
              <w:jc w:val="both"/>
              <w:rPr>
                <w:sz w:val="20"/>
                <w:szCs w:val="20"/>
              </w:rPr>
            </w:pPr>
          </w:p>
        </w:tc>
      </w:tr>
      <w:tr w:rsidR="00681E2A" w:rsidRPr="0081448E" w:rsidTr="00681E2A">
        <w:tc>
          <w:tcPr>
            <w:tcW w:w="2427" w:type="pct"/>
            <w:gridSpan w:val="2"/>
          </w:tcPr>
          <w:p w:rsidR="00681E2A" w:rsidRPr="0081448E" w:rsidRDefault="00681E2A" w:rsidP="00681E2A">
            <w:pPr>
              <w:jc w:val="both"/>
              <w:rPr>
                <w:sz w:val="20"/>
                <w:szCs w:val="20"/>
              </w:rPr>
            </w:pPr>
            <w:r w:rsidRPr="0081448E">
              <w:rPr>
                <w:sz w:val="20"/>
                <w:szCs w:val="20"/>
              </w:rPr>
              <w:t>January 20, 2020</w:t>
            </w:r>
          </w:p>
          <w:p w:rsidR="00681E2A" w:rsidRPr="0081448E" w:rsidRDefault="00681E2A" w:rsidP="00681E2A">
            <w:pPr>
              <w:jc w:val="both"/>
              <w:rPr>
                <w:sz w:val="20"/>
                <w:szCs w:val="20"/>
              </w:rPr>
            </w:pPr>
            <w:r w:rsidRPr="0081448E">
              <w:rPr>
                <w:sz w:val="20"/>
                <w:szCs w:val="20"/>
              </w:rPr>
              <w:t>Court of Appeal of Quebec (Montréal)</w:t>
            </w:r>
          </w:p>
          <w:p w:rsidR="00681E2A" w:rsidRPr="0081448E" w:rsidRDefault="00681E2A" w:rsidP="00681E2A">
            <w:pPr>
              <w:jc w:val="both"/>
              <w:rPr>
                <w:sz w:val="20"/>
                <w:szCs w:val="20"/>
              </w:rPr>
            </w:pPr>
            <w:r w:rsidRPr="0081448E">
              <w:rPr>
                <w:sz w:val="20"/>
                <w:szCs w:val="20"/>
              </w:rPr>
              <w:t>(Chamberland, Rochette and Roy JJ.A.)</w:t>
            </w:r>
          </w:p>
          <w:p w:rsidR="00681E2A" w:rsidRPr="0081448E" w:rsidRDefault="00DC444A" w:rsidP="00681E2A">
            <w:pPr>
              <w:jc w:val="both"/>
              <w:rPr>
                <w:sz w:val="20"/>
                <w:szCs w:val="20"/>
              </w:rPr>
            </w:pPr>
            <w:hyperlink r:id="rId20" w:history="1">
              <w:r w:rsidR="00681E2A" w:rsidRPr="0081448E">
                <w:rPr>
                  <w:rStyle w:val="Hyperlink"/>
                  <w:sz w:val="20"/>
                  <w:szCs w:val="20"/>
                </w:rPr>
                <w:t>2020 QCCA 44</w:t>
              </w:r>
            </w:hyperlink>
          </w:p>
          <w:p w:rsidR="00681E2A" w:rsidRPr="0081448E" w:rsidRDefault="00681E2A" w:rsidP="00681E2A">
            <w:pPr>
              <w:jc w:val="both"/>
              <w:rPr>
                <w:sz w:val="20"/>
                <w:szCs w:val="20"/>
                <w:lang w:val="fr-CA"/>
              </w:rPr>
            </w:pPr>
          </w:p>
        </w:tc>
        <w:tc>
          <w:tcPr>
            <w:tcW w:w="243" w:type="pct"/>
          </w:tcPr>
          <w:p w:rsidR="00681E2A" w:rsidRPr="0081448E" w:rsidRDefault="00681E2A" w:rsidP="00681E2A">
            <w:pPr>
              <w:jc w:val="both"/>
              <w:rPr>
                <w:sz w:val="20"/>
                <w:szCs w:val="20"/>
                <w:lang w:val="fr-CA"/>
              </w:rPr>
            </w:pPr>
          </w:p>
        </w:tc>
        <w:tc>
          <w:tcPr>
            <w:tcW w:w="2330" w:type="pct"/>
          </w:tcPr>
          <w:p w:rsidR="00681E2A" w:rsidRPr="0081448E" w:rsidRDefault="00681E2A" w:rsidP="00681E2A">
            <w:pPr>
              <w:jc w:val="both"/>
              <w:rPr>
                <w:sz w:val="20"/>
                <w:szCs w:val="20"/>
              </w:rPr>
            </w:pPr>
            <w:r w:rsidRPr="0081448E">
              <w:rPr>
                <w:sz w:val="20"/>
                <w:szCs w:val="20"/>
              </w:rPr>
              <w:t>Appeal filed by Leon’s Furniture Limited granted in part.</w:t>
            </w:r>
          </w:p>
          <w:p w:rsidR="00681E2A" w:rsidRPr="0081448E" w:rsidRDefault="00681E2A" w:rsidP="00681E2A">
            <w:pPr>
              <w:jc w:val="both"/>
              <w:rPr>
                <w:sz w:val="20"/>
                <w:szCs w:val="20"/>
              </w:rPr>
            </w:pPr>
            <w:r w:rsidRPr="0081448E">
              <w:rPr>
                <w:sz w:val="20"/>
                <w:szCs w:val="20"/>
              </w:rPr>
              <w:t>Appeal filed by Fairstone Financial Inc. granted in part.</w:t>
            </w:r>
          </w:p>
          <w:p w:rsidR="00681E2A" w:rsidRPr="0081448E" w:rsidRDefault="00681E2A" w:rsidP="00681E2A">
            <w:pPr>
              <w:jc w:val="both"/>
              <w:rPr>
                <w:sz w:val="20"/>
                <w:szCs w:val="20"/>
              </w:rPr>
            </w:pPr>
            <w:r w:rsidRPr="0081448E">
              <w:rPr>
                <w:sz w:val="20"/>
                <w:szCs w:val="20"/>
              </w:rPr>
              <w:t>Cross appeal filed by Option consommateurs dismissed.</w:t>
            </w:r>
          </w:p>
          <w:p w:rsidR="00681E2A" w:rsidRPr="0081448E" w:rsidRDefault="00681E2A" w:rsidP="00681E2A">
            <w:pPr>
              <w:jc w:val="both"/>
              <w:rPr>
                <w:sz w:val="20"/>
                <w:szCs w:val="20"/>
              </w:rPr>
            </w:pPr>
          </w:p>
        </w:tc>
      </w:tr>
      <w:tr w:rsidR="00681E2A" w:rsidRPr="0081448E" w:rsidTr="00681E2A">
        <w:tc>
          <w:tcPr>
            <w:tcW w:w="2427" w:type="pct"/>
            <w:gridSpan w:val="2"/>
          </w:tcPr>
          <w:p w:rsidR="00681E2A" w:rsidRPr="0081448E" w:rsidRDefault="00681E2A" w:rsidP="00681E2A">
            <w:pPr>
              <w:jc w:val="both"/>
              <w:rPr>
                <w:sz w:val="20"/>
                <w:szCs w:val="20"/>
              </w:rPr>
            </w:pPr>
            <w:r w:rsidRPr="0081448E">
              <w:rPr>
                <w:sz w:val="20"/>
                <w:szCs w:val="20"/>
              </w:rPr>
              <w:t>February 28, 2020</w:t>
            </w:r>
          </w:p>
          <w:p w:rsidR="00681E2A" w:rsidRPr="0081448E" w:rsidRDefault="00681E2A" w:rsidP="00681E2A">
            <w:pPr>
              <w:jc w:val="both"/>
              <w:rPr>
                <w:sz w:val="20"/>
                <w:szCs w:val="20"/>
              </w:rPr>
            </w:pPr>
            <w:r w:rsidRPr="0081448E">
              <w:rPr>
                <w:sz w:val="20"/>
                <w:szCs w:val="20"/>
              </w:rPr>
              <w:t>Supreme Court of Canada</w:t>
            </w:r>
          </w:p>
          <w:p w:rsidR="00681E2A" w:rsidRPr="0081448E" w:rsidRDefault="00681E2A" w:rsidP="00681E2A">
            <w:pPr>
              <w:jc w:val="both"/>
              <w:rPr>
                <w:sz w:val="20"/>
                <w:szCs w:val="20"/>
              </w:rPr>
            </w:pPr>
          </w:p>
        </w:tc>
        <w:tc>
          <w:tcPr>
            <w:tcW w:w="243" w:type="pct"/>
          </w:tcPr>
          <w:p w:rsidR="00681E2A" w:rsidRPr="0081448E" w:rsidRDefault="00681E2A" w:rsidP="00681E2A">
            <w:pPr>
              <w:jc w:val="both"/>
              <w:rPr>
                <w:sz w:val="20"/>
                <w:szCs w:val="20"/>
              </w:rPr>
            </w:pPr>
          </w:p>
        </w:tc>
        <w:tc>
          <w:tcPr>
            <w:tcW w:w="2330" w:type="pct"/>
          </w:tcPr>
          <w:p w:rsidR="00681E2A" w:rsidRPr="0081448E" w:rsidRDefault="00681E2A" w:rsidP="00681E2A">
            <w:pPr>
              <w:jc w:val="both"/>
              <w:rPr>
                <w:sz w:val="20"/>
                <w:szCs w:val="20"/>
              </w:rPr>
            </w:pPr>
            <w:r w:rsidRPr="0081448E">
              <w:rPr>
                <w:sz w:val="20"/>
                <w:szCs w:val="20"/>
              </w:rPr>
              <w:t>Application for leave to appeal filed by Leon’s Furniture Limited.</w:t>
            </w:r>
          </w:p>
          <w:p w:rsidR="00681E2A" w:rsidRPr="0081448E" w:rsidRDefault="00681E2A" w:rsidP="00681E2A">
            <w:pPr>
              <w:jc w:val="both"/>
              <w:rPr>
                <w:sz w:val="20"/>
                <w:szCs w:val="20"/>
              </w:rPr>
            </w:pPr>
          </w:p>
        </w:tc>
      </w:tr>
      <w:tr w:rsidR="00681E2A" w:rsidRPr="0081448E" w:rsidTr="00681E2A">
        <w:tc>
          <w:tcPr>
            <w:tcW w:w="2427" w:type="pct"/>
            <w:gridSpan w:val="2"/>
          </w:tcPr>
          <w:p w:rsidR="00681E2A" w:rsidRPr="0081448E" w:rsidRDefault="00681E2A" w:rsidP="00681E2A">
            <w:pPr>
              <w:jc w:val="both"/>
              <w:rPr>
                <w:sz w:val="20"/>
                <w:szCs w:val="20"/>
              </w:rPr>
            </w:pPr>
            <w:r w:rsidRPr="0081448E">
              <w:rPr>
                <w:sz w:val="20"/>
                <w:szCs w:val="20"/>
              </w:rPr>
              <w:t>March 19, 2020</w:t>
            </w:r>
          </w:p>
          <w:p w:rsidR="00681E2A" w:rsidRPr="0081448E" w:rsidRDefault="00681E2A" w:rsidP="00681E2A">
            <w:pPr>
              <w:jc w:val="both"/>
              <w:rPr>
                <w:sz w:val="20"/>
                <w:szCs w:val="20"/>
              </w:rPr>
            </w:pPr>
            <w:r w:rsidRPr="0081448E">
              <w:rPr>
                <w:sz w:val="20"/>
                <w:szCs w:val="20"/>
              </w:rPr>
              <w:t>Supreme Court of Canada</w:t>
            </w:r>
          </w:p>
        </w:tc>
        <w:tc>
          <w:tcPr>
            <w:tcW w:w="243" w:type="pct"/>
          </w:tcPr>
          <w:p w:rsidR="00681E2A" w:rsidRPr="0081448E" w:rsidRDefault="00681E2A" w:rsidP="00681E2A">
            <w:pPr>
              <w:jc w:val="both"/>
              <w:rPr>
                <w:sz w:val="20"/>
                <w:szCs w:val="20"/>
              </w:rPr>
            </w:pPr>
          </w:p>
        </w:tc>
        <w:tc>
          <w:tcPr>
            <w:tcW w:w="2330" w:type="pct"/>
          </w:tcPr>
          <w:p w:rsidR="00681E2A" w:rsidRPr="0081448E" w:rsidRDefault="00681E2A" w:rsidP="00681E2A">
            <w:pPr>
              <w:jc w:val="both"/>
              <w:rPr>
                <w:sz w:val="20"/>
                <w:szCs w:val="20"/>
              </w:rPr>
            </w:pPr>
            <w:r w:rsidRPr="0081448E">
              <w:rPr>
                <w:sz w:val="20"/>
                <w:szCs w:val="20"/>
              </w:rPr>
              <w:t>Application for leave to appeal filed by Option consommateurs.</w:t>
            </w:r>
          </w:p>
        </w:tc>
      </w:tr>
    </w:tbl>
    <w:p w:rsidR="00681E2A" w:rsidRPr="0081448E" w:rsidRDefault="00681E2A" w:rsidP="00681E2A">
      <w:pPr>
        <w:jc w:val="both"/>
        <w:rPr>
          <w:sz w:val="20"/>
        </w:rPr>
      </w:pPr>
    </w:p>
    <w:p w:rsidR="00681E2A" w:rsidRPr="0081448E" w:rsidRDefault="00DC444A" w:rsidP="00681E2A">
      <w:pPr>
        <w:jc w:val="both"/>
        <w:rPr>
          <w:sz w:val="20"/>
        </w:rPr>
      </w:pPr>
      <w:r>
        <w:rPr>
          <w:sz w:val="20"/>
        </w:rPr>
        <w:pict>
          <v:rect id="_x0000_i1037" style="width:2in;height:1pt" o:hrpct="0" o:hralign="center" o:hrstd="t" o:hrnoshade="t" o:hr="t" fillcolor="black [3213]" stroked="f"/>
        </w:pict>
      </w:r>
    </w:p>
    <w:p w:rsidR="00681E2A" w:rsidRPr="0081448E" w:rsidRDefault="00681E2A" w:rsidP="00681E2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81E2A" w:rsidRPr="005C4158" w:rsidTr="00681E2A">
        <w:tc>
          <w:tcPr>
            <w:tcW w:w="543" w:type="pct"/>
          </w:tcPr>
          <w:p w:rsidR="00681E2A" w:rsidRPr="0081448E" w:rsidRDefault="00681E2A" w:rsidP="00681E2A">
            <w:pPr>
              <w:jc w:val="both"/>
              <w:rPr>
                <w:sz w:val="20"/>
                <w:szCs w:val="20"/>
                <w:lang w:val="fr-CA"/>
              </w:rPr>
            </w:pPr>
            <w:r w:rsidRPr="0081448E">
              <w:rPr>
                <w:rStyle w:val="SCCFileNumberChar"/>
                <w:sz w:val="20"/>
                <w:szCs w:val="20"/>
                <w:lang w:val="fr-CA"/>
              </w:rPr>
              <w:t>39132</w:t>
            </w:r>
          </w:p>
        </w:tc>
        <w:tc>
          <w:tcPr>
            <w:tcW w:w="4457" w:type="pct"/>
          </w:tcPr>
          <w:p w:rsidR="00681E2A" w:rsidRPr="0081448E" w:rsidRDefault="00681E2A" w:rsidP="00681E2A">
            <w:pPr>
              <w:pStyle w:val="SCCLsocParty"/>
              <w:jc w:val="both"/>
              <w:rPr>
                <w:b/>
                <w:sz w:val="20"/>
                <w:szCs w:val="20"/>
              </w:rPr>
            </w:pPr>
            <w:r w:rsidRPr="0081448E">
              <w:rPr>
                <w:b/>
                <w:sz w:val="20"/>
                <w:szCs w:val="20"/>
              </w:rPr>
              <w:t xml:space="preserve">Meubles Léon Ltée c. </w:t>
            </w:r>
            <w:r w:rsidR="000E4B43" w:rsidRPr="0081448E">
              <w:rPr>
                <w:b/>
                <w:sz w:val="20"/>
                <w:szCs w:val="20"/>
              </w:rPr>
              <w:t>Option Consommateurs, Chantal Noël De Tilly et Fairstone Financière inc. (anciennement connue comme CitiFinancière Canada inc.)</w:t>
            </w:r>
          </w:p>
          <w:p w:rsidR="00681E2A" w:rsidRPr="0081448E" w:rsidRDefault="00681E2A" w:rsidP="00681E2A">
            <w:pPr>
              <w:pStyle w:val="SCCLsocSubfileSeparator0"/>
              <w:rPr>
                <w:sz w:val="20"/>
                <w:szCs w:val="20"/>
                <w:lang w:val="fr-CA"/>
              </w:rPr>
            </w:pPr>
            <w:r w:rsidRPr="0081448E">
              <w:rPr>
                <w:sz w:val="20"/>
                <w:szCs w:val="20"/>
                <w:lang w:val="fr-CA"/>
              </w:rPr>
              <w:t>- et entre -</w:t>
            </w:r>
          </w:p>
          <w:p w:rsidR="00681E2A" w:rsidRPr="0081448E" w:rsidRDefault="00681E2A" w:rsidP="00681E2A">
            <w:pPr>
              <w:pStyle w:val="SCCLsocParty"/>
              <w:jc w:val="both"/>
              <w:rPr>
                <w:b/>
                <w:sz w:val="20"/>
                <w:szCs w:val="20"/>
              </w:rPr>
            </w:pPr>
            <w:r w:rsidRPr="0081448E">
              <w:rPr>
                <w:b/>
                <w:sz w:val="20"/>
                <w:szCs w:val="20"/>
              </w:rPr>
              <w:t xml:space="preserve">Option Consommateurs c. </w:t>
            </w:r>
            <w:r w:rsidR="000E4B43" w:rsidRPr="0081448E">
              <w:rPr>
                <w:b/>
                <w:sz w:val="20"/>
                <w:szCs w:val="20"/>
              </w:rPr>
              <w:t>Meubles Léon Ltée et Fairstone Financière inc. (anciennement connue comme CitiFinancière Canada inc.)</w:t>
            </w:r>
          </w:p>
          <w:p w:rsidR="00681E2A" w:rsidRPr="0081448E" w:rsidRDefault="00681E2A" w:rsidP="00681E2A">
            <w:pPr>
              <w:jc w:val="both"/>
              <w:rPr>
                <w:sz w:val="20"/>
                <w:szCs w:val="20"/>
                <w:lang w:val="fr-CA"/>
              </w:rPr>
            </w:pPr>
            <w:r w:rsidRPr="0081448E">
              <w:rPr>
                <w:sz w:val="20"/>
                <w:szCs w:val="20"/>
                <w:lang w:val="fr-CA"/>
              </w:rPr>
              <w:t>(Q</w:t>
            </w:r>
            <w:r w:rsidRPr="0081448E">
              <w:rPr>
                <w:sz w:val="20"/>
                <w:lang w:val="fr-CA"/>
              </w:rPr>
              <w:t>c</w:t>
            </w:r>
            <w:r w:rsidRPr="0081448E">
              <w:rPr>
                <w:sz w:val="20"/>
                <w:szCs w:val="20"/>
                <w:lang w:val="fr-CA"/>
              </w:rPr>
              <w:t>) (Civile) (Sur autorisation)</w:t>
            </w:r>
          </w:p>
        </w:tc>
      </w:tr>
      <w:tr w:rsidR="00681E2A" w:rsidRPr="005C4158" w:rsidTr="00681E2A">
        <w:tc>
          <w:tcPr>
            <w:tcW w:w="5000" w:type="pct"/>
            <w:gridSpan w:val="2"/>
          </w:tcPr>
          <w:p w:rsidR="000E4B43" w:rsidRPr="0081448E" w:rsidRDefault="000E4B43" w:rsidP="000E4B43">
            <w:pPr>
              <w:jc w:val="both"/>
              <w:rPr>
                <w:sz w:val="20"/>
                <w:szCs w:val="20"/>
                <w:lang w:val="fr-CA"/>
              </w:rPr>
            </w:pPr>
            <w:r w:rsidRPr="0081448E">
              <w:rPr>
                <w:sz w:val="20"/>
                <w:szCs w:val="20"/>
                <w:lang w:val="fr-CA"/>
              </w:rPr>
              <w:t>La requ</w:t>
            </w:r>
            <w:r w:rsidRPr="0081448E">
              <w:rPr>
                <w:rFonts w:cs="Times New Roman"/>
                <w:sz w:val="20"/>
                <w:szCs w:val="20"/>
                <w:lang w:val="fr-CA"/>
              </w:rPr>
              <w:t>ê</w:t>
            </w:r>
            <w:r w:rsidRPr="0081448E">
              <w:rPr>
                <w:sz w:val="20"/>
                <w:szCs w:val="20"/>
                <w:lang w:val="fr-CA"/>
              </w:rPr>
              <w:t>te pour permission d’intervenir par le Groupe BMTC inc. est rejet</w:t>
            </w:r>
            <w:r w:rsidRPr="0081448E">
              <w:rPr>
                <w:rFonts w:cs="Times New Roman"/>
                <w:sz w:val="20"/>
                <w:szCs w:val="20"/>
                <w:lang w:val="fr-CA"/>
              </w:rPr>
              <w:t>é</w:t>
            </w:r>
            <w:r w:rsidRPr="0081448E">
              <w:rPr>
                <w:sz w:val="20"/>
                <w:szCs w:val="20"/>
                <w:lang w:val="fr-CA"/>
              </w:rPr>
              <w:t>e. La requ</w:t>
            </w:r>
            <w:r w:rsidRPr="0081448E">
              <w:rPr>
                <w:rFonts w:cs="Times New Roman"/>
                <w:sz w:val="20"/>
                <w:szCs w:val="20"/>
                <w:lang w:val="fr-CA"/>
              </w:rPr>
              <w:t>ê</w:t>
            </w:r>
            <w:r w:rsidRPr="0081448E">
              <w:rPr>
                <w:sz w:val="20"/>
                <w:szCs w:val="20"/>
                <w:lang w:val="fr-CA"/>
              </w:rPr>
              <w:t xml:space="preserve">te pour permission d’intervenir par </w:t>
            </w:r>
            <w:r w:rsidRPr="0081448E">
              <w:rPr>
                <w:rFonts w:cs="Times New Roman"/>
                <w:sz w:val="20"/>
                <w:szCs w:val="20"/>
                <w:lang w:val="fr-CA"/>
              </w:rPr>
              <w:t xml:space="preserve">Entrepôt The Brick SEC </w:t>
            </w:r>
            <w:r w:rsidRPr="0081448E">
              <w:rPr>
                <w:sz w:val="20"/>
                <w:szCs w:val="20"/>
                <w:lang w:val="fr-CA"/>
              </w:rPr>
              <w:t>est rejet</w:t>
            </w:r>
            <w:r w:rsidRPr="0081448E">
              <w:rPr>
                <w:rFonts w:cs="Times New Roman"/>
                <w:sz w:val="20"/>
                <w:szCs w:val="20"/>
                <w:lang w:val="fr-CA"/>
              </w:rPr>
              <w:t>é</w:t>
            </w:r>
            <w:r w:rsidRPr="0081448E">
              <w:rPr>
                <w:sz w:val="20"/>
                <w:szCs w:val="20"/>
                <w:lang w:val="fr-CA"/>
              </w:rPr>
              <w:t>e.</w:t>
            </w:r>
          </w:p>
          <w:p w:rsidR="000E4B43" w:rsidRPr="0081448E" w:rsidRDefault="000E4B43" w:rsidP="000E4B43">
            <w:pPr>
              <w:jc w:val="both"/>
              <w:rPr>
                <w:sz w:val="20"/>
                <w:szCs w:val="20"/>
                <w:lang w:val="fr-CA"/>
              </w:rPr>
            </w:pPr>
          </w:p>
          <w:p w:rsidR="000E4B43" w:rsidRPr="0081448E" w:rsidRDefault="000E4B43" w:rsidP="000E4B43">
            <w:pPr>
              <w:jc w:val="both"/>
              <w:rPr>
                <w:sz w:val="20"/>
                <w:szCs w:val="20"/>
                <w:lang w:val="fr-CA"/>
              </w:rPr>
            </w:pPr>
            <w:r w:rsidRPr="0081448E">
              <w:rPr>
                <w:sz w:val="20"/>
                <w:szCs w:val="20"/>
                <w:lang w:val="fr-CA"/>
              </w:rPr>
              <w:t>La demande d’autorisation d’appel, déposée par Meubles Léon Ltée, de l’arrêt de la Cour d’appel du Québec (Montréal), numéros 500-09-027018-175 et 500-09-027020-171, 2020 QCCA 44, daté du 20 janvier 2020, est rejet</w:t>
            </w:r>
            <w:r w:rsidRPr="0081448E">
              <w:rPr>
                <w:rFonts w:cs="Times New Roman"/>
                <w:sz w:val="20"/>
                <w:szCs w:val="20"/>
                <w:lang w:val="fr-CA"/>
              </w:rPr>
              <w:t>é</w:t>
            </w:r>
            <w:r w:rsidRPr="0081448E">
              <w:rPr>
                <w:sz w:val="20"/>
                <w:szCs w:val="20"/>
                <w:lang w:val="fr-CA"/>
              </w:rPr>
              <w:t>e avec d</w:t>
            </w:r>
            <w:r w:rsidRPr="0081448E">
              <w:rPr>
                <w:rFonts w:cs="Times New Roman"/>
                <w:sz w:val="20"/>
                <w:szCs w:val="20"/>
                <w:lang w:val="fr-CA"/>
              </w:rPr>
              <w:t>é</w:t>
            </w:r>
            <w:r w:rsidRPr="0081448E">
              <w:rPr>
                <w:sz w:val="20"/>
                <w:szCs w:val="20"/>
                <w:lang w:val="fr-CA"/>
              </w:rPr>
              <w:t>pens en faveur de Option Consommateurs et Chantal Noël de Tilly.</w:t>
            </w:r>
          </w:p>
          <w:p w:rsidR="000E4B43" w:rsidRPr="0081448E" w:rsidRDefault="000E4B43" w:rsidP="000E4B43">
            <w:pPr>
              <w:jc w:val="both"/>
              <w:rPr>
                <w:sz w:val="20"/>
                <w:szCs w:val="20"/>
                <w:lang w:val="fr-CA"/>
              </w:rPr>
            </w:pPr>
          </w:p>
          <w:p w:rsidR="000E4B43" w:rsidRPr="0081448E" w:rsidRDefault="000E4B43" w:rsidP="000E4B43">
            <w:pPr>
              <w:jc w:val="both"/>
              <w:rPr>
                <w:sz w:val="20"/>
                <w:szCs w:val="20"/>
                <w:lang w:val="fr-CA"/>
              </w:rPr>
            </w:pPr>
            <w:r w:rsidRPr="0081448E">
              <w:rPr>
                <w:sz w:val="20"/>
                <w:szCs w:val="20"/>
                <w:lang w:val="fr-CA"/>
              </w:rPr>
              <w:t>La demande d’autorisation d’appel, d</w:t>
            </w:r>
            <w:r w:rsidRPr="0081448E">
              <w:rPr>
                <w:rFonts w:cs="Times New Roman"/>
                <w:sz w:val="20"/>
                <w:szCs w:val="20"/>
                <w:lang w:val="fr-CA"/>
              </w:rPr>
              <w:t>é</w:t>
            </w:r>
            <w:r w:rsidRPr="0081448E">
              <w:rPr>
                <w:sz w:val="20"/>
                <w:szCs w:val="20"/>
                <w:lang w:val="fr-CA"/>
              </w:rPr>
              <w:t>pos</w:t>
            </w:r>
            <w:r w:rsidRPr="0081448E">
              <w:rPr>
                <w:rFonts w:cs="Times New Roman"/>
                <w:sz w:val="20"/>
                <w:szCs w:val="20"/>
                <w:lang w:val="fr-CA"/>
              </w:rPr>
              <w:t>é</w:t>
            </w:r>
            <w:r w:rsidRPr="0081448E">
              <w:rPr>
                <w:sz w:val="20"/>
                <w:szCs w:val="20"/>
                <w:lang w:val="fr-CA"/>
              </w:rPr>
              <w:t>e par Option Consommateurs, de l’arrêt de la Cour d’appel du Québec (Montréal), numéros 500-09-027018-175 et 500-09-027020-171, 2020 QCCA 44, daté du 20 janvier 2020, est rejet</w:t>
            </w:r>
            <w:r w:rsidRPr="0081448E">
              <w:rPr>
                <w:rFonts w:cs="Times New Roman"/>
                <w:sz w:val="20"/>
                <w:szCs w:val="20"/>
                <w:lang w:val="fr-CA"/>
              </w:rPr>
              <w:t>é</w:t>
            </w:r>
            <w:r w:rsidRPr="0081448E">
              <w:rPr>
                <w:sz w:val="20"/>
                <w:szCs w:val="20"/>
                <w:lang w:val="fr-CA"/>
              </w:rPr>
              <w:t>e avec d</w:t>
            </w:r>
            <w:r w:rsidRPr="0081448E">
              <w:rPr>
                <w:rFonts w:cs="Times New Roman"/>
                <w:sz w:val="20"/>
                <w:szCs w:val="20"/>
                <w:lang w:val="fr-CA"/>
              </w:rPr>
              <w:t>é</w:t>
            </w:r>
            <w:r w:rsidRPr="0081448E">
              <w:rPr>
                <w:sz w:val="20"/>
                <w:szCs w:val="20"/>
                <w:lang w:val="fr-CA"/>
              </w:rPr>
              <w:t>pens en faveur de Meubles Léon Ltée et Fairstone Financière inc.</w:t>
            </w:r>
          </w:p>
          <w:p w:rsidR="00681E2A" w:rsidRPr="0081448E" w:rsidRDefault="00681E2A" w:rsidP="00681E2A">
            <w:pPr>
              <w:jc w:val="both"/>
              <w:rPr>
                <w:sz w:val="20"/>
                <w:szCs w:val="20"/>
                <w:lang w:val="fr-CA"/>
              </w:rPr>
            </w:pPr>
          </w:p>
        </w:tc>
      </w:tr>
      <w:tr w:rsidR="00681E2A" w:rsidRPr="005C4158" w:rsidTr="00681E2A">
        <w:tc>
          <w:tcPr>
            <w:tcW w:w="5000" w:type="pct"/>
            <w:gridSpan w:val="2"/>
          </w:tcPr>
          <w:p w:rsidR="00681E2A" w:rsidRPr="0081448E" w:rsidRDefault="00681E2A" w:rsidP="00681E2A">
            <w:pPr>
              <w:jc w:val="both"/>
              <w:rPr>
                <w:sz w:val="20"/>
                <w:szCs w:val="20"/>
                <w:lang w:val="fr-CA"/>
              </w:rPr>
            </w:pPr>
            <w:r w:rsidRPr="0081448E">
              <w:rPr>
                <w:sz w:val="20"/>
                <w:szCs w:val="20"/>
                <w:lang w:val="fr-CA"/>
              </w:rPr>
              <w:t>Loi sur la protection du consommateur — Publicité — Modalités du crédit — Recours collectif — Droit des membres d’un groupe de s’exclure — Autorité de la chose jugée — Un commerçant au Québec peut</w:t>
            </w:r>
            <w:r w:rsidRPr="0081448E">
              <w:rPr>
                <w:sz w:val="20"/>
                <w:szCs w:val="20"/>
                <w:lang w:val="fr-CA"/>
              </w:rPr>
              <w:noBreakHyphen/>
              <w:t xml:space="preserve">il faire la publicité de biens, de la disponibilité du crédit et des modalités du crédit simultanément ? — Les art. 244 et 247 de la </w:t>
            </w:r>
            <w:r w:rsidRPr="0081448E">
              <w:rPr>
                <w:i/>
                <w:sz w:val="20"/>
                <w:szCs w:val="20"/>
                <w:lang w:val="fr-CA"/>
              </w:rPr>
              <w:t>Loi sur la protection du consommateur</w:t>
            </w:r>
            <w:r w:rsidRPr="0081448E">
              <w:rPr>
                <w:sz w:val="20"/>
                <w:szCs w:val="20"/>
                <w:lang w:val="fr-CA"/>
              </w:rPr>
              <w:t>, RLRQ c. P</w:t>
            </w:r>
            <w:r w:rsidRPr="0081448E">
              <w:rPr>
                <w:sz w:val="20"/>
                <w:szCs w:val="20"/>
                <w:lang w:val="fr-CA"/>
              </w:rPr>
              <w:noBreakHyphen/>
              <w:t xml:space="preserve">40, et les art. 80 et 85 du </w:t>
            </w:r>
            <w:r w:rsidRPr="0081448E">
              <w:rPr>
                <w:i/>
                <w:sz w:val="20"/>
                <w:szCs w:val="20"/>
                <w:lang w:val="fr-CA"/>
              </w:rPr>
              <w:t>Règlement d’application de la Loi sur la protection du consommateur</w:t>
            </w:r>
            <w:r w:rsidRPr="0081448E">
              <w:rPr>
                <w:sz w:val="20"/>
                <w:szCs w:val="20"/>
                <w:lang w:val="fr-CA"/>
              </w:rPr>
              <w:t>, RLRQ c. P</w:t>
            </w:r>
            <w:r w:rsidRPr="0081448E">
              <w:rPr>
                <w:sz w:val="20"/>
                <w:szCs w:val="20"/>
                <w:lang w:val="fr-CA"/>
              </w:rPr>
              <w:noBreakHyphen/>
              <w:t>40.1, r. 3, sont</w:t>
            </w:r>
            <w:r w:rsidRPr="0081448E">
              <w:rPr>
                <w:sz w:val="20"/>
                <w:szCs w:val="20"/>
                <w:lang w:val="fr-CA"/>
              </w:rPr>
              <w:noBreakHyphen/>
              <w:t>ils mutuellement exclusifs ? — La demanderesse exerçant le recours collectif peut</w:t>
            </w:r>
            <w:r w:rsidRPr="0081448E">
              <w:rPr>
                <w:sz w:val="20"/>
                <w:szCs w:val="20"/>
                <w:lang w:val="fr-CA"/>
              </w:rPr>
              <w:noBreakHyphen/>
              <w:t xml:space="preserve">elle représenter des personnes à qui la possibilité d’être exclus du groupe cible n’a pas été présentée et qui sont par conséquent liées par le règlement ? — </w:t>
            </w:r>
            <w:r w:rsidRPr="0081448E">
              <w:rPr>
                <w:i/>
                <w:sz w:val="20"/>
                <w:szCs w:val="20"/>
                <w:lang w:val="fr-CA"/>
              </w:rPr>
              <w:t>Loi sur la protection du consommateur</w:t>
            </w:r>
            <w:r w:rsidRPr="0081448E">
              <w:rPr>
                <w:sz w:val="20"/>
                <w:szCs w:val="20"/>
                <w:lang w:val="fr-CA"/>
              </w:rPr>
              <w:t>, RLRQ c. P</w:t>
            </w:r>
            <w:r w:rsidRPr="0081448E">
              <w:rPr>
                <w:sz w:val="20"/>
                <w:szCs w:val="20"/>
                <w:lang w:val="fr-CA"/>
              </w:rPr>
              <w:noBreakHyphen/>
              <w:t xml:space="preserve">40, art. 244, 247 — </w:t>
            </w:r>
            <w:r w:rsidRPr="0081448E">
              <w:rPr>
                <w:i/>
                <w:sz w:val="20"/>
                <w:szCs w:val="20"/>
                <w:lang w:val="fr-CA"/>
              </w:rPr>
              <w:t>Règlement d’application de la Loi sur la protection du consommateur</w:t>
            </w:r>
            <w:r w:rsidRPr="0081448E">
              <w:rPr>
                <w:sz w:val="20"/>
                <w:szCs w:val="20"/>
                <w:lang w:val="fr-CA"/>
              </w:rPr>
              <w:t>, CQLR c. P</w:t>
            </w:r>
            <w:r w:rsidRPr="0081448E">
              <w:rPr>
                <w:sz w:val="20"/>
                <w:szCs w:val="20"/>
                <w:lang w:val="fr-CA"/>
              </w:rPr>
              <w:noBreakHyphen/>
              <w:t xml:space="preserve">40.1, r. 3, art. 80 et 85 — </w:t>
            </w:r>
            <w:r w:rsidRPr="0081448E">
              <w:rPr>
                <w:i/>
                <w:sz w:val="20"/>
                <w:szCs w:val="20"/>
                <w:lang w:val="fr-CA"/>
              </w:rPr>
              <w:t>Code civil du Québec</w:t>
            </w:r>
            <w:r w:rsidRPr="0081448E">
              <w:rPr>
                <w:sz w:val="20"/>
                <w:szCs w:val="20"/>
                <w:lang w:val="fr-CA"/>
              </w:rPr>
              <w:t>, art. 2848.</w:t>
            </w:r>
          </w:p>
        </w:tc>
      </w:tr>
      <w:tr w:rsidR="00681E2A" w:rsidRPr="005C4158" w:rsidTr="00681E2A">
        <w:tc>
          <w:tcPr>
            <w:tcW w:w="5000" w:type="pct"/>
            <w:gridSpan w:val="2"/>
          </w:tcPr>
          <w:p w:rsidR="00681E2A" w:rsidRPr="0081448E" w:rsidRDefault="00681E2A" w:rsidP="00681E2A">
            <w:pPr>
              <w:jc w:val="both"/>
              <w:rPr>
                <w:sz w:val="20"/>
                <w:szCs w:val="20"/>
                <w:lang w:val="fr-CA"/>
              </w:rPr>
            </w:pPr>
          </w:p>
        </w:tc>
      </w:tr>
      <w:tr w:rsidR="00681E2A" w:rsidRPr="005C4158" w:rsidTr="00681E2A">
        <w:tc>
          <w:tcPr>
            <w:tcW w:w="5000" w:type="pct"/>
            <w:gridSpan w:val="2"/>
          </w:tcPr>
          <w:p w:rsidR="00681E2A" w:rsidRPr="0081448E" w:rsidRDefault="00681E2A" w:rsidP="00681E2A">
            <w:pPr>
              <w:jc w:val="both"/>
              <w:rPr>
                <w:sz w:val="20"/>
                <w:szCs w:val="20"/>
                <w:lang w:val="fr-CA"/>
              </w:rPr>
            </w:pPr>
            <w:r w:rsidRPr="0081448E">
              <w:rPr>
                <w:sz w:val="20"/>
                <w:szCs w:val="20"/>
                <w:lang w:val="fr-CA"/>
              </w:rPr>
              <w:t>Meubles Léon Ltée est détaillante de meubles, d’appareils électroniques et d’appareils ménagers. En 2001, Léon a conclu une entente avec CitiFinancière Canada inc., qui est maintenant l’intimée Fairstone Financial Inc., par laquelle Fairstone deviendrait le fournisseur de crédit de Léon à la grandeur du pays. Même si l’entente entre les deux sociétés est silencieuse quant à la possibilité que Fairstone impose des frais aux clients de Léon, le contrat de crédit signé par les clients prévoit une telle possibilité. À la fin de 2008, Fairstone a annoncé à Léon qu’elle avait décidé d’imposer des frais annuels de 21 $ aux clients. Au printemps de 2009, Fairstone a avisé les clients des frais annuels, mais leur a offert la possibilité de rembourser la totalité du solde de leur compte afin d’éviter de payer les frais. Léon a reçu une copie de l’avis envoyé par Fairstone aux clients, ainsi que des copies de documents connexes visant à informer les clients et les vendeurs des modifications apportées aux modalités du crédit. En mai 2009, des frais ont été facturés aux nouveaux clients, ainsi qu’aux clients dont le solde du compte était de 450 $ et plus. En novembre 2009, Léon a mis fin à sa relation commerciale avec Fairstone. En novembre 2009, Option consommateurs et Mme Noël de Tilly, à titre de représentante des demandeurs, ont déposé une requête pour autorisation d’exercer un recours collectif contre Léon, sollicitant le remboursement des frais facturés par Fairstone, ainsi que des dommages</w:t>
            </w:r>
            <w:r w:rsidRPr="0081448E">
              <w:rPr>
                <w:sz w:val="20"/>
                <w:szCs w:val="20"/>
                <w:lang w:val="fr-CA"/>
              </w:rPr>
              <w:noBreakHyphen/>
              <w:t xml:space="preserve">intérêts fondés sur l’allégation portant que la publicité de Léon ne se conformait pas aux dispositions de la </w:t>
            </w:r>
            <w:r w:rsidRPr="0081448E">
              <w:rPr>
                <w:i/>
                <w:sz w:val="20"/>
                <w:szCs w:val="20"/>
                <w:lang w:val="fr-CA"/>
              </w:rPr>
              <w:t>Loi sur la protection du consommateur</w:t>
            </w:r>
            <w:r w:rsidRPr="0081448E">
              <w:rPr>
                <w:sz w:val="20"/>
                <w:szCs w:val="20"/>
                <w:lang w:val="fr-CA"/>
              </w:rPr>
              <w:t xml:space="preserve"> et des règlements y afférents. Le 21 juin 2012, le juge de première instance a autorisé le recours collectif et a rejeté la requête en rejet s’appuyant en partie sur l’autorité de la chose jugée. En novembre 2012, Option consommateurs et Mme Noël de Tilly ont présenté leur demande introductive d’instance et Léon a présenté une demande introductive d’instance de recours en garantie contre Fairstone. La Cour supérieure a accueilli le recours collectif et la demande de recours en garantie. La Cour d’appel a accueilli en partie les appels de Léon et Fairstone et a rejeté l’appel incident intenté par Option consommateurs. Léon et Option consommateurs ont présenté des demandes distinctes d’autorisation d’appel devant la Cour suprême s’intimant l’une l’autre, aussi bien que Fairstone. Mme Noël de Tilly a également été ajoutée comme intimée dans la demande présentée par Léon.</w:t>
            </w:r>
          </w:p>
          <w:p w:rsidR="00681E2A" w:rsidRPr="0081448E" w:rsidRDefault="00681E2A" w:rsidP="00681E2A">
            <w:pPr>
              <w:jc w:val="both"/>
              <w:rPr>
                <w:sz w:val="20"/>
                <w:szCs w:val="20"/>
                <w:lang w:val="fr-CA"/>
              </w:rPr>
            </w:pPr>
          </w:p>
        </w:tc>
      </w:tr>
    </w:tbl>
    <w:p w:rsidR="000E4B43" w:rsidRPr="0081448E" w:rsidRDefault="000E4B43">
      <w:pPr>
        <w:rPr>
          <w:lang w:val="fr-CA"/>
        </w:rPr>
      </w:pPr>
      <w:r w:rsidRPr="0081448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1E2A" w:rsidRPr="005C4158" w:rsidTr="00681E2A">
        <w:tc>
          <w:tcPr>
            <w:tcW w:w="2427" w:type="pct"/>
          </w:tcPr>
          <w:p w:rsidR="00681E2A" w:rsidRPr="0081448E" w:rsidRDefault="00681E2A" w:rsidP="00681E2A">
            <w:pPr>
              <w:jc w:val="both"/>
              <w:rPr>
                <w:sz w:val="20"/>
                <w:szCs w:val="20"/>
                <w:lang w:val="fr-CA"/>
              </w:rPr>
            </w:pPr>
            <w:r w:rsidRPr="0081448E">
              <w:rPr>
                <w:sz w:val="20"/>
                <w:szCs w:val="20"/>
                <w:lang w:val="fr-CA"/>
              </w:rPr>
              <w:lastRenderedPageBreak/>
              <w:t xml:space="preserve">31 juillet 2017 </w:t>
            </w:r>
          </w:p>
          <w:p w:rsidR="00681E2A" w:rsidRPr="0081448E" w:rsidRDefault="00681E2A" w:rsidP="00681E2A">
            <w:pPr>
              <w:jc w:val="both"/>
              <w:rPr>
                <w:sz w:val="20"/>
                <w:szCs w:val="20"/>
                <w:lang w:val="fr-CA"/>
              </w:rPr>
            </w:pPr>
            <w:r w:rsidRPr="0081448E">
              <w:rPr>
                <w:sz w:val="20"/>
                <w:szCs w:val="20"/>
                <w:lang w:val="fr-CA"/>
              </w:rPr>
              <w:t>Cour supérieure du Québec</w:t>
            </w:r>
          </w:p>
          <w:p w:rsidR="00681E2A" w:rsidRPr="0081448E" w:rsidRDefault="00681E2A" w:rsidP="00681E2A">
            <w:pPr>
              <w:jc w:val="both"/>
              <w:rPr>
                <w:sz w:val="20"/>
                <w:szCs w:val="20"/>
                <w:lang w:val="fr-CA"/>
              </w:rPr>
            </w:pPr>
            <w:r w:rsidRPr="0081448E">
              <w:rPr>
                <w:sz w:val="20"/>
                <w:szCs w:val="20"/>
                <w:lang w:val="fr-CA"/>
              </w:rPr>
              <w:t>(Juge Blanchard)</w:t>
            </w:r>
          </w:p>
          <w:p w:rsidR="00681E2A" w:rsidRPr="0081448E" w:rsidRDefault="00DC444A" w:rsidP="00681E2A">
            <w:pPr>
              <w:jc w:val="both"/>
              <w:rPr>
                <w:sz w:val="20"/>
                <w:szCs w:val="20"/>
                <w:lang w:val="fr-CA"/>
              </w:rPr>
            </w:pPr>
            <w:hyperlink r:id="rId21" w:history="1">
              <w:r w:rsidR="00681E2A" w:rsidRPr="0081448E">
                <w:rPr>
                  <w:rStyle w:val="Hyperlink"/>
                  <w:sz w:val="20"/>
                  <w:szCs w:val="20"/>
                  <w:lang w:val="fr-CA"/>
                </w:rPr>
                <w:t>2017 QCCS 3526</w:t>
              </w:r>
            </w:hyperlink>
            <w:r w:rsidR="00681E2A" w:rsidRPr="0081448E">
              <w:rPr>
                <w:sz w:val="20"/>
                <w:szCs w:val="20"/>
                <w:lang w:val="fr-CA"/>
              </w:rPr>
              <w:t xml:space="preserve"> </w:t>
            </w:r>
          </w:p>
          <w:p w:rsidR="00681E2A" w:rsidRPr="0081448E" w:rsidRDefault="00681E2A" w:rsidP="00681E2A">
            <w:pPr>
              <w:jc w:val="both"/>
              <w:rPr>
                <w:sz w:val="20"/>
                <w:szCs w:val="20"/>
                <w:lang w:val="fr-CA"/>
              </w:rPr>
            </w:pPr>
          </w:p>
        </w:tc>
        <w:tc>
          <w:tcPr>
            <w:tcW w:w="243" w:type="pct"/>
          </w:tcPr>
          <w:p w:rsidR="00681E2A" w:rsidRPr="0081448E" w:rsidRDefault="00681E2A" w:rsidP="00681E2A">
            <w:pPr>
              <w:jc w:val="both"/>
              <w:rPr>
                <w:sz w:val="20"/>
                <w:szCs w:val="20"/>
                <w:lang w:val="fr-CA"/>
              </w:rPr>
            </w:pPr>
          </w:p>
        </w:tc>
        <w:tc>
          <w:tcPr>
            <w:tcW w:w="2330" w:type="pct"/>
          </w:tcPr>
          <w:p w:rsidR="00681E2A" w:rsidRPr="0081448E" w:rsidRDefault="00681E2A" w:rsidP="00681E2A">
            <w:pPr>
              <w:jc w:val="both"/>
              <w:rPr>
                <w:sz w:val="20"/>
                <w:szCs w:val="20"/>
                <w:lang w:val="fr-CA"/>
              </w:rPr>
            </w:pPr>
            <w:r w:rsidRPr="0081448E">
              <w:rPr>
                <w:sz w:val="20"/>
                <w:szCs w:val="20"/>
                <w:lang w:val="fr-CA"/>
              </w:rPr>
              <w:t>Le recours collectif est accueilli.</w:t>
            </w:r>
          </w:p>
          <w:p w:rsidR="00681E2A" w:rsidRPr="0081448E" w:rsidRDefault="00681E2A" w:rsidP="00681E2A">
            <w:pPr>
              <w:jc w:val="both"/>
              <w:rPr>
                <w:sz w:val="20"/>
                <w:szCs w:val="20"/>
                <w:lang w:val="fr-CA"/>
              </w:rPr>
            </w:pPr>
            <w:r w:rsidRPr="0081448E">
              <w:rPr>
                <w:sz w:val="20"/>
                <w:szCs w:val="20"/>
                <w:lang w:val="fr-CA"/>
              </w:rPr>
              <w:t>La demande de recours en garantie est accueillie.</w:t>
            </w:r>
          </w:p>
          <w:p w:rsidR="00681E2A" w:rsidRPr="0081448E" w:rsidRDefault="00681E2A" w:rsidP="00681E2A">
            <w:pPr>
              <w:jc w:val="both"/>
              <w:rPr>
                <w:sz w:val="20"/>
                <w:szCs w:val="20"/>
                <w:lang w:val="fr-CA"/>
              </w:rPr>
            </w:pPr>
          </w:p>
        </w:tc>
      </w:tr>
      <w:tr w:rsidR="00681E2A" w:rsidRPr="005C4158" w:rsidTr="00681E2A">
        <w:tc>
          <w:tcPr>
            <w:tcW w:w="2427" w:type="pct"/>
          </w:tcPr>
          <w:p w:rsidR="00681E2A" w:rsidRPr="0081448E" w:rsidRDefault="00681E2A" w:rsidP="00681E2A">
            <w:pPr>
              <w:jc w:val="both"/>
              <w:rPr>
                <w:sz w:val="20"/>
                <w:szCs w:val="20"/>
                <w:lang w:val="fr-CA"/>
              </w:rPr>
            </w:pPr>
            <w:r w:rsidRPr="0081448E">
              <w:rPr>
                <w:sz w:val="20"/>
                <w:szCs w:val="20"/>
                <w:lang w:val="fr-CA"/>
              </w:rPr>
              <w:t>20 janvier 2020</w:t>
            </w:r>
          </w:p>
          <w:p w:rsidR="00681E2A" w:rsidRPr="0081448E" w:rsidRDefault="00681E2A" w:rsidP="00681E2A">
            <w:pPr>
              <w:jc w:val="both"/>
              <w:rPr>
                <w:sz w:val="20"/>
                <w:szCs w:val="20"/>
                <w:lang w:val="fr-CA"/>
              </w:rPr>
            </w:pPr>
            <w:r w:rsidRPr="0081448E">
              <w:rPr>
                <w:sz w:val="20"/>
                <w:szCs w:val="20"/>
                <w:lang w:val="fr-CA"/>
              </w:rPr>
              <w:t>Cour d’appel du Québec (Montréal)</w:t>
            </w:r>
          </w:p>
          <w:p w:rsidR="00681E2A" w:rsidRPr="0081448E" w:rsidRDefault="00681E2A" w:rsidP="00681E2A">
            <w:pPr>
              <w:jc w:val="both"/>
              <w:rPr>
                <w:sz w:val="20"/>
                <w:szCs w:val="20"/>
                <w:lang w:val="fr-CA"/>
              </w:rPr>
            </w:pPr>
            <w:r w:rsidRPr="0081448E">
              <w:rPr>
                <w:sz w:val="20"/>
                <w:szCs w:val="20"/>
                <w:lang w:val="fr-CA"/>
              </w:rPr>
              <w:t>(Juges Chamberland, Rochette et Roy)</w:t>
            </w:r>
          </w:p>
          <w:p w:rsidR="00681E2A" w:rsidRPr="0081448E" w:rsidRDefault="00DC444A" w:rsidP="00681E2A">
            <w:pPr>
              <w:jc w:val="both"/>
              <w:rPr>
                <w:sz w:val="20"/>
                <w:szCs w:val="20"/>
                <w:lang w:val="fr-CA"/>
              </w:rPr>
            </w:pPr>
            <w:hyperlink r:id="rId22" w:history="1">
              <w:r w:rsidR="00681E2A" w:rsidRPr="0081448E">
                <w:rPr>
                  <w:rStyle w:val="Hyperlink"/>
                  <w:sz w:val="20"/>
                  <w:szCs w:val="20"/>
                  <w:lang w:val="fr-CA"/>
                </w:rPr>
                <w:t>2020 QCCA 44</w:t>
              </w:r>
            </w:hyperlink>
          </w:p>
          <w:p w:rsidR="00681E2A" w:rsidRPr="0081448E" w:rsidRDefault="00681E2A" w:rsidP="00681E2A">
            <w:pPr>
              <w:jc w:val="both"/>
              <w:rPr>
                <w:sz w:val="20"/>
                <w:szCs w:val="20"/>
                <w:lang w:val="fr-CA"/>
              </w:rPr>
            </w:pPr>
          </w:p>
        </w:tc>
        <w:tc>
          <w:tcPr>
            <w:tcW w:w="243" w:type="pct"/>
          </w:tcPr>
          <w:p w:rsidR="00681E2A" w:rsidRPr="0081448E" w:rsidRDefault="00681E2A" w:rsidP="00681E2A">
            <w:pPr>
              <w:jc w:val="both"/>
              <w:rPr>
                <w:sz w:val="20"/>
                <w:szCs w:val="20"/>
                <w:lang w:val="fr-CA"/>
              </w:rPr>
            </w:pPr>
          </w:p>
        </w:tc>
        <w:tc>
          <w:tcPr>
            <w:tcW w:w="2330" w:type="pct"/>
          </w:tcPr>
          <w:p w:rsidR="00681E2A" w:rsidRPr="0081448E" w:rsidRDefault="00681E2A" w:rsidP="00681E2A">
            <w:pPr>
              <w:jc w:val="both"/>
              <w:rPr>
                <w:sz w:val="20"/>
                <w:szCs w:val="20"/>
                <w:lang w:val="fr-CA"/>
              </w:rPr>
            </w:pPr>
            <w:r w:rsidRPr="0081448E">
              <w:rPr>
                <w:sz w:val="20"/>
                <w:szCs w:val="20"/>
                <w:lang w:val="fr-CA"/>
              </w:rPr>
              <w:t>Appel intenté par Meubles Léon Ltée accueilli en partie.</w:t>
            </w:r>
          </w:p>
          <w:p w:rsidR="00681E2A" w:rsidRPr="0081448E" w:rsidRDefault="00681E2A" w:rsidP="00681E2A">
            <w:pPr>
              <w:jc w:val="both"/>
              <w:rPr>
                <w:sz w:val="20"/>
                <w:szCs w:val="20"/>
                <w:lang w:val="fr-CA"/>
              </w:rPr>
            </w:pPr>
            <w:r w:rsidRPr="0081448E">
              <w:rPr>
                <w:sz w:val="20"/>
                <w:szCs w:val="20"/>
                <w:lang w:val="fr-CA"/>
              </w:rPr>
              <w:t>Appel intenté par Fairstone Financial Inc. accueilli en partie.</w:t>
            </w:r>
          </w:p>
          <w:p w:rsidR="00681E2A" w:rsidRPr="0081448E" w:rsidRDefault="00681E2A" w:rsidP="00681E2A">
            <w:pPr>
              <w:jc w:val="both"/>
              <w:rPr>
                <w:sz w:val="20"/>
                <w:szCs w:val="20"/>
                <w:lang w:val="fr-CA"/>
              </w:rPr>
            </w:pPr>
            <w:r w:rsidRPr="0081448E">
              <w:rPr>
                <w:sz w:val="20"/>
                <w:szCs w:val="20"/>
                <w:lang w:val="fr-CA"/>
              </w:rPr>
              <w:t>Appel incident intenté par Option consommateurs rejeté.</w:t>
            </w:r>
          </w:p>
          <w:p w:rsidR="00681E2A" w:rsidRPr="0081448E" w:rsidRDefault="00681E2A" w:rsidP="00681E2A">
            <w:pPr>
              <w:jc w:val="both"/>
              <w:rPr>
                <w:sz w:val="20"/>
                <w:szCs w:val="20"/>
                <w:lang w:val="fr-CA"/>
              </w:rPr>
            </w:pPr>
          </w:p>
        </w:tc>
      </w:tr>
      <w:tr w:rsidR="00681E2A" w:rsidRPr="005C4158" w:rsidTr="00681E2A">
        <w:tc>
          <w:tcPr>
            <w:tcW w:w="2427" w:type="pct"/>
          </w:tcPr>
          <w:p w:rsidR="00681E2A" w:rsidRPr="0081448E" w:rsidRDefault="00681E2A" w:rsidP="00681E2A">
            <w:pPr>
              <w:jc w:val="both"/>
              <w:rPr>
                <w:sz w:val="20"/>
                <w:szCs w:val="20"/>
                <w:lang w:val="fr-CA"/>
              </w:rPr>
            </w:pPr>
            <w:r w:rsidRPr="0081448E">
              <w:rPr>
                <w:sz w:val="20"/>
                <w:szCs w:val="20"/>
                <w:lang w:val="fr-CA"/>
              </w:rPr>
              <w:t>28 février 2020</w:t>
            </w:r>
          </w:p>
          <w:p w:rsidR="00681E2A" w:rsidRPr="0081448E" w:rsidRDefault="00681E2A" w:rsidP="00681E2A">
            <w:pPr>
              <w:jc w:val="both"/>
              <w:rPr>
                <w:sz w:val="20"/>
                <w:szCs w:val="20"/>
                <w:lang w:val="fr-CA"/>
              </w:rPr>
            </w:pPr>
            <w:r w:rsidRPr="0081448E">
              <w:rPr>
                <w:sz w:val="20"/>
                <w:szCs w:val="20"/>
                <w:lang w:val="fr-CA"/>
              </w:rPr>
              <w:t>Cour suprême du Canada</w:t>
            </w:r>
          </w:p>
          <w:p w:rsidR="00681E2A" w:rsidRPr="0081448E" w:rsidRDefault="00681E2A" w:rsidP="00681E2A">
            <w:pPr>
              <w:jc w:val="both"/>
              <w:rPr>
                <w:sz w:val="20"/>
                <w:szCs w:val="20"/>
                <w:lang w:val="fr-CA"/>
              </w:rPr>
            </w:pPr>
          </w:p>
        </w:tc>
        <w:tc>
          <w:tcPr>
            <w:tcW w:w="243" w:type="pct"/>
          </w:tcPr>
          <w:p w:rsidR="00681E2A" w:rsidRPr="0081448E" w:rsidRDefault="00681E2A" w:rsidP="00681E2A">
            <w:pPr>
              <w:jc w:val="both"/>
              <w:rPr>
                <w:sz w:val="20"/>
                <w:szCs w:val="20"/>
                <w:lang w:val="fr-CA"/>
              </w:rPr>
            </w:pPr>
          </w:p>
        </w:tc>
        <w:tc>
          <w:tcPr>
            <w:tcW w:w="2330" w:type="pct"/>
          </w:tcPr>
          <w:p w:rsidR="00681E2A" w:rsidRPr="0081448E" w:rsidRDefault="00681E2A" w:rsidP="00681E2A">
            <w:pPr>
              <w:jc w:val="both"/>
              <w:rPr>
                <w:sz w:val="20"/>
                <w:szCs w:val="20"/>
                <w:lang w:val="fr-CA"/>
              </w:rPr>
            </w:pPr>
            <w:r w:rsidRPr="0081448E">
              <w:rPr>
                <w:sz w:val="20"/>
                <w:szCs w:val="20"/>
                <w:lang w:val="fr-CA"/>
              </w:rPr>
              <w:t>Demande d’autorisation d’appel présentée par Meubles Léon Ltée.</w:t>
            </w:r>
          </w:p>
          <w:p w:rsidR="00681E2A" w:rsidRPr="0081448E" w:rsidRDefault="00681E2A" w:rsidP="00681E2A">
            <w:pPr>
              <w:jc w:val="both"/>
              <w:rPr>
                <w:sz w:val="20"/>
                <w:szCs w:val="20"/>
                <w:lang w:val="fr-CA"/>
              </w:rPr>
            </w:pPr>
          </w:p>
        </w:tc>
      </w:tr>
      <w:tr w:rsidR="00681E2A" w:rsidRPr="005C4158" w:rsidTr="00681E2A">
        <w:tc>
          <w:tcPr>
            <w:tcW w:w="2427" w:type="pct"/>
          </w:tcPr>
          <w:p w:rsidR="00681E2A" w:rsidRPr="0081448E" w:rsidRDefault="00681E2A" w:rsidP="00681E2A">
            <w:pPr>
              <w:jc w:val="both"/>
              <w:rPr>
                <w:sz w:val="20"/>
                <w:szCs w:val="20"/>
                <w:lang w:val="fr-CA"/>
              </w:rPr>
            </w:pPr>
            <w:r w:rsidRPr="0081448E">
              <w:rPr>
                <w:sz w:val="20"/>
                <w:szCs w:val="20"/>
                <w:lang w:val="fr-CA"/>
              </w:rPr>
              <w:t>19 mars 2020</w:t>
            </w:r>
          </w:p>
          <w:p w:rsidR="00681E2A" w:rsidRPr="0081448E" w:rsidRDefault="00681E2A" w:rsidP="00681E2A">
            <w:pPr>
              <w:jc w:val="both"/>
              <w:rPr>
                <w:sz w:val="20"/>
                <w:szCs w:val="20"/>
                <w:lang w:val="fr-CA"/>
              </w:rPr>
            </w:pPr>
            <w:r w:rsidRPr="0081448E">
              <w:rPr>
                <w:sz w:val="20"/>
                <w:szCs w:val="20"/>
                <w:lang w:val="fr-CA"/>
              </w:rPr>
              <w:t>Cour suprême du Canada</w:t>
            </w:r>
          </w:p>
        </w:tc>
        <w:tc>
          <w:tcPr>
            <w:tcW w:w="243" w:type="pct"/>
          </w:tcPr>
          <w:p w:rsidR="00681E2A" w:rsidRPr="0081448E" w:rsidRDefault="00681E2A" w:rsidP="00681E2A">
            <w:pPr>
              <w:jc w:val="both"/>
              <w:rPr>
                <w:sz w:val="20"/>
                <w:szCs w:val="20"/>
                <w:lang w:val="fr-CA"/>
              </w:rPr>
            </w:pPr>
          </w:p>
        </w:tc>
        <w:tc>
          <w:tcPr>
            <w:tcW w:w="2330" w:type="pct"/>
          </w:tcPr>
          <w:p w:rsidR="00681E2A" w:rsidRPr="0081448E" w:rsidRDefault="00681E2A" w:rsidP="00681E2A">
            <w:pPr>
              <w:jc w:val="both"/>
              <w:rPr>
                <w:sz w:val="20"/>
                <w:szCs w:val="20"/>
                <w:lang w:val="fr-CA"/>
              </w:rPr>
            </w:pPr>
            <w:r w:rsidRPr="0081448E">
              <w:rPr>
                <w:sz w:val="20"/>
                <w:szCs w:val="20"/>
                <w:lang w:val="fr-CA"/>
              </w:rPr>
              <w:t>Demande d’autorisation d’appel présentée par Option consommateurs.</w:t>
            </w:r>
          </w:p>
        </w:tc>
      </w:tr>
    </w:tbl>
    <w:p w:rsidR="00681E2A" w:rsidRPr="0081448E" w:rsidRDefault="00681E2A" w:rsidP="00681E2A">
      <w:pPr>
        <w:jc w:val="both"/>
        <w:rPr>
          <w:sz w:val="20"/>
          <w:lang w:val="fr-CA"/>
        </w:rPr>
      </w:pPr>
    </w:p>
    <w:p w:rsidR="00681E2A" w:rsidRPr="0081448E" w:rsidRDefault="00DC444A" w:rsidP="00681E2A">
      <w:pPr>
        <w:jc w:val="both"/>
        <w:rPr>
          <w:sz w:val="20"/>
          <w:szCs w:val="20"/>
          <w:lang w:val="fr-CA"/>
        </w:rPr>
      </w:pPr>
      <w:r>
        <w:rPr>
          <w:sz w:val="20"/>
        </w:rPr>
        <w:pict>
          <v:rect id="_x0000_i1038" style="width:2in;height:1pt" o:hrpct="0" o:hralign="center" o:hrstd="t" o:hrnoshade="t" o:hr="t" fillcolor="black [3213]" stroked="f"/>
        </w:pict>
      </w:r>
    </w:p>
    <w:p w:rsidR="00681E2A" w:rsidRPr="0081448E" w:rsidRDefault="00681E2A" w:rsidP="00681E2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1E2A" w:rsidRPr="0081448E" w:rsidTr="00681E2A">
        <w:tc>
          <w:tcPr>
            <w:tcW w:w="543" w:type="pct"/>
          </w:tcPr>
          <w:p w:rsidR="00681E2A" w:rsidRPr="0081448E" w:rsidRDefault="00681E2A" w:rsidP="00681E2A">
            <w:pPr>
              <w:jc w:val="both"/>
              <w:rPr>
                <w:sz w:val="20"/>
                <w:szCs w:val="20"/>
              </w:rPr>
            </w:pPr>
            <w:r w:rsidRPr="0081448E">
              <w:rPr>
                <w:rStyle w:val="SCCFileNumberChar"/>
                <w:sz w:val="20"/>
                <w:szCs w:val="20"/>
              </w:rPr>
              <w:t>39236</w:t>
            </w:r>
          </w:p>
        </w:tc>
        <w:tc>
          <w:tcPr>
            <w:tcW w:w="4457" w:type="pct"/>
            <w:gridSpan w:val="3"/>
          </w:tcPr>
          <w:p w:rsidR="00681E2A" w:rsidRPr="0081448E" w:rsidRDefault="00681E2A" w:rsidP="00681E2A">
            <w:pPr>
              <w:pStyle w:val="SCCLsocParty"/>
              <w:jc w:val="both"/>
              <w:rPr>
                <w:b/>
                <w:sz w:val="20"/>
                <w:szCs w:val="20"/>
              </w:rPr>
            </w:pPr>
            <w:r w:rsidRPr="0081448E">
              <w:rPr>
                <w:b/>
                <w:sz w:val="20"/>
                <w:szCs w:val="20"/>
              </w:rPr>
              <w:t>Municipalité de Saint-Roch-de-Richelieu</w:t>
            </w:r>
            <w:r w:rsidR="000E4B43" w:rsidRPr="0081448E">
              <w:rPr>
                <w:b/>
                <w:sz w:val="20"/>
                <w:szCs w:val="20"/>
              </w:rPr>
              <w:t xml:space="preserve"> and</w:t>
            </w:r>
            <w:r w:rsidRPr="0081448E">
              <w:rPr>
                <w:b/>
                <w:sz w:val="20"/>
                <w:szCs w:val="20"/>
              </w:rPr>
              <w:t xml:space="preserve"> Normand Beaulieu v. Champag Inc.</w:t>
            </w:r>
          </w:p>
          <w:p w:rsidR="00681E2A" w:rsidRPr="0081448E" w:rsidRDefault="00681E2A" w:rsidP="00681E2A">
            <w:pPr>
              <w:jc w:val="both"/>
              <w:rPr>
                <w:sz w:val="20"/>
                <w:szCs w:val="20"/>
              </w:rPr>
            </w:pPr>
            <w:r w:rsidRPr="0081448E">
              <w:rPr>
                <w:sz w:val="20"/>
                <w:szCs w:val="20"/>
              </w:rPr>
              <w:t>(Que.) (Civil) (By Leave)</w:t>
            </w:r>
          </w:p>
        </w:tc>
      </w:tr>
      <w:tr w:rsidR="00681E2A" w:rsidRPr="0081448E" w:rsidTr="00681E2A">
        <w:tc>
          <w:tcPr>
            <w:tcW w:w="5000" w:type="pct"/>
            <w:gridSpan w:val="4"/>
          </w:tcPr>
          <w:p w:rsidR="000E4B43" w:rsidRPr="0081448E" w:rsidRDefault="000E4B43" w:rsidP="000E4B43">
            <w:pPr>
              <w:jc w:val="both"/>
              <w:rPr>
                <w:sz w:val="20"/>
                <w:szCs w:val="20"/>
              </w:rPr>
            </w:pPr>
            <w:r w:rsidRPr="0081448E">
              <w:rPr>
                <w:sz w:val="20"/>
                <w:szCs w:val="20"/>
              </w:rPr>
              <w:t xml:space="preserve">The application for leave to appeal from the judgment of the </w:t>
            </w:r>
            <w:r w:rsidRPr="0081448E">
              <w:rPr>
                <w:sz w:val="20"/>
                <w:szCs w:val="20"/>
                <w:lang w:val="en-US"/>
              </w:rPr>
              <w:t>Court of Appeal of Quebec (Montréal)</w:t>
            </w:r>
            <w:r w:rsidRPr="0081448E">
              <w:rPr>
                <w:sz w:val="20"/>
                <w:szCs w:val="20"/>
              </w:rPr>
              <w:t xml:space="preserve">, Number </w:t>
            </w:r>
            <w:r w:rsidRPr="0081448E">
              <w:rPr>
                <w:sz w:val="20"/>
                <w:szCs w:val="20"/>
                <w:lang w:val="en-US"/>
              </w:rPr>
              <w:t>500-09-027776-186</w:t>
            </w:r>
            <w:r w:rsidRPr="0081448E">
              <w:rPr>
                <w:sz w:val="20"/>
                <w:szCs w:val="20"/>
              </w:rPr>
              <w:t xml:space="preserve">, </w:t>
            </w:r>
            <w:r w:rsidRPr="0081448E">
              <w:rPr>
                <w:sz w:val="20"/>
                <w:szCs w:val="20"/>
                <w:lang w:val="en-US"/>
              </w:rPr>
              <w:t xml:space="preserve">2020 QCCA 613, </w:t>
            </w:r>
            <w:r w:rsidRPr="0081448E">
              <w:rPr>
                <w:sz w:val="20"/>
                <w:szCs w:val="20"/>
              </w:rPr>
              <w:t xml:space="preserve">dated </w:t>
            </w:r>
            <w:r w:rsidRPr="0081448E">
              <w:rPr>
                <w:sz w:val="20"/>
                <w:szCs w:val="20"/>
                <w:lang w:val="en-US"/>
              </w:rPr>
              <w:t>April 30, 2020,</w:t>
            </w:r>
            <w:r w:rsidRPr="0081448E">
              <w:rPr>
                <w:sz w:val="20"/>
                <w:szCs w:val="20"/>
              </w:rPr>
              <w:t xml:space="preserve"> is dismissed with costs. </w:t>
            </w:r>
          </w:p>
          <w:p w:rsidR="00681E2A" w:rsidRPr="0081448E" w:rsidRDefault="00681E2A" w:rsidP="00681E2A">
            <w:pPr>
              <w:pStyle w:val="SCCBanSummary0"/>
              <w:rPr>
                <w:smallCaps w:val="0"/>
                <w:sz w:val="20"/>
                <w:szCs w:val="20"/>
              </w:rPr>
            </w:pPr>
          </w:p>
        </w:tc>
      </w:tr>
      <w:tr w:rsidR="00681E2A" w:rsidRPr="0081448E" w:rsidTr="00681E2A">
        <w:tc>
          <w:tcPr>
            <w:tcW w:w="5000" w:type="pct"/>
            <w:gridSpan w:val="4"/>
          </w:tcPr>
          <w:p w:rsidR="00681E2A" w:rsidRPr="0081448E" w:rsidRDefault="00681E2A" w:rsidP="00681E2A">
            <w:pPr>
              <w:pStyle w:val="SCCBanSummary0"/>
              <w:rPr>
                <w:smallCaps w:val="0"/>
                <w:sz w:val="20"/>
                <w:szCs w:val="20"/>
              </w:rPr>
            </w:pPr>
            <w:r w:rsidRPr="0081448E">
              <w:rPr>
                <w:smallCaps w:val="0"/>
                <w:sz w:val="20"/>
                <w:szCs w:val="20"/>
              </w:rPr>
              <w:t xml:space="preserve">Municipal law — Administrative law — Zoning by-law — Agricultural activity — Issue of building permit — Exercise of mandatory power — Whether municipal inspectors must, in analyzing conformity of application for permit with municipal zoning by-laws, inquire into activities of applicant outside municipality’s territory and into contemplated use of finished product that will be made on municipality’s territory — </w:t>
            </w:r>
            <w:r w:rsidRPr="0081448E">
              <w:rPr>
                <w:i/>
                <w:iCs/>
                <w:smallCaps w:val="0"/>
                <w:sz w:val="20"/>
                <w:szCs w:val="20"/>
              </w:rPr>
              <w:t>Act respecting the preservation of agricultural land and agricultural activities</w:t>
            </w:r>
            <w:r w:rsidRPr="0081448E">
              <w:rPr>
                <w:iCs/>
                <w:smallCaps w:val="0"/>
                <w:sz w:val="20"/>
                <w:szCs w:val="20"/>
              </w:rPr>
              <w:t>, CQLR, c. P</w:t>
            </w:r>
            <w:r w:rsidRPr="0081448E">
              <w:rPr>
                <w:iCs/>
                <w:smallCaps w:val="0"/>
                <w:sz w:val="20"/>
                <w:szCs w:val="20"/>
              </w:rPr>
              <w:noBreakHyphen/>
              <w:t xml:space="preserve">41.1, s. 1 </w:t>
            </w:r>
            <w:r w:rsidRPr="0081448E">
              <w:rPr>
                <w:smallCaps w:val="0"/>
                <w:sz w:val="20"/>
                <w:szCs w:val="20"/>
              </w:rPr>
              <w:t xml:space="preserve">— </w:t>
            </w:r>
            <w:r w:rsidRPr="0081448E">
              <w:rPr>
                <w:i/>
                <w:iCs/>
                <w:smallCaps w:val="0"/>
                <w:sz w:val="20"/>
                <w:szCs w:val="20"/>
              </w:rPr>
              <w:t>Act respecting land use planning and development</w:t>
            </w:r>
            <w:r w:rsidRPr="0081448E">
              <w:rPr>
                <w:smallCaps w:val="0"/>
                <w:sz w:val="20"/>
                <w:szCs w:val="20"/>
              </w:rPr>
              <w:t>, CQLR, c. A</w:t>
            </w:r>
            <w:r w:rsidRPr="0081448E">
              <w:rPr>
                <w:smallCaps w:val="0"/>
                <w:sz w:val="20"/>
                <w:szCs w:val="20"/>
              </w:rPr>
              <w:noBreakHyphen/>
              <w:t>19.1, s. 120.</w:t>
            </w:r>
          </w:p>
        </w:tc>
      </w:tr>
      <w:tr w:rsidR="00681E2A" w:rsidRPr="0081448E" w:rsidTr="00681E2A">
        <w:tc>
          <w:tcPr>
            <w:tcW w:w="5000" w:type="pct"/>
            <w:gridSpan w:val="4"/>
          </w:tcPr>
          <w:p w:rsidR="00681E2A" w:rsidRPr="0081448E" w:rsidRDefault="00681E2A" w:rsidP="00681E2A">
            <w:pPr>
              <w:jc w:val="both"/>
              <w:rPr>
                <w:sz w:val="20"/>
                <w:szCs w:val="20"/>
              </w:rPr>
            </w:pPr>
          </w:p>
        </w:tc>
      </w:tr>
      <w:tr w:rsidR="00681E2A" w:rsidRPr="0081448E" w:rsidTr="00681E2A">
        <w:tc>
          <w:tcPr>
            <w:tcW w:w="5000" w:type="pct"/>
            <w:gridSpan w:val="4"/>
          </w:tcPr>
          <w:p w:rsidR="00681E2A" w:rsidRPr="0081448E" w:rsidRDefault="00681E2A" w:rsidP="00681E2A">
            <w:pPr>
              <w:jc w:val="both"/>
              <w:rPr>
                <w:color w:val="000000"/>
                <w:sz w:val="20"/>
                <w:szCs w:val="20"/>
                <w:lang w:eastAsia="fr-CA"/>
              </w:rPr>
            </w:pPr>
            <w:r w:rsidRPr="0081448E">
              <w:rPr>
                <w:sz w:val="20"/>
                <w:szCs w:val="20"/>
              </w:rPr>
              <w:t>The respondent is a company that cultivates mushrooms. It applied to the applicant municipality for permits to build agricultural buildings that were to be used to produce a substrate for growing mushrooms. These permits were denied by the municipality’s building and environment inspector on the basis that the activity proposed by the respondent constituted an industrial use and did not meet the criteria established in the municipality’s zoning by</w:t>
            </w:r>
            <w:r w:rsidRPr="0081448E">
              <w:rPr>
                <w:sz w:val="20"/>
                <w:szCs w:val="20"/>
              </w:rPr>
              <w:noBreakHyphen/>
              <w:t>law</w:t>
            </w:r>
            <w:r w:rsidRPr="0081448E">
              <w:rPr>
                <w:iCs/>
                <w:sz w:val="20"/>
                <w:szCs w:val="20"/>
              </w:rPr>
              <w:t>. The Superior Court dismissed the respondent’s application for judicial review, concluding that the respondent’s proposed activity for the site could not be considered agricultural</w:t>
            </w:r>
            <w:r w:rsidRPr="0081448E">
              <w:rPr>
                <w:color w:val="000000"/>
                <w:sz w:val="20"/>
                <w:szCs w:val="20"/>
                <w:lang w:eastAsia="fr-CA"/>
              </w:rPr>
              <w:t>. The Court of Appeal allowed the respondent’s appeal and ordered the municipality to issue the permit, concluding that the application judge had erred in taking neither the nature nor the purpose of the proposed activity into account.</w:t>
            </w:r>
          </w:p>
          <w:p w:rsidR="00681E2A" w:rsidRPr="0081448E" w:rsidRDefault="00681E2A" w:rsidP="00681E2A">
            <w:pPr>
              <w:jc w:val="both"/>
              <w:rPr>
                <w:sz w:val="20"/>
                <w:szCs w:val="20"/>
              </w:rPr>
            </w:pPr>
          </w:p>
        </w:tc>
      </w:tr>
      <w:tr w:rsidR="00681E2A" w:rsidRPr="0081448E" w:rsidTr="00681E2A">
        <w:tc>
          <w:tcPr>
            <w:tcW w:w="2427" w:type="pct"/>
            <w:gridSpan w:val="2"/>
          </w:tcPr>
          <w:p w:rsidR="00681E2A" w:rsidRPr="0081448E" w:rsidRDefault="00681E2A" w:rsidP="00681E2A">
            <w:pPr>
              <w:jc w:val="both"/>
              <w:rPr>
                <w:sz w:val="20"/>
                <w:szCs w:val="20"/>
              </w:rPr>
            </w:pPr>
            <w:r w:rsidRPr="0081448E">
              <w:rPr>
                <w:sz w:val="20"/>
                <w:szCs w:val="20"/>
              </w:rPr>
              <w:t>July 19, 2018</w:t>
            </w:r>
          </w:p>
          <w:p w:rsidR="00681E2A" w:rsidRPr="0081448E" w:rsidRDefault="00681E2A" w:rsidP="00681E2A">
            <w:pPr>
              <w:jc w:val="both"/>
              <w:rPr>
                <w:sz w:val="20"/>
                <w:szCs w:val="20"/>
              </w:rPr>
            </w:pPr>
            <w:r w:rsidRPr="0081448E">
              <w:rPr>
                <w:sz w:val="20"/>
                <w:szCs w:val="20"/>
              </w:rPr>
              <w:t>Quebec Superior Court (Richelieu)</w:t>
            </w:r>
          </w:p>
          <w:p w:rsidR="00681E2A" w:rsidRPr="0081448E" w:rsidRDefault="00681E2A" w:rsidP="00681E2A">
            <w:pPr>
              <w:jc w:val="both"/>
              <w:rPr>
                <w:sz w:val="20"/>
                <w:szCs w:val="20"/>
              </w:rPr>
            </w:pPr>
            <w:r w:rsidRPr="0081448E">
              <w:rPr>
                <w:sz w:val="20"/>
                <w:szCs w:val="20"/>
              </w:rPr>
              <w:t>(Dubois J.)</w:t>
            </w:r>
          </w:p>
          <w:p w:rsidR="00681E2A" w:rsidRPr="0081448E" w:rsidRDefault="00681E2A" w:rsidP="00681E2A">
            <w:pPr>
              <w:jc w:val="both"/>
              <w:rPr>
                <w:sz w:val="20"/>
                <w:szCs w:val="20"/>
              </w:rPr>
            </w:pPr>
            <w:r w:rsidRPr="0081448E">
              <w:rPr>
                <w:sz w:val="20"/>
                <w:szCs w:val="20"/>
              </w:rPr>
              <w:t>765</w:t>
            </w:r>
            <w:r w:rsidRPr="0081448E">
              <w:rPr>
                <w:sz w:val="20"/>
                <w:szCs w:val="20"/>
              </w:rPr>
              <w:noBreakHyphen/>
              <w:t>17</w:t>
            </w:r>
            <w:r w:rsidRPr="0081448E">
              <w:rPr>
                <w:sz w:val="20"/>
                <w:szCs w:val="20"/>
              </w:rPr>
              <w:noBreakHyphen/>
              <w:t>001738</w:t>
            </w:r>
            <w:r w:rsidRPr="0081448E">
              <w:rPr>
                <w:sz w:val="20"/>
                <w:szCs w:val="20"/>
              </w:rPr>
              <w:noBreakHyphen/>
              <w:t>170</w:t>
            </w:r>
          </w:p>
          <w:p w:rsidR="00681E2A" w:rsidRPr="0081448E" w:rsidRDefault="00DC444A" w:rsidP="00681E2A">
            <w:pPr>
              <w:jc w:val="both"/>
              <w:rPr>
                <w:sz w:val="20"/>
                <w:szCs w:val="20"/>
              </w:rPr>
            </w:pPr>
            <w:hyperlink r:id="rId23" w:history="1">
              <w:r w:rsidR="00681E2A" w:rsidRPr="0081448E">
                <w:rPr>
                  <w:rStyle w:val="Hyperlink"/>
                  <w:sz w:val="20"/>
                  <w:szCs w:val="20"/>
                </w:rPr>
                <w:t>2018 QCCS 3242</w:t>
              </w:r>
            </w:hyperlink>
          </w:p>
          <w:p w:rsidR="00681E2A" w:rsidRPr="0081448E" w:rsidRDefault="00681E2A" w:rsidP="00681E2A">
            <w:pPr>
              <w:jc w:val="both"/>
              <w:rPr>
                <w:sz w:val="20"/>
                <w:szCs w:val="20"/>
              </w:rPr>
            </w:pPr>
          </w:p>
        </w:tc>
        <w:tc>
          <w:tcPr>
            <w:tcW w:w="243" w:type="pct"/>
          </w:tcPr>
          <w:p w:rsidR="00681E2A" w:rsidRPr="0081448E" w:rsidRDefault="00681E2A" w:rsidP="00681E2A">
            <w:pPr>
              <w:jc w:val="both"/>
              <w:rPr>
                <w:sz w:val="20"/>
                <w:szCs w:val="20"/>
              </w:rPr>
            </w:pPr>
          </w:p>
        </w:tc>
        <w:tc>
          <w:tcPr>
            <w:tcW w:w="2330" w:type="pct"/>
          </w:tcPr>
          <w:p w:rsidR="00681E2A" w:rsidRPr="0081448E" w:rsidRDefault="00681E2A" w:rsidP="00681E2A">
            <w:pPr>
              <w:jc w:val="both"/>
              <w:rPr>
                <w:sz w:val="20"/>
                <w:szCs w:val="20"/>
              </w:rPr>
            </w:pPr>
            <w:r w:rsidRPr="0081448E">
              <w:rPr>
                <w:sz w:val="20"/>
                <w:szCs w:val="20"/>
              </w:rPr>
              <w:t>Application for judicial review dismissed with costs</w:t>
            </w:r>
          </w:p>
          <w:p w:rsidR="00681E2A" w:rsidRPr="0081448E" w:rsidRDefault="00681E2A" w:rsidP="00681E2A">
            <w:pPr>
              <w:jc w:val="both"/>
              <w:rPr>
                <w:sz w:val="20"/>
                <w:szCs w:val="20"/>
              </w:rPr>
            </w:pPr>
          </w:p>
        </w:tc>
      </w:tr>
      <w:tr w:rsidR="00681E2A" w:rsidRPr="0081448E" w:rsidTr="00681E2A">
        <w:tc>
          <w:tcPr>
            <w:tcW w:w="2427" w:type="pct"/>
            <w:gridSpan w:val="2"/>
          </w:tcPr>
          <w:p w:rsidR="00681E2A" w:rsidRPr="0081448E" w:rsidRDefault="00681E2A" w:rsidP="00681E2A">
            <w:pPr>
              <w:jc w:val="both"/>
              <w:rPr>
                <w:sz w:val="20"/>
                <w:szCs w:val="20"/>
              </w:rPr>
            </w:pPr>
            <w:r w:rsidRPr="0081448E">
              <w:rPr>
                <w:sz w:val="20"/>
                <w:szCs w:val="20"/>
              </w:rPr>
              <w:t>April 30, 2020</w:t>
            </w:r>
          </w:p>
          <w:p w:rsidR="00681E2A" w:rsidRPr="0081448E" w:rsidRDefault="00681E2A" w:rsidP="00681E2A">
            <w:pPr>
              <w:jc w:val="both"/>
              <w:rPr>
                <w:sz w:val="20"/>
                <w:szCs w:val="20"/>
              </w:rPr>
            </w:pPr>
            <w:r w:rsidRPr="0081448E">
              <w:rPr>
                <w:sz w:val="20"/>
                <w:szCs w:val="20"/>
              </w:rPr>
              <w:t>Quebec Court of Appeal (Montréal)</w:t>
            </w:r>
          </w:p>
          <w:p w:rsidR="00681E2A" w:rsidRPr="0081448E" w:rsidRDefault="00681E2A" w:rsidP="00681E2A">
            <w:pPr>
              <w:jc w:val="both"/>
              <w:rPr>
                <w:sz w:val="20"/>
                <w:szCs w:val="20"/>
              </w:rPr>
            </w:pPr>
            <w:r w:rsidRPr="0081448E">
              <w:rPr>
                <w:sz w:val="20"/>
                <w:szCs w:val="20"/>
              </w:rPr>
              <w:t>(Schrager, Healy and Fournier JJ.A.)</w:t>
            </w:r>
          </w:p>
          <w:p w:rsidR="00681E2A" w:rsidRPr="0081448E" w:rsidRDefault="00681E2A" w:rsidP="00681E2A">
            <w:pPr>
              <w:jc w:val="both"/>
              <w:rPr>
                <w:sz w:val="20"/>
                <w:szCs w:val="20"/>
              </w:rPr>
            </w:pPr>
            <w:r w:rsidRPr="0081448E">
              <w:rPr>
                <w:sz w:val="20"/>
                <w:szCs w:val="20"/>
              </w:rPr>
              <w:t>500</w:t>
            </w:r>
            <w:r w:rsidRPr="0081448E">
              <w:rPr>
                <w:sz w:val="20"/>
                <w:szCs w:val="20"/>
              </w:rPr>
              <w:noBreakHyphen/>
              <w:t>09</w:t>
            </w:r>
            <w:r w:rsidRPr="0081448E">
              <w:rPr>
                <w:sz w:val="20"/>
                <w:szCs w:val="20"/>
              </w:rPr>
              <w:noBreakHyphen/>
              <w:t>027776</w:t>
            </w:r>
            <w:r w:rsidRPr="0081448E">
              <w:rPr>
                <w:sz w:val="20"/>
                <w:szCs w:val="20"/>
              </w:rPr>
              <w:noBreakHyphen/>
              <w:t>186</w:t>
            </w:r>
          </w:p>
          <w:p w:rsidR="00681E2A" w:rsidRPr="0081448E" w:rsidRDefault="00DC444A" w:rsidP="00681E2A">
            <w:pPr>
              <w:jc w:val="both"/>
              <w:rPr>
                <w:sz w:val="20"/>
                <w:szCs w:val="20"/>
              </w:rPr>
            </w:pPr>
            <w:hyperlink r:id="rId24" w:history="1">
              <w:r w:rsidR="00681E2A" w:rsidRPr="0081448E">
                <w:rPr>
                  <w:rStyle w:val="Hyperlink"/>
                  <w:sz w:val="20"/>
                  <w:szCs w:val="20"/>
                </w:rPr>
                <w:t>2020 QCCA 613</w:t>
              </w:r>
            </w:hyperlink>
          </w:p>
          <w:p w:rsidR="00681E2A" w:rsidRPr="0081448E" w:rsidRDefault="00681E2A" w:rsidP="00681E2A">
            <w:pPr>
              <w:jc w:val="both"/>
              <w:rPr>
                <w:sz w:val="20"/>
                <w:szCs w:val="20"/>
              </w:rPr>
            </w:pPr>
          </w:p>
        </w:tc>
        <w:tc>
          <w:tcPr>
            <w:tcW w:w="243" w:type="pct"/>
          </w:tcPr>
          <w:p w:rsidR="00681E2A" w:rsidRPr="0081448E" w:rsidRDefault="00681E2A" w:rsidP="00681E2A">
            <w:pPr>
              <w:jc w:val="both"/>
              <w:rPr>
                <w:sz w:val="20"/>
                <w:szCs w:val="20"/>
              </w:rPr>
            </w:pPr>
          </w:p>
        </w:tc>
        <w:tc>
          <w:tcPr>
            <w:tcW w:w="2330" w:type="pct"/>
          </w:tcPr>
          <w:p w:rsidR="00681E2A" w:rsidRPr="0081448E" w:rsidRDefault="00681E2A" w:rsidP="00681E2A">
            <w:pPr>
              <w:jc w:val="both"/>
              <w:rPr>
                <w:sz w:val="20"/>
                <w:szCs w:val="20"/>
              </w:rPr>
            </w:pPr>
            <w:r w:rsidRPr="0081448E">
              <w:rPr>
                <w:sz w:val="20"/>
                <w:szCs w:val="20"/>
              </w:rPr>
              <w:t xml:space="preserve">Appeal allowed with costs, application judge’s decision set aside, application for judicial review granted, order to issue permit made </w:t>
            </w:r>
          </w:p>
          <w:p w:rsidR="00681E2A" w:rsidRPr="0081448E" w:rsidRDefault="00681E2A" w:rsidP="00681E2A">
            <w:pPr>
              <w:jc w:val="both"/>
              <w:rPr>
                <w:sz w:val="20"/>
                <w:szCs w:val="20"/>
              </w:rPr>
            </w:pPr>
          </w:p>
        </w:tc>
      </w:tr>
      <w:tr w:rsidR="00681E2A" w:rsidRPr="0081448E" w:rsidTr="00681E2A">
        <w:tc>
          <w:tcPr>
            <w:tcW w:w="2427" w:type="pct"/>
            <w:gridSpan w:val="2"/>
          </w:tcPr>
          <w:p w:rsidR="00681E2A" w:rsidRPr="0081448E" w:rsidRDefault="00681E2A" w:rsidP="00681E2A">
            <w:pPr>
              <w:jc w:val="both"/>
              <w:rPr>
                <w:sz w:val="20"/>
                <w:szCs w:val="20"/>
              </w:rPr>
            </w:pPr>
            <w:r w:rsidRPr="0081448E">
              <w:rPr>
                <w:sz w:val="20"/>
                <w:szCs w:val="20"/>
              </w:rPr>
              <w:t>June 26, 2020</w:t>
            </w:r>
          </w:p>
          <w:p w:rsidR="00681E2A" w:rsidRPr="0081448E" w:rsidRDefault="00681E2A" w:rsidP="00681E2A">
            <w:pPr>
              <w:jc w:val="both"/>
              <w:rPr>
                <w:sz w:val="20"/>
                <w:szCs w:val="20"/>
              </w:rPr>
            </w:pPr>
            <w:r w:rsidRPr="0081448E">
              <w:rPr>
                <w:sz w:val="20"/>
                <w:szCs w:val="20"/>
              </w:rPr>
              <w:t>Supreme Court of Canada</w:t>
            </w:r>
          </w:p>
        </w:tc>
        <w:tc>
          <w:tcPr>
            <w:tcW w:w="243" w:type="pct"/>
          </w:tcPr>
          <w:p w:rsidR="00681E2A" w:rsidRPr="0081448E" w:rsidRDefault="00681E2A" w:rsidP="00681E2A">
            <w:pPr>
              <w:jc w:val="both"/>
              <w:rPr>
                <w:sz w:val="20"/>
                <w:szCs w:val="20"/>
              </w:rPr>
            </w:pPr>
          </w:p>
        </w:tc>
        <w:tc>
          <w:tcPr>
            <w:tcW w:w="2330" w:type="pct"/>
          </w:tcPr>
          <w:p w:rsidR="00681E2A" w:rsidRPr="0081448E" w:rsidRDefault="00681E2A" w:rsidP="00681E2A">
            <w:pPr>
              <w:jc w:val="both"/>
              <w:rPr>
                <w:sz w:val="20"/>
                <w:szCs w:val="20"/>
              </w:rPr>
            </w:pPr>
            <w:r w:rsidRPr="0081448E">
              <w:rPr>
                <w:sz w:val="20"/>
                <w:szCs w:val="20"/>
              </w:rPr>
              <w:t>Application for leave to appeal filed</w:t>
            </w:r>
          </w:p>
          <w:p w:rsidR="00681E2A" w:rsidRPr="0081448E" w:rsidRDefault="00681E2A" w:rsidP="00681E2A">
            <w:pPr>
              <w:jc w:val="both"/>
              <w:rPr>
                <w:sz w:val="20"/>
                <w:szCs w:val="20"/>
              </w:rPr>
            </w:pPr>
          </w:p>
        </w:tc>
      </w:tr>
    </w:tbl>
    <w:p w:rsidR="00681E2A" w:rsidRPr="0081448E" w:rsidRDefault="00681E2A" w:rsidP="00681E2A">
      <w:pPr>
        <w:widowControl w:val="0"/>
        <w:jc w:val="both"/>
        <w:rPr>
          <w:sz w:val="20"/>
          <w:lang w:val="en-US"/>
        </w:rPr>
      </w:pPr>
    </w:p>
    <w:p w:rsidR="00681E2A" w:rsidRPr="0081448E" w:rsidRDefault="00DC444A" w:rsidP="00681E2A">
      <w:pPr>
        <w:widowControl w:val="0"/>
        <w:jc w:val="both"/>
        <w:rPr>
          <w:sz w:val="20"/>
          <w:lang w:val="fr-CA"/>
        </w:rPr>
      </w:pPr>
      <w:r>
        <w:rPr>
          <w:sz w:val="20"/>
        </w:rPr>
        <w:pict>
          <v:rect id="_x0000_i1039" style="width:2in;height:1pt" o:hrpct="0" o:hralign="center" o:hrstd="t" o:hrnoshade="t" o:hr="t" fillcolor="black [3213]" stroked="f"/>
        </w:pict>
      </w:r>
    </w:p>
    <w:p w:rsidR="00681E2A" w:rsidRPr="0081448E" w:rsidRDefault="00681E2A" w:rsidP="00681E2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1E2A" w:rsidRPr="0081448E" w:rsidTr="00681E2A">
        <w:tc>
          <w:tcPr>
            <w:tcW w:w="543" w:type="pct"/>
          </w:tcPr>
          <w:p w:rsidR="00681E2A" w:rsidRPr="0081448E" w:rsidRDefault="00681E2A" w:rsidP="00681E2A">
            <w:pPr>
              <w:jc w:val="both"/>
              <w:rPr>
                <w:sz w:val="20"/>
                <w:szCs w:val="20"/>
              </w:rPr>
            </w:pPr>
            <w:r w:rsidRPr="0081448E">
              <w:rPr>
                <w:rStyle w:val="SCCFileNumberChar"/>
                <w:sz w:val="20"/>
                <w:szCs w:val="20"/>
              </w:rPr>
              <w:t>39236</w:t>
            </w:r>
          </w:p>
        </w:tc>
        <w:tc>
          <w:tcPr>
            <w:tcW w:w="4457" w:type="pct"/>
            <w:gridSpan w:val="3"/>
          </w:tcPr>
          <w:p w:rsidR="00681E2A" w:rsidRPr="0081448E" w:rsidRDefault="00681E2A" w:rsidP="00681E2A">
            <w:pPr>
              <w:pStyle w:val="SCCLsocParty"/>
              <w:jc w:val="both"/>
              <w:rPr>
                <w:b/>
                <w:sz w:val="20"/>
                <w:szCs w:val="20"/>
              </w:rPr>
            </w:pPr>
            <w:r w:rsidRPr="0081448E">
              <w:rPr>
                <w:b/>
                <w:sz w:val="20"/>
                <w:szCs w:val="20"/>
              </w:rPr>
              <w:t>Municipalité de Saint-Roch-de-Richelieu</w:t>
            </w:r>
            <w:r w:rsidR="000E4B43" w:rsidRPr="0081448E">
              <w:rPr>
                <w:b/>
                <w:sz w:val="20"/>
                <w:szCs w:val="20"/>
              </w:rPr>
              <w:t xml:space="preserve"> et</w:t>
            </w:r>
            <w:r w:rsidRPr="0081448E">
              <w:rPr>
                <w:b/>
                <w:sz w:val="20"/>
                <w:szCs w:val="20"/>
              </w:rPr>
              <w:t xml:space="preserve"> Normand Beaulieu c. Champag Inc.</w:t>
            </w:r>
          </w:p>
          <w:p w:rsidR="00681E2A" w:rsidRPr="0081448E" w:rsidRDefault="00681E2A" w:rsidP="00681E2A">
            <w:pPr>
              <w:jc w:val="both"/>
              <w:rPr>
                <w:sz w:val="20"/>
                <w:szCs w:val="20"/>
              </w:rPr>
            </w:pPr>
            <w:r w:rsidRPr="0081448E">
              <w:rPr>
                <w:sz w:val="20"/>
                <w:szCs w:val="20"/>
              </w:rPr>
              <w:t>(Qc) (Civile) (Autorisation)</w:t>
            </w:r>
          </w:p>
        </w:tc>
      </w:tr>
      <w:tr w:rsidR="00681E2A" w:rsidRPr="005C4158" w:rsidTr="00681E2A">
        <w:tc>
          <w:tcPr>
            <w:tcW w:w="5000" w:type="pct"/>
            <w:gridSpan w:val="4"/>
          </w:tcPr>
          <w:p w:rsidR="000E4B43" w:rsidRPr="0081448E" w:rsidRDefault="000E4B43" w:rsidP="000E4B43">
            <w:pPr>
              <w:jc w:val="both"/>
              <w:rPr>
                <w:sz w:val="20"/>
                <w:szCs w:val="20"/>
                <w:lang w:val="fr-CA"/>
              </w:rPr>
            </w:pPr>
            <w:r w:rsidRPr="0081448E">
              <w:rPr>
                <w:sz w:val="20"/>
                <w:szCs w:val="20"/>
                <w:lang w:val="fr-CA"/>
              </w:rPr>
              <w:t>La demande d’autorisation d’appel de l’arrêt de la Cour d’appel du Québec (Montréal), numéro 500-09-027776-186, 2020 QCCA 613, daté du 30 avril 2020, est rejet</w:t>
            </w:r>
            <w:r w:rsidRPr="0081448E">
              <w:rPr>
                <w:rFonts w:cs="Times New Roman"/>
                <w:sz w:val="20"/>
                <w:szCs w:val="20"/>
                <w:lang w:val="fr-CA"/>
              </w:rPr>
              <w:t>é</w:t>
            </w:r>
            <w:r w:rsidRPr="0081448E">
              <w:rPr>
                <w:sz w:val="20"/>
                <w:szCs w:val="20"/>
                <w:lang w:val="fr-CA"/>
              </w:rPr>
              <w:t>e avec d</w:t>
            </w:r>
            <w:r w:rsidRPr="0081448E">
              <w:rPr>
                <w:rFonts w:cs="Times New Roman"/>
                <w:sz w:val="20"/>
                <w:szCs w:val="20"/>
                <w:lang w:val="fr-CA"/>
              </w:rPr>
              <w:t>é</w:t>
            </w:r>
            <w:r w:rsidRPr="0081448E">
              <w:rPr>
                <w:sz w:val="20"/>
                <w:szCs w:val="20"/>
                <w:lang w:val="fr-CA"/>
              </w:rPr>
              <w:t>pens.</w:t>
            </w:r>
          </w:p>
          <w:p w:rsidR="00681E2A" w:rsidRPr="0081448E" w:rsidRDefault="00681E2A" w:rsidP="00681E2A">
            <w:pPr>
              <w:pStyle w:val="SCCBanSummary0"/>
              <w:rPr>
                <w:smallCaps w:val="0"/>
                <w:sz w:val="20"/>
                <w:szCs w:val="20"/>
                <w:lang w:val="fr-CA"/>
              </w:rPr>
            </w:pPr>
          </w:p>
        </w:tc>
      </w:tr>
      <w:tr w:rsidR="00681E2A" w:rsidRPr="005C4158" w:rsidTr="00681E2A">
        <w:tc>
          <w:tcPr>
            <w:tcW w:w="5000" w:type="pct"/>
            <w:gridSpan w:val="4"/>
          </w:tcPr>
          <w:p w:rsidR="00681E2A" w:rsidRPr="0081448E" w:rsidRDefault="00681E2A" w:rsidP="00681E2A">
            <w:pPr>
              <w:pStyle w:val="SCCBanSummary0"/>
              <w:rPr>
                <w:smallCaps w:val="0"/>
                <w:sz w:val="20"/>
                <w:szCs w:val="20"/>
                <w:lang w:val="fr-CA"/>
              </w:rPr>
            </w:pPr>
            <w:r w:rsidRPr="0081448E">
              <w:rPr>
                <w:smallCaps w:val="0"/>
                <w:sz w:val="20"/>
                <w:szCs w:val="20"/>
                <w:lang w:val="fr-CA"/>
              </w:rPr>
              <w:t>Droit municipal — Droit administratif — Règlement de zonage — Activité agricole — Délivrance d’un permis de construction — Exercice d’un pouvoir lié — Les inspecteurs municipaux doivent</w:t>
            </w:r>
            <w:r w:rsidRPr="0081448E">
              <w:rPr>
                <w:smallCaps w:val="0"/>
                <w:sz w:val="20"/>
                <w:szCs w:val="20"/>
                <w:lang w:val="fr-CA"/>
              </w:rPr>
              <w:noBreakHyphen/>
              <w:t xml:space="preserve">ils lors de l’analyse de la conformité d’une demande de permis à la règlementation de zonage municipale s’enquérir des activités qu’exerce le demandeur du permis à l’extérieur du territoire municipal et s’enquérir de la destination envisagée du produit fini qui sera conçu sur le territoire de la municipalité ? — </w:t>
            </w:r>
            <w:r w:rsidRPr="0081448E">
              <w:rPr>
                <w:i/>
                <w:iCs/>
                <w:smallCaps w:val="0"/>
                <w:sz w:val="20"/>
                <w:szCs w:val="20"/>
                <w:lang w:val="fr-CA"/>
              </w:rPr>
              <w:t>Loi sur la protection du territoire agricole et des activités agricoles,</w:t>
            </w:r>
            <w:r w:rsidRPr="0081448E">
              <w:rPr>
                <w:iCs/>
                <w:smallCaps w:val="0"/>
                <w:sz w:val="20"/>
                <w:szCs w:val="20"/>
                <w:lang w:val="fr-CA"/>
              </w:rPr>
              <w:t xml:space="preserve"> RLRQ c P</w:t>
            </w:r>
            <w:r w:rsidRPr="0081448E">
              <w:rPr>
                <w:iCs/>
                <w:smallCaps w:val="0"/>
                <w:sz w:val="20"/>
                <w:szCs w:val="20"/>
                <w:lang w:val="fr-CA"/>
              </w:rPr>
              <w:noBreakHyphen/>
              <w:t xml:space="preserve">41.1, art. 1 </w:t>
            </w:r>
            <w:r w:rsidRPr="0081448E">
              <w:rPr>
                <w:smallCaps w:val="0"/>
                <w:sz w:val="20"/>
                <w:szCs w:val="20"/>
                <w:lang w:val="fr-CA"/>
              </w:rPr>
              <w:t xml:space="preserve">— </w:t>
            </w:r>
            <w:r w:rsidRPr="0081448E">
              <w:rPr>
                <w:i/>
                <w:iCs/>
                <w:smallCaps w:val="0"/>
                <w:sz w:val="20"/>
                <w:szCs w:val="20"/>
                <w:lang w:val="fr-CA"/>
              </w:rPr>
              <w:t>Loi sur l’aménagement et l’urbanisme</w:t>
            </w:r>
            <w:r w:rsidRPr="0081448E">
              <w:rPr>
                <w:smallCaps w:val="0"/>
                <w:sz w:val="20"/>
                <w:szCs w:val="20"/>
                <w:lang w:val="fr-CA"/>
              </w:rPr>
              <w:t>, RLRQ c A</w:t>
            </w:r>
            <w:r w:rsidRPr="0081448E">
              <w:rPr>
                <w:smallCaps w:val="0"/>
                <w:sz w:val="20"/>
                <w:szCs w:val="20"/>
                <w:lang w:val="fr-CA"/>
              </w:rPr>
              <w:noBreakHyphen/>
              <w:t>19.1, art. 120.</w:t>
            </w:r>
          </w:p>
        </w:tc>
      </w:tr>
      <w:tr w:rsidR="00681E2A" w:rsidRPr="005C4158" w:rsidTr="00681E2A">
        <w:tc>
          <w:tcPr>
            <w:tcW w:w="5000" w:type="pct"/>
            <w:gridSpan w:val="4"/>
          </w:tcPr>
          <w:p w:rsidR="00681E2A" w:rsidRPr="0081448E" w:rsidRDefault="00681E2A" w:rsidP="00681E2A">
            <w:pPr>
              <w:jc w:val="both"/>
              <w:rPr>
                <w:sz w:val="20"/>
                <w:szCs w:val="20"/>
                <w:lang w:val="fr-CA"/>
              </w:rPr>
            </w:pPr>
          </w:p>
        </w:tc>
      </w:tr>
      <w:tr w:rsidR="00681E2A" w:rsidRPr="005C4158" w:rsidTr="00681E2A">
        <w:tc>
          <w:tcPr>
            <w:tcW w:w="5000" w:type="pct"/>
            <w:gridSpan w:val="4"/>
          </w:tcPr>
          <w:p w:rsidR="00681E2A" w:rsidRPr="0081448E" w:rsidRDefault="00681E2A" w:rsidP="00681E2A">
            <w:pPr>
              <w:jc w:val="both"/>
              <w:rPr>
                <w:color w:val="000000"/>
                <w:sz w:val="20"/>
                <w:szCs w:val="20"/>
                <w:lang w:val="fr-CA" w:eastAsia="fr-CA"/>
              </w:rPr>
            </w:pPr>
            <w:r w:rsidRPr="0081448E">
              <w:rPr>
                <w:sz w:val="20"/>
                <w:szCs w:val="20"/>
                <w:lang w:val="fr-CA"/>
              </w:rPr>
              <w:t>L’intimée est une société œuvrant dans la culture de champignons. Elle recherche auprès de la municipalité demanderesse l’émission de permis de construction de bâtiments agricoles aux fins de production d’un substrat destiné à la culture de champignons. Ces permis sont refusés par l’inspecteur en bâtiment et en environnement de la municipalité, au motif que l’activité projetée par l’intimée constitue un usage industriel et ne répond pas aux critères établis par son r</w:t>
            </w:r>
            <w:r w:rsidRPr="0081448E">
              <w:rPr>
                <w:iCs/>
                <w:sz w:val="20"/>
                <w:szCs w:val="20"/>
                <w:lang w:val="fr-CA"/>
              </w:rPr>
              <w:t xml:space="preserve">èglement de zonage. La Cour supérieure rejette le pourvoi en contrôle judiciaire de l’intimée, </w:t>
            </w:r>
            <w:r w:rsidRPr="0081448E">
              <w:rPr>
                <w:color w:val="000000"/>
                <w:sz w:val="20"/>
                <w:szCs w:val="20"/>
                <w:lang w:val="fr-CA" w:eastAsia="fr-CA"/>
              </w:rPr>
              <w:t>concluant que l’activité que cette dernière prévoit sur le site ne peut être considérée comme agricole. La Cour d’appel accueille l’appel de l’intimée et ordonne à la municipalité de délivrer le permis, concluant que le juge de première instance a erré en ne tenant pas compte de la nature ni de la finalité de l’activité projetée.</w:t>
            </w:r>
          </w:p>
          <w:p w:rsidR="00681E2A" w:rsidRPr="0081448E" w:rsidRDefault="00681E2A" w:rsidP="00681E2A">
            <w:pPr>
              <w:jc w:val="both"/>
              <w:rPr>
                <w:sz w:val="20"/>
                <w:szCs w:val="20"/>
                <w:lang w:val="fr-CA"/>
              </w:rPr>
            </w:pPr>
          </w:p>
        </w:tc>
      </w:tr>
      <w:tr w:rsidR="00681E2A" w:rsidRPr="005C4158" w:rsidTr="00681E2A">
        <w:tc>
          <w:tcPr>
            <w:tcW w:w="2427" w:type="pct"/>
            <w:gridSpan w:val="2"/>
          </w:tcPr>
          <w:p w:rsidR="00681E2A" w:rsidRPr="0081448E" w:rsidRDefault="00681E2A" w:rsidP="00681E2A">
            <w:pPr>
              <w:jc w:val="both"/>
              <w:rPr>
                <w:sz w:val="20"/>
                <w:szCs w:val="20"/>
                <w:lang w:val="fr-CA"/>
              </w:rPr>
            </w:pPr>
            <w:r w:rsidRPr="0081448E">
              <w:rPr>
                <w:sz w:val="20"/>
                <w:szCs w:val="20"/>
                <w:lang w:val="fr-CA"/>
              </w:rPr>
              <w:t>Le 19 juillet 2018</w:t>
            </w:r>
          </w:p>
          <w:p w:rsidR="00681E2A" w:rsidRPr="0081448E" w:rsidRDefault="00681E2A" w:rsidP="00681E2A">
            <w:pPr>
              <w:jc w:val="both"/>
              <w:rPr>
                <w:sz w:val="20"/>
                <w:szCs w:val="20"/>
                <w:lang w:val="fr-CA"/>
              </w:rPr>
            </w:pPr>
            <w:r w:rsidRPr="0081448E">
              <w:rPr>
                <w:sz w:val="20"/>
                <w:szCs w:val="20"/>
                <w:lang w:val="fr-CA"/>
              </w:rPr>
              <w:t>Cour supérieure du Québec (Richelieu)</w:t>
            </w:r>
          </w:p>
          <w:p w:rsidR="00681E2A" w:rsidRPr="0081448E" w:rsidRDefault="00681E2A" w:rsidP="00681E2A">
            <w:pPr>
              <w:jc w:val="both"/>
              <w:rPr>
                <w:sz w:val="20"/>
                <w:szCs w:val="20"/>
              </w:rPr>
            </w:pPr>
            <w:r w:rsidRPr="0081448E">
              <w:rPr>
                <w:sz w:val="20"/>
                <w:szCs w:val="20"/>
              </w:rPr>
              <w:t>(Le juge Dubois)</w:t>
            </w:r>
          </w:p>
          <w:p w:rsidR="00681E2A" w:rsidRPr="0081448E" w:rsidRDefault="00681E2A" w:rsidP="00681E2A">
            <w:pPr>
              <w:jc w:val="both"/>
              <w:rPr>
                <w:sz w:val="20"/>
                <w:szCs w:val="20"/>
              </w:rPr>
            </w:pPr>
            <w:r w:rsidRPr="0081448E">
              <w:rPr>
                <w:sz w:val="20"/>
                <w:szCs w:val="20"/>
              </w:rPr>
              <w:t>765</w:t>
            </w:r>
            <w:r w:rsidRPr="0081448E">
              <w:rPr>
                <w:sz w:val="20"/>
                <w:szCs w:val="20"/>
              </w:rPr>
              <w:noBreakHyphen/>
              <w:t>17</w:t>
            </w:r>
            <w:r w:rsidRPr="0081448E">
              <w:rPr>
                <w:sz w:val="20"/>
                <w:szCs w:val="20"/>
              </w:rPr>
              <w:noBreakHyphen/>
              <w:t>001738</w:t>
            </w:r>
            <w:r w:rsidRPr="0081448E">
              <w:rPr>
                <w:sz w:val="20"/>
                <w:szCs w:val="20"/>
              </w:rPr>
              <w:noBreakHyphen/>
              <w:t>170</w:t>
            </w:r>
          </w:p>
          <w:p w:rsidR="00681E2A" w:rsidRPr="0081448E" w:rsidRDefault="00DC444A" w:rsidP="00681E2A">
            <w:pPr>
              <w:jc w:val="both"/>
              <w:rPr>
                <w:sz w:val="20"/>
                <w:szCs w:val="20"/>
              </w:rPr>
            </w:pPr>
            <w:hyperlink r:id="rId25" w:history="1">
              <w:r w:rsidR="00681E2A" w:rsidRPr="0081448E">
                <w:rPr>
                  <w:rStyle w:val="Hyperlink"/>
                  <w:sz w:val="20"/>
                  <w:szCs w:val="20"/>
                </w:rPr>
                <w:t>2018 QCCS 3242</w:t>
              </w:r>
            </w:hyperlink>
          </w:p>
          <w:p w:rsidR="00681E2A" w:rsidRPr="0081448E" w:rsidRDefault="00681E2A" w:rsidP="00681E2A">
            <w:pPr>
              <w:jc w:val="both"/>
              <w:rPr>
                <w:sz w:val="20"/>
                <w:szCs w:val="20"/>
                <w:lang w:val="en-US"/>
              </w:rPr>
            </w:pPr>
          </w:p>
        </w:tc>
        <w:tc>
          <w:tcPr>
            <w:tcW w:w="243" w:type="pct"/>
          </w:tcPr>
          <w:p w:rsidR="00681E2A" w:rsidRPr="0081448E" w:rsidRDefault="00681E2A" w:rsidP="00681E2A">
            <w:pPr>
              <w:jc w:val="both"/>
              <w:rPr>
                <w:sz w:val="20"/>
                <w:szCs w:val="20"/>
                <w:lang w:val="en-US"/>
              </w:rPr>
            </w:pPr>
          </w:p>
        </w:tc>
        <w:tc>
          <w:tcPr>
            <w:tcW w:w="2330" w:type="pct"/>
          </w:tcPr>
          <w:p w:rsidR="00681E2A" w:rsidRPr="0081448E" w:rsidRDefault="00681E2A" w:rsidP="00681E2A">
            <w:pPr>
              <w:jc w:val="both"/>
              <w:rPr>
                <w:sz w:val="20"/>
                <w:szCs w:val="20"/>
                <w:lang w:val="fr-CA"/>
              </w:rPr>
            </w:pPr>
            <w:r w:rsidRPr="0081448E">
              <w:rPr>
                <w:sz w:val="20"/>
                <w:szCs w:val="20"/>
                <w:lang w:val="fr-CA"/>
              </w:rPr>
              <w:t>Pourvoi en contrôle judiciaire rejeté avec frais de justice.</w:t>
            </w:r>
          </w:p>
          <w:p w:rsidR="00681E2A" w:rsidRPr="0081448E" w:rsidRDefault="00681E2A" w:rsidP="00681E2A">
            <w:pPr>
              <w:jc w:val="both"/>
              <w:rPr>
                <w:sz w:val="20"/>
                <w:szCs w:val="20"/>
                <w:lang w:val="fr-CA"/>
              </w:rPr>
            </w:pPr>
          </w:p>
        </w:tc>
      </w:tr>
      <w:tr w:rsidR="00681E2A" w:rsidRPr="005C4158" w:rsidTr="00681E2A">
        <w:tc>
          <w:tcPr>
            <w:tcW w:w="2427" w:type="pct"/>
            <w:gridSpan w:val="2"/>
          </w:tcPr>
          <w:p w:rsidR="00681E2A" w:rsidRPr="0081448E" w:rsidRDefault="00681E2A" w:rsidP="00681E2A">
            <w:pPr>
              <w:jc w:val="both"/>
              <w:rPr>
                <w:sz w:val="20"/>
                <w:szCs w:val="20"/>
                <w:lang w:val="fr-CA"/>
              </w:rPr>
            </w:pPr>
            <w:r w:rsidRPr="0081448E">
              <w:rPr>
                <w:sz w:val="20"/>
                <w:szCs w:val="20"/>
                <w:lang w:val="fr-CA"/>
              </w:rPr>
              <w:t>Le 30 avril 2020</w:t>
            </w:r>
          </w:p>
          <w:p w:rsidR="00681E2A" w:rsidRPr="0081448E" w:rsidRDefault="00681E2A" w:rsidP="00681E2A">
            <w:pPr>
              <w:jc w:val="both"/>
              <w:rPr>
                <w:sz w:val="20"/>
                <w:szCs w:val="20"/>
                <w:lang w:val="fr-CA"/>
              </w:rPr>
            </w:pPr>
            <w:r w:rsidRPr="0081448E">
              <w:rPr>
                <w:sz w:val="20"/>
                <w:szCs w:val="20"/>
                <w:lang w:val="fr-CA"/>
              </w:rPr>
              <w:t>Cour d’appel du Québec (Montréal)</w:t>
            </w:r>
          </w:p>
          <w:p w:rsidR="00681E2A" w:rsidRPr="0081448E" w:rsidRDefault="00681E2A" w:rsidP="00681E2A">
            <w:pPr>
              <w:jc w:val="both"/>
              <w:rPr>
                <w:sz w:val="20"/>
                <w:szCs w:val="20"/>
                <w:lang w:val="fr-CA"/>
              </w:rPr>
            </w:pPr>
            <w:r w:rsidRPr="0081448E">
              <w:rPr>
                <w:sz w:val="20"/>
                <w:szCs w:val="20"/>
                <w:lang w:val="fr-CA"/>
              </w:rPr>
              <w:t>(Les juges Schrager, Healy et Fournier)</w:t>
            </w:r>
          </w:p>
          <w:p w:rsidR="00681E2A" w:rsidRPr="0081448E" w:rsidRDefault="00681E2A" w:rsidP="00681E2A">
            <w:pPr>
              <w:jc w:val="both"/>
              <w:rPr>
                <w:sz w:val="20"/>
                <w:szCs w:val="20"/>
              </w:rPr>
            </w:pPr>
            <w:r w:rsidRPr="0081448E">
              <w:rPr>
                <w:sz w:val="20"/>
                <w:szCs w:val="20"/>
              </w:rPr>
              <w:t>500</w:t>
            </w:r>
            <w:r w:rsidRPr="0081448E">
              <w:rPr>
                <w:sz w:val="20"/>
                <w:szCs w:val="20"/>
              </w:rPr>
              <w:noBreakHyphen/>
              <w:t>09</w:t>
            </w:r>
            <w:r w:rsidRPr="0081448E">
              <w:rPr>
                <w:sz w:val="20"/>
                <w:szCs w:val="20"/>
              </w:rPr>
              <w:noBreakHyphen/>
              <w:t>027776</w:t>
            </w:r>
            <w:r w:rsidRPr="0081448E">
              <w:rPr>
                <w:sz w:val="20"/>
                <w:szCs w:val="20"/>
              </w:rPr>
              <w:noBreakHyphen/>
              <w:t>186</w:t>
            </w:r>
          </w:p>
          <w:p w:rsidR="00681E2A" w:rsidRPr="0081448E" w:rsidRDefault="00DC444A" w:rsidP="00681E2A">
            <w:pPr>
              <w:jc w:val="both"/>
              <w:rPr>
                <w:sz w:val="20"/>
                <w:szCs w:val="20"/>
              </w:rPr>
            </w:pPr>
            <w:hyperlink r:id="rId26" w:history="1">
              <w:r w:rsidR="00681E2A" w:rsidRPr="0081448E">
                <w:rPr>
                  <w:rStyle w:val="Hyperlink"/>
                  <w:sz w:val="20"/>
                  <w:szCs w:val="20"/>
                </w:rPr>
                <w:t>2020 QCCA 613</w:t>
              </w:r>
            </w:hyperlink>
          </w:p>
          <w:p w:rsidR="00681E2A" w:rsidRPr="0081448E" w:rsidRDefault="00681E2A" w:rsidP="00681E2A">
            <w:pPr>
              <w:jc w:val="both"/>
              <w:rPr>
                <w:sz w:val="20"/>
                <w:szCs w:val="20"/>
                <w:lang w:val="en-US"/>
              </w:rPr>
            </w:pPr>
          </w:p>
        </w:tc>
        <w:tc>
          <w:tcPr>
            <w:tcW w:w="243" w:type="pct"/>
          </w:tcPr>
          <w:p w:rsidR="00681E2A" w:rsidRPr="0081448E" w:rsidRDefault="00681E2A" w:rsidP="00681E2A">
            <w:pPr>
              <w:jc w:val="both"/>
              <w:rPr>
                <w:sz w:val="20"/>
                <w:szCs w:val="20"/>
                <w:lang w:val="en-US"/>
              </w:rPr>
            </w:pPr>
          </w:p>
        </w:tc>
        <w:tc>
          <w:tcPr>
            <w:tcW w:w="2330" w:type="pct"/>
          </w:tcPr>
          <w:p w:rsidR="00681E2A" w:rsidRPr="0081448E" w:rsidRDefault="00681E2A" w:rsidP="00681E2A">
            <w:pPr>
              <w:jc w:val="both"/>
              <w:rPr>
                <w:sz w:val="20"/>
                <w:szCs w:val="20"/>
                <w:lang w:val="fr-CA"/>
              </w:rPr>
            </w:pPr>
            <w:r w:rsidRPr="0081448E">
              <w:rPr>
                <w:sz w:val="20"/>
                <w:szCs w:val="20"/>
                <w:lang w:val="fr-CA"/>
              </w:rPr>
              <w:t xml:space="preserve">Appel accueilli avec frais de justice, jugement de première instance infirmé, pourvoi en contrôle judiciaire accueilli, ordonnance de délivrance de permis prononcée. </w:t>
            </w:r>
          </w:p>
          <w:p w:rsidR="00681E2A" w:rsidRPr="0081448E" w:rsidRDefault="00681E2A" w:rsidP="00681E2A">
            <w:pPr>
              <w:jc w:val="both"/>
              <w:rPr>
                <w:sz w:val="20"/>
                <w:szCs w:val="20"/>
                <w:lang w:val="fr-CA"/>
              </w:rPr>
            </w:pPr>
          </w:p>
        </w:tc>
      </w:tr>
      <w:tr w:rsidR="00681E2A" w:rsidRPr="0081448E" w:rsidTr="00681E2A">
        <w:tc>
          <w:tcPr>
            <w:tcW w:w="2427" w:type="pct"/>
            <w:gridSpan w:val="2"/>
          </w:tcPr>
          <w:p w:rsidR="00681E2A" w:rsidRPr="0081448E" w:rsidRDefault="00681E2A" w:rsidP="00681E2A">
            <w:pPr>
              <w:jc w:val="both"/>
              <w:rPr>
                <w:sz w:val="20"/>
                <w:szCs w:val="20"/>
                <w:lang w:val="fr-CA"/>
              </w:rPr>
            </w:pPr>
            <w:r w:rsidRPr="0081448E">
              <w:rPr>
                <w:sz w:val="20"/>
                <w:szCs w:val="20"/>
                <w:lang w:val="fr-CA"/>
              </w:rPr>
              <w:t>Le 26 juin 2020</w:t>
            </w:r>
          </w:p>
          <w:p w:rsidR="00681E2A" w:rsidRPr="0081448E" w:rsidRDefault="00681E2A" w:rsidP="00681E2A">
            <w:pPr>
              <w:jc w:val="both"/>
              <w:rPr>
                <w:sz w:val="20"/>
                <w:szCs w:val="20"/>
                <w:lang w:val="fr-CA"/>
              </w:rPr>
            </w:pPr>
            <w:r w:rsidRPr="0081448E">
              <w:rPr>
                <w:sz w:val="20"/>
                <w:szCs w:val="20"/>
                <w:lang w:val="fr-CA"/>
              </w:rPr>
              <w:t>Cour suprême du Canada</w:t>
            </w:r>
          </w:p>
        </w:tc>
        <w:tc>
          <w:tcPr>
            <w:tcW w:w="243" w:type="pct"/>
          </w:tcPr>
          <w:p w:rsidR="00681E2A" w:rsidRPr="0081448E" w:rsidRDefault="00681E2A" w:rsidP="00681E2A">
            <w:pPr>
              <w:jc w:val="both"/>
              <w:rPr>
                <w:sz w:val="20"/>
                <w:szCs w:val="20"/>
                <w:lang w:val="fr-CA"/>
              </w:rPr>
            </w:pPr>
          </w:p>
        </w:tc>
        <w:tc>
          <w:tcPr>
            <w:tcW w:w="2330" w:type="pct"/>
          </w:tcPr>
          <w:p w:rsidR="00681E2A" w:rsidRPr="0081448E" w:rsidRDefault="00681E2A" w:rsidP="00681E2A">
            <w:pPr>
              <w:jc w:val="both"/>
              <w:rPr>
                <w:sz w:val="20"/>
                <w:szCs w:val="20"/>
              </w:rPr>
            </w:pPr>
            <w:r w:rsidRPr="0081448E">
              <w:rPr>
                <w:sz w:val="20"/>
                <w:szCs w:val="20"/>
              </w:rPr>
              <w:t>Demande d’autorisation d’appel déposée.</w:t>
            </w:r>
          </w:p>
          <w:p w:rsidR="00681E2A" w:rsidRPr="0081448E" w:rsidRDefault="00681E2A" w:rsidP="00681E2A">
            <w:pPr>
              <w:jc w:val="both"/>
              <w:rPr>
                <w:sz w:val="20"/>
                <w:szCs w:val="20"/>
              </w:rPr>
            </w:pPr>
          </w:p>
        </w:tc>
      </w:tr>
    </w:tbl>
    <w:p w:rsidR="004B2E86" w:rsidRPr="0081448E" w:rsidRDefault="004B2E86" w:rsidP="004B2E86">
      <w:pPr>
        <w:jc w:val="both"/>
        <w:rPr>
          <w:sz w:val="20"/>
          <w:szCs w:val="20"/>
          <w:lang w:val="fr-CA"/>
        </w:rPr>
      </w:pPr>
    </w:p>
    <w:p w:rsidR="00102792" w:rsidRPr="0081448E" w:rsidRDefault="00DC444A" w:rsidP="004B2E86">
      <w:pPr>
        <w:jc w:val="both"/>
        <w:rPr>
          <w:sz w:val="20"/>
          <w:szCs w:val="20"/>
          <w:lang w:val="fr-CA"/>
        </w:rPr>
      </w:pPr>
      <w:r>
        <w:rPr>
          <w:sz w:val="20"/>
          <w:szCs w:val="20"/>
        </w:rPr>
        <w:pict>
          <v:rect id="_x0000_i1040" style="width:2in;height:1pt" o:hrpct="0" o:hralign="center" o:hrstd="t" o:hrnoshade="t" o:hr="t" fillcolor="black" stroked="f"/>
        </w:pict>
      </w:r>
    </w:p>
    <w:p w:rsidR="00E06F20" w:rsidRPr="0081448E" w:rsidRDefault="00E06F20" w:rsidP="00102792">
      <w:pPr>
        <w:jc w:val="both"/>
        <w:rPr>
          <w:sz w:val="20"/>
          <w:lang w:val="fr-CA"/>
        </w:rPr>
      </w:pPr>
    </w:p>
    <w:p w:rsidR="00890FEB" w:rsidRPr="0081448E" w:rsidRDefault="00890FEB" w:rsidP="008D292F">
      <w:pPr>
        <w:rPr>
          <w:sz w:val="20"/>
          <w:szCs w:val="20"/>
          <w:lang w:val="fr-CA"/>
        </w:rPr>
      </w:pPr>
    </w:p>
    <w:p w:rsidR="00890FEB" w:rsidRPr="0081448E" w:rsidRDefault="00890FEB" w:rsidP="008D292F">
      <w:pPr>
        <w:rPr>
          <w:b/>
          <w:sz w:val="20"/>
          <w:szCs w:val="20"/>
          <w:lang w:val="fr-CA"/>
        </w:rPr>
        <w:sectPr w:rsidR="00890FEB" w:rsidRPr="0081448E"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p w:rsidR="00693C38" w:rsidRPr="0081448E" w:rsidRDefault="00DD0BDC" w:rsidP="00567602">
      <w:pPr>
        <w:pStyle w:val="Header1StyleE"/>
        <w:pBdr>
          <w:bottom w:val="single" w:sz="12" w:space="1" w:color="auto"/>
        </w:pBdr>
        <w:rPr>
          <w:lang w:val="fr-CA"/>
        </w:rPr>
      </w:pPr>
      <w:bookmarkStart w:id="4" w:name="_Toc54283827"/>
      <w:r w:rsidRPr="0081448E">
        <w:rPr>
          <w:lang w:val="fr-CA"/>
        </w:rPr>
        <w:lastRenderedPageBreak/>
        <w:t>Motions</w:t>
      </w:r>
      <w:r w:rsidR="00271E1E" w:rsidRPr="0081448E">
        <w:rPr>
          <w:lang w:val="fr-CA"/>
        </w:rPr>
        <w:t xml:space="preserve"> / </w:t>
      </w:r>
      <w:r w:rsidR="00693C38" w:rsidRPr="0081448E">
        <w:rPr>
          <w:lang w:val="fr-CA"/>
        </w:rPr>
        <w:br/>
      </w:r>
      <w:r w:rsidRPr="0081448E">
        <w:rPr>
          <w:lang w:val="fr-CA"/>
        </w:rPr>
        <w:t>Requêtes</w:t>
      </w:r>
      <w:bookmarkEnd w:id="4"/>
    </w:p>
    <w:p w:rsidR="00890FEB" w:rsidRPr="0081448E" w:rsidRDefault="00890FEB" w:rsidP="00890FEB">
      <w:pPr>
        <w:rPr>
          <w:sz w:val="20"/>
          <w:szCs w:val="20"/>
          <w:lang w:val="fr-CA"/>
        </w:rPr>
      </w:pPr>
    </w:p>
    <w:p w:rsidR="008859F1" w:rsidRPr="0081448E" w:rsidRDefault="000D5C84" w:rsidP="008859F1">
      <w:pPr>
        <w:rPr>
          <w:b/>
          <w:sz w:val="20"/>
          <w:szCs w:val="20"/>
          <w:lang w:val="fr-CA"/>
        </w:rPr>
      </w:pPr>
      <w:r w:rsidRPr="0081448E">
        <w:rPr>
          <w:b/>
          <w:sz w:val="20"/>
          <w:szCs w:val="20"/>
          <w:lang w:val="fr-CA"/>
        </w:rPr>
        <w:t>OCTOBER</w:t>
      </w:r>
      <w:r w:rsidR="008859F1" w:rsidRPr="0081448E">
        <w:rPr>
          <w:b/>
          <w:sz w:val="20"/>
          <w:szCs w:val="20"/>
          <w:lang w:val="fr-CA"/>
        </w:rPr>
        <w:t xml:space="preserve"> </w:t>
      </w:r>
      <w:r w:rsidR="00691D1D" w:rsidRPr="0081448E">
        <w:rPr>
          <w:b/>
          <w:sz w:val="20"/>
          <w:szCs w:val="20"/>
          <w:lang w:val="fr-CA"/>
        </w:rPr>
        <w:t>1</w:t>
      </w:r>
      <w:r w:rsidRPr="0081448E">
        <w:rPr>
          <w:b/>
          <w:sz w:val="20"/>
          <w:szCs w:val="20"/>
          <w:lang w:val="fr-CA"/>
        </w:rPr>
        <w:t>9</w:t>
      </w:r>
      <w:r w:rsidR="008859F1" w:rsidRPr="0081448E">
        <w:rPr>
          <w:b/>
          <w:sz w:val="20"/>
          <w:szCs w:val="20"/>
          <w:lang w:val="fr-CA"/>
        </w:rPr>
        <w:t>, 20</w:t>
      </w:r>
      <w:r w:rsidR="005967EF" w:rsidRPr="0081448E">
        <w:rPr>
          <w:b/>
          <w:sz w:val="20"/>
          <w:szCs w:val="20"/>
          <w:lang w:val="fr-CA"/>
        </w:rPr>
        <w:t>20</w:t>
      </w:r>
      <w:r w:rsidR="008859F1" w:rsidRPr="0081448E">
        <w:rPr>
          <w:b/>
          <w:sz w:val="20"/>
          <w:szCs w:val="20"/>
          <w:lang w:val="fr-CA"/>
        </w:rPr>
        <w:t xml:space="preserve"> / LE </w:t>
      </w:r>
      <w:r w:rsidR="00691D1D" w:rsidRPr="0081448E">
        <w:rPr>
          <w:b/>
          <w:sz w:val="20"/>
          <w:szCs w:val="20"/>
          <w:lang w:val="fr-CA"/>
        </w:rPr>
        <w:t>1</w:t>
      </w:r>
      <w:r w:rsidRPr="0081448E">
        <w:rPr>
          <w:b/>
          <w:sz w:val="20"/>
          <w:szCs w:val="20"/>
          <w:lang w:val="fr-CA"/>
        </w:rPr>
        <w:t>9</w:t>
      </w:r>
      <w:r w:rsidR="008859F1" w:rsidRPr="0081448E">
        <w:rPr>
          <w:b/>
          <w:sz w:val="20"/>
          <w:szCs w:val="20"/>
          <w:lang w:val="fr-CA"/>
        </w:rPr>
        <w:t xml:space="preserve"> </w:t>
      </w:r>
      <w:r w:rsidRPr="0081448E">
        <w:rPr>
          <w:b/>
          <w:sz w:val="20"/>
          <w:szCs w:val="20"/>
          <w:lang w:val="fr-CA"/>
        </w:rPr>
        <w:t>OCTOBRE</w:t>
      </w:r>
      <w:r w:rsidR="008859F1" w:rsidRPr="0081448E">
        <w:rPr>
          <w:b/>
          <w:sz w:val="20"/>
          <w:szCs w:val="20"/>
          <w:lang w:val="fr-CA"/>
        </w:rPr>
        <w:t xml:space="preserve"> 20</w:t>
      </w:r>
      <w:r w:rsidR="005967EF" w:rsidRPr="0081448E">
        <w:rPr>
          <w:b/>
          <w:sz w:val="20"/>
          <w:szCs w:val="20"/>
          <w:lang w:val="fr-CA"/>
        </w:rPr>
        <w:t>20</w:t>
      </w:r>
    </w:p>
    <w:p w:rsidR="00102792" w:rsidRPr="0081448E"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5C4158" w:rsidTr="00691D1D">
        <w:tc>
          <w:tcPr>
            <w:tcW w:w="4410" w:type="dxa"/>
            <w:tcBorders>
              <w:top w:val="nil"/>
              <w:left w:val="nil"/>
              <w:bottom w:val="nil"/>
              <w:right w:val="nil"/>
            </w:tcBorders>
          </w:tcPr>
          <w:p w:rsidR="00D93A6C" w:rsidRPr="0081448E" w:rsidRDefault="00D93A6C" w:rsidP="00691D1D">
            <w:pPr>
              <w:jc w:val="both"/>
              <w:rPr>
                <w:rFonts w:cs="Times New Roman"/>
                <w:b/>
                <w:bCs/>
                <w:sz w:val="20"/>
                <w:szCs w:val="20"/>
                <w:lang w:val="en-US"/>
              </w:rPr>
            </w:pPr>
            <w:r w:rsidRPr="0081448E">
              <w:rPr>
                <w:rFonts w:eastAsia="Times New Roman" w:cs="Times New Roman"/>
                <w:b/>
                <w:sz w:val="20"/>
                <w:szCs w:val="20"/>
                <w:lang w:val="en-US" w:eastAsia="en-CA"/>
              </w:rPr>
              <w:t>Motion to adduce new evidence</w:t>
            </w:r>
          </w:p>
        </w:tc>
        <w:tc>
          <w:tcPr>
            <w:tcW w:w="810" w:type="dxa"/>
            <w:tcBorders>
              <w:top w:val="nil"/>
              <w:left w:val="nil"/>
              <w:bottom w:val="nil"/>
              <w:right w:val="nil"/>
            </w:tcBorders>
          </w:tcPr>
          <w:p w:rsidR="00D93A6C" w:rsidRPr="0081448E"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1448E" w:rsidRDefault="00D93A6C" w:rsidP="00691D1D">
            <w:pPr>
              <w:jc w:val="both"/>
              <w:rPr>
                <w:rFonts w:cs="Times New Roman"/>
                <w:b/>
                <w:bCs/>
                <w:sz w:val="20"/>
                <w:szCs w:val="20"/>
                <w:lang w:val="fr-CA"/>
              </w:rPr>
            </w:pPr>
            <w:r w:rsidRPr="0081448E">
              <w:rPr>
                <w:rFonts w:eastAsia="Times New Roman" w:cs="Times New Roman"/>
                <w:b/>
                <w:sz w:val="20"/>
                <w:szCs w:val="20"/>
                <w:lang w:val="fr-CA" w:eastAsia="en-CA"/>
              </w:rPr>
              <w:t xml:space="preserve">Requête </w:t>
            </w:r>
            <w:r w:rsidR="000D5C84" w:rsidRPr="0081448E">
              <w:rPr>
                <w:rFonts w:eastAsia="Times New Roman" w:cs="Times New Roman"/>
                <w:b/>
                <w:sz w:val="20"/>
                <w:szCs w:val="20"/>
                <w:lang w:val="fr-CA" w:eastAsia="en-CA"/>
              </w:rPr>
              <w:t>pour déposer de nouveaux éléments de preuve</w:t>
            </w:r>
          </w:p>
        </w:tc>
      </w:tr>
    </w:tbl>
    <w:p w:rsidR="00D93A6C" w:rsidRPr="0081448E" w:rsidRDefault="00D93A6C" w:rsidP="00102792">
      <w:pPr>
        <w:tabs>
          <w:tab w:val="left" w:pos="-1440"/>
          <w:tab w:val="left" w:pos="-720"/>
        </w:tabs>
        <w:jc w:val="both"/>
        <w:rPr>
          <w:rFonts w:eastAsia="Times New Roman" w:cs="Times New Roman"/>
          <w:sz w:val="20"/>
          <w:szCs w:val="20"/>
          <w:lang w:val="fr-CA" w:eastAsia="en-CA"/>
        </w:rPr>
      </w:pPr>
    </w:p>
    <w:p w:rsidR="00D93A6C" w:rsidRPr="0081448E" w:rsidRDefault="00D93A6C" w:rsidP="00102792">
      <w:pPr>
        <w:tabs>
          <w:tab w:val="left" w:pos="-1440"/>
          <w:tab w:val="left" w:pos="-720"/>
        </w:tabs>
        <w:jc w:val="both"/>
        <w:rPr>
          <w:rFonts w:eastAsia="Times New Roman" w:cs="Times New Roman"/>
          <w:sz w:val="20"/>
          <w:szCs w:val="20"/>
          <w:lang w:val="fr-CA" w:eastAsia="en-CA"/>
        </w:rPr>
      </w:pPr>
    </w:p>
    <w:p w:rsidR="000D5C84" w:rsidRPr="0081448E" w:rsidRDefault="000D5C84" w:rsidP="000D5C84">
      <w:pPr>
        <w:rPr>
          <w:rFonts w:cs="Times New Roman"/>
          <w:b/>
          <w:bCs/>
          <w:sz w:val="20"/>
          <w:szCs w:val="20"/>
        </w:rPr>
      </w:pPr>
      <w:r w:rsidRPr="0081448E">
        <w:rPr>
          <w:rFonts w:cs="Times New Roman"/>
          <w:b/>
          <w:bCs/>
          <w:caps/>
          <w:sz w:val="20"/>
          <w:szCs w:val="20"/>
        </w:rPr>
        <w:t>Ethiopian Orthodox Tewahedo Church of Canada St. Mary Cathedral, Mesale Enegeda, Abune Dimetros and Hiwot Bekele</w:t>
      </w:r>
      <w:r w:rsidRPr="0081448E">
        <w:rPr>
          <w:rFonts w:eastAsia="Times New Roman" w:cs="Times New Roman"/>
          <w:sz w:val="20"/>
          <w:szCs w:val="20"/>
        </w:rPr>
        <w:t xml:space="preserve"> </w:t>
      </w:r>
      <w:r w:rsidRPr="0081448E">
        <w:rPr>
          <w:rFonts w:cs="Times New Roman"/>
          <w:b/>
          <w:bCs/>
          <w:sz w:val="20"/>
          <w:szCs w:val="20"/>
        </w:rPr>
        <w:t xml:space="preserve">v. </w:t>
      </w:r>
      <w:r w:rsidRPr="0081448E">
        <w:rPr>
          <w:rFonts w:cs="Times New Roman"/>
          <w:b/>
          <w:bCs/>
          <w:caps/>
          <w:sz w:val="20"/>
          <w:szCs w:val="20"/>
        </w:rPr>
        <w:t>Teshome Aga, Yoseph Beyene, Dereje Goshu, Tseduke Gezaw and Belay Hebest</w:t>
      </w:r>
    </w:p>
    <w:p w:rsidR="000D5C84" w:rsidRPr="0081448E" w:rsidRDefault="000D5C84" w:rsidP="000D5C84">
      <w:pPr>
        <w:rPr>
          <w:rFonts w:cs="Times New Roman"/>
          <w:bCs/>
          <w:sz w:val="20"/>
          <w:szCs w:val="20"/>
        </w:rPr>
      </w:pPr>
      <w:r w:rsidRPr="0081448E">
        <w:rPr>
          <w:rFonts w:cs="Times New Roman"/>
          <w:bCs/>
          <w:sz w:val="20"/>
          <w:szCs w:val="20"/>
        </w:rPr>
        <w:t xml:space="preserve">(Ont.) (39094) </w:t>
      </w:r>
    </w:p>
    <w:p w:rsidR="000D5C84" w:rsidRPr="0081448E" w:rsidRDefault="000D5C84" w:rsidP="000D5C84">
      <w:pPr>
        <w:rPr>
          <w:rFonts w:cs="Times New Roman"/>
          <w:bCs/>
          <w:sz w:val="20"/>
          <w:szCs w:val="20"/>
        </w:rPr>
      </w:pPr>
    </w:p>
    <w:p w:rsidR="000D5C84" w:rsidRPr="0081448E" w:rsidRDefault="000D5C84" w:rsidP="000D5C84">
      <w:pPr>
        <w:rPr>
          <w:rFonts w:cs="Times New Roman"/>
          <w:sz w:val="20"/>
          <w:szCs w:val="20"/>
        </w:rPr>
      </w:pPr>
      <w:r w:rsidRPr="0081448E">
        <w:rPr>
          <w:rFonts w:cs="Times New Roman"/>
          <w:b/>
          <w:bCs/>
          <w:sz w:val="20"/>
          <w:szCs w:val="20"/>
          <w:u w:val="single"/>
        </w:rPr>
        <w:t>BROWN J.</w:t>
      </w:r>
      <w:r w:rsidRPr="0081448E">
        <w:rPr>
          <w:rFonts w:cs="Times New Roman"/>
          <w:b/>
          <w:bCs/>
          <w:sz w:val="20"/>
          <w:szCs w:val="20"/>
        </w:rPr>
        <w:t>:</w:t>
      </w:r>
    </w:p>
    <w:p w:rsidR="000D5C84" w:rsidRPr="0081448E" w:rsidRDefault="000D5C84" w:rsidP="000D5C84">
      <w:pPr>
        <w:rPr>
          <w:rFonts w:cs="Times New Roman"/>
          <w:sz w:val="20"/>
          <w:szCs w:val="20"/>
        </w:rPr>
      </w:pPr>
    </w:p>
    <w:p w:rsidR="000D5C84" w:rsidRPr="0081448E" w:rsidRDefault="000D5C84" w:rsidP="000D5C84">
      <w:pPr>
        <w:rPr>
          <w:rFonts w:eastAsia="Times New Roman" w:cs="Times New Roman"/>
          <w:sz w:val="20"/>
          <w:szCs w:val="20"/>
          <w:lang w:val="en"/>
        </w:rPr>
      </w:pPr>
      <w:r w:rsidRPr="0081448E">
        <w:rPr>
          <w:rFonts w:eastAsia="Times New Roman" w:cs="Times New Roman"/>
          <w:b/>
          <w:bCs/>
          <w:sz w:val="20"/>
          <w:szCs w:val="20"/>
          <w:lang w:eastAsia="en-CA"/>
        </w:rPr>
        <w:t>UPON APPLICATION</w:t>
      </w:r>
      <w:r w:rsidRPr="0081448E">
        <w:rPr>
          <w:rFonts w:eastAsia="Times New Roman" w:cs="Times New Roman"/>
          <w:sz w:val="20"/>
          <w:szCs w:val="20"/>
          <w:lang w:eastAsia="en-CA"/>
        </w:rPr>
        <w:t xml:space="preserve"> by the appellants for an order to adduce new evidence;</w:t>
      </w:r>
    </w:p>
    <w:p w:rsidR="000D5C84" w:rsidRPr="0081448E" w:rsidRDefault="000D5C84" w:rsidP="000D5C84">
      <w:pPr>
        <w:rPr>
          <w:rFonts w:eastAsia="Times New Roman" w:cs="Times New Roman"/>
          <w:i/>
          <w:sz w:val="20"/>
          <w:szCs w:val="20"/>
          <w:lang w:eastAsia="en-CA"/>
        </w:rPr>
      </w:pPr>
    </w:p>
    <w:p w:rsidR="000D5C84" w:rsidRPr="0081448E" w:rsidRDefault="000D5C84" w:rsidP="000D5C84">
      <w:pPr>
        <w:spacing w:line="233" w:lineRule="auto"/>
        <w:rPr>
          <w:rFonts w:cs="Times New Roman"/>
          <w:sz w:val="20"/>
          <w:szCs w:val="20"/>
        </w:rPr>
      </w:pPr>
      <w:r w:rsidRPr="0081448E">
        <w:rPr>
          <w:rFonts w:cs="Times New Roman"/>
          <w:b/>
          <w:bCs/>
          <w:sz w:val="20"/>
          <w:szCs w:val="20"/>
        </w:rPr>
        <w:t>AND THE MATERIAL FILED</w:t>
      </w:r>
      <w:r w:rsidRPr="0081448E">
        <w:rPr>
          <w:rFonts w:cs="Times New Roman"/>
          <w:sz w:val="20"/>
          <w:szCs w:val="20"/>
        </w:rPr>
        <w:t xml:space="preserve"> having been read;</w:t>
      </w:r>
    </w:p>
    <w:p w:rsidR="000D5C84" w:rsidRPr="0081448E" w:rsidRDefault="000D5C84" w:rsidP="000D5C84">
      <w:pPr>
        <w:spacing w:line="233" w:lineRule="auto"/>
        <w:rPr>
          <w:rFonts w:cs="Times New Roman"/>
          <w:sz w:val="20"/>
          <w:szCs w:val="20"/>
        </w:rPr>
      </w:pPr>
    </w:p>
    <w:p w:rsidR="000D5C84" w:rsidRPr="0081448E" w:rsidRDefault="000D5C84" w:rsidP="000D5C84">
      <w:pPr>
        <w:spacing w:line="233" w:lineRule="auto"/>
        <w:rPr>
          <w:rFonts w:cs="Times New Roman"/>
          <w:b/>
          <w:bCs/>
          <w:sz w:val="20"/>
          <w:szCs w:val="20"/>
        </w:rPr>
      </w:pPr>
      <w:r w:rsidRPr="0081448E">
        <w:rPr>
          <w:rFonts w:cs="Times New Roman"/>
          <w:b/>
          <w:bCs/>
          <w:sz w:val="20"/>
          <w:szCs w:val="20"/>
        </w:rPr>
        <w:t>IT IS HEREBY ORDERED THAT:</w:t>
      </w:r>
    </w:p>
    <w:p w:rsidR="000D5C84" w:rsidRPr="0081448E" w:rsidRDefault="000D5C84" w:rsidP="000D5C84">
      <w:pPr>
        <w:spacing w:line="233" w:lineRule="auto"/>
        <w:rPr>
          <w:rFonts w:cs="Times New Roman"/>
          <w:sz w:val="20"/>
          <w:szCs w:val="20"/>
        </w:rPr>
      </w:pPr>
    </w:p>
    <w:p w:rsidR="000D5C84" w:rsidRPr="0081448E" w:rsidRDefault="000D5C84" w:rsidP="000D5C84">
      <w:pPr>
        <w:spacing w:line="233" w:lineRule="auto"/>
        <w:rPr>
          <w:rFonts w:cs="Times New Roman"/>
          <w:sz w:val="20"/>
          <w:szCs w:val="20"/>
        </w:rPr>
      </w:pPr>
      <w:r w:rsidRPr="0081448E">
        <w:rPr>
          <w:rFonts w:cs="Times New Roman"/>
          <w:sz w:val="20"/>
          <w:szCs w:val="20"/>
        </w:rPr>
        <w:t>The motion is deferred to the panel hearing the appeal.</w:t>
      </w:r>
    </w:p>
    <w:p w:rsidR="000D5C84" w:rsidRPr="0081448E" w:rsidRDefault="000D5C84" w:rsidP="000D5C84">
      <w:pPr>
        <w:tabs>
          <w:tab w:val="left" w:pos="2340"/>
        </w:tabs>
        <w:rPr>
          <w:rFonts w:cs="Times New Roman"/>
          <w:sz w:val="20"/>
          <w:szCs w:val="20"/>
        </w:rPr>
      </w:pPr>
    </w:p>
    <w:p w:rsidR="000D5C84" w:rsidRPr="0081448E" w:rsidRDefault="000D5C84" w:rsidP="000D5C84">
      <w:pPr>
        <w:rPr>
          <w:rFonts w:cs="Times New Roman"/>
          <w:sz w:val="20"/>
          <w:szCs w:val="20"/>
        </w:rPr>
      </w:pPr>
    </w:p>
    <w:p w:rsidR="000D5C84" w:rsidRPr="0081448E" w:rsidRDefault="000D5C84" w:rsidP="000D5C84">
      <w:pPr>
        <w:rPr>
          <w:rFonts w:cs="Times New Roman"/>
          <w:sz w:val="20"/>
          <w:szCs w:val="20"/>
          <w:lang w:val="fr-CA"/>
        </w:rPr>
      </w:pPr>
      <w:r w:rsidRPr="0081448E">
        <w:rPr>
          <w:rFonts w:cs="Times New Roman"/>
          <w:b/>
          <w:sz w:val="20"/>
          <w:szCs w:val="20"/>
          <w:lang w:val="fr-CA"/>
        </w:rPr>
        <w:t>À LA SUITE DE LA DEMANDE</w:t>
      </w:r>
      <w:r w:rsidRPr="0081448E">
        <w:rPr>
          <w:rFonts w:cs="Times New Roman"/>
          <w:sz w:val="20"/>
          <w:szCs w:val="20"/>
          <w:lang w:val="fr-CA"/>
        </w:rPr>
        <w:t xml:space="preserve"> des appelants en vue de produire de nouveaux éléments de preuve;</w:t>
      </w:r>
    </w:p>
    <w:p w:rsidR="000D5C84" w:rsidRPr="0081448E" w:rsidRDefault="000D5C84" w:rsidP="000D5C84">
      <w:pPr>
        <w:rPr>
          <w:rFonts w:cs="Times New Roman"/>
          <w:sz w:val="20"/>
          <w:szCs w:val="20"/>
          <w:lang w:val="fr-CA"/>
        </w:rPr>
      </w:pPr>
    </w:p>
    <w:p w:rsidR="000D5C84" w:rsidRPr="0081448E" w:rsidRDefault="000D5C84" w:rsidP="000D5C84">
      <w:pPr>
        <w:rPr>
          <w:rFonts w:cs="Times New Roman"/>
          <w:sz w:val="20"/>
          <w:szCs w:val="20"/>
          <w:lang w:val="fr-CA"/>
        </w:rPr>
      </w:pPr>
      <w:r w:rsidRPr="0081448E">
        <w:rPr>
          <w:rFonts w:cs="Times New Roman"/>
          <w:b/>
          <w:sz w:val="20"/>
          <w:szCs w:val="20"/>
          <w:lang w:val="fr-CA"/>
        </w:rPr>
        <w:t>ET APRÈS EXAMEN</w:t>
      </w:r>
      <w:r w:rsidRPr="0081448E">
        <w:rPr>
          <w:rFonts w:cs="Times New Roman"/>
          <w:sz w:val="20"/>
          <w:szCs w:val="20"/>
          <w:lang w:val="fr-CA"/>
        </w:rPr>
        <w:t xml:space="preserve"> des documents déposés;</w:t>
      </w:r>
    </w:p>
    <w:p w:rsidR="000D5C84" w:rsidRPr="0081448E" w:rsidRDefault="000D5C84" w:rsidP="000D5C84">
      <w:pPr>
        <w:rPr>
          <w:rFonts w:cs="Times New Roman"/>
          <w:sz w:val="20"/>
          <w:szCs w:val="20"/>
          <w:lang w:val="fr-CA"/>
        </w:rPr>
      </w:pPr>
    </w:p>
    <w:p w:rsidR="000D5C84" w:rsidRPr="0081448E" w:rsidRDefault="000D5C84" w:rsidP="000D5C84">
      <w:pPr>
        <w:rPr>
          <w:rFonts w:cs="Times New Roman"/>
          <w:b/>
          <w:sz w:val="20"/>
          <w:szCs w:val="20"/>
          <w:lang w:val="fr-CA"/>
        </w:rPr>
      </w:pPr>
      <w:r w:rsidRPr="0081448E">
        <w:rPr>
          <w:rFonts w:cs="Times New Roman"/>
          <w:b/>
          <w:sz w:val="20"/>
          <w:szCs w:val="20"/>
          <w:lang w:val="fr-CA"/>
        </w:rPr>
        <w:t>IL EST ORDONNÉ CE QUI SUIT :</w:t>
      </w:r>
    </w:p>
    <w:p w:rsidR="000D5C84" w:rsidRPr="0081448E" w:rsidRDefault="000D5C84" w:rsidP="000D5C84">
      <w:pPr>
        <w:rPr>
          <w:rFonts w:cs="Times New Roman"/>
          <w:sz w:val="20"/>
          <w:szCs w:val="20"/>
          <w:lang w:val="fr-CA"/>
        </w:rPr>
      </w:pPr>
    </w:p>
    <w:p w:rsidR="000D5C84" w:rsidRPr="0081448E" w:rsidRDefault="000D5C84" w:rsidP="000D5C84">
      <w:pPr>
        <w:rPr>
          <w:rFonts w:cs="Times New Roman"/>
          <w:sz w:val="20"/>
          <w:szCs w:val="20"/>
          <w:lang w:val="fr-CA"/>
        </w:rPr>
      </w:pPr>
      <w:r w:rsidRPr="0081448E">
        <w:rPr>
          <w:rFonts w:cs="Times New Roman"/>
          <w:sz w:val="20"/>
          <w:szCs w:val="20"/>
          <w:lang w:val="fr-CA"/>
        </w:rPr>
        <w:t>La requête est déférée à la formation qui entendra l’appel.</w:t>
      </w:r>
    </w:p>
    <w:p w:rsidR="00102792" w:rsidRPr="0081448E" w:rsidRDefault="00102792" w:rsidP="00102792">
      <w:pPr>
        <w:spacing w:line="232" w:lineRule="auto"/>
        <w:rPr>
          <w:rFonts w:cs="Times New Roman"/>
          <w:sz w:val="20"/>
          <w:lang w:val="fr-CA"/>
        </w:rPr>
      </w:pPr>
    </w:p>
    <w:p w:rsidR="00102792" w:rsidRPr="0081448E" w:rsidRDefault="00DC444A"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5967EF" w:rsidRPr="0081448E" w:rsidRDefault="005967EF" w:rsidP="00102792">
      <w:pPr>
        <w:rPr>
          <w:rFonts w:eastAsia="Times New Roman" w:cs="Times New Roman"/>
          <w:sz w:val="20"/>
          <w:szCs w:val="20"/>
          <w:lang w:val="fr-CA" w:eastAsia="en-CA"/>
        </w:rPr>
      </w:pPr>
    </w:p>
    <w:p w:rsidR="00102792" w:rsidRPr="0081448E" w:rsidRDefault="00102792" w:rsidP="00102792">
      <w:pPr>
        <w:rPr>
          <w:rFonts w:eastAsia="Times New Roman" w:cs="Times New Roman"/>
          <w:sz w:val="20"/>
          <w:szCs w:val="20"/>
          <w:lang w:val="fr-CA" w:eastAsia="en-CA"/>
        </w:rPr>
      </w:pPr>
    </w:p>
    <w:p w:rsidR="00890FEB" w:rsidRPr="0081448E" w:rsidRDefault="00890FEB" w:rsidP="00831CA9">
      <w:pPr>
        <w:jc w:val="both"/>
        <w:rPr>
          <w:sz w:val="20"/>
          <w:szCs w:val="20"/>
          <w:lang w:val="fr-CA"/>
        </w:rPr>
      </w:pPr>
    </w:p>
    <w:p w:rsidR="00831CA9" w:rsidRPr="0081448E" w:rsidRDefault="00831CA9" w:rsidP="00831CA9">
      <w:pPr>
        <w:jc w:val="both"/>
        <w:rPr>
          <w:sz w:val="20"/>
          <w:szCs w:val="20"/>
          <w:lang w:val="fr-CA"/>
        </w:rPr>
        <w:sectPr w:rsidR="00831CA9" w:rsidRPr="0081448E" w:rsidSect="00831CA9">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567602" w:rsidRPr="0081448E" w:rsidRDefault="001434B9" w:rsidP="00567602">
      <w:pPr>
        <w:pStyle w:val="Header1StyleE"/>
        <w:pBdr>
          <w:bottom w:val="single" w:sz="12" w:space="1" w:color="auto"/>
        </w:pBdr>
        <w:rPr>
          <w:lang w:val="fr-CA"/>
        </w:rPr>
      </w:pPr>
      <w:bookmarkStart w:id="5" w:name="_Toc54283828"/>
      <w:r w:rsidRPr="0081448E">
        <w:rPr>
          <w:lang w:val="fr-CA"/>
        </w:rPr>
        <w:lastRenderedPageBreak/>
        <w:t>Pronouncements of reserved</w:t>
      </w:r>
      <w:r w:rsidR="00271E1E" w:rsidRPr="0081448E">
        <w:rPr>
          <w:lang w:val="fr-CA"/>
        </w:rPr>
        <w:t xml:space="preserve"> appeals / </w:t>
      </w:r>
      <w:r w:rsidR="00567602" w:rsidRPr="0081448E">
        <w:rPr>
          <w:lang w:val="fr-CA"/>
        </w:rPr>
        <w:br/>
      </w:r>
      <w:r w:rsidRPr="0081448E">
        <w:rPr>
          <w:lang w:val="fr-CA"/>
        </w:rPr>
        <w:t>Jugements rendus sur les appels en délibéré</w:t>
      </w:r>
      <w:bookmarkEnd w:id="5"/>
    </w:p>
    <w:p w:rsidR="00FF6EEC" w:rsidRPr="0081448E" w:rsidRDefault="00FF6EEC" w:rsidP="00FF6EEC">
      <w:pPr>
        <w:rPr>
          <w:sz w:val="20"/>
          <w:szCs w:val="20"/>
          <w:lang w:val="fr-CA"/>
        </w:rPr>
      </w:pPr>
    </w:p>
    <w:p w:rsidR="00102792" w:rsidRPr="0081448E" w:rsidRDefault="002D2C17" w:rsidP="00102792">
      <w:pPr>
        <w:rPr>
          <w:b/>
          <w:sz w:val="20"/>
          <w:szCs w:val="20"/>
          <w:lang w:val="en-US"/>
        </w:rPr>
      </w:pPr>
      <w:r w:rsidRPr="0081448E">
        <w:rPr>
          <w:b/>
          <w:sz w:val="20"/>
          <w:szCs w:val="20"/>
          <w:lang w:val="en-US"/>
        </w:rPr>
        <w:t>OCTOBER</w:t>
      </w:r>
      <w:r w:rsidR="00102792" w:rsidRPr="0081448E">
        <w:rPr>
          <w:b/>
          <w:sz w:val="20"/>
          <w:szCs w:val="20"/>
          <w:lang w:val="en-US"/>
        </w:rPr>
        <w:t xml:space="preserve"> </w:t>
      </w:r>
      <w:r w:rsidR="00172473" w:rsidRPr="0081448E">
        <w:rPr>
          <w:b/>
          <w:sz w:val="20"/>
          <w:szCs w:val="20"/>
          <w:lang w:val="en-US"/>
        </w:rPr>
        <w:t>2</w:t>
      </w:r>
      <w:r w:rsidRPr="0081448E">
        <w:rPr>
          <w:b/>
          <w:sz w:val="20"/>
          <w:szCs w:val="20"/>
          <w:lang w:val="en-US"/>
        </w:rPr>
        <w:t>3</w:t>
      </w:r>
      <w:r w:rsidR="00102792" w:rsidRPr="0081448E">
        <w:rPr>
          <w:b/>
          <w:sz w:val="20"/>
          <w:szCs w:val="20"/>
          <w:lang w:val="en-US"/>
        </w:rPr>
        <w:t xml:space="preserve">, </w:t>
      </w:r>
      <w:r w:rsidR="0034657E" w:rsidRPr="0081448E">
        <w:rPr>
          <w:b/>
          <w:sz w:val="20"/>
          <w:szCs w:val="20"/>
          <w:lang w:val="en-US"/>
        </w:rPr>
        <w:t>20</w:t>
      </w:r>
      <w:r w:rsidR="00172473" w:rsidRPr="0081448E">
        <w:rPr>
          <w:b/>
          <w:sz w:val="20"/>
          <w:szCs w:val="20"/>
          <w:lang w:val="en-US"/>
        </w:rPr>
        <w:t>20</w:t>
      </w:r>
      <w:r w:rsidR="00102792" w:rsidRPr="0081448E">
        <w:rPr>
          <w:b/>
          <w:sz w:val="20"/>
          <w:szCs w:val="20"/>
          <w:lang w:val="en-US"/>
        </w:rPr>
        <w:t xml:space="preserve"> / LE </w:t>
      </w:r>
      <w:r w:rsidR="00172473" w:rsidRPr="0081448E">
        <w:rPr>
          <w:b/>
          <w:sz w:val="20"/>
          <w:szCs w:val="20"/>
          <w:lang w:val="en-US"/>
        </w:rPr>
        <w:t>2</w:t>
      </w:r>
      <w:r w:rsidRPr="0081448E">
        <w:rPr>
          <w:b/>
          <w:sz w:val="20"/>
          <w:szCs w:val="20"/>
          <w:lang w:val="en-US"/>
        </w:rPr>
        <w:t>3</w:t>
      </w:r>
      <w:r w:rsidR="00102792" w:rsidRPr="0081448E">
        <w:rPr>
          <w:b/>
          <w:sz w:val="20"/>
          <w:szCs w:val="20"/>
          <w:lang w:val="en-US"/>
        </w:rPr>
        <w:t xml:space="preserve"> </w:t>
      </w:r>
      <w:r w:rsidRPr="0081448E">
        <w:rPr>
          <w:b/>
          <w:sz w:val="20"/>
          <w:szCs w:val="20"/>
          <w:lang w:val="en-US"/>
        </w:rPr>
        <w:t>OCTOBRE</w:t>
      </w:r>
      <w:r w:rsidR="00102792" w:rsidRPr="0081448E">
        <w:rPr>
          <w:b/>
          <w:sz w:val="20"/>
          <w:szCs w:val="20"/>
          <w:lang w:val="en-US"/>
        </w:rPr>
        <w:t xml:space="preserve"> </w:t>
      </w:r>
      <w:r w:rsidR="0034657E" w:rsidRPr="0081448E">
        <w:rPr>
          <w:b/>
          <w:sz w:val="20"/>
          <w:szCs w:val="20"/>
          <w:lang w:val="en-US"/>
        </w:rPr>
        <w:t>20</w:t>
      </w:r>
      <w:r w:rsidR="00172473" w:rsidRPr="0081448E">
        <w:rPr>
          <w:b/>
          <w:sz w:val="20"/>
          <w:szCs w:val="20"/>
          <w:lang w:val="en-US"/>
        </w:rPr>
        <w:t>20</w:t>
      </w:r>
    </w:p>
    <w:p w:rsidR="00102792" w:rsidRPr="0081448E" w:rsidRDefault="00102792" w:rsidP="00102792">
      <w:pPr>
        <w:rPr>
          <w:sz w:val="20"/>
          <w:szCs w:val="20"/>
          <w:lang w:val="en-US"/>
        </w:rPr>
      </w:pPr>
    </w:p>
    <w:p w:rsidR="00102792" w:rsidRPr="0081448E" w:rsidRDefault="00102792" w:rsidP="00102792">
      <w:pPr>
        <w:ind w:left="1440" w:hanging="1440"/>
        <w:jc w:val="both"/>
        <w:rPr>
          <w:rFonts w:eastAsia="Times New Roman" w:cs="Times New Roman"/>
          <w:color w:val="000000"/>
          <w:sz w:val="20"/>
          <w:szCs w:val="20"/>
          <w:lang w:val="en-US"/>
        </w:rPr>
      </w:pPr>
      <w:r w:rsidRPr="0081448E">
        <w:rPr>
          <w:rFonts w:eastAsia="Times New Roman" w:cs="Times New Roman"/>
          <w:b/>
          <w:bCs/>
          <w:color w:val="000000"/>
          <w:sz w:val="20"/>
          <w:szCs w:val="20"/>
          <w:lang w:val="en-US"/>
        </w:rPr>
        <w:t>3</w:t>
      </w:r>
      <w:r w:rsidR="008826D8" w:rsidRPr="0081448E">
        <w:rPr>
          <w:rFonts w:eastAsia="Times New Roman" w:cs="Times New Roman"/>
          <w:b/>
          <w:bCs/>
          <w:color w:val="000000"/>
          <w:sz w:val="20"/>
          <w:szCs w:val="20"/>
          <w:lang w:val="en-US"/>
        </w:rPr>
        <w:t>8</w:t>
      </w:r>
      <w:r w:rsidRPr="0081448E">
        <w:rPr>
          <w:rFonts w:eastAsia="Times New Roman" w:cs="Times New Roman"/>
          <w:b/>
          <w:bCs/>
          <w:color w:val="000000"/>
          <w:sz w:val="20"/>
          <w:szCs w:val="20"/>
          <w:lang w:val="en-US"/>
        </w:rPr>
        <w:t>74</w:t>
      </w:r>
      <w:r w:rsidR="008826D8" w:rsidRPr="0081448E">
        <w:rPr>
          <w:rFonts w:eastAsia="Times New Roman" w:cs="Times New Roman"/>
          <w:b/>
          <w:bCs/>
          <w:color w:val="000000"/>
          <w:sz w:val="20"/>
          <w:szCs w:val="20"/>
          <w:lang w:val="en-US"/>
        </w:rPr>
        <w:t>1</w:t>
      </w:r>
      <w:r w:rsidR="00172473" w:rsidRPr="0081448E">
        <w:rPr>
          <w:rFonts w:eastAsia="Times New Roman" w:cs="Times New Roman"/>
          <w:b/>
          <w:bCs/>
          <w:color w:val="000000"/>
          <w:sz w:val="20"/>
          <w:szCs w:val="20"/>
          <w:lang w:val="en-US"/>
        </w:rPr>
        <w:tab/>
      </w:r>
      <w:r w:rsidR="003E55B4" w:rsidRPr="0081448E">
        <w:rPr>
          <w:b/>
          <w:bCs/>
          <w:color w:val="000000"/>
          <w:sz w:val="20"/>
        </w:rPr>
        <w:t>Owners, Strata Plan LMS 3905 v. Crystal Square Parking Corporation - and - C.H.O.A. Condominium Home Owners’ Association of B.C. and Urban Development Institute – Pacific Region</w:t>
      </w:r>
      <w:r w:rsidR="00281DA2" w:rsidRPr="0081448E">
        <w:rPr>
          <w:rFonts w:eastAsia="Times New Roman" w:cs="Times New Roman"/>
          <w:b/>
          <w:bCs/>
          <w:color w:val="000000"/>
          <w:sz w:val="20"/>
          <w:szCs w:val="20"/>
          <w:lang w:val="en-US"/>
        </w:rPr>
        <w:t xml:space="preserve"> </w:t>
      </w:r>
      <w:r w:rsidRPr="0081448E">
        <w:rPr>
          <w:rFonts w:eastAsia="Times New Roman" w:cs="Times New Roman"/>
          <w:color w:val="000000"/>
          <w:sz w:val="20"/>
          <w:szCs w:val="20"/>
          <w:lang w:val="en-US"/>
        </w:rPr>
        <w:t>(</w:t>
      </w:r>
      <w:r w:rsidR="006275D9" w:rsidRPr="0081448E">
        <w:rPr>
          <w:rFonts w:eastAsia="Times New Roman" w:cs="Times New Roman"/>
          <w:color w:val="000000"/>
          <w:sz w:val="20"/>
          <w:szCs w:val="20"/>
          <w:lang w:val="en-US"/>
        </w:rPr>
        <w:t>B</w:t>
      </w:r>
      <w:r w:rsidRPr="0081448E">
        <w:rPr>
          <w:rFonts w:eastAsia="Times New Roman" w:cs="Times New Roman"/>
          <w:color w:val="000000"/>
          <w:sz w:val="20"/>
          <w:szCs w:val="20"/>
          <w:lang w:val="en-US"/>
        </w:rPr>
        <w:t>.C.)</w:t>
      </w:r>
    </w:p>
    <w:p w:rsidR="00102792" w:rsidRPr="0081448E" w:rsidRDefault="00102792" w:rsidP="00102792">
      <w:pPr>
        <w:ind w:left="1440"/>
        <w:jc w:val="both"/>
        <w:rPr>
          <w:rFonts w:eastAsia="Times New Roman" w:cs="Times New Roman"/>
          <w:color w:val="000000"/>
          <w:sz w:val="20"/>
          <w:szCs w:val="20"/>
          <w:lang w:val="en-US"/>
        </w:rPr>
      </w:pPr>
      <w:r w:rsidRPr="0081448E">
        <w:rPr>
          <w:rFonts w:eastAsia="Times New Roman" w:cs="Times New Roman"/>
          <w:b/>
          <w:bCs/>
          <w:color w:val="000000"/>
          <w:sz w:val="20"/>
          <w:szCs w:val="20"/>
          <w:lang w:val="en-US"/>
        </w:rPr>
        <w:t>20</w:t>
      </w:r>
      <w:r w:rsidR="00172473" w:rsidRPr="0081448E">
        <w:rPr>
          <w:rFonts w:eastAsia="Times New Roman" w:cs="Times New Roman"/>
          <w:b/>
          <w:bCs/>
          <w:color w:val="000000"/>
          <w:sz w:val="20"/>
          <w:szCs w:val="20"/>
          <w:lang w:val="en-US"/>
        </w:rPr>
        <w:t>20</w:t>
      </w:r>
      <w:r w:rsidRPr="0081448E">
        <w:rPr>
          <w:rFonts w:eastAsia="Times New Roman" w:cs="Times New Roman"/>
          <w:b/>
          <w:bCs/>
          <w:color w:val="000000"/>
          <w:sz w:val="20"/>
          <w:szCs w:val="20"/>
          <w:lang w:val="en-US"/>
        </w:rPr>
        <w:t xml:space="preserve"> SCC </w:t>
      </w:r>
      <w:r w:rsidR="008826D8" w:rsidRPr="0081448E">
        <w:rPr>
          <w:rFonts w:eastAsia="Times New Roman" w:cs="Times New Roman"/>
          <w:b/>
          <w:bCs/>
          <w:color w:val="000000"/>
          <w:sz w:val="20"/>
          <w:szCs w:val="20"/>
          <w:lang w:val="en-US"/>
        </w:rPr>
        <w:t>29</w:t>
      </w:r>
      <w:r w:rsidRPr="0081448E">
        <w:rPr>
          <w:rFonts w:eastAsia="Times New Roman" w:cs="Times New Roman"/>
          <w:b/>
          <w:bCs/>
          <w:color w:val="000000"/>
          <w:sz w:val="20"/>
          <w:szCs w:val="20"/>
          <w:lang w:val="en-US"/>
        </w:rPr>
        <w:t xml:space="preserve"> / 20</w:t>
      </w:r>
      <w:r w:rsidR="00172473" w:rsidRPr="0081448E">
        <w:rPr>
          <w:rFonts w:eastAsia="Times New Roman" w:cs="Times New Roman"/>
          <w:b/>
          <w:bCs/>
          <w:color w:val="000000"/>
          <w:sz w:val="20"/>
          <w:szCs w:val="20"/>
          <w:lang w:val="en-US"/>
        </w:rPr>
        <w:t>20</w:t>
      </w:r>
      <w:r w:rsidRPr="0081448E">
        <w:rPr>
          <w:rFonts w:eastAsia="Times New Roman" w:cs="Times New Roman"/>
          <w:b/>
          <w:bCs/>
          <w:color w:val="000000"/>
          <w:sz w:val="20"/>
          <w:szCs w:val="20"/>
          <w:lang w:val="en-US"/>
        </w:rPr>
        <w:t xml:space="preserve"> CSC </w:t>
      </w:r>
      <w:r w:rsidR="008826D8" w:rsidRPr="0081448E">
        <w:rPr>
          <w:rFonts w:eastAsia="Times New Roman" w:cs="Times New Roman"/>
          <w:b/>
          <w:bCs/>
          <w:color w:val="000000"/>
          <w:sz w:val="20"/>
          <w:szCs w:val="20"/>
          <w:lang w:val="en-US"/>
        </w:rPr>
        <w:t>29</w:t>
      </w:r>
    </w:p>
    <w:p w:rsidR="00102792" w:rsidRPr="0081448E" w:rsidRDefault="00102792" w:rsidP="00102792">
      <w:pPr>
        <w:jc w:val="both"/>
        <w:rPr>
          <w:rFonts w:eastAsia="Times New Roman" w:cs="Times New Roman"/>
          <w:color w:val="000000"/>
          <w:sz w:val="20"/>
          <w:szCs w:val="20"/>
          <w:lang w:val="en-US"/>
        </w:rPr>
      </w:pPr>
    </w:p>
    <w:p w:rsidR="00102792" w:rsidRPr="0081448E" w:rsidRDefault="00172473" w:rsidP="00102792">
      <w:pPr>
        <w:ind w:left="1440" w:hanging="1440"/>
        <w:rPr>
          <w:rFonts w:eastAsia="Times New Roman" w:cs="Times New Roman"/>
          <w:color w:val="000000"/>
          <w:sz w:val="20"/>
          <w:szCs w:val="20"/>
          <w:lang w:val="en-US"/>
        </w:rPr>
      </w:pPr>
      <w:r w:rsidRPr="0081448E">
        <w:rPr>
          <w:rFonts w:eastAsia="Times New Roman" w:cs="Times New Roman"/>
          <w:color w:val="000000"/>
          <w:sz w:val="20"/>
          <w:szCs w:val="20"/>
          <w:lang w:val="en-US"/>
        </w:rPr>
        <w:t>Coram:</w:t>
      </w:r>
      <w:r w:rsidRPr="0081448E">
        <w:rPr>
          <w:rFonts w:eastAsia="Times New Roman" w:cs="Times New Roman"/>
          <w:color w:val="000000"/>
          <w:sz w:val="20"/>
          <w:szCs w:val="20"/>
          <w:lang w:val="en-US"/>
        </w:rPr>
        <w:tab/>
      </w:r>
      <w:r w:rsidR="00102792" w:rsidRPr="0081448E">
        <w:rPr>
          <w:rFonts w:eastAsia="Times New Roman" w:cs="Times New Roman"/>
          <w:color w:val="000000"/>
          <w:sz w:val="20"/>
          <w:szCs w:val="20"/>
          <w:lang w:val="en-US"/>
        </w:rPr>
        <w:t>Wagner C.J. and Abella, Moldaver, Karakatsanis, Côté, Brown, Rowe</w:t>
      </w:r>
      <w:r w:rsidRPr="0081448E">
        <w:rPr>
          <w:rFonts w:eastAsia="Times New Roman" w:cs="Times New Roman"/>
          <w:color w:val="000000"/>
          <w:sz w:val="20"/>
          <w:szCs w:val="20"/>
          <w:lang w:val="en-US"/>
        </w:rPr>
        <w:t xml:space="preserve">, </w:t>
      </w:r>
      <w:r w:rsidR="00102792" w:rsidRPr="0081448E">
        <w:rPr>
          <w:rFonts w:eastAsia="Times New Roman" w:cs="Times New Roman"/>
          <w:color w:val="000000"/>
          <w:sz w:val="20"/>
          <w:szCs w:val="20"/>
          <w:lang w:val="en-US"/>
        </w:rPr>
        <w:t>Martin</w:t>
      </w:r>
      <w:r w:rsidRPr="0081448E">
        <w:rPr>
          <w:rFonts w:eastAsia="Times New Roman" w:cs="Times New Roman"/>
          <w:color w:val="000000"/>
          <w:sz w:val="20"/>
          <w:szCs w:val="20"/>
          <w:lang w:val="en-US"/>
        </w:rPr>
        <w:t xml:space="preserve"> and Kasirer</w:t>
      </w:r>
      <w:r w:rsidR="00102792" w:rsidRPr="0081448E">
        <w:rPr>
          <w:rFonts w:eastAsia="Times New Roman" w:cs="Times New Roman"/>
          <w:color w:val="000000"/>
          <w:sz w:val="20"/>
          <w:szCs w:val="20"/>
          <w:lang w:val="en-US"/>
        </w:rPr>
        <w:t xml:space="preserve"> JJ.</w:t>
      </w:r>
    </w:p>
    <w:p w:rsidR="00102792" w:rsidRPr="0081448E" w:rsidRDefault="00102792" w:rsidP="00102792">
      <w:pPr>
        <w:ind w:left="1440" w:hanging="1440"/>
        <w:rPr>
          <w:rFonts w:eastAsia="Times New Roman" w:cs="Times New Roman"/>
          <w:color w:val="000000"/>
          <w:sz w:val="20"/>
          <w:szCs w:val="20"/>
          <w:lang w:val="en-US"/>
        </w:rPr>
      </w:pPr>
    </w:p>
    <w:p w:rsidR="00102792" w:rsidRPr="0081448E" w:rsidRDefault="003E55B4" w:rsidP="00102792">
      <w:pPr>
        <w:jc w:val="both"/>
        <w:rPr>
          <w:rFonts w:eastAsia="Times New Roman" w:cs="Times New Roman"/>
          <w:color w:val="000000"/>
          <w:sz w:val="20"/>
          <w:szCs w:val="20"/>
          <w:lang w:val="fr-CA"/>
        </w:rPr>
      </w:pPr>
      <w:r w:rsidRPr="0081448E">
        <w:rPr>
          <w:sz w:val="20"/>
          <w:szCs w:val="20"/>
        </w:rPr>
        <w:t xml:space="preserve">The appeal from the judgment of the Court of Appeal for British Columbia (Vancouver), Number CA44250, 2019 BCCA 145, dated May 7, 2019, heard on June 9, 2020, is </w:t>
      </w:r>
      <w:r w:rsidRPr="0081448E">
        <w:rPr>
          <w:rFonts w:cs="Times New Roman"/>
          <w:sz w:val="20"/>
          <w:szCs w:val="20"/>
        </w:rPr>
        <w:t xml:space="preserve">dismissed with costs throughout. </w:t>
      </w:r>
      <w:r w:rsidRPr="0081448E">
        <w:rPr>
          <w:rFonts w:cs="Times New Roman"/>
          <w:sz w:val="20"/>
          <w:szCs w:val="20"/>
          <w:lang w:val="fr-CA"/>
        </w:rPr>
        <w:t>Rowe J. dissents in part.</w:t>
      </w:r>
    </w:p>
    <w:p w:rsidR="00102792" w:rsidRPr="0081448E" w:rsidRDefault="00102792" w:rsidP="00102792">
      <w:pPr>
        <w:tabs>
          <w:tab w:val="left" w:pos="1440"/>
        </w:tabs>
        <w:jc w:val="both"/>
        <w:rPr>
          <w:rFonts w:eastAsia="Times New Roman" w:cs="Times New Roman"/>
          <w:color w:val="000000"/>
          <w:sz w:val="20"/>
          <w:szCs w:val="20"/>
          <w:lang w:val="fr-CA"/>
        </w:rPr>
      </w:pPr>
    </w:p>
    <w:p w:rsidR="003E55B4" w:rsidRPr="0081448E" w:rsidRDefault="003E55B4" w:rsidP="003E55B4">
      <w:pPr>
        <w:jc w:val="both"/>
        <w:rPr>
          <w:sz w:val="20"/>
          <w:szCs w:val="20"/>
          <w:lang w:val="fr-CA"/>
        </w:rPr>
      </w:pPr>
      <w:r w:rsidRPr="0081448E">
        <w:rPr>
          <w:sz w:val="20"/>
          <w:szCs w:val="20"/>
          <w:lang w:val="fr-CA"/>
        </w:rPr>
        <w:t>L’appel interjeté contre l’arrêt de la Cour d’appel de la Colombie-Britannique (Vancouver), numéro CA44250, 2019 BCCA 145, daté du 7 mai 2019, entendu le 9 juin 2020, est rejeté avec dépens dans toutes les cours. Le juge Rowe est dissident en partie.</w:t>
      </w:r>
    </w:p>
    <w:p w:rsidR="00102792" w:rsidRPr="0081448E" w:rsidRDefault="00102792" w:rsidP="00102792">
      <w:pPr>
        <w:rPr>
          <w:sz w:val="20"/>
          <w:szCs w:val="20"/>
          <w:lang w:val="fr-CA"/>
        </w:rPr>
      </w:pPr>
    </w:p>
    <w:p w:rsidR="00102792" w:rsidRPr="0081448E" w:rsidRDefault="00DC444A" w:rsidP="00102792">
      <w:pPr>
        <w:rPr>
          <w:sz w:val="20"/>
          <w:szCs w:val="20"/>
          <w:lang w:val="fr-CA"/>
        </w:rPr>
      </w:pPr>
      <w:hyperlink r:id="rId39" w:history="1">
        <w:r w:rsidR="00506BE1" w:rsidRPr="0081448E">
          <w:rPr>
            <w:rStyle w:val="Hyperlink"/>
            <w:sz w:val="20"/>
            <w:szCs w:val="20"/>
            <w:lang w:val="fr-CA"/>
          </w:rPr>
          <w:t xml:space="preserve">LINK TO </w:t>
        </w:r>
        <w:r w:rsidR="00D82BFF" w:rsidRPr="0081448E">
          <w:rPr>
            <w:rStyle w:val="Hyperlink"/>
            <w:sz w:val="20"/>
            <w:szCs w:val="20"/>
            <w:lang w:val="fr-CA"/>
          </w:rPr>
          <w:t>REASONS</w:t>
        </w:r>
      </w:hyperlink>
      <w:r w:rsidR="00102792" w:rsidRPr="0081448E">
        <w:rPr>
          <w:sz w:val="20"/>
          <w:szCs w:val="20"/>
          <w:lang w:val="fr-CA"/>
        </w:rPr>
        <w:t xml:space="preserve"> / </w:t>
      </w:r>
      <w:hyperlink r:id="rId40" w:history="1">
        <w:r w:rsidR="00D82BFF" w:rsidRPr="0081448E">
          <w:rPr>
            <w:rStyle w:val="Hyperlink"/>
            <w:sz w:val="20"/>
            <w:szCs w:val="20"/>
            <w:lang w:val="fr-CA"/>
          </w:rPr>
          <w:t>LIEN VERS LES MOTIFS</w:t>
        </w:r>
      </w:hyperlink>
    </w:p>
    <w:p w:rsidR="00102792" w:rsidRPr="0081448E" w:rsidRDefault="00102792" w:rsidP="00102792">
      <w:pPr>
        <w:rPr>
          <w:sz w:val="20"/>
          <w:szCs w:val="20"/>
          <w:lang w:val="fr-CA"/>
        </w:rPr>
      </w:pPr>
    </w:p>
    <w:p w:rsidR="00D004FC" w:rsidRPr="0081448E" w:rsidRDefault="00DC444A" w:rsidP="00102792">
      <w:pPr>
        <w:jc w:val="both"/>
        <w:rPr>
          <w:rFonts w:cs="Times New Roman"/>
          <w:b/>
          <w:sz w:val="20"/>
          <w:szCs w:val="20"/>
        </w:rPr>
      </w:pPr>
      <w:r>
        <w:rPr>
          <w:b/>
          <w:sz w:val="20"/>
          <w:szCs w:val="20"/>
        </w:rPr>
        <w:pict>
          <v:rect id="_x0000_i1046" style="width:144.3pt;height:1pt" o:hrpct="300" o:hralign="center" o:hrstd="t" o:hrnoshade="t" o:hr="t" fillcolor="black [3213]" stroked="f"/>
        </w:pict>
      </w:r>
    </w:p>
    <w:p w:rsidR="00D004FC" w:rsidRPr="0081448E" w:rsidRDefault="00D004FC" w:rsidP="00D004FC">
      <w:pPr>
        <w:jc w:val="both"/>
        <w:rPr>
          <w:rFonts w:cs="Times New Roman"/>
          <w:sz w:val="20"/>
          <w:szCs w:val="20"/>
        </w:rPr>
      </w:pPr>
    </w:p>
    <w:p w:rsidR="00281DA2" w:rsidRPr="0081448E" w:rsidRDefault="00281DA2" w:rsidP="00D004FC">
      <w:pPr>
        <w:jc w:val="both"/>
        <w:rPr>
          <w:rFonts w:cs="Times New Roman"/>
          <w:sz w:val="20"/>
          <w:szCs w:val="20"/>
        </w:rPr>
      </w:pPr>
    </w:p>
    <w:p w:rsidR="0056248C" w:rsidRPr="0081448E" w:rsidRDefault="0056248C" w:rsidP="00091BA6">
      <w:pPr>
        <w:rPr>
          <w:sz w:val="20"/>
          <w:szCs w:val="20"/>
          <w:lang w:val="fr-CA"/>
        </w:rPr>
      </w:pPr>
    </w:p>
    <w:p w:rsidR="00102926" w:rsidRPr="0081448E" w:rsidRDefault="00102926" w:rsidP="00782AE4">
      <w:pPr>
        <w:jc w:val="both"/>
        <w:rPr>
          <w:sz w:val="20"/>
          <w:szCs w:val="20"/>
        </w:rPr>
        <w:sectPr w:rsidR="00102926" w:rsidRPr="0081448E"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576" w:footer="960" w:gutter="0"/>
          <w:cols w:space="720"/>
          <w:titlePg/>
          <w:docGrid w:linePitch="272"/>
        </w:sectPr>
      </w:pPr>
    </w:p>
    <w:p w:rsidR="00567602" w:rsidRPr="0081448E" w:rsidRDefault="001434B9" w:rsidP="001434B9">
      <w:pPr>
        <w:pStyle w:val="Header1StyleE"/>
        <w:pBdr>
          <w:bottom w:val="single" w:sz="12" w:space="0" w:color="auto"/>
        </w:pBdr>
        <w:rPr>
          <w:lang w:val="fr-CA"/>
        </w:rPr>
      </w:pPr>
      <w:bookmarkStart w:id="6" w:name="_Toc54283829"/>
      <w:r w:rsidRPr="0081448E">
        <w:rPr>
          <w:lang w:val="fr-CA"/>
        </w:rPr>
        <w:lastRenderedPageBreak/>
        <w:t xml:space="preserve">Agenda and case summaries for </w:t>
      </w:r>
      <w:r w:rsidR="002D2C17" w:rsidRPr="0081448E">
        <w:rPr>
          <w:lang w:val="fr-CA"/>
        </w:rPr>
        <w:t>November</w:t>
      </w:r>
      <w:r w:rsidR="00567602" w:rsidRPr="0081448E">
        <w:rPr>
          <w:lang w:val="fr-CA"/>
        </w:rPr>
        <w:t xml:space="preserve"> </w:t>
      </w:r>
      <w:r w:rsidR="0034657E" w:rsidRPr="0081448E">
        <w:rPr>
          <w:lang w:val="fr-CA"/>
        </w:rPr>
        <w:t>20</w:t>
      </w:r>
      <w:r w:rsidR="00172473" w:rsidRPr="0081448E">
        <w:rPr>
          <w:lang w:val="fr-CA"/>
        </w:rPr>
        <w:t>20</w:t>
      </w:r>
      <w:r w:rsidR="00271E1E" w:rsidRPr="0081448E">
        <w:rPr>
          <w:lang w:val="fr-CA"/>
        </w:rPr>
        <w:t xml:space="preserve"> / </w:t>
      </w:r>
      <w:r w:rsidR="00567602" w:rsidRPr="0081448E">
        <w:rPr>
          <w:lang w:val="fr-CA"/>
        </w:rPr>
        <w:br/>
      </w:r>
      <w:r w:rsidRPr="0081448E">
        <w:rPr>
          <w:lang w:val="fr-CA"/>
        </w:rPr>
        <w:t>Calendrier et sommaires des causes d</w:t>
      </w:r>
      <w:r w:rsidR="00172473" w:rsidRPr="0081448E">
        <w:rPr>
          <w:lang w:val="fr-CA"/>
        </w:rPr>
        <w:t xml:space="preserve">e </w:t>
      </w:r>
      <w:r w:rsidR="002D2C17" w:rsidRPr="0081448E">
        <w:rPr>
          <w:lang w:val="fr-CA"/>
        </w:rPr>
        <w:t>novembre</w:t>
      </w:r>
      <w:r w:rsidR="00172473" w:rsidRPr="0081448E">
        <w:rPr>
          <w:lang w:val="fr-CA"/>
        </w:rPr>
        <w:t xml:space="preserve"> </w:t>
      </w:r>
      <w:r w:rsidR="0034657E" w:rsidRPr="0081448E">
        <w:rPr>
          <w:lang w:val="fr-CA"/>
        </w:rPr>
        <w:t>20</w:t>
      </w:r>
      <w:r w:rsidR="00172473" w:rsidRPr="0081448E">
        <w:rPr>
          <w:lang w:val="fr-CA"/>
        </w:rPr>
        <w:t>20</w:t>
      </w:r>
      <w:bookmarkEnd w:id="6"/>
    </w:p>
    <w:p w:rsidR="00567602" w:rsidRPr="0081448E" w:rsidRDefault="00567602" w:rsidP="004B66B4">
      <w:pPr>
        <w:rPr>
          <w:sz w:val="20"/>
          <w:szCs w:val="20"/>
          <w:lang w:val="fr-CA"/>
        </w:rPr>
      </w:pPr>
    </w:p>
    <w:p w:rsidR="00102926" w:rsidRPr="0081448E" w:rsidRDefault="002D2C17" w:rsidP="00782AE4">
      <w:pPr>
        <w:jc w:val="both"/>
        <w:rPr>
          <w:b/>
          <w:sz w:val="20"/>
          <w:szCs w:val="20"/>
          <w:lang w:val="fr-CA"/>
        </w:rPr>
      </w:pPr>
      <w:r w:rsidRPr="0081448E">
        <w:rPr>
          <w:b/>
          <w:sz w:val="20"/>
          <w:szCs w:val="20"/>
          <w:lang w:val="fr-CA"/>
        </w:rPr>
        <w:t>OCTOBER</w:t>
      </w:r>
      <w:r w:rsidR="00102792" w:rsidRPr="0081448E">
        <w:rPr>
          <w:b/>
          <w:sz w:val="20"/>
          <w:szCs w:val="20"/>
          <w:lang w:val="fr-CA"/>
        </w:rPr>
        <w:t xml:space="preserve"> </w:t>
      </w:r>
      <w:r w:rsidRPr="0081448E">
        <w:rPr>
          <w:b/>
          <w:sz w:val="20"/>
          <w:szCs w:val="20"/>
          <w:lang w:val="fr-CA"/>
        </w:rPr>
        <w:t>23</w:t>
      </w:r>
      <w:r w:rsidR="00102792" w:rsidRPr="0081448E">
        <w:rPr>
          <w:b/>
          <w:sz w:val="20"/>
          <w:szCs w:val="20"/>
          <w:lang w:val="fr-CA"/>
        </w:rPr>
        <w:t xml:space="preserve">, </w:t>
      </w:r>
      <w:r w:rsidR="0034657E" w:rsidRPr="0081448E">
        <w:rPr>
          <w:b/>
          <w:sz w:val="20"/>
          <w:szCs w:val="20"/>
          <w:lang w:val="fr-CA"/>
        </w:rPr>
        <w:t>20</w:t>
      </w:r>
      <w:r w:rsidR="00172473" w:rsidRPr="0081448E">
        <w:rPr>
          <w:b/>
          <w:sz w:val="20"/>
          <w:szCs w:val="20"/>
          <w:lang w:val="fr-CA"/>
        </w:rPr>
        <w:t>20</w:t>
      </w:r>
      <w:r w:rsidR="00102792" w:rsidRPr="0081448E">
        <w:rPr>
          <w:b/>
          <w:sz w:val="20"/>
          <w:szCs w:val="20"/>
          <w:lang w:val="fr-CA"/>
        </w:rPr>
        <w:t xml:space="preserve"> / LE </w:t>
      </w:r>
      <w:r w:rsidRPr="0081448E">
        <w:rPr>
          <w:b/>
          <w:sz w:val="20"/>
          <w:szCs w:val="20"/>
          <w:lang w:val="fr-CA"/>
        </w:rPr>
        <w:t>23 OCTOBRE</w:t>
      </w:r>
      <w:r w:rsidR="00102792" w:rsidRPr="0081448E">
        <w:rPr>
          <w:b/>
          <w:sz w:val="20"/>
          <w:szCs w:val="20"/>
          <w:lang w:val="fr-CA"/>
        </w:rPr>
        <w:t xml:space="preserve"> </w:t>
      </w:r>
      <w:r w:rsidR="0034657E" w:rsidRPr="0081448E">
        <w:rPr>
          <w:b/>
          <w:sz w:val="20"/>
          <w:szCs w:val="20"/>
          <w:lang w:val="fr-CA"/>
        </w:rPr>
        <w:t>20</w:t>
      </w:r>
      <w:r w:rsidR="00172473" w:rsidRPr="0081448E">
        <w:rPr>
          <w:b/>
          <w:sz w:val="20"/>
          <w:szCs w:val="20"/>
          <w:lang w:val="fr-CA"/>
        </w:rPr>
        <w:t>20</w:t>
      </w:r>
    </w:p>
    <w:p w:rsidR="00102792" w:rsidRPr="0081448E"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DC444A" w:rsidTr="00102792">
        <w:tc>
          <w:tcPr>
            <w:tcW w:w="2398" w:type="dxa"/>
            <w:tcMar>
              <w:top w:w="58" w:type="dxa"/>
              <w:left w:w="58" w:type="dxa"/>
              <w:bottom w:w="58" w:type="dxa"/>
              <w:right w:w="58" w:type="dxa"/>
            </w:tcMar>
            <w:hideMark/>
          </w:tcPr>
          <w:p w:rsidR="00102792" w:rsidRPr="0081448E" w:rsidRDefault="00102792">
            <w:pPr>
              <w:rPr>
                <w:b/>
                <w:color w:val="000000"/>
                <w:lang w:val="en-US"/>
              </w:rPr>
            </w:pPr>
            <w:r w:rsidRPr="0081448E">
              <w:rPr>
                <w:b/>
                <w:color w:val="000000"/>
                <w:sz w:val="20"/>
                <w:szCs w:val="20"/>
              </w:rPr>
              <w:t>DATE OF HEARING /</w:t>
            </w:r>
          </w:p>
          <w:p w:rsidR="00102792" w:rsidRPr="0081448E" w:rsidRDefault="00102792">
            <w:pPr>
              <w:rPr>
                <w:color w:val="000000"/>
              </w:rPr>
            </w:pPr>
            <w:r w:rsidRPr="0081448E">
              <w:rPr>
                <w:b/>
                <w:color w:val="000000"/>
                <w:sz w:val="20"/>
                <w:szCs w:val="20"/>
              </w:rPr>
              <w:t>DATE D’AUDITION</w:t>
            </w:r>
          </w:p>
        </w:tc>
        <w:tc>
          <w:tcPr>
            <w:tcW w:w="7178" w:type="dxa"/>
            <w:tcMar>
              <w:top w:w="58" w:type="dxa"/>
              <w:left w:w="58" w:type="dxa"/>
              <w:bottom w:w="58" w:type="dxa"/>
              <w:right w:w="58" w:type="dxa"/>
            </w:tcMar>
            <w:hideMark/>
          </w:tcPr>
          <w:p w:rsidR="00102792" w:rsidRPr="0081448E" w:rsidRDefault="00102792">
            <w:pPr>
              <w:rPr>
                <w:b/>
                <w:color w:val="000000"/>
                <w:lang w:val="fr-CA"/>
              </w:rPr>
            </w:pPr>
            <w:r w:rsidRPr="0081448E">
              <w:rPr>
                <w:b/>
                <w:color w:val="000000"/>
                <w:sz w:val="20"/>
                <w:szCs w:val="20"/>
                <w:lang w:val="fr-CA"/>
              </w:rPr>
              <w:t>NAME AND CASE NUMBER /</w:t>
            </w:r>
          </w:p>
          <w:p w:rsidR="00102792" w:rsidRPr="0081448E" w:rsidRDefault="00102792">
            <w:pPr>
              <w:rPr>
                <w:color w:val="000000"/>
                <w:lang w:val="fr-CA"/>
              </w:rPr>
            </w:pPr>
            <w:r w:rsidRPr="0081448E">
              <w:rPr>
                <w:b/>
                <w:color w:val="000000"/>
                <w:sz w:val="20"/>
                <w:szCs w:val="20"/>
                <w:lang w:val="fr-CA"/>
              </w:rPr>
              <w:t>NOM DE LA CAUSE ET NUMÉRO</w:t>
            </w:r>
          </w:p>
        </w:tc>
      </w:tr>
      <w:tr w:rsidR="00102792" w:rsidRPr="0081448E" w:rsidTr="00102792">
        <w:tc>
          <w:tcPr>
            <w:tcW w:w="2398" w:type="dxa"/>
            <w:tcMar>
              <w:top w:w="58" w:type="dxa"/>
              <w:left w:w="58" w:type="dxa"/>
              <w:bottom w:w="58" w:type="dxa"/>
              <w:right w:w="58" w:type="dxa"/>
            </w:tcMar>
            <w:hideMark/>
          </w:tcPr>
          <w:p w:rsidR="00102792" w:rsidRPr="0081448E" w:rsidRDefault="003F0743" w:rsidP="00E80D6C">
            <w:pPr>
              <w:rPr>
                <w:color w:val="000000"/>
              </w:rPr>
            </w:pPr>
            <w:r w:rsidRPr="0081448E">
              <w:rPr>
                <w:sz w:val="20"/>
              </w:rPr>
              <w:t>2020-11-03</w:t>
            </w:r>
          </w:p>
        </w:tc>
        <w:tc>
          <w:tcPr>
            <w:tcW w:w="7178" w:type="dxa"/>
            <w:tcMar>
              <w:top w:w="58" w:type="dxa"/>
              <w:left w:w="58" w:type="dxa"/>
              <w:bottom w:w="58" w:type="dxa"/>
              <w:right w:w="58" w:type="dxa"/>
            </w:tcMar>
            <w:hideMark/>
          </w:tcPr>
          <w:p w:rsidR="00102792" w:rsidRPr="0081448E" w:rsidRDefault="003F0743">
            <w:pPr>
              <w:rPr>
                <w:color w:val="000000"/>
              </w:rPr>
            </w:pPr>
            <w:r w:rsidRPr="0081448E">
              <w:rPr>
                <w:i/>
                <w:iCs/>
                <w:color w:val="333333"/>
                <w:sz w:val="20"/>
              </w:rPr>
              <w:t>Randy Desmond Riley v. Her Majesty the Queen</w:t>
            </w:r>
            <w:r w:rsidRPr="0081448E">
              <w:rPr>
                <w:color w:val="333333"/>
                <w:sz w:val="20"/>
              </w:rPr>
              <w:t xml:space="preserve"> (N.S.) (Criminal) (As of Right</w:t>
            </w:r>
            <w:r w:rsidR="00DC444A">
              <w:rPr>
                <w:color w:val="333333"/>
                <w:sz w:val="20"/>
              </w:rPr>
              <w:t xml:space="preserve"> / By Leave</w:t>
            </w:r>
            <w:bookmarkStart w:id="7" w:name="_GoBack"/>
            <w:bookmarkEnd w:id="7"/>
            <w:r w:rsidRPr="0081448E">
              <w:rPr>
                <w:color w:val="333333"/>
                <w:sz w:val="20"/>
              </w:rPr>
              <w:t>) (</w:t>
            </w:r>
            <w:hyperlink r:id="rId47" w:history="1">
              <w:r w:rsidRPr="0081448E">
                <w:rPr>
                  <w:rStyle w:val="Hyperlink"/>
                  <w:sz w:val="20"/>
                </w:rPr>
                <w:t>39006</w:t>
              </w:r>
            </w:hyperlink>
            <w:r w:rsidRPr="0081448E">
              <w:rPr>
                <w:color w:val="333333"/>
                <w:sz w:val="20"/>
              </w:rPr>
              <w:t>)</w:t>
            </w:r>
          </w:p>
        </w:tc>
      </w:tr>
      <w:tr w:rsidR="00102792" w:rsidRPr="0081448E" w:rsidTr="00102792">
        <w:tc>
          <w:tcPr>
            <w:tcW w:w="2398" w:type="dxa"/>
            <w:tcMar>
              <w:top w:w="58" w:type="dxa"/>
              <w:left w:w="58" w:type="dxa"/>
              <w:bottom w:w="58" w:type="dxa"/>
              <w:right w:w="58" w:type="dxa"/>
            </w:tcMar>
            <w:hideMark/>
          </w:tcPr>
          <w:p w:rsidR="00102792" w:rsidRPr="0081448E" w:rsidRDefault="003F0743" w:rsidP="003F0743">
            <w:pPr>
              <w:rPr>
                <w:color w:val="000000"/>
              </w:rPr>
            </w:pPr>
            <w:r w:rsidRPr="0081448E">
              <w:rPr>
                <w:sz w:val="20"/>
              </w:rPr>
              <w:t>2020-11-04</w:t>
            </w:r>
          </w:p>
        </w:tc>
        <w:tc>
          <w:tcPr>
            <w:tcW w:w="7178" w:type="dxa"/>
            <w:tcMar>
              <w:top w:w="58" w:type="dxa"/>
              <w:left w:w="58" w:type="dxa"/>
              <w:bottom w:w="58" w:type="dxa"/>
              <w:right w:w="58" w:type="dxa"/>
            </w:tcMar>
            <w:hideMark/>
          </w:tcPr>
          <w:p w:rsidR="00102792" w:rsidRPr="0081448E" w:rsidRDefault="003F0743">
            <w:pPr>
              <w:rPr>
                <w:color w:val="000000"/>
                <w:lang w:val="fr-CA"/>
              </w:rPr>
            </w:pPr>
            <w:r w:rsidRPr="0081448E">
              <w:rPr>
                <w:i/>
                <w:iCs/>
                <w:color w:val="333333"/>
                <w:sz w:val="20"/>
                <w:lang w:val="fr-CA"/>
              </w:rPr>
              <w:t>Felice Colucci v. Lina Colucci</w:t>
            </w:r>
            <w:r w:rsidRPr="0081448E">
              <w:rPr>
                <w:color w:val="333333"/>
                <w:sz w:val="20"/>
                <w:lang w:val="fr-CA"/>
              </w:rPr>
              <w:t xml:space="preserve"> (Ont.) </w:t>
            </w:r>
            <w:r w:rsidRPr="0081448E">
              <w:rPr>
                <w:color w:val="333333"/>
                <w:sz w:val="20"/>
              </w:rPr>
              <w:t>(Civil) (By Leave) (</w:t>
            </w:r>
            <w:hyperlink r:id="rId48" w:history="1">
              <w:r w:rsidRPr="0081448E">
                <w:rPr>
                  <w:rStyle w:val="Hyperlink"/>
                  <w:sz w:val="20"/>
                </w:rPr>
                <w:t>38808</w:t>
              </w:r>
            </w:hyperlink>
            <w:r w:rsidRPr="0081448E">
              <w:rPr>
                <w:color w:val="333333"/>
                <w:sz w:val="20"/>
              </w:rPr>
              <w:t>)</w:t>
            </w:r>
          </w:p>
        </w:tc>
      </w:tr>
      <w:tr w:rsidR="00102792" w:rsidRPr="005C4158" w:rsidTr="005C4158">
        <w:trPr>
          <w:trHeight w:val="1580"/>
        </w:trPr>
        <w:tc>
          <w:tcPr>
            <w:tcW w:w="2398" w:type="dxa"/>
            <w:tcMar>
              <w:top w:w="58" w:type="dxa"/>
              <w:left w:w="58" w:type="dxa"/>
              <w:bottom w:w="58" w:type="dxa"/>
              <w:right w:w="58" w:type="dxa"/>
            </w:tcMar>
            <w:hideMark/>
          </w:tcPr>
          <w:p w:rsidR="00102792" w:rsidRPr="0081448E" w:rsidRDefault="003F0743" w:rsidP="003F0743">
            <w:pPr>
              <w:rPr>
                <w:color w:val="000000"/>
              </w:rPr>
            </w:pPr>
            <w:r w:rsidRPr="0081448E">
              <w:rPr>
                <w:sz w:val="20"/>
              </w:rPr>
              <w:t>2020-11-05</w:t>
            </w:r>
          </w:p>
        </w:tc>
        <w:tc>
          <w:tcPr>
            <w:tcW w:w="7178" w:type="dxa"/>
            <w:tcMar>
              <w:top w:w="58" w:type="dxa"/>
              <w:left w:w="58" w:type="dxa"/>
              <w:bottom w:w="58" w:type="dxa"/>
              <w:right w:w="58" w:type="dxa"/>
            </w:tcMar>
            <w:hideMark/>
          </w:tcPr>
          <w:p w:rsidR="003F0743" w:rsidRDefault="003F0743" w:rsidP="005C4158">
            <w:pPr>
              <w:widowControl w:val="0"/>
              <w:rPr>
                <w:color w:val="333333"/>
                <w:sz w:val="20"/>
              </w:rPr>
            </w:pPr>
            <w:r w:rsidRPr="0081448E">
              <w:rPr>
                <w:i/>
                <w:iCs/>
                <w:color w:val="333333"/>
                <w:sz w:val="20"/>
              </w:rPr>
              <w:t>Her Majesty the Queen v. David Roy Langan</w:t>
            </w:r>
            <w:r w:rsidRPr="0081448E">
              <w:rPr>
                <w:color w:val="333333"/>
                <w:sz w:val="20"/>
              </w:rPr>
              <w:t xml:space="preserve"> (B.C.) (Criminal) (As of Right) (</w:t>
            </w:r>
            <w:hyperlink r:id="rId49" w:history="1">
              <w:r w:rsidRPr="0081448E">
                <w:rPr>
                  <w:rStyle w:val="Hyperlink"/>
                  <w:sz w:val="20"/>
                </w:rPr>
                <w:t>39019</w:t>
              </w:r>
            </w:hyperlink>
            <w:r w:rsidRPr="0081448E">
              <w:rPr>
                <w:color w:val="333333"/>
                <w:sz w:val="20"/>
              </w:rPr>
              <w:t>)</w:t>
            </w:r>
          </w:p>
          <w:p w:rsidR="005C4158" w:rsidRPr="00DC444A" w:rsidRDefault="005C4158" w:rsidP="005C4158">
            <w:pPr>
              <w:widowControl w:val="0"/>
              <w:spacing w:after="120"/>
              <w:rPr>
                <w:color w:val="333333"/>
                <w:sz w:val="20"/>
                <w:lang w:val="en-US"/>
              </w:rPr>
            </w:pPr>
            <w:r w:rsidRPr="00DC444A">
              <w:rPr>
                <w:color w:val="333333"/>
                <w:sz w:val="20"/>
                <w:lang w:val="en-US"/>
              </w:rPr>
              <w:t>(Later start time: 10:30 a.m. / Horaire modifié: audience débutant à 10 h 30)</w:t>
            </w:r>
          </w:p>
          <w:p w:rsidR="003F0743" w:rsidRPr="0081448E" w:rsidRDefault="003F0743" w:rsidP="003F0743">
            <w:pPr>
              <w:widowControl w:val="0"/>
              <w:spacing w:after="120"/>
              <w:rPr>
                <w:color w:val="333333"/>
                <w:sz w:val="20"/>
              </w:rPr>
            </w:pPr>
            <w:r w:rsidRPr="0081448E">
              <w:rPr>
                <w:color w:val="333333"/>
                <w:sz w:val="20"/>
              </w:rPr>
              <w:t>-and-</w:t>
            </w:r>
          </w:p>
          <w:p w:rsidR="00102792" w:rsidRDefault="003F0743" w:rsidP="003F0743">
            <w:pPr>
              <w:rPr>
                <w:iCs/>
                <w:sz w:val="20"/>
              </w:rPr>
            </w:pPr>
            <w:r w:rsidRPr="0081448E">
              <w:rPr>
                <w:i/>
                <w:iCs/>
                <w:sz w:val="20"/>
              </w:rPr>
              <w:t xml:space="preserve">Her Majesty the Queen v. Monty Shane Kishayinew </w:t>
            </w:r>
            <w:r w:rsidRPr="0081448E">
              <w:rPr>
                <w:iCs/>
                <w:sz w:val="20"/>
              </w:rPr>
              <w:t>(Sask.) (Criminal) (As of Right) (</w:t>
            </w:r>
            <w:hyperlink r:id="rId50" w:history="1">
              <w:r w:rsidRPr="0081448E">
                <w:rPr>
                  <w:rStyle w:val="Hyperlink"/>
                  <w:iCs/>
                  <w:sz w:val="20"/>
                </w:rPr>
                <w:t>38962</w:t>
              </w:r>
            </w:hyperlink>
            <w:r w:rsidRPr="0081448E">
              <w:rPr>
                <w:iCs/>
                <w:sz w:val="20"/>
              </w:rPr>
              <w:t>)</w:t>
            </w:r>
          </w:p>
          <w:p w:rsidR="005C4158" w:rsidRPr="005C4158" w:rsidRDefault="005C4158" w:rsidP="005C4158">
            <w:pPr>
              <w:spacing w:after="120"/>
              <w:rPr>
                <w:color w:val="000000"/>
                <w:lang w:val="fr-CA"/>
              </w:rPr>
            </w:pPr>
            <w:r w:rsidRPr="006F01FD">
              <w:rPr>
                <w:color w:val="333333"/>
                <w:sz w:val="20"/>
                <w:lang w:val="fr-CA"/>
              </w:rPr>
              <w:t xml:space="preserve">(Later start time: </w:t>
            </w:r>
            <w:r>
              <w:rPr>
                <w:color w:val="333333"/>
                <w:sz w:val="20"/>
                <w:lang w:val="fr-CA"/>
              </w:rPr>
              <w:t>2</w:t>
            </w:r>
            <w:r w:rsidRPr="006F01FD">
              <w:rPr>
                <w:color w:val="333333"/>
                <w:sz w:val="20"/>
                <w:lang w:val="fr-CA"/>
              </w:rPr>
              <w:t>:</w:t>
            </w:r>
            <w:r>
              <w:rPr>
                <w:color w:val="333333"/>
                <w:sz w:val="20"/>
                <w:lang w:val="fr-CA"/>
              </w:rPr>
              <w:t>0</w:t>
            </w:r>
            <w:r w:rsidRPr="006F01FD">
              <w:rPr>
                <w:color w:val="333333"/>
                <w:sz w:val="20"/>
                <w:lang w:val="fr-CA"/>
              </w:rPr>
              <w:t xml:space="preserve">0 p.m. / Horaire modifié: audience débutant à </w:t>
            </w:r>
            <w:r>
              <w:rPr>
                <w:color w:val="333333"/>
                <w:sz w:val="20"/>
                <w:lang w:val="fr-CA"/>
              </w:rPr>
              <w:t>14</w:t>
            </w:r>
            <w:r w:rsidRPr="006F01FD">
              <w:rPr>
                <w:color w:val="333333"/>
                <w:sz w:val="20"/>
                <w:lang w:val="fr-CA"/>
              </w:rPr>
              <w:t xml:space="preserve"> h)</w:t>
            </w:r>
          </w:p>
        </w:tc>
      </w:tr>
      <w:tr w:rsidR="00102792" w:rsidRPr="0081448E" w:rsidTr="00102792">
        <w:trPr>
          <w:trHeight w:val="302"/>
        </w:trPr>
        <w:tc>
          <w:tcPr>
            <w:tcW w:w="2398" w:type="dxa"/>
            <w:tcMar>
              <w:top w:w="58" w:type="dxa"/>
              <w:left w:w="58" w:type="dxa"/>
              <w:bottom w:w="58" w:type="dxa"/>
              <w:right w:w="58" w:type="dxa"/>
            </w:tcMar>
            <w:hideMark/>
          </w:tcPr>
          <w:p w:rsidR="00102792" w:rsidRPr="0081448E" w:rsidRDefault="003F0743" w:rsidP="003F0743">
            <w:pPr>
              <w:rPr>
                <w:color w:val="000000"/>
              </w:rPr>
            </w:pPr>
            <w:r w:rsidRPr="0081448E">
              <w:rPr>
                <w:sz w:val="20"/>
              </w:rPr>
              <w:t>2020-11-06</w:t>
            </w:r>
          </w:p>
        </w:tc>
        <w:tc>
          <w:tcPr>
            <w:tcW w:w="7178" w:type="dxa"/>
            <w:tcMar>
              <w:top w:w="58" w:type="dxa"/>
              <w:left w:w="58" w:type="dxa"/>
              <w:bottom w:w="58" w:type="dxa"/>
              <w:right w:w="58" w:type="dxa"/>
            </w:tcMar>
            <w:hideMark/>
          </w:tcPr>
          <w:p w:rsidR="00102792" w:rsidRPr="0081448E" w:rsidRDefault="003F0743">
            <w:pPr>
              <w:rPr>
                <w:color w:val="000000"/>
              </w:rPr>
            </w:pPr>
            <w:r w:rsidRPr="0081448E">
              <w:rPr>
                <w:i/>
                <w:iCs/>
                <w:color w:val="333333"/>
                <w:sz w:val="20"/>
              </w:rPr>
              <w:t>Her Majesty the Queen v. Thomas Slatter</w:t>
            </w:r>
            <w:r w:rsidRPr="0081448E">
              <w:rPr>
                <w:color w:val="333333"/>
                <w:sz w:val="20"/>
              </w:rPr>
              <w:t xml:space="preserve"> (Ont.) (Criminal) (As of Right) (</w:t>
            </w:r>
            <w:hyperlink r:id="rId51" w:history="1">
              <w:r w:rsidRPr="0081448E">
                <w:rPr>
                  <w:rStyle w:val="Hyperlink"/>
                  <w:sz w:val="20"/>
                </w:rPr>
                <w:t>38870</w:t>
              </w:r>
            </w:hyperlink>
            <w:r w:rsidRPr="0081448E">
              <w:rPr>
                <w:color w:val="333333"/>
                <w:sz w:val="20"/>
              </w:rPr>
              <w:t>)</w:t>
            </w:r>
          </w:p>
        </w:tc>
      </w:tr>
      <w:tr w:rsidR="00102792" w:rsidRPr="005C4158" w:rsidTr="00102792">
        <w:tc>
          <w:tcPr>
            <w:tcW w:w="2398" w:type="dxa"/>
            <w:tcMar>
              <w:top w:w="58" w:type="dxa"/>
              <w:left w:w="58" w:type="dxa"/>
              <w:bottom w:w="58" w:type="dxa"/>
              <w:right w:w="58" w:type="dxa"/>
            </w:tcMar>
            <w:hideMark/>
          </w:tcPr>
          <w:p w:rsidR="00102792" w:rsidRPr="0081448E" w:rsidRDefault="003F0743" w:rsidP="003F0743">
            <w:pPr>
              <w:rPr>
                <w:color w:val="000000"/>
              </w:rPr>
            </w:pPr>
            <w:r w:rsidRPr="0081448E">
              <w:rPr>
                <w:sz w:val="20"/>
              </w:rPr>
              <w:t>2020-11-09</w:t>
            </w:r>
          </w:p>
        </w:tc>
        <w:tc>
          <w:tcPr>
            <w:tcW w:w="7178" w:type="dxa"/>
            <w:tcMar>
              <w:top w:w="58" w:type="dxa"/>
              <w:left w:w="58" w:type="dxa"/>
              <w:bottom w:w="58" w:type="dxa"/>
              <w:right w:w="58" w:type="dxa"/>
            </w:tcMar>
            <w:hideMark/>
          </w:tcPr>
          <w:p w:rsidR="005C4158" w:rsidRDefault="003F0743">
            <w:pPr>
              <w:rPr>
                <w:color w:val="333333"/>
                <w:sz w:val="20"/>
              </w:rPr>
            </w:pPr>
            <w:r w:rsidRPr="0081448E">
              <w:rPr>
                <w:i/>
                <w:iCs/>
                <w:color w:val="333333"/>
                <w:sz w:val="20"/>
              </w:rPr>
              <w:t>T.J.M. v. Her Majesty the Queen</w:t>
            </w:r>
            <w:r w:rsidRPr="0081448E">
              <w:rPr>
                <w:color w:val="333333"/>
                <w:sz w:val="20"/>
              </w:rPr>
              <w:t xml:space="preserve"> (Alta.) (Criminal) (By Leave) (</w:t>
            </w:r>
            <w:hyperlink r:id="rId52" w:history="1">
              <w:r w:rsidRPr="0081448E">
                <w:rPr>
                  <w:rStyle w:val="Hyperlink"/>
                  <w:sz w:val="20"/>
                </w:rPr>
                <w:t>38944</w:t>
              </w:r>
            </w:hyperlink>
            <w:r w:rsidRPr="0081448E">
              <w:rPr>
                <w:color w:val="333333"/>
                <w:sz w:val="20"/>
              </w:rPr>
              <w:t>)</w:t>
            </w:r>
          </w:p>
          <w:p w:rsidR="00102792" w:rsidRPr="0081448E" w:rsidRDefault="005C4158" w:rsidP="005C4158">
            <w:pPr>
              <w:spacing w:after="120"/>
              <w:rPr>
                <w:color w:val="000000"/>
                <w:lang w:val="fr-CA"/>
              </w:rPr>
            </w:pPr>
            <w:r w:rsidRPr="00040923">
              <w:rPr>
                <w:color w:val="333333"/>
                <w:sz w:val="20"/>
                <w:lang w:val="fr-CA"/>
              </w:rPr>
              <w:t>(Later start time: 10:30 a.m. / Horaire modifié: audience débutant à 10 h 30)</w:t>
            </w:r>
          </w:p>
        </w:tc>
      </w:tr>
      <w:tr w:rsidR="00102792" w:rsidRPr="0081448E" w:rsidTr="00102792">
        <w:tc>
          <w:tcPr>
            <w:tcW w:w="2398" w:type="dxa"/>
            <w:tcMar>
              <w:top w:w="58" w:type="dxa"/>
              <w:left w:w="58" w:type="dxa"/>
              <w:bottom w:w="58" w:type="dxa"/>
              <w:right w:w="58" w:type="dxa"/>
            </w:tcMar>
            <w:hideMark/>
          </w:tcPr>
          <w:p w:rsidR="00102792" w:rsidRPr="0081448E" w:rsidRDefault="003F0743" w:rsidP="003F0743">
            <w:pPr>
              <w:rPr>
                <w:color w:val="000000"/>
              </w:rPr>
            </w:pPr>
            <w:r w:rsidRPr="0081448E">
              <w:rPr>
                <w:sz w:val="20"/>
              </w:rPr>
              <w:t>2020-11-10</w:t>
            </w:r>
          </w:p>
        </w:tc>
        <w:tc>
          <w:tcPr>
            <w:tcW w:w="7178" w:type="dxa"/>
            <w:tcMar>
              <w:top w:w="58" w:type="dxa"/>
              <w:left w:w="58" w:type="dxa"/>
              <w:bottom w:w="58" w:type="dxa"/>
              <w:right w:w="58" w:type="dxa"/>
            </w:tcMar>
            <w:hideMark/>
          </w:tcPr>
          <w:p w:rsidR="00102792" w:rsidRPr="0081448E" w:rsidRDefault="003F0743">
            <w:pPr>
              <w:rPr>
                <w:color w:val="000000"/>
              </w:rPr>
            </w:pPr>
            <w:r w:rsidRPr="0081448E">
              <w:rPr>
                <w:i/>
                <w:iCs/>
                <w:color w:val="333333"/>
                <w:sz w:val="20"/>
              </w:rPr>
              <w:t>C.P. v. Her Majesty the Queen</w:t>
            </w:r>
            <w:r w:rsidRPr="0081448E">
              <w:rPr>
                <w:color w:val="333333"/>
                <w:sz w:val="20"/>
              </w:rPr>
              <w:t xml:space="preserve"> (Ont.) (Criminal) (By Leave) (</w:t>
            </w:r>
            <w:hyperlink r:id="rId53" w:history="1">
              <w:r w:rsidRPr="0081448E">
                <w:rPr>
                  <w:rStyle w:val="Hyperlink"/>
                  <w:sz w:val="20"/>
                </w:rPr>
                <w:t>38546</w:t>
              </w:r>
            </w:hyperlink>
            <w:r w:rsidRPr="0081448E">
              <w:rPr>
                <w:color w:val="333333"/>
                <w:sz w:val="20"/>
              </w:rPr>
              <w:t>)</w:t>
            </w:r>
          </w:p>
        </w:tc>
      </w:tr>
      <w:tr w:rsidR="00102792" w:rsidRPr="0081448E" w:rsidTr="00102792">
        <w:tc>
          <w:tcPr>
            <w:tcW w:w="2398" w:type="dxa"/>
            <w:tcMar>
              <w:top w:w="58" w:type="dxa"/>
              <w:left w:w="58" w:type="dxa"/>
              <w:bottom w:w="58" w:type="dxa"/>
              <w:right w:w="58" w:type="dxa"/>
            </w:tcMar>
            <w:hideMark/>
          </w:tcPr>
          <w:p w:rsidR="00102792" w:rsidRPr="0081448E" w:rsidRDefault="003F0743" w:rsidP="003F0743">
            <w:pPr>
              <w:rPr>
                <w:color w:val="000000"/>
              </w:rPr>
            </w:pPr>
            <w:r w:rsidRPr="0081448E">
              <w:rPr>
                <w:sz w:val="20"/>
              </w:rPr>
              <w:t>2020-11-12</w:t>
            </w:r>
          </w:p>
        </w:tc>
        <w:tc>
          <w:tcPr>
            <w:tcW w:w="7178" w:type="dxa"/>
            <w:tcMar>
              <w:top w:w="58" w:type="dxa"/>
              <w:left w:w="58" w:type="dxa"/>
              <w:bottom w:w="58" w:type="dxa"/>
              <w:right w:w="58" w:type="dxa"/>
            </w:tcMar>
            <w:hideMark/>
          </w:tcPr>
          <w:p w:rsidR="00102792" w:rsidRPr="0081448E" w:rsidRDefault="003F0743">
            <w:pPr>
              <w:rPr>
                <w:color w:val="000000"/>
                <w:lang w:val="fr-CA"/>
              </w:rPr>
            </w:pPr>
            <w:r w:rsidRPr="0081448E">
              <w:rPr>
                <w:i/>
                <w:iCs/>
                <w:color w:val="333333"/>
                <w:sz w:val="20"/>
                <w:lang w:val="fr-CA"/>
              </w:rPr>
              <w:t>MédiaQMI inc. c. Magdi Kamel, et al.</w:t>
            </w:r>
            <w:r w:rsidRPr="0081448E">
              <w:rPr>
                <w:color w:val="333333"/>
                <w:sz w:val="20"/>
                <w:lang w:val="fr-CA"/>
              </w:rPr>
              <w:t xml:space="preserve"> </w:t>
            </w:r>
            <w:r w:rsidRPr="0081448E">
              <w:rPr>
                <w:color w:val="333333"/>
                <w:sz w:val="20"/>
              </w:rPr>
              <w:t>(Qc) (Civile) (Autorisation) (</w:t>
            </w:r>
            <w:hyperlink r:id="rId54" w:history="1">
              <w:r w:rsidRPr="0081448E">
                <w:rPr>
                  <w:rStyle w:val="Hyperlink"/>
                  <w:sz w:val="20"/>
                </w:rPr>
                <w:t>38755</w:t>
              </w:r>
            </w:hyperlink>
            <w:r w:rsidRPr="0081448E">
              <w:rPr>
                <w:color w:val="333333"/>
                <w:sz w:val="20"/>
              </w:rPr>
              <w:t>)</w:t>
            </w:r>
          </w:p>
        </w:tc>
      </w:tr>
      <w:tr w:rsidR="00102792" w:rsidRPr="0081448E" w:rsidTr="00102792">
        <w:tc>
          <w:tcPr>
            <w:tcW w:w="2398" w:type="dxa"/>
            <w:tcMar>
              <w:top w:w="58" w:type="dxa"/>
              <w:left w:w="58" w:type="dxa"/>
              <w:bottom w:w="58" w:type="dxa"/>
              <w:right w:w="58" w:type="dxa"/>
            </w:tcMar>
            <w:hideMark/>
          </w:tcPr>
          <w:p w:rsidR="00102792" w:rsidRPr="0081448E" w:rsidRDefault="003F0743" w:rsidP="003F0743">
            <w:pPr>
              <w:rPr>
                <w:color w:val="000000"/>
              </w:rPr>
            </w:pPr>
            <w:r w:rsidRPr="0081448E">
              <w:rPr>
                <w:sz w:val="20"/>
              </w:rPr>
              <w:t>2020-11-13</w:t>
            </w:r>
          </w:p>
        </w:tc>
        <w:tc>
          <w:tcPr>
            <w:tcW w:w="7178" w:type="dxa"/>
            <w:tcMar>
              <w:top w:w="58" w:type="dxa"/>
              <w:left w:w="58" w:type="dxa"/>
              <w:bottom w:w="58" w:type="dxa"/>
              <w:right w:w="58" w:type="dxa"/>
            </w:tcMar>
            <w:hideMark/>
          </w:tcPr>
          <w:p w:rsidR="00102792" w:rsidRPr="0081448E" w:rsidRDefault="003F0743">
            <w:pPr>
              <w:rPr>
                <w:color w:val="000000"/>
              </w:rPr>
            </w:pPr>
            <w:r w:rsidRPr="0081448E">
              <w:rPr>
                <w:i/>
                <w:iCs/>
                <w:color w:val="333333"/>
                <w:sz w:val="20"/>
              </w:rPr>
              <w:t>Her Majesty the Queen v. R.V.</w:t>
            </w:r>
            <w:r w:rsidRPr="0081448E">
              <w:rPr>
                <w:color w:val="333333"/>
                <w:sz w:val="20"/>
              </w:rPr>
              <w:t xml:space="preserve"> (Ont.) (Criminal) (As of Right / By Leave) (</w:t>
            </w:r>
            <w:hyperlink r:id="rId55" w:history="1">
              <w:r w:rsidRPr="0081448E">
                <w:rPr>
                  <w:rStyle w:val="Hyperlink"/>
                  <w:sz w:val="20"/>
                </w:rPr>
                <w:t>38854</w:t>
              </w:r>
            </w:hyperlink>
            <w:r w:rsidRPr="0081448E">
              <w:rPr>
                <w:color w:val="333333"/>
                <w:sz w:val="20"/>
              </w:rPr>
              <w:t>)</w:t>
            </w:r>
          </w:p>
        </w:tc>
      </w:tr>
    </w:tbl>
    <w:p w:rsidR="00102792" w:rsidRPr="0081448E" w:rsidRDefault="00102792" w:rsidP="00102792">
      <w:pPr>
        <w:rPr>
          <w:color w:val="000000"/>
          <w:sz w:val="20"/>
          <w:szCs w:val="20"/>
        </w:rPr>
      </w:pPr>
    </w:p>
    <w:p w:rsidR="00102792" w:rsidRPr="0081448E" w:rsidRDefault="00102792" w:rsidP="00102792">
      <w:pPr>
        <w:jc w:val="both"/>
        <w:rPr>
          <w:color w:val="000000"/>
          <w:sz w:val="20"/>
          <w:szCs w:val="20"/>
        </w:rPr>
      </w:pPr>
      <w:r w:rsidRPr="0081448E">
        <w:rPr>
          <w:b/>
          <w:bCs/>
          <w:color w:val="000000"/>
          <w:sz w:val="20"/>
          <w:szCs w:val="20"/>
        </w:rPr>
        <w:t>NOTE:</w:t>
      </w:r>
      <w:r w:rsidRPr="0081448E">
        <w:rPr>
          <w:color w:val="000000"/>
          <w:sz w:val="20"/>
          <w:szCs w:val="20"/>
        </w:rPr>
        <w:t> This agenda is subject to change. Hearings normally commence at 9:30 a.m.</w:t>
      </w:r>
      <w:r w:rsidR="00172473" w:rsidRPr="0081448E">
        <w:rPr>
          <w:color w:val="000000"/>
          <w:sz w:val="20"/>
          <w:szCs w:val="20"/>
        </w:rPr>
        <w:t>, E</w:t>
      </w:r>
      <w:r w:rsidR="001D6B70" w:rsidRPr="0081448E">
        <w:rPr>
          <w:color w:val="000000"/>
          <w:sz w:val="20"/>
          <w:szCs w:val="20"/>
        </w:rPr>
        <w:t>S</w:t>
      </w:r>
      <w:r w:rsidR="00172473" w:rsidRPr="0081448E">
        <w:rPr>
          <w:color w:val="000000"/>
          <w:sz w:val="20"/>
          <w:szCs w:val="20"/>
        </w:rPr>
        <w:t>T</w:t>
      </w:r>
      <w:r w:rsidRPr="0081448E">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81448E" w:rsidRDefault="00102792" w:rsidP="00102792">
      <w:pPr>
        <w:jc w:val="both"/>
        <w:rPr>
          <w:color w:val="000000"/>
          <w:sz w:val="20"/>
          <w:szCs w:val="20"/>
        </w:rPr>
      </w:pPr>
    </w:p>
    <w:p w:rsidR="00102792" w:rsidRPr="0081448E" w:rsidRDefault="00102792" w:rsidP="00102792">
      <w:pPr>
        <w:jc w:val="both"/>
        <w:rPr>
          <w:color w:val="000000"/>
          <w:sz w:val="20"/>
          <w:szCs w:val="20"/>
          <w:lang w:val="fr-CA"/>
        </w:rPr>
      </w:pPr>
      <w:r w:rsidRPr="0081448E">
        <w:rPr>
          <w:color w:val="000000"/>
          <w:sz w:val="20"/>
          <w:szCs w:val="20"/>
          <w:lang w:val="fr-CA"/>
        </w:rPr>
        <w:t>Ce calendrier est sujet à modification. Les audiences débutent normalement à 9h30</w:t>
      </w:r>
      <w:r w:rsidR="00172473" w:rsidRPr="0081448E">
        <w:rPr>
          <w:color w:val="000000"/>
          <w:sz w:val="20"/>
          <w:szCs w:val="20"/>
          <w:lang w:val="fr-CA"/>
        </w:rPr>
        <w:t>, H</w:t>
      </w:r>
      <w:r w:rsidR="001D6B70" w:rsidRPr="0081448E">
        <w:rPr>
          <w:color w:val="000000"/>
          <w:sz w:val="20"/>
          <w:szCs w:val="20"/>
          <w:lang w:val="fr-CA"/>
        </w:rPr>
        <w:t>N</w:t>
      </w:r>
      <w:r w:rsidR="00172473" w:rsidRPr="0081448E">
        <w:rPr>
          <w:color w:val="000000"/>
          <w:sz w:val="20"/>
          <w:szCs w:val="20"/>
          <w:lang w:val="fr-CA"/>
        </w:rPr>
        <w:t>E</w:t>
      </w:r>
      <w:r w:rsidRPr="0081448E">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81448E" w:rsidRDefault="00102792" w:rsidP="00102792">
      <w:pPr>
        <w:jc w:val="both"/>
        <w:rPr>
          <w:color w:val="000000"/>
          <w:sz w:val="20"/>
          <w:szCs w:val="20"/>
          <w:lang w:val="fr-CA"/>
        </w:rPr>
      </w:pPr>
    </w:p>
    <w:p w:rsidR="00477D76" w:rsidRPr="0081448E" w:rsidRDefault="00477D76" w:rsidP="00477D76">
      <w:pPr>
        <w:widowControl w:val="0"/>
        <w:rPr>
          <w:sz w:val="20"/>
          <w:lang w:val="fr-CA"/>
        </w:rPr>
      </w:pPr>
    </w:p>
    <w:p w:rsidR="00477D76" w:rsidRPr="0081448E" w:rsidRDefault="00477D76" w:rsidP="00477D76">
      <w:pPr>
        <w:widowControl w:val="0"/>
        <w:ind w:left="720" w:hanging="720"/>
        <w:jc w:val="both"/>
        <w:rPr>
          <w:b/>
          <w:i/>
          <w:sz w:val="20"/>
          <w:szCs w:val="20"/>
        </w:rPr>
      </w:pPr>
      <w:r w:rsidRPr="0081448E">
        <w:rPr>
          <w:b/>
          <w:sz w:val="20"/>
          <w:szCs w:val="20"/>
        </w:rPr>
        <w:fldChar w:fldCharType="begin"/>
      </w:r>
      <w:r w:rsidRPr="0081448E">
        <w:rPr>
          <w:b/>
          <w:sz w:val="20"/>
          <w:szCs w:val="20"/>
        </w:rPr>
        <w:instrText xml:space="preserve"> SEQ CHAPTER \h \r 1</w:instrText>
      </w:r>
      <w:r w:rsidRPr="0081448E">
        <w:rPr>
          <w:b/>
          <w:sz w:val="20"/>
          <w:szCs w:val="20"/>
        </w:rPr>
        <w:fldChar w:fldCharType="end"/>
      </w:r>
      <w:r w:rsidRPr="0081448E">
        <w:rPr>
          <w:b/>
          <w:sz w:val="20"/>
          <w:szCs w:val="20"/>
        </w:rPr>
        <w:t>39006</w:t>
      </w:r>
      <w:r w:rsidRPr="0081448E">
        <w:rPr>
          <w:sz w:val="20"/>
          <w:szCs w:val="20"/>
        </w:rPr>
        <w:tab/>
      </w:r>
      <w:bookmarkStart w:id="8" w:name="3"/>
      <w:bookmarkEnd w:id="8"/>
      <w:r w:rsidRPr="0081448E">
        <w:rPr>
          <w:b/>
          <w:i/>
          <w:sz w:val="20"/>
          <w:szCs w:val="20"/>
        </w:rPr>
        <w:t>Randy Desmond Riley v. Her Majesty the Queen</w:t>
      </w:r>
    </w:p>
    <w:p w:rsidR="00477D76" w:rsidRPr="0081448E" w:rsidRDefault="00477D76" w:rsidP="00477D76">
      <w:pPr>
        <w:widowControl w:val="0"/>
        <w:ind w:left="720"/>
        <w:jc w:val="both"/>
        <w:rPr>
          <w:sz w:val="20"/>
          <w:szCs w:val="20"/>
        </w:rPr>
      </w:pPr>
      <w:r w:rsidRPr="0081448E">
        <w:rPr>
          <w:sz w:val="20"/>
          <w:szCs w:val="20"/>
        </w:rPr>
        <w:t>(N.S.) (Criminal) (As of Right)</w:t>
      </w:r>
    </w:p>
    <w:p w:rsidR="00477D76" w:rsidRPr="0081448E" w:rsidRDefault="00477D76" w:rsidP="00477D76">
      <w:pPr>
        <w:widowControl w:val="0"/>
        <w:ind w:left="1440" w:hanging="1440"/>
        <w:jc w:val="both"/>
        <w:rPr>
          <w:sz w:val="20"/>
          <w:szCs w:val="20"/>
        </w:rPr>
      </w:pPr>
    </w:p>
    <w:p w:rsidR="00477D76" w:rsidRPr="0081448E" w:rsidRDefault="00477D76" w:rsidP="00477D76">
      <w:pPr>
        <w:widowControl w:val="0"/>
        <w:jc w:val="both"/>
        <w:rPr>
          <w:sz w:val="20"/>
          <w:szCs w:val="20"/>
        </w:rPr>
      </w:pPr>
      <w:r w:rsidRPr="0081448E">
        <w:rPr>
          <w:sz w:val="20"/>
          <w:szCs w:val="20"/>
        </w:rPr>
        <w:t xml:space="preserve">Criminal law - Evidence - Jury - Vetrovec warning - Verdict - Unreasonable verdict - Curative proviso - Whether a Vetrovec warning should have been provided to the jury regarding the exculpatory evidence of a Crown witness - Whether the curative proviso, per s. 686(1)(b)(iii) of the </w:t>
      </w:r>
      <w:r w:rsidRPr="0081448E">
        <w:rPr>
          <w:i/>
          <w:sz w:val="20"/>
          <w:szCs w:val="20"/>
        </w:rPr>
        <w:t xml:space="preserve">Criminal Code </w:t>
      </w:r>
      <w:r w:rsidRPr="0081448E">
        <w:rPr>
          <w:sz w:val="20"/>
          <w:szCs w:val="20"/>
        </w:rPr>
        <w:t xml:space="preserve">should have been applied to dismiss the appeal - </w:t>
      </w:r>
      <w:r w:rsidRPr="0081448E">
        <w:rPr>
          <w:i/>
          <w:sz w:val="20"/>
          <w:szCs w:val="20"/>
        </w:rPr>
        <w:t>Criminal Code</w:t>
      </w:r>
      <w:r w:rsidRPr="0081448E">
        <w:rPr>
          <w:sz w:val="20"/>
          <w:szCs w:val="20"/>
        </w:rPr>
        <w:t>, R.S.C. 1985, c. C-46, s. 686(1)(b)(iii).</w:t>
      </w:r>
    </w:p>
    <w:p w:rsidR="00477D76" w:rsidRPr="0081448E" w:rsidRDefault="00477D76" w:rsidP="00477D76">
      <w:pPr>
        <w:widowControl w:val="0"/>
        <w:jc w:val="both"/>
        <w:rPr>
          <w:sz w:val="20"/>
          <w:szCs w:val="20"/>
        </w:rPr>
      </w:pPr>
    </w:p>
    <w:p w:rsidR="005C4158" w:rsidRDefault="005C4158">
      <w:pPr>
        <w:rPr>
          <w:sz w:val="20"/>
          <w:szCs w:val="20"/>
        </w:rPr>
      </w:pPr>
      <w:r>
        <w:rPr>
          <w:sz w:val="20"/>
          <w:szCs w:val="20"/>
        </w:rPr>
        <w:br w:type="page"/>
      </w:r>
    </w:p>
    <w:p w:rsidR="00477D76" w:rsidRPr="0081448E" w:rsidRDefault="00477D76" w:rsidP="00477D76">
      <w:pPr>
        <w:jc w:val="both"/>
        <w:rPr>
          <w:sz w:val="20"/>
          <w:szCs w:val="20"/>
        </w:rPr>
      </w:pPr>
      <w:r w:rsidRPr="0081448E">
        <w:rPr>
          <w:sz w:val="20"/>
          <w:szCs w:val="20"/>
        </w:rPr>
        <w:lastRenderedPageBreak/>
        <w:t xml:space="preserve">At trial before judge and jury, Mr. Riley was convicted of second degree murder and illegal possession of a firearm. On appeal before the Nova Scotia Court of Appeal, Mr. Riley argued that the trial judge erred by giving a Vetrovec warning to the jury regarding one of the Crown’s witnesses and that this error was critical. A majority of the Court of Appeal dismissed the appeal as it was satisfied that if the trial judge erred by giving a Vetrovec warning, the error was harmless and it would apply the curative proviso at s. 686(1)(b)(iii) of the </w:t>
      </w:r>
      <w:r w:rsidRPr="0081448E">
        <w:rPr>
          <w:i/>
          <w:sz w:val="20"/>
          <w:szCs w:val="20"/>
        </w:rPr>
        <w:t>Criminal Code</w:t>
      </w:r>
      <w:r w:rsidRPr="0081448E">
        <w:rPr>
          <w:sz w:val="20"/>
          <w:szCs w:val="20"/>
        </w:rPr>
        <w:t xml:space="preserve"> if necessary. In its view, there was no reasonable possibility that a jury could believe or have a reasonable doubt based on the witness’s evidence. Scanlan J.A. would have quashed the convictions and ordered a new trial. In his view, the trial judge erred in its Vetrovec instruction and it would be inappropriate to apply the curative proviso since the legal error was in relation to a pivotal witness. Scanlan J.A. was not convinced that the verdict would have been the same with a properly instructed jury. </w:t>
      </w:r>
    </w:p>
    <w:p w:rsidR="00477D76" w:rsidRPr="0081448E" w:rsidRDefault="00477D76" w:rsidP="00477D76">
      <w:pPr>
        <w:jc w:val="both"/>
        <w:rPr>
          <w:sz w:val="20"/>
        </w:rPr>
      </w:pPr>
    </w:p>
    <w:p w:rsidR="00477D76" w:rsidRPr="0081448E" w:rsidRDefault="00DC444A" w:rsidP="00477D76">
      <w:pPr>
        <w:jc w:val="both"/>
        <w:rPr>
          <w:sz w:val="20"/>
          <w:szCs w:val="20"/>
        </w:rPr>
      </w:pPr>
      <w:r>
        <w:rPr>
          <w:sz w:val="20"/>
        </w:rPr>
        <w:pict>
          <v:rect id="_x0000_i1049" style="width:2in;height:1pt" o:hrpct="0" o:hralign="center" o:hrstd="t" o:hrnoshade="t" o:hr="t" fillcolor="black [3213]" stroked="f"/>
        </w:pict>
      </w:r>
    </w:p>
    <w:p w:rsidR="00477D76" w:rsidRPr="0081448E" w:rsidRDefault="00477D76" w:rsidP="00477D76">
      <w:pPr>
        <w:jc w:val="both"/>
        <w:rPr>
          <w:sz w:val="20"/>
          <w:szCs w:val="20"/>
        </w:rPr>
      </w:pPr>
    </w:p>
    <w:p w:rsidR="00477D76" w:rsidRPr="0081448E" w:rsidRDefault="00477D76" w:rsidP="00477D76">
      <w:pPr>
        <w:widowControl w:val="0"/>
        <w:ind w:left="720" w:hanging="720"/>
        <w:jc w:val="both"/>
        <w:rPr>
          <w:b/>
          <w:i/>
          <w:sz w:val="20"/>
          <w:szCs w:val="20"/>
          <w:lang w:val="fr-CA"/>
        </w:rPr>
      </w:pPr>
      <w:r w:rsidRPr="0081448E">
        <w:rPr>
          <w:b/>
          <w:sz w:val="20"/>
          <w:szCs w:val="20"/>
          <w:lang w:val="fr-CA"/>
        </w:rPr>
        <w:fldChar w:fldCharType="begin"/>
      </w:r>
      <w:r w:rsidRPr="0081448E">
        <w:rPr>
          <w:b/>
          <w:sz w:val="20"/>
          <w:szCs w:val="20"/>
          <w:lang w:val="fr-CA"/>
        </w:rPr>
        <w:instrText xml:space="preserve"> SEQ CHAPTER \h \r 1</w:instrText>
      </w:r>
      <w:r w:rsidRPr="0081448E">
        <w:rPr>
          <w:b/>
          <w:sz w:val="20"/>
          <w:szCs w:val="20"/>
          <w:lang w:val="fr-CA"/>
        </w:rPr>
        <w:fldChar w:fldCharType="end"/>
      </w:r>
      <w:r w:rsidRPr="0081448E">
        <w:rPr>
          <w:b/>
          <w:sz w:val="20"/>
          <w:szCs w:val="20"/>
          <w:lang w:val="fr-CA"/>
        </w:rPr>
        <w:t>39006</w:t>
      </w:r>
      <w:r w:rsidRPr="0081448E">
        <w:rPr>
          <w:sz w:val="20"/>
          <w:szCs w:val="20"/>
          <w:lang w:val="fr-CA"/>
        </w:rPr>
        <w:tab/>
      </w:r>
      <w:r w:rsidRPr="0081448E">
        <w:rPr>
          <w:b/>
          <w:i/>
          <w:sz w:val="20"/>
          <w:szCs w:val="20"/>
          <w:lang w:val="fr-CA"/>
        </w:rPr>
        <w:t>Randy Desmond Riley c. Sa Majesté la Reine</w:t>
      </w:r>
    </w:p>
    <w:p w:rsidR="00477D76" w:rsidRPr="0081448E" w:rsidRDefault="00477D76" w:rsidP="00477D76">
      <w:pPr>
        <w:widowControl w:val="0"/>
        <w:ind w:left="720"/>
        <w:jc w:val="both"/>
        <w:rPr>
          <w:sz w:val="20"/>
          <w:szCs w:val="20"/>
          <w:lang w:val="fr-CA"/>
        </w:rPr>
      </w:pPr>
      <w:r w:rsidRPr="0081448E">
        <w:rPr>
          <w:sz w:val="20"/>
          <w:szCs w:val="20"/>
          <w:lang w:val="fr-CA"/>
        </w:rPr>
        <w:t>(N.-É.) (Criminelle) (De plein droit)</w:t>
      </w:r>
    </w:p>
    <w:p w:rsidR="00477D76" w:rsidRPr="0081448E" w:rsidRDefault="00477D76" w:rsidP="00477D76">
      <w:pPr>
        <w:widowControl w:val="0"/>
        <w:ind w:left="1440" w:hanging="144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 xml:space="preserve">Droit criminel - Preuve - Jury - Mise en garde de type Vetrovec - Verdict - Verdict déraisonnable - Disposition réparatrice - Aurait-il fallu faire une mise en garde de type Vetrovec au jury relativement à la preuve disculpatoire d’un témoin du ministère public? - Aurait-il fallu appliquer la disposition réparatrice du sous-al. 186(1)b)(iii) du </w:t>
      </w:r>
      <w:r w:rsidRPr="0081448E">
        <w:rPr>
          <w:i/>
          <w:sz w:val="20"/>
          <w:szCs w:val="20"/>
          <w:lang w:val="fr-CA"/>
        </w:rPr>
        <w:t>Code criminel</w:t>
      </w:r>
      <w:r w:rsidRPr="0081448E">
        <w:rPr>
          <w:sz w:val="20"/>
          <w:szCs w:val="20"/>
          <w:lang w:val="fr-CA"/>
        </w:rPr>
        <w:t xml:space="preserve"> pour rejeter l’appel? - </w:t>
      </w:r>
      <w:r w:rsidRPr="0081448E">
        <w:rPr>
          <w:i/>
          <w:sz w:val="20"/>
          <w:szCs w:val="20"/>
          <w:lang w:val="fr-CA"/>
        </w:rPr>
        <w:t>Code criminel</w:t>
      </w:r>
      <w:r w:rsidRPr="0081448E">
        <w:rPr>
          <w:sz w:val="20"/>
          <w:szCs w:val="20"/>
          <w:lang w:val="fr-CA"/>
        </w:rPr>
        <w:t>, L.R.C. 1985, ch. C-46, sous-al. 686(1)b)(iii).</w:t>
      </w:r>
    </w:p>
    <w:p w:rsidR="00477D76" w:rsidRPr="0081448E" w:rsidRDefault="00477D76" w:rsidP="00477D76">
      <w:pPr>
        <w:widowControl w:val="0"/>
        <w:jc w:val="both"/>
        <w:rPr>
          <w:sz w:val="20"/>
          <w:szCs w:val="20"/>
          <w:lang w:val="fr-CA"/>
        </w:rPr>
      </w:pPr>
    </w:p>
    <w:p w:rsidR="00477D76" w:rsidRPr="0081448E" w:rsidRDefault="00477D76" w:rsidP="00477D76">
      <w:pPr>
        <w:jc w:val="both"/>
        <w:rPr>
          <w:sz w:val="20"/>
          <w:szCs w:val="20"/>
          <w:lang w:val="fr-CA"/>
        </w:rPr>
      </w:pPr>
      <w:r w:rsidRPr="0081448E">
        <w:rPr>
          <w:sz w:val="20"/>
          <w:szCs w:val="20"/>
          <w:lang w:val="fr-CA"/>
        </w:rPr>
        <w:t xml:space="preserve">À son procès devant juge et jury, M. Riley a été déclaré coupable de meurtre au deuxième degré et de possession illégale d’une arme à feu. En appel devant la Cour d’appel de la Nouvelle-Écosse, M. Riley a plaidé que le juge de première instance avait commis une erreur en faisant une mise en garde de type Vetrovec au jury relativement à un des témoins du ministère public et que cette erreur était grave. Les juges majoritaires de la Cour d’appel ont rejeté l’appel parce qu’ils étaient convaincus que si le juge de première instance avait commis une erreur en faisant une mise en garde de type Vetrovec, l’erreur était sans conséquence et ils appliqueraient la disposition réparatrice du sous-al. 686(1)b)(iii) du </w:t>
      </w:r>
      <w:r w:rsidRPr="0081448E">
        <w:rPr>
          <w:i/>
          <w:sz w:val="20"/>
          <w:szCs w:val="20"/>
          <w:lang w:val="fr-CA"/>
        </w:rPr>
        <w:t xml:space="preserve">Code criminel </w:t>
      </w:r>
      <w:r w:rsidRPr="0081448E">
        <w:rPr>
          <w:sz w:val="20"/>
          <w:szCs w:val="20"/>
          <w:lang w:val="fr-CA"/>
        </w:rPr>
        <w:t xml:space="preserve">au besoin. À leur avis, il n’y avait aucune possibilité raisonnable qu’un jury croie le témoin ou ait un doute raisonnable fondé sur son témoignage. Le juge Scanlan aurait annulé les déclarations de culpabilité et ordonné la tenue d’un nouveau procès. À son avis, le juge de première instance avait commis une erreur dans sa directive de type Vetrovec et il serait inopportun d’appliquer la disposition réparatrice, puisque l’erreur de droit avait trait à un témoin très important. Le juge Scanlan n’était pas convaincu que le verdict eût été le même si le jury avait reçu les bonnes directives. </w:t>
      </w:r>
    </w:p>
    <w:p w:rsidR="00477D76" w:rsidRPr="0081448E" w:rsidRDefault="00477D76" w:rsidP="00477D76">
      <w:pPr>
        <w:widowControl w:val="0"/>
        <w:rPr>
          <w:sz w:val="20"/>
          <w:lang w:val="fr-CA"/>
        </w:rPr>
      </w:pPr>
    </w:p>
    <w:p w:rsidR="00477D76" w:rsidRPr="0081448E" w:rsidRDefault="00DC444A" w:rsidP="00477D76">
      <w:pPr>
        <w:widowControl w:val="0"/>
        <w:rPr>
          <w:sz w:val="20"/>
          <w:szCs w:val="20"/>
          <w:lang w:val="fr-CA"/>
        </w:rPr>
      </w:pPr>
      <w:r>
        <w:rPr>
          <w:sz w:val="20"/>
        </w:rPr>
        <w:pict>
          <v:rect id="_x0000_i1050" style="width:2in;height:1pt" o:hrpct="0" o:hralign="center" o:hrstd="t" o:hrnoshade="t" o:hr="t" fillcolor="black [3213]" stroked="f"/>
        </w:pict>
      </w:r>
    </w:p>
    <w:p w:rsidR="00477D76" w:rsidRPr="0081448E" w:rsidRDefault="00477D76" w:rsidP="00477D76">
      <w:pPr>
        <w:widowControl w:val="0"/>
        <w:rPr>
          <w:sz w:val="20"/>
          <w:szCs w:val="20"/>
          <w:lang w:val="fr-CA"/>
        </w:rPr>
      </w:pPr>
    </w:p>
    <w:p w:rsidR="00477D76" w:rsidRPr="0081448E" w:rsidRDefault="00477D76" w:rsidP="00477D76">
      <w:pPr>
        <w:widowControl w:val="0"/>
        <w:ind w:left="720" w:hanging="720"/>
        <w:jc w:val="both"/>
        <w:rPr>
          <w:b/>
          <w:i/>
          <w:sz w:val="20"/>
          <w:szCs w:val="20"/>
        </w:rPr>
      </w:pPr>
      <w:r w:rsidRPr="0081448E">
        <w:rPr>
          <w:b/>
          <w:sz w:val="20"/>
          <w:szCs w:val="20"/>
        </w:rPr>
        <w:fldChar w:fldCharType="begin"/>
      </w:r>
      <w:r w:rsidRPr="0081448E">
        <w:rPr>
          <w:b/>
          <w:sz w:val="20"/>
          <w:szCs w:val="20"/>
        </w:rPr>
        <w:instrText xml:space="preserve"> SEQ CHAPTER \h \r 1</w:instrText>
      </w:r>
      <w:r w:rsidRPr="0081448E">
        <w:rPr>
          <w:b/>
          <w:sz w:val="20"/>
          <w:szCs w:val="20"/>
        </w:rPr>
        <w:fldChar w:fldCharType="end"/>
      </w:r>
      <w:r w:rsidRPr="0081448E">
        <w:rPr>
          <w:b/>
          <w:sz w:val="20"/>
          <w:szCs w:val="20"/>
        </w:rPr>
        <w:t>38808</w:t>
      </w:r>
      <w:r w:rsidRPr="0081448E">
        <w:rPr>
          <w:b/>
          <w:sz w:val="20"/>
          <w:szCs w:val="20"/>
        </w:rPr>
        <w:tab/>
      </w:r>
      <w:r w:rsidRPr="0081448E">
        <w:rPr>
          <w:b/>
          <w:i/>
          <w:sz w:val="20"/>
          <w:szCs w:val="20"/>
        </w:rPr>
        <w:t>Felice Colucci v. Lina Colucci</w:t>
      </w:r>
    </w:p>
    <w:p w:rsidR="00477D76" w:rsidRPr="0081448E" w:rsidRDefault="00477D76" w:rsidP="00477D76">
      <w:pPr>
        <w:widowControl w:val="0"/>
        <w:ind w:left="720"/>
        <w:jc w:val="both"/>
        <w:rPr>
          <w:sz w:val="20"/>
          <w:szCs w:val="20"/>
        </w:rPr>
      </w:pPr>
      <w:r w:rsidRPr="0081448E">
        <w:rPr>
          <w:sz w:val="20"/>
          <w:szCs w:val="20"/>
        </w:rPr>
        <w:t>(Ont.) (Civil) (By Leave)</w:t>
      </w:r>
    </w:p>
    <w:p w:rsidR="00477D76" w:rsidRPr="0081448E" w:rsidRDefault="00477D76" w:rsidP="00477D76">
      <w:pPr>
        <w:widowControl w:val="0"/>
        <w:jc w:val="both"/>
        <w:rPr>
          <w:sz w:val="20"/>
          <w:szCs w:val="20"/>
        </w:rPr>
      </w:pPr>
    </w:p>
    <w:p w:rsidR="00477D76" w:rsidRPr="0081448E" w:rsidRDefault="00477D76" w:rsidP="00477D76">
      <w:pPr>
        <w:widowControl w:val="0"/>
        <w:jc w:val="both"/>
        <w:rPr>
          <w:sz w:val="20"/>
          <w:szCs w:val="20"/>
        </w:rPr>
      </w:pPr>
      <w:r w:rsidRPr="0081448E">
        <w:rPr>
          <w:sz w:val="20"/>
          <w:szCs w:val="20"/>
        </w:rPr>
        <w:t xml:space="preserve">Family law - Child support - Retroactive cancellation of child support arrears - What factors should be considered when exercising a discretion to discharge child support arrears - Whether the factors set out in </w:t>
      </w:r>
      <w:r w:rsidRPr="0081448E">
        <w:rPr>
          <w:i/>
          <w:sz w:val="20"/>
          <w:szCs w:val="20"/>
        </w:rPr>
        <w:t>D.B.S. v. S.R.G.</w:t>
      </w:r>
      <w:r w:rsidRPr="0081448E">
        <w:rPr>
          <w:sz w:val="20"/>
          <w:szCs w:val="20"/>
        </w:rPr>
        <w:t xml:space="preserve">, 2006 SCC 37, [2006] 2 S.C.R. 231, apply when a court is exercising its discretion to discharge child support arrears - Whether the factors in </w:t>
      </w:r>
      <w:r w:rsidRPr="0081448E">
        <w:rPr>
          <w:i/>
          <w:sz w:val="20"/>
          <w:szCs w:val="20"/>
        </w:rPr>
        <w:t xml:space="preserve">D.B.S. </w:t>
      </w:r>
      <w:r w:rsidRPr="0081448E">
        <w:rPr>
          <w:sz w:val="20"/>
          <w:szCs w:val="20"/>
        </w:rPr>
        <w:t xml:space="preserve">were applied appropriately - Whether the presumptive three-year rule applies when a court is exercising its discretion to discharge child support arrears - Whether courts are providing an incentive to payors to be delinquent in their support payments by permitting a cancellation of outstanding arrears - </w:t>
      </w:r>
      <w:r w:rsidRPr="0081448E">
        <w:rPr>
          <w:i/>
          <w:sz w:val="20"/>
          <w:szCs w:val="20"/>
        </w:rPr>
        <w:t>Divorce Act</w:t>
      </w:r>
      <w:r w:rsidRPr="0081448E">
        <w:rPr>
          <w:sz w:val="20"/>
          <w:szCs w:val="20"/>
        </w:rPr>
        <w:t xml:space="preserve">, R.S.C. 1985, </w:t>
      </w:r>
      <w:r w:rsidRPr="0081448E">
        <w:rPr>
          <w:sz w:val="20"/>
          <w:szCs w:val="20"/>
          <w:lang w:val="en"/>
        </w:rPr>
        <w:t>c. 3 (2nd Supp.), s. 17.</w:t>
      </w:r>
    </w:p>
    <w:p w:rsidR="00477D76" w:rsidRPr="0081448E" w:rsidRDefault="00477D76" w:rsidP="00477D76">
      <w:pPr>
        <w:widowControl w:val="0"/>
        <w:jc w:val="both"/>
        <w:rPr>
          <w:sz w:val="20"/>
          <w:szCs w:val="20"/>
        </w:rPr>
      </w:pPr>
    </w:p>
    <w:p w:rsidR="00477D76" w:rsidRPr="0081448E" w:rsidRDefault="00477D76" w:rsidP="00477D76">
      <w:pPr>
        <w:jc w:val="both"/>
        <w:rPr>
          <w:sz w:val="20"/>
          <w:szCs w:val="20"/>
        </w:rPr>
      </w:pPr>
      <w:r w:rsidRPr="0081448E">
        <w:rPr>
          <w:sz w:val="20"/>
          <w:szCs w:val="20"/>
        </w:rPr>
        <w:t>The appellant and respondent were married in 1983 and divorced in 1996. They have two children. The parties’ divorce judgment, dated May 1996, provided for custody of the children to the respondent and required the appellant to pay child support in the amount of $115 per week per child. The appellant’s child support obligations ended in 2012. By 2012, the appellant had fallen into substantial arrears and his taxable income was in decline from 1997 onwards. The child support arrears with interest totalled more than $170,000.</w:t>
      </w:r>
    </w:p>
    <w:p w:rsidR="00477D76" w:rsidRPr="0081448E" w:rsidRDefault="00477D76" w:rsidP="00477D76">
      <w:pPr>
        <w:jc w:val="both"/>
        <w:rPr>
          <w:sz w:val="20"/>
          <w:szCs w:val="20"/>
        </w:rPr>
      </w:pPr>
    </w:p>
    <w:p w:rsidR="005C4158" w:rsidRDefault="005C4158">
      <w:pPr>
        <w:rPr>
          <w:sz w:val="20"/>
          <w:szCs w:val="20"/>
        </w:rPr>
      </w:pPr>
      <w:r>
        <w:rPr>
          <w:sz w:val="20"/>
          <w:szCs w:val="20"/>
        </w:rPr>
        <w:br w:type="page"/>
      </w:r>
    </w:p>
    <w:p w:rsidR="00477D76" w:rsidRPr="0081448E" w:rsidRDefault="00477D76" w:rsidP="00477D76">
      <w:pPr>
        <w:jc w:val="both"/>
        <w:rPr>
          <w:sz w:val="20"/>
        </w:rPr>
      </w:pPr>
      <w:r w:rsidRPr="0081448E">
        <w:rPr>
          <w:sz w:val="20"/>
          <w:szCs w:val="20"/>
        </w:rPr>
        <w:lastRenderedPageBreak/>
        <w:t>In 2016, the appellant brought a motion to retroactively vary the child support and to fix the arrears of child support, if any, and determine the payments on those arrears in accordance with his income. The motion judge recalculated and reduced the arrears owing to $41,642. The Court of Appeal allowed the appeal in part and set aside the paragraph of the motion judge’s order which reduced the arrears owing. The appellant’s cross-appeal from the costs award was dismissed.</w:t>
      </w:r>
    </w:p>
    <w:p w:rsidR="00477D76" w:rsidRPr="0081448E" w:rsidRDefault="00477D76" w:rsidP="00477D76">
      <w:pPr>
        <w:jc w:val="both"/>
        <w:rPr>
          <w:sz w:val="20"/>
        </w:rPr>
      </w:pPr>
    </w:p>
    <w:p w:rsidR="00477D76" w:rsidRPr="0081448E" w:rsidRDefault="00DC444A" w:rsidP="00477D76">
      <w:pPr>
        <w:jc w:val="both"/>
        <w:rPr>
          <w:sz w:val="20"/>
        </w:rPr>
      </w:pPr>
      <w:r>
        <w:rPr>
          <w:sz w:val="20"/>
        </w:rPr>
        <w:pict>
          <v:rect id="_x0000_i1051" style="width:2in;height:1pt" o:hrpct="0" o:hralign="center" o:hrstd="t" o:hrnoshade="t" o:hr="t" fillcolor="black [3213]" stroked="f"/>
        </w:pict>
      </w:r>
    </w:p>
    <w:p w:rsidR="00477D76" w:rsidRPr="0081448E" w:rsidRDefault="00477D76">
      <w:pPr>
        <w:rPr>
          <w:b/>
          <w:sz w:val="20"/>
          <w:szCs w:val="20"/>
          <w:lang w:val="fr-CA"/>
        </w:rPr>
      </w:pPr>
    </w:p>
    <w:p w:rsidR="00477D76" w:rsidRPr="0081448E" w:rsidRDefault="00477D76" w:rsidP="00477D76">
      <w:pPr>
        <w:widowControl w:val="0"/>
        <w:ind w:left="720" w:hanging="720"/>
        <w:jc w:val="both"/>
        <w:rPr>
          <w:b/>
          <w:i/>
          <w:sz w:val="20"/>
          <w:szCs w:val="20"/>
          <w:lang w:val="fr-CA"/>
        </w:rPr>
      </w:pPr>
      <w:r w:rsidRPr="0081448E">
        <w:rPr>
          <w:b/>
          <w:sz w:val="20"/>
          <w:szCs w:val="20"/>
          <w:lang w:val="fr-CA"/>
        </w:rPr>
        <w:fldChar w:fldCharType="begin"/>
      </w:r>
      <w:r w:rsidRPr="0081448E">
        <w:rPr>
          <w:b/>
          <w:sz w:val="20"/>
          <w:szCs w:val="20"/>
          <w:lang w:val="fr-CA"/>
        </w:rPr>
        <w:instrText xml:space="preserve"> SEQ CHAPTER \h \r 1</w:instrText>
      </w:r>
      <w:r w:rsidRPr="0081448E">
        <w:rPr>
          <w:b/>
          <w:sz w:val="20"/>
          <w:szCs w:val="20"/>
          <w:lang w:val="fr-CA"/>
        </w:rPr>
        <w:fldChar w:fldCharType="end"/>
      </w:r>
      <w:r w:rsidRPr="0081448E">
        <w:rPr>
          <w:b/>
          <w:sz w:val="20"/>
          <w:szCs w:val="20"/>
          <w:lang w:val="fr-CA"/>
        </w:rPr>
        <w:t>38808</w:t>
      </w:r>
      <w:r w:rsidRPr="0081448E">
        <w:rPr>
          <w:b/>
          <w:sz w:val="20"/>
          <w:szCs w:val="20"/>
          <w:lang w:val="fr-CA"/>
        </w:rPr>
        <w:tab/>
      </w:r>
      <w:r w:rsidRPr="0081448E">
        <w:rPr>
          <w:b/>
          <w:i/>
          <w:sz w:val="20"/>
          <w:szCs w:val="20"/>
          <w:lang w:val="fr-CA"/>
        </w:rPr>
        <w:t>Felice Colucci c. Lina Colucci</w:t>
      </w:r>
    </w:p>
    <w:p w:rsidR="00477D76" w:rsidRPr="0081448E" w:rsidRDefault="00477D76" w:rsidP="00477D76">
      <w:pPr>
        <w:widowControl w:val="0"/>
        <w:ind w:left="720"/>
        <w:jc w:val="both"/>
        <w:rPr>
          <w:sz w:val="20"/>
          <w:szCs w:val="20"/>
          <w:lang w:val="fr-CA"/>
        </w:rPr>
      </w:pPr>
      <w:r w:rsidRPr="0081448E">
        <w:rPr>
          <w:sz w:val="20"/>
          <w:szCs w:val="20"/>
          <w:lang w:val="fr-CA"/>
        </w:rPr>
        <w:t>(Ont.) (Civile) (Autorisation)</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 xml:space="preserve">Droit de la famille - Pension alimentaire pour enfants - Annulation rétroactive des arriérés de pension alimentaire pour enfants - Quels facteurs doivent être pris en compte dans l’exercice du pouvoir discrétionnaire d’annuler des arriérés de pension alimentaire pour enfants? - Les facteurs énoncés dans l’affaire </w:t>
      </w:r>
      <w:r w:rsidRPr="0081448E">
        <w:rPr>
          <w:i/>
          <w:sz w:val="20"/>
          <w:szCs w:val="20"/>
          <w:lang w:val="fr-CA"/>
        </w:rPr>
        <w:t>D.B.S. c. S.R.G.</w:t>
      </w:r>
      <w:r w:rsidRPr="0081448E">
        <w:rPr>
          <w:sz w:val="20"/>
          <w:szCs w:val="20"/>
          <w:lang w:val="fr-CA"/>
        </w:rPr>
        <w:t xml:space="preserve">, 2006 CSC 37, [2006] 2 R.C.S. 231 s’appliquent-ils lorsqu’un tribunal exerce son pouvoir discrétionnaire d’annuler des arriérés de pension alimentaire pour enfants? - Les facteurs énoncés dans </w:t>
      </w:r>
      <w:r w:rsidRPr="0081448E">
        <w:rPr>
          <w:i/>
          <w:sz w:val="20"/>
          <w:szCs w:val="20"/>
          <w:lang w:val="fr-CA"/>
        </w:rPr>
        <w:t>D.B.S.</w:t>
      </w:r>
      <w:r w:rsidRPr="0081448E">
        <w:rPr>
          <w:sz w:val="20"/>
          <w:szCs w:val="20"/>
          <w:lang w:val="fr-CA"/>
        </w:rPr>
        <w:t xml:space="preserve"> ont-ils été appliqués comme il se doit? - La présomption de la règle de trois ans s’applique-t</w:t>
      </w:r>
      <w:r w:rsidRPr="0081448E">
        <w:rPr>
          <w:sz w:val="20"/>
          <w:szCs w:val="20"/>
          <w:lang w:val="fr-CA"/>
        </w:rPr>
        <w:noBreakHyphen/>
        <w:t xml:space="preserve">elle lorsqu’un tribunal exerce son pouvoir discrétionnaire d’annuler des arriérés de pension alimentaire pour enfants? - Les tribunaux incitent-ils les débiteurs à ne pas verser les sommes payables au titre d’une pension alimentaire en permettant l’annulation d’arriérés impayés? - </w:t>
      </w:r>
      <w:r w:rsidRPr="0081448E">
        <w:rPr>
          <w:i/>
          <w:sz w:val="20"/>
          <w:szCs w:val="20"/>
          <w:lang w:val="fr-CA"/>
        </w:rPr>
        <w:t>Loi sur le divorce</w:t>
      </w:r>
      <w:r w:rsidRPr="0081448E">
        <w:rPr>
          <w:sz w:val="20"/>
          <w:szCs w:val="20"/>
          <w:lang w:val="fr-CA"/>
        </w:rPr>
        <w:t>, L.R.C. 1985, ch. 3 (2</w:t>
      </w:r>
      <w:r w:rsidRPr="0081448E">
        <w:rPr>
          <w:sz w:val="20"/>
          <w:szCs w:val="20"/>
          <w:vertAlign w:val="superscript"/>
          <w:lang w:val="fr-CA"/>
        </w:rPr>
        <w:t>e</w:t>
      </w:r>
      <w:r w:rsidRPr="0081448E">
        <w:rPr>
          <w:sz w:val="20"/>
          <w:szCs w:val="20"/>
          <w:lang w:val="fr-CA"/>
        </w:rPr>
        <w:t xml:space="preserve"> suppl.), art. 17.</w:t>
      </w:r>
    </w:p>
    <w:p w:rsidR="00477D76" w:rsidRPr="0081448E" w:rsidRDefault="00477D76" w:rsidP="00477D76">
      <w:pPr>
        <w:widowControl w:val="0"/>
        <w:jc w:val="both"/>
        <w:rPr>
          <w:sz w:val="20"/>
          <w:szCs w:val="20"/>
          <w:lang w:val="fr-CA"/>
        </w:rPr>
      </w:pPr>
    </w:p>
    <w:p w:rsidR="00477D76" w:rsidRPr="0081448E" w:rsidRDefault="00477D76" w:rsidP="00477D76">
      <w:pPr>
        <w:jc w:val="both"/>
        <w:rPr>
          <w:sz w:val="20"/>
          <w:szCs w:val="20"/>
          <w:lang w:val="fr-CA"/>
        </w:rPr>
      </w:pPr>
      <w:r w:rsidRPr="0081448E">
        <w:rPr>
          <w:sz w:val="20"/>
          <w:szCs w:val="20"/>
          <w:lang w:val="fr-CA"/>
        </w:rPr>
        <w:t>L’appelant et l’intimée se sont mariés en 1983 et se sont divorcés en 1996. Ils ont deux enfants. Le jugement de divorce des parties, en date de mai 1996, prévoyait que l’intimée aurait la garde des enfants et obligeait l’appelant à verser une pension alimentaire pour enfants de 115 $ par semaine par enfant. Les obligations alimentaires de l’appelant à l’égard des enfants ont cessé en 2012. En 2012, l’appelant devait des arriérés importants et son revenu imposable s’est mis à baisser à compter de 1997. Les arriérés de pension alimentaire pour enfants et les intérêts totalisaient plus de 170 000 $.</w:t>
      </w:r>
    </w:p>
    <w:p w:rsidR="00477D76" w:rsidRPr="0081448E" w:rsidRDefault="00477D76" w:rsidP="00477D76">
      <w:pPr>
        <w:jc w:val="both"/>
        <w:rPr>
          <w:sz w:val="20"/>
          <w:szCs w:val="20"/>
          <w:lang w:val="fr-CA"/>
        </w:rPr>
      </w:pPr>
    </w:p>
    <w:p w:rsidR="00477D76" w:rsidRPr="0081448E" w:rsidRDefault="00477D76" w:rsidP="00477D76">
      <w:pPr>
        <w:jc w:val="both"/>
        <w:rPr>
          <w:sz w:val="20"/>
          <w:szCs w:val="20"/>
          <w:lang w:val="fr-CA"/>
        </w:rPr>
      </w:pPr>
      <w:r w:rsidRPr="0081448E">
        <w:rPr>
          <w:sz w:val="20"/>
          <w:szCs w:val="20"/>
          <w:lang w:val="fr-CA"/>
        </w:rPr>
        <w:t>En 2016, l’appelant a présenté une motion pour faire modifier rétroactivement la pension alimentaire pour enfants, fixer les arriérés de pension alimentaire pour enfants, s’il en est, et déterminer les versements de ces arriérés en fonction de son revenu. Le juge saisi de la motion a recalculé les arriérés dus et les a réduits à 41 642 $. La Cour d’appel a accueilli l’appel en partie et a annulé le paragraphe de l’ordonnance du juge de première instance qui réduisait les arriérés dus. L’appel incident de la condamnation aux dépens interjeté par l’appelant a été rejeté.</w:t>
      </w:r>
    </w:p>
    <w:p w:rsidR="00477D76" w:rsidRPr="0081448E" w:rsidRDefault="00477D76" w:rsidP="00477D76">
      <w:pPr>
        <w:widowControl w:val="0"/>
        <w:rPr>
          <w:sz w:val="20"/>
          <w:lang w:val="fr-CA"/>
        </w:rPr>
      </w:pPr>
    </w:p>
    <w:p w:rsidR="00477D76" w:rsidRPr="0081448E" w:rsidRDefault="00DC444A" w:rsidP="00477D76">
      <w:pPr>
        <w:widowControl w:val="0"/>
        <w:rPr>
          <w:sz w:val="20"/>
          <w:szCs w:val="20"/>
          <w:lang w:val="fr-CA"/>
        </w:rPr>
      </w:pPr>
      <w:r>
        <w:rPr>
          <w:sz w:val="20"/>
        </w:rPr>
        <w:pict>
          <v:rect id="_x0000_i1052" style="width:2in;height:1pt" o:hrpct="0" o:hralign="center" o:hrstd="t" o:hrnoshade="t" o:hr="t" fillcolor="black [3213]" stroked="f"/>
        </w:pict>
      </w:r>
    </w:p>
    <w:p w:rsidR="00477D76" w:rsidRPr="0081448E" w:rsidRDefault="00477D76" w:rsidP="00477D76">
      <w:pPr>
        <w:widowControl w:val="0"/>
        <w:rPr>
          <w:sz w:val="20"/>
          <w:szCs w:val="20"/>
          <w:lang w:val="fr-CA"/>
        </w:rPr>
      </w:pPr>
    </w:p>
    <w:p w:rsidR="00477D76" w:rsidRPr="0081448E" w:rsidRDefault="00477D76" w:rsidP="00477D76">
      <w:pPr>
        <w:widowControl w:val="0"/>
        <w:ind w:left="720" w:hanging="720"/>
        <w:jc w:val="both"/>
        <w:rPr>
          <w:b/>
          <w:i/>
          <w:sz w:val="20"/>
          <w:szCs w:val="20"/>
        </w:rPr>
      </w:pPr>
      <w:r w:rsidRPr="0081448E">
        <w:rPr>
          <w:b/>
          <w:sz w:val="20"/>
          <w:szCs w:val="20"/>
        </w:rPr>
        <w:fldChar w:fldCharType="begin"/>
      </w:r>
      <w:r w:rsidRPr="0081448E">
        <w:rPr>
          <w:b/>
          <w:sz w:val="20"/>
          <w:szCs w:val="20"/>
        </w:rPr>
        <w:instrText xml:space="preserve"> SEQ CHAPTER \h \r 1</w:instrText>
      </w:r>
      <w:r w:rsidRPr="0081448E">
        <w:rPr>
          <w:b/>
          <w:sz w:val="20"/>
          <w:szCs w:val="20"/>
        </w:rPr>
        <w:fldChar w:fldCharType="end"/>
      </w:r>
      <w:r w:rsidRPr="0081448E">
        <w:rPr>
          <w:b/>
          <w:sz w:val="20"/>
          <w:szCs w:val="20"/>
        </w:rPr>
        <w:t>39019</w:t>
      </w:r>
      <w:r w:rsidRPr="0081448E">
        <w:rPr>
          <w:sz w:val="20"/>
          <w:szCs w:val="20"/>
        </w:rPr>
        <w:tab/>
      </w:r>
      <w:r w:rsidRPr="0081448E">
        <w:rPr>
          <w:b/>
          <w:i/>
          <w:sz w:val="20"/>
          <w:szCs w:val="20"/>
        </w:rPr>
        <w:t>Her Majesty the Queen v. David Roy Langan</w:t>
      </w:r>
    </w:p>
    <w:p w:rsidR="00477D76" w:rsidRPr="0081448E" w:rsidRDefault="00477D76" w:rsidP="00477D76">
      <w:pPr>
        <w:widowControl w:val="0"/>
        <w:ind w:left="720"/>
        <w:jc w:val="both"/>
        <w:rPr>
          <w:sz w:val="20"/>
          <w:szCs w:val="20"/>
        </w:rPr>
      </w:pPr>
      <w:r w:rsidRPr="0081448E">
        <w:rPr>
          <w:sz w:val="20"/>
          <w:szCs w:val="20"/>
        </w:rPr>
        <w:t>(B.C.) (Criminal) (As of Right)</w:t>
      </w:r>
    </w:p>
    <w:p w:rsidR="00477D76" w:rsidRPr="0081448E" w:rsidRDefault="00477D76" w:rsidP="00477D76">
      <w:pPr>
        <w:widowControl w:val="0"/>
        <w:jc w:val="both"/>
        <w:rPr>
          <w:sz w:val="20"/>
          <w:szCs w:val="20"/>
        </w:rPr>
      </w:pPr>
    </w:p>
    <w:p w:rsidR="00477D76" w:rsidRPr="0081448E" w:rsidRDefault="00477D76" w:rsidP="00477D76">
      <w:pPr>
        <w:widowControl w:val="0"/>
        <w:jc w:val="both"/>
        <w:rPr>
          <w:smallCaps/>
          <w:sz w:val="20"/>
          <w:szCs w:val="20"/>
        </w:rPr>
      </w:pPr>
      <w:r w:rsidRPr="0081448E">
        <w:rPr>
          <w:smallCaps/>
          <w:sz w:val="20"/>
          <w:szCs w:val="20"/>
        </w:rPr>
        <w:t>(Publication ban in case)</w:t>
      </w:r>
    </w:p>
    <w:p w:rsidR="00477D76" w:rsidRPr="0081448E" w:rsidRDefault="00477D76" w:rsidP="00477D76">
      <w:pPr>
        <w:widowControl w:val="0"/>
        <w:jc w:val="both"/>
        <w:rPr>
          <w:sz w:val="20"/>
          <w:szCs w:val="20"/>
        </w:rPr>
      </w:pPr>
    </w:p>
    <w:p w:rsidR="00477D76" w:rsidRPr="0081448E" w:rsidRDefault="00477D76" w:rsidP="00477D76">
      <w:pPr>
        <w:widowControl w:val="0"/>
        <w:jc w:val="both"/>
        <w:rPr>
          <w:sz w:val="20"/>
          <w:szCs w:val="20"/>
        </w:rPr>
      </w:pPr>
      <w:r w:rsidRPr="0081448E">
        <w:rPr>
          <w:sz w:val="20"/>
          <w:szCs w:val="20"/>
        </w:rPr>
        <w:t xml:space="preserve">Criminal law - Evidence - Admissibility and use of text messages exchanged before and after alleged offence - </w:t>
      </w:r>
      <w:r w:rsidRPr="0081448E">
        <w:rPr>
          <w:i/>
          <w:sz w:val="20"/>
          <w:szCs w:val="20"/>
        </w:rPr>
        <w:t xml:space="preserve">W.(D.) </w:t>
      </w:r>
      <w:r w:rsidRPr="0081448E">
        <w:rPr>
          <w:sz w:val="20"/>
          <w:szCs w:val="20"/>
        </w:rPr>
        <w:t xml:space="preserve">analysis - Sufficiency of reasons - Whether the trial judge erred in law by (1) using the text messages exchanged after the alleged offence to bolster the complainant’s testimony in a manner that is prohibited pursuant to the law governing the use of prior consistent statements, (2) failing to hold a </w:t>
      </w:r>
      <w:r w:rsidRPr="0081448E">
        <w:rPr>
          <w:i/>
          <w:sz w:val="20"/>
          <w:szCs w:val="20"/>
        </w:rPr>
        <w:t>voir dire</w:t>
      </w:r>
      <w:r w:rsidRPr="0081448E">
        <w:rPr>
          <w:sz w:val="20"/>
          <w:szCs w:val="20"/>
        </w:rPr>
        <w:t xml:space="preserve"> to determine whether the text messages exchanged prior to the alleged offence, together with other relationship evidence, were admissible pursuant to s. 276 of the </w:t>
      </w:r>
      <w:r w:rsidRPr="0081448E">
        <w:rPr>
          <w:i/>
          <w:sz w:val="20"/>
          <w:szCs w:val="20"/>
        </w:rPr>
        <w:t>Criminal Code</w:t>
      </w:r>
      <w:r w:rsidRPr="0081448E">
        <w:rPr>
          <w:sz w:val="20"/>
          <w:szCs w:val="20"/>
        </w:rPr>
        <w:t xml:space="preserve"> and/or the principles in </w:t>
      </w:r>
      <w:r w:rsidRPr="0081448E">
        <w:rPr>
          <w:i/>
          <w:sz w:val="20"/>
          <w:szCs w:val="20"/>
        </w:rPr>
        <w:t>R. v. Seaboyer</w:t>
      </w:r>
      <w:r w:rsidRPr="0081448E">
        <w:rPr>
          <w:sz w:val="20"/>
          <w:szCs w:val="20"/>
        </w:rPr>
        <w:t xml:space="preserve">, [1991] 2 S.C.R. 577, and (3) failing to properly apply the principles in </w:t>
      </w:r>
      <w:r w:rsidRPr="0081448E">
        <w:rPr>
          <w:i/>
          <w:sz w:val="20"/>
          <w:szCs w:val="20"/>
        </w:rPr>
        <w:t>R. v. W.(D.)</w:t>
      </w:r>
      <w:r w:rsidRPr="0081448E">
        <w:rPr>
          <w:sz w:val="20"/>
          <w:szCs w:val="20"/>
        </w:rPr>
        <w:t xml:space="preserve">, [1991] 1 S.C.R. 742, and concomitantly failing to provide sufficient reasons in relation to the application of the </w:t>
      </w:r>
      <w:r w:rsidRPr="0081448E">
        <w:rPr>
          <w:i/>
          <w:sz w:val="20"/>
          <w:szCs w:val="20"/>
        </w:rPr>
        <w:t>W.(D.)</w:t>
      </w:r>
      <w:r w:rsidRPr="0081448E">
        <w:rPr>
          <w:sz w:val="20"/>
          <w:szCs w:val="20"/>
        </w:rPr>
        <w:t xml:space="preserve"> principles.</w:t>
      </w:r>
    </w:p>
    <w:p w:rsidR="00477D76" w:rsidRPr="0081448E" w:rsidRDefault="00477D76" w:rsidP="00477D76">
      <w:pPr>
        <w:widowControl w:val="0"/>
        <w:jc w:val="both"/>
        <w:rPr>
          <w:sz w:val="20"/>
          <w:szCs w:val="20"/>
        </w:rPr>
      </w:pPr>
    </w:p>
    <w:p w:rsidR="00477D76" w:rsidRPr="0081448E" w:rsidRDefault="00477D76">
      <w:pPr>
        <w:rPr>
          <w:sz w:val="20"/>
          <w:szCs w:val="20"/>
        </w:rPr>
      </w:pPr>
      <w:r w:rsidRPr="0081448E">
        <w:rPr>
          <w:sz w:val="20"/>
          <w:szCs w:val="20"/>
        </w:rPr>
        <w:br w:type="page"/>
      </w:r>
    </w:p>
    <w:p w:rsidR="00477D76" w:rsidRPr="0081448E" w:rsidRDefault="00477D76" w:rsidP="00477D76">
      <w:pPr>
        <w:widowControl w:val="0"/>
        <w:jc w:val="both"/>
        <w:rPr>
          <w:sz w:val="20"/>
        </w:rPr>
      </w:pPr>
      <w:r w:rsidRPr="0081448E">
        <w:rPr>
          <w:sz w:val="20"/>
          <w:szCs w:val="20"/>
        </w:rPr>
        <w:lastRenderedPageBreak/>
        <w:t xml:space="preserve">At trial, the respondent, Mr. Langan, was convicted of sexual assault contrary to s. 271 of the </w:t>
      </w:r>
      <w:r w:rsidRPr="0081448E">
        <w:rPr>
          <w:i/>
          <w:sz w:val="20"/>
          <w:szCs w:val="20"/>
        </w:rPr>
        <w:t>Criminal Code</w:t>
      </w:r>
      <w:r w:rsidRPr="0081448E">
        <w:rPr>
          <w:sz w:val="20"/>
          <w:szCs w:val="20"/>
        </w:rPr>
        <w:t xml:space="preserve">. The trial judge admitted into evidence numerous text messages between the complainant and the accused, send both before and after the alleged offence. A majority of the British Columbia Court of Appeal allowed Mr. Langan’s appeal, set aside the conviction and ordered a new trial. In the majority’s view, the trial judge erred by using the text messages as prior consistent statements to corroborate the complainant’s evidence, and his brief reasons revealed an error in his approach to </w:t>
      </w:r>
      <w:r w:rsidRPr="0081448E">
        <w:rPr>
          <w:i/>
          <w:sz w:val="20"/>
          <w:szCs w:val="20"/>
        </w:rPr>
        <w:t>W.(D.)</w:t>
      </w:r>
      <w:r w:rsidRPr="0081448E">
        <w:rPr>
          <w:sz w:val="20"/>
          <w:szCs w:val="20"/>
        </w:rPr>
        <w:t xml:space="preserve">. Both errors warranted a new trial. The majority was also of the view that the text messages preceding the event ought to have been subjected to a s. 276 </w:t>
      </w:r>
      <w:r w:rsidRPr="0081448E">
        <w:rPr>
          <w:i/>
          <w:sz w:val="20"/>
          <w:szCs w:val="20"/>
        </w:rPr>
        <w:t>voir dire</w:t>
      </w:r>
      <w:r w:rsidRPr="0081448E">
        <w:rPr>
          <w:sz w:val="20"/>
          <w:szCs w:val="20"/>
        </w:rPr>
        <w:t xml:space="preserve"> to determine its relevance. In dissent, Chief Justice Bauman would have dismissed the appeal and upheld the conviction as, in his view, the trial judge’s reasons displayed no errors of law. The trial judge made no error of law in admitting or using the text messages sent before and after the event in question: the “post-visit” text messages were not admitted or improperly used as prior consistent statements, and the “pre-visit” text messages were not presumptively inadmissible and no </w:t>
      </w:r>
      <w:r w:rsidRPr="0081448E">
        <w:rPr>
          <w:i/>
          <w:sz w:val="20"/>
          <w:szCs w:val="20"/>
        </w:rPr>
        <w:t>voir dire</w:t>
      </w:r>
      <w:r w:rsidRPr="0081448E">
        <w:rPr>
          <w:sz w:val="20"/>
          <w:szCs w:val="20"/>
        </w:rPr>
        <w:t xml:space="preserve"> was required on the latter. In Chief Justice Bauman’s opinion, the trial judge’s reasons were sufficient to support meaningful appellate review.</w:t>
      </w:r>
    </w:p>
    <w:p w:rsidR="00477D76" w:rsidRPr="0081448E" w:rsidRDefault="00477D76" w:rsidP="00477D76">
      <w:pPr>
        <w:widowControl w:val="0"/>
        <w:jc w:val="both"/>
        <w:rPr>
          <w:sz w:val="20"/>
        </w:rPr>
      </w:pPr>
    </w:p>
    <w:p w:rsidR="00477D76" w:rsidRPr="0081448E" w:rsidRDefault="00DC444A" w:rsidP="00477D76">
      <w:pPr>
        <w:widowControl w:val="0"/>
        <w:jc w:val="both"/>
        <w:rPr>
          <w:sz w:val="20"/>
        </w:rPr>
      </w:pPr>
      <w:r>
        <w:rPr>
          <w:sz w:val="20"/>
        </w:rPr>
        <w:pict>
          <v:rect id="_x0000_i1053" style="width:2in;height:1pt" o:hrpct="0" o:hralign="center" o:hrstd="t" o:hrnoshade="t" o:hr="t" fillcolor="black [3213]" stroked="f"/>
        </w:pict>
      </w:r>
    </w:p>
    <w:p w:rsidR="00477D76" w:rsidRPr="0081448E" w:rsidRDefault="00477D76" w:rsidP="00477D76">
      <w:pPr>
        <w:widowControl w:val="0"/>
        <w:jc w:val="both"/>
        <w:rPr>
          <w:sz w:val="20"/>
          <w:szCs w:val="20"/>
        </w:rPr>
      </w:pPr>
    </w:p>
    <w:p w:rsidR="00477D76" w:rsidRPr="0081448E" w:rsidRDefault="00477D76" w:rsidP="00477D76">
      <w:pPr>
        <w:widowControl w:val="0"/>
        <w:ind w:left="720" w:hanging="720"/>
        <w:jc w:val="both"/>
        <w:rPr>
          <w:b/>
          <w:i/>
          <w:sz w:val="20"/>
          <w:szCs w:val="20"/>
          <w:lang w:val="fr-CA"/>
        </w:rPr>
      </w:pPr>
      <w:r w:rsidRPr="0081448E">
        <w:rPr>
          <w:b/>
          <w:sz w:val="20"/>
          <w:szCs w:val="20"/>
          <w:lang w:val="fr-CA"/>
        </w:rPr>
        <w:fldChar w:fldCharType="begin"/>
      </w:r>
      <w:r w:rsidRPr="0081448E">
        <w:rPr>
          <w:b/>
          <w:sz w:val="20"/>
          <w:szCs w:val="20"/>
          <w:lang w:val="fr-CA"/>
        </w:rPr>
        <w:instrText xml:space="preserve"> SEQ CHAPTER \h \r 1</w:instrText>
      </w:r>
      <w:r w:rsidRPr="0081448E">
        <w:rPr>
          <w:b/>
          <w:sz w:val="20"/>
          <w:szCs w:val="20"/>
          <w:lang w:val="fr-CA"/>
        </w:rPr>
        <w:fldChar w:fldCharType="end"/>
      </w:r>
      <w:r w:rsidRPr="0081448E">
        <w:rPr>
          <w:b/>
          <w:sz w:val="20"/>
          <w:szCs w:val="20"/>
          <w:lang w:val="fr-CA"/>
        </w:rPr>
        <w:t>39019</w:t>
      </w:r>
      <w:r w:rsidRPr="0081448E">
        <w:rPr>
          <w:sz w:val="20"/>
          <w:szCs w:val="20"/>
          <w:lang w:val="fr-CA"/>
        </w:rPr>
        <w:tab/>
      </w:r>
      <w:r w:rsidRPr="0081448E">
        <w:rPr>
          <w:b/>
          <w:i/>
          <w:sz w:val="20"/>
          <w:szCs w:val="20"/>
          <w:lang w:val="fr-CA"/>
        </w:rPr>
        <w:t>Sa Majesté la Reine c. David Roy Langan</w:t>
      </w:r>
    </w:p>
    <w:p w:rsidR="00477D76" w:rsidRPr="0081448E" w:rsidRDefault="00477D76" w:rsidP="00477D76">
      <w:pPr>
        <w:widowControl w:val="0"/>
        <w:ind w:left="720"/>
        <w:jc w:val="both"/>
        <w:rPr>
          <w:sz w:val="20"/>
          <w:szCs w:val="20"/>
          <w:lang w:val="fr-CA"/>
        </w:rPr>
      </w:pPr>
      <w:r w:rsidRPr="0081448E">
        <w:rPr>
          <w:sz w:val="20"/>
          <w:szCs w:val="20"/>
          <w:lang w:val="fr-CA"/>
        </w:rPr>
        <w:t>(C.-B.) (Criminelle) (De plein droit)</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mallCaps/>
          <w:sz w:val="20"/>
          <w:szCs w:val="20"/>
          <w:lang w:val="fr-CA"/>
        </w:rPr>
      </w:pPr>
      <w:r w:rsidRPr="0081448E">
        <w:rPr>
          <w:smallCaps/>
          <w:sz w:val="20"/>
          <w:szCs w:val="20"/>
          <w:lang w:val="fr-CA"/>
        </w:rPr>
        <w:t>(Ordonnance de non-publication dans le dossier)</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 xml:space="preserve">Droit criminel - Preuve - Admissibilité et utilisation de messages textes échangés avant et après l’infraction alléguée - Analyse décrite dans l’arrêt </w:t>
      </w:r>
      <w:r w:rsidRPr="0081448E">
        <w:rPr>
          <w:i/>
          <w:sz w:val="20"/>
          <w:szCs w:val="20"/>
          <w:lang w:val="fr-CA"/>
        </w:rPr>
        <w:t xml:space="preserve">W.(D.) </w:t>
      </w:r>
      <w:r w:rsidRPr="0081448E">
        <w:rPr>
          <w:sz w:val="20"/>
          <w:szCs w:val="20"/>
          <w:lang w:val="fr-CA"/>
        </w:rPr>
        <w:t xml:space="preserve">- Suffisance des motifs - Le juge du procès a-t-il commis une erreur de droit (1) en utilisant les messages textes échangés après l’infraction alléguée pour renforcer le témoignage de la plaignante d’une manière interdite par le droit régissant l’utilisation de déclarations antérieures compatibles, (2) en ne tenant pas de voir-dire pour déterminer si les messages textes échangés avant l’infraction alléguée, conjugués à d’autres éléments de preuve d’une relation, étaient admissibles en vertu de l’art. 276 du </w:t>
      </w:r>
      <w:r w:rsidRPr="0081448E">
        <w:rPr>
          <w:i/>
          <w:sz w:val="20"/>
          <w:szCs w:val="20"/>
          <w:lang w:val="fr-CA"/>
        </w:rPr>
        <w:t xml:space="preserve">Code criminel </w:t>
      </w:r>
      <w:r w:rsidRPr="0081448E">
        <w:rPr>
          <w:sz w:val="20"/>
          <w:szCs w:val="20"/>
          <w:lang w:val="fr-CA"/>
        </w:rPr>
        <w:t xml:space="preserve">ou des principes énoncés dans </w:t>
      </w:r>
      <w:r w:rsidRPr="0081448E">
        <w:rPr>
          <w:i/>
          <w:sz w:val="20"/>
          <w:szCs w:val="20"/>
          <w:lang w:val="fr-CA"/>
        </w:rPr>
        <w:t>R. c. Seaboyer</w:t>
      </w:r>
      <w:r w:rsidRPr="0081448E">
        <w:rPr>
          <w:sz w:val="20"/>
          <w:szCs w:val="20"/>
          <w:lang w:val="fr-CA"/>
        </w:rPr>
        <w:t xml:space="preserve">, [1991] 2 R.C.S. 577, et (3) en n’appliquant pas correctement les principes énoncés dans </w:t>
      </w:r>
      <w:r w:rsidRPr="0081448E">
        <w:rPr>
          <w:i/>
          <w:sz w:val="20"/>
          <w:szCs w:val="20"/>
          <w:lang w:val="fr-CA"/>
        </w:rPr>
        <w:t>R. c. W.(D.)</w:t>
      </w:r>
      <w:r w:rsidRPr="0081448E">
        <w:rPr>
          <w:sz w:val="20"/>
          <w:szCs w:val="20"/>
          <w:lang w:val="fr-CA"/>
        </w:rPr>
        <w:t xml:space="preserve">, [1991] 1 R.C.S. 742, et en ne fournissant pas en même temps des motifs suffisants en lien avec l’application des principes énoncés dans </w:t>
      </w:r>
      <w:r w:rsidRPr="0081448E">
        <w:rPr>
          <w:i/>
          <w:sz w:val="20"/>
          <w:szCs w:val="20"/>
          <w:lang w:val="fr-CA"/>
        </w:rPr>
        <w:t>W.(D.)</w:t>
      </w:r>
      <w:r w:rsidRPr="0081448E">
        <w:rPr>
          <w:sz w:val="20"/>
          <w:szCs w:val="20"/>
          <w:lang w:val="fr-CA"/>
        </w:rPr>
        <w:t>?</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 xml:space="preserve">Au procès, l’intimé, M. Langan, a été déclaré coupable d’agression sexuelle, infraction décrite à l’art. 271 du </w:t>
      </w:r>
      <w:r w:rsidRPr="0081448E">
        <w:rPr>
          <w:i/>
          <w:sz w:val="20"/>
          <w:szCs w:val="20"/>
          <w:lang w:val="fr-CA"/>
        </w:rPr>
        <w:t>Code criminel</w:t>
      </w:r>
      <w:r w:rsidRPr="0081448E">
        <w:rPr>
          <w:sz w:val="20"/>
          <w:szCs w:val="20"/>
          <w:lang w:val="fr-CA"/>
        </w:rPr>
        <w:t xml:space="preserve">. Le juge du procès a admis en preuve plusieurs messages textes que se sont envoyés la plaignante et l’accusé avant et après l’infraction alléguée. Les juges majoritaires de la Cour suprême de la Colombie-Britannique ont accueilli l’appel de M. Langan, annulé la déclaration de culpabilité et ordonné la tenue d’un nouveau procès. De l’avis des juges majoritaires, le juge de première instance a commis une erreur en utilisant les messages textes en tant que déclarations antérieures compatibles pour corroborer le témoignage de la plaignante et ses brefs motifs ont révélé une erreur dans son application de </w:t>
      </w:r>
      <w:r w:rsidRPr="0081448E">
        <w:rPr>
          <w:i/>
          <w:sz w:val="20"/>
          <w:szCs w:val="20"/>
          <w:lang w:val="fr-CA"/>
        </w:rPr>
        <w:t>W.(D.)</w:t>
      </w:r>
      <w:r w:rsidRPr="0081448E">
        <w:rPr>
          <w:sz w:val="20"/>
          <w:szCs w:val="20"/>
          <w:lang w:val="fr-CA"/>
        </w:rPr>
        <w:t>. Les deux erreurs justifiaient la tenue d’un nouveau procès. Les juges majoritaires étaient également d’avis que les messages textes qui précédaient l’événement auraient dû faire l’objet d’un voir-dire en application de l’art. 276 pour déterminer leur pertinence. Le juge en chef Bauman, dissident, aurait rejeté l’appel et confirmé la déclaration de culpabilité, puisqu’à son avis, les motifs du juge de première instance ne présentaient aucune erreur de droit. Le juge de première instance n’a commis aucune erreur de droit en admettant ou en utilisant les messages textes envoyés avant et après l’événement en question : les messages textes « postérieurs à la visite » n’ont pas été admis ou utilisés à tort en tant que déclarations antérieures compatibles et les messages textes « antérieurs à la visite » n’étaient pas présumés inadmissibles, si bien qu’aucun voir-dire n’était nécessaire pour ce qui était de ces messages. De l’avis du juge en chef Bauman, les motifs du juge de première instance étaient suffisants pour permettre un examen valable en appel.</w:t>
      </w:r>
    </w:p>
    <w:p w:rsidR="00477D76" w:rsidRPr="0081448E" w:rsidRDefault="00477D76" w:rsidP="00477D76">
      <w:pPr>
        <w:widowControl w:val="0"/>
        <w:rPr>
          <w:sz w:val="20"/>
          <w:lang w:val="fr-CA"/>
        </w:rPr>
      </w:pPr>
    </w:p>
    <w:p w:rsidR="00477D76" w:rsidRPr="0081448E" w:rsidRDefault="00DC444A" w:rsidP="00477D76">
      <w:pPr>
        <w:widowControl w:val="0"/>
        <w:rPr>
          <w:sz w:val="20"/>
          <w:szCs w:val="20"/>
          <w:lang w:val="fr-CA"/>
        </w:rPr>
      </w:pPr>
      <w:r>
        <w:rPr>
          <w:sz w:val="20"/>
        </w:rPr>
        <w:pict>
          <v:rect id="_x0000_i1054" style="width:2in;height:1pt" o:hrpct="0" o:hralign="center" o:hrstd="t" o:hrnoshade="t" o:hr="t" fillcolor="black [3213]" stroked="f"/>
        </w:pict>
      </w:r>
    </w:p>
    <w:p w:rsidR="00477D76" w:rsidRPr="0081448E" w:rsidRDefault="00477D76" w:rsidP="00477D76">
      <w:pPr>
        <w:widowControl w:val="0"/>
        <w:rPr>
          <w:sz w:val="20"/>
          <w:szCs w:val="20"/>
          <w:lang w:val="fr-CA"/>
        </w:rPr>
      </w:pPr>
    </w:p>
    <w:p w:rsidR="00477D76" w:rsidRPr="0081448E" w:rsidRDefault="00477D76">
      <w:pPr>
        <w:rPr>
          <w:b/>
          <w:sz w:val="20"/>
          <w:szCs w:val="20"/>
        </w:rPr>
      </w:pPr>
      <w:r w:rsidRPr="0081448E">
        <w:rPr>
          <w:b/>
          <w:sz w:val="20"/>
          <w:szCs w:val="20"/>
        </w:rPr>
        <w:br w:type="page"/>
      </w:r>
    </w:p>
    <w:p w:rsidR="00477D76" w:rsidRPr="0081448E" w:rsidRDefault="00477D76" w:rsidP="00477D76">
      <w:pPr>
        <w:widowControl w:val="0"/>
        <w:ind w:left="709" w:hanging="709"/>
        <w:jc w:val="both"/>
        <w:rPr>
          <w:b/>
          <w:i/>
          <w:sz w:val="20"/>
          <w:szCs w:val="20"/>
        </w:rPr>
      </w:pPr>
      <w:r w:rsidRPr="0081448E">
        <w:rPr>
          <w:b/>
          <w:sz w:val="20"/>
          <w:szCs w:val="20"/>
        </w:rPr>
        <w:lastRenderedPageBreak/>
        <w:fldChar w:fldCharType="begin"/>
      </w:r>
      <w:r w:rsidRPr="0081448E">
        <w:rPr>
          <w:b/>
          <w:sz w:val="20"/>
          <w:szCs w:val="20"/>
        </w:rPr>
        <w:instrText xml:space="preserve"> SEQ CHAPTER \h \r 1</w:instrText>
      </w:r>
      <w:r w:rsidRPr="0081448E">
        <w:rPr>
          <w:b/>
          <w:sz w:val="20"/>
          <w:szCs w:val="20"/>
        </w:rPr>
        <w:fldChar w:fldCharType="end"/>
      </w:r>
      <w:r w:rsidRPr="0081448E">
        <w:rPr>
          <w:b/>
          <w:sz w:val="20"/>
          <w:szCs w:val="20"/>
        </w:rPr>
        <w:t>38962</w:t>
      </w:r>
      <w:r w:rsidRPr="0081448E">
        <w:rPr>
          <w:sz w:val="20"/>
          <w:szCs w:val="20"/>
        </w:rPr>
        <w:tab/>
      </w:r>
      <w:r w:rsidRPr="0081448E">
        <w:rPr>
          <w:b/>
          <w:i/>
          <w:sz w:val="20"/>
          <w:szCs w:val="20"/>
        </w:rPr>
        <w:t>Her Majesty the Queen v. Monty Shane Kishayinew</w:t>
      </w:r>
    </w:p>
    <w:p w:rsidR="00477D76" w:rsidRPr="0081448E" w:rsidRDefault="00477D76" w:rsidP="00477D76">
      <w:pPr>
        <w:widowControl w:val="0"/>
        <w:ind w:left="709" w:firstLine="11"/>
        <w:jc w:val="both"/>
        <w:rPr>
          <w:sz w:val="20"/>
          <w:szCs w:val="20"/>
        </w:rPr>
      </w:pPr>
      <w:r w:rsidRPr="0081448E">
        <w:rPr>
          <w:sz w:val="20"/>
          <w:szCs w:val="20"/>
        </w:rPr>
        <w:t>(Sask.) (Criminal) (As of right)</w:t>
      </w:r>
    </w:p>
    <w:p w:rsidR="00477D76" w:rsidRPr="0081448E" w:rsidRDefault="00477D76" w:rsidP="00477D76">
      <w:pPr>
        <w:widowControl w:val="0"/>
        <w:jc w:val="both"/>
        <w:rPr>
          <w:sz w:val="20"/>
          <w:szCs w:val="20"/>
        </w:rPr>
      </w:pPr>
    </w:p>
    <w:p w:rsidR="00477D76" w:rsidRPr="0081448E" w:rsidRDefault="00477D76" w:rsidP="00477D76">
      <w:pPr>
        <w:widowControl w:val="0"/>
        <w:jc w:val="both"/>
        <w:rPr>
          <w:sz w:val="20"/>
          <w:szCs w:val="20"/>
        </w:rPr>
      </w:pPr>
      <w:r w:rsidRPr="0081448E">
        <w:rPr>
          <w:sz w:val="20"/>
          <w:szCs w:val="20"/>
        </w:rPr>
        <w:t>(</w:t>
      </w:r>
      <w:r w:rsidRPr="0081448E">
        <w:rPr>
          <w:smallCaps/>
          <w:sz w:val="20"/>
          <w:szCs w:val="20"/>
        </w:rPr>
        <w:t>Publication Ban</w:t>
      </w:r>
      <w:r w:rsidRPr="0081448E">
        <w:rPr>
          <w:sz w:val="20"/>
          <w:szCs w:val="20"/>
        </w:rPr>
        <w:t>)</w:t>
      </w:r>
    </w:p>
    <w:p w:rsidR="00477D76" w:rsidRPr="0081448E" w:rsidRDefault="00477D76" w:rsidP="00477D76">
      <w:pPr>
        <w:widowControl w:val="0"/>
        <w:jc w:val="both"/>
        <w:rPr>
          <w:sz w:val="20"/>
          <w:szCs w:val="20"/>
        </w:rPr>
      </w:pPr>
    </w:p>
    <w:p w:rsidR="00477D76" w:rsidRPr="0081448E" w:rsidRDefault="00477D76" w:rsidP="00477D76">
      <w:pPr>
        <w:widowControl w:val="0"/>
        <w:jc w:val="both"/>
        <w:rPr>
          <w:sz w:val="20"/>
          <w:szCs w:val="20"/>
        </w:rPr>
      </w:pPr>
      <w:r w:rsidRPr="0081448E">
        <w:rPr>
          <w:sz w:val="20"/>
          <w:szCs w:val="20"/>
        </w:rPr>
        <w:t xml:space="preserve">Criminal law - Sexual assault - Unreasonable verdict - Evidence - Assessment - Reliability - Capacity to consent - Compatibility of findings of fact relating to reliability and capacity to consent with evidence not otherwise contradicted or rejected - Whether the Court of Appeal erred by finding the verdict of guilt was unreasonable within the meaning of s. 686(1)(a)(i) of the </w:t>
      </w:r>
      <w:r w:rsidRPr="0081448E">
        <w:rPr>
          <w:i/>
          <w:sz w:val="20"/>
          <w:szCs w:val="20"/>
        </w:rPr>
        <w:t>Criminal Code</w:t>
      </w:r>
      <w:r w:rsidRPr="0081448E">
        <w:rPr>
          <w:sz w:val="20"/>
          <w:szCs w:val="20"/>
        </w:rPr>
        <w:t xml:space="preserve"> because the trial judge engaged in illogical or irrational reasoning - Whether the Court of Appeal erred by failing to properly apply s. 273.1 of the </w:t>
      </w:r>
      <w:r w:rsidRPr="0081448E">
        <w:rPr>
          <w:i/>
          <w:sz w:val="20"/>
          <w:szCs w:val="20"/>
        </w:rPr>
        <w:t>Criminal Code</w:t>
      </w:r>
      <w:r w:rsidRPr="0081448E">
        <w:rPr>
          <w:sz w:val="20"/>
          <w:szCs w:val="20"/>
        </w:rPr>
        <w:t xml:space="preserve"> (meaning of consent) to the facts as the trial judge found them to be - </w:t>
      </w:r>
      <w:r w:rsidRPr="0081448E">
        <w:rPr>
          <w:i/>
          <w:sz w:val="20"/>
          <w:szCs w:val="20"/>
        </w:rPr>
        <w:t>Criminal Code</w:t>
      </w:r>
      <w:r w:rsidRPr="0081448E">
        <w:rPr>
          <w:sz w:val="20"/>
          <w:szCs w:val="20"/>
        </w:rPr>
        <w:t>, R.S.C. 1985, c. C-46, ss. 273.1 and 686(1)(a)(i).</w:t>
      </w:r>
    </w:p>
    <w:p w:rsidR="00477D76" w:rsidRPr="0081448E" w:rsidRDefault="00477D76" w:rsidP="00477D76">
      <w:pPr>
        <w:widowControl w:val="0"/>
        <w:jc w:val="both"/>
        <w:rPr>
          <w:sz w:val="20"/>
          <w:szCs w:val="20"/>
        </w:rPr>
      </w:pPr>
    </w:p>
    <w:p w:rsidR="00477D76" w:rsidRPr="0081448E" w:rsidRDefault="00477D76" w:rsidP="00477D76">
      <w:pPr>
        <w:widowControl w:val="0"/>
        <w:jc w:val="both"/>
        <w:rPr>
          <w:sz w:val="20"/>
        </w:rPr>
      </w:pPr>
      <w:r w:rsidRPr="0081448E">
        <w:rPr>
          <w:sz w:val="20"/>
          <w:szCs w:val="20"/>
        </w:rPr>
        <w:t xml:space="preserve">At trial, the respondent, Mr. Kishayinew, was convicted of sexual assault and failure to comply with an undertaking (ss. 145(3) and 271 of the </w:t>
      </w:r>
      <w:r w:rsidRPr="0081448E">
        <w:rPr>
          <w:i/>
          <w:sz w:val="20"/>
          <w:szCs w:val="20"/>
        </w:rPr>
        <w:t>Criminal Code</w:t>
      </w:r>
      <w:r w:rsidRPr="0081448E">
        <w:rPr>
          <w:sz w:val="20"/>
          <w:szCs w:val="20"/>
        </w:rPr>
        <w:t xml:space="preserve">) and was sentenced to 4.5 years in prison. A majority of the Saskatchewan Court of Appeal allowed Mr. Kishayinew’s appeal from conviction, set aside the convictions and ordered a new trial. In the majority’s view, the trial judge erred by making findings of fact essential to the verdict that were incompatible with evidence that was not otherwise contradicted or rejected, leading to an unreasonable verdict within the meaning of s. 686(1)(a)(i) of the </w:t>
      </w:r>
      <w:r w:rsidRPr="0081448E">
        <w:rPr>
          <w:i/>
          <w:sz w:val="20"/>
          <w:szCs w:val="20"/>
        </w:rPr>
        <w:t>Criminal Code</w:t>
      </w:r>
      <w:r w:rsidRPr="0081448E">
        <w:rPr>
          <w:sz w:val="20"/>
          <w:szCs w:val="20"/>
        </w:rPr>
        <w:t>. The majority found that the trial judge’s reasons reflected an implicit finding of fact that the complainant was reliable and lacked capacity to consent, findings that were incompatible with important evidence given by the complainant as to her intoxication. In dissent, Tholl J.A. would have dismissed the appeal against conviction as, in his view, the verdict was not unreasonable. The trial judge examined credibility and reliability and properly arrived at the conclusion that the Crown had proven an absence of consent beyond a reasonable doubt. His conclusion on reliability was reasonably available on the evidence before him and there were no inconsistent or incompatible findings of fact in relation to consent that rendered the verdict unreasonable.</w:t>
      </w:r>
    </w:p>
    <w:p w:rsidR="00477D76" w:rsidRPr="0081448E" w:rsidRDefault="00477D76" w:rsidP="00477D76">
      <w:pPr>
        <w:widowControl w:val="0"/>
        <w:jc w:val="both"/>
        <w:rPr>
          <w:sz w:val="20"/>
        </w:rPr>
      </w:pPr>
    </w:p>
    <w:p w:rsidR="00477D76" w:rsidRPr="0081448E" w:rsidRDefault="00DC444A" w:rsidP="00477D76">
      <w:pPr>
        <w:widowControl w:val="0"/>
        <w:jc w:val="both"/>
        <w:rPr>
          <w:sz w:val="20"/>
        </w:rPr>
      </w:pPr>
      <w:r>
        <w:rPr>
          <w:sz w:val="20"/>
        </w:rPr>
        <w:pict>
          <v:rect id="_x0000_i1055" style="width:2in;height:1pt" o:hrpct="0" o:hralign="center" o:hrstd="t" o:hrnoshade="t" o:hr="t" fillcolor="black [3213]" stroked="f"/>
        </w:pict>
      </w:r>
    </w:p>
    <w:p w:rsidR="00477D76" w:rsidRPr="0081448E" w:rsidRDefault="00477D76" w:rsidP="00477D76">
      <w:pPr>
        <w:widowControl w:val="0"/>
        <w:jc w:val="both"/>
        <w:rPr>
          <w:sz w:val="20"/>
          <w:szCs w:val="20"/>
        </w:rPr>
      </w:pPr>
    </w:p>
    <w:p w:rsidR="00477D76" w:rsidRPr="0081448E" w:rsidRDefault="00477D76" w:rsidP="00477D76">
      <w:pPr>
        <w:widowControl w:val="0"/>
        <w:ind w:left="709" w:hanging="709"/>
        <w:jc w:val="both"/>
        <w:rPr>
          <w:b/>
          <w:i/>
          <w:sz w:val="20"/>
          <w:szCs w:val="20"/>
          <w:lang w:val="fr-CA"/>
        </w:rPr>
      </w:pPr>
      <w:r w:rsidRPr="0081448E">
        <w:rPr>
          <w:b/>
          <w:sz w:val="20"/>
          <w:szCs w:val="20"/>
        </w:rPr>
        <w:fldChar w:fldCharType="begin"/>
      </w:r>
      <w:r w:rsidRPr="0081448E">
        <w:rPr>
          <w:b/>
          <w:sz w:val="20"/>
          <w:szCs w:val="20"/>
          <w:lang w:val="fr-CA"/>
        </w:rPr>
        <w:instrText xml:space="preserve"> SEQ CHAPTER \h \r 1</w:instrText>
      </w:r>
      <w:r w:rsidRPr="0081448E">
        <w:rPr>
          <w:b/>
          <w:sz w:val="20"/>
          <w:szCs w:val="20"/>
        </w:rPr>
        <w:fldChar w:fldCharType="end"/>
      </w:r>
      <w:r w:rsidRPr="0081448E">
        <w:rPr>
          <w:b/>
          <w:sz w:val="20"/>
          <w:szCs w:val="20"/>
          <w:lang w:val="fr-CA"/>
        </w:rPr>
        <w:t>38962</w:t>
      </w:r>
      <w:r w:rsidRPr="0081448E">
        <w:rPr>
          <w:sz w:val="20"/>
          <w:szCs w:val="20"/>
          <w:lang w:val="fr-CA"/>
        </w:rPr>
        <w:tab/>
      </w:r>
      <w:r w:rsidRPr="0081448E">
        <w:rPr>
          <w:b/>
          <w:i/>
          <w:sz w:val="20"/>
          <w:szCs w:val="20"/>
          <w:lang w:val="fr-CA"/>
        </w:rPr>
        <w:t>Sa Majesté la Reine c. Monty Shane Kishayinew</w:t>
      </w:r>
    </w:p>
    <w:p w:rsidR="00477D76" w:rsidRPr="0081448E" w:rsidRDefault="00477D76" w:rsidP="00477D76">
      <w:pPr>
        <w:widowControl w:val="0"/>
        <w:ind w:left="709" w:firstLine="11"/>
        <w:jc w:val="both"/>
        <w:rPr>
          <w:sz w:val="20"/>
          <w:szCs w:val="20"/>
          <w:lang w:val="fr-CA"/>
        </w:rPr>
      </w:pPr>
      <w:r w:rsidRPr="0081448E">
        <w:rPr>
          <w:sz w:val="20"/>
          <w:szCs w:val="20"/>
          <w:lang w:val="fr-CA"/>
        </w:rPr>
        <w:t>(Sask.) (Criminelle) (De plein droit)</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w:t>
      </w:r>
      <w:r w:rsidRPr="0081448E">
        <w:rPr>
          <w:smallCaps/>
          <w:sz w:val="20"/>
          <w:szCs w:val="20"/>
          <w:lang w:val="fr-CA"/>
        </w:rPr>
        <w:t>Ordonnance de non-publication dans le dossier</w:t>
      </w:r>
      <w:r w:rsidRPr="0081448E">
        <w:rPr>
          <w:sz w:val="20"/>
          <w:szCs w:val="20"/>
          <w:lang w:val="fr-CA"/>
        </w:rPr>
        <w:t>)</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 xml:space="preserve">Droit criminel - Agression sexuelle - Verdict déraisonnable - Preuve - Appréciation -Fiabilité - Capacité de donner son consentement - Compatibilité des conclusions de fait relatives à la fiabilité et à la capacité de donner son consentement avec des éléments de preuve non contredits par ailleurs ou rejetés - La Cour d’appel a-t-elle conclu à tort que le verdict de culpabilité était déraisonnable au sens du sous-al. 686(1)a)(i) du </w:t>
      </w:r>
      <w:r w:rsidRPr="0081448E">
        <w:rPr>
          <w:i/>
          <w:sz w:val="20"/>
          <w:szCs w:val="20"/>
          <w:lang w:val="fr-CA"/>
        </w:rPr>
        <w:t>Code criminel</w:t>
      </w:r>
      <w:r w:rsidRPr="0081448E">
        <w:rPr>
          <w:sz w:val="20"/>
          <w:szCs w:val="20"/>
          <w:lang w:val="fr-CA"/>
        </w:rPr>
        <w:t xml:space="preserve"> parce que le juge du procès avait tenu un raisonnement illogique ou irrationnel? - La Cour d’appel a-t-elle commis une erreur en appliquant mal l’art. 273.1 du </w:t>
      </w:r>
      <w:r w:rsidRPr="0081448E">
        <w:rPr>
          <w:i/>
          <w:sz w:val="20"/>
          <w:szCs w:val="20"/>
          <w:lang w:val="fr-CA"/>
        </w:rPr>
        <w:t>Code criminel</w:t>
      </w:r>
      <w:r w:rsidRPr="0081448E">
        <w:rPr>
          <w:sz w:val="20"/>
          <w:szCs w:val="20"/>
          <w:lang w:val="fr-CA"/>
        </w:rPr>
        <w:t xml:space="preserve"> (définition de consentement) aux faits établis par le juge du procès? - </w:t>
      </w:r>
      <w:r w:rsidRPr="0081448E">
        <w:rPr>
          <w:i/>
          <w:sz w:val="20"/>
          <w:szCs w:val="20"/>
          <w:lang w:val="fr-CA"/>
        </w:rPr>
        <w:t>Code criminel</w:t>
      </w:r>
      <w:r w:rsidRPr="0081448E">
        <w:rPr>
          <w:sz w:val="20"/>
          <w:szCs w:val="20"/>
          <w:lang w:val="fr-CA"/>
        </w:rPr>
        <w:t>, L.R.C. 1985, c. C-46, art. 273.1 et 686(1)a)(i).</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 xml:space="preserve">Au procès, l’intimé, M. Kishayinew, a été reconnu coupable d’agression sexuelle et de non-respect d’un engagement (par. 145(3) et art. 271 du </w:t>
      </w:r>
      <w:r w:rsidRPr="0081448E">
        <w:rPr>
          <w:i/>
          <w:sz w:val="20"/>
          <w:szCs w:val="20"/>
          <w:lang w:val="fr-CA"/>
        </w:rPr>
        <w:t>Code criminel</w:t>
      </w:r>
      <w:r w:rsidRPr="0081448E">
        <w:rPr>
          <w:sz w:val="20"/>
          <w:szCs w:val="20"/>
          <w:lang w:val="fr-CA"/>
        </w:rPr>
        <w:t xml:space="preserve">) et il a été condamné à 4,5 ans d’emprisonnement. La majorité de la Cour d’appel de la Saskatchewan a accueilli l’appel formé par M. Kishayinew contre ses déclarations de culpabilité, annulé celles-ci et ordonné la tenue d’un nouveau procès. Selon la majorité, le juge du procès a tiré à tort des conclusions de fait essentielles au verdict qui étaient incompatibles avec des éléments de preuve qui n’ont pas été contredits par ailleurs ou rejetés, ce qui a entraîné un verdict déraisonnable au sens du sous-al. 686(1)a)(i) du </w:t>
      </w:r>
      <w:r w:rsidRPr="0081448E">
        <w:rPr>
          <w:i/>
          <w:sz w:val="20"/>
          <w:szCs w:val="20"/>
          <w:lang w:val="fr-CA"/>
        </w:rPr>
        <w:t>Code criminel</w:t>
      </w:r>
      <w:r w:rsidRPr="0081448E">
        <w:rPr>
          <w:sz w:val="20"/>
          <w:szCs w:val="20"/>
          <w:lang w:val="fr-CA"/>
        </w:rPr>
        <w:t>. La majorité a conclu que les motifs du juge du procès traduisaient une conclusion implicite de fait selon laquelle la plaignante était fiable et n’avait pas la capacité de donner son consentement, des conclusions incompatibles avec un important témoignage qu’a livré la plaignante au sujet de son intoxication. Le juge Tholl, dissident, aurait rejeté l’appel de la déclaration de culpabilité car le verdict ne lui paraissait pas déraisonnable. Le juge du procès s’est penché sur la crédibilité et la fiabilité et il est arrivé à juste titre à la conclusion que le ministère public avait démontré l’absence de consentement hors de tout doute raisonnable. Il pouvait raisonnablement tirer sa conclusion sur la fiabilité au vu de la preuve dont il disposait et il n’y avait aucune incohérence ou incompatibilité entre les conclusions de fait relatives au consentement qui rendaient le verdict déraisonnable.</w:t>
      </w:r>
    </w:p>
    <w:p w:rsidR="00477D76" w:rsidRPr="0081448E" w:rsidRDefault="00477D76" w:rsidP="00477D76">
      <w:pPr>
        <w:widowControl w:val="0"/>
        <w:rPr>
          <w:sz w:val="20"/>
          <w:szCs w:val="20"/>
          <w:lang w:val="fr-CA"/>
        </w:rPr>
      </w:pPr>
    </w:p>
    <w:p w:rsidR="00477D76" w:rsidRPr="0081448E" w:rsidRDefault="00DC444A" w:rsidP="00477D76">
      <w:pPr>
        <w:widowControl w:val="0"/>
        <w:rPr>
          <w:sz w:val="20"/>
          <w:lang w:val="fr-CA"/>
        </w:rPr>
      </w:pPr>
      <w:r>
        <w:rPr>
          <w:sz w:val="20"/>
        </w:rPr>
        <w:pict>
          <v:rect id="_x0000_i1056" style="width:2in;height:1pt" o:hrpct="0" o:hralign="center" o:hrstd="t" o:hrnoshade="t" o:hr="t" fillcolor="black [3213]" stroked="f"/>
        </w:pict>
      </w:r>
    </w:p>
    <w:p w:rsidR="00477D76" w:rsidRPr="0081448E" w:rsidRDefault="00477D76" w:rsidP="00477D76">
      <w:pPr>
        <w:widowControl w:val="0"/>
        <w:rPr>
          <w:sz w:val="20"/>
          <w:szCs w:val="20"/>
          <w:lang w:val="fr-CA"/>
        </w:rPr>
      </w:pPr>
    </w:p>
    <w:p w:rsidR="00477D76" w:rsidRPr="0081448E" w:rsidRDefault="00477D76" w:rsidP="00477D76">
      <w:pPr>
        <w:widowControl w:val="0"/>
        <w:ind w:left="720" w:hanging="720"/>
        <w:jc w:val="both"/>
        <w:rPr>
          <w:b/>
          <w:i/>
          <w:sz w:val="20"/>
          <w:szCs w:val="20"/>
        </w:rPr>
      </w:pPr>
      <w:r w:rsidRPr="0081448E">
        <w:rPr>
          <w:b/>
          <w:sz w:val="20"/>
          <w:szCs w:val="20"/>
        </w:rPr>
        <w:fldChar w:fldCharType="begin"/>
      </w:r>
      <w:r w:rsidRPr="0081448E">
        <w:rPr>
          <w:b/>
          <w:sz w:val="20"/>
          <w:szCs w:val="20"/>
        </w:rPr>
        <w:instrText xml:space="preserve"> SEQ CHAPTER \h \r 1</w:instrText>
      </w:r>
      <w:r w:rsidRPr="0081448E">
        <w:rPr>
          <w:b/>
          <w:sz w:val="20"/>
          <w:szCs w:val="20"/>
        </w:rPr>
        <w:fldChar w:fldCharType="end"/>
      </w:r>
      <w:r w:rsidRPr="0081448E">
        <w:rPr>
          <w:b/>
          <w:sz w:val="20"/>
          <w:szCs w:val="20"/>
        </w:rPr>
        <w:t>38870</w:t>
      </w:r>
      <w:r w:rsidRPr="0081448E">
        <w:rPr>
          <w:sz w:val="20"/>
          <w:szCs w:val="20"/>
        </w:rPr>
        <w:tab/>
      </w:r>
      <w:r w:rsidRPr="0081448E">
        <w:rPr>
          <w:b/>
          <w:i/>
          <w:sz w:val="20"/>
          <w:szCs w:val="20"/>
        </w:rPr>
        <w:t>Her Majesty the Queen v. Thomas Slatter</w:t>
      </w:r>
    </w:p>
    <w:p w:rsidR="00477D76" w:rsidRPr="0081448E" w:rsidRDefault="00477D76" w:rsidP="00477D76">
      <w:pPr>
        <w:widowControl w:val="0"/>
        <w:ind w:left="720"/>
        <w:jc w:val="both"/>
        <w:rPr>
          <w:sz w:val="20"/>
          <w:szCs w:val="20"/>
        </w:rPr>
      </w:pPr>
      <w:r w:rsidRPr="0081448E">
        <w:rPr>
          <w:sz w:val="20"/>
          <w:szCs w:val="20"/>
        </w:rPr>
        <w:t>(Ont.) (Criminal) (As of Right)</w:t>
      </w:r>
    </w:p>
    <w:p w:rsidR="00477D76" w:rsidRPr="0081448E" w:rsidRDefault="00477D76" w:rsidP="00477D76">
      <w:pPr>
        <w:widowControl w:val="0"/>
        <w:jc w:val="both"/>
        <w:rPr>
          <w:sz w:val="20"/>
          <w:szCs w:val="20"/>
        </w:rPr>
      </w:pPr>
    </w:p>
    <w:p w:rsidR="00477D76" w:rsidRPr="0081448E" w:rsidRDefault="00477D76" w:rsidP="00477D76">
      <w:pPr>
        <w:widowControl w:val="0"/>
        <w:jc w:val="both"/>
        <w:rPr>
          <w:sz w:val="20"/>
          <w:szCs w:val="20"/>
        </w:rPr>
      </w:pPr>
      <w:r w:rsidRPr="0081448E">
        <w:rPr>
          <w:sz w:val="20"/>
          <w:szCs w:val="20"/>
        </w:rPr>
        <w:t>(</w:t>
      </w:r>
      <w:r w:rsidRPr="0081448E">
        <w:rPr>
          <w:smallCaps/>
          <w:sz w:val="20"/>
          <w:szCs w:val="20"/>
        </w:rPr>
        <w:t>Publication Ban</w:t>
      </w:r>
      <w:r w:rsidRPr="0081448E">
        <w:rPr>
          <w:sz w:val="20"/>
          <w:szCs w:val="20"/>
        </w:rPr>
        <w:t>)</w:t>
      </w:r>
    </w:p>
    <w:p w:rsidR="00477D76" w:rsidRPr="0081448E" w:rsidRDefault="00477D76" w:rsidP="00477D76">
      <w:pPr>
        <w:widowControl w:val="0"/>
        <w:jc w:val="both"/>
        <w:rPr>
          <w:sz w:val="20"/>
          <w:szCs w:val="20"/>
        </w:rPr>
      </w:pPr>
    </w:p>
    <w:p w:rsidR="00477D76" w:rsidRPr="0081448E" w:rsidRDefault="00477D76" w:rsidP="00477D76">
      <w:pPr>
        <w:widowControl w:val="0"/>
        <w:jc w:val="both"/>
        <w:rPr>
          <w:sz w:val="20"/>
          <w:szCs w:val="20"/>
        </w:rPr>
      </w:pPr>
      <w:r w:rsidRPr="0081448E">
        <w:rPr>
          <w:sz w:val="20"/>
          <w:szCs w:val="20"/>
        </w:rPr>
        <w:t>Criminal law - Appeals - Sufficiency of reasons - Whether the majority of the Court of Appeal erred in law in finding that the trial judge’s reasons were insufficient because he: failed to address the complainant’s reliability; found that the complainant’s evidence was self-corroborating; and failed to provide reasons for rejecting the defence evidence.</w:t>
      </w:r>
    </w:p>
    <w:p w:rsidR="00477D76" w:rsidRPr="0081448E" w:rsidRDefault="00477D76" w:rsidP="00477D76">
      <w:pPr>
        <w:widowControl w:val="0"/>
        <w:jc w:val="both"/>
        <w:rPr>
          <w:sz w:val="20"/>
          <w:szCs w:val="20"/>
        </w:rPr>
      </w:pPr>
    </w:p>
    <w:p w:rsidR="00477D76" w:rsidRPr="0081448E" w:rsidRDefault="00477D76" w:rsidP="00477D76">
      <w:pPr>
        <w:jc w:val="both"/>
        <w:rPr>
          <w:sz w:val="20"/>
        </w:rPr>
      </w:pPr>
      <w:r w:rsidRPr="0081448E">
        <w:rPr>
          <w:sz w:val="20"/>
          <w:szCs w:val="20"/>
        </w:rPr>
        <w:t>At trial, the respondent, Mr. Slatter, was convicted of sexual assault but found not guilty of sexual exploitation</w:t>
      </w:r>
      <w:r w:rsidRPr="0081448E">
        <w:rPr>
          <w:sz w:val="20"/>
          <w:szCs w:val="20"/>
          <w:lang w:val="en"/>
        </w:rPr>
        <w:t xml:space="preserve"> of a person with a disability</w:t>
      </w:r>
      <w:r w:rsidRPr="0081448E">
        <w:rPr>
          <w:rFonts w:ascii="Calibri" w:hAnsi="Calibri" w:cs="Calibri"/>
          <w:color w:val="1F497D"/>
          <w:sz w:val="20"/>
          <w:szCs w:val="20"/>
        </w:rPr>
        <w:t>.</w:t>
      </w:r>
      <w:r w:rsidRPr="0081448E">
        <w:rPr>
          <w:sz w:val="20"/>
          <w:szCs w:val="20"/>
        </w:rPr>
        <w:t xml:space="preserve"> A majority of the Ontario Court of Appeal allowed Mr. Slatter’s appeal against the conviction and ordered a new trial on the count of sexual assault. In its view, the trial judge’s reasons were insufficient. In dissent, Pepall J.A. would have dismissed the appeal as, in her view, Mr. Slatter had a fair trial. The failure of the trial judge to expressly address in his reasons the defence submission that the complainant was suggestible did not render the trial judge’s reasons for decision insufficient thus requiring a new trial. In addition, Pepall J.A. disagreed that the trial judge erred in failing to explain his rejection of the defence evidence. Finally, standing alone, the fact that the trial judge improperly relied on the complainant’s evidence as being self-corroborating was not enough to allow the appeal.</w:t>
      </w:r>
    </w:p>
    <w:p w:rsidR="00477D76" w:rsidRPr="0081448E" w:rsidRDefault="00477D76" w:rsidP="00477D76">
      <w:pPr>
        <w:jc w:val="both"/>
        <w:rPr>
          <w:sz w:val="20"/>
        </w:rPr>
      </w:pPr>
    </w:p>
    <w:p w:rsidR="00477D76" w:rsidRPr="0081448E" w:rsidRDefault="00DC444A" w:rsidP="00477D76">
      <w:pPr>
        <w:jc w:val="both"/>
        <w:rPr>
          <w:sz w:val="20"/>
        </w:rPr>
      </w:pPr>
      <w:r>
        <w:rPr>
          <w:sz w:val="20"/>
        </w:rPr>
        <w:pict>
          <v:rect id="_x0000_i1057" style="width:2in;height:1pt" o:hrpct="0" o:hralign="center" o:hrstd="t" o:hrnoshade="t" o:hr="t" fillcolor="black [3213]" stroked="f"/>
        </w:pict>
      </w:r>
    </w:p>
    <w:p w:rsidR="00477D76" w:rsidRPr="0081448E" w:rsidRDefault="00477D76" w:rsidP="00477D76">
      <w:pPr>
        <w:jc w:val="both"/>
        <w:rPr>
          <w:sz w:val="20"/>
          <w:szCs w:val="20"/>
        </w:rPr>
      </w:pPr>
    </w:p>
    <w:p w:rsidR="00477D76" w:rsidRPr="0081448E" w:rsidRDefault="00477D76" w:rsidP="00477D76">
      <w:pPr>
        <w:widowControl w:val="0"/>
        <w:ind w:left="720" w:hanging="720"/>
        <w:jc w:val="both"/>
        <w:rPr>
          <w:b/>
          <w:i/>
          <w:sz w:val="20"/>
          <w:szCs w:val="20"/>
          <w:lang w:val="fr-CA"/>
        </w:rPr>
      </w:pPr>
      <w:r w:rsidRPr="0081448E">
        <w:rPr>
          <w:b/>
          <w:sz w:val="20"/>
          <w:szCs w:val="20"/>
          <w:lang w:val="fr-CA"/>
        </w:rPr>
        <w:fldChar w:fldCharType="begin"/>
      </w:r>
      <w:r w:rsidRPr="0081448E">
        <w:rPr>
          <w:b/>
          <w:sz w:val="20"/>
          <w:szCs w:val="20"/>
          <w:lang w:val="fr-CA"/>
        </w:rPr>
        <w:instrText xml:space="preserve"> SEQ CHAPTER \h \r 1</w:instrText>
      </w:r>
      <w:r w:rsidRPr="0081448E">
        <w:rPr>
          <w:b/>
          <w:sz w:val="20"/>
          <w:szCs w:val="20"/>
          <w:lang w:val="fr-CA"/>
        </w:rPr>
        <w:fldChar w:fldCharType="end"/>
      </w:r>
      <w:r w:rsidRPr="0081448E">
        <w:rPr>
          <w:b/>
          <w:sz w:val="20"/>
          <w:szCs w:val="20"/>
          <w:lang w:val="fr-CA"/>
        </w:rPr>
        <w:t>38870</w:t>
      </w:r>
      <w:r w:rsidRPr="0081448E">
        <w:rPr>
          <w:sz w:val="20"/>
          <w:szCs w:val="20"/>
          <w:lang w:val="fr-CA"/>
        </w:rPr>
        <w:tab/>
      </w:r>
      <w:r w:rsidRPr="0081448E">
        <w:rPr>
          <w:b/>
          <w:i/>
          <w:sz w:val="20"/>
          <w:szCs w:val="20"/>
          <w:lang w:val="fr-CA"/>
        </w:rPr>
        <w:t>Sa Majesté la Reine c. Thomas Slatter</w:t>
      </w:r>
    </w:p>
    <w:p w:rsidR="00477D76" w:rsidRPr="0081448E" w:rsidRDefault="00477D76" w:rsidP="00477D76">
      <w:pPr>
        <w:widowControl w:val="0"/>
        <w:ind w:left="720"/>
        <w:jc w:val="both"/>
        <w:rPr>
          <w:sz w:val="20"/>
          <w:szCs w:val="20"/>
          <w:lang w:val="fr-CA"/>
        </w:rPr>
      </w:pPr>
      <w:r w:rsidRPr="0081448E">
        <w:rPr>
          <w:sz w:val="20"/>
          <w:szCs w:val="20"/>
          <w:lang w:val="fr-CA"/>
        </w:rPr>
        <w:t>(Ont.) (Criminelle) (De plein droit)</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w:t>
      </w:r>
      <w:r w:rsidRPr="0081448E">
        <w:rPr>
          <w:smallCaps/>
          <w:sz w:val="20"/>
          <w:szCs w:val="20"/>
          <w:lang w:val="fr-CA"/>
        </w:rPr>
        <w:t>Ordonnance de non-publication dans le dossier</w:t>
      </w:r>
      <w:r w:rsidRPr="0081448E">
        <w:rPr>
          <w:sz w:val="20"/>
          <w:szCs w:val="20"/>
          <w:lang w:val="fr-CA"/>
        </w:rPr>
        <w:t>)</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Droit criminel - Appels - Suffisance des motifs - Les juges majoritaires de la Cour d’appel ont-ils commis une erreur de droit en concluant que les motifs du juge du procès étaient insuffisants parce qu’il n’avait pas abordé la question de la fiabilité de la plaignante, qu’il avait conclu que le témoignage de la plaignante était autocorroborant et qu’il n’avait pas fourni de motifs justifiants le rejet de la preuve de la défense?</w:t>
      </w:r>
    </w:p>
    <w:p w:rsidR="00477D76" w:rsidRPr="0081448E" w:rsidRDefault="00477D76" w:rsidP="00477D76">
      <w:pPr>
        <w:widowControl w:val="0"/>
        <w:jc w:val="both"/>
        <w:rPr>
          <w:sz w:val="20"/>
          <w:szCs w:val="20"/>
          <w:lang w:val="fr-CA"/>
        </w:rPr>
      </w:pPr>
    </w:p>
    <w:p w:rsidR="00477D76" w:rsidRPr="0081448E" w:rsidRDefault="00477D76" w:rsidP="00477D76">
      <w:pPr>
        <w:jc w:val="both"/>
        <w:rPr>
          <w:sz w:val="20"/>
          <w:szCs w:val="20"/>
          <w:lang w:val="fr-CA"/>
        </w:rPr>
      </w:pPr>
      <w:r w:rsidRPr="0081448E">
        <w:rPr>
          <w:sz w:val="20"/>
          <w:szCs w:val="20"/>
          <w:lang w:val="fr-CA"/>
        </w:rPr>
        <w:t>Au procès, l’intimé, M. Slatter, a été déclaré coupable d’agression sexuelle, mais déclaré non coupable d’exploitation sexuelle d’une personne handicapée</w:t>
      </w:r>
      <w:r w:rsidRPr="0081448E">
        <w:rPr>
          <w:rFonts w:ascii="Calibri" w:hAnsi="Calibri" w:cs="Calibri"/>
          <w:color w:val="1F497D"/>
          <w:sz w:val="20"/>
          <w:szCs w:val="20"/>
          <w:lang w:val="fr-CA"/>
        </w:rPr>
        <w:t>.</w:t>
      </w:r>
      <w:r w:rsidRPr="0081448E">
        <w:rPr>
          <w:sz w:val="20"/>
          <w:szCs w:val="20"/>
          <w:lang w:val="fr-CA"/>
        </w:rPr>
        <w:t xml:space="preserve"> Les juges majoritaires de la Cour d’appel de l’Ontario ont accueilli l’appel de la déclaration de culpabilité interjeté par M. Slatter et ordonné la tenue d’un nouveau procès quant au chef d’accusation d’agression sexuelle. À leur avis, les motifs du juge du procès étaient insuffisants. Dissidente, la juge Pepall aurait rejeté l’appel, car, à son avis, M. Slatter avait eu droit à un procès équitable. Le fait que le juge du procès n’ait pas expressément abordé dans ses motifs l’argument de la défense comme quoi la plaignante était réceptive aux suggestions ne rendait pas les motifs du juge du procès insuffisants, justifiant la tenue d’un nouveau procès. En outre, la juge Pepall n’était pas d’accord pour dire que le juge du procès avait eu tort de ne pas expliquer son rejet de la preuve de la défense. Enfin, le fait que le juge se soit appuyé à tort sur le témoignage de la plaignante comme étant autocorroborante n’était pas, en soi, suffisant pour accueillir l’appel.</w:t>
      </w:r>
    </w:p>
    <w:p w:rsidR="00477D76" w:rsidRPr="0081448E" w:rsidRDefault="00477D76" w:rsidP="00477D76">
      <w:pPr>
        <w:widowControl w:val="0"/>
        <w:rPr>
          <w:sz w:val="20"/>
          <w:lang w:val="fr-CA"/>
        </w:rPr>
      </w:pPr>
    </w:p>
    <w:p w:rsidR="00477D76" w:rsidRPr="0081448E" w:rsidRDefault="00DC444A" w:rsidP="00477D76">
      <w:pPr>
        <w:widowControl w:val="0"/>
        <w:rPr>
          <w:sz w:val="20"/>
          <w:szCs w:val="20"/>
          <w:lang w:val="fr-CA"/>
        </w:rPr>
      </w:pPr>
      <w:r>
        <w:rPr>
          <w:sz w:val="20"/>
        </w:rPr>
        <w:pict>
          <v:rect id="_x0000_i1058" style="width:2in;height:1pt" o:hrpct="0" o:hralign="center" o:hrstd="t" o:hrnoshade="t" o:hr="t" fillcolor="black [3213]" stroked="f"/>
        </w:pict>
      </w:r>
    </w:p>
    <w:p w:rsidR="00477D76" w:rsidRPr="0081448E" w:rsidRDefault="00477D76" w:rsidP="00477D76">
      <w:pPr>
        <w:widowControl w:val="0"/>
        <w:rPr>
          <w:sz w:val="20"/>
          <w:szCs w:val="20"/>
          <w:lang w:val="fr-CA"/>
        </w:rPr>
      </w:pPr>
    </w:p>
    <w:p w:rsidR="005C4158" w:rsidRDefault="005C4158">
      <w:pPr>
        <w:rPr>
          <w:rFonts w:eastAsia="Calibri" w:cs="Times New Roman"/>
          <w:b/>
          <w:sz w:val="20"/>
          <w:szCs w:val="20"/>
          <w:lang w:val="fr-CA"/>
        </w:rPr>
      </w:pPr>
      <w:r>
        <w:rPr>
          <w:b/>
          <w:sz w:val="20"/>
          <w:szCs w:val="20"/>
        </w:rPr>
        <w:br w:type="page"/>
      </w:r>
    </w:p>
    <w:p w:rsidR="00477D76" w:rsidRPr="0081448E" w:rsidRDefault="00477D76" w:rsidP="00477D76">
      <w:pPr>
        <w:pStyle w:val="SCCLsocParty"/>
        <w:ind w:left="720" w:hanging="720"/>
        <w:jc w:val="left"/>
        <w:rPr>
          <w:b/>
          <w:i/>
          <w:sz w:val="20"/>
          <w:szCs w:val="20"/>
          <w:lang w:val="en-US"/>
        </w:rPr>
      </w:pPr>
      <w:r w:rsidRPr="0081448E">
        <w:rPr>
          <w:b/>
          <w:sz w:val="20"/>
          <w:szCs w:val="20"/>
        </w:rPr>
        <w:lastRenderedPageBreak/>
        <w:fldChar w:fldCharType="begin"/>
      </w:r>
      <w:r w:rsidRPr="0081448E">
        <w:rPr>
          <w:b/>
          <w:sz w:val="20"/>
          <w:szCs w:val="20"/>
          <w:lang w:val="en-US"/>
        </w:rPr>
        <w:instrText xml:space="preserve"> SEQ CHAPTER \h \r 1</w:instrText>
      </w:r>
      <w:r w:rsidRPr="0081448E">
        <w:rPr>
          <w:b/>
          <w:sz w:val="20"/>
          <w:szCs w:val="20"/>
        </w:rPr>
        <w:fldChar w:fldCharType="end"/>
      </w:r>
      <w:r w:rsidRPr="0081448E">
        <w:rPr>
          <w:b/>
          <w:sz w:val="20"/>
          <w:szCs w:val="20"/>
          <w:lang w:val="en-US"/>
        </w:rPr>
        <w:t>38944</w:t>
      </w:r>
      <w:r w:rsidRPr="0081448E">
        <w:rPr>
          <w:b/>
          <w:sz w:val="20"/>
          <w:szCs w:val="20"/>
          <w:lang w:val="en-US"/>
        </w:rPr>
        <w:tab/>
      </w:r>
      <w:r w:rsidRPr="0081448E">
        <w:rPr>
          <w:b/>
          <w:i/>
          <w:sz w:val="20"/>
          <w:szCs w:val="20"/>
          <w:lang w:val="en-US"/>
        </w:rPr>
        <w:t>T.J.M v. Her Majesty the Queen</w:t>
      </w:r>
    </w:p>
    <w:p w:rsidR="00477D76" w:rsidRPr="0081448E" w:rsidRDefault="00477D76" w:rsidP="00477D76">
      <w:pPr>
        <w:pStyle w:val="SCCLsocParty"/>
        <w:ind w:left="720"/>
        <w:jc w:val="left"/>
        <w:rPr>
          <w:b/>
          <w:i/>
          <w:sz w:val="20"/>
          <w:szCs w:val="20"/>
          <w:lang w:val="en-US"/>
        </w:rPr>
      </w:pPr>
      <w:r w:rsidRPr="0081448E">
        <w:rPr>
          <w:sz w:val="20"/>
          <w:szCs w:val="20"/>
          <w:lang w:val="en-US"/>
        </w:rPr>
        <w:t>(Alta.) (Criminal) (By Leave)</w:t>
      </w:r>
    </w:p>
    <w:p w:rsidR="00477D76" w:rsidRPr="0081448E" w:rsidRDefault="00477D76" w:rsidP="00477D76">
      <w:pPr>
        <w:widowControl w:val="0"/>
        <w:jc w:val="both"/>
        <w:rPr>
          <w:sz w:val="20"/>
          <w:szCs w:val="20"/>
        </w:rPr>
      </w:pPr>
    </w:p>
    <w:p w:rsidR="00477D76" w:rsidRPr="0081448E" w:rsidRDefault="00477D76" w:rsidP="00477D76">
      <w:pPr>
        <w:pStyle w:val="SCCBanSummary0"/>
        <w:rPr>
          <w:sz w:val="20"/>
          <w:szCs w:val="20"/>
        </w:rPr>
      </w:pPr>
      <w:r w:rsidRPr="0081448E">
        <w:rPr>
          <w:sz w:val="20"/>
          <w:szCs w:val="20"/>
        </w:rPr>
        <w:t>(Publication ban in case)(Court file contains information that is not available for inspection by the public)</w:t>
      </w:r>
    </w:p>
    <w:p w:rsidR="00477D76" w:rsidRPr="0081448E" w:rsidRDefault="00477D76" w:rsidP="00477D76">
      <w:pPr>
        <w:widowControl w:val="0"/>
        <w:jc w:val="both"/>
        <w:rPr>
          <w:sz w:val="20"/>
          <w:szCs w:val="20"/>
        </w:rPr>
      </w:pPr>
    </w:p>
    <w:p w:rsidR="00477D76" w:rsidRPr="0081448E" w:rsidRDefault="00477D76" w:rsidP="00477D76">
      <w:pPr>
        <w:jc w:val="both"/>
        <w:rPr>
          <w:sz w:val="20"/>
          <w:szCs w:val="20"/>
        </w:rPr>
      </w:pPr>
      <w:r w:rsidRPr="0081448E">
        <w:rPr>
          <w:sz w:val="20"/>
          <w:szCs w:val="20"/>
        </w:rPr>
        <w:t xml:space="preserve">Criminal law - Young persons - Judicial Interim Release - Application for bail to a judge of the Alberta Court of Queen’s Bench dismissed - Jurisdiction over bail - Whether the application judge erred in interpreting s. 13(2) of the </w:t>
      </w:r>
      <w:r w:rsidRPr="0081448E">
        <w:rPr>
          <w:i/>
          <w:sz w:val="20"/>
          <w:szCs w:val="20"/>
        </w:rPr>
        <w:t>Youth Criminal Justice Act</w:t>
      </w:r>
      <w:r w:rsidRPr="0081448E">
        <w:rPr>
          <w:sz w:val="20"/>
          <w:szCs w:val="20"/>
        </w:rPr>
        <w:t xml:space="preserve">, SC 2002, c. 1 to find he did not have jurisdiction to hear the judicial interim release application of a youth charged with murder, a s. 469 of the </w:t>
      </w:r>
      <w:r w:rsidRPr="0081448E">
        <w:rPr>
          <w:i/>
          <w:sz w:val="20"/>
          <w:szCs w:val="20"/>
        </w:rPr>
        <w:t>Criminal Code</w:t>
      </w:r>
      <w:r w:rsidRPr="0081448E">
        <w:rPr>
          <w:sz w:val="20"/>
          <w:szCs w:val="20"/>
        </w:rPr>
        <w:t xml:space="preserve"> offence.</w:t>
      </w:r>
    </w:p>
    <w:p w:rsidR="00477D76" w:rsidRPr="0081448E" w:rsidRDefault="00477D76" w:rsidP="00477D76">
      <w:pPr>
        <w:widowControl w:val="0"/>
        <w:jc w:val="both"/>
        <w:rPr>
          <w:sz w:val="20"/>
          <w:szCs w:val="20"/>
        </w:rPr>
      </w:pPr>
    </w:p>
    <w:p w:rsidR="00477D76" w:rsidRPr="0081448E" w:rsidRDefault="00477D76" w:rsidP="00477D76">
      <w:pPr>
        <w:spacing w:before="9"/>
        <w:jc w:val="both"/>
        <w:textAlignment w:val="baseline"/>
        <w:rPr>
          <w:sz w:val="20"/>
        </w:rPr>
      </w:pPr>
      <w:r w:rsidRPr="0081448E">
        <w:rPr>
          <w:color w:val="000000"/>
          <w:spacing w:val="-2"/>
          <w:sz w:val="20"/>
          <w:szCs w:val="20"/>
        </w:rPr>
        <w:t xml:space="preserve">The appellant was charged with second degree murder contrary to section 235(1) of the </w:t>
      </w:r>
      <w:r w:rsidRPr="0081448E">
        <w:rPr>
          <w:i/>
          <w:color w:val="000000"/>
          <w:spacing w:val="-2"/>
          <w:sz w:val="20"/>
          <w:szCs w:val="20"/>
        </w:rPr>
        <w:t xml:space="preserve">Criminal Code </w:t>
      </w:r>
      <w:r w:rsidRPr="0081448E">
        <w:rPr>
          <w:color w:val="000000"/>
          <w:spacing w:val="-2"/>
          <w:sz w:val="20"/>
          <w:szCs w:val="20"/>
        </w:rPr>
        <w:t>arising from a shooting on Cold Lake First</w:t>
      </w:r>
      <w:r w:rsidRPr="0081448E">
        <w:rPr>
          <w:sz w:val="20"/>
          <w:szCs w:val="20"/>
        </w:rPr>
        <w:t xml:space="preserve"> </w:t>
      </w:r>
      <w:r w:rsidRPr="0081448E">
        <w:rPr>
          <w:color w:val="000000"/>
          <w:sz w:val="20"/>
          <w:szCs w:val="20"/>
        </w:rPr>
        <w:t xml:space="preserve">Nation. He was alleged to be part of a group which fired shots into a house, killing one person as part of a turf dispute involving the sale of drugs on the reserve. </w:t>
      </w:r>
      <w:r w:rsidRPr="0081448E">
        <w:rPr>
          <w:sz w:val="20"/>
          <w:szCs w:val="20"/>
        </w:rPr>
        <w:t xml:space="preserve">The appellant is a young person within the meaning of the </w:t>
      </w:r>
      <w:r w:rsidRPr="0081448E">
        <w:rPr>
          <w:i/>
          <w:sz w:val="20"/>
          <w:szCs w:val="20"/>
        </w:rPr>
        <w:t>Youth Criminal Justice Act</w:t>
      </w:r>
      <w:r w:rsidRPr="0081448E">
        <w:rPr>
          <w:sz w:val="20"/>
          <w:szCs w:val="20"/>
        </w:rPr>
        <w:t xml:space="preserve">, SC 2002, c. 1. The Crown gave notice to seek an adult sentence if the appellant is convicted. As such, the appellant was given an election as to mode of trial pursuant to sections 67(1)(d) and 67(1)(b) of the </w:t>
      </w:r>
      <w:r w:rsidRPr="0081448E">
        <w:rPr>
          <w:i/>
          <w:sz w:val="20"/>
          <w:szCs w:val="20"/>
        </w:rPr>
        <w:t>YCJA.</w:t>
      </w:r>
      <w:r w:rsidRPr="0081448E">
        <w:rPr>
          <w:sz w:val="20"/>
          <w:szCs w:val="20"/>
        </w:rPr>
        <w:t xml:space="preserve"> The appellant elected to be tried by superior court judge alone with a preliminary inquiry. Counsel for the appellant appeared in the Court of Queen’s Bench of Alberta seeking judicial interim release pursuant to s. 33(8) of the </w:t>
      </w:r>
      <w:r w:rsidRPr="0081448E">
        <w:rPr>
          <w:i/>
          <w:sz w:val="20"/>
          <w:szCs w:val="20"/>
        </w:rPr>
        <w:t>YCJA</w:t>
      </w:r>
      <w:r w:rsidRPr="0081448E">
        <w:rPr>
          <w:sz w:val="20"/>
          <w:szCs w:val="20"/>
        </w:rPr>
        <w:t>. Renke J. held that he did not have jurisdiction to hear the appellant’s judicial interim release application, and dismissed the application.</w:t>
      </w:r>
    </w:p>
    <w:p w:rsidR="00477D76" w:rsidRPr="0081448E" w:rsidRDefault="00477D76" w:rsidP="00477D76">
      <w:pPr>
        <w:spacing w:before="9"/>
        <w:jc w:val="both"/>
        <w:textAlignment w:val="baseline"/>
        <w:rPr>
          <w:sz w:val="20"/>
        </w:rPr>
      </w:pPr>
    </w:p>
    <w:p w:rsidR="00477D76" w:rsidRPr="0081448E" w:rsidRDefault="00DC444A" w:rsidP="00477D76">
      <w:pPr>
        <w:spacing w:before="9"/>
        <w:jc w:val="both"/>
        <w:textAlignment w:val="baseline"/>
        <w:rPr>
          <w:sz w:val="20"/>
        </w:rPr>
      </w:pPr>
      <w:r>
        <w:rPr>
          <w:sz w:val="20"/>
        </w:rPr>
        <w:pict>
          <v:rect id="_x0000_i1059" style="width:2in;height:1pt" o:hrpct="0" o:hralign="center" o:hrstd="t" o:hrnoshade="t" o:hr="t" fillcolor="black [3213]" stroked="f"/>
        </w:pict>
      </w:r>
    </w:p>
    <w:p w:rsidR="00477D76" w:rsidRPr="0081448E" w:rsidRDefault="00477D76" w:rsidP="00477D76">
      <w:pPr>
        <w:spacing w:before="9"/>
        <w:jc w:val="both"/>
        <w:textAlignment w:val="baseline"/>
        <w:rPr>
          <w:color w:val="000000"/>
          <w:sz w:val="20"/>
          <w:szCs w:val="20"/>
        </w:rPr>
      </w:pPr>
    </w:p>
    <w:p w:rsidR="00477D76" w:rsidRPr="0081448E" w:rsidRDefault="00477D76" w:rsidP="00477D76">
      <w:pPr>
        <w:pStyle w:val="SCCLsocParty"/>
        <w:ind w:left="720" w:hanging="720"/>
        <w:jc w:val="left"/>
        <w:rPr>
          <w:b/>
          <w:i/>
          <w:sz w:val="20"/>
          <w:szCs w:val="20"/>
        </w:rPr>
      </w:pPr>
      <w:r w:rsidRPr="0081448E">
        <w:rPr>
          <w:b/>
          <w:sz w:val="20"/>
          <w:szCs w:val="20"/>
        </w:rPr>
        <w:fldChar w:fldCharType="begin"/>
      </w:r>
      <w:r w:rsidRPr="0081448E">
        <w:rPr>
          <w:b/>
          <w:sz w:val="20"/>
          <w:szCs w:val="20"/>
        </w:rPr>
        <w:instrText xml:space="preserve"> SEQ CHAPTER \h \r 1</w:instrText>
      </w:r>
      <w:r w:rsidRPr="0081448E">
        <w:rPr>
          <w:b/>
          <w:sz w:val="20"/>
          <w:szCs w:val="20"/>
        </w:rPr>
        <w:fldChar w:fldCharType="end"/>
      </w:r>
      <w:r w:rsidRPr="0081448E">
        <w:rPr>
          <w:b/>
          <w:sz w:val="20"/>
          <w:szCs w:val="20"/>
        </w:rPr>
        <w:t>38944</w:t>
      </w:r>
      <w:r w:rsidRPr="0081448E">
        <w:rPr>
          <w:b/>
          <w:sz w:val="20"/>
          <w:szCs w:val="20"/>
        </w:rPr>
        <w:tab/>
      </w:r>
      <w:r w:rsidRPr="0081448E">
        <w:rPr>
          <w:b/>
          <w:i/>
          <w:sz w:val="20"/>
          <w:szCs w:val="20"/>
        </w:rPr>
        <w:t>T.J.M c. Sa Majesté la Reine</w:t>
      </w:r>
    </w:p>
    <w:p w:rsidR="00477D76" w:rsidRPr="0081448E" w:rsidRDefault="00477D76" w:rsidP="00477D76">
      <w:pPr>
        <w:pStyle w:val="SCCLsocParty"/>
        <w:ind w:left="720"/>
        <w:jc w:val="left"/>
        <w:rPr>
          <w:b/>
          <w:i/>
          <w:sz w:val="20"/>
          <w:szCs w:val="20"/>
        </w:rPr>
      </w:pPr>
      <w:r w:rsidRPr="0081448E">
        <w:rPr>
          <w:sz w:val="20"/>
          <w:szCs w:val="20"/>
        </w:rPr>
        <w:t>(Alb.) (Criminelle) (Autorisation)</w:t>
      </w:r>
    </w:p>
    <w:p w:rsidR="00477D76" w:rsidRPr="0081448E" w:rsidRDefault="00477D76" w:rsidP="00477D76">
      <w:pPr>
        <w:widowControl w:val="0"/>
        <w:jc w:val="both"/>
        <w:rPr>
          <w:sz w:val="20"/>
          <w:szCs w:val="20"/>
          <w:lang w:val="fr-CA"/>
        </w:rPr>
      </w:pPr>
    </w:p>
    <w:p w:rsidR="00477D76" w:rsidRPr="0081448E" w:rsidRDefault="00477D76" w:rsidP="00477D76">
      <w:pPr>
        <w:pStyle w:val="SCCBanSummary0"/>
        <w:rPr>
          <w:sz w:val="20"/>
          <w:szCs w:val="20"/>
          <w:lang w:val="fr-CA"/>
        </w:rPr>
      </w:pPr>
      <w:r w:rsidRPr="0081448E">
        <w:rPr>
          <w:sz w:val="20"/>
          <w:szCs w:val="20"/>
          <w:lang w:val="fr-CA"/>
        </w:rPr>
        <w:t>(Ordonnance de non-publication dans le dossier) (Le dossier de la Cour renferme des données que le public n’est pas autorisé à consulter)</w:t>
      </w:r>
    </w:p>
    <w:p w:rsidR="00477D76" w:rsidRPr="0081448E" w:rsidRDefault="00477D76" w:rsidP="00477D76">
      <w:pPr>
        <w:widowControl w:val="0"/>
        <w:jc w:val="both"/>
        <w:rPr>
          <w:sz w:val="20"/>
          <w:szCs w:val="20"/>
          <w:lang w:val="fr-CA"/>
        </w:rPr>
      </w:pPr>
    </w:p>
    <w:p w:rsidR="00477D76" w:rsidRPr="0081448E" w:rsidRDefault="00477D76" w:rsidP="00477D76">
      <w:pPr>
        <w:jc w:val="both"/>
        <w:rPr>
          <w:sz w:val="20"/>
          <w:szCs w:val="20"/>
          <w:lang w:val="fr-CA"/>
        </w:rPr>
      </w:pPr>
      <w:r w:rsidRPr="0081448E">
        <w:rPr>
          <w:sz w:val="20"/>
          <w:szCs w:val="20"/>
          <w:lang w:val="fr-CA"/>
        </w:rPr>
        <w:t xml:space="preserve">Droit criminel - Adolescents - Mise en liberté provisoire par voie judiciaire - Rejet d’une demande de mise en liberté sous caution présentée à un juge de la Cour du Banc de la Reine de l’Alberta - Compétence à l’égard de la mise en liberté sous caution - Le juge de première instance a-t-il commis une erreur en interprétant le par. 13(2) de la </w:t>
      </w:r>
      <w:r w:rsidRPr="0081448E">
        <w:rPr>
          <w:i/>
          <w:sz w:val="20"/>
          <w:szCs w:val="20"/>
          <w:lang w:val="fr-CA"/>
        </w:rPr>
        <w:t>Loi sur le système de justice pénale pour les adolescents</w:t>
      </w:r>
      <w:r w:rsidRPr="0081448E">
        <w:rPr>
          <w:sz w:val="20"/>
          <w:szCs w:val="20"/>
          <w:lang w:val="fr-CA"/>
        </w:rPr>
        <w:t xml:space="preserve">, LC 2002, ch. 1 en concluant qu’il n’avait pas compétence pour entendre la demande de mise en liberté provisoire par voie judiciaire d’un adolescent accusé de meurtre, une infraction prévue à l’art. 469 du </w:t>
      </w:r>
      <w:r w:rsidRPr="0081448E">
        <w:rPr>
          <w:i/>
          <w:sz w:val="20"/>
          <w:szCs w:val="20"/>
          <w:lang w:val="fr-CA"/>
        </w:rPr>
        <w:t>Code criminel</w:t>
      </w:r>
      <w:r w:rsidRPr="0081448E">
        <w:rPr>
          <w:sz w:val="20"/>
          <w:szCs w:val="20"/>
          <w:lang w:val="fr-CA"/>
        </w:rPr>
        <w:t>?</w:t>
      </w:r>
    </w:p>
    <w:p w:rsidR="00477D76" w:rsidRPr="0081448E" w:rsidRDefault="00477D76" w:rsidP="00477D76">
      <w:pPr>
        <w:widowControl w:val="0"/>
        <w:jc w:val="both"/>
        <w:rPr>
          <w:sz w:val="20"/>
          <w:szCs w:val="20"/>
          <w:lang w:val="fr-CA"/>
        </w:rPr>
      </w:pPr>
    </w:p>
    <w:p w:rsidR="00477D76" w:rsidRPr="0081448E" w:rsidRDefault="00477D76" w:rsidP="00477D76">
      <w:pPr>
        <w:spacing w:before="9"/>
        <w:jc w:val="both"/>
        <w:textAlignment w:val="baseline"/>
        <w:rPr>
          <w:color w:val="000000"/>
          <w:sz w:val="20"/>
          <w:szCs w:val="20"/>
          <w:lang w:val="fr-CA"/>
        </w:rPr>
      </w:pPr>
      <w:r w:rsidRPr="0081448E">
        <w:rPr>
          <w:color w:val="000000"/>
          <w:spacing w:val="-2"/>
          <w:sz w:val="20"/>
          <w:szCs w:val="20"/>
          <w:lang w:val="fr-CA"/>
        </w:rPr>
        <w:t xml:space="preserve">L’appelant a été accusé de meurtre au deuxième degré en contravention du par. 235(1) du </w:t>
      </w:r>
      <w:r w:rsidRPr="0081448E">
        <w:rPr>
          <w:i/>
          <w:color w:val="000000"/>
          <w:spacing w:val="-2"/>
          <w:sz w:val="20"/>
          <w:szCs w:val="20"/>
          <w:lang w:val="fr-CA"/>
        </w:rPr>
        <w:t>Code criminel</w:t>
      </w:r>
      <w:r w:rsidRPr="0081448E">
        <w:rPr>
          <w:color w:val="000000"/>
          <w:spacing w:val="-2"/>
          <w:sz w:val="20"/>
          <w:szCs w:val="20"/>
          <w:lang w:val="fr-CA"/>
        </w:rPr>
        <w:t xml:space="preserve">, à la suite d’une fusillade dans la Première Nation de Cold Lake. On lui reprochait de faire partie d’un groupe qui a tiré des coups de feu dans une maison, tuant une personne alors que se livrait une guerre intestine portant sur la vente de drogue sur la réserve. L’appelant est un adolescent au sens de la </w:t>
      </w:r>
      <w:r w:rsidRPr="0081448E">
        <w:rPr>
          <w:i/>
          <w:color w:val="000000"/>
          <w:spacing w:val="-2"/>
          <w:sz w:val="20"/>
          <w:szCs w:val="20"/>
          <w:lang w:val="fr-CA"/>
        </w:rPr>
        <w:t>Loi sur le système de justice pénale pour les adolescents</w:t>
      </w:r>
      <w:r w:rsidRPr="0081448E">
        <w:rPr>
          <w:color w:val="000000"/>
          <w:spacing w:val="-2"/>
          <w:sz w:val="20"/>
          <w:szCs w:val="20"/>
          <w:lang w:val="fr-CA"/>
        </w:rPr>
        <w:t xml:space="preserve">, LC 2002, ch. 1. Le ministère public a donné avis qu’il demanderait une peine applicable pour adultes si l’appelant était déclaré coupable. De ce fait, l’appelant s’est vu offrir le choix quant au mode de procès en application des alinéas 67(1)d) et 67(1)b) de la </w:t>
      </w:r>
      <w:r w:rsidRPr="0081448E">
        <w:rPr>
          <w:i/>
          <w:color w:val="000000"/>
          <w:spacing w:val="-2"/>
          <w:sz w:val="20"/>
          <w:szCs w:val="20"/>
          <w:lang w:val="fr-CA"/>
        </w:rPr>
        <w:t>LSJPA.</w:t>
      </w:r>
      <w:r w:rsidRPr="0081448E">
        <w:rPr>
          <w:color w:val="000000"/>
          <w:spacing w:val="-2"/>
          <w:sz w:val="20"/>
          <w:szCs w:val="20"/>
          <w:lang w:val="fr-CA"/>
        </w:rPr>
        <w:t xml:space="preserve"> L’appelant a choisi d’être jugé par un juge de la cour supérieure seul, avec enquête préliminaire. L’avocat de l’appelant s’est présenté en Cour du Banc de la Reine pour demander la mise en liberté provisoire par voie judiciaire en application du par. 33(8) de la </w:t>
      </w:r>
      <w:r w:rsidRPr="0081448E">
        <w:rPr>
          <w:i/>
          <w:color w:val="000000"/>
          <w:spacing w:val="-2"/>
          <w:sz w:val="20"/>
          <w:szCs w:val="20"/>
          <w:lang w:val="fr-CA"/>
        </w:rPr>
        <w:t>LSJPA</w:t>
      </w:r>
      <w:r w:rsidRPr="0081448E">
        <w:rPr>
          <w:color w:val="000000"/>
          <w:spacing w:val="-2"/>
          <w:sz w:val="20"/>
          <w:szCs w:val="20"/>
          <w:lang w:val="fr-CA"/>
        </w:rPr>
        <w:t>. Le juge Renke a statué qu’il n’avait pas compétence pour entendre la demande du demandeur de mise en liberté provisoire par voie judiciaire et a rejeté la demande</w:t>
      </w:r>
      <w:r w:rsidRPr="0081448E">
        <w:rPr>
          <w:sz w:val="20"/>
          <w:szCs w:val="20"/>
          <w:lang w:val="fr-CA"/>
        </w:rPr>
        <w:t>.</w:t>
      </w:r>
    </w:p>
    <w:p w:rsidR="00477D76" w:rsidRPr="0081448E" w:rsidRDefault="00477D76" w:rsidP="00477D76">
      <w:pPr>
        <w:widowControl w:val="0"/>
        <w:rPr>
          <w:sz w:val="20"/>
          <w:lang w:val="fr-CA"/>
        </w:rPr>
      </w:pPr>
    </w:p>
    <w:p w:rsidR="00477D76" w:rsidRPr="0081448E" w:rsidRDefault="00DC444A" w:rsidP="00477D76">
      <w:pPr>
        <w:widowControl w:val="0"/>
        <w:rPr>
          <w:sz w:val="20"/>
          <w:szCs w:val="20"/>
          <w:lang w:val="fr-CA"/>
        </w:rPr>
      </w:pPr>
      <w:r>
        <w:rPr>
          <w:sz w:val="20"/>
        </w:rPr>
        <w:pict>
          <v:rect id="_x0000_i1060" style="width:2in;height:1pt" o:hrpct="0" o:hralign="center" o:hrstd="t" o:hrnoshade="t" o:hr="t" fillcolor="black [3213]" stroked="f"/>
        </w:pict>
      </w:r>
    </w:p>
    <w:p w:rsidR="00477D76" w:rsidRPr="0081448E" w:rsidRDefault="00477D76" w:rsidP="00477D76">
      <w:pPr>
        <w:widowControl w:val="0"/>
        <w:rPr>
          <w:sz w:val="20"/>
          <w:szCs w:val="20"/>
          <w:lang w:val="fr-CA"/>
        </w:rPr>
      </w:pPr>
    </w:p>
    <w:p w:rsidR="005C4158" w:rsidRDefault="005C4158">
      <w:pPr>
        <w:rPr>
          <w:b/>
          <w:sz w:val="20"/>
          <w:szCs w:val="20"/>
        </w:rPr>
      </w:pPr>
      <w:r>
        <w:rPr>
          <w:b/>
          <w:sz w:val="20"/>
          <w:szCs w:val="20"/>
        </w:rPr>
        <w:br w:type="page"/>
      </w:r>
    </w:p>
    <w:p w:rsidR="00477D76" w:rsidRPr="0081448E" w:rsidRDefault="00477D76" w:rsidP="00477D76">
      <w:pPr>
        <w:widowControl w:val="0"/>
        <w:ind w:left="720" w:hanging="720"/>
        <w:jc w:val="both"/>
        <w:rPr>
          <w:b/>
          <w:i/>
          <w:sz w:val="20"/>
          <w:szCs w:val="20"/>
        </w:rPr>
      </w:pPr>
      <w:r w:rsidRPr="0081448E">
        <w:rPr>
          <w:b/>
          <w:sz w:val="20"/>
          <w:szCs w:val="20"/>
        </w:rPr>
        <w:lastRenderedPageBreak/>
        <w:fldChar w:fldCharType="begin"/>
      </w:r>
      <w:r w:rsidRPr="0081448E">
        <w:rPr>
          <w:b/>
          <w:sz w:val="20"/>
          <w:szCs w:val="20"/>
        </w:rPr>
        <w:instrText xml:space="preserve"> SEQ CHAPTER \h \r 1</w:instrText>
      </w:r>
      <w:r w:rsidRPr="0081448E">
        <w:rPr>
          <w:b/>
          <w:sz w:val="20"/>
          <w:szCs w:val="20"/>
        </w:rPr>
        <w:fldChar w:fldCharType="end"/>
      </w:r>
      <w:r w:rsidRPr="0081448E">
        <w:rPr>
          <w:b/>
          <w:sz w:val="20"/>
          <w:szCs w:val="20"/>
        </w:rPr>
        <w:t>38546</w:t>
      </w:r>
      <w:r w:rsidRPr="0081448E">
        <w:rPr>
          <w:sz w:val="20"/>
          <w:szCs w:val="20"/>
        </w:rPr>
        <w:tab/>
      </w:r>
      <w:r w:rsidRPr="0081448E">
        <w:rPr>
          <w:b/>
          <w:i/>
          <w:sz w:val="20"/>
          <w:szCs w:val="20"/>
        </w:rPr>
        <w:t>C.P. v. Her Majesty the Queen</w:t>
      </w:r>
    </w:p>
    <w:p w:rsidR="00477D76" w:rsidRPr="0081448E" w:rsidRDefault="00477D76" w:rsidP="00477D76">
      <w:pPr>
        <w:widowControl w:val="0"/>
        <w:ind w:left="720"/>
        <w:jc w:val="both"/>
        <w:rPr>
          <w:sz w:val="20"/>
          <w:szCs w:val="20"/>
        </w:rPr>
      </w:pPr>
      <w:r w:rsidRPr="0081448E">
        <w:rPr>
          <w:sz w:val="20"/>
          <w:szCs w:val="20"/>
        </w:rPr>
        <w:t>(Ont.) (Criminal) (By Leave)</w:t>
      </w:r>
    </w:p>
    <w:p w:rsidR="00477D76" w:rsidRPr="0081448E" w:rsidRDefault="00477D76" w:rsidP="00477D76">
      <w:pPr>
        <w:widowControl w:val="0"/>
        <w:jc w:val="both"/>
        <w:rPr>
          <w:sz w:val="20"/>
          <w:szCs w:val="20"/>
        </w:rPr>
      </w:pPr>
    </w:p>
    <w:p w:rsidR="00477D76" w:rsidRPr="0081448E" w:rsidRDefault="00477D76" w:rsidP="00477D76">
      <w:pPr>
        <w:pStyle w:val="SCCBanSummary0"/>
        <w:rPr>
          <w:sz w:val="20"/>
          <w:szCs w:val="20"/>
          <w:lang w:val="en-US"/>
        </w:rPr>
      </w:pPr>
      <w:r w:rsidRPr="0081448E">
        <w:rPr>
          <w:sz w:val="20"/>
          <w:szCs w:val="20"/>
        </w:rPr>
        <w:t>(Publication ban in case)</w:t>
      </w:r>
    </w:p>
    <w:p w:rsidR="00477D76" w:rsidRPr="0081448E" w:rsidRDefault="00477D76" w:rsidP="00477D76">
      <w:pPr>
        <w:widowControl w:val="0"/>
        <w:jc w:val="both"/>
        <w:rPr>
          <w:sz w:val="20"/>
          <w:szCs w:val="20"/>
        </w:rPr>
      </w:pPr>
    </w:p>
    <w:p w:rsidR="00477D76" w:rsidRPr="0081448E" w:rsidRDefault="00477D76" w:rsidP="00477D76">
      <w:pPr>
        <w:jc w:val="both"/>
        <w:rPr>
          <w:sz w:val="20"/>
          <w:szCs w:val="20"/>
        </w:rPr>
      </w:pPr>
      <w:r w:rsidRPr="0081448E">
        <w:rPr>
          <w:i/>
          <w:sz w:val="20"/>
          <w:szCs w:val="20"/>
        </w:rPr>
        <w:t>Charter of rights</w:t>
      </w:r>
      <w:r w:rsidRPr="0081448E">
        <w:rPr>
          <w:sz w:val="20"/>
          <w:szCs w:val="20"/>
        </w:rPr>
        <w:t xml:space="preserve"> - Right to liberty - Right to equality - Criminal law - Sexual Assault - Reasonable verdict - Whether s. 37(10) of the </w:t>
      </w:r>
      <w:r w:rsidRPr="0081448E">
        <w:rPr>
          <w:i/>
          <w:sz w:val="20"/>
          <w:szCs w:val="20"/>
        </w:rPr>
        <w:t>Youth Criminal Justice Act</w:t>
      </w:r>
      <w:r w:rsidRPr="0081448E">
        <w:rPr>
          <w:sz w:val="20"/>
          <w:szCs w:val="20"/>
        </w:rPr>
        <w:t xml:space="preserve"> infringes s. 7 of the </w:t>
      </w:r>
      <w:r w:rsidRPr="0081448E">
        <w:rPr>
          <w:i/>
          <w:sz w:val="20"/>
          <w:szCs w:val="20"/>
        </w:rPr>
        <w:t>Canadian Charter of Rights and Freedoms</w:t>
      </w:r>
      <w:r w:rsidRPr="0081448E">
        <w:rPr>
          <w:sz w:val="20"/>
          <w:szCs w:val="20"/>
        </w:rPr>
        <w:t xml:space="preserve"> - Whether s. 37(10) of the </w:t>
      </w:r>
      <w:r w:rsidRPr="0081448E">
        <w:rPr>
          <w:i/>
          <w:sz w:val="20"/>
          <w:szCs w:val="20"/>
        </w:rPr>
        <w:t>Youth Criminal Justice Act</w:t>
      </w:r>
      <w:r w:rsidRPr="0081448E">
        <w:rPr>
          <w:sz w:val="20"/>
          <w:szCs w:val="20"/>
        </w:rPr>
        <w:t xml:space="preserve"> infringes s. 15(1) of the </w:t>
      </w:r>
      <w:r w:rsidRPr="0081448E">
        <w:rPr>
          <w:i/>
          <w:sz w:val="20"/>
          <w:szCs w:val="20"/>
        </w:rPr>
        <w:t>Canadian Charter of Rights and Freedoms</w:t>
      </w:r>
      <w:r w:rsidRPr="0081448E">
        <w:rPr>
          <w:sz w:val="20"/>
          <w:szCs w:val="20"/>
        </w:rPr>
        <w:t xml:space="preserve"> - If the answer to any of the questions above is “yes”, is the infringement demonstrably justified in a free and democratic society within the meaning of s. 1? - Was the finding of guilt in the appellant’s case unreasonable or unsupported by the evidence within the meaning of s. 686(1)(a)(i) of the </w:t>
      </w:r>
      <w:r w:rsidRPr="0081448E">
        <w:rPr>
          <w:i/>
          <w:sz w:val="20"/>
          <w:szCs w:val="20"/>
        </w:rPr>
        <w:t>Criminal Code</w:t>
      </w:r>
      <w:r w:rsidRPr="0081448E">
        <w:rPr>
          <w:sz w:val="20"/>
          <w:szCs w:val="20"/>
        </w:rPr>
        <w:t xml:space="preserve">, R.S.C. 1985, c. C-46? - </w:t>
      </w:r>
      <w:r w:rsidRPr="0081448E">
        <w:rPr>
          <w:i/>
          <w:sz w:val="20"/>
          <w:szCs w:val="20"/>
        </w:rPr>
        <w:t>Youth Criminal Justice Act</w:t>
      </w:r>
      <w:r w:rsidRPr="0081448E">
        <w:rPr>
          <w:sz w:val="20"/>
          <w:szCs w:val="20"/>
        </w:rPr>
        <w:t>, S.C. 2002, c. 1, s. 37(10).</w:t>
      </w:r>
    </w:p>
    <w:p w:rsidR="00477D76" w:rsidRPr="0081448E" w:rsidRDefault="00477D76" w:rsidP="00477D76">
      <w:pPr>
        <w:widowControl w:val="0"/>
        <w:jc w:val="both"/>
        <w:rPr>
          <w:sz w:val="20"/>
          <w:szCs w:val="20"/>
        </w:rPr>
      </w:pPr>
    </w:p>
    <w:p w:rsidR="00477D76" w:rsidRPr="0081448E" w:rsidRDefault="00477D76" w:rsidP="00477D76">
      <w:pPr>
        <w:widowControl w:val="0"/>
        <w:jc w:val="both"/>
        <w:rPr>
          <w:sz w:val="20"/>
          <w:szCs w:val="20"/>
          <w:lang w:val="en"/>
        </w:rPr>
      </w:pPr>
      <w:r w:rsidRPr="0081448E">
        <w:rPr>
          <w:sz w:val="20"/>
          <w:szCs w:val="20"/>
        </w:rPr>
        <w:t xml:space="preserve">The appellant, a young person within the meaning of the </w:t>
      </w:r>
      <w:r w:rsidRPr="0081448E">
        <w:rPr>
          <w:i/>
          <w:sz w:val="20"/>
          <w:szCs w:val="20"/>
        </w:rPr>
        <w:t>Youth Criminal Justice Act</w:t>
      </w:r>
      <w:r w:rsidRPr="0081448E">
        <w:rPr>
          <w:sz w:val="20"/>
          <w:szCs w:val="20"/>
        </w:rPr>
        <w:t xml:space="preserve">, </w:t>
      </w:r>
      <w:r w:rsidRPr="0081448E">
        <w:rPr>
          <w:sz w:val="20"/>
          <w:szCs w:val="20"/>
          <w:lang w:val="en"/>
        </w:rPr>
        <w:t>S.C. 2002, c. 1 (“YCJA”), was convicted of sexual assault. It is alleged that he had non-consensual sexual intercourse with his 14-year-old friend, the complainant, while at a beach to celebrate a friend’s birthday. Central to a finding of guilt was whether the complainant had the capacity to consent to the sexual activity, and that depended largely on the timing of the sexual activity. The Crown alleged that the complainant could not have consented to the sexual activity because it had occurred late at night when she was severely intoxicated. The trial judge was satisfied beyond a reasonable doubt that the complainant was not capable of consenting and that the appellant could not rely on an honest but mistaken belief that she had consented. A majority of the Court of Appeal dismissed the appeal. Nordheimer J.A., dissenting, would have allowed the appeal, set aside the conviction and entered an acquittal. In his view, the trial judge’s conclusion that the complainant was not capable of consenting was demonstrably incompatible with the whole of the evidence, especially the uncontradicted evidence.</w:t>
      </w:r>
    </w:p>
    <w:p w:rsidR="00477D76" w:rsidRPr="0081448E" w:rsidRDefault="00477D76" w:rsidP="00477D76">
      <w:pPr>
        <w:widowControl w:val="0"/>
        <w:jc w:val="both"/>
        <w:rPr>
          <w:sz w:val="20"/>
          <w:szCs w:val="20"/>
          <w:lang w:val="en"/>
        </w:rPr>
      </w:pPr>
    </w:p>
    <w:p w:rsidR="00477D76" w:rsidRPr="0081448E" w:rsidRDefault="00477D76" w:rsidP="00477D76">
      <w:pPr>
        <w:widowControl w:val="0"/>
        <w:jc w:val="both"/>
        <w:rPr>
          <w:sz w:val="20"/>
        </w:rPr>
      </w:pPr>
      <w:r w:rsidRPr="0081448E">
        <w:rPr>
          <w:sz w:val="20"/>
          <w:szCs w:val="20"/>
          <w:lang w:val="en"/>
        </w:rPr>
        <w:t xml:space="preserve">The appellant filed </w:t>
      </w:r>
      <w:r w:rsidRPr="0081448E">
        <w:rPr>
          <w:sz w:val="20"/>
          <w:szCs w:val="20"/>
        </w:rPr>
        <w:t xml:space="preserve">a notice of appeal as of right pursuant to s. 691(1)(a) of the </w:t>
      </w:r>
      <w:r w:rsidRPr="0081448E">
        <w:rPr>
          <w:i/>
          <w:sz w:val="20"/>
          <w:szCs w:val="20"/>
        </w:rPr>
        <w:t>Criminal Code</w:t>
      </w:r>
      <w:r w:rsidRPr="0081448E">
        <w:rPr>
          <w:sz w:val="20"/>
          <w:szCs w:val="20"/>
        </w:rPr>
        <w:t>. The respondent Crown moved to quash the appeal as of right on the basis that the appellant is a young person within the meaning of the YCJA and s. 37(10) of that act requires leave of this Court before an appeal can be heard. The Supreme Court of Canada adjourned the motion to quash, allowing the appellant to serve and file an application for leave to appeal that could include the constitutional issue as a ground</w:t>
      </w:r>
      <w:r w:rsidRPr="0081448E">
        <w:rPr>
          <w:sz w:val="20"/>
        </w:rPr>
        <w:t>. Leave to appeal was granted.</w:t>
      </w:r>
    </w:p>
    <w:p w:rsidR="00477D76" w:rsidRPr="0081448E" w:rsidRDefault="00477D76" w:rsidP="00477D76">
      <w:pPr>
        <w:widowControl w:val="0"/>
        <w:jc w:val="both"/>
        <w:rPr>
          <w:sz w:val="20"/>
        </w:rPr>
      </w:pPr>
    </w:p>
    <w:p w:rsidR="00477D76" w:rsidRPr="0081448E" w:rsidRDefault="00DC444A" w:rsidP="00477D76">
      <w:pPr>
        <w:widowControl w:val="0"/>
        <w:jc w:val="both"/>
        <w:rPr>
          <w:sz w:val="20"/>
        </w:rPr>
      </w:pPr>
      <w:r>
        <w:rPr>
          <w:sz w:val="20"/>
        </w:rPr>
        <w:pict>
          <v:rect id="_x0000_i1061" style="width:2in;height:1pt" o:hrpct="0" o:hralign="center" o:hrstd="t" o:hrnoshade="t" o:hr="t" fillcolor="black [3213]" stroked="f"/>
        </w:pict>
      </w:r>
    </w:p>
    <w:p w:rsidR="00477D76" w:rsidRPr="0081448E" w:rsidRDefault="00477D76" w:rsidP="00477D76">
      <w:pPr>
        <w:widowControl w:val="0"/>
        <w:jc w:val="both"/>
        <w:rPr>
          <w:sz w:val="20"/>
          <w:szCs w:val="20"/>
        </w:rPr>
      </w:pPr>
    </w:p>
    <w:p w:rsidR="00477D76" w:rsidRPr="0081448E" w:rsidRDefault="00477D76" w:rsidP="00477D76">
      <w:pPr>
        <w:widowControl w:val="0"/>
        <w:ind w:left="720" w:hanging="720"/>
        <w:jc w:val="both"/>
        <w:rPr>
          <w:b/>
          <w:i/>
          <w:sz w:val="20"/>
          <w:szCs w:val="20"/>
          <w:lang w:val="fr-CA"/>
        </w:rPr>
      </w:pPr>
      <w:r w:rsidRPr="0081448E">
        <w:rPr>
          <w:b/>
          <w:sz w:val="20"/>
          <w:szCs w:val="20"/>
          <w:lang w:val="fr-CA"/>
        </w:rPr>
        <w:fldChar w:fldCharType="begin"/>
      </w:r>
      <w:r w:rsidRPr="0081448E">
        <w:rPr>
          <w:b/>
          <w:sz w:val="20"/>
          <w:szCs w:val="20"/>
          <w:lang w:val="fr-CA"/>
        </w:rPr>
        <w:instrText xml:space="preserve"> SEQ CHAPTER \h \r 1</w:instrText>
      </w:r>
      <w:r w:rsidRPr="0081448E">
        <w:rPr>
          <w:b/>
          <w:sz w:val="20"/>
          <w:szCs w:val="20"/>
          <w:lang w:val="fr-CA"/>
        </w:rPr>
        <w:fldChar w:fldCharType="end"/>
      </w:r>
      <w:r w:rsidRPr="0081448E">
        <w:rPr>
          <w:b/>
          <w:sz w:val="20"/>
          <w:szCs w:val="20"/>
          <w:lang w:val="fr-CA"/>
        </w:rPr>
        <w:t>38546</w:t>
      </w:r>
      <w:r w:rsidRPr="0081448E">
        <w:rPr>
          <w:sz w:val="20"/>
          <w:szCs w:val="20"/>
          <w:lang w:val="fr-CA"/>
        </w:rPr>
        <w:tab/>
      </w:r>
      <w:r w:rsidRPr="0081448E">
        <w:rPr>
          <w:b/>
          <w:i/>
          <w:sz w:val="20"/>
          <w:szCs w:val="20"/>
          <w:lang w:val="fr-CA"/>
        </w:rPr>
        <w:t>C.P. c. Sa Majesté la Reine</w:t>
      </w:r>
    </w:p>
    <w:p w:rsidR="00477D76" w:rsidRPr="0081448E" w:rsidRDefault="00477D76" w:rsidP="00477D76">
      <w:pPr>
        <w:widowControl w:val="0"/>
        <w:ind w:left="720"/>
        <w:jc w:val="both"/>
        <w:rPr>
          <w:sz w:val="20"/>
          <w:szCs w:val="20"/>
          <w:lang w:val="fr-CA"/>
        </w:rPr>
      </w:pPr>
      <w:r w:rsidRPr="0081448E">
        <w:rPr>
          <w:sz w:val="20"/>
          <w:szCs w:val="20"/>
          <w:lang w:val="fr-CA"/>
        </w:rPr>
        <w:t>(Ont.) (Criminelle) (Autorisation)</w:t>
      </w:r>
    </w:p>
    <w:p w:rsidR="00477D76" w:rsidRPr="0081448E" w:rsidRDefault="00477D76" w:rsidP="00477D76">
      <w:pPr>
        <w:widowControl w:val="0"/>
        <w:jc w:val="both"/>
        <w:rPr>
          <w:sz w:val="20"/>
          <w:szCs w:val="20"/>
          <w:lang w:val="fr-CA"/>
        </w:rPr>
      </w:pPr>
    </w:p>
    <w:p w:rsidR="00477D76" w:rsidRPr="0081448E" w:rsidRDefault="00477D76" w:rsidP="00477D76">
      <w:pPr>
        <w:pStyle w:val="SCCBanSummary0"/>
        <w:rPr>
          <w:sz w:val="20"/>
          <w:szCs w:val="20"/>
          <w:lang w:val="fr-CA"/>
        </w:rPr>
      </w:pPr>
      <w:r w:rsidRPr="0081448E">
        <w:rPr>
          <w:sz w:val="20"/>
          <w:szCs w:val="20"/>
          <w:lang w:val="fr-CA"/>
        </w:rPr>
        <w:t>(Ordonnance de non-publication dans le dossier)</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i/>
          <w:sz w:val="20"/>
          <w:szCs w:val="20"/>
          <w:lang w:val="fr-CA"/>
        </w:rPr>
        <w:t>Charte de droits</w:t>
      </w:r>
      <w:r w:rsidRPr="0081448E">
        <w:rPr>
          <w:sz w:val="20"/>
          <w:szCs w:val="20"/>
          <w:lang w:val="fr-CA"/>
        </w:rPr>
        <w:t xml:space="preserve"> - Droit à la liberté - Droit à l’égalité - Droit criminel - Agression sexuelle - Verdict raisonnable - Le par. 37(10) de la </w:t>
      </w:r>
      <w:r w:rsidRPr="0081448E">
        <w:rPr>
          <w:i/>
          <w:sz w:val="20"/>
          <w:szCs w:val="20"/>
          <w:lang w:val="fr-CA"/>
        </w:rPr>
        <w:t>Loi sur le système de justice pénale pour les adolescents</w:t>
      </w:r>
      <w:r w:rsidRPr="0081448E">
        <w:rPr>
          <w:sz w:val="20"/>
          <w:szCs w:val="20"/>
          <w:lang w:val="fr-CA"/>
        </w:rPr>
        <w:t xml:space="preserve"> viole-t-il l’art. 7 de la </w:t>
      </w:r>
      <w:r w:rsidRPr="0081448E">
        <w:rPr>
          <w:i/>
          <w:sz w:val="20"/>
          <w:szCs w:val="20"/>
          <w:lang w:val="fr-CA"/>
        </w:rPr>
        <w:t>Charte canadienne des droits et libertés</w:t>
      </w:r>
      <w:r w:rsidRPr="0081448E">
        <w:rPr>
          <w:sz w:val="20"/>
          <w:szCs w:val="20"/>
          <w:lang w:val="fr-CA"/>
        </w:rPr>
        <w:t xml:space="preserve">? - Le par. 37(10) de la </w:t>
      </w:r>
      <w:r w:rsidRPr="0081448E">
        <w:rPr>
          <w:i/>
          <w:sz w:val="20"/>
          <w:szCs w:val="20"/>
          <w:lang w:val="fr-CA"/>
        </w:rPr>
        <w:t>Loi sur le système de justice pénale pour les adolescents</w:t>
      </w:r>
      <w:r w:rsidRPr="0081448E">
        <w:rPr>
          <w:sz w:val="20"/>
          <w:szCs w:val="20"/>
          <w:lang w:val="fr-CA"/>
        </w:rPr>
        <w:t xml:space="preserve"> viole-t-il le par. 15(1) de la </w:t>
      </w:r>
      <w:r w:rsidRPr="0081448E">
        <w:rPr>
          <w:i/>
          <w:sz w:val="20"/>
          <w:szCs w:val="20"/>
          <w:lang w:val="fr-CA"/>
        </w:rPr>
        <w:t>Charte canadienne des droits et libertés</w:t>
      </w:r>
      <w:r w:rsidRPr="0081448E">
        <w:rPr>
          <w:sz w:val="20"/>
          <w:szCs w:val="20"/>
          <w:lang w:val="fr-CA"/>
        </w:rPr>
        <w:t>? - Si la réponse à l’une ou l’autre de ces questions est affirmative, la justification de cette violation peut</w:t>
      </w:r>
      <w:r w:rsidRPr="0081448E">
        <w:rPr>
          <w:sz w:val="20"/>
          <w:szCs w:val="20"/>
          <w:lang w:val="fr-CA"/>
        </w:rPr>
        <w:noBreakHyphen/>
        <w:t xml:space="preserve">elle se démontrer dans le cadre d’une société libre et démocratique, au sens de l’article premier? - Le verdict de culpabilité dans le dossier de l’appelant était-il déraisonnable ou non étayé par la preuve au sens du sous-al. 686(1)a)(i) du Code criminel, L.R.C. 1985, ch. C-46? - </w:t>
      </w:r>
      <w:r w:rsidRPr="0081448E">
        <w:rPr>
          <w:i/>
          <w:sz w:val="20"/>
          <w:szCs w:val="20"/>
          <w:lang w:val="fr-CA"/>
        </w:rPr>
        <w:t>Loi sur le système de justice pénale pour les adolescents</w:t>
      </w:r>
      <w:r w:rsidRPr="0081448E">
        <w:rPr>
          <w:sz w:val="20"/>
          <w:szCs w:val="20"/>
          <w:lang w:val="fr-CA"/>
        </w:rPr>
        <w:t>, L.C. 2002, ch. 1, par. 37(10).</w:t>
      </w:r>
    </w:p>
    <w:p w:rsidR="00477D76" w:rsidRPr="0081448E" w:rsidRDefault="00477D76" w:rsidP="00477D76">
      <w:pPr>
        <w:widowControl w:val="0"/>
        <w:jc w:val="both"/>
        <w:rPr>
          <w:sz w:val="20"/>
          <w:szCs w:val="20"/>
          <w:lang w:val="fr-CA"/>
        </w:rPr>
      </w:pPr>
    </w:p>
    <w:p w:rsidR="005C4158" w:rsidRDefault="005C4158">
      <w:pPr>
        <w:rPr>
          <w:sz w:val="20"/>
          <w:szCs w:val="20"/>
          <w:lang w:val="fr-CA"/>
        </w:rPr>
      </w:pPr>
      <w:r>
        <w:rPr>
          <w:sz w:val="20"/>
          <w:szCs w:val="20"/>
          <w:lang w:val="fr-CA"/>
        </w:rPr>
        <w:br w:type="page"/>
      </w:r>
    </w:p>
    <w:p w:rsidR="00477D76" w:rsidRPr="0081448E" w:rsidRDefault="00477D76" w:rsidP="00477D76">
      <w:pPr>
        <w:widowControl w:val="0"/>
        <w:jc w:val="both"/>
        <w:rPr>
          <w:sz w:val="20"/>
          <w:szCs w:val="20"/>
          <w:lang w:val="fr-CA"/>
        </w:rPr>
      </w:pPr>
      <w:r w:rsidRPr="0081448E">
        <w:rPr>
          <w:sz w:val="20"/>
          <w:szCs w:val="20"/>
          <w:lang w:val="fr-CA"/>
        </w:rPr>
        <w:lastRenderedPageBreak/>
        <w:t xml:space="preserve">L’appelant, un adolescent au sens de la </w:t>
      </w:r>
      <w:r w:rsidRPr="0081448E">
        <w:rPr>
          <w:i/>
          <w:sz w:val="20"/>
          <w:szCs w:val="20"/>
          <w:lang w:val="fr-CA"/>
        </w:rPr>
        <w:t>Loi sur le système de justice pénale pour les adolescents</w:t>
      </w:r>
      <w:r w:rsidRPr="0081448E">
        <w:rPr>
          <w:sz w:val="20"/>
          <w:szCs w:val="20"/>
          <w:lang w:val="fr-CA"/>
        </w:rPr>
        <w:t>, L.C. 2002, ch. 1 (« LSJPA »), a été déclaré coupable d’agression sexuelle. On lui reproche d’avoir eu un rapport sexuel non consensuel avec son amie âgée de quatorze ans alors qu’ils étaient à la plage pour fêter l’anniversaire d’un ami. Au cœur d’une déclaration de culpabilité était la question de savoir si plaignante avait la capacité de consentir à l’activité sexuelle, ce qui dépendait en grande partie du moment où l’activité avait eu lieu. Le ministère public allègue que la plaignante n’avait pas pu consentir à l’activité sexuelle, car celle-ci s’était produite tard dans la nuit, alors que la plaignante était en état d’ébriété avancée. La juge de procès était convaincue hors de tout doute raisonnable que la plaignante n’était pas capable de consentir et que l’appelant ne pouvait pas s’appuyer sur une croyance sincère mais erronée qu’elle avait consentie. Les juges majoritaires de la Cour d’appel ont rejeté l’appel. Le juge Nordheimer, dissident, aurait accueilli l’appel, annulé la déclaration de culpabilité et inscrit un verdict d’acquittement. À son avis, la conclusion de la juge du procès selon laquelle la plaignante n’était pas capable de consentir était une conclusion dont on peut démontrer qu’elle était incompatible avec l’ensemble de la preuve, surtout la preuve non contredite.</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 xml:space="preserve">L’appelant a déposé un avis d’appel de plein droit en application de l’al. 691(1)a) du </w:t>
      </w:r>
      <w:r w:rsidRPr="0081448E">
        <w:rPr>
          <w:i/>
          <w:sz w:val="20"/>
          <w:szCs w:val="20"/>
          <w:lang w:val="fr-CA"/>
        </w:rPr>
        <w:t>Code criminel</w:t>
      </w:r>
      <w:r w:rsidRPr="0081448E">
        <w:rPr>
          <w:sz w:val="20"/>
          <w:szCs w:val="20"/>
          <w:lang w:val="fr-CA"/>
        </w:rPr>
        <w:t>. L’intimée a demandé par requête l’annulation de l’appel de plein droit au motif que l’appelant est un adolescent au sens de la LSJPA et que le par. 37(1) de cette loi exige l’autorisation de notre Cour avant qu’un appel puisse être entendu. La Cour suprême du Canada a ajourné la requête en annulation, autorisant l’appelant à signifier et à déposer une demande d’autorisation d’appel qui pourrait comprendre la question constitutionnelle comme moyen. L’autorisation d’appel a été accordée.</w:t>
      </w:r>
    </w:p>
    <w:p w:rsidR="00477D76" w:rsidRPr="0081448E" w:rsidRDefault="00477D76" w:rsidP="00477D76">
      <w:pPr>
        <w:widowControl w:val="0"/>
        <w:rPr>
          <w:sz w:val="20"/>
          <w:lang w:val="fr-CA"/>
        </w:rPr>
      </w:pPr>
    </w:p>
    <w:p w:rsidR="00477D76" w:rsidRPr="0081448E" w:rsidRDefault="00DC444A" w:rsidP="00477D76">
      <w:pPr>
        <w:widowControl w:val="0"/>
        <w:rPr>
          <w:sz w:val="20"/>
          <w:szCs w:val="20"/>
          <w:lang w:val="fr-CA"/>
        </w:rPr>
      </w:pPr>
      <w:r>
        <w:rPr>
          <w:sz w:val="20"/>
        </w:rPr>
        <w:pict>
          <v:rect id="_x0000_i1062" style="width:2in;height:1pt" o:hrpct="0" o:hralign="center" o:hrstd="t" o:hrnoshade="t" o:hr="t" fillcolor="black [3213]" stroked="f"/>
        </w:pict>
      </w:r>
    </w:p>
    <w:p w:rsidR="00477D76" w:rsidRPr="0081448E" w:rsidRDefault="00477D76" w:rsidP="00477D76">
      <w:pPr>
        <w:widowControl w:val="0"/>
        <w:rPr>
          <w:sz w:val="20"/>
          <w:lang w:val="fr-CA"/>
        </w:rPr>
      </w:pPr>
    </w:p>
    <w:p w:rsidR="00477D76" w:rsidRPr="0081448E" w:rsidRDefault="00477D76" w:rsidP="00477D76">
      <w:pPr>
        <w:widowControl w:val="0"/>
        <w:ind w:left="720" w:hanging="720"/>
        <w:rPr>
          <w:b/>
          <w:i/>
          <w:sz w:val="20"/>
          <w:szCs w:val="20"/>
          <w:lang w:val="fr-CA"/>
        </w:rPr>
      </w:pPr>
      <w:r w:rsidRPr="0081448E">
        <w:rPr>
          <w:rStyle w:val="SCCFileNumberChar"/>
          <w:sz w:val="20"/>
          <w:szCs w:val="20"/>
          <w:lang w:val="fr-CA"/>
        </w:rPr>
        <w:t>38755</w:t>
      </w:r>
      <w:r w:rsidRPr="0081448E">
        <w:rPr>
          <w:rStyle w:val="SCCFileNumberChar"/>
          <w:sz w:val="20"/>
          <w:szCs w:val="20"/>
          <w:lang w:val="fr-CA"/>
        </w:rPr>
        <w:tab/>
      </w:r>
      <w:r w:rsidRPr="0081448E">
        <w:rPr>
          <w:b/>
          <w:i/>
          <w:sz w:val="20"/>
          <w:szCs w:val="20"/>
          <w:lang w:val="fr-CA"/>
        </w:rPr>
        <w:t>MediaQMI Inc. v. Magdi Kamel and Centre intégré universitaire de santé et de services sociaux de l’Ouest-de-l’</w:t>
      </w:r>
      <w:r w:rsidRPr="0081448E">
        <w:rPr>
          <w:rFonts w:cs="Times New Roman"/>
          <w:b/>
          <w:i/>
          <w:sz w:val="20"/>
          <w:szCs w:val="20"/>
          <w:lang w:val="fr-CA"/>
        </w:rPr>
        <w:t>Î</w:t>
      </w:r>
      <w:r w:rsidRPr="0081448E">
        <w:rPr>
          <w:b/>
          <w:i/>
          <w:sz w:val="20"/>
          <w:szCs w:val="20"/>
          <w:lang w:val="fr-CA"/>
        </w:rPr>
        <w:t>le-de-Montréal</w:t>
      </w:r>
    </w:p>
    <w:p w:rsidR="00477D76" w:rsidRPr="0081448E" w:rsidRDefault="00477D76" w:rsidP="00477D76">
      <w:pPr>
        <w:widowControl w:val="0"/>
        <w:ind w:firstLine="720"/>
        <w:rPr>
          <w:sz w:val="20"/>
          <w:lang w:val="en-US"/>
        </w:rPr>
      </w:pPr>
      <w:r w:rsidRPr="0081448E">
        <w:rPr>
          <w:sz w:val="20"/>
          <w:szCs w:val="20"/>
        </w:rPr>
        <w:t>(Que.) (Civil) (By Leave)</w:t>
      </w:r>
    </w:p>
    <w:p w:rsidR="00477D76" w:rsidRPr="0081448E" w:rsidRDefault="00477D76" w:rsidP="00477D76">
      <w:pPr>
        <w:widowControl w:val="0"/>
        <w:rPr>
          <w:sz w:val="20"/>
          <w:lang w:val="en-US"/>
        </w:rPr>
      </w:pPr>
    </w:p>
    <w:p w:rsidR="00477D76" w:rsidRPr="0081448E" w:rsidRDefault="00477D76" w:rsidP="00477D76">
      <w:pPr>
        <w:widowControl w:val="0"/>
        <w:jc w:val="both"/>
        <w:rPr>
          <w:sz w:val="20"/>
          <w:lang w:val="en-US"/>
        </w:rPr>
      </w:pPr>
      <w:r w:rsidRPr="0081448E">
        <w:rPr>
          <w:sz w:val="20"/>
          <w:szCs w:val="20"/>
        </w:rPr>
        <w:t xml:space="preserve">Civil procedure - Discontinuance - Right to remove exhibits from court record - Judicial discretion - Openness of court proceedings - Media company bringing motion to end sealing in order to access exhibits filed in support of originating application - How discontinuance and application to remove exhibits affect application for access to exhibits and pleadings filed earlier - Analytical approach to be taken in deciding application for access to exhibits and pleadings where discontinuance and application to remove exhibits are later filed - Whether MediaQMI was entitled to have access to and examine content of exhibits in issue - Articles 108 and 213 of </w:t>
      </w:r>
      <w:r w:rsidRPr="0081448E">
        <w:rPr>
          <w:i/>
          <w:sz w:val="20"/>
          <w:szCs w:val="20"/>
        </w:rPr>
        <w:t>Code of Civil Procedure</w:t>
      </w:r>
      <w:r w:rsidRPr="0081448E">
        <w:rPr>
          <w:sz w:val="20"/>
          <w:szCs w:val="20"/>
        </w:rPr>
        <w:t>, CQLR, c. C-25.01.</w:t>
      </w:r>
    </w:p>
    <w:p w:rsidR="00477D76" w:rsidRPr="0081448E" w:rsidRDefault="00477D76" w:rsidP="00477D76">
      <w:pPr>
        <w:widowControl w:val="0"/>
        <w:rPr>
          <w:sz w:val="20"/>
        </w:rPr>
      </w:pPr>
    </w:p>
    <w:p w:rsidR="00477D76" w:rsidRPr="0081448E" w:rsidRDefault="00477D76" w:rsidP="00477D76">
      <w:pPr>
        <w:widowControl w:val="0"/>
        <w:jc w:val="both"/>
        <w:rPr>
          <w:sz w:val="20"/>
        </w:rPr>
      </w:pPr>
      <w:r w:rsidRPr="0081448E">
        <w:rPr>
          <w:sz w:val="20"/>
          <w:szCs w:val="20"/>
          <w:lang w:val="fr-CA"/>
        </w:rPr>
        <w:t xml:space="preserve">On October 6, 2016, the respondent Centre intégré universitaire de santé et de services sociaux de </w:t>
      </w:r>
      <w:proofErr w:type="gramStart"/>
      <w:r w:rsidRPr="0081448E">
        <w:rPr>
          <w:sz w:val="20"/>
          <w:szCs w:val="20"/>
          <w:lang w:val="fr-CA"/>
        </w:rPr>
        <w:t>l’Ouest</w:t>
      </w:r>
      <w:proofErr w:type="gramEnd"/>
      <w:r w:rsidRPr="0081448E">
        <w:rPr>
          <w:sz w:val="20"/>
          <w:szCs w:val="20"/>
          <w:lang w:val="fr-CA"/>
        </w:rPr>
        <w:t xml:space="preserve">-de-l’Île-de-Montréal (CIUSSS) instituted an action against the respondent Magdi Kamel, a former managerial employee. </w:t>
      </w:r>
      <w:r w:rsidRPr="0081448E">
        <w:rPr>
          <w:sz w:val="20"/>
          <w:szCs w:val="20"/>
        </w:rPr>
        <w:t>The CIUSSS claimed a sum of money equal to the amount reimbursed to Mr. Kamel for allegedly unlawful personal expenses, as well as damages and a Norwich order to obtain certain financial information from a bank about its customer, Mr. Kamel. On October 7, a Norwich order was authorized, as was the sealing of the record for a period of 120 days, which was later renewed. The sealed record contained four exhibits at the time, including an investigation report produced by forensic accounts at the request of the CIUSSS. On March 27, 2017, the appellant media company, MediaQMI Inc., filed a motion to end the sealing and applied for access to the contents of the record and to the originating pleading. On April 19, 2017, the CIUSSS filed a discontinuance of its action against Mr. Kamel. On April 21, 2017, Mr. Kamel filed an application to have the originating pleading removed from the record or, alternatively, sealed. On April 25, 2017, during the hearing of Mr. Kamel’s application, the CIUSSS also applied for the removal of Exhibits P-1 to P-4. MediaQMI contested both applications. On July 20, 2017, the Superior Court rendered judgment. It held that the originating pleading had to be kept in the record and made public but that the CIUSSS could remove Exhibits P-1 to P-4 from the record. MediaQMI then appealed the judge’s conclusion concerning the removal of the exhibits. A majority of the Court of Appeal dismissed the appeal. A dissenting judge would have allowed the appeal</w:t>
      </w:r>
      <w:r w:rsidRPr="0081448E">
        <w:rPr>
          <w:sz w:val="20"/>
          <w:szCs w:val="20"/>
          <w:lang w:val="fr-CA"/>
        </w:rPr>
        <w:t>.</w:t>
      </w:r>
    </w:p>
    <w:p w:rsidR="00477D76" w:rsidRPr="0081448E" w:rsidRDefault="00477D76" w:rsidP="00477D76">
      <w:pPr>
        <w:widowControl w:val="0"/>
        <w:rPr>
          <w:sz w:val="20"/>
        </w:rPr>
      </w:pPr>
    </w:p>
    <w:p w:rsidR="00477D76" w:rsidRPr="0081448E" w:rsidRDefault="00DC444A" w:rsidP="00477D76">
      <w:pPr>
        <w:widowControl w:val="0"/>
        <w:rPr>
          <w:sz w:val="20"/>
          <w:lang w:val="en-US"/>
        </w:rPr>
      </w:pPr>
      <w:r>
        <w:rPr>
          <w:sz w:val="20"/>
        </w:rPr>
        <w:pict>
          <v:rect id="_x0000_i1063" style="width:2in;height:1pt" o:hrpct="0" o:hralign="center" o:hrstd="t" o:hrnoshade="t" o:hr="t" fillcolor="black [3213]" stroked="f"/>
        </w:pict>
      </w:r>
    </w:p>
    <w:p w:rsidR="00477D76" w:rsidRPr="0081448E" w:rsidRDefault="00477D76" w:rsidP="00477D76">
      <w:pPr>
        <w:widowControl w:val="0"/>
        <w:rPr>
          <w:sz w:val="20"/>
        </w:rPr>
      </w:pPr>
    </w:p>
    <w:p w:rsidR="005C4158" w:rsidRDefault="005C4158">
      <w:pPr>
        <w:rPr>
          <w:rStyle w:val="SCCFileNumberChar"/>
          <w:sz w:val="20"/>
          <w:szCs w:val="20"/>
          <w:lang w:val="fr-CA"/>
        </w:rPr>
      </w:pPr>
      <w:r>
        <w:rPr>
          <w:rStyle w:val="SCCFileNumberChar"/>
          <w:sz w:val="20"/>
          <w:szCs w:val="20"/>
          <w:lang w:val="fr-CA"/>
        </w:rPr>
        <w:br w:type="page"/>
      </w:r>
    </w:p>
    <w:p w:rsidR="00477D76" w:rsidRPr="0081448E" w:rsidRDefault="00477D76" w:rsidP="00477D76">
      <w:pPr>
        <w:widowControl w:val="0"/>
        <w:ind w:left="720" w:hanging="720"/>
        <w:rPr>
          <w:b/>
          <w:i/>
          <w:sz w:val="20"/>
          <w:szCs w:val="20"/>
          <w:lang w:val="fr-CA"/>
        </w:rPr>
      </w:pPr>
      <w:r w:rsidRPr="0081448E">
        <w:rPr>
          <w:rStyle w:val="SCCFileNumberChar"/>
          <w:sz w:val="20"/>
          <w:szCs w:val="20"/>
          <w:lang w:val="fr-CA"/>
        </w:rPr>
        <w:lastRenderedPageBreak/>
        <w:t>38755</w:t>
      </w:r>
      <w:r w:rsidRPr="0081448E">
        <w:rPr>
          <w:rStyle w:val="SCCFileNumberChar"/>
          <w:sz w:val="20"/>
          <w:szCs w:val="20"/>
          <w:lang w:val="fr-CA"/>
        </w:rPr>
        <w:tab/>
      </w:r>
      <w:r w:rsidRPr="0081448E">
        <w:rPr>
          <w:rFonts w:eastAsia="Times New Roman" w:cs="Times New Roman"/>
          <w:b/>
          <w:i/>
          <w:sz w:val="20"/>
          <w:szCs w:val="20"/>
          <w:lang w:val="fr-CA" w:eastAsia="en-CA"/>
        </w:rPr>
        <w:t>MediaQMI</w:t>
      </w:r>
      <w:r w:rsidRPr="0081448E">
        <w:rPr>
          <w:b/>
          <w:i/>
          <w:sz w:val="20"/>
          <w:szCs w:val="20"/>
          <w:lang w:val="fr-CA"/>
        </w:rPr>
        <w:t xml:space="preserve"> inc. v. Magdi Kamel et Centre intégré universitaire de santé et de services sociaux de </w:t>
      </w:r>
      <w:proofErr w:type="gramStart"/>
      <w:r w:rsidRPr="0081448E">
        <w:rPr>
          <w:b/>
          <w:i/>
          <w:sz w:val="20"/>
          <w:szCs w:val="20"/>
          <w:lang w:val="fr-CA"/>
        </w:rPr>
        <w:t>l'Ouest</w:t>
      </w:r>
      <w:proofErr w:type="gramEnd"/>
      <w:r w:rsidRPr="0081448E">
        <w:rPr>
          <w:b/>
          <w:i/>
          <w:sz w:val="20"/>
          <w:szCs w:val="20"/>
          <w:lang w:val="fr-CA"/>
        </w:rPr>
        <w:t>-de-l'</w:t>
      </w:r>
      <w:r w:rsidRPr="0081448E">
        <w:rPr>
          <w:rFonts w:cs="Times New Roman"/>
          <w:b/>
          <w:i/>
          <w:sz w:val="20"/>
          <w:szCs w:val="20"/>
          <w:lang w:val="fr-CA"/>
        </w:rPr>
        <w:t>Î</w:t>
      </w:r>
      <w:r w:rsidRPr="0081448E">
        <w:rPr>
          <w:b/>
          <w:i/>
          <w:sz w:val="20"/>
          <w:szCs w:val="20"/>
          <w:lang w:val="fr-CA"/>
        </w:rPr>
        <w:t>le-de-Montréal</w:t>
      </w:r>
    </w:p>
    <w:p w:rsidR="00477D76" w:rsidRPr="0081448E" w:rsidRDefault="00477D76" w:rsidP="00477D76">
      <w:pPr>
        <w:widowControl w:val="0"/>
        <w:ind w:firstLine="720"/>
        <w:rPr>
          <w:sz w:val="20"/>
          <w:lang w:val="fr-CA"/>
        </w:rPr>
      </w:pPr>
      <w:r w:rsidRPr="0081448E">
        <w:rPr>
          <w:sz w:val="20"/>
          <w:szCs w:val="20"/>
          <w:lang w:val="fr-CA"/>
        </w:rPr>
        <w:t>(Qc) (Civile) (Autorisation)</w:t>
      </w:r>
    </w:p>
    <w:p w:rsidR="00477D76" w:rsidRPr="0081448E" w:rsidRDefault="00477D76" w:rsidP="00477D76">
      <w:pPr>
        <w:rPr>
          <w:sz w:val="20"/>
          <w:szCs w:val="20"/>
          <w:lang w:val="fr-CA"/>
        </w:rPr>
      </w:pPr>
    </w:p>
    <w:p w:rsidR="00477D76" w:rsidRPr="0081448E" w:rsidRDefault="00477D76" w:rsidP="00477D76">
      <w:pPr>
        <w:widowControl w:val="0"/>
        <w:jc w:val="both"/>
        <w:rPr>
          <w:sz w:val="20"/>
          <w:lang w:val="fr-CA"/>
        </w:rPr>
      </w:pPr>
      <w:r w:rsidRPr="0081448E">
        <w:rPr>
          <w:sz w:val="20"/>
          <w:szCs w:val="20"/>
          <w:lang w:val="fr-CA"/>
        </w:rPr>
        <w:t xml:space="preserve">Procédure civile - Désistement - Droit de retrait des pièces au dossier de la cour - Pouvoir discrétionnaire des tribunaux - Publicité des débats judiciaires - Requête pour mettre fin aux scellés déposée par une entreprise de presse afin d’avoir accès à des pièces déposées au soutien de la demande d’introductive d’instance - Quel est l’effet d’un désistement et d’une demande de retrait de pièces sur une demande d’accès aux pièces et procédures déposée antérieurement? - Quelle est la démarche analytique applicable pour trancher une demande d’accès aux pièces et procédures advenant le dépôt postérieur d’un désistement ou d’une demande de retrait de pièces? - MédiaQMI est-elle en droit d’obtenir l’accès aux pièces en litige et d’en consulter le contenu? - Art. 108 et 213, </w:t>
      </w:r>
      <w:r w:rsidRPr="0081448E">
        <w:rPr>
          <w:i/>
          <w:sz w:val="20"/>
          <w:szCs w:val="20"/>
          <w:lang w:val="fr-CA"/>
        </w:rPr>
        <w:t>Code de procédure civile</w:t>
      </w:r>
      <w:r w:rsidRPr="0081448E">
        <w:rPr>
          <w:sz w:val="20"/>
          <w:szCs w:val="20"/>
          <w:lang w:val="fr-CA"/>
        </w:rPr>
        <w:t>, RLRQ c. C-25.01.</w:t>
      </w:r>
    </w:p>
    <w:p w:rsidR="00477D76" w:rsidRPr="0081448E" w:rsidRDefault="00477D76" w:rsidP="00477D76">
      <w:pPr>
        <w:widowControl w:val="0"/>
        <w:rPr>
          <w:sz w:val="20"/>
          <w:lang w:val="fr-CA"/>
        </w:rPr>
      </w:pPr>
    </w:p>
    <w:p w:rsidR="00477D76" w:rsidRPr="0081448E" w:rsidRDefault="00477D76" w:rsidP="00477D76">
      <w:pPr>
        <w:widowControl w:val="0"/>
        <w:jc w:val="both"/>
        <w:rPr>
          <w:sz w:val="20"/>
          <w:szCs w:val="20"/>
          <w:lang w:val="fr-CA"/>
        </w:rPr>
      </w:pPr>
      <w:r w:rsidRPr="0081448E">
        <w:rPr>
          <w:sz w:val="20"/>
          <w:szCs w:val="20"/>
          <w:lang w:val="fr-CA"/>
        </w:rPr>
        <w:t>Le 6 octobre 2016, l’intimé Centre intégré universitaire de santé et de services sociaux de l’Ouest-de-l’Île-de-Montréal (CIUSSS) entreprend un recours contre l’intimé, M. Magdi Kamel, un ancien employé-cadre. Le CIUSS réclame un montant d’argent équivalent aux remboursements de dépenses personnelles présumées illégales qui aurait été octroyé à M. Kamel, des dommages-intérêts et une ordonnance de type Norwich afin d’obtenir certaines informations financières de la part d’une banque sur son client, M. Kamel. Le 7 octobre, une ordonnance de type Norwich est autorisée ainsi qu’une mise sous scellés du dossier pour une période de 120 jours qui sera éventuellement renouvelée. Le dossier scellé comporte alors 4 pièces, dont un rapport d’enquête réalisé par des juriscomptables à la demande du CIUSSS. Le 27 mars 2017, l’appelante MédiaQMI inc., une entreprise de presse, dépose une requête pour mettre fin aux scellés et demande d’avoir accès au contenu du dossier et à la procédure introductive d’instance. Le 19 avril 2017, le CIUSSS dépose un désistement de son recours contre M. Kamel. Le 21 avril 2017, M. Kamel dépose une demande afin d’obtenir que la procédure introductive d’instance soit retirée du dossier ou, alternativement, qu’elle soit mise sous scellés. Le 25 avril 2017, lors de l’audition de la demande de M. Kamel, le CUISSS demande également le retrait des pièces P-1 à P-4. MédiaQMI conteste les deux demandes. Le 20 juillet 2017, la Cour supérieure rend jugement et statue que la procédure introductive d’instance doit être conservée au dossier et être rendue publique. Quant aux pièces P-1 à P-4, elle statue qu’elles peuvent être retirées du dossier par le CIUSSS. MédiaQMI porte alors en appel la conclusion du juge sur le retrait des pièces. La Cour d’appel rejette l’appel à la majorité. Une juge dissidente aurait autorisé l’appel.</w:t>
      </w:r>
    </w:p>
    <w:p w:rsidR="00477D76" w:rsidRPr="0081448E" w:rsidRDefault="00477D76" w:rsidP="00477D76">
      <w:pPr>
        <w:rPr>
          <w:sz w:val="20"/>
          <w:szCs w:val="20"/>
          <w:lang w:val="fr-CA"/>
        </w:rPr>
      </w:pPr>
    </w:p>
    <w:p w:rsidR="00477D76" w:rsidRPr="0081448E" w:rsidRDefault="00DC444A" w:rsidP="00477D76">
      <w:pPr>
        <w:rPr>
          <w:sz w:val="20"/>
          <w:szCs w:val="20"/>
          <w:lang w:val="fr-CA"/>
        </w:rPr>
      </w:pPr>
      <w:r>
        <w:rPr>
          <w:sz w:val="20"/>
        </w:rPr>
        <w:pict>
          <v:rect id="_x0000_i1064" style="width:2in;height:1pt" o:hrpct="0" o:hralign="center" o:hrstd="t" o:hrnoshade="t" o:hr="t" fillcolor="black [3213]" stroked="f"/>
        </w:pict>
      </w:r>
    </w:p>
    <w:p w:rsidR="00477D76" w:rsidRPr="0081448E" w:rsidRDefault="00477D76" w:rsidP="00477D76">
      <w:pPr>
        <w:widowControl w:val="0"/>
        <w:rPr>
          <w:sz w:val="20"/>
          <w:szCs w:val="20"/>
          <w:lang w:val="fr-CA"/>
        </w:rPr>
      </w:pPr>
    </w:p>
    <w:p w:rsidR="00477D76" w:rsidRPr="0081448E" w:rsidRDefault="00477D76" w:rsidP="00477D76">
      <w:pPr>
        <w:widowControl w:val="0"/>
        <w:ind w:left="720" w:hanging="720"/>
        <w:jc w:val="both"/>
        <w:rPr>
          <w:b/>
          <w:i/>
          <w:sz w:val="20"/>
          <w:szCs w:val="20"/>
        </w:rPr>
      </w:pPr>
      <w:r w:rsidRPr="0081448E">
        <w:rPr>
          <w:b/>
          <w:sz w:val="20"/>
          <w:szCs w:val="20"/>
        </w:rPr>
        <w:t>38854</w:t>
      </w:r>
      <w:r w:rsidRPr="0081448E">
        <w:rPr>
          <w:sz w:val="20"/>
          <w:szCs w:val="20"/>
        </w:rPr>
        <w:fldChar w:fldCharType="begin"/>
      </w:r>
      <w:r w:rsidRPr="0081448E">
        <w:rPr>
          <w:sz w:val="20"/>
          <w:szCs w:val="20"/>
        </w:rPr>
        <w:instrText xml:space="preserve"> SEQ CHAPTER \h \r 1</w:instrText>
      </w:r>
      <w:r w:rsidRPr="0081448E">
        <w:rPr>
          <w:sz w:val="20"/>
          <w:szCs w:val="20"/>
        </w:rPr>
        <w:fldChar w:fldCharType="end"/>
      </w:r>
      <w:r w:rsidRPr="0081448E">
        <w:rPr>
          <w:sz w:val="20"/>
          <w:szCs w:val="20"/>
        </w:rPr>
        <w:tab/>
      </w:r>
      <w:r w:rsidRPr="0081448E">
        <w:rPr>
          <w:b/>
          <w:i/>
          <w:sz w:val="20"/>
          <w:szCs w:val="20"/>
        </w:rPr>
        <w:t>Her Majesty the Queen v. R.V.</w:t>
      </w:r>
    </w:p>
    <w:p w:rsidR="00477D76" w:rsidRPr="0081448E" w:rsidRDefault="00477D76" w:rsidP="00477D76">
      <w:pPr>
        <w:widowControl w:val="0"/>
        <w:ind w:left="720"/>
        <w:jc w:val="both"/>
        <w:rPr>
          <w:sz w:val="20"/>
          <w:szCs w:val="20"/>
        </w:rPr>
      </w:pPr>
      <w:r w:rsidRPr="0081448E">
        <w:rPr>
          <w:sz w:val="20"/>
          <w:szCs w:val="20"/>
        </w:rPr>
        <w:t>(Ont.) (Criminal) (As of Right/By Leave)</w:t>
      </w:r>
    </w:p>
    <w:p w:rsidR="00477D76" w:rsidRPr="0081448E" w:rsidRDefault="00477D76" w:rsidP="00477D76">
      <w:pPr>
        <w:widowControl w:val="0"/>
        <w:jc w:val="both"/>
        <w:rPr>
          <w:sz w:val="20"/>
          <w:szCs w:val="20"/>
        </w:rPr>
      </w:pPr>
    </w:p>
    <w:p w:rsidR="00477D76" w:rsidRPr="0081448E" w:rsidRDefault="00477D76" w:rsidP="00477D76">
      <w:pPr>
        <w:widowControl w:val="0"/>
        <w:jc w:val="both"/>
        <w:rPr>
          <w:sz w:val="20"/>
          <w:szCs w:val="20"/>
        </w:rPr>
      </w:pPr>
      <w:r w:rsidRPr="0081448E">
        <w:rPr>
          <w:sz w:val="20"/>
          <w:szCs w:val="20"/>
        </w:rPr>
        <w:t>(</w:t>
      </w:r>
      <w:r w:rsidRPr="0081448E">
        <w:rPr>
          <w:smallCaps/>
          <w:sz w:val="20"/>
          <w:szCs w:val="20"/>
        </w:rPr>
        <w:t>Publication Ban</w:t>
      </w:r>
      <w:r w:rsidRPr="0081448E">
        <w:rPr>
          <w:sz w:val="20"/>
          <w:szCs w:val="20"/>
        </w:rPr>
        <w:t>)</w:t>
      </w:r>
    </w:p>
    <w:p w:rsidR="00477D76" w:rsidRPr="0081448E" w:rsidRDefault="00477D76" w:rsidP="00477D76">
      <w:pPr>
        <w:widowControl w:val="0"/>
        <w:jc w:val="both"/>
        <w:rPr>
          <w:sz w:val="20"/>
          <w:szCs w:val="20"/>
        </w:rPr>
      </w:pPr>
    </w:p>
    <w:p w:rsidR="00477D76" w:rsidRPr="0081448E" w:rsidRDefault="00477D76" w:rsidP="00477D76">
      <w:pPr>
        <w:jc w:val="both"/>
        <w:rPr>
          <w:sz w:val="20"/>
          <w:szCs w:val="20"/>
        </w:rPr>
      </w:pPr>
      <w:r w:rsidRPr="0081448E">
        <w:rPr>
          <w:sz w:val="20"/>
          <w:szCs w:val="20"/>
        </w:rPr>
        <w:t>Criminal law - Appeals - Verdict - Unreasonable verdict - Inconsistent verdict - Instructions to jury - Accused convicted by jury of sexual interference and invitation to sexual touching but acquitted of sexual assault - Offences arising on same evidence - Accused appealing convictions - Crown cross-appealing acquittal - Whether the majority of the Court of Appeal erred in law in finding there was no error of law in the jury instructions that had a material bearing on the acquittal on the charge of sexual assault, in dismissing the Crown’s cross-appeal against the acquittal, and in quashing the convictions for sexual interference and invitation to sexual touching and directing verdicts of acquittal on both counts - Whether a court of appeal should consider the actual instructions received by the jury in the context of a defence appeal before concluding verdicts are unreasonable due to inconsistency and granting relief - Whether a crown appeal is necessary before the issue of misdirection may be considered by an appellate court - What is the correct disposition of inconsistent verdict appeals where jury misdirection reconciles the verdicts?</w:t>
      </w:r>
    </w:p>
    <w:p w:rsidR="00477D76" w:rsidRPr="0081448E" w:rsidRDefault="00477D76" w:rsidP="00477D76">
      <w:pPr>
        <w:jc w:val="both"/>
        <w:rPr>
          <w:sz w:val="20"/>
          <w:szCs w:val="20"/>
        </w:rPr>
      </w:pPr>
    </w:p>
    <w:p w:rsidR="005C4158" w:rsidRDefault="005C4158">
      <w:pPr>
        <w:rPr>
          <w:sz w:val="20"/>
          <w:szCs w:val="20"/>
        </w:rPr>
      </w:pPr>
      <w:r>
        <w:rPr>
          <w:sz w:val="20"/>
          <w:szCs w:val="20"/>
        </w:rPr>
        <w:br w:type="page"/>
      </w:r>
    </w:p>
    <w:p w:rsidR="00477D76" w:rsidRPr="0081448E" w:rsidRDefault="00477D76" w:rsidP="00477D76">
      <w:pPr>
        <w:widowControl w:val="0"/>
        <w:jc w:val="both"/>
        <w:rPr>
          <w:sz w:val="20"/>
        </w:rPr>
      </w:pPr>
      <w:r w:rsidRPr="0081448E">
        <w:rPr>
          <w:sz w:val="20"/>
          <w:szCs w:val="20"/>
        </w:rPr>
        <w:lastRenderedPageBreak/>
        <w:t xml:space="preserve">At trial, the respondent, R.V., was convicted of sexual interference and invitation to sexual touching but acquitted on a charge of sexual assault based on the very same evidence. The respondent appealed the two convictions. The appellant Crown then cross-appealed the acquittal contending that the inconsistency in the verdicts was explained by confusing jury instructions, which led the jury to believe the force required for sexual assault was different than the touching required for sexual interference and invitation to sexual touching. A majority of a panel of five judges at the Court of Appeal allowed R.V.’s appeal, quashed the two guilty verdicts and directed that verdicts of acquittal be entered because the alleged confusing instruction to the jury on sexual assault could not reconcile the verdicts and they therefore had to be set aside. The majority also dismissed the Crown’s cross-appeal on the acquittal. In dissent, Rouleau J.A. (with Miller J.A. concurring), would have allowed R.V.’s appeal and the Crown’s cross-appeal and ordered a new trial on the three charges. The dissent found there was an error of law in the jury instructions and explained that where both the conviction and acquittal are appealed and the inconsistent verdicts are properly explained by a confusing charge that in fact confused the jury, a new trial </w:t>
      </w:r>
      <w:r w:rsidRPr="0081448E">
        <w:rPr>
          <w:sz w:val="20"/>
        </w:rPr>
        <w:t>is the appropriate disposition.</w:t>
      </w:r>
    </w:p>
    <w:p w:rsidR="00477D76" w:rsidRPr="0081448E" w:rsidRDefault="00477D76" w:rsidP="00477D76">
      <w:pPr>
        <w:widowControl w:val="0"/>
        <w:jc w:val="both"/>
        <w:rPr>
          <w:sz w:val="20"/>
        </w:rPr>
      </w:pPr>
    </w:p>
    <w:p w:rsidR="00477D76" w:rsidRPr="0081448E" w:rsidRDefault="00DC444A" w:rsidP="00477D76">
      <w:pPr>
        <w:widowControl w:val="0"/>
        <w:jc w:val="both"/>
        <w:rPr>
          <w:sz w:val="20"/>
        </w:rPr>
      </w:pPr>
      <w:r>
        <w:rPr>
          <w:sz w:val="20"/>
        </w:rPr>
        <w:pict>
          <v:rect id="_x0000_i1065" style="width:2in;height:1pt" o:hrpct="0" o:hralign="center" o:hrstd="t" o:hrnoshade="t" o:hr="t" fillcolor="black [3213]" stroked="f"/>
        </w:pict>
      </w:r>
    </w:p>
    <w:p w:rsidR="00477D76" w:rsidRPr="0081448E" w:rsidRDefault="00477D76" w:rsidP="00477D76">
      <w:pPr>
        <w:widowControl w:val="0"/>
        <w:jc w:val="both"/>
        <w:rPr>
          <w:sz w:val="20"/>
          <w:szCs w:val="20"/>
        </w:rPr>
      </w:pPr>
    </w:p>
    <w:p w:rsidR="00477D76" w:rsidRPr="0081448E" w:rsidRDefault="00477D76" w:rsidP="00477D76">
      <w:pPr>
        <w:widowControl w:val="0"/>
        <w:ind w:left="720" w:hanging="720"/>
        <w:jc w:val="both"/>
        <w:rPr>
          <w:b/>
          <w:i/>
          <w:sz w:val="20"/>
          <w:szCs w:val="20"/>
          <w:lang w:val="fr-CA"/>
        </w:rPr>
      </w:pPr>
      <w:r w:rsidRPr="0081448E">
        <w:rPr>
          <w:b/>
          <w:sz w:val="20"/>
          <w:szCs w:val="20"/>
          <w:lang w:val="fr-CA"/>
        </w:rPr>
        <w:t>38854</w:t>
      </w:r>
      <w:r w:rsidRPr="0081448E">
        <w:rPr>
          <w:sz w:val="20"/>
          <w:szCs w:val="20"/>
          <w:lang w:val="fr-CA"/>
        </w:rPr>
        <w:fldChar w:fldCharType="begin"/>
      </w:r>
      <w:r w:rsidRPr="0081448E">
        <w:rPr>
          <w:sz w:val="20"/>
          <w:szCs w:val="20"/>
          <w:lang w:val="fr-CA"/>
        </w:rPr>
        <w:instrText xml:space="preserve"> SEQ CHAPTER \h \r 1</w:instrText>
      </w:r>
      <w:r w:rsidRPr="0081448E">
        <w:rPr>
          <w:sz w:val="20"/>
          <w:szCs w:val="20"/>
          <w:lang w:val="fr-CA"/>
        </w:rPr>
        <w:fldChar w:fldCharType="end"/>
      </w:r>
      <w:r w:rsidRPr="0081448E">
        <w:rPr>
          <w:sz w:val="20"/>
          <w:szCs w:val="20"/>
          <w:lang w:val="fr-CA"/>
        </w:rPr>
        <w:tab/>
      </w:r>
      <w:r w:rsidRPr="0081448E">
        <w:rPr>
          <w:b/>
          <w:i/>
          <w:sz w:val="20"/>
          <w:szCs w:val="20"/>
          <w:lang w:val="fr-CA"/>
        </w:rPr>
        <w:t>Sa Majesté la Reine c. R.V.</w:t>
      </w:r>
    </w:p>
    <w:p w:rsidR="00477D76" w:rsidRPr="0081448E" w:rsidRDefault="00477D76" w:rsidP="00477D76">
      <w:pPr>
        <w:widowControl w:val="0"/>
        <w:ind w:left="720"/>
        <w:jc w:val="both"/>
        <w:rPr>
          <w:sz w:val="20"/>
          <w:szCs w:val="20"/>
          <w:lang w:val="fr-CA"/>
        </w:rPr>
      </w:pPr>
      <w:r w:rsidRPr="0081448E">
        <w:rPr>
          <w:sz w:val="20"/>
          <w:szCs w:val="20"/>
          <w:lang w:val="fr-CA"/>
        </w:rPr>
        <w:t>(Ont.) (Criminelle) (De plein droit/Sur autorisation)</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w:t>
      </w:r>
      <w:r w:rsidRPr="0081448E">
        <w:rPr>
          <w:smallCaps/>
          <w:sz w:val="20"/>
          <w:szCs w:val="20"/>
          <w:lang w:val="fr-CA"/>
        </w:rPr>
        <w:t>Ordonnance de non-publication</w:t>
      </w:r>
      <w:r w:rsidRPr="0081448E">
        <w:rPr>
          <w:sz w:val="20"/>
          <w:szCs w:val="20"/>
          <w:lang w:val="fr-CA"/>
        </w:rPr>
        <w:t>)</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Droit criminel - Appels - Verdict - Verdict déraisonnable - Verdict incompatible - Directives au jury - L’accusé a été déclaré coupable par un jury de contacts sexuels et d’incitation à des contacts sexuels, mais acquitté relativement à l’accusation d’agression sexuelle - Les infractions découlaient des mêmes éléments de preuve - L’accusé a interjeté appel des déclarations de culpabilité - Le ministère public a formé un appel incident contre l’acquittement - Les juges majoritaires de la Cour d’appel ont-ils commis une erreur de droit en concluant qu’il n’y avait eu aucune erreur de droit dans les directives au jury ayant eu une incidence significative sur l’acquittement quant à l’accusation d’agression sexuelle, en rejetant l’appel incident formé contre l’acquittement par le ministère public, en annulant les déclarations de culpabilité pour contacts sexuels et incitation à des contacts sexuels et en ordonnant des verdicts d’acquittement à l’égard des deux chefs d’accusation? - Une cour d’appel doit-elle tenir compte des directives effectivement reçues par le jury dans le contexte d’un appel interjeté par la partie défenderesse avant de conclure que les verdicts sont déraisonnables pour cause d’incompatibilité et d’accorder une réparation? - Est-il nécessaire que le ministère public fasse appel pour que la question de possibles directives erronées puisse être examinée par une cour d’appel? - Quelle est la façon correcte de statuer sur des appels portant sur des verdicts incompatibles dans le cas où des directives erronées au jury concilieraient les verdicts?</w:t>
      </w:r>
    </w:p>
    <w:p w:rsidR="00477D76" w:rsidRPr="0081448E" w:rsidRDefault="00477D76" w:rsidP="00477D76">
      <w:pPr>
        <w:widowControl w:val="0"/>
        <w:jc w:val="both"/>
        <w:rPr>
          <w:sz w:val="20"/>
          <w:szCs w:val="20"/>
          <w:lang w:val="fr-CA"/>
        </w:rPr>
      </w:pPr>
    </w:p>
    <w:p w:rsidR="00477D76" w:rsidRPr="0081448E" w:rsidRDefault="00477D76" w:rsidP="00477D76">
      <w:pPr>
        <w:widowControl w:val="0"/>
        <w:jc w:val="both"/>
        <w:rPr>
          <w:sz w:val="20"/>
          <w:szCs w:val="20"/>
          <w:lang w:val="fr-CA"/>
        </w:rPr>
      </w:pPr>
      <w:r w:rsidRPr="0081448E">
        <w:rPr>
          <w:sz w:val="20"/>
          <w:szCs w:val="20"/>
          <w:lang w:val="fr-CA"/>
        </w:rPr>
        <w:t xml:space="preserve">Au procès, l’intimé, R.V., a été déclaré coupable de contacts sexuels et d’incitation à des contacts sexuels, mais acquitté quant à une accusation d’agression sexuelle sur le fondement des mêmes éléments de preuve. L’intimé a interjeté appel des deux déclarations de culpabilité. Le ministère public, appelant, a ensuite interjeté appel incident de l’acquittement, faisant valoir que les incompatibilités dans les verdicts s’expliquaient par des directives au jury portant à confusion, ce qui a amené le jury à croire que la force nécessaire en ce qui concerne l’agression sexuelle était différente des contacts nécessaires en ce qui concerne les contacts sexuels et l’incitation à des contacts sexuels. Les juges majoritaires d’une formation de cinq juges ont accueilli l’appel de R.V., annulé les deux verdicts de culpabilité et ordonné l’inscription de verdicts d’acquittement, parce que la directive au jury sur l’agression sexuelle dont on alléguait qu’elle portait à confusion ne permettait pas de concilier les verdicts, si bien que ces derniers devaient être annulés. Les juges majoritaires ont en outre rejeté l’appel incident du ministère public quant à l’acquittement. Dissident, le juge Rouleau (avec l’assentiment du juge Miller) était d’avis d’accueillir l’appel de R.V. et l’appel incident du ministère public et d’ordonner la tenue d’un nouveau procès relativement aux trois accusations. Les juges dissidents ont conclu qu’une erreur de droit entachait les directives au jury et ils ont expliqué que dans les cas où il y a appel à la fois de la déclaration de la culpabilité et de l’acquittement et où les verdicts incompatibles s’expliquent convenablement par un exposé portant à confusion et qui a, de fait, créé de la confusion chez les jurés, il convient d’ordonner la tenue d’un nouveau procès. </w:t>
      </w:r>
    </w:p>
    <w:p w:rsidR="00102792" w:rsidRPr="0081448E" w:rsidRDefault="00102792" w:rsidP="00102792">
      <w:pPr>
        <w:jc w:val="both"/>
        <w:rPr>
          <w:color w:val="000000"/>
          <w:sz w:val="20"/>
          <w:szCs w:val="20"/>
          <w:lang w:val="fr-CA"/>
        </w:rPr>
      </w:pPr>
    </w:p>
    <w:p w:rsidR="00172473" w:rsidRPr="0081448E" w:rsidRDefault="00DC444A" w:rsidP="00102792">
      <w:pPr>
        <w:jc w:val="both"/>
        <w:rPr>
          <w:color w:val="000000"/>
          <w:sz w:val="20"/>
          <w:szCs w:val="20"/>
        </w:rPr>
      </w:pPr>
      <w:r>
        <w:rPr>
          <w:sz w:val="20"/>
          <w:szCs w:val="20"/>
        </w:rPr>
        <w:pict>
          <v:rect id="_x0000_i1066" style="width:2in;height:1pt" o:hrpct="0" o:hralign="center" o:hrstd="t" o:hrnoshade="t" o:hr="t" fillcolor="black [3213]" stroked="f"/>
        </w:pict>
      </w:r>
    </w:p>
    <w:p w:rsidR="00102792" w:rsidRPr="0081448E" w:rsidRDefault="00102792" w:rsidP="00102792">
      <w:pPr>
        <w:jc w:val="both"/>
        <w:rPr>
          <w:color w:val="000000"/>
          <w:sz w:val="20"/>
          <w:szCs w:val="20"/>
        </w:rPr>
      </w:pPr>
    </w:p>
    <w:p w:rsidR="00102792" w:rsidRPr="0081448E" w:rsidRDefault="00102792" w:rsidP="00782AE4">
      <w:pPr>
        <w:jc w:val="both"/>
        <w:rPr>
          <w:sz w:val="20"/>
          <w:szCs w:val="20"/>
          <w:lang w:val="fr-CA"/>
        </w:rPr>
      </w:pPr>
    </w:p>
    <w:p w:rsidR="0022323B" w:rsidRPr="0081448E" w:rsidRDefault="0022323B" w:rsidP="00782AE4">
      <w:pPr>
        <w:jc w:val="both"/>
        <w:rPr>
          <w:sz w:val="20"/>
          <w:szCs w:val="20"/>
          <w:lang w:val="fr-CA"/>
        </w:rPr>
        <w:sectPr w:rsidR="0022323B" w:rsidRPr="0081448E" w:rsidSect="0022323B">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p w:rsidR="00113336" w:rsidRPr="0081448E" w:rsidRDefault="00113336" w:rsidP="00113336">
      <w:pPr>
        <w:tabs>
          <w:tab w:val="center" w:pos="5220"/>
          <w:tab w:val="right" w:pos="10800"/>
        </w:tabs>
        <w:jc w:val="center"/>
        <w:rPr>
          <w:rFonts w:ascii="Arial" w:hAnsi="Arial" w:cs="Arial"/>
          <w:sz w:val="22"/>
          <w:lang w:val="fr-CA"/>
        </w:rPr>
      </w:pPr>
      <w:bookmarkStart w:id="9" w:name="1"/>
      <w:bookmarkStart w:id="10" w:name="QuickMark"/>
      <w:bookmarkEnd w:id="9"/>
      <w:bookmarkEnd w:id="10"/>
      <w:r w:rsidRPr="0081448E">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81448E" w:rsidTr="00681E2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DECEMBER – DÉCEMBRE</w:t>
            </w:r>
          </w:p>
        </w:tc>
      </w:tr>
      <w:tr w:rsidR="00113336" w:rsidRPr="0081448E"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4"/>
                <w:szCs w:val="14"/>
                <w:lang w:val="fr-FR"/>
              </w:rPr>
            </w:pPr>
            <w:r w:rsidRPr="0081448E">
              <w:rPr>
                <w:rFonts w:ascii="Arial" w:hAnsi="Arial" w:cs="Arial"/>
                <w:b/>
                <w:sz w:val="14"/>
                <w:szCs w:val="14"/>
                <w:lang w:val="fr-FR"/>
              </w:rPr>
              <w:t>S</w:t>
            </w:r>
          </w:p>
          <w:p w:rsidR="00113336" w:rsidRPr="0081448E" w:rsidRDefault="00113336" w:rsidP="00681E2A">
            <w:pPr>
              <w:tabs>
                <w:tab w:val="center" w:pos="5220"/>
                <w:tab w:val="right" w:pos="10440"/>
              </w:tabs>
              <w:jc w:val="center"/>
              <w:rPr>
                <w:rFonts w:ascii="Arial" w:hAnsi="Arial" w:cs="Arial"/>
                <w:b/>
                <w:sz w:val="14"/>
                <w:szCs w:val="14"/>
                <w:lang w:val="fr-FR"/>
              </w:rPr>
            </w:pPr>
            <w:r w:rsidRPr="0081448E">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M</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T</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W</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T</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F</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S</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S</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M</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T</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W</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T</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F</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S</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S</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M</w:t>
            </w:r>
          </w:p>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lang w:val="fr-FR"/>
              </w:rPr>
            </w:pPr>
            <w:r w:rsidRPr="0081448E">
              <w:rPr>
                <w:rFonts w:ascii="Arial" w:hAnsi="Arial" w:cs="Arial"/>
                <w:b/>
                <w:sz w:val="13"/>
                <w:szCs w:val="13"/>
                <w:lang w:val="fr-FR"/>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W</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tc>
      </w:tr>
      <w:tr w:rsidR="00113336" w:rsidRPr="0081448E"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b/>
                <w:sz w:val="13"/>
                <w:szCs w:val="13"/>
              </w:rPr>
              <w:t>CC</w:t>
            </w:r>
            <w:r w:rsidRPr="0081448E">
              <w:rPr>
                <w:rFonts w:ascii="Arial" w:hAnsi="Arial" w:cs="Arial"/>
                <w:sz w:val="13"/>
                <w:szCs w:val="13"/>
              </w:rPr>
              <w:t xml:space="preserve"> </w:t>
            </w:r>
          </w:p>
          <w:p w:rsidR="00113336" w:rsidRPr="0081448E" w:rsidRDefault="00113336" w:rsidP="00681E2A">
            <w:pPr>
              <w:jc w:val="center"/>
              <w:rPr>
                <w:rFonts w:ascii="Arial" w:hAnsi="Arial" w:cs="Arial"/>
                <w:sz w:val="13"/>
                <w:szCs w:val="13"/>
              </w:rPr>
            </w:pPr>
            <w:r w:rsidRPr="0081448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5</w:t>
            </w:r>
          </w:p>
        </w:tc>
      </w:tr>
      <w:tr w:rsidR="00113336" w:rsidRPr="0081448E"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81448E" w:rsidRDefault="00113336" w:rsidP="00681E2A">
            <w:pPr>
              <w:jc w:val="center"/>
              <w:rPr>
                <w:rFonts w:ascii="Arial" w:hAnsi="Arial" w:cs="Arial"/>
                <w:b/>
                <w:sz w:val="13"/>
                <w:szCs w:val="13"/>
              </w:rPr>
            </w:pPr>
            <w:r w:rsidRPr="0081448E">
              <w:rPr>
                <w:rFonts w:ascii="Arial" w:hAnsi="Arial" w:cs="Arial"/>
                <w:b/>
                <w:sz w:val="13"/>
                <w:szCs w:val="13"/>
              </w:rPr>
              <w:t>CC</w:t>
            </w:r>
          </w:p>
          <w:p w:rsidR="00113336" w:rsidRPr="0081448E" w:rsidRDefault="00113336" w:rsidP="00113336">
            <w:pPr>
              <w:jc w:val="center"/>
              <w:rPr>
                <w:rFonts w:ascii="Arial" w:hAnsi="Arial" w:cs="Arial"/>
                <w:sz w:val="13"/>
                <w:szCs w:val="13"/>
              </w:rPr>
            </w:pPr>
            <w:r w:rsidRPr="0081448E">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81448E" w:rsidRDefault="005B2EA9" w:rsidP="00681E2A">
            <w:pPr>
              <w:jc w:val="center"/>
              <w:rPr>
                <w:rFonts w:ascii="Arial" w:hAnsi="Arial" w:cs="Arial"/>
                <w:b/>
                <w:sz w:val="13"/>
                <w:szCs w:val="13"/>
              </w:rPr>
            </w:pPr>
            <w:r w:rsidRPr="0081448E">
              <w:rPr>
                <w:rFonts w:ascii="Arial" w:hAnsi="Arial" w:cs="Arial"/>
                <w:b/>
                <w:sz w:val="13"/>
                <w:szCs w:val="13"/>
              </w:rPr>
              <w:t>H</w:t>
            </w:r>
          </w:p>
          <w:p w:rsidR="00113336" w:rsidRPr="0081448E" w:rsidRDefault="00113336" w:rsidP="00681E2A">
            <w:pPr>
              <w:jc w:val="center"/>
              <w:rPr>
                <w:rFonts w:ascii="Arial" w:hAnsi="Arial" w:cs="Arial"/>
                <w:sz w:val="13"/>
                <w:szCs w:val="13"/>
              </w:rPr>
            </w:pPr>
            <w:r w:rsidRPr="0081448E">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113336">
            <w:pPr>
              <w:jc w:val="center"/>
              <w:rPr>
                <w:rFonts w:ascii="Arial" w:hAnsi="Arial" w:cs="Arial"/>
                <w:sz w:val="13"/>
                <w:szCs w:val="13"/>
              </w:rPr>
            </w:pPr>
            <w:r w:rsidRPr="0081448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12</w:t>
            </w:r>
          </w:p>
        </w:tc>
      </w:tr>
      <w:tr w:rsidR="00B4618C" w:rsidRPr="0081448E"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81448E" w:rsidRDefault="00113336" w:rsidP="00681E2A">
            <w:pPr>
              <w:jc w:val="center"/>
              <w:rPr>
                <w:rFonts w:ascii="Arial" w:hAnsi="Arial" w:cs="Arial"/>
                <w:b/>
                <w:sz w:val="13"/>
                <w:szCs w:val="13"/>
              </w:rPr>
            </w:pPr>
            <w:r w:rsidRPr="0081448E">
              <w:rPr>
                <w:rFonts w:ascii="Arial" w:hAnsi="Arial" w:cs="Arial"/>
                <w:b/>
                <w:sz w:val="13"/>
                <w:szCs w:val="13"/>
              </w:rPr>
              <w:t>H</w:t>
            </w:r>
          </w:p>
          <w:p w:rsidR="00113336" w:rsidRPr="0081448E" w:rsidRDefault="00113336" w:rsidP="00113336">
            <w:pPr>
              <w:jc w:val="center"/>
              <w:rPr>
                <w:rFonts w:ascii="Arial" w:hAnsi="Arial" w:cs="Arial"/>
                <w:sz w:val="13"/>
                <w:szCs w:val="13"/>
              </w:rPr>
            </w:pPr>
            <w:r w:rsidRPr="0081448E">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19</w:t>
            </w:r>
          </w:p>
        </w:tc>
      </w:tr>
      <w:tr w:rsidR="00113336" w:rsidRPr="0081448E"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1448E" w:rsidRDefault="00113336" w:rsidP="00681E2A">
            <w:pPr>
              <w:jc w:val="center"/>
              <w:rPr>
                <w:rFonts w:ascii="Arial" w:hAnsi="Arial" w:cs="Arial"/>
                <w:sz w:val="13"/>
                <w:szCs w:val="13"/>
              </w:rPr>
            </w:pPr>
            <w:r w:rsidRPr="0081448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81448E" w:rsidRDefault="005B2EA9" w:rsidP="00681E2A">
            <w:pPr>
              <w:jc w:val="center"/>
              <w:rPr>
                <w:rFonts w:ascii="Arial" w:hAnsi="Arial" w:cs="Arial"/>
                <w:b/>
                <w:sz w:val="13"/>
                <w:szCs w:val="13"/>
              </w:rPr>
            </w:pPr>
            <w:r w:rsidRPr="0081448E">
              <w:rPr>
                <w:rFonts w:ascii="Arial" w:hAnsi="Arial" w:cs="Arial"/>
                <w:b/>
                <w:sz w:val="13"/>
                <w:szCs w:val="13"/>
              </w:rPr>
              <w:t>H</w:t>
            </w:r>
          </w:p>
          <w:p w:rsidR="00113336" w:rsidRPr="0081448E" w:rsidRDefault="005B2EA9" w:rsidP="00681E2A">
            <w:pPr>
              <w:jc w:val="center"/>
              <w:rPr>
                <w:rFonts w:ascii="Arial" w:hAnsi="Arial" w:cs="Arial"/>
                <w:sz w:val="13"/>
                <w:szCs w:val="13"/>
              </w:rPr>
            </w:pPr>
            <w:r w:rsidRPr="0081448E">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26</w:t>
            </w:r>
          </w:p>
        </w:tc>
      </w:tr>
      <w:tr w:rsidR="00113336" w:rsidRPr="0081448E"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1448E" w:rsidRDefault="00113336" w:rsidP="00113336">
            <w:pPr>
              <w:jc w:val="center"/>
              <w:rPr>
                <w:rFonts w:ascii="Arial" w:hAnsi="Arial" w:cs="Arial"/>
                <w:sz w:val="13"/>
                <w:szCs w:val="13"/>
              </w:rPr>
            </w:pPr>
            <w:r w:rsidRPr="0081448E">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r w:rsidRPr="0081448E">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81448E" w:rsidRDefault="005B2EA9" w:rsidP="00681E2A">
            <w:pPr>
              <w:jc w:val="center"/>
              <w:rPr>
                <w:rFonts w:ascii="Arial" w:hAnsi="Arial" w:cs="Arial"/>
                <w:sz w:val="13"/>
                <w:szCs w:val="13"/>
              </w:rPr>
            </w:pPr>
            <w:r w:rsidRPr="0081448E">
              <w:rPr>
                <w:rFonts w:ascii="Arial" w:hAnsi="Arial" w:cs="Arial"/>
                <w:b/>
                <w:sz w:val="13"/>
                <w:szCs w:val="13"/>
              </w:rPr>
              <w:t>CC</w:t>
            </w:r>
          </w:p>
          <w:p w:rsidR="00113336" w:rsidRPr="0081448E" w:rsidRDefault="00113336" w:rsidP="00681E2A">
            <w:pPr>
              <w:jc w:val="center"/>
              <w:rPr>
                <w:rFonts w:ascii="Arial" w:hAnsi="Arial" w:cs="Arial"/>
                <w:sz w:val="13"/>
                <w:szCs w:val="13"/>
              </w:rPr>
            </w:pPr>
            <w:r w:rsidRPr="0081448E">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81448E" w:rsidRDefault="005B2EA9" w:rsidP="00681E2A">
            <w:pPr>
              <w:jc w:val="center"/>
              <w:rPr>
                <w:rFonts w:ascii="Arial" w:hAnsi="Arial" w:cs="Arial"/>
                <w:b/>
                <w:sz w:val="13"/>
                <w:szCs w:val="13"/>
              </w:rPr>
            </w:pPr>
            <w:r w:rsidRPr="0081448E">
              <w:rPr>
                <w:rFonts w:ascii="Arial" w:hAnsi="Arial" w:cs="Arial"/>
                <w:b/>
                <w:sz w:val="13"/>
                <w:szCs w:val="13"/>
              </w:rPr>
              <w:t>H</w:t>
            </w:r>
          </w:p>
          <w:p w:rsidR="00113336" w:rsidRPr="0081448E" w:rsidRDefault="005B2EA9" w:rsidP="00681E2A">
            <w:pPr>
              <w:jc w:val="center"/>
              <w:rPr>
                <w:rFonts w:ascii="Arial" w:hAnsi="Arial" w:cs="Arial"/>
                <w:sz w:val="13"/>
                <w:szCs w:val="13"/>
              </w:rPr>
            </w:pPr>
            <w:r w:rsidRPr="0081448E">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r>
    </w:tbl>
    <w:p w:rsidR="00113336" w:rsidRPr="0081448E" w:rsidRDefault="00113336" w:rsidP="00113336">
      <w:pPr>
        <w:tabs>
          <w:tab w:val="center" w:pos="5220"/>
          <w:tab w:val="right" w:pos="10440"/>
        </w:tabs>
        <w:jc w:val="center"/>
        <w:rPr>
          <w:rFonts w:ascii="Arial" w:hAnsi="Arial" w:cs="Arial"/>
          <w:sz w:val="22"/>
        </w:rPr>
      </w:pPr>
      <w:r w:rsidRPr="0081448E">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81448E" w:rsidTr="00681E2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MARCH – MARS</w:t>
            </w:r>
          </w:p>
        </w:tc>
      </w:tr>
      <w:tr w:rsidR="00113336" w:rsidRPr="0081448E"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W</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W</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W</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tc>
      </w:tr>
      <w:tr w:rsidR="00113336" w:rsidRPr="0081448E"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81448E" w:rsidRDefault="005B2EA9" w:rsidP="00681E2A">
            <w:pPr>
              <w:jc w:val="center"/>
              <w:rPr>
                <w:rFonts w:ascii="Arial" w:hAnsi="Arial" w:cs="Arial"/>
                <w:b/>
                <w:sz w:val="13"/>
                <w:szCs w:val="13"/>
              </w:rPr>
            </w:pPr>
            <w:r w:rsidRPr="0081448E">
              <w:rPr>
                <w:rFonts w:ascii="Arial" w:hAnsi="Arial" w:cs="Arial"/>
                <w:b/>
                <w:sz w:val="13"/>
                <w:szCs w:val="13"/>
              </w:rPr>
              <w:t>H</w:t>
            </w:r>
          </w:p>
          <w:p w:rsidR="00113336" w:rsidRPr="0081448E" w:rsidRDefault="005B2EA9" w:rsidP="00681E2A">
            <w:pPr>
              <w:jc w:val="center"/>
              <w:rPr>
                <w:rFonts w:ascii="Arial" w:hAnsi="Arial" w:cs="Arial"/>
                <w:sz w:val="13"/>
                <w:szCs w:val="13"/>
              </w:rPr>
            </w:pPr>
            <w:r w:rsidRPr="0081448E">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6</w:t>
            </w:r>
          </w:p>
        </w:tc>
      </w:tr>
      <w:tr w:rsidR="00113336" w:rsidRPr="0081448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81448E" w:rsidRDefault="005B2EA9" w:rsidP="00681E2A">
            <w:pPr>
              <w:jc w:val="center"/>
              <w:rPr>
                <w:rFonts w:ascii="Arial" w:hAnsi="Arial" w:cs="Arial"/>
                <w:b/>
                <w:sz w:val="13"/>
                <w:szCs w:val="13"/>
              </w:rPr>
            </w:pPr>
            <w:r w:rsidRPr="0081448E">
              <w:rPr>
                <w:rFonts w:ascii="Arial" w:hAnsi="Arial" w:cs="Arial"/>
                <w:b/>
                <w:sz w:val="13"/>
                <w:szCs w:val="13"/>
              </w:rPr>
              <w:t>CC</w:t>
            </w:r>
          </w:p>
          <w:p w:rsidR="00113336" w:rsidRPr="0081448E" w:rsidRDefault="005B2EA9" w:rsidP="00681E2A">
            <w:pPr>
              <w:jc w:val="center"/>
              <w:rPr>
                <w:rFonts w:ascii="Arial" w:hAnsi="Arial" w:cs="Arial"/>
                <w:sz w:val="13"/>
                <w:szCs w:val="13"/>
              </w:rPr>
            </w:pPr>
            <w:r w:rsidRPr="0081448E">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13</w:t>
            </w:r>
          </w:p>
        </w:tc>
      </w:tr>
      <w:tr w:rsidR="00113336" w:rsidRPr="0081448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81448E" w:rsidRDefault="005B2EA9" w:rsidP="00681E2A">
            <w:pPr>
              <w:jc w:val="center"/>
              <w:rPr>
                <w:rFonts w:ascii="Arial" w:hAnsi="Arial" w:cs="Arial"/>
                <w:b/>
                <w:sz w:val="13"/>
                <w:szCs w:val="13"/>
              </w:rPr>
            </w:pPr>
            <w:r w:rsidRPr="0081448E">
              <w:rPr>
                <w:rFonts w:ascii="Arial" w:hAnsi="Arial" w:cs="Arial"/>
                <w:b/>
                <w:sz w:val="13"/>
                <w:szCs w:val="13"/>
              </w:rPr>
              <w:t>CC</w:t>
            </w:r>
          </w:p>
          <w:p w:rsidR="00113336" w:rsidRPr="0081448E" w:rsidRDefault="005B2EA9" w:rsidP="00681E2A">
            <w:pPr>
              <w:jc w:val="center"/>
              <w:rPr>
                <w:rFonts w:ascii="Arial" w:hAnsi="Arial" w:cs="Arial"/>
                <w:sz w:val="13"/>
                <w:szCs w:val="13"/>
              </w:rPr>
            </w:pPr>
            <w:r w:rsidRPr="0081448E">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81448E" w:rsidRDefault="00D04577" w:rsidP="00681E2A">
            <w:pPr>
              <w:jc w:val="center"/>
              <w:rPr>
                <w:rFonts w:ascii="Arial" w:hAnsi="Arial" w:cs="Arial"/>
                <w:b/>
                <w:sz w:val="13"/>
                <w:szCs w:val="13"/>
              </w:rPr>
            </w:pPr>
            <w:r w:rsidRPr="0081448E">
              <w:rPr>
                <w:rFonts w:ascii="Arial" w:hAnsi="Arial" w:cs="Arial"/>
                <w:b/>
                <w:sz w:val="13"/>
                <w:szCs w:val="13"/>
              </w:rPr>
              <w:t>CC</w:t>
            </w:r>
          </w:p>
          <w:p w:rsidR="00113336" w:rsidRPr="0081448E" w:rsidRDefault="00D04577" w:rsidP="00681E2A">
            <w:pPr>
              <w:jc w:val="center"/>
              <w:rPr>
                <w:rFonts w:ascii="Arial" w:hAnsi="Arial" w:cs="Arial"/>
                <w:sz w:val="13"/>
                <w:szCs w:val="13"/>
              </w:rPr>
            </w:pPr>
            <w:r w:rsidRPr="0081448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20</w:t>
            </w:r>
          </w:p>
        </w:tc>
      </w:tr>
      <w:tr w:rsidR="00113336" w:rsidRPr="0081448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27</w:t>
            </w:r>
          </w:p>
        </w:tc>
      </w:tr>
      <w:tr w:rsidR="00113336" w:rsidRPr="0081448E"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81448E" w:rsidRDefault="005B2EA9" w:rsidP="005B2EA9">
            <w:pPr>
              <w:rPr>
                <w:rFonts w:ascii="Arial" w:hAnsi="Arial" w:cs="Arial"/>
                <w:sz w:val="13"/>
                <w:szCs w:val="13"/>
              </w:rPr>
            </w:pPr>
            <w:r w:rsidRPr="0081448E">
              <w:rPr>
                <w:rFonts w:ascii="Arial" w:hAnsi="Arial" w:cs="Arial"/>
                <w:sz w:val="13"/>
                <w:szCs w:val="13"/>
              </w:rPr>
              <w:t xml:space="preserve">24 </w:t>
            </w:r>
            <w:r w:rsidRPr="0081448E">
              <w:rPr>
                <w:rFonts w:ascii="Arial" w:hAnsi="Arial" w:cs="Arial"/>
                <w:sz w:val="13"/>
                <w:szCs w:val="13"/>
                <w:lang w:val="en-US"/>
              </w:rPr>
              <w:t>/</w:t>
            </w:r>
          </w:p>
          <w:p w:rsidR="00113336" w:rsidRPr="0081448E" w:rsidRDefault="005B2EA9" w:rsidP="005B2EA9">
            <w:pPr>
              <w:jc w:val="center"/>
              <w:rPr>
                <w:rFonts w:ascii="Arial" w:hAnsi="Arial" w:cs="Arial"/>
                <w:sz w:val="13"/>
                <w:szCs w:val="13"/>
              </w:rPr>
            </w:pPr>
            <w:r w:rsidRPr="0081448E">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1448E" w:rsidRDefault="005B2EA9" w:rsidP="00681E2A">
            <w:pPr>
              <w:jc w:val="center"/>
              <w:rPr>
                <w:rFonts w:ascii="Arial" w:hAnsi="Arial" w:cs="Arial"/>
                <w:sz w:val="13"/>
                <w:szCs w:val="13"/>
              </w:rPr>
            </w:pPr>
            <w:r w:rsidRPr="0081448E">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r>
      <w:tr w:rsidR="00113336" w:rsidRPr="0081448E" w:rsidTr="00681E2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JUNE – JUIN</w:t>
            </w:r>
          </w:p>
        </w:tc>
      </w:tr>
      <w:tr w:rsidR="00113336" w:rsidRPr="0081448E"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W</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W</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W</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tc>
      </w:tr>
      <w:tr w:rsidR="00113336" w:rsidRPr="0081448E"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81448E" w:rsidRDefault="00D04577" w:rsidP="00681E2A">
            <w:pPr>
              <w:jc w:val="center"/>
              <w:rPr>
                <w:rFonts w:ascii="Arial" w:hAnsi="Arial" w:cs="Arial"/>
                <w:b/>
                <w:sz w:val="13"/>
                <w:szCs w:val="13"/>
              </w:rPr>
            </w:pPr>
            <w:r w:rsidRPr="0081448E">
              <w:rPr>
                <w:rFonts w:ascii="Arial" w:hAnsi="Arial" w:cs="Arial"/>
                <w:b/>
                <w:sz w:val="13"/>
                <w:szCs w:val="13"/>
              </w:rPr>
              <w:t>H</w:t>
            </w:r>
          </w:p>
          <w:p w:rsidR="00113336" w:rsidRPr="0081448E" w:rsidRDefault="00D04577" w:rsidP="00681E2A">
            <w:pPr>
              <w:jc w:val="center"/>
              <w:rPr>
                <w:rFonts w:ascii="Arial" w:hAnsi="Arial" w:cs="Arial"/>
                <w:sz w:val="13"/>
                <w:szCs w:val="13"/>
              </w:rPr>
            </w:pPr>
            <w:r w:rsidRPr="0081448E">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5</w:t>
            </w:r>
          </w:p>
        </w:tc>
      </w:tr>
      <w:tr w:rsidR="00113336" w:rsidRPr="0081448E"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81448E" w:rsidRDefault="00D04577" w:rsidP="00681E2A">
            <w:pPr>
              <w:jc w:val="center"/>
              <w:rPr>
                <w:rFonts w:ascii="Arial" w:hAnsi="Arial" w:cs="Arial"/>
                <w:b/>
                <w:sz w:val="13"/>
                <w:szCs w:val="13"/>
              </w:rPr>
            </w:pPr>
            <w:r w:rsidRPr="0081448E">
              <w:rPr>
                <w:rFonts w:ascii="Arial" w:hAnsi="Arial" w:cs="Arial"/>
                <w:b/>
                <w:sz w:val="13"/>
                <w:szCs w:val="13"/>
              </w:rPr>
              <w:t>H</w:t>
            </w:r>
          </w:p>
          <w:p w:rsidR="00113336" w:rsidRPr="0081448E" w:rsidRDefault="00D04577" w:rsidP="00681E2A">
            <w:pPr>
              <w:jc w:val="center"/>
              <w:rPr>
                <w:rFonts w:ascii="Arial" w:hAnsi="Arial" w:cs="Arial"/>
                <w:sz w:val="13"/>
                <w:szCs w:val="13"/>
              </w:rPr>
            </w:pPr>
            <w:r w:rsidRPr="0081448E">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81448E" w:rsidRDefault="00D04577" w:rsidP="00681E2A">
            <w:pPr>
              <w:jc w:val="center"/>
              <w:rPr>
                <w:rFonts w:ascii="Arial" w:hAnsi="Arial" w:cs="Arial"/>
                <w:b/>
                <w:sz w:val="13"/>
                <w:szCs w:val="13"/>
              </w:rPr>
            </w:pPr>
            <w:r w:rsidRPr="0081448E">
              <w:rPr>
                <w:rFonts w:ascii="Arial" w:hAnsi="Arial" w:cs="Arial"/>
                <w:b/>
                <w:sz w:val="13"/>
                <w:szCs w:val="13"/>
              </w:rPr>
              <w:t>CC</w:t>
            </w:r>
          </w:p>
          <w:p w:rsidR="00113336" w:rsidRPr="0081448E" w:rsidRDefault="00D04577" w:rsidP="00681E2A">
            <w:pPr>
              <w:jc w:val="center"/>
              <w:rPr>
                <w:rFonts w:ascii="Arial" w:hAnsi="Arial" w:cs="Arial"/>
                <w:sz w:val="13"/>
                <w:szCs w:val="13"/>
              </w:rPr>
            </w:pPr>
            <w:r w:rsidRPr="0081448E">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12</w:t>
            </w:r>
          </w:p>
        </w:tc>
      </w:tr>
      <w:tr w:rsidR="00113336" w:rsidRPr="0081448E"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81448E" w:rsidRDefault="00D04577" w:rsidP="00681E2A">
            <w:pPr>
              <w:jc w:val="center"/>
              <w:rPr>
                <w:rFonts w:ascii="Arial" w:hAnsi="Arial" w:cs="Arial"/>
                <w:b/>
                <w:sz w:val="13"/>
                <w:szCs w:val="13"/>
              </w:rPr>
            </w:pPr>
            <w:r w:rsidRPr="0081448E">
              <w:rPr>
                <w:rFonts w:ascii="Arial" w:hAnsi="Arial" w:cs="Arial"/>
                <w:b/>
                <w:sz w:val="13"/>
                <w:szCs w:val="13"/>
              </w:rPr>
              <w:t>CC</w:t>
            </w:r>
          </w:p>
          <w:p w:rsidR="00113336" w:rsidRPr="0081448E" w:rsidRDefault="00D04577" w:rsidP="00681E2A">
            <w:pPr>
              <w:jc w:val="center"/>
              <w:rPr>
                <w:rFonts w:ascii="Arial" w:hAnsi="Arial" w:cs="Arial"/>
                <w:sz w:val="13"/>
                <w:szCs w:val="13"/>
              </w:rPr>
            </w:pPr>
            <w:r w:rsidRPr="0081448E">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81448E" w:rsidRDefault="00D04577" w:rsidP="00681E2A">
            <w:pPr>
              <w:jc w:val="center"/>
              <w:rPr>
                <w:rFonts w:ascii="Arial" w:hAnsi="Arial" w:cs="Arial"/>
                <w:b/>
                <w:sz w:val="13"/>
                <w:szCs w:val="13"/>
              </w:rPr>
            </w:pPr>
            <w:r w:rsidRPr="0081448E">
              <w:rPr>
                <w:rFonts w:ascii="Arial" w:hAnsi="Arial" w:cs="Arial"/>
                <w:b/>
                <w:sz w:val="13"/>
                <w:szCs w:val="13"/>
              </w:rPr>
              <w:t>CC</w:t>
            </w:r>
          </w:p>
          <w:p w:rsidR="00113336" w:rsidRPr="0081448E" w:rsidRDefault="00D04577" w:rsidP="00681E2A">
            <w:pPr>
              <w:jc w:val="center"/>
              <w:rPr>
                <w:rFonts w:ascii="Arial" w:hAnsi="Arial" w:cs="Arial"/>
                <w:sz w:val="13"/>
                <w:szCs w:val="13"/>
              </w:rPr>
            </w:pPr>
            <w:r w:rsidRPr="0081448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19</w:t>
            </w:r>
          </w:p>
        </w:tc>
      </w:tr>
      <w:tr w:rsidR="00113336" w:rsidRPr="0081448E"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26</w:t>
            </w:r>
          </w:p>
        </w:tc>
      </w:tr>
      <w:tr w:rsidR="00113336" w:rsidRPr="0081448E"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81448E" w:rsidRDefault="00D04577" w:rsidP="00D04577">
            <w:pPr>
              <w:jc w:val="center"/>
              <w:rPr>
                <w:rFonts w:ascii="Arial" w:hAnsi="Arial" w:cs="Arial"/>
                <w:b/>
                <w:sz w:val="13"/>
                <w:szCs w:val="13"/>
              </w:rPr>
            </w:pPr>
            <w:r w:rsidRPr="0081448E">
              <w:rPr>
                <w:rFonts w:ascii="Arial" w:hAnsi="Arial" w:cs="Arial"/>
                <w:b/>
                <w:sz w:val="13"/>
                <w:szCs w:val="13"/>
              </w:rPr>
              <w:t>H</w:t>
            </w:r>
          </w:p>
          <w:p w:rsidR="00113336" w:rsidRPr="0081448E" w:rsidRDefault="00D04577" w:rsidP="00D04577">
            <w:pPr>
              <w:jc w:val="center"/>
              <w:rPr>
                <w:rFonts w:ascii="Arial" w:hAnsi="Arial" w:cs="Arial"/>
                <w:sz w:val="13"/>
                <w:szCs w:val="13"/>
              </w:rPr>
            </w:pPr>
            <w:r w:rsidRPr="0081448E">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81448E" w:rsidRDefault="00D04577" w:rsidP="00D04577">
            <w:pPr>
              <w:jc w:val="center"/>
              <w:rPr>
                <w:rFonts w:ascii="Arial" w:hAnsi="Arial" w:cs="Arial"/>
                <w:sz w:val="13"/>
                <w:szCs w:val="13"/>
              </w:rPr>
            </w:pPr>
            <w:r w:rsidRPr="0081448E">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D04577" w:rsidP="00681E2A">
            <w:pPr>
              <w:jc w:val="center"/>
              <w:rPr>
                <w:rFonts w:ascii="Arial" w:hAnsi="Arial" w:cs="Arial"/>
                <w:sz w:val="13"/>
                <w:szCs w:val="13"/>
              </w:rPr>
            </w:pPr>
            <w:r w:rsidRPr="0081448E">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r>
      <w:tr w:rsidR="00D04577" w:rsidRPr="0081448E"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81448E"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81448E" w:rsidRDefault="00D04577" w:rsidP="00681E2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81448E" w:rsidRDefault="00D04577" w:rsidP="00D04577">
            <w:pPr>
              <w:jc w:val="center"/>
              <w:rPr>
                <w:rFonts w:ascii="Arial" w:hAnsi="Arial" w:cs="Arial"/>
                <w:sz w:val="13"/>
                <w:szCs w:val="13"/>
              </w:rPr>
            </w:pPr>
            <w:r w:rsidRPr="0081448E">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81448E" w:rsidRDefault="00D04577" w:rsidP="00D04577">
            <w:pPr>
              <w:jc w:val="center"/>
              <w:rPr>
                <w:rFonts w:ascii="Arial" w:hAnsi="Arial" w:cs="Arial"/>
                <w:sz w:val="13"/>
                <w:szCs w:val="13"/>
              </w:rPr>
            </w:pPr>
            <w:r w:rsidRPr="0081448E">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81448E"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81448E" w:rsidRDefault="00D04577" w:rsidP="00681E2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81448E" w:rsidRDefault="00D04577" w:rsidP="00681E2A">
            <w:pPr>
              <w:jc w:val="center"/>
              <w:rPr>
                <w:rFonts w:ascii="Arial" w:hAnsi="Arial" w:cs="Arial"/>
                <w:sz w:val="13"/>
                <w:szCs w:val="13"/>
              </w:rPr>
            </w:pPr>
          </w:p>
        </w:tc>
      </w:tr>
      <w:tr w:rsidR="00113336" w:rsidRPr="0081448E" w:rsidTr="00681E2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SEPTEMBER – SEPTEMBRE</w:t>
            </w:r>
          </w:p>
        </w:tc>
      </w:tr>
      <w:tr w:rsidR="00113336" w:rsidRPr="0081448E"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6"/>
                <w:szCs w:val="16"/>
              </w:rPr>
            </w:pPr>
            <w:r w:rsidRPr="0081448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W</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W</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1448E" w:rsidRDefault="00113336" w:rsidP="00681E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W</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T</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F</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p w:rsidR="00113336" w:rsidRPr="0081448E" w:rsidRDefault="00113336" w:rsidP="00681E2A">
            <w:pPr>
              <w:tabs>
                <w:tab w:val="center" w:pos="5220"/>
                <w:tab w:val="right" w:pos="10440"/>
              </w:tabs>
              <w:jc w:val="center"/>
              <w:rPr>
                <w:rFonts w:ascii="Arial" w:hAnsi="Arial" w:cs="Arial"/>
                <w:b/>
                <w:sz w:val="13"/>
                <w:szCs w:val="13"/>
              </w:rPr>
            </w:pPr>
            <w:r w:rsidRPr="0081448E">
              <w:rPr>
                <w:rFonts w:ascii="Arial" w:hAnsi="Arial" w:cs="Arial"/>
                <w:b/>
                <w:sz w:val="13"/>
                <w:szCs w:val="13"/>
              </w:rPr>
              <w:t>S</w:t>
            </w:r>
          </w:p>
        </w:tc>
      </w:tr>
      <w:tr w:rsidR="00113336" w:rsidRPr="0081448E"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1448E" w:rsidRDefault="00A067B5" w:rsidP="00681E2A">
            <w:pPr>
              <w:jc w:val="center"/>
              <w:rPr>
                <w:rFonts w:ascii="Arial" w:hAnsi="Arial" w:cs="Arial"/>
                <w:b/>
                <w:sz w:val="13"/>
                <w:szCs w:val="13"/>
              </w:rPr>
            </w:pPr>
            <w:r w:rsidRPr="0081448E">
              <w:rPr>
                <w:rFonts w:ascii="Arial" w:hAnsi="Arial" w:cs="Arial"/>
                <w:b/>
                <w:sz w:val="13"/>
                <w:szCs w:val="13"/>
              </w:rPr>
              <w:t>H</w:t>
            </w:r>
          </w:p>
          <w:p w:rsidR="00113336" w:rsidRPr="0081448E" w:rsidRDefault="00A067B5" w:rsidP="00681E2A">
            <w:pPr>
              <w:jc w:val="center"/>
              <w:rPr>
                <w:rFonts w:ascii="Arial" w:hAnsi="Arial" w:cs="Arial"/>
                <w:sz w:val="13"/>
                <w:szCs w:val="13"/>
              </w:rPr>
            </w:pPr>
            <w:r w:rsidRPr="0081448E">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1448E" w:rsidRDefault="00A067B5" w:rsidP="00681E2A">
            <w:pPr>
              <w:jc w:val="center"/>
              <w:rPr>
                <w:rFonts w:ascii="Arial" w:hAnsi="Arial" w:cs="Arial"/>
                <w:b/>
                <w:sz w:val="13"/>
                <w:szCs w:val="13"/>
              </w:rPr>
            </w:pPr>
            <w:r w:rsidRPr="0081448E">
              <w:rPr>
                <w:rFonts w:ascii="Arial" w:hAnsi="Arial" w:cs="Arial"/>
                <w:b/>
                <w:sz w:val="13"/>
                <w:szCs w:val="13"/>
              </w:rPr>
              <w:t>H</w:t>
            </w:r>
          </w:p>
          <w:p w:rsidR="00113336" w:rsidRPr="0081448E" w:rsidRDefault="00A067B5" w:rsidP="00681E2A">
            <w:pPr>
              <w:jc w:val="center"/>
              <w:rPr>
                <w:rFonts w:ascii="Arial" w:hAnsi="Arial" w:cs="Arial"/>
                <w:sz w:val="13"/>
                <w:szCs w:val="13"/>
              </w:rPr>
            </w:pPr>
            <w:r w:rsidRPr="0081448E">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4</w:t>
            </w:r>
          </w:p>
        </w:tc>
      </w:tr>
      <w:tr w:rsidR="00113336" w:rsidRPr="0081448E"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81448E" w:rsidRDefault="00A067B5" w:rsidP="00681E2A">
            <w:pPr>
              <w:jc w:val="center"/>
              <w:rPr>
                <w:rFonts w:ascii="Arial" w:hAnsi="Arial" w:cs="Arial"/>
                <w:b/>
                <w:sz w:val="13"/>
                <w:szCs w:val="13"/>
              </w:rPr>
            </w:pPr>
            <w:r w:rsidRPr="0081448E">
              <w:rPr>
                <w:rFonts w:ascii="Arial" w:hAnsi="Arial" w:cs="Arial"/>
                <w:b/>
                <w:sz w:val="13"/>
                <w:szCs w:val="13"/>
              </w:rPr>
              <w:t>H</w:t>
            </w:r>
          </w:p>
          <w:p w:rsidR="00113336" w:rsidRPr="0081448E" w:rsidRDefault="00A067B5" w:rsidP="00681E2A">
            <w:pPr>
              <w:jc w:val="center"/>
              <w:rPr>
                <w:rFonts w:ascii="Arial" w:hAnsi="Arial" w:cs="Arial"/>
                <w:sz w:val="13"/>
                <w:szCs w:val="13"/>
              </w:rPr>
            </w:pPr>
            <w:r w:rsidRPr="0081448E">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1448E" w:rsidRDefault="00A067B5" w:rsidP="00681E2A">
            <w:pPr>
              <w:jc w:val="center"/>
              <w:rPr>
                <w:rFonts w:ascii="Arial" w:hAnsi="Arial" w:cs="Arial"/>
                <w:b/>
                <w:sz w:val="13"/>
                <w:szCs w:val="13"/>
              </w:rPr>
            </w:pPr>
            <w:r w:rsidRPr="0081448E">
              <w:rPr>
                <w:rFonts w:ascii="Arial" w:hAnsi="Arial" w:cs="Arial"/>
                <w:b/>
                <w:sz w:val="13"/>
                <w:szCs w:val="13"/>
              </w:rPr>
              <w:t>RH</w:t>
            </w:r>
          </w:p>
          <w:p w:rsidR="00113336" w:rsidRPr="0081448E" w:rsidRDefault="00A067B5" w:rsidP="00681E2A">
            <w:pPr>
              <w:jc w:val="center"/>
              <w:rPr>
                <w:rFonts w:ascii="Arial" w:hAnsi="Arial" w:cs="Arial"/>
                <w:sz w:val="13"/>
                <w:szCs w:val="13"/>
              </w:rPr>
            </w:pPr>
            <w:r w:rsidRPr="0081448E">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1448E" w:rsidRDefault="00A067B5" w:rsidP="00681E2A">
            <w:pPr>
              <w:jc w:val="center"/>
              <w:rPr>
                <w:rFonts w:ascii="Arial" w:hAnsi="Arial" w:cs="Arial"/>
                <w:b/>
                <w:sz w:val="13"/>
                <w:szCs w:val="13"/>
              </w:rPr>
            </w:pPr>
            <w:r w:rsidRPr="0081448E">
              <w:rPr>
                <w:rFonts w:ascii="Arial" w:hAnsi="Arial" w:cs="Arial"/>
                <w:b/>
                <w:sz w:val="13"/>
                <w:szCs w:val="13"/>
              </w:rPr>
              <w:t>RH</w:t>
            </w:r>
          </w:p>
          <w:p w:rsidR="00113336" w:rsidRPr="0081448E" w:rsidRDefault="00A067B5" w:rsidP="00681E2A">
            <w:pPr>
              <w:jc w:val="center"/>
              <w:rPr>
                <w:rFonts w:ascii="Arial" w:hAnsi="Arial" w:cs="Arial"/>
                <w:sz w:val="13"/>
                <w:szCs w:val="13"/>
              </w:rPr>
            </w:pPr>
            <w:r w:rsidRPr="0081448E">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11</w:t>
            </w:r>
          </w:p>
        </w:tc>
      </w:tr>
      <w:tr w:rsidR="00113336" w:rsidRPr="0081448E"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1448E" w:rsidRDefault="00A067B5" w:rsidP="00681E2A">
            <w:pPr>
              <w:jc w:val="center"/>
              <w:rPr>
                <w:rFonts w:ascii="Arial" w:hAnsi="Arial" w:cs="Arial"/>
                <w:b/>
                <w:sz w:val="13"/>
                <w:szCs w:val="13"/>
              </w:rPr>
            </w:pPr>
            <w:r w:rsidRPr="0081448E">
              <w:rPr>
                <w:rFonts w:ascii="Arial" w:hAnsi="Arial" w:cs="Arial"/>
                <w:b/>
                <w:sz w:val="13"/>
                <w:szCs w:val="13"/>
              </w:rPr>
              <w:t>YK</w:t>
            </w:r>
          </w:p>
          <w:p w:rsidR="00113336" w:rsidRPr="0081448E" w:rsidRDefault="00A067B5" w:rsidP="00681E2A">
            <w:pPr>
              <w:jc w:val="center"/>
              <w:rPr>
                <w:rFonts w:ascii="Arial" w:hAnsi="Arial" w:cs="Arial"/>
                <w:sz w:val="13"/>
                <w:szCs w:val="13"/>
              </w:rPr>
            </w:pPr>
            <w:r w:rsidRPr="0081448E">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18</w:t>
            </w:r>
          </w:p>
        </w:tc>
      </w:tr>
      <w:tr w:rsidR="00113336" w:rsidRPr="0081448E"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25</w:t>
            </w:r>
          </w:p>
        </w:tc>
      </w:tr>
      <w:tr w:rsidR="00113336" w:rsidRPr="0081448E"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1448E" w:rsidRDefault="00A067B5" w:rsidP="00A067B5">
            <w:pPr>
              <w:jc w:val="center"/>
              <w:rPr>
                <w:rFonts w:ascii="Arial" w:hAnsi="Arial" w:cs="Arial"/>
                <w:sz w:val="13"/>
                <w:szCs w:val="13"/>
              </w:rPr>
            </w:pPr>
            <w:r w:rsidRPr="0081448E">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A067B5">
            <w:pPr>
              <w:jc w:val="center"/>
              <w:rPr>
                <w:rFonts w:ascii="Arial" w:hAnsi="Arial" w:cs="Arial"/>
                <w:sz w:val="13"/>
                <w:szCs w:val="13"/>
              </w:rPr>
            </w:pPr>
            <w:r w:rsidRPr="0081448E">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A067B5">
            <w:pPr>
              <w:jc w:val="center"/>
              <w:rPr>
                <w:rFonts w:ascii="Arial" w:hAnsi="Arial" w:cs="Arial"/>
                <w:sz w:val="13"/>
                <w:szCs w:val="13"/>
              </w:rPr>
            </w:pPr>
            <w:r w:rsidRPr="0081448E">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1448E"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1448E" w:rsidRDefault="00113336" w:rsidP="00681E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A067B5" w:rsidP="00681E2A">
            <w:pPr>
              <w:jc w:val="center"/>
              <w:rPr>
                <w:rFonts w:ascii="Arial" w:hAnsi="Arial" w:cs="Arial"/>
                <w:sz w:val="13"/>
                <w:szCs w:val="13"/>
              </w:rPr>
            </w:pPr>
            <w:r w:rsidRPr="0081448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1448E" w:rsidRDefault="00113336" w:rsidP="00681E2A">
            <w:pPr>
              <w:jc w:val="center"/>
              <w:rPr>
                <w:rFonts w:ascii="Arial" w:hAnsi="Arial" w:cs="Arial"/>
                <w:sz w:val="13"/>
                <w:szCs w:val="13"/>
              </w:rPr>
            </w:pPr>
          </w:p>
        </w:tc>
      </w:tr>
    </w:tbl>
    <w:p w:rsidR="00113336" w:rsidRPr="0081448E"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81448E" w:rsidTr="00B4618C">
        <w:trPr>
          <w:trHeight w:val="445"/>
        </w:trPr>
        <w:tc>
          <w:tcPr>
            <w:tcW w:w="1890" w:type="dxa"/>
            <w:tcBorders>
              <w:top w:val="nil"/>
              <w:left w:val="nil"/>
              <w:bottom w:val="nil"/>
              <w:right w:val="single" w:sz="4" w:space="0" w:color="000000" w:themeColor="text1"/>
            </w:tcBorders>
            <w:vAlign w:val="center"/>
            <w:hideMark/>
          </w:tcPr>
          <w:p w:rsidR="00113336" w:rsidRPr="0081448E" w:rsidRDefault="00113336" w:rsidP="00681E2A">
            <w:pPr>
              <w:rPr>
                <w:rFonts w:ascii="Arial" w:hAnsi="Arial" w:cs="Arial"/>
                <w:b/>
                <w:sz w:val="13"/>
                <w:szCs w:val="13"/>
              </w:rPr>
            </w:pPr>
            <w:r w:rsidRPr="0081448E">
              <w:rPr>
                <w:rFonts w:ascii="Arial" w:hAnsi="Arial" w:cs="Arial"/>
                <w:b/>
                <w:sz w:val="13"/>
                <w:szCs w:val="13"/>
              </w:rPr>
              <w:t>Sitting of the Court /</w:t>
            </w:r>
          </w:p>
          <w:p w:rsidR="00113336" w:rsidRPr="0081448E" w:rsidRDefault="00113336" w:rsidP="00681E2A">
            <w:pPr>
              <w:rPr>
                <w:rFonts w:ascii="Arial" w:hAnsi="Arial" w:cs="Arial"/>
                <w:b/>
                <w:sz w:val="13"/>
                <w:szCs w:val="13"/>
              </w:rPr>
            </w:pPr>
            <w:r w:rsidRPr="0081448E">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81448E" w:rsidRDefault="00113336" w:rsidP="00681E2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81448E" w:rsidRDefault="00113336" w:rsidP="00681E2A">
            <w:pPr>
              <w:tabs>
                <w:tab w:val="left" w:pos="203"/>
              </w:tabs>
              <w:spacing w:after="120"/>
              <w:rPr>
                <w:rFonts w:ascii="Arial" w:hAnsi="Arial" w:cs="Arial"/>
                <w:b/>
                <w:sz w:val="13"/>
                <w:szCs w:val="13"/>
                <w:lang w:val="fr-CA"/>
              </w:rPr>
            </w:pPr>
            <w:r w:rsidRPr="0081448E">
              <w:rPr>
                <w:rFonts w:ascii="Arial" w:hAnsi="Arial" w:cs="Arial"/>
                <w:b/>
                <w:sz w:val="13"/>
                <w:szCs w:val="13"/>
                <w:lang w:val="fr-CA"/>
              </w:rPr>
              <w:t>18</w:t>
            </w:r>
            <w:r w:rsidRPr="0081448E">
              <w:rPr>
                <w:rFonts w:ascii="Arial" w:hAnsi="Arial" w:cs="Arial"/>
                <w:b/>
                <w:sz w:val="13"/>
                <w:szCs w:val="13"/>
                <w:lang w:val="fr-CA"/>
              </w:rPr>
              <w:tab/>
              <w:t xml:space="preserve"> sitting weeks / semaines séances de la Cour</w:t>
            </w:r>
          </w:p>
          <w:p w:rsidR="00113336" w:rsidRPr="0081448E" w:rsidRDefault="00113336" w:rsidP="00B4618C">
            <w:pPr>
              <w:tabs>
                <w:tab w:val="left" w:pos="203"/>
              </w:tabs>
              <w:rPr>
                <w:rFonts w:ascii="Arial" w:hAnsi="Arial" w:cs="Arial"/>
                <w:b/>
                <w:sz w:val="13"/>
                <w:szCs w:val="13"/>
                <w:lang w:val="fr-CA"/>
              </w:rPr>
            </w:pPr>
            <w:r w:rsidRPr="0081448E">
              <w:rPr>
                <w:rFonts w:ascii="Arial" w:hAnsi="Arial" w:cs="Arial"/>
                <w:b/>
                <w:sz w:val="13"/>
                <w:szCs w:val="13"/>
                <w:lang w:val="fr-CA"/>
              </w:rPr>
              <w:t>8</w:t>
            </w:r>
            <w:r w:rsidR="00B4618C" w:rsidRPr="0081448E">
              <w:rPr>
                <w:rFonts w:ascii="Arial" w:hAnsi="Arial" w:cs="Arial"/>
                <w:b/>
                <w:sz w:val="13"/>
                <w:szCs w:val="13"/>
                <w:lang w:val="fr-CA"/>
              </w:rPr>
              <w:t>8</w:t>
            </w:r>
            <w:r w:rsidRPr="0081448E">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81448E" w:rsidRDefault="00113336" w:rsidP="00681E2A">
            <w:pPr>
              <w:spacing w:after="120"/>
              <w:rPr>
                <w:rFonts w:ascii="Arial" w:hAnsi="Arial" w:cs="Arial"/>
                <w:b/>
                <w:sz w:val="13"/>
                <w:szCs w:val="13"/>
                <w:lang w:val="fr-FR"/>
              </w:rPr>
            </w:pPr>
            <w:r w:rsidRPr="0081448E">
              <w:rPr>
                <w:rFonts w:ascii="Arial" w:hAnsi="Arial" w:cs="Arial"/>
                <w:b/>
                <w:sz w:val="13"/>
                <w:szCs w:val="13"/>
                <w:lang w:val="fr-FR"/>
              </w:rPr>
              <w:t>Rosh Hashanah / Nouvel An juif</w:t>
            </w:r>
          </w:p>
          <w:p w:rsidR="00113336" w:rsidRPr="0081448E" w:rsidRDefault="00113336" w:rsidP="00B4618C">
            <w:pPr>
              <w:rPr>
                <w:rFonts w:ascii="Arial" w:hAnsi="Arial" w:cs="Arial"/>
                <w:b/>
                <w:sz w:val="13"/>
                <w:szCs w:val="13"/>
                <w:lang w:val="fr-CA"/>
              </w:rPr>
            </w:pPr>
            <w:r w:rsidRPr="0081448E">
              <w:rPr>
                <w:rFonts w:ascii="Arial" w:hAnsi="Arial" w:cs="Arial"/>
                <w:b/>
                <w:sz w:val="13"/>
                <w:szCs w:val="13"/>
                <w:lang w:val="fr-FR"/>
              </w:rPr>
              <w:t>Yom Kippur / Yom Kippour</w:t>
            </w:r>
          </w:p>
        </w:tc>
        <w:tc>
          <w:tcPr>
            <w:tcW w:w="567" w:type="dxa"/>
            <w:hideMark/>
          </w:tcPr>
          <w:p w:rsidR="00113336" w:rsidRPr="0081448E" w:rsidRDefault="00113336" w:rsidP="00681E2A">
            <w:pPr>
              <w:spacing w:after="120"/>
              <w:jc w:val="center"/>
              <w:rPr>
                <w:rFonts w:ascii="Arial" w:hAnsi="Arial" w:cs="Arial"/>
                <w:b/>
                <w:sz w:val="13"/>
                <w:szCs w:val="13"/>
                <w:lang w:val="fr-CA"/>
              </w:rPr>
            </w:pPr>
            <w:r w:rsidRPr="0081448E">
              <w:rPr>
                <w:rFonts w:ascii="Arial" w:hAnsi="Arial" w:cs="Arial"/>
                <w:b/>
                <w:sz w:val="13"/>
                <w:szCs w:val="13"/>
                <w:lang w:val="fr-CA"/>
              </w:rPr>
              <w:t>RH</w:t>
            </w:r>
          </w:p>
          <w:p w:rsidR="00113336" w:rsidRPr="0081448E" w:rsidRDefault="00113336" w:rsidP="00681E2A">
            <w:pPr>
              <w:jc w:val="center"/>
              <w:rPr>
                <w:rFonts w:ascii="Arial" w:hAnsi="Arial" w:cs="Arial"/>
                <w:b/>
                <w:sz w:val="13"/>
                <w:szCs w:val="13"/>
                <w:lang w:val="fr-CA"/>
              </w:rPr>
            </w:pPr>
            <w:r w:rsidRPr="0081448E">
              <w:rPr>
                <w:rFonts w:ascii="Arial" w:hAnsi="Arial" w:cs="Arial"/>
                <w:b/>
                <w:sz w:val="13"/>
                <w:szCs w:val="13"/>
                <w:lang w:val="fr-CA"/>
              </w:rPr>
              <w:t>YK</w:t>
            </w:r>
          </w:p>
        </w:tc>
      </w:tr>
      <w:tr w:rsidR="00113336" w:rsidRPr="005C4158" w:rsidTr="00B4618C">
        <w:trPr>
          <w:trHeight w:val="390"/>
        </w:trPr>
        <w:tc>
          <w:tcPr>
            <w:tcW w:w="1890" w:type="dxa"/>
            <w:tcBorders>
              <w:top w:val="nil"/>
              <w:left w:val="nil"/>
              <w:bottom w:val="nil"/>
              <w:right w:val="double" w:sz="4" w:space="0" w:color="auto"/>
            </w:tcBorders>
            <w:vAlign w:val="center"/>
            <w:hideMark/>
          </w:tcPr>
          <w:p w:rsidR="00113336" w:rsidRPr="0081448E" w:rsidRDefault="00113336" w:rsidP="00681E2A">
            <w:pPr>
              <w:spacing w:before="60"/>
              <w:rPr>
                <w:rFonts w:ascii="Arial" w:hAnsi="Arial" w:cs="Arial"/>
                <w:b/>
                <w:sz w:val="13"/>
                <w:szCs w:val="13"/>
                <w:lang w:val="fr-CA"/>
              </w:rPr>
            </w:pPr>
            <w:r w:rsidRPr="0081448E">
              <w:rPr>
                <w:rFonts w:ascii="Arial" w:hAnsi="Arial" w:cs="Arial"/>
                <w:b/>
                <w:sz w:val="13"/>
                <w:szCs w:val="13"/>
                <w:lang w:val="fr-CA"/>
              </w:rPr>
              <w:t>Court conference /</w:t>
            </w:r>
          </w:p>
          <w:p w:rsidR="00113336" w:rsidRPr="0081448E" w:rsidRDefault="00113336" w:rsidP="00681E2A">
            <w:pPr>
              <w:rPr>
                <w:rFonts w:ascii="Arial" w:hAnsi="Arial" w:cs="Arial"/>
                <w:b/>
                <w:sz w:val="13"/>
                <w:szCs w:val="13"/>
                <w:lang w:val="fr-CA"/>
              </w:rPr>
            </w:pPr>
            <w:r w:rsidRPr="0081448E">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81448E" w:rsidRDefault="00113336" w:rsidP="00681E2A">
            <w:pPr>
              <w:jc w:val="center"/>
              <w:rPr>
                <w:rFonts w:ascii="Arial" w:hAnsi="Arial" w:cs="Arial"/>
                <w:b/>
                <w:sz w:val="13"/>
                <w:szCs w:val="13"/>
                <w:lang w:val="fr-FR"/>
              </w:rPr>
            </w:pPr>
            <w:r w:rsidRPr="0081448E">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81448E" w:rsidRDefault="00113336" w:rsidP="00681E2A">
            <w:pPr>
              <w:tabs>
                <w:tab w:val="left" w:pos="203"/>
              </w:tabs>
              <w:spacing w:before="120"/>
              <w:rPr>
                <w:rFonts w:ascii="Arial" w:hAnsi="Arial" w:cs="Arial"/>
                <w:b/>
                <w:sz w:val="13"/>
                <w:szCs w:val="13"/>
                <w:lang w:val="fr-CA"/>
              </w:rPr>
            </w:pPr>
            <w:r w:rsidRPr="0081448E">
              <w:rPr>
                <w:rFonts w:ascii="Arial" w:hAnsi="Arial" w:cs="Arial"/>
                <w:b/>
                <w:sz w:val="13"/>
                <w:szCs w:val="13"/>
                <w:lang w:val="fr-CA"/>
              </w:rPr>
              <w:t>9</w:t>
            </w:r>
            <w:r w:rsidRPr="0081448E">
              <w:rPr>
                <w:rFonts w:ascii="Arial" w:hAnsi="Arial" w:cs="Arial"/>
                <w:b/>
                <w:sz w:val="13"/>
                <w:szCs w:val="13"/>
                <w:lang w:val="fr-CA"/>
              </w:rPr>
              <w:tab/>
              <w:t>Court conference days /</w:t>
            </w:r>
          </w:p>
          <w:p w:rsidR="00113336" w:rsidRPr="0081448E" w:rsidRDefault="00113336" w:rsidP="00B4618C">
            <w:pPr>
              <w:tabs>
                <w:tab w:val="left" w:pos="203"/>
              </w:tabs>
              <w:rPr>
                <w:rFonts w:ascii="Arial" w:hAnsi="Arial" w:cs="Arial"/>
                <w:b/>
                <w:sz w:val="13"/>
                <w:szCs w:val="13"/>
                <w:lang w:val="fr-CA"/>
              </w:rPr>
            </w:pPr>
            <w:r w:rsidRPr="0081448E">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81448E" w:rsidRDefault="00113336" w:rsidP="00681E2A">
            <w:pPr>
              <w:rPr>
                <w:rFonts w:ascii="Arial" w:hAnsi="Arial" w:cs="Arial"/>
                <w:b/>
                <w:sz w:val="13"/>
                <w:szCs w:val="13"/>
                <w:lang w:val="fr-CA"/>
              </w:rPr>
            </w:pPr>
          </w:p>
        </w:tc>
        <w:tc>
          <w:tcPr>
            <w:tcW w:w="567" w:type="dxa"/>
          </w:tcPr>
          <w:p w:rsidR="00113336" w:rsidRPr="0081448E" w:rsidRDefault="00113336" w:rsidP="00681E2A">
            <w:pPr>
              <w:jc w:val="center"/>
              <w:rPr>
                <w:rFonts w:ascii="Arial" w:hAnsi="Arial" w:cs="Arial"/>
                <w:b/>
                <w:sz w:val="13"/>
                <w:szCs w:val="13"/>
                <w:lang w:val="fr-CA"/>
              </w:rPr>
            </w:pPr>
          </w:p>
        </w:tc>
      </w:tr>
      <w:tr w:rsidR="00113336" w:rsidRPr="0081448E" w:rsidTr="00B4618C">
        <w:trPr>
          <w:trHeight w:val="35"/>
        </w:trPr>
        <w:tc>
          <w:tcPr>
            <w:tcW w:w="1890" w:type="dxa"/>
            <w:tcBorders>
              <w:top w:val="nil"/>
              <w:left w:val="nil"/>
              <w:bottom w:val="nil"/>
              <w:right w:val="double" w:sz="4" w:space="0" w:color="auto"/>
            </w:tcBorders>
            <w:vAlign w:val="center"/>
            <w:hideMark/>
          </w:tcPr>
          <w:p w:rsidR="00113336" w:rsidRPr="0081448E" w:rsidRDefault="00113336" w:rsidP="00681E2A">
            <w:pPr>
              <w:rPr>
                <w:rFonts w:ascii="Arial" w:hAnsi="Arial" w:cs="Arial"/>
                <w:b/>
                <w:sz w:val="13"/>
                <w:szCs w:val="13"/>
              </w:rPr>
            </w:pPr>
            <w:r w:rsidRPr="0081448E">
              <w:rPr>
                <w:rFonts w:ascii="Arial" w:hAnsi="Arial" w:cs="Arial"/>
                <w:b/>
                <w:sz w:val="13"/>
                <w:szCs w:val="13"/>
              </w:rPr>
              <w:t xml:space="preserve">Holiday / </w:t>
            </w:r>
            <w:r w:rsidRPr="0081448E">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81448E" w:rsidRDefault="00113336" w:rsidP="00681E2A">
            <w:pPr>
              <w:jc w:val="center"/>
              <w:rPr>
                <w:rFonts w:ascii="Arial" w:hAnsi="Arial" w:cs="Arial"/>
                <w:b/>
                <w:sz w:val="13"/>
                <w:szCs w:val="13"/>
              </w:rPr>
            </w:pPr>
            <w:r w:rsidRPr="0081448E">
              <w:rPr>
                <w:rFonts w:ascii="Arial" w:hAnsi="Arial" w:cs="Arial"/>
                <w:b/>
                <w:sz w:val="13"/>
                <w:szCs w:val="13"/>
              </w:rPr>
              <w:t>H</w:t>
            </w:r>
          </w:p>
        </w:tc>
        <w:tc>
          <w:tcPr>
            <w:tcW w:w="3524" w:type="dxa"/>
            <w:tcBorders>
              <w:top w:val="nil"/>
              <w:left w:val="double" w:sz="4" w:space="0" w:color="auto"/>
              <w:bottom w:val="nil"/>
              <w:right w:val="nil"/>
            </w:tcBorders>
            <w:hideMark/>
          </w:tcPr>
          <w:p w:rsidR="00113336" w:rsidRPr="0081448E" w:rsidRDefault="00B4618C" w:rsidP="00681E2A">
            <w:pPr>
              <w:tabs>
                <w:tab w:val="left" w:pos="203"/>
              </w:tabs>
              <w:spacing w:before="120"/>
              <w:rPr>
                <w:rFonts w:ascii="Arial" w:hAnsi="Arial" w:cs="Arial"/>
                <w:b/>
                <w:sz w:val="13"/>
                <w:szCs w:val="13"/>
              </w:rPr>
            </w:pPr>
            <w:r w:rsidRPr="0081448E">
              <w:rPr>
                <w:rFonts w:ascii="Arial" w:hAnsi="Arial" w:cs="Arial"/>
                <w:b/>
                <w:sz w:val="13"/>
                <w:szCs w:val="13"/>
              </w:rPr>
              <w:t>2</w:t>
            </w:r>
            <w:r w:rsidR="00113336" w:rsidRPr="0081448E">
              <w:rPr>
                <w:rFonts w:ascii="Arial" w:hAnsi="Arial" w:cs="Arial"/>
                <w:b/>
                <w:sz w:val="13"/>
                <w:szCs w:val="13"/>
              </w:rPr>
              <w:tab/>
              <w:t xml:space="preserve">holidays during sitting days / </w:t>
            </w:r>
          </w:p>
          <w:p w:rsidR="00113336" w:rsidRPr="00B4618C" w:rsidRDefault="00113336" w:rsidP="00681E2A">
            <w:pPr>
              <w:tabs>
                <w:tab w:val="left" w:pos="203"/>
              </w:tabs>
              <w:rPr>
                <w:rFonts w:ascii="Arial" w:hAnsi="Arial" w:cs="Arial"/>
                <w:b/>
                <w:sz w:val="13"/>
                <w:szCs w:val="13"/>
                <w:lang w:val="fr-CA"/>
              </w:rPr>
            </w:pPr>
            <w:r w:rsidRPr="0081448E">
              <w:rPr>
                <w:rFonts w:ascii="Arial" w:hAnsi="Arial" w:cs="Arial"/>
                <w:b/>
                <w:sz w:val="13"/>
                <w:szCs w:val="13"/>
              </w:rPr>
              <w:tab/>
            </w:r>
            <w:r w:rsidRPr="0081448E">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681E2A">
            <w:pPr>
              <w:rPr>
                <w:rFonts w:ascii="Arial" w:hAnsi="Arial" w:cs="Arial"/>
                <w:b/>
                <w:sz w:val="13"/>
                <w:szCs w:val="13"/>
                <w:lang w:val="fr-FR"/>
              </w:rPr>
            </w:pPr>
          </w:p>
        </w:tc>
        <w:tc>
          <w:tcPr>
            <w:tcW w:w="567" w:type="dxa"/>
          </w:tcPr>
          <w:p w:rsidR="00113336" w:rsidRPr="00B4618C" w:rsidRDefault="00113336" w:rsidP="00681E2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62"/>
      <w:footerReference w:type="default" r:id="rId63"/>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F65" w:rsidRDefault="00343F65" w:rsidP="00A87207">
      <w:r>
        <w:separator/>
      </w:r>
    </w:p>
  </w:endnote>
  <w:endnote w:type="continuationSeparator" w:id="0">
    <w:p w:rsidR="00343F65" w:rsidRDefault="00343F6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DC444A" w:rsidP="00A87207">
    <w:pPr>
      <w:pStyle w:val="Footer"/>
    </w:pPr>
    <w:r>
      <w:pict>
        <v:rect id="_x0000_i1033" style="width:480.95pt;height:1pt" o:hralign="center" o:hrstd="t" o:hrnoshade="t" o:hr="t" fillcolor="black [3213]" stroked="f"/>
      </w:pict>
    </w:r>
  </w:p>
  <w:p w:rsidR="00343F65" w:rsidRPr="00B7374B" w:rsidRDefault="00343F6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C444A">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F65" w:rsidRDefault="00DC44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343F65" w:rsidRDefault="00343F6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DC444A" w:rsidP="00782AE4">
    <w:pPr>
      <w:tabs>
        <w:tab w:val="center" w:pos="4680"/>
      </w:tabs>
    </w:pPr>
    <w:r>
      <w:pict>
        <v:rect id="_x0000_i1048" style="width:480.95pt;height:1pt" o:hralign="center" o:hrstd="t" o:hrnoshade="t" o:hr="t" fillcolor="black [3213]" stroked="f"/>
      </w:pict>
    </w:r>
  </w:p>
  <w:p w:rsidR="00343F65" w:rsidRDefault="00343F6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C444A">
      <w:rPr>
        <w:noProof/>
        <w:szCs w:val="24"/>
      </w:rPr>
      <w:t>10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43F65" w:rsidRDefault="00343F6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43F65" w:rsidRDefault="00343F65">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DC444A" w:rsidP="0022323B">
    <w:r>
      <w:pict>
        <v:rect id="_x0000_i1067" style="width:480.95pt;height:1pt" o:hralign="center" o:hrstd="t" o:hrnoshade="t" o:hr="t" fillcolor="black [3213]" stroked="f"/>
      </w:pict>
    </w:r>
  </w:p>
  <w:p w:rsidR="00343F65" w:rsidRDefault="00343F65">
    <w:pPr>
      <w:tabs>
        <w:tab w:val="center" w:pos="4740"/>
      </w:tabs>
      <w:spacing w:line="0" w:lineRule="atLeast"/>
    </w:pPr>
    <w:r>
      <w:tab/>
      <w:t xml:space="preserve">- </w:t>
    </w:r>
    <w:r>
      <w:fldChar w:fldCharType="begin"/>
    </w:r>
    <w:r>
      <w:instrText xml:space="preserve"> PAGE   \* MERGEFORMAT </w:instrText>
    </w:r>
    <w:r>
      <w:fldChar w:fldCharType="separate"/>
    </w:r>
    <w:r w:rsidR="00DC444A">
      <w:rPr>
        <w:noProof/>
      </w:rPr>
      <w:t>19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DC444A" w:rsidP="0022323B">
    <w:r>
      <w:pict>
        <v:rect id="_x0000_i1068" style="width:480.95pt;height:1pt" o:hralign="center" o:hrstd="t" o:hrnoshade="t" o:hr="t" fillcolor="black [3213]" stroked="f"/>
      </w:pict>
    </w:r>
  </w:p>
  <w:p w:rsidR="00343F65" w:rsidRDefault="00343F65" w:rsidP="0022323B">
    <w:pPr>
      <w:tabs>
        <w:tab w:val="center" w:pos="4740"/>
      </w:tabs>
      <w:spacing w:line="0" w:lineRule="atLeast"/>
    </w:pPr>
    <w:r>
      <w:tab/>
      <w:t xml:space="preserve">- </w:t>
    </w:r>
    <w:r>
      <w:fldChar w:fldCharType="begin"/>
    </w:r>
    <w:r>
      <w:instrText xml:space="preserve"> PAGE   \* MERGEFORMAT </w:instrText>
    </w:r>
    <w:r>
      <w:fldChar w:fldCharType="separate"/>
    </w:r>
    <w:r w:rsidR="00DC444A">
      <w:rPr>
        <w:noProof/>
      </w:rPr>
      <w:t>11</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Pr="00924065" w:rsidRDefault="00343F6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DC444A" w:rsidP="00755F22">
    <w:pPr>
      <w:tabs>
        <w:tab w:val="left" w:pos="-1440"/>
        <w:tab w:val="left" w:pos="-720"/>
      </w:tabs>
    </w:pPr>
    <w:r>
      <w:pict>
        <v:rect id="_x0000_i1034" style="width:480.95pt;height:1pt" o:hralign="center" o:hrstd="t" o:hrnoshade="t" o:hr="t" fillcolor="black [3213]" stroked="f"/>
      </w:pict>
    </w:r>
  </w:p>
  <w:p w:rsidR="00343F65" w:rsidRPr="00954D22" w:rsidRDefault="00343F6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C444A">
      <w:rPr>
        <w:noProof/>
        <w:szCs w:val="24"/>
      </w:rPr>
      <w:t>1</w:t>
    </w:r>
    <w:r>
      <w:rPr>
        <w:szCs w:val="24"/>
      </w:rPr>
      <w:fldChar w:fldCharType="end"/>
    </w:r>
    <w:r w:rsidRPr="00954D22">
      <w:rPr>
        <w:szCs w:val="24"/>
      </w:rPr>
      <w:t xml:space="preserve"> -</w:t>
    </w:r>
  </w:p>
  <w:p w:rsidR="00343F65" w:rsidRDefault="00343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F65" w:rsidRDefault="00343F65">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DC44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343F65" w:rsidRPr="0009648D" w:rsidRDefault="00343F65" w:rsidP="00ED7E83">
    <w:pPr>
      <w:tabs>
        <w:tab w:val="center" w:pos="4680"/>
      </w:tabs>
    </w:pPr>
    <w:r>
      <w:tab/>
    </w:r>
    <w:r w:rsidRPr="0009648D">
      <w:t xml:space="preserve">- </w:t>
    </w:r>
    <w:r>
      <w:fldChar w:fldCharType="begin"/>
    </w:r>
    <w:r>
      <w:instrText xml:space="preserve"> PAGE   \* MERGEFORMAT </w:instrText>
    </w:r>
    <w:r>
      <w:fldChar w:fldCharType="separate"/>
    </w:r>
    <w:r w:rsidR="00DC444A">
      <w:rPr>
        <w:noProof/>
      </w:rPr>
      <w:t>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DC444A">
    <w:pPr>
      <w:pStyle w:val="Footer"/>
      <w:rPr>
        <w:lang w:val="fr-CA"/>
      </w:rPr>
    </w:pPr>
    <w:r>
      <w:rPr>
        <w:lang w:val="fr-CA"/>
      </w:rPr>
      <w:pict>
        <v:rect id="_x0000_i1042" style="width:480.95pt;height:1pt" o:hralign="center" o:hrstd="t" o:hrnoshade="t" o:hr="t" fillcolor="black [3213]" stroked="f"/>
      </w:pict>
    </w:r>
  </w:p>
  <w:p w:rsidR="00343F65" w:rsidRDefault="00343F65" w:rsidP="00245129">
    <w:pPr>
      <w:tabs>
        <w:tab w:val="center" w:pos="4680"/>
      </w:tabs>
    </w:pPr>
    <w:r>
      <w:tab/>
    </w:r>
    <w:r w:rsidRPr="0009648D">
      <w:t xml:space="preserve">- </w:t>
    </w:r>
    <w:r>
      <w:fldChar w:fldCharType="begin"/>
    </w:r>
    <w:r>
      <w:instrText xml:space="preserve"> PAGE   \* MERGEFORMAT </w:instrText>
    </w:r>
    <w:r>
      <w:fldChar w:fldCharType="separate"/>
    </w:r>
    <w:r w:rsidR="00DC444A">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F65" w:rsidRDefault="00343F65">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DC444A" w:rsidP="00755F22">
    <w:pPr>
      <w:tabs>
        <w:tab w:val="left" w:pos="-1440"/>
        <w:tab w:val="left" w:pos="-720"/>
      </w:tabs>
    </w:pPr>
    <w:r>
      <w:pict>
        <v:rect id="_x0000_i1044" style="width:480.95pt;height:1pt" o:hralign="center" o:hrstd="t" o:hrnoshade="t" o:hr="t" fillcolor="black [3213]" stroked="f"/>
      </w:pict>
    </w:r>
  </w:p>
  <w:p w:rsidR="00343F65" w:rsidRDefault="00343F65" w:rsidP="00EB2B90">
    <w:pPr>
      <w:tabs>
        <w:tab w:val="center" w:pos="4680"/>
      </w:tabs>
    </w:pPr>
    <w:r>
      <w:tab/>
      <w:t xml:space="preserve">- </w:t>
    </w:r>
    <w:r>
      <w:fldChar w:fldCharType="begin"/>
    </w:r>
    <w:r>
      <w:instrText xml:space="preserve"> PAGE   \* MERGEFORMAT </w:instrText>
    </w:r>
    <w:r>
      <w:fldChar w:fldCharType="separate"/>
    </w:r>
    <w:r w:rsidR="0081448E">
      <w:rPr>
        <w:noProof/>
      </w:rPr>
      <w:t>10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DC444A" w:rsidP="00EB2B90">
    <w:pPr>
      <w:tabs>
        <w:tab w:val="center" w:pos="4680"/>
      </w:tabs>
    </w:pPr>
    <w:r>
      <w:pict>
        <v:rect id="_x0000_i1045" style="width:480.95pt;height:1pt" o:hralign="center" o:hrstd="t" o:hrnoshade="t" o:hr="t" fillcolor="black [3213]" stroked="f"/>
      </w:pict>
    </w:r>
  </w:p>
  <w:p w:rsidR="00343F65" w:rsidRPr="0031432F" w:rsidRDefault="00343F65" w:rsidP="00EB2B90">
    <w:pPr>
      <w:tabs>
        <w:tab w:val="center" w:pos="4680"/>
      </w:tabs>
    </w:pPr>
    <w:r>
      <w:tab/>
      <w:t xml:space="preserve">- </w:t>
    </w:r>
    <w:r>
      <w:fldChar w:fldCharType="begin"/>
    </w:r>
    <w:r>
      <w:instrText xml:space="preserve"> PAGE   \* MERGEFORMAT </w:instrText>
    </w:r>
    <w:r>
      <w:fldChar w:fldCharType="separate"/>
    </w:r>
    <w:r w:rsidR="00DC444A">
      <w:rPr>
        <w:noProof/>
      </w:rPr>
      <w:t>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3F65" w:rsidRDefault="00343F65">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F65" w:rsidRDefault="00343F65" w:rsidP="00A87207">
      <w:r>
        <w:separator/>
      </w:r>
    </w:p>
  </w:footnote>
  <w:footnote w:type="continuationSeparator" w:id="0">
    <w:p w:rsidR="00343F65" w:rsidRDefault="00343F6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43F65" w:rsidRPr="0044776A" w:rsidTr="00245129">
      <w:tc>
        <w:tcPr>
          <w:tcW w:w="4290" w:type="dxa"/>
          <w:tcMar>
            <w:left w:w="0" w:type="dxa"/>
            <w:right w:w="0" w:type="dxa"/>
          </w:tcMar>
        </w:tcPr>
        <w:p w:rsidR="00343F65" w:rsidRPr="00D31809" w:rsidRDefault="00343F65" w:rsidP="00D31809">
          <w:pPr>
            <w:keepNext/>
            <w:keepLines/>
            <w:rPr>
              <w:sz w:val="20"/>
              <w:szCs w:val="20"/>
              <w:lang w:val="en-US"/>
            </w:rPr>
          </w:pPr>
          <w:r w:rsidRPr="00D31809">
            <w:rPr>
              <w:sz w:val="20"/>
              <w:szCs w:val="20"/>
              <w:lang w:val="en-US"/>
            </w:rPr>
            <w:t>Applications for leave to appeal filed</w:t>
          </w:r>
        </w:p>
        <w:p w:rsidR="00343F65" w:rsidRPr="00D31809" w:rsidRDefault="00343F65" w:rsidP="00D31809">
          <w:pPr>
            <w:keepNext/>
            <w:keepLines/>
            <w:rPr>
              <w:sz w:val="20"/>
              <w:szCs w:val="20"/>
            </w:rPr>
          </w:pPr>
        </w:p>
      </w:tc>
      <w:tc>
        <w:tcPr>
          <w:tcW w:w="1200" w:type="dxa"/>
          <w:tcMar>
            <w:left w:w="0" w:type="dxa"/>
            <w:right w:w="0" w:type="dxa"/>
          </w:tcMar>
        </w:tcPr>
        <w:p w:rsidR="00343F65" w:rsidRPr="00D31809" w:rsidRDefault="00343F65" w:rsidP="002E2327">
          <w:pPr>
            <w:keepNext/>
            <w:keepLines/>
            <w:tabs>
              <w:tab w:val="left" w:pos="-1440"/>
              <w:tab w:val="left" w:pos="-720"/>
            </w:tabs>
            <w:jc w:val="center"/>
            <w:rPr>
              <w:sz w:val="20"/>
              <w:szCs w:val="20"/>
            </w:rPr>
          </w:pPr>
        </w:p>
      </w:tc>
      <w:tc>
        <w:tcPr>
          <w:tcW w:w="4320" w:type="dxa"/>
          <w:tcMar>
            <w:left w:w="0" w:type="dxa"/>
            <w:right w:w="0" w:type="dxa"/>
          </w:tcMar>
        </w:tcPr>
        <w:p w:rsidR="00343F65" w:rsidRPr="00D31809" w:rsidRDefault="00343F65" w:rsidP="002E2327">
          <w:pPr>
            <w:keepLines/>
            <w:rPr>
              <w:sz w:val="20"/>
              <w:szCs w:val="20"/>
              <w:lang w:val="fr-CA"/>
            </w:rPr>
          </w:pPr>
          <w:r w:rsidRPr="00D31809">
            <w:rPr>
              <w:sz w:val="20"/>
              <w:szCs w:val="20"/>
              <w:lang w:val="fr-CA"/>
            </w:rPr>
            <w:t>Demandes d’autorisation d’appel déposées</w:t>
          </w:r>
        </w:p>
      </w:tc>
    </w:tr>
  </w:tbl>
  <w:p w:rsidR="00343F65" w:rsidRDefault="00343F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43F65" w:rsidRPr="00782AE4" w:rsidTr="00245129">
      <w:tc>
        <w:tcPr>
          <w:tcW w:w="4230" w:type="dxa"/>
          <w:tcMar>
            <w:left w:w="0" w:type="dxa"/>
            <w:right w:w="0" w:type="dxa"/>
          </w:tcMar>
        </w:tcPr>
        <w:p w:rsidR="00343F65" w:rsidRPr="00782AE4" w:rsidRDefault="00343F65" w:rsidP="00102926">
          <w:pPr>
            <w:keepNext/>
            <w:keepLines/>
            <w:tabs>
              <w:tab w:val="left" w:pos="-1440"/>
              <w:tab w:val="left" w:pos="-720"/>
            </w:tabs>
            <w:rPr>
              <w:sz w:val="20"/>
              <w:szCs w:val="20"/>
            </w:rPr>
          </w:pPr>
          <w:r w:rsidRPr="00782AE4">
            <w:rPr>
              <w:sz w:val="20"/>
              <w:szCs w:val="20"/>
            </w:rPr>
            <w:t xml:space="preserve">HEADNOTES OF RECENT </w:t>
          </w:r>
        </w:p>
        <w:p w:rsidR="00343F65" w:rsidRPr="00782AE4" w:rsidRDefault="00343F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43F65" w:rsidRDefault="00343F65" w:rsidP="00102926">
          <w:pPr>
            <w:keepNext/>
            <w:keepLines/>
            <w:tabs>
              <w:tab w:val="left" w:pos="-1440"/>
              <w:tab w:val="left" w:pos="-720"/>
            </w:tabs>
            <w:jc w:val="center"/>
            <w:rPr>
              <w:sz w:val="20"/>
              <w:szCs w:val="20"/>
            </w:rPr>
          </w:pPr>
        </w:p>
        <w:p w:rsidR="00343F65" w:rsidRDefault="00343F65" w:rsidP="00102926">
          <w:pPr>
            <w:keepNext/>
            <w:keepLines/>
            <w:tabs>
              <w:tab w:val="left" w:pos="-1440"/>
              <w:tab w:val="left" w:pos="-720"/>
            </w:tabs>
            <w:jc w:val="center"/>
            <w:rPr>
              <w:sz w:val="20"/>
              <w:szCs w:val="20"/>
            </w:rPr>
          </w:pPr>
        </w:p>
        <w:p w:rsidR="00343F65" w:rsidRPr="00782AE4" w:rsidRDefault="00343F65" w:rsidP="00102926">
          <w:pPr>
            <w:keepNext/>
            <w:keepLines/>
            <w:tabs>
              <w:tab w:val="left" w:pos="-1440"/>
              <w:tab w:val="left" w:pos="-720"/>
            </w:tabs>
            <w:jc w:val="center"/>
            <w:rPr>
              <w:sz w:val="20"/>
              <w:szCs w:val="20"/>
            </w:rPr>
          </w:pPr>
        </w:p>
      </w:tc>
      <w:tc>
        <w:tcPr>
          <w:tcW w:w="4080" w:type="dxa"/>
          <w:tcMar>
            <w:left w:w="0" w:type="dxa"/>
            <w:right w:w="0" w:type="dxa"/>
          </w:tcMar>
        </w:tcPr>
        <w:p w:rsidR="00343F65" w:rsidRPr="00102926" w:rsidRDefault="00343F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43F65" w:rsidRPr="00782AE4" w:rsidRDefault="00343F65" w:rsidP="00102926">
          <w:pPr>
            <w:keepLines/>
            <w:tabs>
              <w:tab w:val="left" w:pos="-1440"/>
              <w:tab w:val="left" w:pos="-720"/>
            </w:tabs>
            <w:rPr>
              <w:sz w:val="20"/>
              <w:szCs w:val="20"/>
            </w:rPr>
          </w:pPr>
          <w:r w:rsidRPr="00102926">
            <w:rPr>
              <w:sz w:val="20"/>
              <w:szCs w:val="20"/>
              <w:lang w:val="fr-CA"/>
            </w:rPr>
            <w:t>RÉCENTS</w:t>
          </w:r>
        </w:p>
      </w:tc>
    </w:tr>
  </w:tbl>
  <w:p w:rsidR="00343F65" w:rsidRDefault="00343F6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3F65">
      <w:tc>
        <w:tcPr>
          <w:tcW w:w="4200" w:type="dxa"/>
          <w:tcMar>
            <w:left w:w="0" w:type="dxa"/>
            <w:right w:w="0" w:type="dxa"/>
          </w:tcMar>
        </w:tcPr>
        <w:p w:rsidR="00343F65" w:rsidRDefault="00343F6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43F65" w:rsidRDefault="00343F6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43F65" w:rsidRDefault="00343F6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43F65" w:rsidRDefault="00343F65">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43F65" w:rsidRDefault="00343F6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43F65" w:rsidRDefault="00343F6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3F65" w:rsidRPr="005C4158" w:rsidTr="00245129">
      <w:tc>
        <w:tcPr>
          <w:tcW w:w="4200" w:type="dxa"/>
          <w:tcMar>
            <w:left w:w="0" w:type="dxa"/>
            <w:right w:w="0" w:type="dxa"/>
          </w:tcMar>
        </w:tcPr>
        <w:p w:rsidR="00343F65" w:rsidRPr="00102792" w:rsidRDefault="00343F65" w:rsidP="002D2C17">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November</w:t>
          </w:r>
          <w:r w:rsidRPr="00102792">
            <w:rPr>
              <w:szCs w:val="24"/>
            </w:rPr>
            <w:t xml:space="preserve"> 20</w:t>
          </w:r>
          <w:r>
            <w:rPr>
              <w:szCs w:val="24"/>
            </w:rPr>
            <w:t>20</w:t>
          </w:r>
        </w:p>
      </w:tc>
      <w:tc>
        <w:tcPr>
          <w:tcW w:w="1200" w:type="dxa"/>
          <w:tcMar>
            <w:left w:w="0" w:type="dxa"/>
            <w:right w:w="0" w:type="dxa"/>
          </w:tcMar>
        </w:tcPr>
        <w:p w:rsidR="00343F65" w:rsidRDefault="00343F65" w:rsidP="00102792">
          <w:pPr>
            <w:keepNext/>
            <w:keepLines/>
            <w:jc w:val="center"/>
            <w:rPr>
              <w:szCs w:val="24"/>
            </w:rPr>
          </w:pPr>
        </w:p>
        <w:p w:rsidR="00343F65" w:rsidRPr="00102792" w:rsidRDefault="00343F65" w:rsidP="00102792">
          <w:pPr>
            <w:keepNext/>
            <w:keepLines/>
            <w:jc w:val="center"/>
            <w:rPr>
              <w:szCs w:val="24"/>
            </w:rPr>
          </w:pPr>
        </w:p>
        <w:p w:rsidR="00343F65" w:rsidRPr="00102792" w:rsidRDefault="00343F65" w:rsidP="00102792">
          <w:pPr>
            <w:keepNext/>
            <w:keepLines/>
            <w:jc w:val="center"/>
            <w:rPr>
              <w:szCs w:val="24"/>
            </w:rPr>
          </w:pPr>
        </w:p>
      </w:tc>
      <w:tc>
        <w:tcPr>
          <w:tcW w:w="4080" w:type="dxa"/>
          <w:tcMar>
            <w:left w:w="0" w:type="dxa"/>
            <w:right w:w="0" w:type="dxa"/>
          </w:tcMar>
        </w:tcPr>
        <w:p w:rsidR="00343F65" w:rsidRPr="00102792" w:rsidRDefault="00343F65" w:rsidP="002D2C17">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novembre</w:t>
          </w:r>
          <w:r w:rsidRPr="00102792">
            <w:rPr>
              <w:szCs w:val="24"/>
              <w:lang w:val="fr-CA"/>
            </w:rPr>
            <w:t xml:space="preserve"> 20</w:t>
          </w:r>
          <w:r>
            <w:rPr>
              <w:szCs w:val="24"/>
              <w:lang w:val="fr-CA"/>
            </w:rPr>
            <w:t>20</w:t>
          </w:r>
        </w:p>
      </w:tc>
    </w:tr>
  </w:tbl>
  <w:p w:rsidR="00343F65" w:rsidRPr="00567602" w:rsidRDefault="00343F65"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43F65" w:rsidRPr="005C4158">
      <w:tc>
        <w:tcPr>
          <w:tcW w:w="4200" w:type="dxa"/>
          <w:tcMar>
            <w:left w:w="0" w:type="dxa"/>
            <w:right w:w="0" w:type="dxa"/>
          </w:tcMar>
        </w:tcPr>
        <w:p w:rsidR="00343F65" w:rsidRDefault="00343F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43F65" w:rsidRDefault="00343F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43F65" w:rsidRDefault="00343F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3F65" w:rsidRPr="00FF6BA5" w:rsidRDefault="00343F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43F65" w:rsidRPr="00FF6BA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43F65" w:rsidRPr="00FF6BA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43F65" w:rsidRPr="00FF6BA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43F65" w:rsidRPr="005C4158" w:rsidTr="00245129">
      <w:tc>
        <w:tcPr>
          <w:tcW w:w="4200" w:type="dxa"/>
          <w:tcMar>
            <w:left w:w="0" w:type="dxa"/>
            <w:right w:w="0" w:type="dxa"/>
          </w:tcMar>
        </w:tcPr>
        <w:p w:rsidR="00343F65" w:rsidRPr="00634F42" w:rsidRDefault="00343F6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43F65" w:rsidRPr="00755F22" w:rsidRDefault="00343F6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43F65" w:rsidRPr="00755F22" w:rsidRDefault="00343F6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43F65" w:rsidRPr="00755F22" w:rsidRDefault="00343F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43F65" w:rsidRPr="00FF6BA5" w:rsidRDefault="00343F65"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43F65">
      <w:tc>
        <w:tcPr>
          <w:tcW w:w="4230" w:type="dxa"/>
          <w:tcMar>
            <w:left w:w="0" w:type="dxa"/>
            <w:right w:w="0" w:type="dxa"/>
          </w:tcMar>
        </w:tcPr>
        <w:p w:rsidR="00343F65" w:rsidRDefault="00343F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43F65" w:rsidRDefault="00343F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3F65" w:rsidRDefault="00343F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43F65">
      <w:trPr>
        <w:gridAfter w:val="2"/>
        <w:wAfter w:w="5250" w:type="dxa"/>
      </w:trPr>
      <w:tc>
        <w:tcPr>
          <w:tcW w:w="4230" w:type="dxa"/>
          <w:tcMar>
            <w:left w:w="0" w:type="dxa"/>
            <w:right w:w="0" w:type="dxa"/>
          </w:tcMar>
        </w:tcPr>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43F65" w:rsidRPr="00755F22" w:rsidTr="00245129">
      <w:tc>
        <w:tcPr>
          <w:tcW w:w="4230" w:type="dxa"/>
          <w:tcMar>
            <w:left w:w="0" w:type="dxa"/>
            <w:right w:w="0" w:type="dxa"/>
          </w:tcMar>
        </w:tcPr>
        <w:p w:rsidR="00343F65" w:rsidRPr="00755F22" w:rsidRDefault="00343F65" w:rsidP="00831CA9">
          <w:pPr>
            <w:keepNext/>
            <w:keepLines/>
            <w:rPr>
              <w:sz w:val="20"/>
              <w:szCs w:val="20"/>
            </w:rPr>
          </w:pPr>
          <w:r w:rsidRPr="00755F22">
            <w:rPr>
              <w:sz w:val="20"/>
              <w:szCs w:val="20"/>
            </w:rPr>
            <w:t>Motions</w:t>
          </w:r>
        </w:p>
      </w:tc>
      <w:tc>
        <w:tcPr>
          <w:tcW w:w="1170" w:type="dxa"/>
          <w:tcMar>
            <w:left w:w="0" w:type="dxa"/>
            <w:right w:w="0" w:type="dxa"/>
          </w:tcMar>
        </w:tcPr>
        <w:p w:rsidR="00343F65" w:rsidRPr="00755F22" w:rsidRDefault="00343F65" w:rsidP="00831CA9">
          <w:pPr>
            <w:keepLines/>
            <w:jc w:val="center"/>
            <w:rPr>
              <w:sz w:val="20"/>
              <w:szCs w:val="20"/>
            </w:rPr>
          </w:pPr>
        </w:p>
        <w:p w:rsidR="00343F65" w:rsidRPr="00755F22" w:rsidRDefault="00343F65" w:rsidP="00831CA9">
          <w:pPr>
            <w:keepLines/>
            <w:tabs>
              <w:tab w:val="left" w:pos="-1440"/>
              <w:tab w:val="left" w:pos="-720"/>
            </w:tabs>
            <w:jc w:val="center"/>
            <w:rPr>
              <w:sz w:val="20"/>
              <w:szCs w:val="20"/>
            </w:rPr>
          </w:pPr>
        </w:p>
      </w:tc>
      <w:tc>
        <w:tcPr>
          <w:tcW w:w="4080" w:type="dxa"/>
          <w:tcMar>
            <w:left w:w="0" w:type="dxa"/>
            <w:right w:w="0" w:type="dxa"/>
          </w:tcMar>
        </w:tcPr>
        <w:p w:rsidR="00343F65" w:rsidRPr="00BA6468" w:rsidRDefault="00343F65" w:rsidP="00BA6468">
          <w:pPr>
            <w:keepLines/>
            <w:rPr>
              <w:sz w:val="20"/>
              <w:szCs w:val="20"/>
              <w:lang w:val="fr-CA"/>
            </w:rPr>
          </w:pPr>
          <w:r w:rsidRPr="00BA6468">
            <w:rPr>
              <w:sz w:val="20"/>
              <w:szCs w:val="20"/>
              <w:lang w:val="fr-CA"/>
            </w:rPr>
            <w:t>Requêtes</w:t>
          </w:r>
        </w:p>
      </w:tc>
    </w:tr>
  </w:tbl>
  <w:p w:rsidR="00343F65" w:rsidRDefault="00343F65"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43F65">
      <w:tc>
        <w:tcPr>
          <w:tcW w:w="4230" w:type="dxa"/>
          <w:tcMar>
            <w:left w:w="0" w:type="dxa"/>
            <w:right w:w="0" w:type="dxa"/>
          </w:tcMar>
        </w:tcPr>
        <w:p w:rsidR="00343F65" w:rsidRDefault="00343F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43F65" w:rsidRDefault="00343F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43F65" w:rsidRDefault="00343F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43F65" w:rsidRDefault="00343F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3F65" w:rsidRDefault="00343F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43F65" w:rsidRDefault="00343F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43F65" w:rsidRDefault="0034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89"/>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D5C84"/>
    <w:rsid w:val="000E27A5"/>
    <w:rsid w:val="000E2959"/>
    <w:rsid w:val="000E4B43"/>
    <w:rsid w:val="000F0B60"/>
    <w:rsid w:val="000F2CA3"/>
    <w:rsid w:val="000F3881"/>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2289"/>
    <w:rsid w:val="001B4006"/>
    <w:rsid w:val="001B5C23"/>
    <w:rsid w:val="001C7304"/>
    <w:rsid w:val="001D0D5F"/>
    <w:rsid w:val="001D6B70"/>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3D95"/>
    <w:rsid w:val="002A4AFA"/>
    <w:rsid w:val="002B2610"/>
    <w:rsid w:val="002B516C"/>
    <w:rsid w:val="002B5D82"/>
    <w:rsid w:val="002C4FA4"/>
    <w:rsid w:val="002D2C17"/>
    <w:rsid w:val="002D72EB"/>
    <w:rsid w:val="002E2327"/>
    <w:rsid w:val="002E3583"/>
    <w:rsid w:val="002E5576"/>
    <w:rsid w:val="0030050B"/>
    <w:rsid w:val="003008F5"/>
    <w:rsid w:val="00304081"/>
    <w:rsid w:val="003308AA"/>
    <w:rsid w:val="00331B52"/>
    <w:rsid w:val="00332DF2"/>
    <w:rsid w:val="00333403"/>
    <w:rsid w:val="003359D3"/>
    <w:rsid w:val="00343F65"/>
    <w:rsid w:val="0034657E"/>
    <w:rsid w:val="0035021A"/>
    <w:rsid w:val="00351475"/>
    <w:rsid w:val="00355967"/>
    <w:rsid w:val="00382C47"/>
    <w:rsid w:val="00384384"/>
    <w:rsid w:val="003866AE"/>
    <w:rsid w:val="00393AB2"/>
    <w:rsid w:val="003B3977"/>
    <w:rsid w:val="003D49B1"/>
    <w:rsid w:val="003E1D4C"/>
    <w:rsid w:val="003E55B4"/>
    <w:rsid w:val="003E5F3E"/>
    <w:rsid w:val="003F0743"/>
    <w:rsid w:val="00407C5D"/>
    <w:rsid w:val="0041245B"/>
    <w:rsid w:val="004137A0"/>
    <w:rsid w:val="00422D9A"/>
    <w:rsid w:val="004317DE"/>
    <w:rsid w:val="00432989"/>
    <w:rsid w:val="004342A0"/>
    <w:rsid w:val="00440E24"/>
    <w:rsid w:val="0044776A"/>
    <w:rsid w:val="00460AFC"/>
    <w:rsid w:val="0047471F"/>
    <w:rsid w:val="00477D76"/>
    <w:rsid w:val="004B195E"/>
    <w:rsid w:val="004B2E86"/>
    <w:rsid w:val="004B66B4"/>
    <w:rsid w:val="004B7F60"/>
    <w:rsid w:val="004C1AAC"/>
    <w:rsid w:val="004C1C35"/>
    <w:rsid w:val="004E1E0A"/>
    <w:rsid w:val="004E44A7"/>
    <w:rsid w:val="004E4E2C"/>
    <w:rsid w:val="004E5524"/>
    <w:rsid w:val="004F0737"/>
    <w:rsid w:val="004F090E"/>
    <w:rsid w:val="00501F3C"/>
    <w:rsid w:val="00506BE1"/>
    <w:rsid w:val="00520F9E"/>
    <w:rsid w:val="0052229C"/>
    <w:rsid w:val="00527CC7"/>
    <w:rsid w:val="00560DF1"/>
    <w:rsid w:val="0056248C"/>
    <w:rsid w:val="00564B09"/>
    <w:rsid w:val="00567271"/>
    <w:rsid w:val="00567602"/>
    <w:rsid w:val="00567680"/>
    <w:rsid w:val="00571CA4"/>
    <w:rsid w:val="00573AF2"/>
    <w:rsid w:val="00573D17"/>
    <w:rsid w:val="00582136"/>
    <w:rsid w:val="005967EF"/>
    <w:rsid w:val="005B2EA9"/>
    <w:rsid w:val="005B6826"/>
    <w:rsid w:val="005C4158"/>
    <w:rsid w:val="005C6840"/>
    <w:rsid w:val="005F1ED8"/>
    <w:rsid w:val="005F263E"/>
    <w:rsid w:val="00600252"/>
    <w:rsid w:val="00612A40"/>
    <w:rsid w:val="0062714A"/>
    <w:rsid w:val="006275D9"/>
    <w:rsid w:val="00634F42"/>
    <w:rsid w:val="00645947"/>
    <w:rsid w:val="006615F4"/>
    <w:rsid w:val="00675479"/>
    <w:rsid w:val="00680709"/>
    <w:rsid w:val="00681E2A"/>
    <w:rsid w:val="00681F61"/>
    <w:rsid w:val="00684F23"/>
    <w:rsid w:val="00691D1D"/>
    <w:rsid w:val="00693C38"/>
    <w:rsid w:val="00696BF9"/>
    <w:rsid w:val="00697C62"/>
    <w:rsid w:val="006A329B"/>
    <w:rsid w:val="006A7EB8"/>
    <w:rsid w:val="006B1554"/>
    <w:rsid w:val="006B6926"/>
    <w:rsid w:val="006C3F47"/>
    <w:rsid w:val="006C5092"/>
    <w:rsid w:val="006C5F7A"/>
    <w:rsid w:val="006E06AF"/>
    <w:rsid w:val="006E1CB0"/>
    <w:rsid w:val="006E49A6"/>
    <w:rsid w:val="006F350F"/>
    <w:rsid w:val="00717608"/>
    <w:rsid w:val="00727571"/>
    <w:rsid w:val="00732DB7"/>
    <w:rsid w:val="0074238B"/>
    <w:rsid w:val="00745EF7"/>
    <w:rsid w:val="00755F22"/>
    <w:rsid w:val="00766E4A"/>
    <w:rsid w:val="00774E02"/>
    <w:rsid w:val="007820CE"/>
    <w:rsid w:val="00782AE4"/>
    <w:rsid w:val="0079724F"/>
    <w:rsid w:val="007A3EAE"/>
    <w:rsid w:val="007B09D6"/>
    <w:rsid w:val="007B4DFF"/>
    <w:rsid w:val="007C04FC"/>
    <w:rsid w:val="007C3D5F"/>
    <w:rsid w:val="007C3DB0"/>
    <w:rsid w:val="007C47C2"/>
    <w:rsid w:val="007D3E0F"/>
    <w:rsid w:val="007E4282"/>
    <w:rsid w:val="007F2B86"/>
    <w:rsid w:val="007F387B"/>
    <w:rsid w:val="00802863"/>
    <w:rsid w:val="008112A9"/>
    <w:rsid w:val="0081448E"/>
    <w:rsid w:val="0081473A"/>
    <w:rsid w:val="00815B3C"/>
    <w:rsid w:val="0081610A"/>
    <w:rsid w:val="008277C4"/>
    <w:rsid w:val="0082783A"/>
    <w:rsid w:val="00831CA9"/>
    <w:rsid w:val="00842B6B"/>
    <w:rsid w:val="00844E40"/>
    <w:rsid w:val="00845C2A"/>
    <w:rsid w:val="00850E1F"/>
    <w:rsid w:val="0085476B"/>
    <w:rsid w:val="0086340B"/>
    <w:rsid w:val="00877592"/>
    <w:rsid w:val="008826D8"/>
    <w:rsid w:val="008859F1"/>
    <w:rsid w:val="008902B1"/>
    <w:rsid w:val="00890FEB"/>
    <w:rsid w:val="00893449"/>
    <w:rsid w:val="00895E7E"/>
    <w:rsid w:val="008961FD"/>
    <w:rsid w:val="008A5C1A"/>
    <w:rsid w:val="008C2318"/>
    <w:rsid w:val="008D085E"/>
    <w:rsid w:val="008D0E06"/>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65D"/>
    <w:rsid w:val="00961C83"/>
    <w:rsid w:val="00970CD3"/>
    <w:rsid w:val="009723FA"/>
    <w:rsid w:val="00984546"/>
    <w:rsid w:val="009921E9"/>
    <w:rsid w:val="00995CD9"/>
    <w:rsid w:val="00996510"/>
    <w:rsid w:val="009A75CF"/>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979EE"/>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1C3A"/>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55DB"/>
    <w:rsid w:val="00D31809"/>
    <w:rsid w:val="00D6331A"/>
    <w:rsid w:val="00D64901"/>
    <w:rsid w:val="00D76BDF"/>
    <w:rsid w:val="00D812DE"/>
    <w:rsid w:val="00D818B6"/>
    <w:rsid w:val="00D82A57"/>
    <w:rsid w:val="00D82BFF"/>
    <w:rsid w:val="00D8443D"/>
    <w:rsid w:val="00D862C1"/>
    <w:rsid w:val="00D873EC"/>
    <w:rsid w:val="00D93A6C"/>
    <w:rsid w:val="00D93B50"/>
    <w:rsid w:val="00D94028"/>
    <w:rsid w:val="00D94670"/>
    <w:rsid w:val="00DA1D48"/>
    <w:rsid w:val="00DA46F6"/>
    <w:rsid w:val="00DA756F"/>
    <w:rsid w:val="00DC0577"/>
    <w:rsid w:val="00DC444A"/>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7A3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681E2A"/>
    <w:pPr>
      <w:jc w:val="both"/>
    </w:pPr>
    <w:rPr>
      <w:rFonts w:eastAsia="Calibri" w:cs="Times New Roman"/>
      <w:smallCaps/>
    </w:rPr>
  </w:style>
  <w:style w:type="character" w:customStyle="1" w:styleId="SCCBanSummaryChar">
    <w:name w:val="SCC.BanSummary Char"/>
    <w:basedOn w:val="DefaultParagraphFont"/>
    <w:link w:val="SCCBanSummary0"/>
    <w:rsid w:val="00681E2A"/>
    <w:rPr>
      <w:rFonts w:eastAsia="Calibri" w:cs="Times New Roman"/>
      <w:smallCaps/>
      <w:lang w:val="en-CA"/>
    </w:rPr>
  </w:style>
  <w:style w:type="paragraph" w:customStyle="1" w:styleId="SCCLsocSubfileSeparator0">
    <w:name w:val="SCC.Lsoc.SubfileSeparator"/>
    <w:basedOn w:val="Normal"/>
    <w:next w:val="Normal"/>
    <w:link w:val="SCCLsocSubfileSeparatorChar"/>
    <w:rsid w:val="00681E2A"/>
    <w:pPr>
      <w:jc w:val="both"/>
    </w:pPr>
    <w:rPr>
      <w:rFonts w:cs="Times New Roman"/>
      <w:b/>
      <w:szCs w:val="24"/>
    </w:rPr>
  </w:style>
  <w:style w:type="character" w:customStyle="1" w:styleId="SCCLsocSubfileSeparatorChar">
    <w:name w:val="SCC.Lsoc.SubfileSeparator Char"/>
    <w:basedOn w:val="DefaultParagraphFont"/>
    <w:link w:val="SCCLsocSubfileSeparator0"/>
    <w:rsid w:val="00681E2A"/>
    <w:rPr>
      <w:rFonts w:cs="Times New Roman"/>
      <w:b/>
      <w:szCs w:val="24"/>
      <w:lang w:val="en-CA"/>
    </w:rPr>
  </w:style>
  <w:style w:type="paragraph" w:styleId="NoSpacing">
    <w:name w:val="No Spacing"/>
    <w:uiPriority w:val="1"/>
    <w:qFormat/>
    <w:rsid w:val="00477D76"/>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477D76"/>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477D76"/>
    <w:rPr>
      <w:rFonts w:ascii="Tahoma" w:eastAsia="Times New Roman" w:hAnsi="Tahoma" w:cs="Tahoma"/>
      <w:sz w:val="16"/>
      <w:szCs w:val="16"/>
    </w:rPr>
  </w:style>
  <w:style w:type="paragraph" w:customStyle="1" w:styleId="Style268435469">
    <w:name w:val="Style268435469"/>
    <w:rsid w:val="00477D76"/>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477D76"/>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477D76"/>
    <w:rPr>
      <w:rFonts w:ascii="Consolas" w:eastAsia="Times New Roman" w:hAnsi="Consolas" w:cs="Times New Roman"/>
      <w:sz w:val="21"/>
      <w:szCs w:val="21"/>
    </w:rPr>
  </w:style>
  <w:style w:type="paragraph" w:customStyle="1" w:styleId="SCCSsoc">
    <w:name w:val="SCC.Ssoc"/>
    <w:basedOn w:val="Normal"/>
    <w:next w:val="Normal"/>
    <w:link w:val="SCCSsocChar0"/>
    <w:rsid w:val="00477D76"/>
    <w:rPr>
      <w:rFonts w:eastAsia="Calibri" w:cs="Times New Roman"/>
      <w:i/>
      <w:sz w:val="20"/>
      <w:szCs w:val="20"/>
    </w:rPr>
  </w:style>
  <w:style w:type="character" w:customStyle="1" w:styleId="SCCSsocChar0">
    <w:name w:val="SCC.Ssoc Char"/>
    <w:link w:val="SCCSsoc"/>
    <w:rsid w:val="00477D76"/>
    <w:rPr>
      <w:rFonts w:eastAsia="Calibri" w:cs="Times New Roman"/>
      <w:i/>
      <w:sz w:val="20"/>
      <w:szCs w:val="20"/>
      <w:lang w:val="en-CA"/>
    </w:rPr>
  </w:style>
  <w:style w:type="table" w:customStyle="1" w:styleId="TableGrid21">
    <w:name w:val="Table Grid21"/>
    <w:basedOn w:val="TableNormal"/>
    <w:next w:val="TableGrid"/>
    <w:uiPriority w:val="59"/>
    <w:rsid w:val="00477D76"/>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77D76"/>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77D76"/>
    <w:rPr>
      <w:sz w:val="16"/>
      <w:szCs w:val="16"/>
    </w:rPr>
  </w:style>
  <w:style w:type="paragraph" w:styleId="CommentText">
    <w:name w:val="annotation text"/>
    <w:basedOn w:val="Normal"/>
    <w:link w:val="CommentTextChar"/>
    <w:uiPriority w:val="99"/>
    <w:semiHidden/>
    <w:unhideWhenUsed/>
    <w:rsid w:val="00477D76"/>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77D7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D76"/>
    <w:rPr>
      <w:b/>
      <w:bCs/>
    </w:rPr>
  </w:style>
  <w:style w:type="character" w:customStyle="1" w:styleId="CommentSubjectChar">
    <w:name w:val="Comment Subject Char"/>
    <w:basedOn w:val="CommentTextChar"/>
    <w:link w:val="CommentSubject"/>
    <w:uiPriority w:val="99"/>
    <w:semiHidden/>
    <w:rsid w:val="00477D76"/>
    <w:rPr>
      <w:rFonts w:eastAsia="Times New Roman" w:cs="Times New Roman"/>
      <w:b/>
      <w:bCs/>
      <w:sz w:val="20"/>
      <w:szCs w:val="20"/>
    </w:rPr>
  </w:style>
  <w:style w:type="table" w:customStyle="1" w:styleId="TableGrid4">
    <w:name w:val="Table Grid4"/>
    <w:basedOn w:val="TableNormal"/>
    <w:next w:val="TableGrid"/>
    <w:uiPriority w:val="59"/>
    <w:rsid w:val="00477D76"/>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477D76"/>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77D76"/>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477D76"/>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477D76"/>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77D76"/>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477D76"/>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77D76"/>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19/2019onca919/2019onca919.html?autocompleteStr=2019%20ONCA%20919&amp;autocompletePos=1" TargetMode="External"/><Relationship Id="rId26" Type="http://schemas.openxmlformats.org/officeDocument/2006/relationships/hyperlink" Target="http://canlii.ca/t/j6x7d" TargetMode="External"/><Relationship Id="rId39" Type="http://schemas.openxmlformats.org/officeDocument/2006/relationships/hyperlink" Target="https://decisions.scc-csc.ca/scc-csc/scc-csc/en/item/18514/index.do" TargetMode="External"/><Relationship Id="rId21" Type="http://schemas.openxmlformats.org/officeDocument/2006/relationships/hyperlink" Target="https://www.canlii.org/fr/qc/qccs/doc/2017/2017qccs3526/2017qccs3526.pdf" TargetMode="External"/><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hyperlink" Target="https://www.scc-csc.ca/case-dossier/info/sum-som-eng.aspx?cas=39006" TargetMode="External"/><Relationship Id="rId50" Type="http://schemas.openxmlformats.org/officeDocument/2006/relationships/hyperlink" Target="https://www.scc-csc.ca/case-dossier/info/sum-som-eng.aspx?cas=38962" TargetMode="External"/><Relationship Id="rId55" Type="http://schemas.openxmlformats.org/officeDocument/2006/relationships/hyperlink" Target="https://www.scc-csc.ca/case-dossier/info/sum-som-eng.aspx?cas=38854" TargetMode="External"/><Relationship Id="rId63"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on/onca/doc/2019/2019onca919/2019onca919.html?autocompleteStr=2019%20ONCA%20919&amp;autocompletePos=1" TargetMode="External"/><Relationship Id="rId20" Type="http://schemas.openxmlformats.org/officeDocument/2006/relationships/hyperlink" Target="https://www.canlii.org/fr/qc/qcca/doc/2020/2020qcca44/2020qcca44.pdf" TargetMode="External"/><Relationship Id="rId29" Type="http://schemas.openxmlformats.org/officeDocument/2006/relationships/footer" Target="footer3.xml"/><Relationship Id="rId41" Type="http://schemas.openxmlformats.org/officeDocument/2006/relationships/header" Target="header9.xml"/><Relationship Id="rId54" Type="http://schemas.openxmlformats.org/officeDocument/2006/relationships/hyperlink" Target="https://www.scc-csc.ca/case-dossier/info/sum-som-fra.aspx?cas=38755" TargetMode="External"/><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anlii.ca/t/j6x7d"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yperlink" Target="https://decisions.scc-csc.ca/scc-csc/scc-csc/fr/item/18514/index.do" TargetMode="External"/><Relationship Id="rId45" Type="http://schemas.openxmlformats.org/officeDocument/2006/relationships/header" Target="header11.xml"/><Relationship Id="rId53" Type="http://schemas.openxmlformats.org/officeDocument/2006/relationships/hyperlink" Target="https://www.scc-csc.ca/case-dossier/info/sum-som-eng.aspx?cas=38546" TargetMode="External"/><Relationship Id="rId58"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canlii.org/en/on/onsc/doc/2015/2015onsc534/2015onsc534.html?resultIndex=1" TargetMode="External"/><Relationship Id="rId23" Type="http://schemas.openxmlformats.org/officeDocument/2006/relationships/hyperlink" Target="http://canlii.ca/t/ht698" TargetMode="External"/><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hyperlink" Target="https://www.scc-csc.ca/case-dossier/info/sum-som-eng.aspx?cas=39019" TargetMode="External"/><Relationship Id="rId57" Type="http://schemas.openxmlformats.org/officeDocument/2006/relationships/header" Target="header13.xml"/><Relationship Id="rId61" Type="http://schemas.openxmlformats.org/officeDocument/2006/relationships/footer" Target="footer14.xml"/><Relationship Id="rId10" Type="http://schemas.openxmlformats.org/officeDocument/2006/relationships/hyperlink" Target="https://www.scc-csc.ca" TargetMode="External"/><Relationship Id="rId19" Type="http://schemas.openxmlformats.org/officeDocument/2006/relationships/hyperlink" Target="https://www.canlii.org/fr/qc/qccs/doc/2017/2017qccs3526/2017qccs3526.pdf" TargetMode="Externa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hyperlink" Target="https://www.scc-csc.ca/case-dossier/info/sum-som-eng.aspx?cas=38944" TargetMode="External"/><Relationship Id="rId60" Type="http://schemas.openxmlformats.org/officeDocument/2006/relationships/header" Target="header1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qc/qcca/doc/2020/2020qcca44/2020qcca44.pdf"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footer" Target="footer9.xml"/><Relationship Id="rId48" Type="http://schemas.openxmlformats.org/officeDocument/2006/relationships/hyperlink" Target="https://www.scc-csc.ca/case-dossier/info/sum-som-eng.aspx?cas=38808" TargetMode="External"/><Relationship Id="rId56" Type="http://schemas.openxmlformats.org/officeDocument/2006/relationships/header" Target="header12.xm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scc-csc.ca/case-dossier/info/sum-som-eng.aspx?cas=3887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15/2015onsc534/2015onsc534.html?resultIndex=1" TargetMode="External"/><Relationship Id="rId25" Type="http://schemas.openxmlformats.org/officeDocument/2006/relationships/hyperlink" Target="http://canlii.ca/t/ht698"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38E2-ACE7-41A0-8CAE-D2ACEF65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24</Pages>
  <Words>11296</Words>
  <Characters>64392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2020-10-19T19:27:00Z</dcterms:created>
  <dcterms:modified xsi:type="dcterms:W3CDTF">2020-11-02T20:11:00Z</dcterms:modified>
</cp:coreProperties>
</file>