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Cour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FD2077" w:rsidP="00DF33A9">
      <w:pPr>
        <w:widowControl w:val="0"/>
        <w:rPr>
          <w:i/>
        </w:rPr>
      </w:pPr>
      <w:r>
        <w:rPr>
          <w:i/>
        </w:rPr>
        <w:t xml:space="preserve"> </w:t>
      </w:r>
      <w:bookmarkStart w:id="0" w:name="_GoBack"/>
      <w:bookmarkEnd w:id="0"/>
    </w:p>
    <w:p w:rsidR="00DF33A9" w:rsidRPr="00DF33A9" w:rsidRDefault="00DF33A9" w:rsidP="00DF33A9">
      <w:pPr>
        <w:widowControl w:val="0"/>
        <w:rPr>
          <w:i/>
          <w:lang w:val="fr-CA"/>
        </w:rPr>
      </w:pPr>
      <w:r w:rsidRPr="00DF33A9">
        <w:rPr>
          <w:i/>
          <w:lang w:val="fr-CA"/>
        </w:rPr>
        <w:t>(le français suit)</w:t>
      </w:r>
    </w:p>
    <w:p w:rsidR="00DF33A9" w:rsidRPr="00DF33A9" w:rsidRDefault="00DF33A9" w:rsidP="00DF33A9">
      <w:pPr>
        <w:widowControl w:val="0"/>
        <w:rPr>
          <w:lang w:val="fr-CA"/>
        </w:rPr>
      </w:pPr>
    </w:p>
    <w:p w:rsidR="00DF33A9" w:rsidRPr="00DF33A9" w:rsidRDefault="00DF33A9" w:rsidP="00DF33A9">
      <w:pPr>
        <w:widowControl w:val="0"/>
        <w:jc w:val="center"/>
        <w:rPr>
          <w:b/>
          <w:lang w:val="fr-CA"/>
        </w:rPr>
      </w:pPr>
      <w:r w:rsidRPr="0022525B">
        <w:fldChar w:fldCharType="begin"/>
      </w:r>
      <w:r w:rsidRPr="00DF33A9">
        <w:rPr>
          <w:lang w:val="fr-CA"/>
        </w:rPr>
        <w:instrText xml:space="preserve"> SEQ CHAPTER \h \r 1</w:instrText>
      </w:r>
      <w:r w:rsidRPr="0022525B">
        <w:fldChar w:fldCharType="end"/>
      </w:r>
      <w:r w:rsidRPr="00DF33A9">
        <w:rPr>
          <w:b/>
          <w:lang w:val="fr-CA"/>
        </w:rPr>
        <w:t>JUDGMENT</w:t>
      </w:r>
      <w:r w:rsidR="0045411A">
        <w:rPr>
          <w:b/>
          <w:lang w:val="fr-CA"/>
        </w:rPr>
        <w:t>S</w:t>
      </w:r>
      <w:r w:rsidRPr="00DF33A9">
        <w:rPr>
          <w:b/>
          <w:lang w:val="fr-CA"/>
        </w:rPr>
        <w:t xml:space="preserve"> IN APPEAL</w:t>
      </w:r>
      <w:r w:rsidR="0075484B">
        <w:rPr>
          <w:b/>
          <w:lang w:val="fr-CA"/>
        </w:rPr>
        <w:t>S</w:t>
      </w:r>
    </w:p>
    <w:p w:rsidR="00DF33A9" w:rsidRPr="00DF33A9" w:rsidRDefault="00DF33A9" w:rsidP="00DF33A9">
      <w:pPr>
        <w:widowControl w:val="0"/>
        <w:rPr>
          <w:b/>
          <w:lang w:val="fr-CA"/>
        </w:rPr>
      </w:pPr>
    </w:p>
    <w:p w:rsidR="00DF33A9" w:rsidRPr="0022525B" w:rsidRDefault="0058198A" w:rsidP="00DF33A9">
      <w:pPr>
        <w:widowControl w:val="0"/>
        <w:rPr>
          <w:b/>
        </w:rPr>
      </w:pPr>
      <w:r>
        <w:rPr>
          <w:b/>
        </w:rPr>
        <w:t>November 13</w:t>
      </w:r>
      <w:r w:rsidR="00C11961">
        <w:rPr>
          <w:b/>
        </w:rPr>
        <w:t>,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BD6135" w:rsidRPr="0022525B" w:rsidRDefault="00BD6135" w:rsidP="00BD6135">
      <w:pPr>
        <w:widowControl w:val="0"/>
      </w:pPr>
      <w:r w:rsidRPr="0022525B">
        <w:rPr>
          <w:b/>
        </w:rPr>
        <w:t>OTTAWA</w:t>
      </w:r>
      <w:r w:rsidRPr="0022525B">
        <w:t xml:space="preserve"> – The Supreme Court of Canada has today deposited with the Registrar judgment in the following appeal</w:t>
      </w:r>
      <w:r>
        <w:t>s</w:t>
      </w:r>
      <w:r w:rsidRPr="0022525B">
        <w:t>.</w:t>
      </w:r>
    </w:p>
    <w:p w:rsidR="00BD6135" w:rsidRPr="0022525B" w:rsidRDefault="00BD6135" w:rsidP="00BD6135">
      <w:pPr>
        <w:widowControl w:val="0"/>
      </w:pPr>
    </w:p>
    <w:p w:rsidR="00BD6135" w:rsidRPr="0022525B" w:rsidRDefault="00BD6135" w:rsidP="00BD6135">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Pr="002006F9">
        <w:rPr>
          <w:rStyle w:val="Hyperlink"/>
        </w:rPr>
        <w:t>http://scc-csc.lexum.com/scc-csc/en/nav.do</w:t>
      </w:r>
    </w:p>
    <w:p w:rsidR="00C11961" w:rsidRPr="00F561D5" w:rsidRDefault="00C11961" w:rsidP="00DF33A9">
      <w:pPr>
        <w:widowControl w:val="0"/>
      </w:pPr>
    </w:p>
    <w:p w:rsidR="00BD6135" w:rsidRPr="00F561D5" w:rsidRDefault="00BD6135" w:rsidP="00DF33A9">
      <w:pPr>
        <w:widowControl w:val="0"/>
      </w:pPr>
    </w:p>
    <w:p w:rsidR="00DF33A9" w:rsidRPr="0022525B" w:rsidRDefault="00DF33A9" w:rsidP="00DF33A9">
      <w:pPr>
        <w:widowControl w:val="0"/>
        <w:jc w:val="center"/>
        <w:rPr>
          <w:lang w:val="fr-CA"/>
        </w:rPr>
      </w:pPr>
      <w:r w:rsidRPr="0022525B">
        <w:rPr>
          <w:b/>
          <w:lang w:val="fr-CA"/>
        </w:rPr>
        <w:t>JUGEMENT</w:t>
      </w:r>
      <w:r w:rsidR="0045411A">
        <w:rPr>
          <w:b/>
          <w:lang w:val="fr-CA"/>
        </w:rPr>
        <w:t>S</w:t>
      </w:r>
      <w:r w:rsidRPr="0022525B">
        <w:rPr>
          <w:b/>
          <w:lang w:val="fr-CA"/>
        </w:rPr>
        <w:t xml:space="preserve"> SUR APPEL</w:t>
      </w:r>
      <w:r w:rsidR="0045411A">
        <w:rPr>
          <w:b/>
          <w:lang w:val="fr-CA"/>
        </w:rPr>
        <w:t>S</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F561D5">
        <w:rPr>
          <w:b/>
          <w:lang w:val="fr-CA"/>
        </w:rPr>
        <w:t>1</w:t>
      </w:r>
      <w:r w:rsidR="0058198A">
        <w:rPr>
          <w:b/>
          <w:lang w:val="fr-CA"/>
        </w:rPr>
        <w:t>3</w:t>
      </w:r>
      <w:r w:rsidR="00F561D5">
        <w:rPr>
          <w:b/>
          <w:lang w:val="fr-CA"/>
        </w:rPr>
        <w:t xml:space="preserve"> </w:t>
      </w:r>
      <w:r w:rsidR="0058198A">
        <w:rPr>
          <w:b/>
          <w:lang w:val="fr-CA"/>
        </w:rPr>
        <w:t>novem</w:t>
      </w:r>
      <w:r w:rsidR="00F561D5">
        <w:rPr>
          <w:b/>
          <w:lang w:val="fr-CA"/>
        </w:rPr>
        <w:t>bre</w:t>
      </w:r>
      <w:r w:rsidR="00BD6135">
        <w:rPr>
          <w:b/>
          <w:lang w:val="fr-CA"/>
        </w:rPr>
        <w:t xml:space="preserve"> </w:t>
      </w:r>
      <w:r w:rsidR="00C11961">
        <w:rPr>
          <w:b/>
          <w:lang w:val="fr-CA"/>
        </w:rPr>
        <w:t>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BD6135" w:rsidRPr="0022525B" w:rsidRDefault="00BD6135" w:rsidP="00BD6135">
      <w:pPr>
        <w:widowControl w:val="0"/>
        <w:rPr>
          <w:lang w:val="fr-CA"/>
        </w:rPr>
      </w:pPr>
      <w:r w:rsidRPr="0022525B">
        <w:rPr>
          <w:b/>
          <w:lang w:val="fr-CA"/>
        </w:rPr>
        <w:t>OTTAWA</w:t>
      </w:r>
      <w:r w:rsidRPr="0022525B">
        <w:rPr>
          <w:lang w:val="fr-CA"/>
        </w:rPr>
        <w:t xml:space="preserve"> – La Cour suprême du Canada a déposé aujourd’hui auprès du registraire le</w:t>
      </w:r>
      <w:r>
        <w:rPr>
          <w:lang w:val="fr-CA"/>
        </w:rPr>
        <w:t>s</w:t>
      </w:r>
      <w:r w:rsidRPr="0022525B">
        <w:rPr>
          <w:lang w:val="fr-CA"/>
        </w:rPr>
        <w:t xml:space="preserve"> jugement</w:t>
      </w:r>
      <w:r>
        <w:rPr>
          <w:lang w:val="fr-CA"/>
        </w:rPr>
        <w:t>s</w:t>
      </w:r>
      <w:r w:rsidRPr="0022525B">
        <w:rPr>
          <w:lang w:val="fr-CA"/>
        </w:rPr>
        <w:t xml:space="preserve"> dans l</w:t>
      </w:r>
      <w:r>
        <w:rPr>
          <w:lang w:val="fr-CA"/>
        </w:rPr>
        <w:t xml:space="preserve">es </w:t>
      </w:r>
      <w:r w:rsidRPr="0022525B">
        <w:rPr>
          <w:lang w:val="fr-CA"/>
        </w:rPr>
        <w:t>appel</w:t>
      </w:r>
      <w:r>
        <w:rPr>
          <w:lang w:val="fr-CA"/>
        </w:rPr>
        <w:t>s</w:t>
      </w:r>
      <w:r w:rsidRPr="0022525B">
        <w:rPr>
          <w:lang w:val="fr-CA"/>
        </w:rPr>
        <w:t xml:space="preserve"> suivant</w:t>
      </w:r>
      <w:r>
        <w:rPr>
          <w:lang w:val="fr-CA"/>
        </w:rPr>
        <w:t>s.</w:t>
      </w:r>
    </w:p>
    <w:p w:rsidR="00BD6135" w:rsidRPr="0022525B" w:rsidRDefault="00BD6135" w:rsidP="00BD6135">
      <w:pPr>
        <w:widowControl w:val="0"/>
        <w:rPr>
          <w:lang w:val="fr-CA"/>
        </w:rPr>
      </w:pPr>
    </w:p>
    <w:p w:rsidR="00BD6135"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r w:rsidR="00FD2077">
        <w:fldChar w:fldCharType="begin"/>
      </w:r>
      <w:r w:rsidR="00FD2077" w:rsidRPr="00FD2077">
        <w:rPr>
          <w:lang w:val="fr-CA"/>
        </w:rPr>
        <w:instrText xml:space="preserve"> HYPERLINK "http://scc-csc.lexum.com/scc-csc/fr/nav.do" </w:instrText>
      </w:r>
      <w:r w:rsidR="00FD2077">
        <w:fldChar w:fldCharType="separate"/>
      </w:r>
      <w:r w:rsidRPr="00E100C1">
        <w:rPr>
          <w:rStyle w:val="Hyperlink"/>
          <w:lang w:val="fr-CA"/>
        </w:rPr>
        <w:t>http://scc-csc.lexum.com/scc-csc/fr/nav.do</w:t>
      </w:r>
      <w:r w:rsidR="00FD2077">
        <w:rPr>
          <w:rStyle w:val="Hyperlink"/>
          <w:lang w:val="fr-CA"/>
        </w:rPr>
        <w:fldChar w:fldCharType="end"/>
      </w:r>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0F5092" w:rsidP="00DF33A9">
      <w:pPr>
        <w:widowControl w:val="0"/>
        <w:rPr>
          <w:sz w:val="20"/>
          <w:lang w:val="fr-CA"/>
        </w:rPr>
      </w:pPr>
      <w:r w:rsidRPr="0022525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CD2D71" w:rsidRDefault="00CD2D71" w:rsidP="00BD6135">
      <w:pPr>
        <w:rPr>
          <w:rFonts w:eastAsia="Calibri"/>
          <w:sz w:val="20"/>
          <w:lang w:val="fr-CA"/>
        </w:rPr>
      </w:pPr>
    </w:p>
    <w:p w:rsidR="00CD2D71" w:rsidRPr="00CD2D71" w:rsidRDefault="00CD2D71" w:rsidP="00CD2D71">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sidR="00F561D5">
        <w:rPr>
          <w:rFonts w:eastAsia="Calibri"/>
          <w:b/>
          <w:sz w:val="20"/>
          <w:szCs w:val="22"/>
        </w:rPr>
        <w:t>358</w:t>
      </w:r>
      <w:r w:rsidR="0058198A">
        <w:rPr>
          <w:rFonts w:eastAsia="Calibri"/>
          <w:b/>
          <w:sz w:val="20"/>
          <w:szCs w:val="22"/>
        </w:rPr>
        <w:t>20</w:t>
      </w:r>
      <w:r w:rsidRPr="00CD2D71">
        <w:rPr>
          <w:rFonts w:eastAsia="Calibri"/>
          <w:sz w:val="20"/>
          <w:szCs w:val="22"/>
        </w:rPr>
        <w:tab/>
      </w:r>
      <w:r w:rsidR="0058198A" w:rsidRPr="0058198A">
        <w:rPr>
          <w:rFonts w:eastAsia="Calibri"/>
          <w:b/>
          <w:sz w:val="20"/>
          <w:szCs w:val="22"/>
          <w:u w:val="single"/>
        </w:rPr>
        <w:t xml:space="preserve">Attorney General of Alberta </w:t>
      </w:r>
      <w:r w:rsidRPr="00CD2D71">
        <w:rPr>
          <w:rFonts w:eastAsia="Calibri"/>
          <w:b/>
          <w:sz w:val="20"/>
          <w:szCs w:val="22"/>
          <w:u w:val="single"/>
        </w:rPr>
        <w:t>v.</w:t>
      </w:r>
      <w:r w:rsidR="0058198A">
        <w:rPr>
          <w:rFonts w:eastAsia="Calibri"/>
          <w:b/>
          <w:sz w:val="20"/>
          <w:szCs w:val="22"/>
          <w:u w:val="single"/>
        </w:rPr>
        <w:t xml:space="preserve"> </w:t>
      </w:r>
      <w:r w:rsidR="0058198A" w:rsidRPr="0058198A">
        <w:rPr>
          <w:rFonts w:eastAsia="Calibri"/>
          <w:b/>
          <w:sz w:val="20"/>
          <w:szCs w:val="22"/>
          <w:u w:val="single"/>
        </w:rPr>
        <w:t xml:space="preserve">Joseph William </w:t>
      </w:r>
      <w:proofErr w:type="spellStart"/>
      <w:r w:rsidR="0058198A" w:rsidRPr="0058198A">
        <w:rPr>
          <w:rFonts w:eastAsia="Calibri"/>
          <w:b/>
          <w:sz w:val="20"/>
          <w:szCs w:val="22"/>
          <w:u w:val="single"/>
        </w:rPr>
        <w:t>Moloney</w:t>
      </w:r>
      <w:proofErr w:type="spellEnd"/>
      <w:r w:rsidRPr="00CD2D71">
        <w:rPr>
          <w:rFonts w:eastAsia="Calibri"/>
          <w:b/>
          <w:sz w:val="20"/>
          <w:szCs w:val="22"/>
          <w:u w:val="single"/>
        </w:rPr>
        <w:t xml:space="preserve"> </w:t>
      </w:r>
      <w:r w:rsidR="00F561D5">
        <w:rPr>
          <w:rFonts w:eastAsia="Calibri"/>
          <w:b/>
          <w:sz w:val="20"/>
          <w:szCs w:val="22"/>
          <w:u w:val="single"/>
        </w:rPr>
        <w:t xml:space="preserve">– and – </w:t>
      </w:r>
      <w:r w:rsidR="0058198A" w:rsidRPr="0058198A">
        <w:rPr>
          <w:rFonts w:eastAsia="Calibri"/>
          <w:b/>
          <w:sz w:val="20"/>
          <w:szCs w:val="22"/>
          <w:u w:val="single"/>
        </w:rPr>
        <w:t>Attorney General of Ontario, Attorney General of Quebec, Attorney General of British Columbia, Attorney General of Saskatchewan and Superintendent of Bankruptcy</w:t>
      </w:r>
      <w:r w:rsidR="0058198A" w:rsidRPr="0058198A">
        <w:rPr>
          <w:rFonts w:eastAsia="Calibri"/>
          <w:b/>
          <w:sz w:val="20"/>
          <w:szCs w:val="22"/>
        </w:rPr>
        <w:t xml:space="preserve"> </w:t>
      </w:r>
      <w:r w:rsidRPr="00CD2D71">
        <w:rPr>
          <w:rFonts w:eastAsia="Calibri"/>
          <w:iCs/>
          <w:sz w:val="20"/>
          <w:szCs w:val="22"/>
        </w:rPr>
        <w:t>(</w:t>
      </w:r>
      <w:r w:rsidR="0058198A">
        <w:rPr>
          <w:rFonts w:eastAsia="Calibri"/>
          <w:iCs/>
          <w:sz w:val="20"/>
          <w:szCs w:val="22"/>
        </w:rPr>
        <w:t>Alta.</w:t>
      </w:r>
      <w:r w:rsidRPr="00CD2D71">
        <w:rPr>
          <w:rFonts w:eastAsia="Calibri"/>
          <w:iCs/>
          <w:sz w:val="20"/>
          <w:szCs w:val="22"/>
        </w:rPr>
        <w:t>)</w:t>
      </w:r>
    </w:p>
    <w:p w:rsidR="00CD2D71" w:rsidRPr="00CD2D71" w:rsidRDefault="0058198A"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51</w:t>
      </w:r>
      <w:r w:rsidR="00CD2D71" w:rsidRPr="00CD2D71">
        <w:rPr>
          <w:rFonts w:eastAsia="Calibri"/>
          <w:b/>
          <w:sz w:val="20"/>
          <w:szCs w:val="22"/>
        </w:rPr>
        <w:t xml:space="preserve"> / 2015 CSC </w:t>
      </w:r>
      <w:r>
        <w:rPr>
          <w:rFonts w:eastAsia="Calibri"/>
          <w:b/>
          <w:sz w:val="20"/>
          <w:szCs w:val="22"/>
        </w:rPr>
        <w:t>51</w:t>
      </w:r>
    </w:p>
    <w:p w:rsidR="00CD2D71" w:rsidRPr="00CD2D71"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CD2D71" w:rsidRDefault="00CD2D71" w:rsidP="00CD2D71">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0058198A" w:rsidRPr="0058198A">
        <w:rPr>
          <w:rFonts w:eastAsia="Calibri"/>
          <w:sz w:val="20"/>
          <w:szCs w:val="22"/>
          <w:u w:val="single"/>
        </w:rPr>
        <w:t xml:space="preserve">McLachlin C.J. and </w:t>
      </w:r>
      <w:proofErr w:type="spellStart"/>
      <w:r w:rsidR="0058198A" w:rsidRPr="0058198A">
        <w:rPr>
          <w:rFonts w:eastAsia="Calibri"/>
          <w:sz w:val="20"/>
          <w:szCs w:val="22"/>
          <w:u w:val="single"/>
        </w:rPr>
        <w:t>Abella</w:t>
      </w:r>
      <w:proofErr w:type="spellEnd"/>
      <w:r w:rsidR="0058198A" w:rsidRPr="0058198A">
        <w:rPr>
          <w:rFonts w:eastAsia="Calibri"/>
          <w:sz w:val="20"/>
          <w:szCs w:val="22"/>
          <w:u w:val="single"/>
        </w:rPr>
        <w:t xml:space="preserve">, Rothstein, Cromwell, Moldaver, Karakatsanis, Wagner, </w:t>
      </w:r>
      <w:proofErr w:type="spellStart"/>
      <w:r w:rsidR="0058198A" w:rsidRPr="0058198A">
        <w:rPr>
          <w:rFonts w:eastAsia="Calibri"/>
          <w:sz w:val="20"/>
          <w:szCs w:val="22"/>
          <w:u w:val="single"/>
        </w:rPr>
        <w:t>Gascon</w:t>
      </w:r>
      <w:proofErr w:type="spellEnd"/>
      <w:r w:rsidR="0058198A" w:rsidRPr="0058198A">
        <w:rPr>
          <w:rFonts w:eastAsia="Calibri"/>
          <w:sz w:val="20"/>
          <w:szCs w:val="22"/>
          <w:u w:val="single"/>
        </w:rPr>
        <w:t xml:space="preserve"> and </w:t>
      </w:r>
      <w:proofErr w:type="spellStart"/>
      <w:r w:rsidR="0058198A" w:rsidRPr="0058198A">
        <w:rPr>
          <w:rFonts w:eastAsia="Calibri"/>
          <w:sz w:val="20"/>
          <w:szCs w:val="22"/>
          <w:u w:val="single"/>
        </w:rPr>
        <w:t>Côté</w:t>
      </w:r>
      <w:proofErr w:type="spellEnd"/>
      <w:r w:rsidR="0058198A" w:rsidRPr="0058198A">
        <w:rPr>
          <w:rFonts w:eastAsia="Calibri"/>
          <w:sz w:val="20"/>
          <w:szCs w:val="22"/>
          <w:u w:val="single"/>
        </w:rPr>
        <w:t xml:space="preserve"> JJ.</w:t>
      </w:r>
    </w:p>
    <w:p w:rsidR="00CD2D71" w:rsidRPr="0058198A" w:rsidRDefault="00CD2D71" w:rsidP="00F561D5">
      <w:pPr>
        <w:ind w:left="1440" w:hanging="1440"/>
        <w:jc w:val="both"/>
        <w:rPr>
          <w:rFonts w:eastAsia="Calibri"/>
          <w:sz w:val="20"/>
          <w:u w:val="single"/>
        </w:rPr>
      </w:pPr>
    </w:p>
    <w:p w:rsidR="0058198A" w:rsidRPr="0058198A" w:rsidRDefault="0058198A" w:rsidP="0058198A">
      <w:pPr>
        <w:jc w:val="both"/>
        <w:rPr>
          <w:rFonts w:eastAsia="Calibri"/>
          <w:sz w:val="20"/>
          <w:lang w:val="en-CA"/>
        </w:rPr>
      </w:pPr>
      <w:r w:rsidRPr="0058198A">
        <w:rPr>
          <w:rFonts w:eastAsia="Calibri"/>
          <w:sz w:val="20"/>
          <w:lang w:val="en-CA"/>
        </w:rPr>
        <w:t>The appeal from the judgment of the Court of Appeal of Alberta (Edmonton), Number 1203-0293-AC, 2014 ABCA 68, dated February 13, 2014, heard on January 15, 2015, is dismissed with costs. The constitutional question is answered as follows:</w:t>
      </w:r>
    </w:p>
    <w:p w:rsidR="0058198A" w:rsidRPr="0058198A" w:rsidRDefault="0058198A" w:rsidP="0058198A">
      <w:pPr>
        <w:jc w:val="both"/>
        <w:rPr>
          <w:rFonts w:eastAsia="Calibri"/>
          <w:sz w:val="20"/>
          <w:lang w:val="en-CA"/>
        </w:rPr>
      </w:pPr>
    </w:p>
    <w:p w:rsidR="0058198A" w:rsidRPr="0058198A" w:rsidRDefault="0058198A" w:rsidP="0058198A">
      <w:pPr>
        <w:numPr>
          <w:ilvl w:val="0"/>
          <w:numId w:val="1"/>
        </w:numPr>
        <w:contextualSpacing/>
        <w:jc w:val="both"/>
        <w:rPr>
          <w:rFonts w:eastAsia="Calibri"/>
          <w:sz w:val="20"/>
          <w:lang w:val="en-CA"/>
        </w:rPr>
      </w:pPr>
      <w:r w:rsidRPr="0058198A">
        <w:rPr>
          <w:rFonts w:eastAsia="Calibri"/>
          <w:sz w:val="20"/>
          <w:lang w:val="en-CA"/>
        </w:rPr>
        <w:t>Is s. 102(2) of Alberta</w:t>
      </w:r>
      <w:r w:rsidRPr="0058198A">
        <w:rPr>
          <w:rFonts w:eastAsia="Calibri"/>
          <w:i/>
          <w:sz w:val="20"/>
          <w:lang w:val="en-CA"/>
        </w:rPr>
        <w:t xml:space="preserve"> Traffic Safety Act</w:t>
      </w:r>
      <w:r w:rsidRPr="0058198A">
        <w:rPr>
          <w:rFonts w:eastAsia="Calibri"/>
          <w:sz w:val="20"/>
          <w:lang w:val="en-CA"/>
        </w:rPr>
        <w:t>, R.S.A. 2000, c. T-6, constitutionally inoperative by reason of the doctrine of federal paramountcy?</w:t>
      </w:r>
    </w:p>
    <w:p w:rsidR="0058198A" w:rsidRPr="0058198A" w:rsidRDefault="0058198A" w:rsidP="0058198A">
      <w:pPr>
        <w:ind w:left="720" w:hanging="360"/>
        <w:contextualSpacing/>
        <w:jc w:val="both"/>
        <w:rPr>
          <w:rFonts w:eastAsia="Calibri"/>
          <w:sz w:val="20"/>
          <w:lang w:val="en-CA"/>
        </w:rPr>
      </w:pPr>
    </w:p>
    <w:p w:rsidR="0058198A" w:rsidRDefault="0058198A" w:rsidP="0058198A">
      <w:pPr>
        <w:ind w:left="720"/>
        <w:jc w:val="both"/>
        <w:rPr>
          <w:rFonts w:eastAsia="Calibri"/>
          <w:sz w:val="20"/>
          <w:lang w:val="en-CA"/>
        </w:rPr>
      </w:pPr>
      <w:r w:rsidRPr="0058198A">
        <w:rPr>
          <w:rFonts w:eastAsia="Calibri"/>
          <w:sz w:val="20"/>
          <w:lang w:val="en-CA"/>
        </w:rPr>
        <w:t>Answer: Yes, s. 102 of the Alberta</w:t>
      </w:r>
      <w:r w:rsidRPr="0058198A">
        <w:rPr>
          <w:rFonts w:eastAsia="Calibri"/>
          <w:i/>
          <w:sz w:val="20"/>
          <w:lang w:val="en-CA"/>
        </w:rPr>
        <w:t xml:space="preserve"> Traffic Safety Act </w:t>
      </w:r>
      <w:r w:rsidRPr="0058198A">
        <w:rPr>
          <w:rFonts w:eastAsia="Calibri"/>
          <w:sz w:val="20"/>
          <w:lang w:val="en-CA"/>
        </w:rPr>
        <w:t>is inoperative to the extent that it is used to enforce a debt discharged in bankruptcy.</w:t>
      </w:r>
    </w:p>
    <w:p w:rsidR="0058198A" w:rsidRPr="0058198A" w:rsidRDefault="0058198A" w:rsidP="0058198A">
      <w:pPr>
        <w:tabs>
          <w:tab w:val="left" w:pos="752"/>
        </w:tabs>
        <w:ind w:left="720" w:firstLine="32"/>
        <w:jc w:val="both"/>
        <w:rPr>
          <w:rFonts w:eastAsia="Calibri"/>
          <w:sz w:val="20"/>
          <w:lang w:val="en-CA"/>
        </w:rPr>
      </w:pPr>
    </w:p>
    <w:p w:rsidR="0058198A" w:rsidRPr="0058198A" w:rsidRDefault="0058198A" w:rsidP="0058198A">
      <w:pPr>
        <w:jc w:val="both"/>
        <w:rPr>
          <w:rFonts w:eastAsia="Calibri"/>
          <w:sz w:val="20"/>
          <w:lang w:val="fr-CA"/>
        </w:rPr>
      </w:pPr>
      <w:r w:rsidRPr="0058198A">
        <w:rPr>
          <w:rFonts w:eastAsia="Calibri"/>
          <w:sz w:val="20"/>
          <w:lang w:val="fr-CA"/>
        </w:rPr>
        <w:t>L’appel interjeté contre l’arrêt de la Cour d’appel de l’Alberta (Edmonton), numéro 1203-0293-AC, 2014 ABCA 68, en date du 13 février 2014, entendu le 15 janvier 2015 est rejeté avec dépens. La question constitutionnelle reçoit la réponse suivante :</w:t>
      </w:r>
    </w:p>
    <w:p w:rsidR="0058198A" w:rsidRPr="0058198A" w:rsidRDefault="0058198A" w:rsidP="0058198A">
      <w:pPr>
        <w:jc w:val="both"/>
        <w:rPr>
          <w:rFonts w:eastAsia="Calibri"/>
          <w:sz w:val="20"/>
          <w:lang w:val="fr-CA"/>
        </w:rPr>
      </w:pPr>
    </w:p>
    <w:p w:rsidR="0058198A" w:rsidRPr="0058198A" w:rsidRDefault="0058198A" w:rsidP="0058198A">
      <w:pPr>
        <w:numPr>
          <w:ilvl w:val="0"/>
          <w:numId w:val="2"/>
        </w:numPr>
        <w:contextualSpacing/>
        <w:jc w:val="both"/>
        <w:rPr>
          <w:rFonts w:eastAsia="Calibri"/>
          <w:sz w:val="20"/>
          <w:lang w:val="fr-CA"/>
        </w:rPr>
      </w:pPr>
      <w:r w:rsidRPr="0058198A">
        <w:rPr>
          <w:rFonts w:eastAsia="Calibri"/>
          <w:sz w:val="20"/>
          <w:lang w:val="fr-CA"/>
        </w:rPr>
        <w:t xml:space="preserve">Le paragraphe 102(2) de la </w:t>
      </w:r>
      <w:r w:rsidRPr="0058198A">
        <w:rPr>
          <w:rFonts w:eastAsia="Calibri"/>
          <w:i/>
          <w:sz w:val="20"/>
          <w:lang w:val="fr-CA"/>
        </w:rPr>
        <w:t xml:space="preserve">Traffic </w:t>
      </w:r>
      <w:proofErr w:type="spellStart"/>
      <w:r w:rsidRPr="0058198A">
        <w:rPr>
          <w:rFonts w:eastAsia="Calibri"/>
          <w:i/>
          <w:sz w:val="20"/>
          <w:lang w:val="fr-CA"/>
        </w:rPr>
        <w:t>Safety</w:t>
      </w:r>
      <w:proofErr w:type="spellEnd"/>
      <w:r w:rsidRPr="0058198A">
        <w:rPr>
          <w:rFonts w:eastAsia="Calibri"/>
          <w:i/>
          <w:sz w:val="20"/>
          <w:lang w:val="fr-CA"/>
        </w:rPr>
        <w:t xml:space="preserve"> </w:t>
      </w:r>
      <w:proofErr w:type="spellStart"/>
      <w:r w:rsidRPr="0058198A">
        <w:rPr>
          <w:rFonts w:eastAsia="Calibri"/>
          <w:i/>
          <w:sz w:val="20"/>
          <w:lang w:val="fr-CA"/>
        </w:rPr>
        <w:t>Act</w:t>
      </w:r>
      <w:proofErr w:type="spellEnd"/>
      <w:r w:rsidRPr="0058198A">
        <w:rPr>
          <w:rFonts w:eastAsia="Calibri"/>
          <w:sz w:val="20"/>
          <w:lang w:val="fr-CA"/>
        </w:rPr>
        <w:t>, R.S.A. 2000, c. T-6, de l’Alberta est-il inopérant du point de vue constitutionnel en raison de la doctrine de la prépondérance fédérale?</w:t>
      </w:r>
    </w:p>
    <w:p w:rsidR="0058198A" w:rsidRPr="0058198A" w:rsidRDefault="0058198A" w:rsidP="0058198A">
      <w:pPr>
        <w:ind w:left="720"/>
        <w:contextualSpacing/>
        <w:jc w:val="both"/>
        <w:rPr>
          <w:rFonts w:eastAsia="Calibri"/>
          <w:sz w:val="20"/>
          <w:lang w:val="fr-CA"/>
        </w:rPr>
      </w:pPr>
    </w:p>
    <w:p w:rsidR="00CD2D71" w:rsidRPr="0058198A" w:rsidRDefault="0058198A" w:rsidP="0058198A">
      <w:pPr>
        <w:ind w:left="720"/>
        <w:jc w:val="both"/>
        <w:rPr>
          <w:rFonts w:eastAsia="Calibri"/>
          <w:sz w:val="20"/>
          <w:lang w:val="fr-CA"/>
        </w:rPr>
      </w:pPr>
      <w:r w:rsidRPr="0058198A">
        <w:rPr>
          <w:rFonts w:eastAsia="Calibri"/>
          <w:sz w:val="20"/>
          <w:lang w:val="fr-CA"/>
        </w:rPr>
        <w:t xml:space="preserve">Réponse : Oui, l’art. 102 de la </w:t>
      </w:r>
      <w:r w:rsidRPr="0058198A">
        <w:rPr>
          <w:rFonts w:eastAsia="Calibri"/>
          <w:i/>
          <w:sz w:val="20"/>
          <w:lang w:val="fr-CA"/>
        </w:rPr>
        <w:t xml:space="preserve">Traffic </w:t>
      </w:r>
      <w:proofErr w:type="spellStart"/>
      <w:r w:rsidRPr="0058198A">
        <w:rPr>
          <w:rFonts w:eastAsia="Calibri"/>
          <w:i/>
          <w:sz w:val="20"/>
          <w:lang w:val="fr-CA"/>
        </w:rPr>
        <w:t>Safety</w:t>
      </w:r>
      <w:proofErr w:type="spellEnd"/>
      <w:r w:rsidRPr="0058198A">
        <w:rPr>
          <w:rFonts w:eastAsia="Calibri"/>
          <w:i/>
          <w:sz w:val="20"/>
          <w:lang w:val="fr-CA"/>
        </w:rPr>
        <w:t xml:space="preserve"> </w:t>
      </w:r>
      <w:proofErr w:type="spellStart"/>
      <w:r w:rsidRPr="0058198A">
        <w:rPr>
          <w:rFonts w:eastAsia="Calibri"/>
          <w:i/>
          <w:sz w:val="20"/>
          <w:lang w:val="fr-CA"/>
        </w:rPr>
        <w:t>Act</w:t>
      </w:r>
      <w:proofErr w:type="spellEnd"/>
      <w:r w:rsidRPr="0058198A">
        <w:rPr>
          <w:rFonts w:eastAsia="Calibri"/>
          <w:sz w:val="20"/>
          <w:lang w:val="fr-CA"/>
        </w:rPr>
        <w:t xml:space="preserve"> de l’Alberta est inopérant dans la mesure où il permet de recouvrer une dette dont le débiteur a été libéré dans le cadre d’une faillite.</w:t>
      </w:r>
    </w:p>
    <w:p w:rsidR="0058198A" w:rsidRPr="00BD6135" w:rsidRDefault="0058198A" w:rsidP="0058198A">
      <w:pPr>
        <w:ind w:left="720"/>
        <w:jc w:val="both"/>
        <w:rPr>
          <w:rFonts w:eastAsia="Calibri"/>
          <w:sz w:val="20"/>
          <w:lang w:val="fr-CA"/>
        </w:rPr>
      </w:pPr>
    </w:p>
    <w:p w:rsidR="00BD6135" w:rsidRPr="00BD6135" w:rsidRDefault="00FD2077" w:rsidP="00BD6135">
      <w:pPr>
        <w:spacing w:line="0" w:lineRule="atLeast"/>
        <w:rPr>
          <w:rFonts w:eastAsia="Calibri"/>
          <w:sz w:val="20"/>
          <w:lang w:val="en-CA"/>
        </w:rPr>
      </w:pPr>
      <w:r>
        <w:rPr>
          <w:rFonts w:eastAsia="Calibri"/>
          <w:b/>
          <w:sz w:val="20"/>
          <w:lang w:val="en-CA"/>
        </w:rPr>
        <w:pict>
          <v:rect id="_x0000_i1025" style="width:144.3pt;height:1pt" o:hrpct="300" o:hralign="center" o:hrstd="t" o:hrnoshade="t" o:hr="t" fillcolor="black" stroked="f"/>
        </w:pict>
      </w:r>
    </w:p>
    <w:p w:rsidR="00BD6135" w:rsidRPr="00BD6135" w:rsidRDefault="00BD6135" w:rsidP="00BD6135">
      <w:pPr>
        <w:spacing w:line="0" w:lineRule="atLeast"/>
        <w:rPr>
          <w:rFonts w:eastAsia="Calibri"/>
          <w:sz w:val="20"/>
          <w:lang w:val="en-CA"/>
        </w:rPr>
      </w:pPr>
    </w:p>
    <w:p w:rsidR="0058198A" w:rsidRPr="00CD2D71" w:rsidRDefault="0058198A" w:rsidP="0058198A">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35696</w:t>
      </w:r>
      <w:r w:rsidRPr="00CD2D71">
        <w:rPr>
          <w:rFonts w:eastAsia="Calibri"/>
          <w:sz w:val="20"/>
          <w:szCs w:val="22"/>
        </w:rPr>
        <w:tab/>
      </w:r>
      <w:r w:rsidRPr="0058198A">
        <w:rPr>
          <w:rFonts w:eastAsia="Calibri"/>
          <w:b/>
          <w:sz w:val="20"/>
          <w:szCs w:val="22"/>
          <w:u w:val="single"/>
        </w:rPr>
        <w:t xml:space="preserve">407 ETR Concession Company Limited </w:t>
      </w:r>
      <w:r w:rsidRPr="00CD2D71">
        <w:rPr>
          <w:rFonts w:eastAsia="Calibri"/>
          <w:b/>
          <w:sz w:val="20"/>
          <w:szCs w:val="22"/>
          <w:u w:val="single"/>
        </w:rPr>
        <w:t>v.</w:t>
      </w:r>
      <w:r>
        <w:rPr>
          <w:rFonts w:eastAsia="Calibri"/>
          <w:b/>
          <w:sz w:val="20"/>
          <w:szCs w:val="22"/>
          <w:u w:val="single"/>
        </w:rPr>
        <w:t xml:space="preserve"> </w:t>
      </w:r>
      <w:r w:rsidRPr="0058198A">
        <w:rPr>
          <w:rFonts w:eastAsia="Calibri"/>
          <w:b/>
          <w:sz w:val="20"/>
          <w:szCs w:val="22"/>
          <w:u w:val="single"/>
        </w:rPr>
        <w:t xml:space="preserve">Superintendent of Bankruptcy </w:t>
      </w:r>
      <w:r>
        <w:rPr>
          <w:rFonts w:eastAsia="Calibri"/>
          <w:b/>
          <w:sz w:val="20"/>
          <w:szCs w:val="22"/>
          <w:u w:val="single"/>
        </w:rPr>
        <w:t xml:space="preserve">– and – </w:t>
      </w:r>
      <w:r w:rsidRPr="0058198A">
        <w:rPr>
          <w:rFonts w:eastAsia="Calibri"/>
          <w:b/>
          <w:sz w:val="20"/>
          <w:szCs w:val="22"/>
          <w:u w:val="single"/>
        </w:rPr>
        <w:t xml:space="preserve">Attorney General of Ontario, Attorney General of Quebec, Attorney General of British Columbia, Attorney General for Saskatchewan, Attorney General of Alberta, Michael Dow, Gwendolyn </w:t>
      </w:r>
      <w:proofErr w:type="spellStart"/>
      <w:r w:rsidRPr="0058198A">
        <w:rPr>
          <w:rFonts w:eastAsia="Calibri"/>
          <w:b/>
          <w:sz w:val="20"/>
          <w:szCs w:val="22"/>
          <w:u w:val="single"/>
        </w:rPr>
        <w:t>Miron</w:t>
      </w:r>
      <w:proofErr w:type="spellEnd"/>
      <w:r w:rsidRPr="0058198A">
        <w:rPr>
          <w:rFonts w:eastAsia="Calibri"/>
          <w:b/>
          <w:sz w:val="20"/>
          <w:szCs w:val="22"/>
          <w:u w:val="single"/>
        </w:rPr>
        <w:t xml:space="preserve"> and Peter </w:t>
      </w:r>
      <w:proofErr w:type="spellStart"/>
      <w:r w:rsidRPr="0058198A">
        <w:rPr>
          <w:rFonts w:eastAsia="Calibri"/>
          <w:b/>
          <w:sz w:val="20"/>
          <w:szCs w:val="22"/>
          <w:u w:val="single"/>
        </w:rPr>
        <w:t>Teolis</w:t>
      </w:r>
      <w:proofErr w:type="spellEnd"/>
      <w:r w:rsidRPr="0058198A">
        <w:rPr>
          <w:rFonts w:eastAsia="Calibri"/>
          <w:b/>
          <w:sz w:val="20"/>
          <w:szCs w:val="22"/>
        </w:rPr>
        <w:t xml:space="preserve"> </w:t>
      </w:r>
      <w:r w:rsidRPr="00CD2D71">
        <w:rPr>
          <w:rFonts w:eastAsia="Calibri"/>
          <w:iCs/>
          <w:sz w:val="20"/>
          <w:szCs w:val="22"/>
        </w:rPr>
        <w:t>(</w:t>
      </w:r>
      <w:r>
        <w:rPr>
          <w:rFonts w:eastAsia="Calibri"/>
          <w:iCs/>
          <w:sz w:val="20"/>
          <w:szCs w:val="22"/>
        </w:rPr>
        <w:t>Ont.</w:t>
      </w:r>
      <w:r w:rsidRPr="00CD2D71">
        <w:rPr>
          <w:rFonts w:eastAsia="Calibri"/>
          <w:iCs/>
          <w:sz w:val="20"/>
          <w:szCs w:val="22"/>
        </w:rPr>
        <w:t>)</w:t>
      </w:r>
    </w:p>
    <w:p w:rsidR="0058198A" w:rsidRPr="00CD2D71" w:rsidRDefault="0058198A" w:rsidP="0058198A">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52</w:t>
      </w:r>
      <w:r w:rsidRPr="00CD2D71">
        <w:rPr>
          <w:rFonts w:eastAsia="Calibri"/>
          <w:b/>
          <w:sz w:val="20"/>
          <w:szCs w:val="22"/>
        </w:rPr>
        <w:t xml:space="preserve"> / 2015 CSC </w:t>
      </w:r>
      <w:r>
        <w:rPr>
          <w:rFonts w:eastAsia="Calibri"/>
          <w:b/>
          <w:sz w:val="20"/>
          <w:szCs w:val="22"/>
        </w:rPr>
        <w:t>52</w:t>
      </w:r>
    </w:p>
    <w:p w:rsidR="00BD6135" w:rsidRPr="00BD6135" w:rsidRDefault="00BD6135" w:rsidP="00BD613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BD6135" w:rsidRPr="00BD6135" w:rsidRDefault="00BD6135" w:rsidP="00BD6135">
      <w:pPr>
        <w:ind w:left="1440" w:hanging="1440"/>
        <w:rPr>
          <w:rFonts w:eastAsia="Calibri"/>
          <w:sz w:val="20"/>
          <w:szCs w:val="22"/>
          <w:u w:val="single"/>
        </w:rPr>
      </w:pPr>
      <w:r w:rsidRPr="00BD6135">
        <w:rPr>
          <w:rFonts w:eastAsia="Calibri"/>
          <w:sz w:val="20"/>
          <w:szCs w:val="22"/>
        </w:rPr>
        <w:t>Coram:</w:t>
      </w:r>
      <w:r w:rsidRPr="00BD6135">
        <w:rPr>
          <w:rFonts w:eastAsia="Calibri"/>
          <w:sz w:val="20"/>
          <w:szCs w:val="22"/>
        </w:rPr>
        <w:tab/>
      </w:r>
      <w:r w:rsidR="0058198A" w:rsidRPr="0058198A">
        <w:rPr>
          <w:rFonts w:eastAsia="Calibri"/>
          <w:sz w:val="20"/>
          <w:szCs w:val="22"/>
          <w:u w:val="single"/>
        </w:rPr>
        <w:t xml:space="preserve">McLachlin C.J. and </w:t>
      </w:r>
      <w:proofErr w:type="spellStart"/>
      <w:r w:rsidR="0058198A" w:rsidRPr="0058198A">
        <w:rPr>
          <w:rFonts w:eastAsia="Calibri"/>
          <w:sz w:val="20"/>
          <w:szCs w:val="22"/>
          <w:u w:val="single"/>
        </w:rPr>
        <w:t>Abella</w:t>
      </w:r>
      <w:proofErr w:type="spellEnd"/>
      <w:r w:rsidR="0058198A" w:rsidRPr="0058198A">
        <w:rPr>
          <w:rFonts w:eastAsia="Calibri"/>
          <w:sz w:val="20"/>
          <w:szCs w:val="22"/>
          <w:u w:val="single"/>
        </w:rPr>
        <w:t xml:space="preserve">, Rothstein, Cromwell, Moldaver, Karakatsanis, Wagner, </w:t>
      </w:r>
      <w:proofErr w:type="spellStart"/>
      <w:r w:rsidR="0058198A" w:rsidRPr="0058198A">
        <w:rPr>
          <w:rFonts w:eastAsia="Calibri"/>
          <w:sz w:val="20"/>
          <w:szCs w:val="22"/>
          <w:u w:val="single"/>
        </w:rPr>
        <w:t>Gascon</w:t>
      </w:r>
      <w:proofErr w:type="spellEnd"/>
      <w:r w:rsidR="0058198A" w:rsidRPr="0058198A">
        <w:rPr>
          <w:rFonts w:eastAsia="Calibri"/>
          <w:sz w:val="20"/>
          <w:szCs w:val="22"/>
          <w:u w:val="single"/>
        </w:rPr>
        <w:t xml:space="preserve"> and </w:t>
      </w:r>
      <w:proofErr w:type="spellStart"/>
      <w:r w:rsidR="0058198A" w:rsidRPr="0058198A">
        <w:rPr>
          <w:rFonts w:eastAsia="Calibri"/>
          <w:sz w:val="20"/>
          <w:szCs w:val="22"/>
          <w:u w:val="single"/>
        </w:rPr>
        <w:t>Côté</w:t>
      </w:r>
      <w:proofErr w:type="spellEnd"/>
      <w:r w:rsidR="0058198A" w:rsidRPr="0058198A">
        <w:rPr>
          <w:rFonts w:eastAsia="Calibri"/>
          <w:sz w:val="20"/>
          <w:szCs w:val="22"/>
          <w:u w:val="single"/>
        </w:rPr>
        <w:t xml:space="preserve"> JJ.</w:t>
      </w:r>
    </w:p>
    <w:p w:rsidR="00BD6135" w:rsidRPr="0058198A" w:rsidRDefault="00BD6135" w:rsidP="0058198A">
      <w:pPr>
        <w:ind w:left="1440" w:hanging="1440"/>
        <w:jc w:val="both"/>
        <w:rPr>
          <w:rFonts w:eastAsia="Calibri"/>
          <w:sz w:val="20"/>
          <w:u w:val="single"/>
        </w:rPr>
      </w:pPr>
    </w:p>
    <w:p w:rsidR="0058198A" w:rsidRPr="0058198A" w:rsidRDefault="0058198A" w:rsidP="0058198A">
      <w:pPr>
        <w:jc w:val="both"/>
        <w:rPr>
          <w:sz w:val="20"/>
        </w:rPr>
      </w:pPr>
      <w:r w:rsidRPr="0058198A">
        <w:rPr>
          <w:sz w:val="20"/>
        </w:rPr>
        <w:t xml:space="preserve">The appeal from the judgment </w:t>
      </w:r>
      <w:bookmarkStart w:id="1" w:name="BM_1_"/>
      <w:bookmarkEnd w:id="1"/>
      <w:r w:rsidRPr="0058198A">
        <w:rPr>
          <w:sz w:val="20"/>
        </w:rPr>
        <w:t>of the Court of Appeal for Ontario, Number C54560, 2013 ONCA 769, dated December 19, 2013, heard on January 15, 2015, is dismissed with costs. The constitutional question is answered as follows:</w:t>
      </w:r>
    </w:p>
    <w:p w:rsidR="0058198A" w:rsidRPr="0058198A" w:rsidRDefault="0058198A" w:rsidP="0058198A">
      <w:pPr>
        <w:jc w:val="both"/>
        <w:rPr>
          <w:sz w:val="20"/>
        </w:rPr>
      </w:pPr>
    </w:p>
    <w:p w:rsidR="0058198A" w:rsidRPr="0058198A" w:rsidRDefault="0058198A" w:rsidP="0058198A">
      <w:pPr>
        <w:numPr>
          <w:ilvl w:val="0"/>
          <w:numId w:val="3"/>
        </w:numPr>
        <w:contextualSpacing/>
        <w:jc w:val="both"/>
        <w:rPr>
          <w:sz w:val="20"/>
        </w:rPr>
      </w:pPr>
      <w:r w:rsidRPr="0058198A">
        <w:rPr>
          <w:sz w:val="20"/>
        </w:rPr>
        <w:t xml:space="preserve">Is s. 22(4) of the </w:t>
      </w:r>
      <w:r w:rsidRPr="0058198A">
        <w:rPr>
          <w:i/>
          <w:sz w:val="20"/>
        </w:rPr>
        <w:t>Highway 407 Act,</w:t>
      </w:r>
      <w:r w:rsidRPr="0058198A">
        <w:rPr>
          <w:sz w:val="20"/>
        </w:rPr>
        <w:t xml:space="preserve"> </w:t>
      </w:r>
      <w:r w:rsidRPr="0058198A">
        <w:rPr>
          <w:i/>
          <w:sz w:val="20"/>
        </w:rPr>
        <w:t>1998</w:t>
      </w:r>
      <w:r w:rsidRPr="0058198A">
        <w:rPr>
          <w:sz w:val="20"/>
        </w:rPr>
        <w:t xml:space="preserve">, S.O. 1998, c. 28, constitutionally inoperative under the doctrine of federal legislative paramountcy, having regard to the </w:t>
      </w:r>
      <w:r w:rsidRPr="0058198A">
        <w:rPr>
          <w:i/>
          <w:sz w:val="20"/>
        </w:rPr>
        <w:t>Bankruptcy and Insolvency Act</w:t>
      </w:r>
      <w:r w:rsidRPr="0058198A">
        <w:rPr>
          <w:sz w:val="20"/>
        </w:rPr>
        <w:t>, R.S.C. 1985, c. B-3?</w:t>
      </w:r>
    </w:p>
    <w:p w:rsidR="0058198A" w:rsidRPr="0058198A" w:rsidRDefault="0058198A" w:rsidP="0058198A">
      <w:pPr>
        <w:ind w:left="720"/>
        <w:contextualSpacing/>
        <w:jc w:val="both"/>
        <w:rPr>
          <w:sz w:val="20"/>
        </w:rPr>
      </w:pPr>
    </w:p>
    <w:p w:rsidR="0058198A" w:rsidRDefault="0058198A" w:rsidP="0058198A">
      <w:pPr>
        <w:ind w:left="720"/>
        <w:contextualSpacing/>
        <w:jc w:val="both"/>
        <w:rPr>
          <w:sz w:val="20"/>
        </w:rPr>
      </w:pPr>
      <w:r w:rsidRPr="0058198A">
        <w:rPr>
          <w:sz w:val="20"/>
        </w:rPr>
        <w:t xml:space="preserve">Answer: Yes, to the extent that it is used to enforce a provable claim that has been discharged pursuant to s. 178(2) of the </w:t>
      </w:r>
      <w:r w:rsidRPr="0058198A">
        <w:rPr>
          <w:i/>
          <w:sz w:val="20"/>
        </w:rPr>
        <w:t>Bankruptcy and Insolvency Act</w:t>
      </w:r>
      <w:r w:rsidRPr="0058198A">
        <w:rPr>
          <w:sz w:val="20"/>
        </w:rPr>
        <w:t>.</w:t>
      </w:r>
    </w:p>
    <w:p w:rsidR="0058198A" w:rsidRPr="0058198A" w:rsidRDefault="0058198A" w:rsidP="0058198A">
      <w:pPr>
        <w:ind w:left="720"/>
        <w:contextualSpacing/>
        <w:jc w:val="both"/>
        <w:rPr>
          <w:sz w:val="20"/>
        </w:rPr>
      </w:pPr>
    </w:p>
    <w:p w:rsidR="0058198A" w:rsidRPr="0058198A" w:rsidRDefault="0058198A" w:rsidP="0058198A">
      <w:pPr>
        <w:jc w:val="both"/>
        <w:rPr>
          <w:sz w:val="20"/>
          <w:lang w:val="fr-CA"/>
        </w:rPr>
      </w:pPr>
      <w:r w:rsidRPr="0058198A">
        <w:rPr>
          <w:sz w:val="20"/>
          <w:lang w:val="fr-CA"/>
        </w:rPr>
        <w:t>L’appel interjeté contre l’arrêt de la Cour d’appel de l’Ontario, numéro C54560, 2013 ONCA 769, en date du 19 décembre 2013, entendu le 15 janvier 2015 est rejeté avec dépens. La question constitutionnelle reçoit la réponse suivante :</w:t>
      </w:r>
    </w:p>
    <w:p w:rsidR="0058198A" w:rsidRPr="0058198A" w:rsidRDefault="0058198A" w:rsidP="0058198A">
      <w:pPr>
        <w:jc w:val="both"/>
        <w:rPr>
          <w:sz w:val="20"/>
          <w:lang w:val="fr-CA"/>
        </w:rPr>
      </w:pPr>
    </w:p>
    <w:p w:rsidR="0058198A" w:rsidRPr="0058198A" w:rsidRDefault="0058198A" w:rsidP="0058198A">
      <w:pPr>
        <w:pStyle w:val="ListParagraph"/>
        <w:widowControl/>
        <w:numPr>
          <w:ilvl w:val="0"/>
          <w:numId w:val="4"/>
        </w:numPr>
        <w:autoSpaceDE/>
        <w:autoSpaceDN/>
        <w:adjustRightInd/>
        <w:jc w:val="both"/>
        <w:rPr>
          <w:sz w:val="20"/>
          <w:szCs w:val="20"/>
          <w:lang w:val="fr-CA"/>
        </w:rPr>
      </w:pPr>
      <w:r w:rsidRPr="0058198A">
        <w:rPr>
          <w:sz w:val="20"/>
          <w:szCs w:val="20"/>
          <w:lang w:val="fr-CA"/>
        </w:rPr>
        <w:t xml:space="preserve">Le paragraphe 22(4) de la </w:t>
      </w:r>
      <w:r w:rsidRPr="0058198A">
        <w:rPr>
          <w:i/>
          <w:sz w:val="20"/>
          <w:szCs w:val="20"/>
          <w:lang w:val="fr-CA"/>
        </w:rPr>
        <w:t>Loi de 1998</w:t>
      </w:r>
      <w:r w:rsidRPr="0058198A">
        <w:rPr>
          <w:sz w:val="20"/>
          <w:szCs w:val="20"/>
          <w:lang w:val="fr-CA"/>
        </w:rPr>
        <w:t xml:space="preserve"> </w:t>
      </w:r>
      <w:r w:rsidRPr="0058198A">
        <w:rPr>
          <w:i/>
          <w:sz w:val="20"/>
          <w:szCs w:val="20"/>
          <w:lang w:val="fr-CA"/>
        </w:rPr>
        <w:t>sur l’autoroute 407</w:t>
      </w:r>
      <w:r w:rsidRPr="0058198A">
        <w:rPr>
          <w:sz w:val="20"/>
          <w:szCs w:val="20"/>
          <w:lang w:val="fr-CA"/>
        </w:rPr>
        <w:t xml:space="preserve">, L.O. 1998, c. 28, est-il inopérant sur le plan constitutionnel en raison de la doctrine de la prépondérance des lois fédérales, eu égard à la </w:t>
      </w:r>
      <w:r w:rsidRPr="0058198A">
        <w:rPr>
          <w:i/>
          <w:sz w:val="20"/>
          <w:szCs w:val="20"/>
          <w:lang w:val="fr-CA"/>
        </w:rPr>
        <w:t>Loi sur la faillite et l’insolvabilité</w:t>
      </w:r>
      <w:r w:rsidRPr="0058198A">
        <w:rPr>
          <w:sz w:val="20"/>
          <w:szCs w:val="20"/>
          <w:lang w:val="fr-CA"/>
        </w:rPr>
        <w:t>, L.R.C. 1985, c. B</w:t>
      </w:r>
      <w:r w:rsidRPr="0058198A">
        <w:rPr>
          <w:sz w:val="20"/>
          <w:szCs w:val="20"/>
          <w:lang w:val="fr-CA"/>
        </w:rPr>
        <w:noBreakHyphen/>
        <w:t>3?</w:t>
      </w:r>
    </w:p>
    <w:p w:rsidR="0058198A" w:rsidRPr="0058198A" w:rsidRDefault="0058198A" w:rsidP="0058198A">
      <w:pPr>
        <w:pStyle w:val="Citation-AltC"/>
        <w:rPr>
          <w:sz w:val="20"/>
          <w:szCs w:val="20"/>
          <w:lang w:val="fr-CA"/>
        </w:rPr>
      </w:pPr>
    </w:p>
    <w:p w:rsidR="0058198A" w:rsidRPr="0058198A" w:rsidRDefault="0058198A" w:rsidP="0058198A">
      <w:pPr>
        <w:pStyle w:val="Citation-AltC"/>
        <w:spacing w:after="0"/>
        <w:ind w:left="734"/>
        <w:rPr>
          <w:sz w:val="20"/>
          <w:szCs w:val="20"/>
          <w:lang w:val="fr-CA"/>
        </w:rPr>
      </w:pPr>
      <w:r w:rsidRPr="0058198A">
        <w:rPr>
          <w:sz w:val="20"/>
          <w:szCs w:val="20"/>
          <w:lang w:val="fr-CA"/>
        </w:rPr>
        <w:t xml:space="preserve">Réponse : Oui, dans la mesure où il permet à un créancier de recouvrer une réclamation prouvable dont le débiteur a été libéré en application du par. 178(2) de la </w:t>
      </w:r>
      <w:r w:rsidRPr="0058198A">
        <w:rPr>
          <w:i/>
          <w:sz w:val="20"/>
          <w:szCs w:val="20"/>
          <w:lang w:val="fr-CA"/>
        </w:rPr>
        <w:t>Loi sur la faillite et l’insolvabilité</w:t>
      </w:r>
      <w:r w:rsidRPr="0058198A">
        <w:rPr>
          <w:sz w:val="20"/>
          <w:szCs w:val="20"/>
          <w:lang w:val="fr-CA"/>
        </w:rPr>
        <w:t>.</w:t>
      </w:r>
    </w:p>
    <w:p w:rsidR="00EB5954" w:rsidRPr="00F561D5" w:rsidRDefault="00EB5954" w:rsidP="00C65FD6">
      <w:pPr>
        <w:widowControl w:val="0"/>
        <w:jc w:val="both"/>
        <w:outlineLvl w:val="0"/>
        <w:rPr>
          <w:sz w:val="20"/>
          <w:lang w:val="fr-CA"/>
        </w:rPr>
      </w:pPr>
    </w:p>
    <w:p w:rsidR="0058198A" w:rsidRPr="00BD6135" w:rsidRDefault="00FD2077" w:rsidP="0058198A">
      <w:pPr>
        <w:spacing w:line="0" w:lineRule="atLeast"/>
        <w:rPr>
          <w:rFonts w:eastAsia="Calibri"/>
          <w:sz w:val="20"/>
          <w:lang w:val="en-CA"/>
        </w:rPr>
      </w:pPr>
      <w:r>
        <w:rPr>
          <w:rFonts w:eastAsia="Calibri"/>
          <w:b/>
          <w:sz w:val="20"/>
          <w:lang w:val="en-CA"/>
        </w:rPr>
        <w:pict>
          <v:rect id="_x0000_i1026" style="width:144.3pt;height:1pt" o:hrpct="300" o:hralign="center" o:hrstd="t" o:hrnoshade="t" o:hr="t" fillcolor="black" stroked="f"/>
        </w:pict>
      </w:r>
    </w:p>
    <w:p w:rsidR="0058198A" w:rsidRPr="00BD6135" w:rsidRDefault="0058198A" w:rsidP="0058198A">
      <w:pPr>
        <w:spacing w:line="0" w:lineRule="atLeast"/>
        <w:rPr>
          <w:rFonts w:eastAsia="Calibri"/>
          <w:sz w:val="20"/>
          <w:lang w:val="en-CA"/>
        </w:rPr>
      </w:pPr>
    </w:p>
    <w:p w:rsidR="0058198A" w:rsidRPr="00CD2D71" w:rsidRDefault="0058198A" w:rsidP="0058198A">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35923</w:t>
      </w:r>
      <w:r w:rsidRPr="00CD2D71">
        <w:rPr>
          <w:rFonts w:eastAsia="Calibri"/>
          <w:sz w:val="20"/>
          <w:szCs w:val="22"/>
        </w:rPr>
        <w:tab/>
      </w:r>
      <w:r w:rsidRPr="0058198A">
        <w:rPr>
          <w:rFonts w:eastAsia="Calibri"/>
          <w:b/>
          <w:sz w:val="20"/>
          <w:szCs w:val="22"/>
          <w:u w:val="single"/>
        </w:rPr>
        <w:t xml:space="preserve">Attorney General for Saskatchewan </w:t>
      </w:r>
      <w:r w:rsidRPr="00CD2D71">
        <w:rPr>
          <w:rFonts w:eastAsia="Calibri"/>
          <w:b/>
          <w:sz w:val="20"/>
          <w:szCs w:val="22"/>
          <w:u w:val="single"/>
        </w:rPr>
        <w:t>v.</w:t>
      </w:r>
      <w:r>
        <w:rPr>
          <w:rFonts w:eastAsia="Calibri"/>
          <w:b/>
          <w:sz w:val="20"/>
          <w:szCs w:val="22"/>
          <w:u w:val="single"/>
        </w:rPr>
        <w:t xml:space="preserve"> </w:t>
      </w:r>
      <w:proofErr w:type="spellStart"/>
      <w:r w:rsidRPr="0058198A">
        <w:rPr>
          <w:rFonts w:eastAsia="Calibri"/>
          <w:b/>
          <w:sz w:val="20"/>
          <w:szCs w:val="22"/>
          <w:u w:val="single"/>
        </w:rPr>
        <w:t>Lemare</w:t>
      </w:r>
      <w:proofErr w:type="spellEnd"/>
      <w:r w:rsidRPr="0058198A">
        <w:rPr>
          <w:rFonts w:eastAsia="Calibri"/>
          <w:b/>
          <w:sz w:val="20"/>
          <w:szCs w:val="22"/>
          <w:u w:val="single"/>
        </w:rPr>
        <w:t xml:space="preserve"> Lake Logging Ltd. </w:t>
      </w:r>
      <w:r>
        <w:rPr>
          <w:rFonts w:eastAsia="Calibri"/>
          <w:b/>
          <w:sz w:val="20"/>
          <w:szCs w:val="22"/>
          <w:u w:val="single"/>
        </w:rPr>
        <w:t xml:space="preserve">– and – </w:t>
      </w:r>
      <w:r w:rsidRPr="0058198A">
        <w:rPr>
          <w:rFonts w:eastAsia="Calibri"/>
          <w:b/>
          <w:sz w:val="20"/>
          <w:szCs w:val="22"/>
          <w:u w:val="single"/>
        </w:rPr>
        <w:t>Attorney General of Ontario and</w:t>
      </w:r>
      <w:r>
        <w:rPr>
          <w:rFonts w:eastAsia="Calibri"/>
          <w:b/>
          <w:sz w:val="20"/>
          <w:szCs w:val="22"/>
          <w:u w:val="single"/>
        </w:rPr>
        <w:t xml:space="preserve"> </w:t>
      </w:r>
      <w:r w:rsidRPr="0058198A">
        <w:rPr>
          <w:rFonts w:eastAsia="Calibri"/>
          <w:b/>
          <w:sz w:val="20"/>
          <w:szCs w:val="22"/>
          <w:u w:val="single"/>
        </w:rPr>
        <w:t>Attorney General of British Columbia</w:t>
      </w:r>
      <w:r w:rsidRPr="0058198A">
        <w:rPr>
          <w:rFonts w:eastAsia="Calibri"/>
          <w:b/>
          <w:sz w:val="20"/>
          <w:szCs w:val="22"/>
        </w:rPr>
        <w:t xml:space="preserve"> </w:t>
      </w:r>
      <w:r w:rsidRPr="00CD2D71">
        <w:rPr>
          <w:rFonts w:eastAsia="Calibri"/>
          <w:iCs/>
          <w:sz w:val="20"/>
          <w:szCs w:val="22"/>
        </w:rPr>
        <w:t>(</w:t>
      </w:r>
      <w:r>
        <w:rPr>
          <w:rFonts w:eastAsia="Calibri"/>
          <w:iCs/>
          <w:sz w:val="20"/>
          <w:szCs w:val="22"/>
        </w:rPr>
        <w:t>Sask.</w:t>
      </w:r>
      <w:r w:rsidRPr="00CD2D71">
        <w:rPr>
          <w:rFonts w:eastAsia="Calibri"/>
          <w:iCs/>
          <w:sz w:val="20"/>
          <w:szCs w:val="22"/>
        </w:rPr>
        <w:t>)</w:t>
      </w:r>
    </w:p>
    <w:p w:rsidR="0058198A" w:rsidRPr="00CD2D71" w:rsidRDefault="0058198A" w:rsidP="0058198A">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53</w:t>
      </w:r>
      <w:r w:rsidRPr="00CD2D71">
        <w:rPr>
          <w:rFonts w:eastAsia="Calibri"/>
          <w:b/>
          <w:sz w:val="20"/>
          <w:szCs w:val="22"/>
        </w:rPr>
        <w:t xml:space="preserve"> / 2015 CSC </w:t>
      </w:r>
      <w:r>
        <w:rPr>
          <w:rFonts w:eastAsia="Calibri"/>
          <w:b/>
          <w:sz w:val="20"/>
          <w:szCs w:val="22"/>
        </w:rPr>
        <w:t>53</w:t>
      </w:r>
    </w:p>
    <w:p w:rsidR="0058198A" w:rsidRPr="00BD6135" w:rsidRDefault="0058198A" w:rsidP="0058198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58198A" w:rsidRPr="00BD6135" w:rsidRDefault="0058198A" w:rsidP="0058198A">
      <w:pPr>
        <w:ind w:left="1440" w:hanging="1440"/>
        <w:rPr>
          <w:rFonts w:eastAsia="Calibri"/>
          <w:sz w:val="20"/>
          <w:szCs w:val="22"/>
          <w:u w:val="single"/>
        </w:rPr>
      </w:pPr>
      <w:r w:rsidRPr="00BD6135">
        <w:rPr>
          <w:rFonts w:eastAsia="Calibri"/>
          <w:sz w:val="20"/>
          <w:szCs w:val="22"/>
        </w:rPr>
        <w:t>Coram:</w:t>
      </w:r>
      <w:r w:rsidRPr="00BD6135">
        <w:rPr>
          <w:rFonts w:eastAsia="Calibri"/>
          <w:sz w:val="20"/>
          <w:szCs w:val="22"/>
        </w:rPr>
        <w:tab/>
      </w:r>
      <w:proofErr w:type="spellStart"/>
      <w:r w:rsidRPr="0058198A">
        <w:rPr>
          <w:rFonts w:eastAsia="Calibri"/>
          <w:sz w:val="20"/>
          <w:szCs w:val="22"/>
          <w:u w:val="single"/>
        </w:rPr>
        <w:t>Abella</w:t>
      </w:r>
      <w:proofErr w:type="spellEnd"/>
      <w:r w:rsidRPr="0058198A">
        <w:rPr>
          <w:rFonts w:eastAsia="Calibri"/>
          <w:sz w:val="20"/>
          <w:szCs w:val="22"/>
          <w:u w:val="single"/>
        </w:rPr>
        <w:t xml:space="preserve">, Cromwell, Moldaver, Karakatsanis, Wagner, </w:t>
      </w:r>
      <w:proofErr w:type="spellStart"/>
      <w:r w:rsidRPr="0058198A">
        <w:rPr>
          <w:rFonts w:eastAsia="Calibri"/>
          <w:sz w:val="20"/>
          <w:szCs w:val="22"/>
          <w:u w:val="single"/>
        </w:rPr>
        <w:t>Gascon</w:t>
      </w:r>
      <w:proofErr w:type="spellEnd"/>
      <w:r w:rsidRPr="0058198A">
        <w:rPr>
          <w:rFonts w:eastAsia="Calibri"/>
          <w:sz w:val="20"/>
          <w:szCs w:val="22"/>
          <w:u w:val="single"/>
        </w:rPr>
        <w:t xml:space="preserve"> and </w:t>
      </w:r>
      <w:proofErr w:type="spellStart"/>
      <w:r w:rsidRPr="0058198A">
        <w:rPr>
          <w:rFonts w:eastAsia="Calibri"/>
          <w:sz w:val="20"/>
          <w:szCs w:val="22"/>
          <w:u w:val="single"/>
        </w:rPr>
        <w:t>Côté</w:t>
      </w:r>
      <w:proofErr w:type="spellEnd"/>
      <w:r w:rsidRPr="0058198A">
        <w:rPr>
          <w:rFonts w:eastAsia="Calibri"/>
          <w:sz w:val="20"/>
          <w:szCs w:val="22"/>
          <w:u w:val="single"/>
        </w:rPr>
        <w:t xml:space="preserve"> JJ.</w:t>
      </w:r>
    </w:p>
    <w:p w:rsidR="0058198A" w:rsidRPr="0058198A" w:rsidRDefault="0058198A" w:rsidP="0058198A">
      <w:pPr>
        <w:ind w:left="1440" w:hanging="1440"/>
        <w:rPr>
          <w:rFonts w:eastAsia="Calibri"/>
          <w:sz w:val="20"/>
          <w:u w:val="single"/>
        </w:rPr>
      </w:pPr>
    </w:p>
    <w:p w:rsidR="0058198A" w:rsidRDefault="0058198A" w:rsidP="0058198A">
      <w:pPr>
        <w:jc w:val="both"/>
        <w:rPr>
          <w:rFonts w:eastAsia="Calibri"/>
          <w:sz w:val="20"/>
          <w:lang w:val="en-CA"/>
        </w:rPr>
      </w:pPr>
      <w:r w:rsidRPr="0058198A">
        <w:rPr>
          <w:rFonts w:eastAsia="Calibri"/>
          <w:sz w:val="20"/>
          <w:lang w:val="en-CA"/>
        </w:rPr>
        <w:t xml:space="preserve">This is an appeal heard on May 21, 2015, involving a decision of the Court of Appeal for Saskatchewan, Number CACV 2443, 2014 SKCA 35, dated April 1, 2014. The Court of Appeal’s conclusion that Part II of </w:t>
      </w:r>
      <w:r w:rsidRPr="0058198A">
        <w:rPr>
          <w:rFonts w:eastAsia="Calibri"/>
          <w:i/>
          <w:sz w:val="20"/>
          <w:lang w:val="en-CA"/>
        </w:rPr>
        <w:t>The Saskatchewan Farm Security Act</w:t>
      </w:r>
      <w:r w:rsidRPr="0058198A">
        <w:rPr>
          <w:rFonts w:eastAsia="Calibri"/>
          <w:sz w:val="20"/>
          <w:lang w:val="en-CA"/>
        </w:rPr>
        <w:t xml:space="preserve">, S.S. 1988-89, c. S-17.1, is constitutionally inoperative where an application is made to appoint a receiver pursuant to s. 243(1) of the </w:t>
      </w:r>
      <w:r w:rsidRPr="0058198A">
        <w:rPr>
          <w:rFonts w:eastAsia="Calibri"/>
          <w:i/>
          <w:sz w:val="20"/>
          <w:lang w:val="en-CA"/>
        </w:rPr>
        <w:t>Bankruptcy and Insolvency Act</w:t>
      </w:r>
      <w:r w:rsidRPr="0058198A">
        <w:rPr>
          <w:rFonts w:eastAsia="Calibri"/>
          <w:sz w:val="20"/>
          <w:lang w:val="en-CA"/>
        </w:rPr>
        <w:t xml:space="preserve">, R.S.C. 1985, c. B-3, is set aside. There will be no order with respect to costs. Justice </w:t>
      </w:r>
      <w:proofErr w:type="spellStart"/>
      <w:r w:rsidRPr="0058198A">
        <w:rPr>
          <w:rFonts w:eastAsia="Calibri"/>
          <w:sz w:val="20"/>
          <w:lang w:val="en-CA"/>
        </w:rPr>
        <w:t>Côté</w:t>
      </w:r>
      <w:proofErr w:type="spellEnd"/>
      <w:r w:rsidRPr="0058198A">
        <w:rPr>
          <w:rFonts w:eastAsia="Calibri"/>
          <w:sz w:val="20"/>
          <w:lang w:val="en-CA"/>
        </w:rPr>
        <w:t xml:space="preserve"> is dissenting.</w:t>
      </w:r>
    </w:p>
    <w:p w:rsidR="0058198A" w:rsidRPr="0058198A" w:rsidRDefault="0058198A" w:rsidP="0058198A">
      <w:pPr>
        <w:jc w:val="both"/>
        <w:rPr>
          <w:rFonts w:eastAsia="Calibri"/>
          <w:sz w:val="20"/>
          <w:lang w:val="en-CA"/>
        </w:rPr>
      </w:pPr>
    </w:p>
    <w:p w:rsidR="0058198A" w:rsidRPr="0058198A" w:rsidRDefault="0058198A" w:rsidP="0058198A">
      <w:pPr>
        <w:jc w:val="both"/>
        <w:rPr>
          <w:rFonts w:eastAsia="Calibri"/>
          <w:sz w:val="20"/>
          <w:lang w:val="fr-CA"/>
        </w:rPr>
      </w:pPr>
      <w:r w:rsidRPr="0058198A">
        <w:rPr>
          <w:rFonts w:eastAsia="Calibri"/>
          <w:sz w:val="20"/>
          <w:lang w:val="fr-CA"/>
        </w:rPr>
        <w:t xml:space="preserve">Cet appel entendu le 21 mai 2015 concerne une décision de la Cour d’appel de la Saskatchewan, numéro CACV 2443, 2014 SKCA 35, datée le 1er avril 2014. La conclusion de la Cour d’appel, selon laquelle la partie II de </w:t>
      </w:r>
      <w:r w:rsidRPr="0058198A">
        <w:rPr>
          <w:rFonts w:eastAsia="Calibri"/>
          <w:i/>
          <w:sz w:val="20"/>
          <w:lang w:val="fr-CA"/>
        </w:rPr>
        <w:t xml:space="preserve">The Saskatchewan </w:t>
      </w:r>
      <w:proofErr w:type="spellStart"/>
      <w:r w:rsidRPr="0058198A">
        <w:rPr>
          <w:rFonts w:eastAsia="Calibri"/>
          <w:i/>
          <w:sz w:val="20"/>
          <w:lang w:val="fr-CA"/>
        </w:rPr>
        <w:t>Farm</w:t>
      </w:r>
      <w:proofErr w:type="spellEnd"/>
      <w:r w:rsidRPr="0058198A">
        <w:rPr>
          <w:rFonts w:eastAsia="Calibri"/>
          <w:i/>
          <w:sz w:val="20"/>
          <w:lang w:val="fr-CA"/>
        </w:rPr>
        <w:t xml:space="preserve"> Security </w:t>
      </w:r>
      <w:proofErr w:type="spellStart"/>
      <w:r w:rsidRPr="0058198A">
        <w:rPr>
          <w:rFonts w:eastAsia="Calibri"/>
          <w:i/>
          <w:sz w:val="20"/>
          <w:lang w:val="fr-CA"/>
        </w:rPr>
        <w:t>Act</w:t>
      </w:r>
      <w:proofErr w:type="spellEnd"/>
      <w:r w:rsidRPr="0058198A">
        <w:rPr>
          <w:rFonts w:eastAsia="Calibri"/>
          <w:sz w:val="20"/>
          <w:lang w:val="fr-CA"/>
        </w:rPr>
        <w:t xml:space="preserve">, S.S. 1988-89, c. S-17.1, est constitutionnellement inopérante lorsqu’une demande de nomination d’un séquestre est présentée en application du par. 243(1) de la </w:t>
      </w:r>
      <w:r w:rsidRPr="0058198A">
        <w:rPr>
          <w:rFonts w:eastAsia="Calibri"/>
          <w:i/>
          <w:sz w:val="20"/>
          <w:lang w:val="fr-CA"/>
        </w:rPr>
        <w:t>Loi sur la faillite et l’insolvabilité</w:t>
      </w:r>
      <w:r w:rsidRPr="0058198A">
        <w:rPr>
          <w:rFonts w:eastAsia="Calibri"/>
          <w:sz w:val="20"/>
          <w:lang w:val="fr-CA"/>
        </w:rPr>
        <w:t>, L.R.C. 1985, c. B 3, est infirmée. La Cour ne rend aucune ordonnance relative aux dépens. La juge Côté est dissidente.</w:t>
      </w:r>
    </w:p>
    <w:p w:rsidR="0058198A" w:rsidRDefault="0058198A" w:rsidP="00C65FD6">
      <w:pPr>
        <w:widowControl w:val="0"/>
        <w:jc w:val="both"/>
        <w:outlineLvl w:val="0"/>
        <w:rPr>
          <w:sz w:val="20"/>
          <w:lang w:val="fr-CA"/>
        </w:rPr>
      </w:pPr>
    </w:p>
    <w:p w:rsidR="0058198A" w:rsidRDefault="0058198A" w:rsidP="00C65FD6">
      <w:pPr>
        <w:widowControl w:val="0"/>
        <w:jc w:val="both"/>
        <w:outlineLvl w:val="0"/>
        <w:rPr>
          <w:sz w:val="20"/>
          <w:lang w:val="fr-CA"/>
        </w:rPr>
      </w:pPr>
    </w:p>
    <w:p w:rsidR="0058198A" w:rsidRPr="00F561D5" w:rsidRDefault="0058198A" w:rsidP="00C65FD6">
      <w:pPr>
        <w:widowControl w:val="0"/>
        <w:jc w:val="both"/>
        <w:outlineLvl w:val="0"/>
        <w:rPr>
          <w:sz w:val="20"/>
          <w:lang w:val="fr-CA"/>
        </w:rPr>
      </w:pPr>
    </w:p>
    <w:p w:rsidR="00DF33A9" w:rsidRPr="00263F8E" w:rsidRDefault="00DF33A9" w:rsidP="00DF33A9">
      <w:pPr>
        <w:widowControl w:val="0"/>
        <w:jc w:val="both"/>
        <w:outlineLvl w:val="0"/>
        <w:rPr>
          <w:sz w:val="20"/>
          <w:lang w:val="fr-CA"/>
        </w:rPr>
      </w:pPr>
    </w:p>
    <w:p w:rsidR="00DF33A9" w:rsidRPr="00DF33A9" w:rsidRDefault="00DF33A9" w:rsidP="00DF33A9">
      <w:pPr>
        <w:widowControl w:val="0"/>
        <w:outlineLvl w:val="0"/>
      </w:pPr>
      <w:r w:rsidRPr="00DF33A9">
        <w:t xml:space="preserve">Supreme Court of Canada / Cour </w:t>
      </w:r>
      <w:proofErr w:type="spellStart"/>
      <w:r w:rsidRPr="00DF33A9">
        <w:t>suprême</w:t>
      </w:r>
      <w:proofErr w:type="spellEnd"/>
      <w:r w:rsidRPr="00DF33A9">
        <w:t xml:space="preserve"> du Canada : </w:t>
      </w:r>
    </w:p>
    <w:p w:rsidR="00DF33A9" w:rsidRPr="00A83C7E" w:rsidRDefault="00FD2077" w:rsidP="00DF33A9">
      <w:pPr>
        <w:widowControl w:val="0"/>
        <w:outlineLvl w:val="0"/>
        <w:rPr>
          <w:color w:val="0000FF"/>
          <w:u w:val="single"/>
        </w:rPr>
      </w:pPr>
      <w:hyperlink r:id="rId7"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p>
    <w:sectPr w:rsidR="00C12722"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B1" w:rsidRDefault="001C0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B1" w:rsidRDefault="001C0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Pr="001C01B1" w:rsidRDefault="00E56541" w:rsidP="001C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B1" w:rsidRDefault="001C0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B1" w:rsidRDefault="001C0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B1" w:rsidRDefault="001C0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4CA47489"/>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B42C4"/>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2CA2"/>
    <w:rsid w:val="00165DD0"/>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1B1"/>
    <w:rsid w:val="001C0C39"/>
    <w:rsid w:val="001C0E0C"/>
    <w:rsid w:val="001C2761"/>
    <w:rsid w:val="001C2F21"/>
    <w:rsid w:val="001C5E6C"/>
    <w:rsid w:val="001D0423"/>
    <w:rsid w:val="001D235D"/>
    <w:rsid w:val="001D2555"/>
    <w:rsid w:val="001D57BE"/>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407C6"/>
    <w:rsid w:val="00244CDD"/>
    <w:rsid w:val="00245D73"/>
    <w:rsid w:val="00246C0E"/>
    <w:rsid w:val="002514CA"/>
    <w:rsid w:val="002517D5"/>
    <w:rsid w:val="00252FDB"/>
    <w:rsid w:val="002567CD"/>
    <w:rsid w:val="0025713A"/>
    <w:rsid w:val="002613AC"/>
    <w:rsid w:val="00261D3C"/>
    <w:rsid w:val="00262C42"/>
    <w:rsid w:val="0026349D"/>
    <w:rsid w:val="00263F8E"/>
    <w:rsid w:val="00266E0E"/>
    <w:rsid w:val="002671CC"/>
    <w:rsid w:val="002709E7"/>
    <w:rsid w:val="00276C42"/>
    <w:rsid w:val="00280E55"/>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4FF6"/>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5556"/>
    <w:rsid w:val="004A7CEC"/>
    <w:rsid w:val="004B06E1"/>
    <w:rsid w:val="004B34A9"/>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812EF"/>
    <w:rsid w:val="0058198A"/>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42C8"/>
    <w:rsid w:val="0065238E"/>
    <w:rsid w:val="00655090"/>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FB8"/>
    <w:rsid w:val="006B1C34"/>
    <w:rsid w:val="006B246E"/>
    <w:rsid w:val="006B293F"/>
    <w:rsid w:val="006B40C1"/>
    <w:rsid w:val="006B6A20"/>
    <w:rsid w:val="006C4010"/>
    <w:rsid w:val="006C477E"/>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FC0"/>
    <w:rsid w:val="007975AC"/>
    <w:rsid w:val="007A09AA"/>
    <w:rsid w:val="007A10D6"/>
    <w:rsid w:val="007A14FC"/>
    <w:rsid w:val="007A31E0"/>
    <w:rsid w:val="007A5A11"/>
    <w:rsid w:val="007A6F16"/>
    <w:rsid w:val="007A7F7F"/>
    <w:rsid w:val="007A7FD6"/>
    <w:rsid w:val="007B09DF"/>
    <w:rsid w:val="007B1724"/>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D388F"/>
    <w:rsid w:val="008E2946"/>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139A"/>
    <w:rsid w:val="00B539B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207B2"/>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39EF"/>
    <w:rsid w:val="00D645E0"/>
    <w:rsid w:val="00D6599A"/>
    <w:rsid w:val="00D669A4"/>
    <w:rsid w:val="00D7143F"/>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966"/>
    <w:rsid w:val="00DB3F0F"/>
    <w:rsid w:val="00DB5A3F"/>
    <w:rsid w:val="00DC2AD7"/>
    <w:rsid w:val="00DC2B2E"/>
    <w:rsid w:val="00DD620A"/>
    <w:rsid w:val="00DE11D6"/>
    <w:rsid w:val="00DE32E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5C22"/>
    <w:rsid w:val="00F41337"/>
    <w:rsid w:val="00F41940"/>
    <w:rsid w:val="00F44405"/>
    <w:rsid w:val="00F44A5B"/>
    <w:rsid w:val="00F46255"/>
    <w:rsid w:val="00F5608F"/>
    <w:rsid w:val="00F561D5"/>
    <w:rsid w:val="00F60DAD"/>
    <w:rsid w:val="00F61F8E"/>
    <w:rsid w:val="00F63405"/>
    <w:rsid w:val="00F64156"/>
    <w:rsid w:val="00F70A37"/>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077"/>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Citation-AltC">
    <w:name w:val="Citation - Alt C"/>
    <w:uiPriority w:val="2"/>
    <w:qFormat/>
    <w:rsid w:val="0058198A"/>
    <w:pPr>
      <w:spacing w:after="720"/>
      <w:ind w:left="1166"/>
      <w:contextualSpacing/>
      <w:jc w:val="both"/>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5538</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2015-11-13T14:42:00Z</dcterms:created>
  <dcterms:modified xsi:type="dcterms:W3CDTF">2015-11-26T20:22:00Z</dcterms:modified>
</cp:coreProperties>
</file>