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r w:rsidRPr="00E76439">
        <w:rPr>
          <w:b/>
          <w:sz w:val="32"/>
        </w:rPr>
        <w:t xml:space="preserve">Supreme Court of Canada / </w:t>
      </w:r>
      <w:proofErr w:type="spellStart"/>
      <w:r w:rsidRPr="00E76439">
        <w:rPr>
          <w:b/>
          <w:sz w:val="32"/>
        </w:rPr>
        <w:t>Cour</w:t>
      </w:r>
      <w:proofErr w:type="spellEnd"/>
      <w:r w:rsidRPr="00E76439">
        <w:rPr>
          <w:b/>
          <w:sz w:val="32"/>
        </w:rPr>
        <w:t xml:space="preserve">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w:t>
      </w:r>
      <w:proofErr w:type="gramStart"/>
      <w:r w:rsidRPr="0041251E">
        <w:rPr>
          <w:i/>
        </w:rPr>
        <w:t>le</w:t>
      </w:r>
      <w:proofErr w:type="gramEnd"/>
      <w:r w:rsidRPr="0041251E">
        <w:rPr>
          <w:i/>
        </w:rPr>
        <w:t xml:space="preserv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0347C1" w:rsidP="00214729">
      <w:pPr>
        <w:widowControl w:val="0"/>
        <w:jc w:val="center"/>
        <w:rPr>
          <w:b/>
        </w:rPr>
      </w:pPr>
      <w:r>
        <w:fldChar w:fldCharType="begin"/>
      </w:r>
      <w:r w:rsidR="00FA7412">
        <w:instrText xml:space="preserve"> SEQ CHAPTER \h \r 1</w:instrText>
      </w:r>
      <w:r>
        <w:fldChar w:fldCharType="end"/>
      </w:r>
      <w:r w:rsidR="00455BB9">
        <w:rPr>
          <w:b/>
        </w:rPr>
        <w:t>JUDGMENT</w:t>
      </w:r>
      <w:r w:rsidR="00072A63">
        <w:rPr>
          <w:b/>
        </w:rPr>
        <w:t>S</w:t>
      </w:r>
      <w:r w:rsidR="00FA7412">
        <w:rPr>
          <w:b/>
        </w:rPr>
        <w:t xml:space="preserve"> TO BE RENDERED IN APPEAL</w:t>
      </w:r>
      <w:r w:rsidR="00072A63">
        <w:rPr>
          <w:b/>
        </w:rPr>
        <w:t>S</w:t>
      </w:r>
    </w:p>
    <w:p w:rsidR="005A7C1B" w:rsidRDefault="005A7C1B" w:rsidP="005A7C1B">
      <w:pPr>
        <w:widowControl w:val="0"/>
        <w:rPr>
          <w:b/>
        </w:rPr>
      </w:pPr>
    </w:p>
    <w:p w:rsidR="00EC79B0" w:rsidRPr="00497B5E" w:rsidRDefault="003508A9" w:rsidP="00EC79B0">
      <w:pPr>
        <w:widowControl w:val="0"/>
        <w:rPr>
          <w:b/>
        </w:rPr>
      </w:pPr>
      <w:r>
        <w:rPr>
          <w:b/>
        </w:rPr>
        <w:t>December 8</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Default="00EC79B0" w:rsidP="00EC79B0">
      <w:pPr>
        <w:widowControl w:val="0"/>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087122">
        <w:t>S</w:t>
      </w:r>
      <w:r w:rsidR="00DC6C1E">
        <w:t>T</w:t>
      </w:r>
      <w:r w:rsidR="00D74667">
        <w:t xml:space="preserve"> on</w:t>
      </w:r>
      <w:r w:rsidR="00DC6C1E">
        <w:t xml:space="preserve"> </w:t>
      </w:r>
      <w:r w:rsidR="003508A9">
        <w:t>Thursday</w:t>
      </w:r>
      <w:r w:rsidR="000A7900">
        <w:t xml:space="preserve">, </w:t>
      </w:r>
      <w:r w:rsidR="00340C6D">
        <w:t xml:space="preserve">December </w:t>
      </w:r>
      <w:r w:rsidR="003508A9">
        <w:t>10 and Friday, December 11</w:t>
      </w:r>
      <w:r w:rsidR="00E63199">
        <w:t>, 2</w:t>
      </w:r>
      <w:r w:rsidR="0086609D">
        <w:t>015</w:t>
      </w:r>
      <w:r w:rsidR="00455BB9">
        <w:t>.  This</w:t>
      </w:r>
      <w:r>
        <w:t xml:space="preserve"> list is subject to change.</w:t>
      </w:r>
    </w:p>
    <w:p w:rsidR="001C4415" w:rsidRPr="001D0423" w:rsidRDefault="001C4415" w:rsidP="001C4415">
      <w:pPr>
        <w:widowControl w:val="0"/>
        <w:rPr>
          <w:szCs w:val="24"/>
        </w:rPr>
      </w:pPr>
    </w:p>
    <w:p w:rsidR="001C4415" w:rsidRDefault="001C4415" w:rsidP="001C4415">
      <w:pPr>
        <w:widowControl w:val="0"/>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3508A9">
        <w:rPr>
          <w:b/>
          <w:lang w:val="fr-CA"/>
        </w:rPr>
        <w:t>8</w:t>
      </w:r>
      <w:r w:rsidR="00340C6D">
        <w:rPr>
          <w:b/>
          <w:lang w:val="fr-CA"/>
        </w:rPr>
        <w:t xml:space="preserve"> décembre</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w:t>
      </w:r>
      <w:r w:rsidR="003508A9">
        <w:rPr>
          <w:lang w:val="fr-CA"/>
        </w:rPr>
        <w:t xml:space="preserve"> jeudi 10 décembre et le vendredi 11 </w:t>
      </w:r>
      <w:r w:rsidR="00340C6D" w:rsidRPr="00340C6D">
        <w:rPr>
          <w:lang w:val="fr-CA"/>
        </w:rPr>
        <w:t>décembre</w:t>
      </w:r>
      <w:r w:rsidR="00282563">
        <w:rPr>
          <w:lang w:val="fr-CA"/>
        </w:rPr>
        <w:t xml:space="preserve"> </w:t>
      </w:r>
      <w:r>
        <w:rPr>
          <w:lang w:val="fr-CA"/>
        </w:rPr>
        <w:t>201</w:t>
      </w:r>
      <w:r w:rsidR="0086609D">
        <w:rPr>
          <w:lang w:val="fr-CA"/>
        </w:rPr>
        <w:t>5</w:t>
      </w:r>
      <w:r>
        <w:rPr>
          <w:lang w:val="fr-CA"/>
        </w:rPr>
        <w:t>,</w:t>
      </w:r>
      <w:r w:rsidRPr="00E2187E">
        <w:rPr>
          <w:lang w:val="fr-CA"/>
        </w:rPr>
        <w:t xml:space="preserve"> à 9 h 45 </w:t>
      </w:r>
      <w:r>
        <w:rPr>
          <w:lang w:val="fr-CA"/>
        </w:rPr>
        <w:t>H</w:t>
      </w:r>
      <w:r w:rsidR="00087122">
        <w:rPr>
          <w:lang w:val="fr-CA"/>
        </w:rPr>
        <w:t>N</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5C7A4F" w:rsidP="001335A1">
      <w:pPr>
        <w:widowControl w:val="0"/>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4A017B" w:rsidRDefault="00340C6D" w:rsidP="00340C6D">
      <w:pPr>
        <w:jc w:val="both"/>
        <w:rPr>
          <w:bCs/>
          <w:lang w:val="fr-CA"/>
        </w:rPr>
      </w:pPr>
    </w:p>
    <w:p w:rsidR="003508A9" w:rsidRPr="003508A9" w:rsidRDefault="003508A9" w:rsidP="00340C6D">
      <w:pPr>
        <w:tabs>
          <w:tab w:val="center" w:pos="4680"/>
        </w:tabs>
        <w:jc w:val="both"/>
        <w:rPr>
          <w:b/>
        </w:rPr>
      </w:pPr>
      <w:r w:rsidRPr="003508A9">
        <w:rPr>
          <w:b/>
        </w:rPr>
        <w:t>10/12/</w:t>
      </w:r>
      <w:r>
        <w:rPr>
          <w:b/>
        </w:rPr>
        <w:t>20</w:t>
      </w:r>
      <w:r w:rsidRPr="003508A9">
        <w:rPr>
          <w:b/>
        </w:rPr>
        <w:t>15</w:t>
      </w:r>
    </w:p>
    <w:p w:rsidR="00340C6D" w:rsidRPr="003508A9" w:rsidRDefault="00AB6FF1" w:rsidP="00340C6D">
      <w:pPr>
        <w:tabs>
          <w:tab w:val="center" w:pos="4680"/>
        </w:tabs>
        <w:jc w:val="both"/>
      </w:pPr>
      <w:proofErr w:type="spellStart"/>
      <w:r>
        <w:rPr>
          <w:i/>
        </w:rPr>
        <w:t>Jeyakannan</w:t>
      </w:r>
      <w:proofErr w:type="spellEnd"/>
      <w:r>
        <w:rPr>
          <w:i/>
        </w:rPr>
        <w:t xml:space="preserve"> </w:t>
      </w:r>
      <w:proofErr w:type="spellStart"/>
      <w:r>
        <w:rPr>
          <w:i/>
        </w:rPr>
        <w:t>Kanthasamy</w:t>
      </w:r>
      <w:proofErr w:type="spellEnd"/>
      <w:r>
        <w:rPr>
          <w:i/>
        </w:rPr>
        <w:t xml:space="preserve"> </w:t>
      </w:r>
      <w:r w:rsidRPr="00A4022B">
        <w:rPr>
          <w:i/>
        </w:rPr>
        <w:t xml:space="preserve">v. </w:t>
      </w:r>
      <w:r>
        <w:rPr>
          <w:i/>
        </w:rPr>
        <w:t>Minister of Citizenship and Immigration</w:t>
      </w:r>
      <w:r>
        <w:t xml:space="preserve"> </w:t>
      </w:r>
      <w:r w:rsidRPr="00B60187">
        <w:rPr>
          <w:lang w:val="en-CA"/>
        </w:rPr>
        <w:t>(</w:t>
      </w:r>
      <w:r>
        <w:rPr>
          <w:lang w:val="en-CA"/>
        </w:rPr>
        <w:t>F</w:t>
      </w:r>
      <w:r w:rsidR="00145B5B">
        <w:rPr>
          <w:lang w:val="en-CA"/>
        </w:rPr>
        <w:t>.</w:t>
      </w:r>
      <w:r>
        <w:rPr>
          <w:lang w:val="en-CA"/>
        </w:rPr>
        <w:t>C</w:t>
      </w:r>
      <w:r w:rsidR="00145B5B">
        <w:rPr>
          <w:lang w:val="en-CA"/>
        </w:rPr>
        <w:t>.</w:t>
      </w:r>
      <w:r w:rsidRPr="00B60187">
        <w:rPr>
          <w:lang w:val="en-CA"/>
        </w:rPr>
        <w:t>)</w:t>
      </w:r>
      <w:r w:rsidR="00340C6D" w:rsidRPr="003508A9">
        <w:t xml:space="preserve"> (</w:t>
      </w:r>
      <w:hyperlink r:id="rId7" w:history="1">
        <w:r w:rsidR="00340C6D" w:rsidRPr="003508A9">
          <w:rPr>
            <w:rStyle w:val="Hyperlink"/>
          </w:rPr>
          <w:t>35</w:t>
        </w:r>
        <w:r>
          <w:rPr>
            <w:rStyle w:val="Hyperlink"/>
          </w:rPr>
          <w:t>990</w:t>
        </w:r>
      </w:hyperlink>
      <w:r w:rsidR="00340C6D" w:rsidRPr="003508A9">
        <w:t>)</w:t>
      </w:r>
    </w:p>
    <w:p w:rsidR="00340C6D" w:rsidRDefault="00340C6D" w:rsidP="00340C6D">
      <w:pPr>
        <w:tabs>
          <w:tab w:val="center" w:pos="4680"/>
        </w:tabs>
        <w:jc w:val="both"/>
      </w:pPr>
    </w:p>
    <w:p w:rsidR="003508A9" w:rsidRPr="003508A9" w:rsidRDefault="003508A9" w:rsidP="00340C6D">
      <w:pPr>
        <w:tabs>
          <w:tab w:val="center" w:pos="4680"/>
        </w:tabs>
        <w:jc w:val="both"/>
        <w:rPr>
          <w:b/>
        </w:rPr>
      </w:pPr>
      <w:r w:rsidRPr="003508A9">
        <w:rPr>
          <w:b/>
        </w:rPr>
        <w:t>11/12/2015</w:t>
      </w:r>
    </w:p>
    <w:p w:rsidR="00340C6D" w:rsidRPr="00C04FDC" w:rsidRDefault="00AB6FF1" w:rsidP="00340C6D">
      <w:pPr>
        <w:tabs>
          <w:tab w:val="center" w:pos="4680"/>
        </w:tabs>
        <w:jc w:val="both"/>
        <w:rPr>
          <w:lang w:val="en-CA"/>
        </w:rPr>
      </w:pPr>
      <w:r>
        <w:rPr>
          <w:i/>
        </w:rPr>
        <w:t xml:space="preserve">M.M. </w:t>
      </w:r>
      <w:r w:rsidRPr="00A4022B">
        <w:rPr>
          <w:i/>
        </w:rPr>
        <w:t xml:space="preserve">v. </w:t>
      </w:r>
      <w:r>
        <w:rPr>
          <w:i/>
        </w:rPr>
        <w:t>Minister of Justice Canada on behalf of the United States of America</w:t>
      </w:r>
      <w:r>
        <w:t xml:space="preserve"> </w:t>
      </w:r>
      <w:r w:rsidRPr="00B60187">
        <w:rPr>
          <w:lang w:val="en-CA"/>
        </w:rPr>
        <w:t>(</w:t>
      </w:r>
      <w:proofErr w:type="gramStart"/>
      <w:r>
        <w:rPr>
          <w:lang w:val="en-CA"/>
        </w:rPr>
        <w:t>Qc</w:t>
      </w:r>
      <w:proofErr w:type="gramEnd"/>
      <w:r w:rsidRPr="00B60187">
        <w:rPr>
          <w:lang w:val="en-CA"/>
        </w:rPr>
        <w:t>)</w:t>
      </w:r>
      <w:r w:rsidRPr="00340C6D">
        <w:t xml:space="preserve"> </w:t>
      </w:r>
      <w:r w:rsidR="00340C6D" w:rsidRPr="00340C6D">
        <w:t>(</w:t>
      </w:r>
      <w:hyperlink r:id="rId8" w:history="1">
        <w:r w:rsidR="00340C6D" w:rsidRPr="00340C6D">
          <w:rPr>
            <w:rStyle w:val="Hyperlink"/>
          </w:rPr>
          <w:t>358</w:t>
        </w:r>
        <w:r>
          <w:rPr>
            <w:rStyle w:val="Hyperlink"/>
          </w:rPr>
          <w:t>38</w:t>
        </w:r>
      </w:hyperlink>
      <w:r w:rsidR="00340C6D" w:rsidRPr="00340C6D">
        <w:t>)</w:t>
      </w:r>
    </w:p>
    <w:p w:rsidR="00340C6D" w:rsidRPr="00C04FDC" w:rsidRDefault="00340C6D" w:rsidP="00340C6D">
      <w:pPr>
        <w:tabs>
          <w:tab w:val="center" w:pos="4680"/>
        </w:tabs>
        <w:jc w:val="both"/>
        <w:rPr>
          <w:i/>
          <w:lang w:val="en-CA"/>
        </w:rPr>
      </w:pPr>
    </w:p>
    <w:p w:rsidR="00072A63" w:rsidRDefault="00072A63" w:rsidP="00340C6D">
      <w:pPr>
        <w:jc w:val="both"/>
        <w:rPr>
          <w:szCs w:val="24"/>
        </w:rPr>
      </w:pPr>
    </w:p>
    <w:bookmarkStart w:id="0" w:name="1"/>
    <w:bookmarkEnd w:id="0"/>
    <w:p w:rsidR="00EA150B" w:rsidRPr="005E7144" w:rsidRDefault="00EA150B" w:rsidP="00EA150B">
      <w:pPr>
        <w:pStyle w:val="NoSpacing"/>
        <w:rPr>
          <w:sz w:val="20"/>
          <w:lang w:val="en-CA"/>
        </w:rPr>
      </w:pPr>
      <w:r w:rsidRPr="005E7144">
        <w:rPr>
          <w:b/>
          <w:sz w:val="20"/>
          <w:lang w:val="en-CA"/>
        </w:rPr>
        <w:fldChar w:fldCharType="begin"/>
      </w:r>
      <w:r w:rsidRPr="005E7144">
        <w:rPr>
          <w:b/>
          <w:sz w:val="20"/>
        </w:rPr>
        <w:instrText xml:space="preserve"> SEQ CHAPTER \h \r 1</w:instrText>
      </w:r>
      <w:r w:rsidRPr="005E7144">
        <w:rPr>
          <w:b/>
          <w:sz w:val="20"/>
        </w:rPr>
        <w:fldChar w:fldCharType="end"/>
      </w:r>
      <w:r w:rsidRPr="005E7144">
        <w:rPr>
          <w:b/>
          <w:sz w:val="20"/>
          <w:lang w:val="en-CA"/>
        </w:rPr>
        <w:t>35990</w:t>
      </w:r>
      <w:r w:rsidRPr="005E7144">
        <w:rPr>
          <w:sz w:val="20"/>
          <w:lang w:val="en-CA"/>
        </w:rPr>
        <w:tab/>
      </w:r>
      <w:bookmarkStart w:id="1" w:name="3"/>
      <w:bookmarkEnd w:id="1"/>
      <w:proofErr w:type="spellStart"/>
      <w:r w:rsidRPr="005E7144">
        <w:rPr>
          <w:b/>
          <w:i/>
          <w:sz w:val="20"/>
        </w:rPr>
        <w:t>Jeyakannan</w:t>
      </w:r>
      <w:proofErr w:type="spellEnd"/>
      <w:r w:rsidRPr="005E7144">
        <w:rPr>
          <w:b/>
          <w:i/>
          <w:sz w:val="20"/>
          <w:lang w:val="en-CA"/>
        </w:rPr>
        <w:t xml:space="preserve"> </w:t>
      </w:r>
      <w:proofErr w:type="spellStart"/>
      <w:r w:rsidRPr="005E7144">
        <w:rPr>
          <w:b/>
          <w:i/>
          <w:sz w:val="20"/>
          <w:lang w:val="en-CA"/>
        </w:rPr>
        <w:t>Kanthasamy</w:t>
      </w:r>
      <w:proofErr w:type="spellEnd"/>
      <w:r w:rsidRPr="005E7144">
        <w:rPr>
          <w:b/>
          <w:i/>
          <w:sz w:val="20"/>
          <w:lang w:val="en-CA"/>
        </w:rPr>
        <w:t xml:space="preserve"> v. Minister of Citizenship and Immigration Canada</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rPr>
      </w:pPr>
      <w:bookmarkStart w:id="2" w:name="QuickMark_1"/>
      <w:bookmarkEnd w:id="2"/>
      <w:r w:rsidRPr="005E7144">
        <w:rPr>
          <w:sz w:val="20"/>
        </w:rPr>
        <w:t>Immigration - Permanent residents - Humanitarian and compassionate considerations - Application by a person denied refugee protection in Canada to be allowed to apply for permanent resident status from within Canada - Application dismissed on the basis that the appellant had not demonstrated that he would be</w:t>
      </w:r>
      <w:r w:rsidRPr="005E7144">
        <w:rPr>
          <w:i/>
          <w:sz w:val="20"/>
        </w:rPr>
        <w:t xml:space="preserve"> </w:t>
      </w:r>
      <w:r w:rsidRPr="005E7144">
        <w:rPr>
          <w:sz w:val="20"/>
        </w:rPr>
        <w:t xml:space="preserve">personally and directly affected by unusual and undeserved, or disproportionate hardship if required to return to his country of origin to apply for permanent residence - What is the proper interpretation of the requirements of ss. 25(1) and (1.3) of the </w:t>
      </w:r>
      <w:r w:rsidRPr="005E7144">
        <w:rPr>
          <w:i/>
          <w:sz w:val="20"/>
        </w:rPr>
        <w:t>Immigration and Refugee Protection Act</w:t>
      </w:r>
      <w:r w:rsidRPr="005E7144">
        <w:rPr>
          <w:sz w:val="20"/>
        </w:rPr>
        <w:t>, S.C. 2001, c. 27?</w:t>
      </w:r>
    </w:p>
    <w:p w:rsidR="00EA150B" w:rsidRPr="005E7144" w:rsidRDefault="00EA150B" w:rsidP="00EA150B">
      <w:pPr>
        <w:widowControl w:val="0"/>
        <w:jc w:val="both"/>
        <w:rPr>
          <w:sz w:val="20"/>
        </w:rPr>
      </w:pPr>
    </w:p>
    <w:p w:rsidR="00EA150B" w:rsidRPr="005E7144" w:rsidRDefault="00EA150B" w:rsidP="00EA150B">
      <w:pPr>
        <w:jc w:val="both"/>
        <w:rPr>
          <w:sz w:val="20"/>
        </w:rPr>
      </w:pPr>
      <w:r w:rsidRPr="005E7144">
        <w:rPr>
          <w:sz w:val="20"/>
        </w:rPr>
        <w:t xml:space="preserve">The appellant is a 21-year old Tamil from the northern region of Sri Lanka. He arrived in Canada in 2010, when he was 17 years old, and sought </w:t>
      </w:r>
      <w:proofErr w:type="spellStart"/>
      <w:r w:rsidRPr="005E7144">
        <w:rPr>
          <w:sz w:val="20"/>
        </w:rPr>
        <w:t>refugee</w:t>
      </w:r>
      <w:proofErr w:type="spellEnd"/>
      <w:r w:rsidRPr="005E7144">
        <w:rPr>
          <w:sz w:val="20"/>
        </w:rPr>
        <w:t xml:space="preserve"> protection under s. 96 and s. 97 of the </w:t>
      </w:r>
      <w:r w:rsidRPr="005E7144">
        <w:rPr>
          <w:i/>
          <w:sz w:val="20"/>
        </w:rPr>
        <w:t>IRPA</w:t>
      </w:r>
      <w:r w:rsidRPr="005E7144">
        <w:rPr>
          <w:sz w:val="20"/>
        </w:rPr>
        <w:t xml:space="preserve">. The Immigration and Refugee Board refused his application. The appellant then applied for a Pre-Removal Risk Assessment, claiming risk based on his past experiences, his profile and worsening conditions for Tamils in Sri Lanka. The application was refused. </w:t>
      </w:r>
    </w:p>
    <w:p w:rsidR="00EA150B" w:rsidRPr="005E7144" w:rsidRDefault="00EA150B" w:rsidP="00EA150B">
      <w:pPr>
        <w:jc w:val="both"/>
        <w:rPr>
          <w:sz w:val="20"/>
        </w:rPr>
      </w:pPr>
    </w:p>
    <w:p w:rsidR="00EA150B" w:rsidRPr="005E7144" w:rsidRDefault="00EA150B" w:rsidP="00EA150B">
      <w:pPr>
        <w:jc w:val="both"/>
        <w:rPr>
          <w:sz w:val="20"/>
        </w:rPr>
      </w:pPr>
      <w:r w:rsidRPr="005E7144">
        <w:rPr>
          <w:sz w:val="20"/>
        </w:rPr>
        <w:t xml:space="preserve">The appellant also applied to the Minister under s. 25(1) of the </w:t>
      </w:r>
      <w:r w:rsidRPr="005E7144">
        <w:rPr>
          <w:i/>
          <w:sz w:val="20"/>
        </w:rPr>
        <w:t>IRPA</w:t>
      </w:r>
      <w:r w:rsidRPr="005E7144">
        <w:rPr>
          <w:sz w:val="20"/>
        </w:rPr>
        <w:t xml:space="preserve"> to be allowed to apply for permanent resident status from within Canada. Under that provision, the Minister may grant this relief if he is of the opinion that the exemption is “justified by humanitarian and compassionate considerations relating to the foreign national, taking into account the best interests of a child directly affected.” Subsection 25(1.3), which came into force in 2012, provides that in making such a decision, the Minister may not consider the same factors that are taken into account in </w:t>
      </w:r>
      <w:r w:rsidRPr="005E7144">
        <w:rPr>
          <w:sz w:val="20"/>
        </w:rPr>
        <w:lastRenderedPageBreak/>
        <w:t xml:space="preserve">determining whether a foreign national is a Convention refugee (s. 96) or a person in need of protection (s. 97). Rather, he must consider “elements related to the hardships that affect the foreign national.” </w:t>
      </w:r>
    </w:p>
    <w:p w:rsidR="00EA150B" w:rsidRPr="005E7144" w:rsidRDefault="00EA150B" w:rsidP="00EA150B">
      <w:pPr>
        <w:jc w:val="both"/>
        <w:rPr>
          <w:sz w:val="20"/>
        </w:rPr>
      </w:pPr>
    </w:p>
    <w:p w:rsidR="00EA150B" w:rsidRPr="005E7144" w:rsidRDefault="00EA150B" w:rsidP="00EA150B">
      <w:pPr>
        <w:rPr>
          <w:sz w:val="20"/>
        </w:rPr>
      </w:pPr>
      <w:r w:rsidRPr="005E7144">
        <w:rPr>
          <w:sz w:val="20"/>
        </w:rPr>
        <w:t>The appellant’s application was based on the fact that (1) he had established himself in Canada since arriving as a teenager, attending high school and working part-time for his uncle; (2) he was integrating into his uncle’s family and making close friends; (3) he wanted to pursue art and computer graphics after high school; (4) he suffered from moderate to severe PTSD and an adjustment disorder with mixed anxiety and depression; (5) his condition would deteriorate if he were deported to Sri Lanka; and (6) he feared returning there, as conditions had deteriorated and young northern Tamils, like himself, faced ongoing harassment and discrimination. The application was refused.</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Origin of the case:</w:t>
      </w:r>
      <w:r w:rsidRPr="005E7144">
        <w:rPr>
          <w:sz w:val="20"/>
          <w:lang w:val="en-CA"/>
        </w:rPr>
        <w:tab/>
      </w:r>
      <w:r w:rsidRPr="005E7144">
        <w:rPr>
          <w:sz w:val="20"/>
          <w:lang w:val="en-CA"/>
        </w:rPr>
        <w:tab/>
      </w:r>
      <w:r w:rsidRPr="005E7144">
        <w:rPr>
          <w:sz w:val="20"/>
          <w:lang w:val="en-CA"/>
        </w:rPr>
        <w:tab/>
      </w:r>
      <w:bookmarkStart w:id="3" w:name="4"/>
      <w:bookmarkEnd w:id="3"/>
      <w:r w:rsidR="005E7144">
        <w:rPr>
          <w:sz w:val="20"/>
          <w:lang w:val="en-CA"/>
        </w:rPr>
        <w:tab/>
      </w:r>
      <w:r w:rsidRPr="005E7144">
        <w:rPr>
          <w:sz w:val="20"/>
          <w:lang w:val="en-CA"/>
        </w:rPr>
        <w:t>Federal Court of Appeal</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File No.:</w:t>
      </w:r>
      <w:r w:rsidRPr="005E7144">
        <w:rPr>
          <w:sz w:val="20"/>
          <w:lang w:val="en-CA"/>
        </w:rPr>
        <w:tab/>
      </w:r>
      <w:r w:rsidRPr="005E7144">
        <w:rPr>
          <w:sz w:val="20"/>
          <w:lang w:val="en-CA"/>
        </w:rPr>
        <w:tab/>
      </w:r>
      <w:r w:rsidRPr="005E7144">
        <w:rPr>
          <w:sz w:val="20"/>
          <w:lang w:val="en-CA"/>
        </w:rPr>
        <w:tab/>
      </w:r>
      <w:r w:rsidRPr="005E7144">
        <w:rPr>
          <w:sz w:val="20"/>
          <w:lang w:val="en-CA"/>
        </w:rPr>
        <w:tab/>
      </w:r>
      <w:bookmarkStart w:id="4" w:name="2"/>
      <w:bookmarkEnd w:id="4"/>
      <w:r w:rsidR="005E7144">
        <w:rPr>
          <w:sz w:val="20"/>
          <w:lang w:val="en-CA"/>
        </w:rPr>
        <w:tab/>
      </w:r>
      <w:r w:rsidR="005E7144">
        <w:rPr>
          <w:sz w:val="20"/>
          <w:lang w:val="en-CA"/>
        </w:rPr>
        <w:tab/>
      </w:r>
      <w:r w:rsidR="005E7144">
        <w:rPr>
          <w:sz w:val="20"/>
          <w:lang w:val="en-CA"/>
        </w:rPr>
        <w:tab/>
      </w:r>
      <w:r w:rsidRPr="005E7144">
        <w:rPr>
          <w:sz w:val="20"/>
          <w:lang w:val="en-CA"/>
        </w:rPr>
        <w:t>35990</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Judgment of the Court of Appeal:</w:t>
      </w:r>
      <w:r w:rsidRPr="005E7144">
        <w:rPr>
          <w:sz w:val="20"/>
          <w:lang w:val="en-CA"/>
        </w:rPr>
        <w:tab/>
      </w:r>
      <w:bookmarkStart w:id="5" w:name="5"/>
      <w:bookmarkEnd w:id="5"/>
      <w:r w:rsidRPr="005E7144">
        <w:rPr>
          <w:sz w:val="20"/>
          <w:lang w:val="en-CA"/>
        </w:rPr>
        <w:t>May 2, 2014</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Counsel:</w:t>
      </w:r>
      <w:r w:rsidRPr="005E7144">
        <w:rPr>
          <w:sz w:val="20"/>
          <w:lang w:val="en-CA"/>
        </w:rPr>
        <w:tab/>
      </w:r>
      <w:r w:rsidRPr="005E7144">
        <w:rPr>
          <w:sz w:val="20"/>
          <w:lang w:val="en-CA"/>
        </w:rPr>
        <w:tab/>
      </w:r>
      <w:r w:rsidRPr="005E7144">
        <w:rPr>
          <w:sz w:val="20"/>
          <w:lang w:val="en-CA"/>
        </w:rPr>
        <w:tab/>
      </w:r>
      <w:r w:rsidRPr="005E7144">
        <w:rPr>
          <w:sz w:val="20"/>
          <w:lang w:val="en-CA"/>
        </w:rPr>
        <w:tab/>
      </w:r>
      <w:bookmarkStart w:id="6" w:name="6"/>
      <w:bookmarkEnd w:id="6"/>
      <w:r w:rsidR="005E7144">
        <w:rPr>
          <w:sz w:val="20"/>
          <w:lang w:val="en-CA"/>
        </w:rPr>
        <w:tab/>
      </w:r>
      <w:r w:rsidR="005E7144">
        <w:rPr>
          <w:sz w:val="20"/>
          <w:lang w:val="en-CA"/>
        </w:rPr>
        <w:tab/>
      </w:r>
      <w:r w:rsidR="005E7144">
        <w:rPr>
          <w:sz w:val="20"/>
          <w:lang w:val="en-CA"/>
        </w:rPr>
        <w:tab/>
      </w:r>
      <w:r w:rsidRPr="005E7144">
        <w:rPr>
          <w:sz w:val="20"/>
          <w:lang w:val="en-CA"/>
        </w:rPr>
        <w:t>Barbara Jackman for the Appellant</w:t>
      </w:r>
    </w:p>
    <w:p w:rsidR="00EA150B" w:rsidRPr="005E7144" w:rsidRDefault="00EA150B" w:rsidP="00EA150B">
      <w:pPr>
        <w:widowControl w:val="0"/>
        <w:jc w:val="both"/>
        <w:rPr>
          <w:sz w:val="20"/>
          <w:lang w:val="fr-CA"/>
        </w:rPr>
      </w:pPr>
      <w:r w:rsidRPr="005E7144">
        <w:rPr>
          <w:sz w:val="20"/>
          <w:lang w:val="en-CA"/>
        </w:rPr>
        <w:tab/>
      </w:r>
      <w:r w:rsidRPr="005E7144">
        <w:rPr>
          <w:sz w:val="20"/>
          <w:lang w:val="en-CA"/>
        </w:rPr>
        <w:tab/>
      </w:r>
      <w:r w:rsidRPr="005E7144">
        <w:rPr>
          <w:sz w:val="20"/>
          <w:lang w:val="en-CA"/>
        </w:rPr>
        <w:tab/>
      </w:r>
      <w:r w:rsidRPr="005E7144">
        <w:rPr>
          <w:sz w:val="20"/>
          <w:lang w:val="en-CA"/>
        </w:rPr>
        <w:tab/>
      </w:r>
      <w:r w:rsidRPr="005E7144">
        <w:rPr>
          <w:sz w:val="20"/>
          <w:lang w:val="en-CA"/>
        </w:rPr>
        <w:tab/>
      </w:r>
      <w:bookmarkStart w:id="7" w:name="7"/>
      <w:bookmarkEnd w:id="7"/>
      <w:r w:rsidR="005E7144">
        <w:rPr>
          <w:sz w:val="20"/>
          <w:lang w:val="en-CA"/>
        </w:rPr>
        <w:tab/>
      </w:r>
      <w:r w:rsidR="005E7144">
        <w:rPr>
          <w:sz w:val="20"/>
          <w:lang w:val="en-CA"/>
        </w:rPr>
        <w:tab/>
      </w:r>
      <w:r w:rsidR="005E7144">
        <w:rPr>
          <w:sz w:val="20"/>
          <w:lang w:val="en-CA"/>
        </w:rPr>
        <w:tab/>
      </w:r>
      <w:r w:rsidRPr="005E7144">
        <w:rPr>
          <w:sz w:val="20"/>
          <w:lang w:val="fr-CA"/>
        </w:rPr>
        <w:t xml:space="preserve">William F. </w:t>
      </w:r>
      <w:proofErr w:type="spellStart"/>
      <w:r w:rsidRPr="005E7144">
        <w:rPr>
          <w:sz w:val="20"/>
          <w:lang w:val="fr-CA"/>
        </w:rPr>
        <w:t>Pentney</w:t>
      </w:r>
      <w:proofErr w:type="spellEnd"/>
      <w:r w:rsidRPr="005E7144">
        <w:rPr>
          <w:sz w:val="20"/>
          <w:lang w:val="fr-CA"/>
        </w:rPr>
        <w:t xml:space="preserve"> for the </w:t>
      </w:r>
      <w:proofErr w:type="spellStart"/>
      <w:r w:rsidRPr="005E7144">
        <w:rPr>
          <w:sz w:val="20"/>
          <w:lang w:val="fr-CA"/>
        </w:rPr>
        <w:t>Respondent</w:t>
      </w:r>
      <w:proofErr w:type="spellEnd"/>
    </w:p>
    <w:p w:rsidR="00761782" w:rsidRPr="005E7144" w:rsidRDefault="00761782" w:rsidP="00340C6D">
      <w:pPr>
        <w:jc w:val="both"/>
        <w:rPr>
          <w:sz w:val="20"/>
          <w:lang w:val="fr-CA"/>
        </w:rPr>
      </w:pPr>
    </w:p>
    <w:p w:rsidR="00EA150B" w:rsidRPr="005E7144" w:rsidRDefault="00EA150B" w:rsidP="00340C6D">
      <w:pPr>
        <w:jc w:val="both"/>
        <w:rPr>
          <w:sz w:val="20"/>
          <w:lang w:val="fr-CA"/>
        </w:rPr>
      </w:pPr>
    </w:p>
    <w:p w:rsidR="00EA150B" w:rsidRPr="005E7144" w:rsidRDefault="00EA150B" w:rsidP="00EA150B">
      <w:pPr>
        <w:pStyle w:val="NoSpacing"/>
        <w:rPr>
          <w:b/>
          <w:i/>
          <w:sz w:val="20"/>
          <w:lang w:val="fr-CA"/>
        </w:rPr>
      </w:pPr>
      <w:r w:rsidRPr="005E7144">
        <w:rPr>
          <w:b/>
          <w:i/>
          <w:sz w:val="20"/>
          <w:lang w:val="fr-CA"/>
        </w:rPr>
        <w:fldChar w:fldCharType="begin"/>
      </w:r>
      <w:r w:rsidRPr="005E7144">
        <w:rPr>
          <w:b/>
          <w:i/>
          <w:sz w:val="20"/>
          <w:lang w:val="fr-CA"/>
        </w:rPr>
        <w:instrText xml:space="preserve"> SEQ CHAPTER \h \r 1</w:instrText>
      </w:r>
      <w:r w:rsidRPr="005E7144">
        <w:rPr>
          <w:b/>
          <w:i/>
          <w:sz w:val="20"/>
          <w:lang w:val="fr-CA"/>
        </w:rPr>
        <w:fldChar w:fldCharType="end"/>
      </w:r>
      <w:r w:rsidRPr="005E7144">
        <w:rPr>
          <w:b/>
          <w:i/>
          <w:sz w:val="20"/>
          <w:lang w:val="fr-CA"/>
        </w:rPr>
        <w:t>35990</w:t>
      </w:r>
      <w:r w:rsidRPr="005E7144">
        <w:rPr>
          <w:b/>
          <w:i/>
          <w:sz w:val="20"/>
          <w:lang w:val="fr-CA"/>
        </w:rPr>
        <w:tab/>
      </w:r>
      <w:proofErr w:type="spellStart"/>
      <w:r w:rsidRPr="005E7144">
        <w:rPr>
          <w:b/>
          <w:i/>
          <w:sz w:val="20"/>
          <w:lang w:val="fr-CA"/>
        </w:rPr>
        <w:t>Jeyakannan</w:t>
      </w:r>
      <w:proofErr w:type="spellEnd"/>
      <w:r w:rsidRPr="005E7144">
        <w:rPr>
          <w:b/>
          <w:i/>
          <w:sz w:val="20"/>
          <w:lang w:val="fr-CA"/>
        </w:rPr>
        <w:t xml:space="preserve"> </w:t>
      </w:r>
      <w:proofErr w:type="spellStart"/>
      <w:r w:rsidRPr="005E7144">
        <w:rPr>
          <w:b/>
          <w:i/>
          <w:sz w:val="20"/>
          <w:lang w:val="fr-CA"/>
        </w:rPr>
        <w:t>Kanthasamy</w:t>
      </w:r>
      <w:proofErr w:type="spellEnd"/>
      <w:r w:rsidRPr="005E7144">
        <w:rPr>
          <w:b/>
          <w:i/>
          <w:sz w:val="20"/>
          <w:lang w:val="fr-CA"/>
        </w:rPr>
        <w:t xml:space="preserve"> c. Ministre de la Citoyenneté et de l’Immigration Canada</w:t>
      </w:r>
    </w:p>
    <w:p w:rsidR="00EA150B" w:rsidRPr="005E7144" w:rsidRDefault="00EA150B" w:rsidP="00EA150B">
      <w:pPr>
        <w:widowControl w:val="0"/>
        <w:jc w:val="both"/>
        <w:rPr>
          <w:sz w:val="20"/>
          <w:lang w:val="fr-CA"/>
        </w:rPr>
      </w:pPr>
    </w:p>
    <w:p w:rsidR="00EA150B" w:rsidRPr="005E7144" w:rsidRDefault="00EA150B" w:rsidP="00EA150B">
      <w:pPr>
        <w:widowControl w:val="0"/>
        <w:jc w:val="both"/>
        <w:rPr>
          <w:sz w:val="20"/>
          <w:lang w:val="fr-CA"/>
        </w:rPr>
      </w:pPr>
      <w:r w:rsidRPr="005E7144">
        <w:rPr>
          <w:sz w:val="20"/>
          <w:lang w:val="fr-CA"/>
        </w:rPr>
        <w:t xml:space="preserve">Immigration - Résidents permanents - Considérations d’ordre humanitaire - Demande d’une personne qui s’est vu refuser l’asile au Canada en autorisation de présenter une demande de résidence permanente depuis le Canada - Demande rejetée au motif que l’appelant n’avait pas démontré qu’il serait personnellement et directement touché par des difficultés inhabituelles et injustifiées ou excessives s’il était obligé de retourner dans son pays d’origine pour présenter sa demande de résidence permanente - Comment faut-il interpréter les exigences des </w:t>
      </w:r>
      <w:proofErr w:type="spellStart"/>
      <w:r w:rsidRPr="005E7144">
        <w:rPr>
          <w:sz w:val="20"/>
          <w:lang w:val="fr-CA"/>
        </w:rPr>
        <w:t>par</w:t>
      </w:r>
      <w:proofErr w:type="spellEnd"/>
      <w:r w:rsidRPr="005E7144">
        <w:rPr>
          <w:sz w:val="20"/>
          <w:lang w:val="fr-CA"/>
        </w:rPr>
        <w:t xml:space="preserve">. 25(1) et (1.3) de la </w:t>
      </w:r>
      <w:r w:rsidRPr="005E7144">
        <w:rPr>
          <w:i/>
          <w:sz w:val="20"/>
          <w:lang w:val="fr-CA"/>
        </w:rPr>
        <w:t>Loi sur l’immigration et la protection des réfugiés</w:t>
      </w:r>
      <w:r w:rsidRPr="005E7144">
        <w:rPr>
          <w:sz w:val="20"/>
          <w:lang w:val="fr-CA"/>
        </w:rPr>
        <w:t>, L.C. 2001, ch. 27?</w:t>
      </w:r>
    </w:p>
    <w:p w:rsidR="00EA150B" w:rsidRPr="005E7144" w:rsidRDefault="00EA150B" w:rsidP="00EA150B">
      <w:pPr>
        <w:widowControl w:val="0"/>
        <w:jc w:val="both"/>
        <w:rPr>
          <w:sz w:val="20"/>
          <w:lang w:val="fr-CA"/>
        </w:rPr>
      </w:pPr>
    </w:p>
    <w:p w:rsidR="00EA150B" w:rsidRPr="005E7144" w:rsidRDefault="00EA150B" w:rsidP="00EA150B">
      <w:pPr>
        <w:jc w:val="both"/>
        <w:rPr>
          <w:sz w:val="20"/>
          <w:lang w:val="fr-CA"/>
        </w:rPr>
      </w:pPr>
      <w:r w:rsidRPr="005E7144">
        <w:rPr>
          <w:sz w:val="20"/>
          <w:lang w:val="fr-CA"/>
        </w:rPr>
        <w:t xml:space="preserve">L’appelant, âgé de 21 ans, est un Tamoul originaire du nord du Sri Lanka. Il est arrivé au Canada en 2010, à l’âge de 17 ans, et il a demandé l’asile en application </w:t>
      </w:r>
      <w:proofErr w:type="gramStart"/>
      <w:r w:rsidRPr="005E7144">
        <w:rPr>
          <w:sz w:val="20"/>
          <w:lang w:val="fr-CA"/>
        </w:rPr>
        <w:t>des art</w:t>
      </w:r>
      <w:proofErr w:type="gramEnd"/>
      <w:r w:rsidRPr="005E7144">
        <w:rPr>
          <w:sz w:val="20"/>
          <w:lang w:val="fr-CA"/>
        </w:rPr>
        <w:t xml:space="preserve">. 96 et 97 de la </w:t>
      </w:r>
      <w:r w:rsidRPr="005E7144">
        <w:rPr>
          <w:i/>
          <w:sz w:val="20"/>
          <w:lang w:val="fr-CA"/>
        </w:rPr>
        <w:t>LIPR</w:t>
      </w:r>
      <w:r w:rsidRPr="005E7144">
        <w:rPr>
          <w:sz w:val="20"/>
          <w:lang w:val="fr-CA"/>
        </w:rPr>
        <w:t xml:space="preserve">. La Commission de l’immigration et du statut de réfugié (« la Commission ») a rejeté sa demande. L’appelant a ensuite présenté une demande d’examen des risques avant renvoi, alléguant un risque fondé sur ses expériences, son profil et les conditions qui se détérioraient pour les Tamouls au Sri Lanka. La demande a été rejetée. </w:t>
      </w:r>
    </w:p>
    <w:p w:rsidR="00EA150B" w:rsidRPr="005E7144" w:rsidRDefault="00EA150B" w:rsidP="00EA150B">
      <w:pPr>
        <w:jc w:val="both"/>
        <w:rPr>
          <w:sz w:val="20"/>
          <w:lang w:val="fr-CA"/>
        </w:rPr>
      </w:pPr>
    </w:p>
    <w:p w:rsidR="00EA150B" w:rsidRPr="005E7144" w:rsidRDefault="00EA150B" w:rsidP="00EA150B">
      <w:pPr>
        <w:jc w:val="both"/>
        <w:rPr>
          <w:sz w:val="20"/>
          <w:lang w:val="fr-CA"/>
        </w:rPr>
      </w:pPr>
      <w:r w:rsidRPr="005E7144">
        <w:rPr>
          <w:sz w:val="20"/>
          <w:lang w:val="fr-CA"/>
        </w:rPr>
        <w:t xml:space="preserve">L’appelant a également présenté une demande au ministre en application du par. 25(1) de la </w:t>
      </w:r>
      <w:r w:rsidRPr="005E7144">
        <w:rPr>
          <w:i/>
          <w:sz w:val="20"/>
          <w:lang w:val="fr-CA"/>
        </w:rPr>
        <w:t>LIPR</w:t>
      </w:r>
      <w:r w:rsidRPr="005E7144">
        <w:rPr>
          <w:sz w:val="20"/>
          <w:lang w:val="fr-CA"/>
        </w:rPr>
        <w:t xml:space="preserve"> en vue d’être autorisé à présenter une demande de résidence permanente depuis le Canada. En vertu de cette disposition, le ministre peut faire droit à cette demande « s’il estime que des considérations d’ordre humanitaire relatives à l’étranger le justifient, compte tenu de l’intérêt supérieur de l’enfant directement touché ». Le paragraphe 25(1.3), qui est entré en vigueur en 2012, prévoit qu’en prenant cette décision, le ministre ne tient compte d’aucun des facteurs servant à établir la qualité de réfugié au sens de la Convention (art. 96) ou de personne à protéger (art. 97); il tient compte, toutefois, des « difficultés auxquelles l’étranger fait face ». </w:t>
      </w:r>
    </w:p>
    <w:p w:rsidR="00EA150B" w:rsidRPr="005E7144" w:rsidRDefault="00EA150B" w:rsidP="00EA150B">
      <w:pPr>
        <w:jc w:val="both"/>
        <w:rPr>
          <w:sz w:val="20"/>
          <w:lang w:val="fr-CA"/>
        </w:rPr>
      </w:pPr>
    </w:p>
    <w:p w:rsidR="00EA150B" w:rsidRPr="005E7144" w:rsidRDefault="00EA150B" w:rsidP="00EA150B">
      <w:pPr>
        <w:rPr>
          <w:sz w:val="20"/>
          <w:lang w:val="fr-CA"/>
        </w:rPr>
      </w:pPr>
      <w:r w:rsidRPr="005E7144">
        <w:rPr>
          <w:sz w:val="20"/>
          <w:lang w:val="fr-CA"/>
        </w:rPr>
        <w:t>La demande de l’appelant était fondée sur les faits suivants : (1) il s’est établi au Canada à son arrivée au pays à l’adolescence, fréquentant l’école secondaire et travaillant à temps partiel pour son oncle; (2) il était en train de s’intégrer dans la famille de son oncle et était en train de se faire de bons amis; (3) il voulait se lancer dans les arts et l’infographie après son secondaire; (4) il souffrait d’un ÉSPT modéré à sévère et d’un trouble d’adaptation avec anxiété et dépression mixtes; (5) son état se détériorerait s’il était expulsé vers le Sri Lanka; (6) il craignait y retourner, puisque les conditions s’étaient détériorées et les jeunes Tamouls du nord comme lui faisaient l’objet de harcèlement et de discrimination continus. La demande a été rejetée.</w:t>
      </w:r>
    </w:p>
    <w:p w:rsidR="00EA150B" w:rsidRPr="005E7144" w:rsidRDefault="00EA150B" w:rsidP="00EA150B">
      <w:pPr>
        <w:widowControl w:val="0"/>
        <w:jc w:val="both"/>
        <w:rPr>
          <w:sz w:val="20"/>
          <w:lang w:val="fr-CA"/>
        </w:rPr>
      </w:pPr>
    </w:p>
    <w:p w:rsidR="00EA150B" w:rsidRPr="005E7144" w:rsidRDefault="00EA150B" w:rsidP="00EA150B">
      <w:pPr>
        <w:widowControl w:val="0"/>
        <w:jc w:val="both"/>
        <w:rPr>
          <w:sz w:val="20"/>
          <w:lang w:val="fr-CA"/>
        </w:rPr>
      </w:pPr>
    </w:p>
    <w:p w:rsidR="00EA150B" w:rsidRPr="005E7144" w:rsidRDefault="00EA150B" w:rsidP="00EA150B">
      <w:pPr>
        <w:widowControl w:val="0"/>
        <w:jc w:val="both"/>
        <w:rPr>
          <w:sz w:val="20"/>
          <w:lang w:val="fr-CA"/>
        </w:rPr>
      </w:pPr>
      <w:r w:rsidRPr="005E7144">
        <w:rPr>
          <w:sz w:val="20"/>
          <w:lang w:val="fr-CA"/>
        </w:rPr>
        <w:t>Origine :</w:t>
      </w:r>
      <w:r w:rsidRPr="005E7144">
        <w:rPr>
          <w:sz w:val="20"/>
          <w:lang w:val="fr-CA"/>
        </w:rPr>
        <w:tab/>
      </w:r>
      <w:r w:rsidRPr="005E7144">
        <w:rPr>
          <w:sz w:val="20"/>
          <w:lang w:val="fr-CA"/>
        </w:rPr>
        <w:tab/>
      </w:r>
      <w:r w:rsidRPr="005E7144">
        <w:rPr>
          <w:sz w:val="20"/>
          <w:lang w:val="fr-CA"/>
        </w:rPr>
        <w:tab/>
      </w:r>
      <w:r w:rsidRPr="005E7144">
        <w:rPr>
          <w:sz w:val="20"/>
          <w:lang w:val="fr-CA"/>
        </w:rPr>
        <w:tab/>
      </w:r>
      <w:r w:rsidR="005E7144">
        <w:rPr>
          <w:sz w:val="20"/>
          <w:lang w:val="fr-CA"/>
        </w:rPr>
        <w:tab/>
      </w:r>
      <w:r w:rsidR="005E7144">
        <w:rPr>
          <w:sz w:val="20"/>
          <w:lang w:val="fr-CA"/>
        </w:rPr>
        <w:tab/>
      </w:r>
      <w:r w:rsidRPr="005E7144">
        <w:rPr>
          <w:sz w:val="20"/>
          <w:lang w:val="fr-CA"/>
        </w:rPr>
        <w:t>Cour d’appel fédérale</w:t>
      </w:r>
    </w:p>
    <w:p w:rsidR="00EA150B" w:rsidRPr="005E7144" w:rsidRDefault="00EA150B" w:rsidP="00EA150B">
      <w:pPr>
        <w:widowControl w:val="0"/>
        <w:jc w:val="both"/>
        <w:rPr>
          <w:sz w:val="20"/>
          <w:lang w:val="fr-CA"/>
        </w:rPr>
      </w:pPr>
    </w:p>
    <w:p w:rsidR="00EA150B" w:rsidRPr="005E7144" w:rsidRDefault="00EA150B" w:rsidP="00EA150B">
      <w:pPr>
        <w:widowControl w:val="0"/>
        <w:jc w:val="both"/>
        <w:rPr>
          <w:sz w:val="20"/>
          <w:lang w:val="fr-CA"/>
        </w:rPr>
      </w:pPr>
      <w:r w:rsidRPr="005E7144">
        <w:rPr>
          <w:sz w:val="20"/>
          <w:lang w:val="fr-CA"/>
        </w:rPr>
        <w:t>N</w:t>
      </w:r>
      <w:r w:rsidRPr="005E7144">
        <w:rPr>
          <w:sz w:val="20"/>
          <w:vertAlign w:val="superscript"/>
          <w:lang w:val="fr-CA"/>
        </w:rPr>
        <w:t>o</w:t>
      </w:r>
      <w:r w:rsidRPr="005E7144">
        <w:rPr>
          <w:sz w:val="20"/>
          <w:lang w:val="fr-CA"/>
        </w:rPr>
        <w:t xml:space="preserve"> du greffe :</w:t>
      </w:r>
      <w:r w:rsidRPr="005E7144">
        <w:rPr>
          <w:sz w:val="20"/>
          <w:lang w:val="fr-CA"/>
        </w:rPr>
        <w:tab/>
      </w:r>
      <w:r w:rsidRPr="005E7144">
        <w:rPr>
          <w:sz w:val="20"/>
          <w:lang w:val="fr-CA"/>
        </w:rPr>
        <w:tab/>
      </w:r>
      <w:r w:rsidRPr="005E7144">
        <w:rPr>
          <w:sz w:val="20"/>
          <w:lang w:val="fr-CA"/>
        </w:rPr>
        <w:tab/>
      </w:r>
      <w:r w:rsidRPr="005E7144">
        <w:rPr>
          <w:sz w:val="20"/>
          <w:lang w:val="fr-CA"/>
        </w:rPr>
        <w:tab/>
        <w:t>35990</w:t>
      </w:r>
    </w:p>
    <w:p w:rsidR="00EA150B" w:rsidRPr="005E7144" w:rsidRDefault="00EA150B" w:rsidP="00EA150B">
      <w:pPr>
        <w:widowControl w:val="0"/>
        <w:jc w:val="both"/>
        <w:rPr>
          <w:sz w:val="20"/>
          <w:lang w:val="fr-CA"/>
        </w:rPr>
      </w:pPr>
    </w:p>
    <w:p w:rsidR="00EA150B" w:rsidRPr="005E7144" w:rsidRDefault="00EA150B" w:rsidP="00EA150B">
      <w:pPr>
        <w:widowControl w:val="0"/>
        <w:jc w:val="both"/>
        <w:rPr>
          <w:sz w:val="20"/>
          <w:lang w:val="fr-CA"/>
        </w:rPr>
      </w:pPr>
      <w:r w:rsidRPr="005E7144">
        <w:rPr>
          <w:sz w:val="20"/>
          <w:lang w:val="fr-CA"/>
        </w:rPr>
        <w:t>Arrêt de la Cour d’appel :</w:t>
      </w:r>
      <w:r w:rsidRPr="005E7144">
        <w:rPr>
          <w:sz w:val="20"/>
          <w:lang w:val="fr-CA"/>
        </w:rPr>
        <w:tab/>
      </w:r>
      <w:r w:rsidRPr="005E7144">
        <w:rPr>
          <w:sz w:val="20"/>
          <w:lang w:val="fr-CA"/>
        </w:rPr>
        <w:tab/>
        <w:t>le 2 mai 2014</w:t>
      </w:r>
    </w:p>
    <w:p w:rsidR="00EA150B" w:rsidRPr="005E7144" w:rsidRDefault="00EA150B" w:rsidP="00EA150B">
      <w:pPr>
        <w:widowControl w:val="0"/>
        <w:jc w:val="both"/>
        <w:rPr>
          <w:sz w:val="20"/>
          <w:lang w:val="fr-CA"/>
        </w:rPr>
      </w:pPr>
    </w:p>
    <w:p w:rsidR="00EA150B" w:rsidRPr="005E7144" w:rsidRDefault="00EA150B" w:rsidP="00EA150B">
      <w:pPr>
        <w:widowControl w:val="0"/>
        <w:jc w:val="both"/>
        <w:rPr>
          <w:sz w:val="20"/>
          <w:lang w:val="fr-CA"/>
        </w:rPr>
      </w:pPr>
      <w:r w:rsidRPr="005E7144">
        <w:rPr>
          <w:sz w:val="20"/>
          <w:lang w:val="fr-CA"/>
        </w:rPr>
        <w:lastRenderedPageBreak/>
        <w:t>Avocats :</w:t>
      </w:r>
      <w:r w:rsidRPr="005E7144">
        <w:rPr>
          <w:sz w:val="20"/>
          <w:lang w:val="fr-CA"/>
        </w:rPr>
        <w:tab/>
      </w:r>
      <w:r w:rsidRPr="005E7144">
        <w:rPr>
          <w:sz w:val="20"/>
          <w:lang w:val="fr-CA"/>
        </w:rPr>
        <w:tab/>
      </w:r>
      <w:r w:rsidRPr="005E7144">
        <w:rPr>
          <w:sz w:val="20"/>
          <w:lang w:val="fr-CA"/>
        </w:rPr>
        <w:tab/>
      </w:r>
      <w:r w:rsidRPr="005E7144">
        <w:rPr>
          <w:sz w:val="20"/>
          <w:lang w:val="fr-CA"/>
        </w:rPr>
        <w:tab/>
      </w:r>
      <w:r w:rsidR="005E7144">
        <w:rPr>
          <w:sz w:val="20"/>
          <w:lang w:val="fr-CA"/>
        </w:rPr>
        <w:tab/>
      </w:r>
      <w:r w:rsidRPr="005E7144">
        <w:rPr>
          <w:sz w:val="20"/>
          <w:lang w:val="fr-CA"/>
        </w:rPr>
        <w:t xml:space="preserve">Barbara </w:t>
      </w:r>
      <w:proofErr w:type="spellStart"/>
      <w:r w:rsidRPr="005E7144">
        <w:rPr>
          <w:sz w:val="20"/>
          <w:lang w:val="fr-CA"/>
        </w:rPr>
        <w:t>Jackman</w:t>
      </w:r>
      <w:proofErr w:type="spellEnd"/>
      <w:r w:rsidRPr="005E7144">
        <w:rPr>
          <w:sz w:val="20"/>
          <w:lang w:val="fr-CA"/>
        </w:rPr>
        <w:t xml:space="preserve"> pour l’appelant</w:t>
      </w:r>
    </w:p>
    <w:p w:rsidR="00EA150B" w:rsidRPr="005E7144" w:rsidRDefault="00EA150B" w:rsidP="00EA150B">
      <w:pPr>
        <w:widowControl w:val="0"/>
        <w:jc w:val="both"/>
        <w:rPr>
          <w:sz w:val="20"/>
        </w:rPr>
      </w:pPr>
      <w:r w:rsidRPr="005E7144">
        <w:rPr>
          <w:sz w:val="20"/>
          <w:lang w:val="fr-CA"/>
        </w:rPr>
        <w:tab/>
      </w:r>
      <w:r w:rsidRPr="005E7144">
        <w:rPr>
          <w:sz w:val="20"/>
          <w:lang w:val="fr-CA"/>
        </w:rPr>
        <w:tab/>
      </w:r>
      <w:r w:rsidRPr="005E7144">
        <w:rPr>
          <w:sz w:val="20"/>
          <w:lang w:val="fr-CA"/>
        </w:rPr>
        <w:tab/>
      </w:r>
      <w:r w:rsidRPr="005E7144">
        <w:rPr>
          <w:sz w:val="20"/>
          <w:lang w:val="fr-CA"/>
        </w:rPr>
        <w:tab/>
      </w:r>
      <w:r w:rsidRPr="005E7144">
        <w:rPr>
          <w:sz w:val="20"/>
          <w:lang w:val="fr-CA"/>
        </w:rPr>
        <w:tab/>
      </w:r>
      <w:r w:rsidR="005E7144">
        <w:rPr>
          <w:sz w:val="20"/>
          <w:lang w:val="fr-CA"/>
        </w:rPr>
        <w:tab/>
      </w:r>
      <w:r w:rsidR="005E7144">
        <w:rPr>
          <w:sz w:val="20"/>
          <w:lang w:val="fr-CA"/>
        </w:rPr>
        <w:tab/>
      </w:r>
      <w:r w:rsidRPr="005E7144">
        <w:rPr>
          <w:sz w:val="20"/>
        </w:rPr>
        <w:t xml:space="preserve">William F. </w:t>
      </w:r>
      <w:proofErr w:type="spellStart"/>
      <w:r w:rsidRPr="005E7144">
        <w:rPr>
          <w:sz w:val="20"/>
        </w:rPr>
        <w:t>Pentney</w:t>
      </w:r>
      <w:proofErr w:type="spellEnd"/>
      <w:r w:rsidRPr="005E7144">
        <w:rPr>
          <w:sz w:val="20"/>
        </w:rPr>
        <w:t xml:space="preserve"> pour </w:t>
      </w:r>
      <w:proofErr w:type="spellStart"/>
      <w:r w:rsidRPr="005E7144">
        <w:rPr>
          <w:sz w:val="20"/>
        </w:rPr>
        <w:t>l’intimé</w:t>
      </w:r>
      <w:proofErr w:type="spellEnd"/>
    </w:p>
    <w:p w:rsidR="00EA150B" w:rsidRPr="005E7144" w:rsidRDefault="00EA150B" w:rsidP="00340C6D">
      <w:pPr>
        <w:jc w:val="both"/>
        <w:rPr>
          <w:sz w:val="20"/>
          <w:lang w:val="en-CA"/>
        </w:rPr>
      </w:pPr>
    </w:p>
    <w:p w:rsidR="00EA150B" w:rsidRPr="005E7144" w:rsidRDefault="00EA150B" w:rsidP="00340C6D">
      <w:pPr>
        <w:jc w:val="both"/>
        <w:rPr>
          <w:sz w:val="20"/>
          <w:lang w:val="en-CA"/>
        </w:rPr>
      </w:pPr>
    </w:p>
    <w:p w:rsidR="00EA150B" w:rsidRPr="005E7144" w:rsidRDefault="00EA150B" w:rsidP="00EA150B">
      <w:pPr>
        <w:widowControl w:val="0"/>
        <w:ind w:left="720" w:hanging="720"/>
        <w:jc w:val="both"/>
        <w:rPr>
          <w:b/>
          <w:i/>
          <w:sz w:val="20"/>
          <w:lang w:val="en-CA"/>
        </w:rPr>
      </w:pPr>
      <w:r w:rsidRPr="005E7144">
        <w:rPr>
          <w:b/>
          <w:sz w:val="20"/>
          <w:lang w:val="en-CA"/>
        </w:rPr>
        <w:t>35838</w:t>
      </w:r>
      <w:r w:rsidRPr="005E7144">
        <w:rPr>
          <w:b/>
          <w:sz w:val="20"/>
          <w:lang w:val="en-CA"/>
        </w:rPr>
        <w:fldChar w:fldCharType="begin"/>
      </w:r>
      <w:r w:rsidRPr="005E7144">
        <w:rPr>
          <w:b/>
          <w:sz w:val="20"/>
        </w:rPr>
        <w:instrText xml:space="preserve"> SEQ CHAPTER \h \r 1</w:instrText>
      </w:r>
      <w:r w:rsidRPr="005E7144">
        <w:rPr>
          <w:b/>
          <w:sz w:val="20"/>
        </w:rPr>
        <w:fldChar w:fldCharType="end"/>
      </w:r>
      <w:r w:rsidRPr="005E7144">
        <w:rPr>
          <w:b/>
          <w:sz w:val="20"/>
          <w:lang w:val="en-CA"/>
        </w:rPr>
        <w:tab/>
      </w:r>
      <w:r w:rsidRPr="005E7144">
        <w:rPr>
          <w:b/>
          <w:i/>
          <w:sz w:val="20"/>
        </w:rPr>
        <w:t xml:space="preserve">M.M. </w:t>
      </w:r>
      <w:r w:rsidRPr="005E7144">
        <w:rPr>
          <w:b/>
          <w:i/>
          <w:sz w:val="20"/>
          <w:lang w:val="en-CA"/>
        </w:rPr>
        <w:t xml:space="preserve">v. </w:t>
      </w:r>
      <w:r w:rsidRPr="005E7144">
        <w:rPr>
          <w:b/>
          <w:i/>
          <w:sz w:val="20"/>
        </w:rPr>
        <w:t>Minister of Justice Canada on behalf of the United States of America</w:t>
      </w:r>
      <w:r w:rsidRPr="005E7144">
        <w:rPr>
          <w:b/>
          <w:i/>
          <w:sz w:val="20"/>
          <w:lang w:val="en-CA"/>
        </w:rPr>
        <w:t xml:space="preserve"> </w:t>
      </w:r>
    </w:p>
    <w:p w:rsidR="00EA150B" w:rsidRPr="005E7144" w:rsidRDefault="00EA150B" w:rsidP="00EA150B">
      <w:pPr>
        <w:widowControl w:val="0"/>
        <w:ind w:left="720" w:hanging="720"/>
        <w:jc w:val="both"/>
        <w:rPr>
          <w:b/>
          <w:sz w:val="20"/>
          <w:lang w:val="en-CA"/>
        </w:rPr>
      </w:pPr>
    </w:p>
    <w:p w:rsidR="00EA150B" w:rsidRPr="005E7144" w:rsidRDefault="00EA150B" w:rsidP="00EA150B">
      <w:pPr>
        <w:pStyle w:val="SCCBanSummary"/>
        <w:rPr>
          <w:sz w:val="20"/>
          <w:szCs w:val="20"/>
        </w:rPr>
      </w:pPr>
      <w:r w:rsidRPr="005E7144">
        <w:rPr>
          <w:sz w:val="20"/>
          <w:szCs w:val="20"/>
        </w:rPr>
        <w:t>(Publication ban in case) (Publication ban on party)</w:t>
      </w:r>
    </w:p>
    <w:p w:rsidR="00EA150B" w:rsidRPr="005E7144" w:rsidRDefault="00EA150B" w:rsidP="00EA150B">
      <w:pPr>
        <w:widowControl w:val="0"/>
        <w:jc w:val="both"/>
        <w:rPr>
          <w:sz w:val="20"/>
          <w:lang w:val="en-CA"/>
        </w:rPr>
      </w:pPr>
    </w:p>
    <w:p w:rsidR="00EA150B" w:rsidRPr="005E7144" w:rsidRDefault="00EA150B" w:rsidP="00EA150B">
      <w:pPr>
        <w:jc w:val="both"/>
        <w:rPr>
          <w:sz w:val="20"/>
        </w:rPr>
      </w:pPr>
      <w:r w:rsidRPr="005E7144">
        <w:rPr>
          <w:sz w:val="20"/>
        </w:rPr>
        <w:t xml:space="preserve">Extradition - Double criminality rule - </w:t>
      </w:r>
      <w:proofErr w:type="spellStart"/>
      <w:r w:rsidRPr="005E7144">
        <w:rPr>
          <w:sz w:val="20"/>
        </w:rPr>
        <w:t>Defence</w:t>
      </w:r>
      <w:proofErr w:type="spellEnd"/>
      <w:r w:rsidRPr="005E7144">
        <w:rPr>
          <w:sz w:val="20"/>
        </w:rPr>
        <w:t xml:space="preserve"> of necessity - </w:t>
      </w:r>
      <w:proofErr w:type="spellStart"/>
      <w:r w:rsidRPr="005E7144">
        <w:rPr>
          <w:sz w:val="20"/>
        </w:rPr>
        <w:t>Defence</w:t>
      </w:r>
      <w:proofErr w:type="spellEnd"/>
      <w:r w:rsidRPr="005E7144">
        <w:rPr>
          <w:sz w:val="20"/>
        </w:rPr>
        <w:t xml:space="preserve"> recognized in </w:t>
      </w:r>
      <w:r w:rsidRPr="005E7144">
        <w:rPr>
          <w:i/>
          <w:sz w:val="20"/>
        </w:rPr>
        <w:t>Criminal Code</w:t>
      </w:r>
      <w:r w:rsidRPr="005E7144">
        <w:rPr>
          <w:sz w:val="20"/>
        </w:rPr>
        <w:t xml:space="preserve"> but unavailable in requesting state - Whether </w:t>
      </w:r>
      <w:proofErr w:type="spellStart"/>
      <w:r w:rsidRPr="005E7144">
        <w:rPr>
          <w:sz w:val="20"/>
        </w:rPr>
        <w:t>defence</w:t>
      </w:r>
      <w:proofErr w:type="spellEnd"/>
      <w:r w:rsidRPr="005E7144">
        <w:rPr>
          <w:sz w:val="20"/>
        </w:rPr>
        <w:t xml:space="preserve"> negates </w:t>
      </w:r>
      <w:proofErr w:type="spellStart"/>
      <w:r w:rsidRPr="005E7144">
        <w:rPr>
          <w:i/>
          <w:sz w:val="20"/>
        </w:rPr>
        <w:t>mens</w:t>
      </w:r>
      <w:proofErr w:type="spellEnd"/>
      <w:r w:rsidRPr="005E7144">
        <w:rPr>
          <w:i/>
          <w:sz w:val="20"/>
        </w:rPr>
        <w:t xml:space="preserve"> rea</w:t>
      </w:r>
      <w:r w:rsidRPr="005E7144">
        <w:rPr>
          <w:sz w:val="20"/>
        </w:rPr>
        <w:t xml:space="preserve"> required for conviction of abduction in Canada such that Canadian offence cannot be held to be same as U.S. offence for which extradition sought? - Whether appellant’s acts were punishable in Canada and whether double criminality rule is met? - Whether unavailability of </w:t>
      </w:r>
      <w:proofErr w:type="spellStart"/>
      <w:r w:rsidRPr="005E7144">
        <w:rPr>
          <w:sz w:val="20"/>
        </w:rPr>
        <w:t>defence</w:t>
      </w:r>
      <w:proofErr w:type="spellEnd"/>
      <w:r w:rsidRPr="005E7144">
        <w:rPr>
          <w:sz w:val="20"/>
        </w:rPr>
        <w:t xml:space="preserve"> in U.S. must be considered by Minister of Justice at surrender stage? - Best interest of child - Whether Minister failed to properly consider and take into account best interest of appellant’s children? - </w:t>
      </w:r>
      <w:r w:rsidRPr="005E7144">
        <w:rPr>
          <w:i/>
          <w:sz w:val="20"/>
        </w:rPr>
        <w:t>Criminal Code</w:t>
      </w:r>
      <w:r w:rsidRPr="005E7144">
        <w:rPr>
          <w:sz w:val="20"/>
        </w:rPr>
        <w:t xml:space="preserve">, R.S.C., 1985, c. C-46, s. 285 - </w:t>
      </w:r>
      <w:r w:rsidRPr="005E7144">
        <w:rPr>
          <w:i/>
          <w:sz w:val="20"/>
        </w:rPr>
        <w:t>Extradition Act</w:t>
      </w:r>
      <w:r w:rsidRPr="005E7144">
        <w:rPr>
          <w:sz w:val="20"/>
        </w:rPr>
        <w:t>, S.C. 1999, c. 18, s. 44(1)</w:t>
      </w:r>
      <w:r w:rsidRPr="005E7144">
        <w:rPr>
          <w:i/>
          <w:sz w:val="20"/>
        </w:rPr>
        <w:t>a</w:t>
      </w:r>
      <w:r w:rsidRPr="005E7144">
        <w:rPr>
          <w:sz w:val="20"/>
        </w:rPr>
        <w:t xml:space="preserve">). </w:t>
      </w:r>
    </w:p>
    <w:p w:rsidR="00EA150B" w:rsidRPr="005E7144" w:rsidRDefault="00EA150B" w:rsidP="00EA150B">
      <w:pPr>
        <w:widowControl w:val="0"/>
        <w:jc w:val="both"/>
        <w:rPr>
          <w:sz w:val="20"/>
          <w:lang w:val="en-CA"/>
        </w:rPr>
      </w:pPr>
    </w:p>
    <w:p w:rsidR="00EA150B" w:rsidRPr="005E7144" w:rsidRDefault="00EA150B" w:rsidP="00EA150B">
      <w:pPr>
        <w:jc w:val="both"/>
        <w:rPr>
          <w:sz w:val="20"/>
        </w:rPr>
      </w:pPr>
      <w:r w:rsidRPr="005E7144">
        <w:rPr>
          <w:sz w:val="20"/>
        </w:rPr>
        <w:t xml:space="preserve">In October 2010, the appellant’s ex-husband reported the couple’s three minor children missing in the State of Georgia in the United States of America. He had sole custody of the children while the appellant had no visitation rights. The children later testified that they had run away, without the appellant’s knowledge, on account of their father's ill treatment and violence. They claimed to have contacted the appellant more than one week later. </w:t>
      </w:r>
    </w:p>
    <w:p w:rsidR="00EA150B" w:rsidRPr="005E7144" w:rsidRDefault="00EA150B" w:rsidP="00EA150B">
      <w:pPr>
        <w:rPr>
          <w:sz w:val="20"/>
        </w:rPr>
      </w:pPr>
    </w:p>
    <w:p w:rsidR="00EA150B" w:rsidRPr="005E7144" w:rsidRDefault="00EA150B" w:rsidP="00EA150B">
      <w:pPr>
        <w:jc w:val="both"/>
        <w:rPr>
          <w:sz w:val="20"/>
        </w:rPr>
      </w:pPr>
      <w:r w:rsidRPr="005E7144">
        <w:rPr>
          <w:sz w:val="20"/>
        </w:rPr>
        <w:t xml:space="preserve">In December 2010, Georgia police located the appellant and her children in a battered women’s shelter in the Province of Quebec. The appellant was arrested and her extradition was sought by the U.S. to face charges in Georgia for Interstate Interference with Custody. A request for extradition was issued in February 2011, listing the equivalent Canadian offences of abduction in contravention of a custody order (s. 282 of the </w:t>
      </w:r>
      <w:r w:rsidRPr="005E7144">
        <w:rPr>
          <w:i/>
          <w:sz w:val="20"/>
        </w:rPr>
        <w:t>Criminal Code</w:t>
      </w:r>
      <w:r w:rsidRPr="005E7144">
        <w:rPr>
          <w:sz w:val="20"/>
        </w:rPr>
        <w:t xml:space="preserve">) and abduction of a person under sixteen (s. 280). </w:t>
      </w:r>
    </w:p>
    <w:p w:rsidR="00EA150B" w:rsidRPr="005E7144" w:rsidRDefault="00EA150B" w:rsidP="00EA150B">
      <w:pPr>
        <w:rPr>
          <w:sz w:val="20"/>
        </w:rPr>
      </w:pPr>
    </w:p>
    <w:p w:rsidR="00EA150B" w:rsidRPr="005E7144" w:rsidRDefault="00EA150B" w:rsidP="00EA150B">
      <w:pPr>
        <w:jc w:val="both"/>
        <w:rPr>
          <w:sz w:val="20"/>
        </w:rPr>
      </w:pPr>
      <w:r w:rsidRPr="005E7144">
        <w:rPr>
          <w:sz w:val="20"/>
        </w:rPr>
        <w:t xml:space="preserve">Although an application seeking the appellant’s committal for extradition was initially dismissed, that decision was overturned on appeal and the appellant was committed into custody. The Minister of Justice then ordered the appellant’s surrender for extradition, rejecting arguments that ordering her surrender would be unjust or oppressive in light of the best interest of her children and in light of the unavailability of the </w:t>
      </w:r>
      <w:proofErr w:type="spellStart"/>
      <w:r w:rsidRPr="005E7144">
        <w:rPr>
          <w:sz w:val="20"/>
        </w:rPr>
        <w:t>defence</w:t>
      </w:r>
      <w:proofErr w:type="spellEnd"/>
      <w:r w:rsidRPr="005E7144">
        <w:rPr>
          <w:sz w:val="20"/>
        </w:rPr>
        <w:t xml:space="preserve"> of necessity in the U.S. </w:t>
      </w:r>
    </w:p>
    <w:p w:rsidR="00EA150B" w:rsidRPr="005E7144" w:rsidRDefault="00EA150B" w:rsidP="00EA150B">
      <w:pPr>
        <w:widowControl w:val="0"/>
        <w:jc w:val="both"/>
        <w:rPr>
          <w:sz w:val="20"/>
        </w:rPr>
      </w:pP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Origin of the case:</w:t>
      </w:r>
      <w:r w:rsidRPr="005E7144">
        <w:rPr>
          <w:sz w:val="20"/>
          <w:lang w:val="en-CA"/>
        </w:rPr>
        <w:tab/>
      </w:r>
      <w:r w:rsidRPr="005E7144">
        <w:rPr>
          <w:sz w:val="20"/>
          <w:lang w:val="en-CA"/>
        </w:rPr>
        <w:tab/>
      </w:r>
      <w:r w:rsidR="005E7144">
        <w:rPr>
          <w:sz w:val="20"/>
          <w:lang w:val="en-CA"/>
        </w:rPr>
        <w:tab/>
      </w:r>
      <w:r w:rsidR="005E7144">
        <w:rPr>
          <w:sz w:val="20"/>
          <w:lang w:val="en-CA"/>
        </w:rPr>
        <w:tab/>
      </w:r>
      <w:r w:rsidRPr="005E7144">
        <w:rPr>
          <w:sz w:val="20"/>
          <w:lang w:val="en-CA"/>
        </w:rPr>
        <w:tab/>
        <w:t>Quebec</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File No.:</w:t>
      </w:r>
      <w:r w:rsidRPr="005E7144">
        <w:rPr>
          <w:sz w:val="20"/>
          <w:lang w:val="en-CA"/>
        </w:rPr>
        <w:tab/>
      </w:r>
      <w:r w:rsidRPr="005E7144">
        <w:rPr>
          <w:sz w:val="20"/>
          <w:lang w:val="en-CA"/>
        </w:rPr>
        <w:tab/>
      </w:r>
      <w:r w:rsidRPr="005E7144">
        <w:rPr>
          <w:sz w:val="20"/>
          <w:lang w:val="en-CA"/>
        </w:rPr>
        <w:tab/>
      </w:r>
      <w:r w:rsidRPr="005E7144">
        <w:rPr>
          <w:sz w:val="20"/>
          <w:lang w:val="en-CA"/>
        </w:rPr>
        <w:tab/>
      </w:r>
      <w:r w:rsidR="005E7144">
        <w:rPr>
          <w:sz w:val="20"/>
          <w:lang w:val="en-CA"/>
        </w:rPr>
        <w:tab/>
      </w:r>
      <w:r w:rsidR="005E7144">
        <w:rPr>
          <w:sz w:val="20"/>
          <w:lang w:val="en-CA"/>
        </w:rPr>
        <w:tab/>
      </w:r>
      <w:r w:rsidR="005E7144">
        <w:rPr>
          <w:sz w:val="20"/>
          <w:lang w:val="en-CA"/>
        </w:rPr>
        <w:tab/>
      </w:r>
      <w:r w:rsidR="005E7144">
        <w:rPr>
          <w:sz w:val="20"/>
          <w:lang w:val="en-CA"/>
        </w:rPr>
        <w:tab/>
      </w:r>
      <w:r w:rsidRPr="005E7144">
        <w:rPr>
          <w:sz w:val="20"/>
          <w:lang w:val="en-CA"/>
        </w:rPr>
        <w:t>35838</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Judgments of the Court of Appeal:</w:t>
      </w:r>
      <w:r w:rsidR="005E7144">
        <w:rPr>
          <w:sz w:val="20"/>
          <w:lang w:val="en-CA"/>
        </w:rPr>
        <w:tab/>
      </w:r>
      <w:r w:rsidRPr="005E7144">
        <w:rPr>
          <w:sz w:val="20"/>
          <w:lang w:val="en-CA"/>
        </w:rPr>
        <w:tab/>
        <w:t>June 15, 2012 and April 4, 2012</w:t>
      </w:r>
    </w:p>
    <w:p w:rsidR="00EA150B" w:rsidRPr="005E7144" w:rsidRDefault="00EA150B" w:rsidP="00EA150B">
      <w:pPr>
        <w:widowControl w:val="0"/>
        <w:jc w:val="both"/>
        <w:rPr>
          <w:sz w:val="20"/>
          <w:lang w:val="en-CA"/>
        </w:rPr>
      </w:pPr>
    </w:p>
    <w:p w:rsidR="00EA150B" w:rsidRPr="005E7144" w:rsidRDefault="00EA150B" w:rsidP="00EA150B">
      <w:pPr>
        <w:widowControl w:val="0"/>
        <w:jc w:val="both"/>
        <w:rPr>
          <w:sz w:val="20"/>
          <w:lang w:val="en-CA"/>
        </w:rPr>
      </w:pPr>
      <w:r w:rsidRPr="005E7144">
        <w:rPr>
          <w:sz w:val="20"/>
          <w:lang w:val="en-CA"/>
        </w:rPr>
        <w:t>Counsel:</w:t>
      </w:r>
      <w:r w:rsidRPr="005E7144">
        <w:rPr>
          <w:sz w:val="20"/>
          <w:lang w:val="en-CA"/>
        </w:rPr>
        <w:tab/>
      </w:r>
      <w:r w:rsidRPr="005E7144">
        <w:rPr>
          <w:sz w:val="20"/>
          <w:lang w:val="en-CA"/>
        </w:rPr>
        <w:tab/>
      </w:r>
      <w:r w:rsidRPr="005E7144">
        <w:rPr>
          <w:sz w:val="20"/>
          <w:lang w:val="en-CA"/>
        </w:rPr>
        <w:tab/>
      </w:r>
      <w:r w:rsidRPr="005E7144">
        <w:rPr>
          <w:sz w:val="20"/>
          <w:lang w:val="en-CA"/>
        </w:rPr>
        <w:tab/>
      </w:r>
      <w:r w:rsidR="005E7144">
        <w:rPr>
          <w:sz w:val="20"/>
          <w:lang w:val="en-CA"/>
        </w:rPr>
        <w:tab/>
      </w:r>
      <w:r w:rsidR="005E7144">
        <w:rPr>
          <w:sz w:val="20"/>
          <w:lang w:val="en-CA"/>
        </w:rPr>
        <w:tab/>
      </w:r>
      <w:r w:rsidR="005E7144">
        <w:rPr>
          <w:sz w:val="20"/>
          <w:lang w:val="en-CA"/>
        </w:rPr>
        <w:tab/>
      </w:r>
      <w:r w:rsidR="005E7144">
        <w:rPr>
          <w:sz w:val="20"/>
          <w:lang w:val="en-CA"/>
        </w:rPr>
        <w:tab/>
      </w:r>
      <w:r w:rsidRPr="005E7144">
        <w:rPr>
          <w:sz w:val="20"/>
          <w:lang w:val="en-CA"/>
        </w:rPr>
        <w:t xml:space="preserve">Julius Grey and Cornelia </w:t>
      </w:r>
      <w:proofErr w:type="spellStart"/>
      <w:r w:rsidRPr="005E7144">
        <w:rPr>
          <w:sz w:val="20"/>
          <w:lang w:val="en-CA"/>
        </w:rPr>
        <w:t>Herta-Zvezdin</w:t>
      </w:r>
      <w:proofErr w:type="spellEnd"/>
      <w:r w:rsidRPr="005E7144">
        <w:rPr>
          <w:sz w:val="20"/>
          <w:lang w:val="en-CA"/>
        </w:rPr>
        <w:t xml:space="preserve"> for the appellant </w:t>
      </w:r>
      <w:r w:rsidRPr="005E7144">
        <w:rPr>
          <w:sz w:val="20"/>
          <w:lang w:val="en-CA"/>
        </w:rPr>
        <w:tab/>
        <w:t>for the Appellant</w:t>
      </w:r>
    </w:p>
    <w:p w:rsidR="00EA150B" w:rsidRPr="005E7144" w:rsidRDefault="00EA150B" w:rsidP="00EA150B">
      <w:pPr>
        <w:widowControl w:val="0"/>
        <w:jc w:val="both"/>
        <w:rPr>
          <w:sz w:val="20"/>
          <w:lang w:val="fr-CA"/>
        </w:rPr>
      </w:pPr>
      <w:r w:rsidRPr="005E7144">
        <w:rPr>
          <w:sz w:val="20"/>
          <w:lang w:val="en-CA"/>
        </w:rPr>
        <w:tab/>
      </w:r>
      <w:r w:rsidRPr="005E7144">
        <w:rPr>
          <w:sz w:val="20"/>
          <w:lang w:val="en-CA"/>
        </w:rPr>
        <w:tab/>
      </w:r>
      <w:r w:rsidRPr="005E7144">
        <w:rPr>
          <w:sz w:val="20"/>
          <w:lang w:val="en-CA"/>
        </w:rPr>
        <w:tab/>
      </w:r>
      <w:r w:rsidRPr="005E7144">
        <w:rPr>
          <w:sz w:val="20"/>
          <w:lang w:val="en-CA"/>
        </w:rPr>
        <w:tab/>
      </w:r>
      <w:r w:rsidRPr="005E7144">
        <w:rPr>
          <w:sz w:val="20"/>
          <w:lang w:val="en-CA"/>
        </w:rPr>
        <w:tab/>
      </w:r>
      <w:r w:rsidR="005E7144">
        <w:rPr>
          <w:sz w:val="20"/>
          <w:lang w:val="en-CA"/>
        </w:rPr>
        <w:tab/>
      </w:r>
      <w:r w:rsidR="005E7144">
        <w:rPr>
          <w:sz w:val="20"/>
          <w:lang w:val="en-CA"/>
        </w:rPr>
        <w:tab/>
      </w:r>
      <w:r w:rsidR="005E7144">
        <w:rPr>
          <w:sz w:val="20"/>
          <w:lang w:val="en-CA"/>
        </w:rPr>
        <w:tab/>
      </w:r>
      <w:r w:rsidR="005E7144">
        <w:rPr>
          <w:sz w:val="20"/>
          <w:lang w:val="en-CA"/>
        </w:rPr>
        <w:tab/>
      </w:r>
      <w:proofErr w:type="spellStart"/>
      <w:r w:rsidRPr="005E7144">
        <w:rPr>
          <w:sz w:val="20"/>
          <w:lang w:val="fr-CA"/>
        </w:rPr>
        <w:t>Constantina</w:t>
      </w:r>
      <w:proofErr w:type="spellEnd"/>
      <w:r w:rsidRPr="005E7144">
        <w:rPr>
          <w:sz w:val="20"/>
          <w:lang w:val="fr-CA"/>
        </w:rPr>
        <w:t xml:space="preserve"> </w:t>
      </w:r>
      <w:proofErr w:type="spellStart"/>
      <w:r w:rsidRPr="005E7144">
        <w:rPr>
          <w:sz w:val="20"/>
          <w:lang w:val="fr-CA"/>
        </w:rPr>
        <w:t>Antonopoulos</w:t>
      </w:r>
      <w:proofErr w:type="spellEnd"/>
      <w:r w:rsidRPr="005E7144">
        <w:rPr>
          <w:sz w:val="20"/>
          <w:lang w:val="fr-CA"/>
        </w:rPr>
        <w:t xml:space="preserve"> for the </w:t>
      </w:r>
      <w:proofErr w:type="spellStart"/>
      <w:r w:rsidRPr="005E7144">
        <w:rPr>
          <w:sz w:val="20"/>
          <w:lang w:val="fr-CA"/>
        </w:rPr>
        <w:t>respondent</w:t>
      </w:r>
      <w:proofErr w:type="spellEnd"/>
    </w:p>
    <w:p w:rsidR="00EA150B" w:rsidRPr="005E7144" w:rsidRDefault="00EA150B" w:rsidP="00340C6D">
      <w:pPr>
        <w:jc w:val="both"/>
        <w:rPr>
          <w:sz w:val="20"/>
          <w:lang w:val="fr-CA"/>
        </w:rPr>
      </w:pPr>
    </w:p>
    <w:p w:rsidR="00072A63" w:rsidRPr="005E7144" w:rsidRDefault="00072A63" w:rsidP="00EC79B0">
      <w:pPr>
        <w:jc w:val="both"/>
        <w:rPr>
          <w:sz w:val="20"/>
          <w:lang w:val="fr-CA"/>
        </w:rPr>
      </w:pPr>
    </w:p>
    <w:p w:rsidR="00EA150B" w:rsidRPr="005E7144" w:rsidRDefault="00EA150B" w:rsidP="00EC79B0">
      <w:pPr>
        <w:jc w:val="both"/>
        <w:rPr>
          <w:sz w:val="20"/>
          <w:lang w:val="fr-CA"/>
        </w:rPr>
      </w:pPr>
    </w:p>
    <w:p w:rsidR="00EA150B" w:rsidRPr="00EA150B" w:rsidRDefault="00EA150B" w:rsidP="00EA150B">
      <w:pPr>
        <w:widowControl w:val="0"/>
        <w:ind w:left="720" w:hanging="720"/>
        <w:jc w:val="both"/>
        <w:rPr>
          <w:b/>
          <w:i/>
          <w:sz w:val="20"/>
          <w:lang w:val="fr-CA" w:eastAsia="en-CA"/>
        </w:rPr>
      </w:pPr>
      <w:r w:rsidRPr="00EA150B">
        <w:rPr>
          <w:b/>
          <w:sz w:val="20"/>
          <w:lang w:val="fr-CA" w:eastAsia="en-CA"/>
        </w:rPr>
        <w:t>35838</w:t>
      </w:r>
      <w:r w:rsidRPr="00EA150B">
        <w:rPr>
          <w:b/>
          <w:sz w:val="20"/>
          <w:lang w:val="en-CA" w:eastAsia="en-CA"/>
        </w:rPr>
        <w:fldChar w:fldCharType="begin"/>
      </w:r>
      <w:r w:rsidRPr="00EA150B">
        <w:rPr>
          <w:b/>
          <w:sz w:val="20"/>
          <w:lang w:val="fr-CA" w:eastAsia="en-CA"/>
        </w:rPr>
        <w:instrText xml:space="preserve"> SEQ CHAPTER \h \r 1</w:instrText>
      </w:r>
      <w:r w:rsidRPr="00EA150B">
        <w:rPr>
          <w:b/>
          <w:sz w:val="20"/>
          <w:lang w:eastAsia="en-CA"/>
        </w:rPr>
        <w:fldChar w:fldCharType="end"/>
      </w:r>
      <w:r w:rsidRPr="00EA150B">
        <w:rPr>
          <w:b/>
          <w:sz w:val="20"/>
          <w:lang w:val="fr-CA" w:eastAsia="en-CA"/>
        </w:rPr>
        <w:tab/>
      </w:r>
      <w:r w:rsidRPr="00EA150B">
        <w:rPr>
          <w:b/>
          <w:i/>
          <w:sz w:val="20"/>
          <w:lang w:val="fr-CA" w:eastAsia="en-CA"/>
        </w:rPr>
        <w:t xml:space="preserve">M.M. c. Ministre de la Justice du Canada au nom des États-Unis d’Amérique </w:t>
      </w:r>
    </w:p>
    <w:p w:rsidR="00EA150B" w:rsidRPr="00EA150B" w:rsidRDefault="00EA150B" w:rsidP="00EA150B">
      <w:pPr>
        <w:widowControl w:val="0"/>
        <w:ind w:left="720" w:hanging="720"/>
        <w:jc w:val="both"/>
        <w:rPr>
          <w:b/>
          <w:sz w:val="20"/>
          <w:lang w:val="fr-CA" w:eastAsia="en-CA"/>
        </w:rPr>
      </w:pPr>
    </w:p>
    <w:p w:rsidR="00EA150B" w:rsidRPr="00EA150B" w:rsidRDefault="00EA150B" w:rsidP="00EA150B">
      <w:pPr>
        <w:jc w:val="both"/>
        <w:rPr>
          <w:rFonts w:eastAsiaTheme="minorHAnsi" w:cstheme="minorBidi"/>
          <w:smallCaps/>
          <w:sz w:val="20"/>
          <w:lang w:val="fr-CA"/>
        </w:rPr>
      </w:pPr>
      <w:r w:rsidRPr="00EA150B">
        <w:rPr>
          <w:rFonts w:eastAsiaTheme="minorHAnsi" w:cstheme="minorBidi"/>
          <w:smallCaps/>
          <w:sz w:val="20"/>
          <w:lang w:val="fr-CA"/>
        </w:rPr>
        <w:t>(Ordonnance de non-publication au dossier) (Ordonnance de non-publication visant une partie)</w:t>
      </w:r>
    </w:p>
    <w:p w:rsidR="00EA150B" w:rsidRPr="00EA150B" w:rsidRDefault="00EA150B" w:rsidP="00EA150B">
      <w:pPr>
        <w:widowControl w:val="0"/>
        <w:jc w:val="both"/>
        <w:rPr>
          <w:sz w:val="20"/>
          <w:lang w:val="fr-CA" w:eastAsia="en-CA"/>
        </w:rPr>
      </w:pPr>
    </w:p>
    <w:p w:rsidR="00EA150B" w:rsidRPr="00EA150B" w:rsidRDefault="00EA150B" w:rsidP="00EA150B">
      <w:pPr>
        <w:jc w:val="both"/>
        <w:rPr>
          <w:sz w:val="20"/>
          <w:lang w:val="fr-CA" w:eastAsia="en-CA"/>
        </w:rPr>
      </w:pPr>
      <w:r w:rsidRPr="00EA150B">
        <w:rPr>
          <w:sz w:val="20"/>
          <w:lang w:val="fr-CA" w:eastAsia="en-CA"/>
        </w:rPr>
        <w:t xml:space="preserve">Extradition - Règle de la double incrimination - Moyen de défense fondé sur la nécessité - Moyen de défense reconnu au </w:t>
      </w:r>
      <w:r w:rsidRPr="00EA150B">
        <w:rPr>
          <w:i/>
          <w:sz w:val="20"/>
          <w:lang w:val="fr-CA" w:eastAsia="en-CA"/>
        </w:rPr>
        <w:t>Code criminel</w:t>
      </w:r>
      <w:r w:rsidRPr="00EA150B">
        <w:rPr>
          <w:sz w:val="20"/>
          <w:lang w:val="fr-CA" w:eastAsia="en-CA"/>
        </w:rPr>
        <w:t xml:space="preserve"> mais non dans l’État requérant - Le moyen de défense annule-t-il la </w:t>
      </w:r>
      <w:r w:rsidRPr="00EA150B">
        <w:rPr>
          <w:i/>
          <w:sz w:val="20"/>
          <w:lang w:val="fr-CA" w:eastAsia="en-CA"/>
        </w:rPr>
        <w:t xml:space="preserve">mens </w:t>
      </w:r>
      <w:proofErr w:type="spellStart"/>
      <w:r w:rsidRPr="00EA150B">
        <w:rPr>
          <w:i/>
          <w:sz w:val="20"/>
          <w:lang w:val="fr-CA" w:eastAsia="en-CA"/>
        </w:rPr>
        <w:t>rea</w:t>
      </w:r>
      <w:proofErr w:type="spellEnd"/>
      <w:r w:rsidRPr="00EA150B">
        <w:rPr>
          <w:sz w:val="20"/>
          <w:lang w:val="fr-CA" w:eastAsia="en-CA"/>
        </w:rPr>
        <w:t xml:space="preserve"> requise pour qu’une personne soit reconnue coupable d’enlèvement au Canada de sorte que l’on ne puisse conclure que l’infraction prévue au Canada est la même que l’infraction américaine pour laquelle l’extradition est demandée? - Les actes de l’appelante étaient-ils punissables au Canada, et la règle de la double incrimination s’applique-t-elle? - Le ministre de la Justice doit-il, à l’étape de l’arrêté d’extradition, prendre en compte l’irrecevabilité aux États-Unis du moyen de défense fondé sur la nécessité? - Intérêt supérieur de l’enfant - Le ministre </w:t>
      </w:r>
      <w:proofErr w:type="spellStart"/>
      <w:r w:rsidRPr="00EA150B">
        <w:rPr>
          <w:sz w:val="20"/>
          <w:lang w:val="fr-CA" w:eastAsia="en-CA"/>
        </w:rPr>
        <w:t>a-t-il</w:t>
      </w:r>
      <w:proofErr w:type="spellEnd"/>
      <w:r w:rsidRPr="00EA150B">
        <w:rPr>
          <w:sz w:val="20"/>
          <w:lang w:val="fr-CA" w:eastAsia="en-CA"/>
        </w:rPr>
        <w:t xml:space="preserve"> examiné et pris en compte comme il se doit l’intérêt supérieur des enfants de l’appelante? - </w:t>
      </w:r>
      <w:r w:rsidRPr="00EA150B">
        <w:rPr>
          <w:i/>
          <w:sz w:val="20"/>
          <w:lang w:val="fr-CA" w:eastAsia="en-CA"/>
        </w:rPr>
        <w:t>Code Criminel</w:t>
      </w:r>
      <w:r w:rsidRPr="00EA150B">
        <w:rPr>
          <w:sz w:val="20"/>
          <w:lang w:val="fr-CA" w:eastAsia="en-CA"/>
        </w:rPr>
        <w:t xml:space="preserve">, L.R.C. 1985, c. C-46, art. 285 - </w:t>
      </w:r>
      <w:r w:rsidRPr="00EA150B">
        <w:rPr>
          <w:i/>
          <w:sz w:val="20"/>
          <w:lang w:val="fr-CA" w:eastAsia="en-CA"/>
        </w:rPr>
        <w:t>Loi sur l’extradition</w:t>
      </w:r>
      <w:r w:rsidRPr="00EA150B">
        <w:rPr>
          <w:sz w:val="20"/>
          <w:lang w:val="fr-CA" w:eastAsia="en-CA"/>
        </w:rPr>
        <w:t>, L.C. 1999, c. 18, art. 44(1)</w:t>
      </w:r>
      <w:r w:rsidRPr="00EA150B">
        <w:rPr>
          <w:i/>
          <w:sz w:val="20"/>
          <w:lang w:val="fr-CA" w:eastAsia="en-CA"/>
        </w:rPr>
        <w:t>a</w:t>
      </w:r>
      <w:r w:rsidRPr="00EA150B">
        <w:rPr>
          <w:sz w:val="20"/>
          <w:lang w:val="fr-CA" w:eastAsia="en-CA"/>
        </w:rPr>
        <w:t xml:space="preserve">). </w:t>
      </w:r>
    </w:p>
    <w:p w:rsidR="00EA150B" w:rsidRPr="00EA150B" w:rsidRDefault="00EA150B" w:rsidP="00EA150B">
      <w:pPr>
        <w:widowControl w:val="0"/>
        <w:jc w:val="both"/>
        <w:rPr>
          <w:sz w:val="20"/>
          <w:lang w:val="fr-CA" w:eastAsia="en-CA"/>
        </w:rPr>
      </w:pPr>
    </w:p>
    <w:p w:rsidR="00EA150B" w:rsidRPr="00EA150B" w:rsidRDefault="00EA150B" w:rsidP="00EA150B">
      <w:pPr>
        <w:jc w:val="both"/>
        <w:rPr>
          <w:sz w:val="20"/>
          <w:lang w:val="fr-CA" w:eastAsia="en-CA"/>
        </w:rPr>
      </w:pPr>
      <w:r w:rsidRPr="00EA150B">
        <w:rPr>
          <w:sz w:val="20"/>
          <w:lang w:val="fr-CA" w:eastAsia="en-CA"/>
        </w:rPr>
        <w:lastRenderedPageBreak/>
        <w:t xml:space="preserve">En octobre 2010, l’ex-époux de l’appelante a signalé la disparition des trois enfants mineurs du couple dans l’État de la </w:t>
      </w:r>
      <w:proofErr w:type="spellStart"/>
      <w:r w:rsidRPr="00EA150B">
        <w:rPr>
          <w:sz w:val="20"/>
          <w:lang w:val="fr-CA" w:eastAsia="en-CA"/>
        </w:rPr>
        <w:t>Georgie</w:t>
      </w:r>
      <w:proofErr w:type="spellEnd"/>
      <w:r w:rsidRPr="00EA150B">
        <w:rPr>
          <w:sz w:val="20"/>
          <w:lang w:val="fr-CA" w:eastAsia="en-CA"/>
        </w:rPr>
        <w:t xml:space="preserve">, aux États-Unis d’Amérique. Il avait la garde exclusive des enfants et l’appelante n’avait aucun droit de visite. Les enfants ont plus tard déclaré avoir fugué à l’insu de l’appelante en raison des mauvais traitements et de la violence que leur infligeait leur père. Ils ont prétendu avoir communiqué avec leur mère plus d’une semaine plus tard. </w:t>
      </w:r>
    </w:p>
    <w:p w:rsidR="00EA150B" w:rsidRPr="00EA150B" w:rsidRDefault="00EA150B" w:rsidP="00EA150B">
      <w:pPr>
        <w:rPr>
          <w:sz w:val="20"/>
          <w:lang w:val="fr-CA" w:eastAsia="en-CA"/>
        </w:rPr>
      </w:pPr>
    </w:p>
    <w:p w:rsidR="00EA150B" w:rsidRPr="00EA150B" w:rsidRDefault="00EA150B" w:rsidP="00EA150B">
      <w:pPr>
        <w:jc w:val="both"/>
        <w:rPr>
          <w:sz w:val="20"/>
          <w:lang w:val="fr-CA" w:eastAsia="en-CA"/>
        </w:rPr>
      </w:pPr>
      <w:r w:rsidRPr="00EA150B">
        <w:rPr>
          <w:sz w:val="20"/>
          <w:lang w:val="fr-CA" w:eastAsia="en-CA"/>
        </w:rPr>
        <w:t xml:space="preserve">En décembre 2010, la police de la </w:t>
      </w:r>
      <w:proofErr w:type="spellStart"/>
      <w:r w:rsidRPr="00EA150B">
        <w:rPr>
          <w:sz w:val="20"/>
          <w:lang w:val="fr-CA" w:eastAsia="en-CA"/>
        </w:rPr>
        <w:t>Georgie</w:t>
      </w:r>
      <w:proofErr w:type="spellEnd"/>
      <w:r w:rsidRPr="00EA150B">
        <w:rPr>
          <w:sz w:val="20"/>
          <w:lang w:val="fr-CA" w:eastAsia="en-CA"/>
        </w:rPr>
        <w:t xml:space="preserve"> a retrouvé l’appelante et ses enfants dans un refuge pour femmes battues dans la province de Québec. L’appelante a été arrêtée et les États-Unis ont demandé son extradition pour qu’elle réponde en </w:t>
      </w:r>
      <w:proofErr w:type="spellStart"/>
      <w:r w:rsidRPr="00EA150B">
        <w:rPr>
          <w:sz w:val="20"/>
          <w:lang w:val="fr-CA" w:eastAsia="en-CA"/>
        </w:rPr>
        <w:t>Georgie</w:t>
      </w:r>
      <w:proofErr w:type="spellEnd"/>
      <w:r w:rsidRPr="00EA150B">
        <w:rPr>
          <w:sz w:val="20"/>
          <w:lang w:val="fr-CA" w:eastAsia="en-CA"/>
        </w:rPr>
        <w:t xml:space="preserve"> à des accusations d’obstruction interétatique au droit de garde. Une demande d’extradition présentée en février 2011 indiquait les infractions correspondant, au Canada, à l’enlèvement en contravention avec une ordonnance de garde (art. 282 du </w:t>
      </w:r>
      <w:r w:rsidRPr="00EA150B">
        <w:rPr>
          <w:i/>
          <w:sz w:val="20"/>
          <w:lang w:val="fr-CA" w:eastAsia="en-CA"/>
        </w:rPr>
        <w:t>Code criminel</w:t>
      </w:r>
      <w:r w:rsidRPr="00EA150B">
        <w:rPr>
          <w:sz w:val="20"/>
          <w:lang w:val="fr-CA" w:eastAsia="en-CA"/>
        </w:rPr>
        <w:t xml:space="preserve">) et à l’enlèvement d’une personne âgée de moins de 16 ans (art. 280). </w:t>
      </w:r>
    </w:p>
    <w:p w:rsidR="00EA150B" w:rsidRPr="00EA150B" w:rsidRDefault="00EA150B" w:rsidP="00EA150B">
      <w:pPr>
        <w:rPr>
          <w:sz w:val="20"/>
          <w:lang w:val="fr-CA" w:eastAsia="en-CA"/>
        </w:rPr>
      </w:pPr>
    </w:p>
    <w:p w:rsidR="00EA150B" w:rsidRPr="00EA150B" w:rsidRDefault="00EA150B" w:rsidP="00EA150B">
      <w:pPr>
        <w:jc w:val="both"/>
        <w:rPr>
          <w:sz w:val="20"/>
          <w:lang w:val="fr-CA" w:eastAsia="en-CA"/>
        </w:rPr>
      </w:pPr>
      <w:r w:rsidRPr="00EA150B">
        <w:rPr>
          <w:sz w:val="20"/>
          <w:lang w:val="fr-CA" w:eastAsia="en-CA"/>
        </w:rPr>
        <w:t xml:space="preserve">Bien qu’une demande d’incarcération en vue de l’extradition ait été initialement rejetée, cette décision a été infirmée en appel et l’incarcération de l’appelante a été ordonnée. Le ministre de la Justice a alors ordonné l’extradition de l’appelante, rejetant les arguments selon lesquels son extradition serait injuste ou tyrannique compte tenu de l’intérêt supérieur de ses enfants et du fait de l’irrecevabilité aux États-Unis du moyen de défense fondé sur la nécessité. </w:t>
      </w:r>
    </w:p>
    <w:p w:rsidR="00EA150B" w:rsidRPr="00EA150B" w:rsidRDefault="00EA150B" w:rsidP="00EA150B">
      <w:pPr>
        <w:widowControl w:val="0"/>
        <w:jc w:val="both"/>
        <w:rPr>
          <w:sz w:val="20"/>
          <w:lang w:val="fr-CA" w:eastAsia="en-CA"/>
        </w:rPr>
      </w:pPr>
    </w:p>
    <w:p w:rsidR="00EA150B" w:rsidRPr="00EA150B" w:rsidRDefault="00EA150B" w:rsidP="00EA150B">
      <w:pPr>
        <w:widowControl w:val="0"/>
        <w:jc w:val="both"/>
        <w:rPr>
          <w:sz w:val="20"/>
          <w:lang w:val="fr-CA" w:eastAsia="en-CA"/>
        </w:rPr>
      </w:pPr>
    </w:p>
    <w:p w:rsidR="00EA150B" w:rsidRPr="00EA150B" w:rsidRDefault="00EA150B" w:rsidP="00EA150B">
      <w:pPr>
        <w:widowControl w:val="0"/>
        <w:jc w:val="both"/>
        <w:rPr>
          <w:sz w:val="20"/>
          <w:lang w:val="fr-CA" w:eastAsia="en-CA"/>
        </w:rPr>
      </w:pPr>
      <w:r w:rsidRPr="00EA150B">
        <w:rPr>
          <w:sz w:val="20"/>
          <w:lang w:val="fr-CA" w:eastAsia="en-CA"/>
        </w:rPr>
        <w:t>Origine :</w:t>
      </w:r>
      <w:r w:rsidRPr="00EA150B">
        <w:rPr>
          <w:sz w:val="20"/>
          <w:lang w:val="fr-CA" w:eastAsia="en-CA"/>
        </w:rPr>
        <w:tab/>
      </w:r>
      <w:r w:rsidRPr="00EA150B">
        <w:rPr>
          <w:sz w:val="20"/>
          <w:lang w:val="fr-CA" w:eastAsia="en-CA"/>
        </w:rPr>
        <w:tab/>
      </w:r>
      <w:r w:rsidRPr="00EA150B">
        <w:rPr>
          <w:sz w:val="20"/>
          <w:lang w:val="fr-CA" w:eastAsia="en-CA"/>
        </w:rPr>
        <w:tab/>
      </w:r>
      <w:r w:rsidRPr="00EA150B">
        <w:rPr>
          <w:sz w:val="20"/>
          <w:lang w:val="fr-CA" w:eastAsia="en-CA"/>
        </w:rPr>
        <w:tab/>
      </w:r>
      <w:r w:rsidR="005E7144">
        <w:rPr>
          <w:sz w:val="20"/>
          <w:lang w:val="fr-CA" w:eastAsia="en-CA"/>
        </w:rPr>
        <w:tab/>
      </w:r>
      <w:r w:rsidR="005E7144">
        <w:rPr>
          <w:sz w:val="20"/>
          <w:lang w:val="fr-CA" w:eastAsia="en-CA"/>
        </w:rPr>
        <w:tab/>
      </w:r>
      <w:r w:rsidRPr="00EA150B">
        <w:rPr>
          <w:sz w:val="20"/>
          <w:lang w:val="fr-CA" w:eastAsia="en-CA"/>
        </w:rPr>
        <w:t>Québec</w:t>
      </w:r>
    </w:p>
    <w:p w:rsidR="00EA150B" w:rsidRPr="00EA150B" w:rsidRDefault="00EA150B" w:rsidP="00EA150B">
      <w:pPr>
        <w:widowControl w:val="0"/>
        <w:jc w:val="both"/>
        <w:rPr>
          <w:sz w:val="20"/>
          <w:lang w:val="fr-CA" w:eastAsia="en-CA"/>
        </w:rPr>
      </w:pPr>
    </w:p>
    <w:p w:rsidR="00EA150B" w:rsidRPr="00EA150B" w:rsidRDefault="00EA150B" w:rsidP="00EA150B">
      <w:pPr>
        <w:widowControl w:val="0"/>
        <w:jc w:val="both"/>
        <w:rPr>
          <w:sz w:val="20"/>
          <w:lang w:val="fr-CA" w:eastAsia="en-CA"/>
        </w:rPr>
      </w:pPr>
      <w:r w:rsidRPr="00EA150B">
        <w:rPr>
          <w:sz w:val="20"/>
          <w:lang w:val="fr-CA" w:eastAsia="en-CA"/>
        </w:rPr>
        <w:t>N</w:t>
      </w:r>
      <w:r w:rsidRPr="00EA150B">
        <w:rPr>
          <w:sz w:val="20"/>
          <w:vertAlign w:val="superscript"/>
          <w:lang w:val="fr-CA" w:eastAsia="en-CA"/>
        </w:rPr>
        <w:t>o</w:t>
      </w:r>
      <w:r w:rsidRPr="00EA150B">
        <w:rPr>
          <w:sz w:val="20"/>
          <w:lang w:val="fr-CA" w:eastAsia="en-CA"/>
        </w:rPr>
        <w:t xml:space="preserve"> du greffe :</w:t>
      </w:r>
      <w:r w:rsidRPr="00EA150B">
        <w:rPr>
          <w:sz w:val="20"/>
          <w:lang w:val="fr-CA" w:eastAsia="en-CA"/>
        </w:rPr>
        <w:tab/>
      </w:r>
      <w:r w:rsidRPr="00EA150B">
        <w:rPr>
          <w:sz w:val="20"/>
          <w:lang w:val="fr-CA" w:eastAsia="en-CA"/>
        </w:rPr>
        <w:tab/>
      </w:r>
      <w:r w:rsidRPr="00EA150B">
        <w:rPr>
          <w:sz w:val="20"/>
          <w:lang w:val="fr-CA" w:eastAsia="en-CA"/>
        </w:rPr>
        <w:tab/>
      </w:r>
      <w:r w:rsidRPr="00EA150B">
        <w:rPr>
          <w:sz w:val="20"/>
          <w:lang w:val="fr-CA" w:eastAsia="en-CA"/>
        </w:rPr>
        <w:tab/>
        <w:t>35838</w:t>
      </w:r>
    </w:p>
    <w:p w:rsidR="00EA150B" w:rsidRPr="00EA150B" w:rsidRDefault="00EA150B" w:rsidP="00EA150B">
      <w:pPr>
        <w:widowControl w:val="0"/>
        <w:jc w:val="both"/>
        <w:rPr>
          <w:sz w:val="20"/>
          <w:lang w:val="fr-CA" w:eastAsia="en-CA"/>
        </w:rPr>
      </w:pPr>
    </w:p>
    <w:p w:rsidR="00EA150B" w:rsidRPr="00EA150B" w:rsidRDefault="00EA150B" w:rsidP="00EA150B">
      <w:pPr>
        <w:widowControl w:val="0"/>
        <w:jc w:val="both"/>
        <w:rPr>
          <w:sz w:val="20"/>
          <w:lang w:val="fr-CA" w:eastAsia="en-CA"/>
        </w:rPr>
      </w:pPr>
      <w:r w:rsidRPr="00EA150B">
        <w:rPr>
          <w:sz w:val="20"/>
          <w:lang w:val="fr-CA" w:eastAsia="en-CA"/>
        </w:rPr>
        <w:t>Arrêts de la Cour d’appel :</w:t>
      </w:r>
      <w:r w:rsidRPr="00EA150B">
        <w:rPr>
          <w:sz w:val="20"/>
          <w:lang w:val="fr-CA" w:eastAsia="en-CA"/>
        </w:rPr>
        <w:tab/>
      </w:r>
      <w:r w:rsidRPr="00EA150B">
        <w:rPr>
          <w:sz w:val="20"/>
          <w:lang w:val="fr-CA" w:eastAsia="en-CA"/>
        </w:rPr>
        <w:tab/>
        <w:t>15 juin 2012 et 4 avril 2012</w:t>
      </w:r>
    </w:p>
    <w:p w:rsidR="00EA150B" w:rsidRPr="00EA150B" w:rsidRDefault="00EA150B" w:rsidP="00EA150B">
      <w:pPr>
        <w:widowControl w:val="0"/>
        <w:jc w:val="both"/>
        <w:rPr>
          <w:sz w:val="20"/>
          <w:lang w:val="fr-CA" w:eastAsia="en-CA"/>
        </w:rPr>
      </w:pPr>
    </w:p>
    <w:p w:rsidR="00EA150B" w:rsidRPr="00EA150B" w:rsidRDefault="00EA150B" w:rsidP="00EA150B">
      <w:pPr>
        <w:widowControl w:val="0"/>
        <w:jc w:val="both"/>
        <w:rPr>
          <w:sz w:val="20"/>
          <w:lang w:val="fr-CA" w:eastAsia="en-CA"/>
        </w:rPr>
      </w:pPr>
      <w:r w:rsidRPr="00EA150B">
        <w:rPr>
          <w:sz w:val="20"/>
          <w:lang w:val="fr-CA" w:eastAsia="en-CA"/>
        </w:rPr>
        <w:t>Avocats :</w:t>
      </w:r>
      <w:r w:rsidRPr="00EA150B">
        <w:rPr>
          <w:sz w:val="20"/>
          <w:lang w:val="fr-CA" w:eastAsia="en-CA"/>
        </w:rPr>
        <w:tab/>
      </w:r>
      <w:r w:rsidRPr="00EA150B">
        <w:rPr>
          <w:sz w:val="20"/>
          <w:lang w:val="fr-CA" w:eastAsia="en-CA"/>
        </w:rPr>
        <w:tab/>
      </w:r>
      <w:r w:rsidRPr="00EA150B">
        <w:rPr>
          <w:sz w:val="20"/>
          <w:lang w:val="fr-CA" w:eastAsia="en-CA"/>
        </w:rPr>
        <w:tab/>
      </w:r>
      <w:r w:rsidRPr="00EA150B">
        <w:rPr>
          <w:sz w:val="20"/>
          <w:lang w:val="fr-CA" w:eastAsia="en-CA"/>
        </w:rPr>
        <w:tab/>
      </w:r>
      <w:r w:rsidR="005E7144">
        <w:rPr>
          <w:sz w:val="20"/>
          <w:lang w:val="fr-CA" w:eastAsia="en-CA"/>
        </w:rPr>
        <w:tab/>
      </w:r>
      <w:r w:rsidRPr="00EA150B">
        <w:rPr>
          <w:sz w:val="20"/>
          <w:lang w:val="fr-CA" w:eastAsia="en-CA"/>
        </w:rPr>
        <w:t>Julius Grey et Cornelia Herta-</w:t>
      </w:r>
      <w:proofErr w:type="spellStart"/>
      <w:r w:rsidRPr="00EA150B">
        <w:rPr>
          <w:sz w:val="20"/>
          <w:lang w:val="fr-CA" w:eastAsia="en-CA"/>
        </w:rPr>
        <w:t>Zvezdin</w:t>
      </w:r>
      <w:proofErr w:type="spellEnd"/>
      <w:r w:rsidRPr="00EA150B">
        <w:rPr>
          <w:sz w:val="20"/>
          <w:lang w:val="fr-CA" w:eastAsia="en-CA"/>
        </w:rPr>
        <w:t xml:space="preserve"> pour l’appelante</w:t>
      </w:r>
    </w:p>
    <w:p w:rsidR="00EA150B" w:rsidRPr="00EA150B" w:rsidRDefault="00EA150B" w:rsidP="00EA150B">
      <w:pPr>
        <w:widowControl w:val="0"/>
        <w:jc w:val="both"/>
        <w:rPr>
          <w:sz w:val="20"/>
          <w:lang w:val="en-CA" w:eastAsia="en-CA"/>
        </w:rPr>
      </w:pPr>
      <w:r w:rsidRPr="00EA150B">
        <w:rPr>
          <w:sz w:val="20"/>
          <w:lang w:val="fr-CA" w:eastAsia="en-CA"/>
        </w:rPr>
        <w:tab/>
      </w:r>
      <w:r w:rsidRPr="00EA150B">
        <w:rPr>
          <w:sz w:val="20"/>
          <w:lang w:val="fr-CA" w:eastAsia="en-CA"/>
        </w:rPr>
        <w:tab/>
      </w:r>
      <w:r w:rsidRPr="00EA150B">
        <w:rPr>
          <w:sz w:val="20"/>
          <w:lang w:val="fr-CA" w:eastAsia="en-CA"/>
        </w:rPr>
        <w:tab/>
      </w:r>
      <w:r w:rsidRPr="00EA150B">
        <w:rPr>
          <w:sz w:val="20"/>
          <w:lang w:val="fr-CA" w:eastAsia="en-CA"/>
        </w:rPr>
        <w:tab/>
      </w:r>
      <w:r w:rsidRPr="00EA150B">
        <w:rPr>
          <w:sz w:val="20"/>
          <w:lang w:val="fr-CA" w:eastAsia="en-CA"/>
        </w:rPr>
        <w:tab/>
      </w:r>
      <w:r w:rsidR="005E7144">
        <w:rPr>
          <w:sz w:val="20"/>
          <w:lang w:val="fr-CA" w:eastAsia="en-CA"/>
        </w:rPr>
        <w:tab/>
      </w:r>
      <w:r w:rsidR="005E7144">
        <w:rPr>
          <w:sz w:val="20"/>
          <w:lang w:val="fr-CA" w:eastAsia="en-CA"/>
        </w:rPr>
        <w:tab/>
      </w:r>
      <w:proofErr w:type="spellStart"/>
      <w:r w:rsidRPr="00EA150B">
        <w:rPr>
          <w:sz w:val="20"/>
          <w:lang w:val="en-CA" w:eastAsia="en-CA"/>
        </w:rPr>
        <w:t>Constantina</w:t>
      </w:r>
      <w:proofErr w:type="spellEnd"/>
      <w:r w:rsidRPr="00EA150B">
        <w:rPr>
          <w:sz w:val="20"/>
          <w:lang w:val="en-CA" w:eastAsia="en-CA"/>
        </w:rPr>
        <w:t xml:space="preserve"> Antonopoulos pour </w:t>
      </w:r>
      <w:proofErr w:type="spellStart"/>
      <w:r w:rsidRPr="00EA150B">
        <w:rPr>
          <w:sz w:val="20"/>
          <w:lang w:val="en-CA" w:eastAsia="en-CA"/>
        </w:rPr>
        <w:t>l’intimé</w:t>
      </w:r>
      <w:proofErr w:type="spellEnd"/>
    </w:p>
    <w:p w:rsidR="00EA150B" w:rsidRDefault="00EA150B" w:rsidP="00EC79B0">
      <w:pPr>
        <w:jc w:val="both"/>
        <w:rPr>
          <w:szCs w:val="24"/>
        </w:rPr>
      </w:pPr>
    </w:p>
    <w:p w:rsidR="00EA150B" w:rsidRDefault="00EA150B" w:rsidP="00EC79B0">
      <w:pPr>
        <w:jc w:val="both"/>
        <w:rPr>
          <w:szCs w:val="24"/>
        </w:rPr>
      </w:pPr>
    </w:p>
    <w:p w:rsidR="00EA150B" w:rsidRPr="00870608" w:rsidRDefault="00EA150B" w:rsidP="00EC79B0">
      <w:pPr>
        <w:jc w:val="both"/>
        <w:rPr>
          <w:szCs w:val="24"/>
        </w:rPr>
      </w:pPr>
    </w:p>
    <w:p w:rsidR="001C4415" w:rsidRPr="00C65E58" w:rsidRDefault="001C4415" w:rsidP="001C4415">
      <w:pPr>
        <w:widowControl w:val="0"/>
        <w:outlineLvl w:val="0"/>
      </w:pPr>
      <w:r w:rsidRPr="00C65E58">
        <w:t xml:space="preserve">Supreme Court of Canada / </w:t>
      </w:r>
      <w:proofErr w:type="spellStart"/>
      <w:r w:rsidRPr="00C65E58">
        <w:t>Cour</w:t>
      </w:r>
      <w:proofErr w:type="spellEnd"/>
      <w:r w:rsidRPr="00C65E58">
        <w:t xml:space="preserve"> </w:t>
      </w:r>
      <w:proofErr w:type="spellStart"/>
      <w:r w:rsidRPr="00C65E58">
        <w:t>suprême</w:t>
      </w:r>
      <w:proofErr w:type="spellEnd"/>
      <w:r w:rsidRPr="00C65E58">
        <w:t xml:space="preserve"> du </w:t>
      </w:r>
      <w:proofErr w:type="gramStart"/>
      <w:r w:rsidRPr="00C65E58">
        <w:t>Canada :</w:t>
      </w:r>
      <w:proofErr w:type="gramEnd"/>
      <w:r w:rsidRPr="00C65E58">
        <w:t xml:space="preserve"> </w:t>
      </w:r>
    </w:p>
    <w:p w:rsidR="001C4415" w:rsidRPr="00A83C7E" w:rsidRDefault="00246289" w:rsidP="001C4415">
      <w:pPr>
        <w:widowControl w:val="0"/>
        <w:outlineLvl w:val="0"/>
        <w:rPr>
          <w:color w:val="0000FF"/>
          <w:u w:val="single"/>
        </w:rPr>
      </w:pPr>
      <w:hyperlink r:id="rId9" w:history="1">
        <w:r w:rsidR="001C4415" w:rsidRPr="00C65E58">
          <w:rPr>
            <w:rStyle w:val="Hyperlink"/>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36476C">
        <w:t>–</w:t>
      </w:r>
      <w:r w:rsidR="0036476C" w:rsidRPr="0036476C">
        <w:t xml:space="preserve"> </w:t>
      </w:r>
    </w:p>
    <w:p w:rsidR="0036476C" w:rsidRPr="00346B6F" w:rsidRDefault="0036476C" w:rsidP="00346B6F">
      <w:pPr>
        <w:pStyle w:val="Footer"/>
        <w:ind w:left="2160"/>
        <w:rPr>
          <w:color w:val="A6A6A6"/>
          <w:sz w:val="16"/>
          <w:szCs w:val="16"/>
          <w:lang w:val="fr-CA"/>
        </w:rPr>
      </w:pPr>
      <w:bookmarkStart w:id="8" w:name="_GoBack"/>
      <w:bookmarkEnd w:id="8"/>
    </w:p>
    <w:sectPr w:rsidR="0036476C" w:rsidRPr="00346B6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60140"/>
    <w:rsid w:val="00060B39"/>
    <w:rsid w:val="00061A14"/>
    <w:rsid w:val="00072A63"/>
    <w:rsid w:val="0008116D"/>
    <w:rsid w:val="000855FD"/>
    <w:rsid w:val="00087122"/>
    <w:rsid w:val="000927DB"/>
    <w:rsid w:val="0009615F"/>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5B5B"/>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289"/>
    <w:rsid w:val="0024634F"/>
    <w:rsid w:val="002511EB"/>
    <w:rsid w:val="00251D1B"/>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22E0"/>
    <w:rsid w:val="00324B83"/>
    <w:rsid w:val="003255C3"/>
    <w:rsid w:val="00334E40"/>
    <w:rsid w:val="00337D5F"/>
    <w:rsid w:val="00340C6D"/>
    <w:rsid w:val="00346B6F"/>
    <w:rsid w:val="00346F0D"/>
    <w:rsid w:val="003508A9"/>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824D8"/>
    <w:rsid w:val="0048671C"/>
    <w:rsid w:val="0048741E"/>
    <w:rsid w:val="00491284"/>
    <w:rsid w:val="004927D1"/>
    <w:rsid w:val="004A017B"/>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144"/>
    <w:rsid w:val="005E74B7"/>
    <w:rsid w:val="005F3B17"/>
    <w:rsid w:val="005F6821"/>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58E0"/>
    <w:rsid w:val="006A6C0C"/>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1782"/>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93647"/>
    <w:rsid w:val="008B305D"/>
    <w:rsid w:val="008B5FA3"/>
    <w:rsid w:val="008B5FDB"/>
    <w:rsid w:val="008B6308"/>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6FF1"/>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150B"/>
    <w:rsid w:val="00EA2FA7"/>
    <w:rsid w:val="00EA389B"/>
    <w:rsid w:val="00EB1B1D"/>
    <w:rsid w:val="00EB6CB3"/>
    <w:rsid w:val="00EC0B90"/>
    <w:rsid w:val="00EC103C"/>
    <w:rsid w:val="00EC79B0"/>
    <w:rsid w:val="00ED1C3A"/>
    <w:rsid w:val="00ED2D18"/>
    <w:rsid w:val="00ED4D5F"/>
    <w:rsid w:val="00ED67B7"/>
    <w:rsid w:val="00EE1079"/>
    <w:rsid w:val="00EE1D6B"/>
    <w:rsid w:val="00EE52D5"/>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NoSpacing">
    <w:name w:val="No Spacing"/>
    <w:uiPriority w:val="1"/>
    <w:qFormat/>
    <w:rsid w:val="00EA150B"/>
    <w:rPr>
      <w:sz w:val="24"/>
      <w:lang w:eastAsia="en-CA"/>
    </w:rPr>
  </w:style>
  <w:style w:type="paragraph" w:customStyle="1" w:styleId="SCCBanSummary">
    <w:name w:val="SCC.BanSummary"/>
    <w:basedOn w:val="Normal"/>
    <w:next w:val="Normal"/>
    <w:link w:val="SCCBanSummaryChar"/>
    <w:rsid w:val="00EA150B"/>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EA150B"/>
    <w:rPr>
      <w:rFonts w:eastAsiaTheme="minorHAnsi" w:cstheme="minorBidi"/>
      <w:smallCaps/>
      <w:sz w:val="24"/>
      <w:szCs w:val="22"/>
      <w:lang w:val="en-CA"/>
    </w:rPr>
  </w:style>
  <w:style w:type="paragraph" w:styleId="BalloonText">
    <w:name w:val="Balloon Text"/>
    <w:basedOn w:val="Normal"/>
    <w:link w:val="BalloonTextChar"/>
    <w:uiPriority w:val="99"/>
    <w:semiHidden/>
    <w:unhideWhenUsed/>
    <w:rsid w:val="005E7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83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599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1947</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12588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2015-12-08T14:54:00Z</dcterms:created>
  <dcterms:modified xsi:type="dcterms:W3CDTF">2015-12-08T15:22:00Z</dcterms:modified>
</cp:coreProperties>
</file>