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473E9" w:rsidRDefault="003F43E6" w:rsidP="00122CE1">
      <w:pPr>
        <w:pStyle w:val="Header"/>
        <w:tabs>
          <w:tab w:val="left" w:pos="1620"/>
          <w:tab w:val="left" w:pos="1710"/>
        </w:tabs>
        <w:jc w:val="center"/>
        <w:rPr>
          <w:b/>
          <w:sz w:val="32"/>
        </w:rPr>
      </w:pPr>
      <w:r w:rsidRPr="004473E9">
        <w:rPr>
          <w:b/>
          <w:sz w:val="32"/>
        </w:rPr>
        <w:t>Supreme Court of Canada / Cour suprême du Canada</w:t>
      </w:r>
    </w:p>
    <w:p w:rsidR="003F43E6" w:rsidRPr="004473E9" w:rsidRDefault="003F43E6" w:rsidP="006F2579">
      <w:pPr>
        <w:widowControl w:val="0"/>
        <w:rPr>
          <w:i/>
        </w:rPr>
      </w:pPr>
    </w:p>
    <w:p w:rsidR="006F2579" w:rsidRPr="004473E9" w:rsidRDefault="006F2579" w:rsidP="006F2579">
      <w:pPr>
        <w:widowControl w:val="0"/>
        <w:rPr>
          <w:i/>
        </w:rPr>
      </w:pPr>
      <w:r w:rsidRPr="004473E9">
        <w:rPr>
          <w:i/>
        </w:rPr>
        <w:t>(</w:t>
      </w:r>
      <w:bookmarkStart w:id="0" w:name="_GoBack"/>
      <w:bookmarkEnd w:id="0"/>
      <w:r w:rsidRPr="004473E9">
        <w:rPr>
          <w:i/>
        </w:rPr>
        <w:t>le français suit)</w:t>
      </w:r>
    </w:p>
    <w:p w:rsidR="006F2579" w:rsidRPr="004473E9" w:rsidRDefault="006F2579" w:rsidP="006F2579">
      <w:pPr>
        <w:widowControl w:val="0"/>
      </w:pPr>
    </w:p>
    <w:p w:rsidR="006F2579" w:rsidRPr="004473E9" w:rsidRDefault="00B07908" w:rsidP="006F2579">
      <w:pPr>
        <w:widowControl w:val="0"/>
        <w:jc w:val="center"/>
        <w:rPr>
          <w:b/>
        </w:rPr>
      </w:pPr>
      <w:r w:rsidRPr="004473E9">
        <w:fldChar w:fldCharType="begin"/>
      </w:r>
      <w:r w:rsidR="006F2579" w:rsidRPr="004473E9">
        <w:instrText xml:space="preserve"> SEQ CHAPTER \h \r 1</w:instrText>
      </w:r>
      <w:r w:rsidRPr="004473E9">
        <w:fldChar w:fldCharType="end"/>
      </w:r>
      <w:r w:rsidR="006F2579" w:rsidRPr="004473E9">
        <w:rPr>
          <w:b/>
        </w:rPr>
        <w:t>JUDGMENT</w:t>
      </w:r>
      <w:r w:rsidR="00B17AAC" w:rsidRPr="004473E9">
        <w:rPr>
          <w:b/>
        </w:rPr>
        <w:t>S</w:t>
      </w:r>
      <w:r w:rsidR="006F2579" w:rsidRPr="004473E9">
        <w:rPr>
          <w:b/>
        </w:rPr>
        <w:t xml:space="preserve"> TO B</w:t>
      </w:r>
      <w:r w:rsidR="00001846" w:rsidRPr="004473E9">
        <w:rPr>
          <w:b/>
        </w:rPr>
        <w:t>E RENDERED IN LEAVE APPLICATION</w:t>
      </w:r>
      <w:r w:rsidR="00B17AAC" w:rsidRPr="004473E9">
        <w:rPr>
          <w:b/>
        </w:rPr>
        <w:t>S</w:t>
      </w:r>
    </w:p>
    <w:p w:rsidR="006F2579" w:rsidRPr="004473E9" w:rsidRDefault="006F2579" w:rsidP="006F2579">
      <w:pPr>
        <w:widowControl w:val="0"/>
        <w:rPr>
          <w:b/>
        </w:rPr>
      </w:pPr>
    </w:p>
    <w:p w:rsidR="006F2579" w:rsidRPr="004473E9" w:rsidRDefault="004030D5" w:rsidP="006F2579">
      <w:pPr>
        <w:widowControl w:val="0"/>
        <w:rPr>
          <w:b/>
        </w:rPr>
      </w:pPr>
      <w:r w:rsidRPr="004473E9">
        <w:rPr>
          <w:b/>
        </w:rPr>
        <w:t>May</w:t>
      </w:r>
      <w:r w:rsidR="003817A9" w:rsidRPr="004473E9">
        <w:rPr>
          <w:b/>
        </w:rPr>
        <w:t xml:space="preserve"> </w:t>
      </w:r>
      <w:r w:rsidR="00647687">
        <w:rPr>
          <w:b/>
        </w:rPr>
        <w:t>30</w:t>
      </w:r>
      <w:r w:rsidR="00AB5538" w:rsidRPr="004473E9">
        <w:rPr>
          <w:b/>
        </w:rPr>
        <w:t>,</w:t>
      </w:r>
      <w:r w:rsidR="006F2579" w:rsidRPr="004473E9">
        <w:rPr>
          <w:b/>
        </w:rPr>
        <w:t xml:space="preserve"> </w:t>
      </w:r>
      <w:r w:rsidR="0054689F" w:rsidRPr="004473E9">
        <w:rPr>
          <w:b/>
        </w:rPr>
        <w:t>201</w:t>
      </w:r>
      <w:r w:rsidR="00674329" w:rsidRPr="004473E9">
        <w:rPr>
          <w:b/>
        </w:rPr>
        <w:t>6</w:t>
      </w:r>
    </w:p>
    <w:p w:rsidR="006F2579" w:rsidRPr="004473E9" w:rsidRDefault="006F2579" w:rsidP="006F2579">
      <w:pPr>
        <w:widowControl w:val="0"/>
        <w:rPr>
          <w:b/>
        </w:rPr>
      </w:pPr>
      <w:r w:rsidRPr="004473E9">
        <w:rPr>
          <w:b/>
        </w:rPr>
        <w:t>For immediate release</w:t>
      </w:r>
    </w:p>
    <w:p w:rsidR="006F2579" w:rsidRPr="004473E9" w:rsidRDefault="006F2579" w:rsidP="006F2579">
      <w:pPr>
        <w:widowControl w:val="0"/>
      </w:pPr>
    </w:p>
    <w:p w:rsidR="006F2579" w:rsidRPr="004473E9" w:rsidRDefault="006F2579" w:rsidP="006F2579">
      <w:pPr>
        <w:widowControl w:val="0"/>
      </w:pPr>
      <w:r w:rsidRPr="004473E9">
        <w:rPr>
          <w:b/>
        </w:rPr>
        <w:t>OTTAWA</w:t>
      </w:r>
      <w:r w:rsidRPr="004473E9">
        <w:t xml:space="preserve"> – The Supreme Court of Canada announced today that judgment in the following application</w:t>
      </w:r>
      <w:r w:rsidR="008600ED" w:rsidRPr="004473E9">
        <w:t>s</w:t>
      </w:r>
      <w:r w:rsidRPr="004473E9">
        <w:t xml:space="preserve"> for leave to appeal will be delivered at 9:45 a.m. E</w:t>
      </w:r>
      <w:r w:rsidR="003817A9" w:rsidRPr="004473E9">
        <w:t>D</w:t>
      </w:r>
      <w:r w:rsidRPr="004473E9">
        <w:t xml:space="preserve">T on Thursday, </w:t>
      </w:r>
      <w:r w:rsidR="00647687">
        <w:t>June</w:t>
      </w:r>
      <w:r w:rsidR="007E112F" w:rsidRPr="004473E9">
        <w:t xml:space="preserve"> </w:t>
      </w:r>
      <w:r w:rsidR="009313BE">
        <w:t>2</w:t>
      </w:r>
      <w:r w:rsidR="007E112F" w:rsidRPr="004473E9">
        <w:t>,</w:t>
      </w:r>
      <w:r w:rsidR="002F38D7" w:rsidRPr="004473E9">
        <w:t xml:space="preserve"> </w:t>
      </w:r>
      <w:r w:rsidR="006648D1" w:rsidRPr="004473E9">
        <w:t>201</w:t>
      </w:r>
      <w:r w:rsidR="00674329" w:rsidRPr="004473E9">
        <w:t>6</w:t>
      </w:r>
      <w:r w:rsidRPr="004473E9">
        <w:t>.  This list is subject to change.</w:t>
      </w:r>
    </w:p>
    <w:p w:rsidR="00FF5AA4" w:rsidRPr="004473E9" w:rsidRDefault="00FF5AA4" w:rsidP="006F2579">
      <w:pPr>
        <w:widowControl w:val="0"/>
      </w:pPr>
    </w:p>
    <w:p w:rsidR="00B43418" w:rsidRPr="004473E9" w:rsidRDefault="00B43418" w:rsidP="006F2579">
      <w:pPr>
        <w:widowControl w:val="0"/>
      </w:pPr>
    </w:p>
    <w:p w:rsidR="006F2579" w:rsidRPr="004473E9" w:rsidRDefault="006F2579" w:rsidP="006F2579">
      <w:pPr>
        <w:widowControl w:val="0"/>
        <w:jc w:val="center"/>
        <w:rPr>
          <w:lang w:val="fr-CA"/>
        </w:rPr>
      </w:pPr>
      <w:r w:rsidRPr="004473E9">
        <w:rPr>
          <w:b/>
          <w:lang w:val="fr-CA"/>
        </w:rPr>
        <w:t>PROCHAIN</w:t>
      </w:r>
      <w:r w:rsidR="00B17AAC" w:rsidRPr="004473E9">
        <w:rPr>
          <w:b/>
          <w:lang w:val="fr-CA"/>
        </w:rPr>
        <w:t>S</w:t>
      </w:r>
      <w:r w:rsidRPr="004473E9">
        <w:rPr>
          <w:b/>
          <w:lang w:val="fr-CA"/>
        </w:rPr>
        <w:t xml:space="preserve"> JUGEMENT</w:t>
      </w:r>
      <w:r w:rsidR="00B17AAC" w:rsidRPr="004473E9">
        <w:rPr>
          <w:b/>
          <w:lang w:val="fr-CA"/>
        </w:rPr>
        <w:t>S</w:t>
      </w:r>
      <w:r w:rsidR="00001846" w:rsidRPr="004473E9">
        <w:rPr>
          <w:b/>
          <w:lang w:val="fr-CA"/>
        </w:rPr>
        <w:t xml:space="preserve"> SUR DEMANDE</w:t>
      </w:r>
      <w:r w:rsidR="00B17AAC" w:rsidRPr="004473E9">
        <w:rPr>
          <w:b/>
          <w:lang w:val="fr-CA"/>
        </w:rPr>
        <w:t>S</w:t>
      </w:r>
      <w:r w:rsidRPr="004473E9">
        <w:rPr>
          <w:b/>
          <w:lang w:val="fr-CA"/>
        </w:rPr>
        <w:t xml:space="preserve"> D’AUTORISATION</w:t>
      </w:r>
    </w:p>
    <w:p w:rsidR="006F2579" w:rsidRPr="004473E9" w:rsidRDefault="006F2579" w:rsidP="006F2579">
      <w:pPr>
        <w:widowControl w:val="0"/>
        <w:rPr>
          <w:lang w:val="fr-CA"/>
        </w:rPr>
      </w:pPr>
    </w:p>
    <w:p w:rsidR="006F2579" w:rsidRPr="004473E9" w:rsidRDefault="006F2579" w:rsidP="006F2579">
      <w:pPr>
        <w:widowControl w:val="0"/>
        <w:rPr>
          <w:b/>
          <w:lang w:val="fr-CA"/>
        </w:rPr>
      </w:pPr>
      <w:r w:rsidRPr="004473E9">
        <w:rPr>
          <w:b/>
          <w:lang w:val="fr-CA"/>
        </w:rPr>
        <w:t>Le</w:t>
      </w:r>
      <w:r w:rsidR="00957A76" w:rsidRPr="004473E9">
        <w:rPr>
          <w:b/>
          <w:lang w:val="fr-CA"/>
        </w:rPr>
        <w:t xml:space="preserve"> </w:t>
      </w:r>
      <w:r w:rsidR="004C4BEC">
        <w:rPr>
          <w:b/>
          <w:lang w:val="fr-CA"/>
        </w:rPr>
        <w:t>30 mai</w:t>
      </w:r>
      <w:r w:rsidR="00674329" w:rsidRPr="004473E9">
        <w:rPr>
          <w:b/>
          <w:lang w:val="fr-CA"/>
        </w:rPr>
        <w:t xml:space="preserve"> 2016</w:t>
      </w:r>
    </w:p>
    <w:p w:rsidR="006F2579" w:rsidRPr="004473E9" w:rsidRDefault="006F2579" w:rsidP="006F2579">
      <w:pPr>
        <w:widowControl w:val="0"/>
        <w:rPr>
          <w:b/>
          <w:lang w:val="fr-CA"/>
        </w:rPr>
      </w:pPr>
      <w:r w:rsidRPr="004473E9">
        <w:rPr>
          <w:b/>
          <w:lang w:val="fr-CA"/>
        </w:rPr>
        <w:t>Pour diffusion immédiate</w:t>
      </w:r>
    </w:p>
    <w:p w:rsidR="006F2579" w:rsidRPr="004473E9" w:rsidRDefault="006F2579" w:rsidP="006F2579">
      <w:pPr>
        <w:widowControl w:val="0"/>
        <w:rPr>
          <w:b/>
          <w:lang w:val="fr-CA"/>
        </w:rPr>
      </w:pPr>
    </w:p>
    <w:p w:rsidR="006F2579" w:rsidRDefault="006F2579" w:rsidP="006F2579">
      <w:pPr>
        <w:widowControl w:val="0"/>
        <w:rPr>
          <w:lang w:val="fr-CA"/>
        </w:rPr>
      </w:pPr>
      <w:r w:rsidRPr="004473E9">
        <w:rPr>
          <w:b/>
          <w:lang w:val="fr-CA"/>
        </w:rPr>
        <w:t>OTTAWA</w:t>
      </w:r>
      <w:r w:rsidRPr="004473E9">
        <w:rPr>
          <w:lang w:val="fr-CA"/>
        </w:rPr>
        <w:t xml:space="preserve"> – La Cour suprême du Canada annonce que jugement ser</w:t>
      </w:r>
      <w:r w:rsidR="004259F9" w:rsidRPr="004473E9">
        <w:rPr>
          <w:lang w:val="fr-CA"/>
        </w:rPr>
        <w:t>a</w:t>
      </w:r>
      <w:r w:rsidRPr="004473E9">
        <w:rPr>
          <w:lang w:val="fr-CA"/>
        </w:rPr>
        <w:t xml:space="preserve"> rendu dans l</w:t>
      </w:r>
      <w:r w:rsidR="008600ED" w:rsidRPr="004473E9">
        <w:rPr>
          <w:lang w:val="fr-CA"/>
        </w:rPr>
        <w:t>es</w:t>
      </w:r>
      <w:r w:rsidRPr="004473E9">
        <w:rPr>
          <w:lang w:val="fr-CA"/>
        </w:rPr>
        <w:t xml:space="preserve"> demande</w:t>
      </w:r>
      <w:r w:rsidR="008600ED" w:rsidRPr="004473E9">
        <w:rPr>
          <w:lang w:val="fr-CA"/>
        </w:rPr>
        <w:t>s</w:t>
      </w:r>
      <w:r w:rsidRPr="004473E9">
        <w:rPr>
          <w:lang w:val="fr-CA"/>
        </w:rPr>
        <w:t xml:space="preserve"> d</w:t>
      </w:r>
      <w:r w:rsidR="00001846" w:rsidRPr="004473E9">
        <w:rPr>
          <w:lang w:val="fr-CA"/>
        </w:rPr>
        <w:t>’autorisation d’appel suivante</w:t>
      </w:r>
      <w:r w:rsidR="008600ED" w:rsidRPr="004473E9">
        <w:rPr>
          <w:lang w:val="fr-CA"/>
        </w:rPr>
        <w:t>s</w:t>
      </w:r>
      <w:r w:rsidRPr="004473E9">
        <w:rPr>
          <w:lang w:val="fr-CA"/>
        </w:rPr>
        <w:t xml:space="preserve"> le jeudi </w:t>
      </w:r>
      <w:r w:rsidR="002460F2" w:rsidRPr="004473E9">
        <w:rPr>
          <w:lang w:val="fr-CA"/>
        </w:rPr>
        <w:t>2</w:t>
      </w:r>
      <w:r w:rsidR="007E112F" w:rsidRPr="004473E9">
        <w:rPr>
          <w:lang w:val="fr-CA"/>
        </w:rPr>
        <w:t xml:space="preserve"> </w:t>
      </w:r>
      <w:r w:rsidR="00647687">
        <w:rPr>
          <w:lang w:val="fr-CA"/>
        </w:rPr>
        <w:t>juin</w:t>
      </w:r>
      <w:r w:rsidR="00674329" w:rsidRPr="004473E9">
        <w:rPr>
          <w:lang w:val="fr-CA"/>
        </w:rPr>
        <w:t xml:space="preserve"> </w:t>
      </w:r>
      <w:r w:rsidR="006648D1" w:rsidRPr="004473E9">
        <w:rPr>
          <w:lang w:val="fr-CA"/>
        </w:rPr>
        <w:t>201</w:t>
      </w:r>
      <w:r w:rsidR="00674329" w:rsidRPr="004473E9">
        <w:rPr>
          <w:lang w:val="fr-CA"/>
        </w:rPr>
        <w:t>6</w:t>
      </w:r>
      <w:r w:rsidRPr="004473E9">
        <w:rPr>
          <w:lang w:val="fr-CA"/>
        </w:rPr>
        <w:t xml:space="preserve">, à 9 h 45 </w:t>
      </w:r>
      <w:r w:rsidR="000627A2" w:rsidRPr="004473E9">
        <w:rPr>
          <w:lang w:val="fr-CA"/>
        </w:rPr>
        <w:t>H</w:t>
      </w:r>
      <w:r w:rsidR="003817A9" w:rsidRPr="004473E9">
        <w:rPr>
          <w:lang w:val="fr-CA"/>
        </w:rPr>
        <w:t>A</w:t>
      </w:r>
      <w:r w:rsidRPr="004473E9">
        <w:rPr>
          <w:lang w:val="fr-CA"/>
        </w:rPr>
        <w:t>E.  Cette liste est sujette à modifications.</w:t>
      </w:r>
    </w:p>
    <w:p w:rsidR="00EC7995" w:rsidRPr="00EC7995" w:rsidRDefault="00EC7995" w:rsidP="006F2579">
      <w:pPr>
        <w:widowControl w:val="0"/>
        <w:rPr>
          <w:sz w:val="20"/>
          <w:lang w:val="fr-CA"/>
        </w:rPr>
      </w:pPr>
    </w:p>
    <w:p w:rsidR="001838E0" w:rsidRPr="004473E9" w:rsidRDefault="003D353C" w:rsidP="009B14F4">
      <w:pPr>
        <w:widowControl w:val="0"/>
        <w:jc w:val="both"/>
        <w:rPr>
          <w:sz w:val="20"/>
          <w:lang w:val="fr-CA"/>
        </w:rPr>
      </w:pPr>
      <w:r w:rsidRPr="004473E9">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BE2C4B" w:rsidRDefault="00BE2C4B" w:rsidP="003E6A80">
      <w:pPr>
        <w:widowControl w:val="0"/>
        <w:autoSpaceDE w:val="0"/>
        <w:autoSpaceDN w:val="0"/>
        <w:adjustRightInd w:val="0"/>
        <w:ind w:left="360" w:hanging="360"/>
        <w:rPr>
          <w:rFonts w:eastAsiaTheme="minorEastAsia"/>
          <w:sz w:val="20"/>
          <w:lang w:val="en-CA" w:eastAsia="en-CA"/>
        </w:rPr>
      </w:pPr>
    </w:p>
    <w:p w:rsidR="003E6A80" w:rsidRPr="003E6A80" w:rsidRDefault="003E6A80" w:rsidP="003E6A80">
      <w:pPr>
        <w:pStyle w:val="ListParagraph"/>
        <w:numPr>
          <w:ilvl w:val="0"/>
          <w:numId w:val="34"/>
        </w:numPr>
        <w:ind w:left="360"/>
        <w:rPr>
          <w:sz w:val="20"/>
          <w:lang w:val="fr-FR" w:eastAsia="en-CA"/>
        </w:rPr>
      </w:pPr>
      <w:r w:rsidRPr="003E6A80">
        <w:rPr>
          <w:i/>
          <w:sz w:val="20"/>
          <w:lang w:val="en-CA" w:eastAsia="en-CA"/>
        </w:rPr>
        <w:t>Leslie Podolsk</w:t>
      </w:r>
      <w:r w:rsidR="00C747F2">
        <w:rPr>
          <w:i/>
          <w:sz w:val="20"/>
          <w:lang w:val="en-CA" w:eastAsia="en-CA"/>
        </w:rPr>
        <w:t>i</w:t>
      </w:r>
      <w:r w:rsidRPr="003E6A80">
        <w:rPr>
          <w:i/>
          <w:sz w:val="20"/>
          <w:lang w:val="en-CA" w:eastAsia="en-CA"/>
        </w:rPr>
        <w:t xml:space="preserve"> et al. v. Her Majesty the Queen</w:t>
      </w:r>
      <w:r w:rsidRPr="003E6A80">
        <w:rPr>
          <w:sz w:val="20"/>
          <w:lang w:val="en-CA" w:eastAsia="en-CA"/>
        </w:rPr>
        <w:t xml:space="preserve"> (B.C.) </w:t>
      </w:r>
      <w:r w:rsidRPr="003E6A80">
        <w:rPr>
          <w:sz w:val="20"/>
          <w:lang w:val="fr-FR" w:eastAsia="en-CA"/>
        </w:rPr>
        <w:t>(Criminal) (By Leave)</w:t>
      </w:r>
      <w:r w:rsidR="00C747F2">
        <w:rPr>
          <w:sz w:val="20"/>
          <w:lang w:val="fr-FR" w:eastAsia="en-CA"/>
        </w:rPr>
        <w:t xml:space="preserve"> </w:t>
      </w:r>
      <w:r w:rsidR="00C747F2" w:rsidRPr="004473E9">
        <w:rPr>
          <w:sz w:val="20"/>
          <w:lang w:val="en-CA"/>
        </w:rPr>
        <w:t>(</w:t>
      </w:r>
      <w:hyperlink r:id="rId8" w:history="1">
        <w:r w:rsidR="00C747F2" w:rsidRPr="004473E9">
          <w:rPr>
            <w:rStyle w:val="Hyperlink"/>
            <w:sz w:val="20"/>
            <w:szCs w:val="20"/>
            <w:lang w:val="en-CA"/>
          </w:rPr>
          <w:t>368</w:t>
        </w:r>
        <w:r w:rsidR="00C747F2">
          <w:rPr>
            <w:rStyle w:val="Hyperlink"/>
            <w:sz w:val="20"/>
            <w:szCs w:val="20"/>
            <w:lang w:val="en-CA"/>
          </w:rPr>
          <w:t>95</w:t>
        </w:r>
      </w:hyperlink>
      <w:r w:rsidR="00C747F2" w:rsidRPr="004473E9">
        <w:rPr>
          <w:sz w:val="20"/>
          <w:lang w:val="en-CA"/>
        </w:rPr>
        <w:t>)</w:t>
      </w:r>
    </w:p>
    <w:p w:rsidR="003E6A80" w:rsidRPr="003E6A80" w:rsidRDefault="003E6A80" w:rsidP="003E6A80">
      <w:pPr>
        <w:ind w:left="360" w:hanging="360"/>
        <w:rPr>
          <w:sz w:val="20"/>
          <w:lang w:val="fr-FR" w:eastAsia="en-CA"/>
        </w:rPr>
      </w:pPr>
    </w:p>
    <w:p w:rsidR="003E6A80" w:rsidRPr="003E6A80" w:rsidRDefault="003E6A80" w:rsidP="003E6A80">
      <w:pPr>
        <w:pStyle w:val="ListParagraph"/>
        <w:numPr>
          <w:ilvl w:val="0"/>
          <w:numId w:val="34"/>
        </w:numPr>
        <w:ind w:left="360"/>
        <w:rPr>
          <w:sz w:val="20"/>
          <w:lang w:val="en-CA" w:eastAsia="en-CA"/>
        </w:rPr>
      </w:pPr>
      <w:r w:rsidRPr="003E6A80">
        <w:rPr>
          <w:i/>
          <w:sz w:val="20"/>
          <w:lang w:val="en-CA" w:eastAsia="en-CA"/>
        </w:rPr>
        <w:t>John Gabriel Viszlai v. Her Majesty the Queen</w:t>
      </w:r>
      <w:r w:rsidRPr="003E6A80">
        <w:rPr>
          <w:sz w:val="20"/>
          <w:lang w:val="en-CA" w:eastAsia="en-CA"/>
        </w:rPr>
        <w:t xml:space="preserve"> (B.C.) (Criminal) (By Leave)</w:t>
      </w:r>
      <w:r w:rsidR="00A41E03">
        <w:rPr>
          <w:sz w:val="20"/>
          <w:lang w:val="en-CA" w:eastAsia="en-CA"/>
        </w:rPr>
        <w:t xml:space="preserve"> </w:t>
      </w:r>
      <w:r w:rsidR="00A41E03" w:rsidRPr="004473E9">
        <w:rPr>
          <w:sz w:val="20"/>
          <w:lang w:val="en-CA"/>
        </w:rPr>
        <w:t>(</w:t>
      </w:r>
      <w:hyperlink r:id="rId9" w:history="1">
        <w:r w:rsidR="00A41E03" w:rsidRPr="004473E9">
          <w:rPr>
            <w:rStyle w:val="Hyperlink"/>
            <w:sz w:val="20"/>
            <w:szCs w:val="20"/>
            <w:lang w:val="en-CA"/>
          </w:rPr>
          <w:t>368</w:t>
        </w:r>
        <w:r w:rsidR="00A41E03">
          <w:rPr>
            <w:rStyle w:val="Hyperlink"/>
            <w:sz w:val="20"/>
            <w:szCs w:val="20"/>
            <w:lang w:val="en-CA"/>
          </w:rPr>
          <w:t>2</w:t>
        </w:r>
        <w:r w:rsidR="00A41E03" w:rsidRPr="004473E9">
          <w:rPr>
            <w:rStyle w:val="Hyperlink"/>
            <w:sz w:val="20"/>
            <w:szCs w:val="20"/>
            <w:lang w:val="en-CA"/>
          </w:rPr>
          <w:t>4</w:t>
        </w:r>
      </w:hyperlink>
      <w:r w:rsidR="00A41E03" w:rsidRPr="004473E9">
        <w:rPr>
          <w:sz w:val="20"/>
          <w:lang w:val="en-CA"/>
        </w:rPr>
        <w:t>)</w:t>
      </w:r>
    </w:p>
    <w:p w:rsidR="003E6A80" w:rsidRPr="003E6A80" w:rsidRDefault="003E6A80" w:rsidP="003E6A80">
      <w:pPr>
        <w:ind w:left="360" w:hanging="360"/>
        <w:rPr>
          <w:sz w:val="20"/>
          <w:lang w:val="en-CA" w:eastAsia="en-CA"/>
        </w:rPr>
      </w:pPr>
    </w:p>
    <w:p w:rsidR="003E6A80" w:rsidRPr="003E6A80" w:rsidRDefault="003E6A80" w:rsidP="003E6A80">
      <w:pPr>
        <w:pStyle w:val="ListParagraph"/>
        <w:numPr>
          <w:ilvl w:val="0"/>
          <w:numId w:val="34"/>
        </w:numPr>
        <w:ind w:left="360"/>
        <w:rPr>
          <w:sz w:val="20"/>
          <w:lang w:val="en-CA" w:eastAsia="en-CA"/>
        </w:rPr>
      </w:pPr>
      <w:r w:rsidRPr="003E6A80">
        <w:rPr>
          <w:i/>
          <w:sz w:val="20"/>
          <w:lang w:val="en-CA" w:eastAsia="en-CA"/>
        </w:rPr>
        <w:t>Scott Galambos v. Her Majesty the Queen</w:t>
      </w:r>
      <w:r w:rsidRPr="003E6A80">
        <w:rPr>
          <w:sz w:val="20"/>
          <w:lang w:val="en-CA" w:eastAsia="en-CA"/>
        </w:rPr>
        <w:t xml:space="preserve"> (Ont.) (Criminal) (By Leave)</w:t>
      </w:r>
      <w:r w:rsidR="00194559">
        <w:rPr>
          <w:sz w:val="20"/>
          <w:lang w:val="en-CA" w:eastAsia="en-CA"/>
        </w:rPr>
        <w:t xml:space="preserve"> </w:t>
      </w:r>
      <w:r w:rsidR="00194559" w:rsidRPr="004473E9">
        <w:rPr>
          <w:sz w:val="20"/>
          <w:lang w:val="en-CA"/>
        </w:rPr>
        <w:t>(</w:t>
      </w:r>
      <w:hyperlink r:id="rId10" w:history="1">
        <w:r w:rsidR="00194559" w:rsidRPr="004473E9">
          <w:rPr>
            <w:rStyle w:val="Hyperlink"/>
            <w:sz w:val="20"/>
            <w:szCs w:val="20"/>
            <w:lang w:val="en-CA"/>
          </w:rPr>
          <w:t>36</w:t>
        </w:r>
        <w:r w:rsidR="00194559">
          <w:rPr>
            <w:rStyle w:val="Hyperlink"/>
            <w:sz w:val="20"/>
            <w:szCs w:val="20"/>
            <w:lang w:val="en-CA"/>
          </w:rPr>
          <w:t>906</w:t>
        </w:r>
      </w:hyperlink>
      <w:r w:rsidR="00194559" w:rsidRPr="004473E9">
        <w:rPr>
          <w:sz w:val="20"/>
          <w:lang w:val="en-CA"/>
        </w:rPr>
        <w:t>)</w:t>
      </w:r>
    </w:p>
    <w:p w:rsidR="003E6A80" w:rsidRPr="003E6A80" w:rsidRDefault="003E6A80" w:rsidP="003E6A80">
      <w:pPr>
        <w:ind w:left="360" w:hanging="360"/>
        <w:rPr>
          <w:sz w:val="20"/>
          <w:lang w:val="en-CA" w:eastAsia="en-CA"/>
        </w:rPr>
      </w:pPr>
    </w:p>
    <w:p w:rsidR="003E6A80" w:rsidRPr="003E6A80" w:rsidRDefault="003E6A80" w:rsidP="003E6A80">
      <w:pPr>
        <w:pStyle w:val="ListParagraph"/>
        <w:numPr>
          <w:ilvl w:val="0"/>
          <w:numId w:val="34"/>
        </w:numPr>
        <w:ind w:left="360"/>
        <w:rPr>
          <w:sz w:val="20"/>
          <w:lang w:val="en-CA" w:eastAsia="en-CA"/>
        </w:rPr>
      </w:pPr>
      <w:r w:rsidRPr="003E6A80">
        <w:rPr>
          <w:i/>
          <w:sz w:val="20"/>
          <w:lang w:val="en-CA" w:eastAsia="en-CA"/>
        </w:rPr>
        <w:t xml:space="preserve">O’Chiese First Nation v. Alberta Energy Regulator et al. </w:t>
      </w:r>
      <w:r w:rsidRPr="003E6A80">
        <w:rPr>
          <w:sz w:val="20"/>
          <w:lang w:val="en-CA" w:eastAsia="en-CA"/>
        </w:rPr>
        <w:t>(Alta.) (Civil) (By Leave)</w:t>
      </w:r>
      <w:r w:rsidR="007237EE">
        <w:rPr>
          <w:sz w:val="20"/>
          <w:lang w:val="en-CA" w:eastAsia="en-CA"/>
        </w:rPr>
        <w:t xml:space="preserve"> </w:t>
      </w:r>
      <w:r w:rsidR="007237EE" w:rsidRPr="004473E9">
        <w:rPr>
          <w:sz w:val="20"/>
          <w:lang w:val="en-CA"/>
        </w:rPr>
        <w:t>(</w:t>
      </w:r>
      <w:hyperlink r:id="rId11" w:history="1">
        <w:r w:rsidR="007237EE" w:rsidRPr="004473E9">
          <w:rPr>
            <w:rStyle w:val="Hyperlink"/>
            <w:sz w:val="20"/>
            <w:szCs w:val="20"/>
            <w:lang w:val="en-CA"/>
          </w:rPr>
          <w:t>368</w:t>
        </w:r>
        <w:r w:rsidR="007237EE">
          <w:rPr>
            <w:rStyle w:val="Hyperlink"/>
            <w:sz w:val="20"/>
            <w:szCs w:val="20"/>
            <w:lang w:val="en-CA"/>
          </w:rPr>
          <w:t>0</w:t>
        </w:r>
        <w:r w:rsidR="007237EE" w:rsidRPr="004473E9">
          <w:rPr>
            <w:rStyle w:val="Hyperlink"/>
            <w:sz w:val="20"/>
            <w:szCs w:val="20"/>
            <w:lang w:val="en-CA"/>
          </w:rPr>
          <w:t>1</w:t>
        </w:r>
      </w:hyperlink>
      <w:r w:rsidR="007237EE" w:rsidRPr="004473E9">
        <w:rPr>
          <w:sz w:val="20"/>
          <w:lang w:val="en-CA"/>
        </w:rPr>
        <w:t>)</w:t>
      </w:r>
    </w:p>
    <w:p w:rsidR="003E6A80" w:rsidRPr="003E6A80" w:rsidRDefault="003E6A80" w:rsidP="003E6A80">
      <w:pPr>
        <w:widowControl w:val="0"/>
        <w:autoSpaceDE w:val="0"/>
        <w:autoSpaceDN w:val="0"/>
        <w:adjustRightInd w:val="0"/>
        <w:ind w:left="360" w:hanging="360"/>
        <w:rPr>
          <w:rFonts w:eastAsiaTheme="minorEastAsia"/>
          <w:sz w:val="20"/>
          <w:lang w:val="en-CA" w:eastAsia="en-CA"/>
        </w:rPr>
      </w:pPr>
    </w:p>
    <w:p w:rsidR="003E6A80" w:rsidRPr="003E6A80" w:rsidRDefault="003E6A80" w:rsidP="003E6A80">
      <w:pPr>
        <w:pStyle w:val="SCCAppellantInfoAppellantInfo"/>
        <w:numPr>
          <w:ilvl w:val="0"/>
          <w:numId w:val="34"/>
        </w:numPr>
        <w:ind w:left="360"/>
        <w:rPr>
          <w:rFonts w:ascii="Calibri" w:hAnsi="Calibri"/>
          <w:sz w:val="20"/>
          <w:szCs w:val="20"/>
        </w:rPr>
      </w:pPr>
      <w:r w:rsidRPr="003E6A80">
        <w:rPr>
          <w:bCs/>
          <w:i/>
          <w:iCs/>
          <w:sz w:val="20"/>
          <w:szCs w:val="20"/>
        </w:rPr>
        <w:t>Louis Kakoutis et al. v. Bank of Nova Scotia</w:t>
      </w:r>
      <w:r w:rsidRPr="003E6A80">
        <w:rPr>
          <w:sz w:val="20"/>
          <w:szCs w:val="20"/>
        </w:rPr>
        <w:t xml:space="preserve"> (Ont.) (Civil) (By Leave)</w:t>
      </w:r>
      <w:r w:rsidR="00285776">
        <w:rPr>
          <w:sz w:val="20"/>
          <w:szCs w:val="20"/>
        </w:rPr>
        <w:t xml:space="preserve"> </w:t>
      </w:r>
      <w:r w:rsidR="00285776" w:rsidRPr="004473E9">
        <w:rPr>
          <w:sz w:val="20"/>
        </w:rPr>
        <w:t>(</w:t>
      </w:r>
      <w:hyperlink r:id="rId12" w:history="1">
        <w:r w:rsidR="00285776" w:rsidRPr="004473E9">
          <w:rPr>
            <w:rStyle w:val="Hyperlink"/>
            <w:sz w:val="20"/>
            <w:szCs w:val="20"/>
          </w:rPr>
          <w:t>368</w:t>
        </w:r>
        <w:r w:rsidR="00285776">
          <w:rPr>
            <w:rStyle w:val="Hyperlink"/>
            <w:sz w:val="20"/>
            <w:szCs w:val="20"/>
          </w:rPr>
          <w:t>78</w:t>
        </w:r>
      </w:hyperlink>
      <w:r w:rsidR="00285776" w:rsidRPr="004473E9">
        <w:rPr>
          <w:sz w:val="20"/>
        </w:rPr>
        <w:t>)</w:t>
      </w:r>
    </w:p>
    <w:p w:rsidR="003E6A80" w:rsidRPr="003E6A80" w:rsidRDefault="003E6A80" w:rsidP="003E6A80">
      <w:pPr>
        <w:ind w:left="360" w:hanging="360"/>
        <w:rPr>
          <w:sz w:val="20"/>
        </w:rPr>
      </w:pPr>
    </w:p>
    <w:p w:rsidR="003E6A80" w:rsidRPr="003E6A80" w:rsidRDefault="003A08CE" w:rsidP="003E6A80">
      <w:pPr>
        <w:pStyle w:val="SCCAppellantInfoAppellantInfo"/>
        <w:numPr>
          <w:ilvl w:val="0"/>
          <w:numId w:val="34"/>
        </w:numPr>
        <w:ind w:left="360"/>
        <w:rPr>
          <w:sz w:val="20"/>
          <w:szCs w:val="20"/>
        </w:rPr>
      </w:pPr>
      <w:r>
        <w:rPr>
          <w:bCs/>
          <w:i/>
          <w:iCs/>
          <w:sz w:val="20"/>
          <w:szCs w:val="20"/>
        </w:rPr>
        <w:t>Rosa Everett</w:t>
      </w:r>
      <w:r w:rsidR="003E6A80" w:rsidRPr="003E6A80">
        <w:rPr>
          <w:bCs/>
          <w:i/>
          <w:iCs/>
          <w:sz w:val="20"/>
          <w:szCs w:val="20"/>
        </w:rPr>
        <w:t xml:space="preserve"> et al. v. Keith McCaskill et al.</w:t>
      </w:r>
      <w:r w:rsidR="003E6A80" w:rsidRPr="003E6A80">
        <w:rPr>
          <w:sz w:val="20"/>
          <w:szCs w:val="20"/>
        </w:rPr>
        <w:t xml:space="preserve"> (Man.) (Civil) (By Leave)</w:t>
      </w:r>
      <w:r>
        <w:rPr>
          <w:sz w:val="20"/>
          <w:szCs w:val="20"/>
        </w:rPr>
        <w:t xml:space="preserve"> </w:t>
      </w:r>
      <w:r w:rsidRPr="004473E9">
        <w:rPr>
          <w:sz w:val="20"/>
        </w:rPr>
        <w:t>(</w:t>
      </w:r>
      <w:hyperlink r:id="rId13" w:history="1">
        <w:r w:rsidRPr="004473E9">
          <w:rPr>
            <w:rStyle w:val="Hyperlink"/>
            <w:sz w:val="20"/>
            <w:szCs w:val="20"/>
          </w:rPr>
          <w:t>3684</w:t>
        </w:r>
        <w:r>
          <w:rPr>
            <w:rStyle w:val="Hyperlink"/>
            <w:sz w:val="20"/>
            <w:szCs w:val="20"/>
          </w:rPr>
          <w:t>7</w:t>
        </w:r>
      </w:hyperlink>
      <w:r w:rsidRPr="004473E9">
        <w:rPr>
          <w:sz w:val="20"/>
        </w:rPr>
        <w:t>)</w:t>
      </w:r>
    </w:p>
    <w:p w:rsidR="003E6A80" w:rsidRPr="003E6A80" w:rsidRDefault="003E6A80" w:rsidP="003E6A80">
      <w:pPr>
        <w:ind w:left="360" w:hanging="360"/>
        <w:rPr>
          <w:sz w:val="20"/>
        </w:rPr>
      </w:pPr>
    </w:p>
    <w:p w:rsidR="003E6A80" w:rsidRPr="003E6A80" w:rsidRDefault="003E6A80" w:rsidP="003E6A80">
      <w:pPr>
        <w:pStyle w:val="SCCAppellantInfoAppellantInfo"/>
        <w:numPr>
          <w:ilvl w:val="0"/>
          <w:numId w:val="34"/>
        </w:numPr>
        <w:ind w:left="360"/>
        <w:rPr>
          <w:sz w:val="20"/>
          <w:szCs w:val="20"/>
        </w:rPr>
      </w:pPr>
      <w:r w:rsidRPr="003E6A80">
        <w:rPr>
          <w:bCs/>
          <w:i/>
          <w:iCs/>
          <w:sz w:val="20"/>
          <w:szCs w:val="20"/>
        </w:rPr>
        <w:t>Nadejda Aletkina v. Hospital for Sick Children</w:t>
      </w:r>
      <w:r w:rsidRPr="003E6A80">
        <w:rPr>
          <w:sz w:val="20"/>
          <w:szCs w:val="20"/>
        </w:rPr>
        <w:t xml:space="preserve"> (Ont.) (Civil) (By Leave)</w:t>
      </w:r>
      <w:r w:rsidR="007947F4">
        <w:rPr>
          <w:sz w:val="20"/>
          <w:szCs w:val="20"/>
        </w:rPr>
        <w:t xml:space="preserve"> </w:t>
      </w:r>
      <w:r w:rsidR="007947F4" w:rsidRPr="004473E9">
        <w:rPr>
          <w:sz w:val="20"/>
        </w:rPr>
        <w:t>(</w:t>
      </w:r>
      <w:hyperlink r:id="rId14" w:history="1">
        <w:r w:rsidR="007947F4" w:rsidRPr="004473E9">
          <w:rPr>
            <w:rStyle w:val="Hyperlink"/>
            <w:sz w:val="20"/>
            <w:szCs w:val="20"/>
          </w:rPr>
          <w:t>368</w:t>
        </w:r>
        <w:r w:rsidR="007947F4">
          <w:rPr>
            <w:rStyle w:val="Hyperlink"/>
            <w:sz w:val="20"/>
            <w:szCs w:val="20"/>
          </w:rPr>
          <w:t>7</w:t>
        </w:r>
        <w:r w:rsidR="007947F4" w:rsidRPr="004473E9">
          <w:rPr>
            <w:rStyle w:val="Hyperlink"/>
            <w:sz w:val="20"/>
            <w:szCs w:val="20"/>
          </w:rPr>
          <w:t>1</w:t>
        </w:r>
      </w:hyperlink>
      <w:r w:rsidR="007947F4" w:rsidRPr="004473E9">
        <w:rPr>
          <w:sz w:val="20"/>
        </w:rPr>
        <w:t>)</w:t>
      </w:r>
    </w:p>
    <w:p w:rsidR="003E6A80" w:rsidRPr="003E6A80" w:rsidRDefault="003E6A80" w:rsidP="003E6A80">
      <w:pPr>
        <w:ind w:left="360" w:hanging="360"/>
        <w:rPr>
          <w:rFonts w:ascii="Calibri" w:hAnsi="Calibri"/>
          <w:sz w:val="20"/>
        </w:rPr>
      </w:pPr>
    </w:p>
    <w:p w:rsidR="003E6A80" w:rsidRPr="003E6A80" w:rsidRDefault="003E6A80" w:rsidP="003E6A80">
      <w:pPr>
        <w:pStyle w:val="SCCAppellantInfoAppellantInfo"/>
        <w:numPr>
          <w:ilvl w:val="0"/>
          <w:numId w:val="34"/>
        </w:numPr>
        <w:ind w:left="360"/>
        <w:rPr>
          <w:sz w:val="20"/>
          <w:szCs w:val="20"/>
        </w:rPr>
      </w:pPr>
      <w:r w:rsidRPr="003E6A80">
        <w:rPr>
          <w:bCs/>
          <w:i/>
          <w:iCs/>
          <w:sz w:val="20"/>
          <w:szCs w:val="20"/>
        </w:rPr>
        <w:t>Angelina Bailey v. Estate of Gerald Harry Barbour</w:t>
      </w:r>
      <w:r w:rsidRPr="003E6A80">
        <w:rPr>
          <w:sz w:val="20"/>
          <w:szCs w:val="20"/>
        </w:rPr>
        <w:t xml:space="preserve"> (Ont.) (Civil) (By Leave)</w:t>
      </w:r>
      <w:r w:rsidR="009B7407">
        <w:rPr>
          <w:sz w:val="20"/>
          <w:szCs w:val="20"/>
        </w:rPr>
        <w:t xml:space="preserve"> </w:t>
      </w:r>
      <w:r w:rsidR="009B7407" w:rsidRPr="004473E9">
        <w:rPr>
          <w:sz w:val="20"/>
        </w:rPr>
        <w:t>(</w:t>
      </w:r>
      <w:hyperlink r:id="rId15" w:history="1">
        <w:r w:rsidR="009B7407" w:rsidRPr="004473E9">
          <w:rPr>
            <w:rStyle w:val="Hyperlink"/>
            <w:sz w:val="20"/>
            <w:szCs w:val="20"/>
          </w:rPr>
          <w:t>36</w:t>
        </w:r>
        <w:r w:rsidR="009B7407">
          <w:rPr>
            <w:rStyle w:val="Hyperlink"/>
            <w:sz w:val="20"/>
            <w:szCs w:val="20"/>
          </w:rPr>
          <w:t>926</w:t>
        </w:r>
      </w:hyperlink>
      <w:r w:rsidR="009B7407" w:rsidRPr="004473E9">
        <w:rPr>
          <w:sz w:val="20"/>
        </w:rPr>
        <w:t>)</w:t>
      </w:r>
    </w:p>
    <w:p w:rsidR="003E6A80" w:rsidRPr="003E6A80" w:rsidRDefault="003E6A80" w:rsidP="003E6A80">
      <w:pPr>
        <w:ind w:left="360" w:hanging="360"/>
        <w:rPr>
          <w:sz w:val="20"/>
          <w:lang w:val="en-CA"/>
        </w:rPr>
      </w:pPr>
    </w:p>
    <w:p w:rsidR="003E6A80" w:rsidRPr="003E6A80" w:rsidRDefault="003E6A80" w:rsidP="003E6A80">
      <w:pPr>
        <w:pStyle w:val="ListParagraph"/>
        <w:numPr>
          <w:ilvl w:val="0"/>
          <w:numId w:val="34"/>
        </w:numPr>
        <w:ind w:left="360"/>
        <w:rPr>
          <w:rFonts w:eastAsiaTheme="minorEastAsia"/>
          <w:sz w:val="20"/>
          <w:lang w:val="en-CA" w:eastAsia="en-CA"/>
        </w:rPr>
      </w:pPr>
      <w:r w:rsidRPr="009B7407">
        <w:rPr>
          <w:bCs/>
          <w:i/>
          <w:iCs/>
          <w:sz w:val="20"/>
        </w:rPr>
        <w:t>Raynald Grenier c. Procureur général du Canada pour l'Agence du revenu du Canada</w:t>
      </w:r>
      <w:r w:rsidRPr="009B7407">
        <w:rPr>
          <w:i/>
          <w:sz w:val="20"/>
        </w:rPr>
        <w:t xml:space="preserve"> (ARC)</w:t>
      </w:r>
      <w:r w:rsidRPr="003E6A80">
        <w:rPr>
          <w:sz w:val="20"/>
        </w:rPr>
        <w:t xml:space="preserve"> (C</w:t>
      </w:r>
      <w:r w:rsidR="009B7407">
        <w:rPr>
          <w:sz w:val="20"/>
        </w:rPr>
        <w:t>.</w:t>
      </w:r>
      <w:r w:rsidRPr="003E6A80">
        <w:rPr>
          <w:sz w:val="20"/>
        </w:rPr>
        <w:t>F</w:t>
      </w:r>
      <w:r w:rsidR="009B7407">
        <w:rPr>
          <w:sz w:val="20"/>
        </w:rPr>
        <w:t>.</w:t>
      </w:r>
      <w:r w:rsidRPr="003E6A80">
        <w:rPr>
          <w:sz w:val="20"/>
        </w:rPr>
        <w:t>) (Civile) (Autorisation)</w:t>
      </w:r>
      <w:r w:rsidR="009B7407">
        <w:rPr>
          <w:sz w:val="20"/>
        </w:rPr>
        <w:t xml:space="preserve"> </w:t>
      </w:r>
      <w:r w:rsidR="009B7407" w:rsidRPr="004473E9">
        <w:rPr>
          <w:sz w:val="20"/>
          <w:lang w:val="fr-FR" w:eastAsia="en-CA"/>
        </w:rPr>
        <w:t>(</w:t>
      </w:r>
      <w:hyperlink r:id="rId16" w:history="1">
        <w:r w:rsidR="009B7407" w:rsidRPr="004473E9">
          <w:rPr>
            <w:rStyle w:val="Hyperlink"/>
            <w:sz w:val="20"/>
            <w:lang w:val="fr-FR" w:eastAsia="en-CA"/>
          </w:rPr>
          <w:t>36</w:t>
        </w:r>
        <w:r w:rsidR="009B7407">
          <w:rPr>
            <w:rStyle w:val="Hyperlink"/>
            <w:sz w:val="20"/>
            <w:lang w:val="fr-FR" w:eastAsia="en-CA"/>
          </w:rPr>
          <w:t>8</w:t>
        </w:r>
        <w:r w:rsidR="009B7407" w:rsidRPr="004473E9">
          <w:rPr>
            <w:rStyle w:val="Hyperlink"/>
            <w:sz w:val="20"/>
            <w:lang w:val="fr-FR" w:eastAsia="en-CA"/>
          </w:rPr>
          <w:t>7</w:t>
        </w:r>
        <w:r w:rsidR="009B7407">
          <w:rPr>
            <w:rStyle w:val="Hyperlink"/>
            <w:sz w:val="20"/>
            <w:lang w:val="fr-FR" w:eastAsia="en-CA"/>
          </w:rPr>
          <w:t>6</w:t>
        </w:r>
      </w:hyperlink>
      <w:r w:rsidR="009B7407" w:rsidRPr="004473E9">
        <w:rPr>
          <w:sz w:val="20"/>
          <w:lang w:val="fr-FR" w:eastAsia="en-CA"/>
        </w:rPr>
        <w:t>)</w:t>
      </w:r>
    </w:p>
    <w:p w:rsidR="003E6A80" w:rsidRPr="001E4596" w:rsidRDefault="003E6A80" w:rsidP="001E4596">
      <w:pPr>
        <w:widowControl w:val="0"/>
        <w:autoSpaceDE w:val="0"/>
        <w:autoSpaceDN w:val="0"/>
        <w:adjustRightInd w:val="0"/>
        <w:ind w:left="360" w:hanging="360"/>
        <w:jc w:val="both"/>
        <w:rPr>
          <w:rFonts w:eastAsiaTheme="minorEastAsia"/>
          <w:sz w:val="20"/>
          <w:lang w:val="en-CA" w:eastAsia="en-CA"/>
        </w:rPr>
      </w:pPr>
    </w:p>
    <w:p w:rsidR="007861AA" w:rsidRPr="001E4596" w:rsidRDefault="007861AA" w:rsidP="001E4596">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1E4596" w:rsidRPr="001E4596" w:rsidTr="00E95A6A">
        <w:tc>
          <w:tcPr>
            <w:tcW w:w="543" w:type="pct"/>
          </w:tcPr>
          <w:p w:rsidR="001E4596" w:rsidRPr="001E4596" w:rsidRDefault="001E4596" w:rsidP="001E4596">
            <w:pPr>
              <w:jc w:val="both"/>
              <w:rPr>
                <w:sz w:val="20"/>
              </w:rPr>
            </w:pPr>
            <w:r w:rsidRPr="001E4596">
              <w:rPr>
                <w:rStyle w:val="SCCFileNumberChar"/>
                <w:sz w:val="20"/>
                <w:szCs w:val="20"/>
              </w:rPr>
              <w:t>36895</w:t>
            </w:r>
          </w:p>
        </w:tc>
        <w:tc>
          <w:tcPr>
            <w:tcW w:w="4457" w:type="pct"/>
          </w:tcPr>
          <w:p w:rsidR="001E4596" w:rsidRPr="001E4596" w:rsidRDefault="001E4596" w:rsidP="001E4596">
            <w:pPr>
              <w:pStyle w:val="SCCLsocParty"/>
              <w:jc w:val="both"/>
              <w:rPr>
                <w:b/>
                <w:sz w:val="20"/>
                <w:szCs w:val="20"/>
              </w:rPr>
            </w:pPr>
            <w:r w:rsidRPr="001E4596">
              <w:rPr>
                <w:b/>
                <w:sz w:val="20"/>
                <w:szCs w:val="20"/>
              </w:rPr>
              <w:t>Leslie Podolski v. Her Majesty the Queen</w:t>
            </w:r>
          </w:p>
          <w:p w:rsidR="001E4596" w:rsidRPr="001E4596" w:rsidRDefault="001E4596" w:rsidP="001E4596">
            <w:pPr>
              <w:pStyle w:val="SCCLsocSubfileSeparator"/>
              <w:rPr>
                <w:sz w:val="20"/>
                <w:szCs w:val="20"/>
              </w:rPr>
            </w:pPr>
            <w:r w:rsidRPr="001E4596">
              <w:rPr>
                <w:sz w:val="20"/>
                <w:szCs w:val="20"/>
              </w:rPr>
              <w:t>- and between -</w:t>
            </w:r>
          </w:p>
          <w:p w:rsidR="001E4596" w:rsidRPr="001E4596" w:rsidRDefault="001E4596" w:rsidP="001E4596">
            <w:pPr>
              <w:pStyle w:val="SCCLsocParty"/>
              <w:jc w:val="both"/>
              <w:rPr>
                <w:b/>
                <w:sz w:val="20"/>
                <w:szCs w:val="20"/>
              </w:rPr>
            </w:pPr>
            <w:r w:rsidRPr="001E4596">
              <w:rPr>
                <w:b/>
                <w:sz w:val="20"/>
                <w:szCs w:val="20"/>
              </w:rPr>
              <w:t>Peter Manolakos v. Her Majesty the Queen</w:t>
            </w:r>
          </w:p>
          <w:p w:rsidR="001E4596" w:rsidRPr="001E4596" w:rsidRDefault="001E4596" w:rsidP="001E4596">
            <w:pPr>
              <w:pStyle w:val="SCCLsocSubfileSeparator"/>
              <w:rPr>
                <w:sz w:val="20"/>
                <w:szCs w:val="20"/>
              </w:rPr>
            </w:pPr>
            <w:r w:rsidRPr="001E4596">
              <w:rPr>
                <w:sz w:val="20"/>
                <w:szCs w:val="20"/>
              </w:rPr>
              <w:t>- and between -</w:t>
            </w:r>
          </w:p>
          <w:p w:rsidR="001E4596" w:rsidRPr="001E4596" w:rsidRDefault="001E4596" w:rsidP="001E4596">
            <w:pPr>
              <w:pStyle w:val="SCCLsocParty"/>
              <w:jc w:val="both"/>
              <w:rPr>
                <w:b/>
                <w:sz w:val="20"/>
                <w:szCs w:val="20"/>
              </w:rPr>
            </w:pPr>
            <w:r w:rsidRPr="001E4596">
              <w:rPr>
                <w:b/>
                <w:sz w:val="20"/>
                <w:szCs w:val="20"/>
              </w:rPr>
              <w:t>Sheldon O’Donnell v. Her Majesty the Queen</w:t>
            </w:r>
          </w:p>
          <w:p w:rsidR="001E4596" w:rsidRPr="001E4596" w:rsidRDefault="001E4596" w:rsidP="001E4596">
            <w:pPr>
              <w:jc w:val="both"/>
              <w:rPr>
                <w:sz w:val="20"/>
              </w:rPr>
            </w:pPr>
            <w:r w:rsidRPr="001E4596">
              <w:rPr>
                <w:sz w:val="20"/>
              </w:rPr>
              <w:t>(B.C.) (Criminal) (By Leave)</w:t>
            </w:r>
          </w:p>
        </w:tc>
      </w:tr>
      <w:tr w:rsidR="001E4596" w:rsidRPr="001E4596" w:rsidTr="00E95A6A">
        <w:tc>
          <w:tcPr>
            <w:tcW w:w="5000" w:type="pct"/>
            <w:gridSpan w:val="2"/>
          </w:tcPr>
          <w:p w:rsidR="001E4596" w:rsidRPr="001E4596" w:rsidRDefault="001E4596" w:rsidP="001E4596">
            <w:pPr>
              <w:pStyle w:val="SCCBanSummary"/>
              <w:rPr>
                <w:sz w:val="20"/>
                <w:szCs w:val="20"/>
              </w:rPr>
            </w:pPr>
            <w:r w:rsidRPr="001E4596">
              <w:rPr>
                <w:sz w:val="20"/>
                <w:szCs w:val="20"/>
              </w:rPr>
              <w:lastRenderedPageBreak/>
              <w:t>(Publication ban in case) (Sealing order)</w:t>
            </w:r>
          </w:p>
          <w:p w:rsidR="001E4596" w:rsidRPr="001E4596" w:rsidRDefault="001E4596" w:rsidP="001E4596">
            <w:pPr>
              <w:jc w:val="both"/>
              <w:rPr>
                <w:sz w:val="20"/>
              </w:rPr>
            </w:pPr>
          </w:p>
        </w:tc>
      </w:tr>
      <w:tr w:rsidR="001E4596" w:rsidRPr="001E4596" w:rsidTr="00E95A6A">
        <w:tc>
          <w:tcPr>
            <w:tcW w:w="5000" w:type="pct"/>
            <w:gridSpan w:val="2"/>
          </w:tcPr>
          <w:p w:rsidR="001E4596" w:rsidRPr="001E4596" w:rsidRDefault="001E4596" w:rsidP="001E4596">
            <w:pPr>
              <w:jc w:val="both"/>
              <w:rPr>
                <w:sz w:val="20"/>
                <w:lang w:val="en-GB"/>
              </w:rPr>
            </w:pPr>
            <w:r w:rsidRPr="001E4596">
              <w:rPr>
                <w:sz w:val="20"/>
              </w:rPr>
              <w:t xml:space="preserve">Criminal law – Informer privilege – Appeals – </w:t>
            </w:r>
            <w:r w:rsidRPr="001E4596">
              <w:rPr>
                <w:sz w:val="20"/>
                <w:lang w:val="en-GB"/>
              </w:rPr>
              <w:t xml:space="preserve">Powers of court of appeal – Applicants convicted of offences in relation to killing of three men – Applicants appealing series of alleged errors by trial judge at </w:t>
            </w:r>
            <w:r w:rsidRPr="001E4596">
              <w:rPr>
                <w:i/>
                <w:sz w:val="20"/>
                <w:lang w:val="en-GB"/>
              </w:rPr>
              <w:t xml:space="preserve">in camera </w:t>
            </w:r>
            <w:r w:rsidRPr="001E4596">
              <w:rPr>
                <w:sz w:val="20"/>
                <w:lang w:val="en-GB"/>
              </w:rPr>
              <w:t xml:space="preserve">inquiry into informer privilege – Crown seeking to strike grounds of appeal based on applicants’ lack of standing – Whether </w:t>
            </w:r>
            <w:r w:rsidRPr="001E4596">
              <w:rPr>
                <w:sz w:val="20"/>
              </w:rPr>
              <w:t xml:space="preserve">the Court of Appeal erred in law in applying the wrong legal test for striking out the grounds of appeal on a preliminary basis, without a hearing on the merits – Whether the Court of Appeal erred in law in striking out the grounds of appeal relating to a series of errors committed by the trial judge in off-the-record, </w:t>
            </w:r>
            <w:r w:rsidRPr="001E4596">
              <w:rPr>
                <w:i/>
                <w:iCs/>
                <w:sz w:val="20"/>
              </w:rPr>
              <w:t xml:space="preserve">in camera </w:t>
            </w:r>
            <w:r w:rsidRPr="001E4596">
              <w:rPr>
                <w:sz w:val="20"/>
              </w:rPr>
              <w:t xml:space="preserve">proceedings – </w:t>
            </w:r>
            <w:r w:rsidRPr="001E4596">
              <w:rPr>
                <w:i/>
                <w:sz w:val="20"/>
              </w:rPr>
              <w:t>Criminal Code</w:t>
            </w:r>
            <w:r w:rsidRPr="001E4596">
              <w:rPr>
                <w:sz w:val="20"/>
              </w:rPr>
              <w:t>, R.S.C. 1985, c. C-46, ss. 482, 683(3) and 685.</w:t>
            </w:r>
          </w:p>
          <w:p w:rsidR="001E4596" w:rsidRPr="001E4596" w:rsidRDefault="001E4596" w:rsidP="001E4596">
            <w:pPr>
              <w:jc w:val="both"/>
              <w:rPr>
                <w:sz w:val="20"/>
              </w:rPr>
            </w:pPr>
          </w:p>
          <w:p w:rsidR="001E4596" w:rsidRDefault="001E4596" w:rsidP="001E4596">
            <w:pPr>
              <w:jc w:val="both"/>
              <w:rPr>
                <w:sz w:val="20"/>
              </w:rPr>
            </w:pPr>
            <w:r w:rsidRPr="001E4596">
              <w:rPr>
                <w:sz w:val="20"/>
              </w:rPr>
              <w:t>The three applicants (along with two other accused) were charged with offences relating to the killing of three men. Before trial, the trial judge held an off-the record inquiry into confidential informant status of several individuals. Only one individual was found to be a confidential informant. The applicants were tried and convicted by a jury. Each of the three applicants appealed his conviction. In their notices of appeal, the applicants asserted, among others, a number of deficiencies in the conduct of the off-the-record inquiry. The Crown sought to strike these grounds of appeal from the applicants’ notices of appeal on the basis that the applicants lacked standing to appeal a ruling on informer privilege.</w:t>
            </w:r>
          </w:p>
          <w:p w:rsidR="00601F00" w:rsidRPr="001E4596" w:rsidRDefault="00601F00" w:rsidP="001E4596">
            <w:pPr>
              <w:jc w:val="both"/>
              <w:rPr>
                <w:sz w:val="20"/>
              </w:rPr>
            </w:pPr>
          </w:p>
        </w:tc>
      </w:tr>
      <w:tr w:rsidR="001E4596" w:rsidRPr="001E4596" w:rsidTr="001E4596">
        <w:trPr>
          <w:trHeight w:val="3186"/>
        </w:trPr>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91"/>
              <w:gridCol w:w="20"/>
              <w:gridCol w:w="497"/>
              <w:gridCol w:w="4162"/>
            </w:tblGrid>
            <w:tr w:rsidR="001E4596" w:rsidRPr="001E4596" w:rsidTr="002346DE">
              <w:tc>
                <w:tcPr>
                  <w:tcW w:w="2476" w:type="pct"/>
                </w:tcPr>
                <w:p w:rsidR="001E4596" w:rsidRPr="001E4596" w:rsidRDefault="001E4596" w:rsidP="001E4596">
                  <w:pPr>
                    <w:jc w:val="both"/>
                    <w:rPr>
                      <w:sz w:val="20"/>
                    </w:rPr>
                  </w:pPr>
                  <w:r w:rsidRPr="001E4596">
                    <w:rPr>
                      <w:sz w:val="20"/>
                    </w:rPr>
                    <w:t>November 25, 2012</w:t>
                  </w:r>
                </w:p>
                <w:p w:rsidR="001E4596" w:rsidRPr="001E4596" w:rsidRDefault="001E4596" w:rsidP="001E4596">
                  <w:pPr>
                    <w:jc w:val="both"/>
                    <w:rPr>
                      <w:sz w:val="20"/>
                    </w:rPr>
                  </w:pPr>
                  <w:r w:rsidRPr="001E4596">
                    <w:rPr>
                      <w:sz w:val="20"/>
                    </w:rPr>
                    <w:t>Supreme Court of British Columbia</w:t>
                  </w:r>
                </w:p>
                <w:p w:rsidR="001E4596" w:rsidRPr="001E4596" w:rsidRDefault="001E4596" w:rsidP="001E4596">
                  <w:pPr>
                    <w:jc w:val="both"/>
                    <w:rPr>
                      <w:sz w:val="20"/>
                    </w:rPr>
                  </w:pPr>
                  <w:r w:rsidRPr="001E4596">
                    <w:rPr>
                      <w:sz w:val="20"/>
                    </w:rPr>
                    <w:t xml:space="preserve">(Smart J.) </w:t>
                  </w:r>
                </w:p>
                <w:p w:rsidR="001E4596" w:rsidRPr="001E4596" w:rsidRDefault="001E4596" w:rsidP="001E4596">
                  <w:pPr>
                    <w:jc w:val="both"/>
                    <w:rPr>
                      <w:sz w:val="20"/>
                    </w:rPr>
                  </w:pPr>
                  <w:r w:rsidRPr="001E4596">
                    <w:rPr>
                      <w:i/>
                      <w:iCs/>
                      <w:sz w:val="20"/>
                    </w:rPr>
                    <w:t>R. v. Sipes</w:t>
                  </w:r>
                  <w:r w:rsidRPr="001E4596">
                    <w:rPr>
                      <w:iCs/>
                      <w:sz w:val="20"/>
                    </w:rPr>
                    <w:t xml:space="preserve">, </w:t>
                  </w:r>
                  <w:r w:rsidRPr="001E4596">
                    <w:rPr>
                      <w:sz w:val="20"/>
                    </w:rPr>
                    <w:t xml:space="preserve">2009 BCSC 1265, 2009 BCSC </w:t>
                  </w:r>
                </w:p>
                <w:p w:rsidR="001E4596" w:rsidRPr="001E4596" w:rsidRDefault="001E4596" w:rsidP="001E4596">
                  <w:pPr>
                    <w:jc w:val="both"/>
                    <w:rPr>
                      <w:sz w:val="20"/>
                    </w:rPr>
                  </w:pPr>
                  <w:r w:rsidRPr="001E4596">
                    <w:rPr>
                      <w:sz w:val="20"/>
                    </w:rPr>
                    <w:t>765, 2010 BCSC 152 (unreported)</w:t>
                  </w:r>
                </w:p>
                <w:p w:rsidR="001E4596" w:rsidRPr="001E4596" w:rsidRDefault="001E4596" w:rsidP="001E4596">
                  <w:pPr>
                    <w:jc w:val="both"/>
                    <w:rPr>
                      <w:sz w:val="20"/>
                    </w:rPr>
                  </w:pPr>
                </w:p>
              </w:tc>
              <w:tc>
                <w:tcPr>
                  <w:tcW w:w="11" w:type="pct"/>
                </w:tcPr>
                <w:p w:rsidR="001E4596" w:rsidRPr="001E4596" w:rsidRDefault="001E4596" w:rsidP="001E4596">
                  <w:pPr>
                    <w:jc w:val="both"/>
                    <w:rPr>
                      <w:sz w:val="20"/>
                    </w:rPr>
                  </w:pPr>
                </w:p>
              </w:tc>
              <w:tc>
                <w:tcPr>
                  <w:tcW w:w="268" w:type="pct"/>
                </w:tcPr>
                <w:p w:rsidR="001E4596" w:rsidRPr="001E4596" w:rsidRDefault="001E4596" w:rsidP="001E4596">
                  <w:pPr>
                    <w:jc w:val="both"/>
                    <w:rPr>
                      <w:sz w:val="20"/>
                    </w:rPr>
                  </w:pPr>
                </w:p>
              </w:tc>
              <w:tc>
                <w:tcPr>
                  <w:tcW w:w="2245" w:type="pct"/>
                </w:tcPr>
                <w:p w:rsidR="001E4596" w:rsidRPr="001E4596" w:rsidRDefault="001E4596" w:rsidP="001E4596">
                  <w:pPr>
                    <w:jc w:val="both"/>
                    <w:rPr>
                      <w:sz w:val="20"/>
                    </w:rPr>
                  </w:pPr>
                  <w:r w:rsidRPr="001E4596">
                    <w:rPr>
                      <w:sz w:val="20"/>
                    </w:rPr>
                    <w:t xml:space="preserve">Rulings on informer privilege </w:t>
                  </w:r>
                </w:p>
              </w:tc>
            </w:tr>
            <w:tr w:rsidR="001E4596" w:rsidRPr="001E4596" w:rsidTr="002346DE">
              <w:tc>
                <w:tcPr>
                  <w:tcW w:w="2476" w:type="pct"/>
                </w:tcPr>
                <w:p w:rsidR="001E4596" w:rsidRPr="001E4596" w:rsidRDefault="001E4596" w:rsidP="001E4596">
                  <w:pPr>
                    <w:jc w:val="both"/>
                    <w:rPr>
                      <w:sz w:val="20"/>
                    </w:rPr>
                  </w:pPr>
                  <w:r w:rsidRPr="001E4596">
                    <w:rPr>
                      <w:sz w:val="20"/>
                    </w:rPr>
                    <w:t>December 16, 2015</w:t>
                  </w:r>
                </w:p>
                <w:p w:rsidR="001E4596" w:rsidRPr="001E4596" w:rsidRDefault="001E4596" w:rsidP="001E4596">
                  <w:pPr>
                    <w:jc w:val="both"/>
                    <w:rPr>
                      <w:sz w:val="20"/>
                    </w:rPr>
                  </w:pPr>
                  <w:r w:rsidRPr="001E4596">
                    <w:rPr>
                      <w:sz w:val="20"/>
                    </w:rPr>
                    <w:t xml:space="preserve">Court of Appeal for British Columbia </w:t>
                  </w:r>
                </w:p>
                <w:p w:rsidR="001E4596" w:rsidRPr="001E4596" w:rsidRDefault="001E4596" w:rsidP="001E4596">
                  <w:pPr>
                    <w:jc w:val="both"/>
                    <w:rPr>
                      <w:sz w:val="20"/>
                    </w:rPr>
                  </w:pPr>
                  <w:r w:rsidRPr="001E4596">
                    <w:rPr>
                      <w:sz w:val="20"/>
                    </w:rPr>
                    <w:t>(Vancouver)</w:t>
                  </w:r>
                </w:p>
                <w:p w:rsidR="001E4596" w:rsidRPr="001E4596" w:rsidRDefault="001E4596" w:rsidP="001E4596">
                  <w:pPr>
                    <w:jc w:val="both"/>
                    <w:rPr>
                      <w:sz w:val="20"/>
                    </w:rPr>
                  </w:pPr>
                  <w:r w:rsidRPr="001E4596">
                    <w:rPr>
                      <w:sz w:val="20"/>
                    </w:rPr>
                    <w:t>(Lowry, Willcock and Fenlon JJ.A.)</w:t>
                  </w:r>
                </w:p>
                <w:p w:rsidR="001E4596" w:rsidRPr="001E4596" w:rsidRDefault="001E4596" w:rsidP="001E4596">
                  <w:pPr>
                    <w:jc w:val="both"/>
                    <w:rPr>
                      <w:sz w:val="20"/>
                    </w:rPr>
                  </w:pPr>
                  <w:hyperlink r:id="rId17" w:history="1">
                    <w:r w:rsidRPr="001E4596">
                      <w:rPr>
                        <w:rStyle w:val="Hyperlink"/>
                        <w:sz w:val="20"/>
                      </w:rPr>
                      <w:t>2015 BCCA 513</w:t>
                    </w:r>
                  </w:hyperlink>
                </w:p>
                <w:p w:rsidR="001E4596" w:rsidRPr="001E4596" w:rsidRDefault="001E4596" w:rsidP="001E4596">
                  <w:pPr>
                    <w:jc w:val="both"/>
                    <w:rPr>
                      <w:sz w:val="20"/>
                    </w:rPr>
                  </w:pPr>
                </w:p>
              </w:tc>
              <w:tc>
                <w:tcPr>
                  <w:tcW w:w="11" w:type="pct"/>
                </w:tcPr>
                <w:p w:rsidR="001E4596" w:rsidRPr="001E4596" w:rsidRDefault="001E4596" w:rsidP="001E4596">
                  <w:pPr>
                    <w:jc w:val="both"/>
                    <w:rPr>
                      <w:sz w:val="20"/>
                    </w:rPr>
                  </w:pPr>
                </w:p>
              </w:tc>
              <w:tc>
                <w:tcPr>
                  <w:tcW w:w="268" w:type="pct"/>
                </w:tcPr>
                <w:p w:rsidR="001E4596" w:rsidRPr="001E4596" w:rsidRDefault="001E4596" w:rsidP="001E4596">
                  <w:pPr>
                    <w:jc w:val="both"/>
                    <w:rPr>
                      <w:sz w:val="20"/>
                    </w:rPr>
                  </w:pPr>
                </w:p>
              </w:tc>
              <w:tc>
                <w:tcPr>
                  <w:tcW w:w="2245" w:type="pct"/>
                </w:tcPr>
                <w:p w:rsidR="001E4596" w:rsidRPr="001E4596" w:rsidRDefault="001E4596" w:rsidP="001E4596">
                  <w:pPr>
                    <w:jc w:val="both"/>
                    <w:rPr>
                      <w:sz w:val="20"/>
                    </w:rPr>
                  </w:pPr>
                  <w:r w:rsidRPr="001E4596">
                    <w:rPr>
                      <w:sz w:val="20"/>
                    </w:rPr>
                    <w:t xml:space="preserve">Crown’s application to strike grounds of appeal granted </w:t>
                  </w:r>
                </w:p>
                <w:p w:rsidR="001E4596" w:rsidRPr="001E4596" w:rsidRDefault="001E4596" w:rsidP="001E4596">
                  <w:pPr>
                    <w:jc w:val="both"/>
                    <w:rPr>
                      <w:sz w:val="20"/>
                    </w:rPr>
                  </w:pPr>
                </w:p>
              </w:tc>
            </w:tr>
            <w:tr w:rsidR="001E4596" w:rsidRPr="001E4596" w:rsidTr="002346DE">
              <w:tc>
                <w:tcPr>
                  <w:tcW w:w="2476" w:type="pct"/>
                </w:tcPr>
                <w:p w:rsidR="001E4596" w:rsidRPr="001E4596" w:rsidRDefault="001E4596" w:rsidP="001E4596">
                  <w:pPr>
                    <w:jc w:val="both"/>
                    <w:rPr>
                      <w:sz w:val="20"/>
                    </w:rPr>
                  </w:pPr>
                  <w:r w:rsidRPr="001E4596">
                    <w:rPr>
                      <w:sz w:val="20"/>
                    </w:rPr>
                    <w:t>March 11, 2016</w:t>
                  </w:r>
                </w:p>
                <w:p w:rsidR="001E4596" w:rsidRPr="001E4596" w:rsidRDefault="001E4596" w:rsidP="001E4596">
                  <w:pPr>
                    <w:jc w:val="both"/>
                    <w:rPr>
                      <w:sz w:val="20"/>
                    </w:rPr>
                  </w:pPr>
                  <w:r w:rsidRPr="001E4596">
                    <w:rPr>
                      <w:sz w:val="20"/>
                    </w:rPr>
                    <w:t>Supreme Court of Canada</w:t>
                  </w:r>
                </w:p>
              </w:tc>
              <w:tc>
                <w:tcPr>
                  <w:tcW w:w="11" w:type="pct"/>
                </w:tcPr>
                <w:p w:rsidR="001E4596" w:rsidRPr="001E4596" w:rsidRDefault="001E4596" w:rsidP="001E4596">
                  <w:pPr>
                    <w:jc w:val="both"/>
                    <w:rPr>
                      <w:sz w:val="20"/>
                    </w:rPr>
                  </w:pPr>
                </w:p>
              </w:tc>
              <w:tc>
                <w:tcPr>
                  <w:tcW w:w="268" w:type="pct"/>
                </w:tcPr>
                <w:p w:rsidR="001E4596" w:rsidRPr="001E4596" w:rsidRDefault="001E4596" w:rsidP="001E4596">
                  <w:pPr>
                    <w:jc w:val="both"/>
                    <w:rPr>
                      <w:sz w:val="20"/>
                    </w:rPr>
                  </w:pPr>
                </w:p>
              </w:tc>
              <w:tc>
                <w:tcPr>
                  <w:tcW w:w="2245" w:type="pct"/>
                </w:tcPr>
                <w:p w:rsidR="001E4596" w:rsidRPr="001E4596" w:rsidRDefault="001E4596" w:rsidP="001E4596">
                  <w:pPr>
                    <w:jc w:val="both"/>
                    <w:rPr>
                      <w:sz w:val="20"/>
                    </w:rPr>
                  </w:pPr>
                  <w:r w:rsidRPr="001E4596">
                    <w:rPr>
                      <w:sz w:val="20"/>
                    </w:rPr>
                    <w:t>Motion to extend time to serve and file applications for leave and applications for leave to appeal filed</w:t>
                  </w:r>
                </w:p>
              </w:tc>
            </w:tr>
          </w:tbl>
          <w:p w:rsidR="001E4596" w:rsidRPr="001E4596" w:rsidRDefault="001E4596" w:rsidP="001E4596">
            <w:pPr>
              <w:jc w:val="both"/>
              <w:rPr>
                <w:sz w:val="20"/>
              </w:rPr>
            </w:pPr>
          </w:p>
        </w:tc>
      </w:tr>
    </w:tbl>
    <w:p w:rsidR="001E4596" w:rsidRDefault="001E4596" w:rsidP="001E4596">
      <w:pPr>
        <w:jc w:val="both"/>
        <w:rPr>
          <w:sz w:val="20"/>
        </w:rPr>
      </w:pPr>
    </w:p>
    <w:p w:rsidR="001E4596" w:rsidRPr="001E4596" w:rsidRDefault="001E4596" w:rsidP="001E45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1E4596" w:rsidRPr="001E4596" w:rsidTr="00E95A6A">
        <w:tc>
          <w:tcPr>
            <w:tcW w:w="543" w:type="pct"/>
          </w:tcPr>
          <w:p w:rsidR="001E4596" w:rsidRPr="001E4596" w:rsidRDefault="001E4596" w:rsidP="001E4596">
            <w:pPr>
              <w:jc w:val="both"/>
              <w:rPr>
                <w:sz w:val="20"/>
                <w:lang w:val="fr-CA"/>
              </w:rPr>
            </w:pPr>
            <w:r w:rsidRPr="001E4596">
              <w:rPr>
                <w:rStyle w:val="SCCFileNumberChar"/>
                <w:sz w:val="20"/>
                <w:szCs w:val="20"/>
                <w:lang w:val="fr-CA"/>
              </w:rPr>
              <w:t>36895</w:t>
            </w:r>
          </w:p>
        </w:tc>
        <w:tc>
          <w:tcPr>
            <w:tcW w:w="4457" w:type="pct"/>
          </w:tcPr>
          <w:p w:rsidR="001E4596" w:rsidRPr="00EA30E5" w:rsidRDefault="001E4596" w:rsidP="001E4596">
            <w:pPr>
              <w:pStyle w:val="SCCLsocParty"/>
              <w:jc w:val="both"/>
              <w:rPr>
                <w:b/>
                <w:sz w:val="20"/>
                <w:szCs w:val="20"/>
              </w:rPr>
            </w:pPr>
            <w:r w:rsidRPr="00EA30E5">
              <w:rPr>
                <w:b/>
                <w:sz w:val="20"/>
                <w:szCs w:val="20"/>
              </w:rPr>
              <w:t>Leslie Podolski c. Sa Majesté la Reine</w:t>
            </w:r>
          </w:p>
          <w:p w:rsidR="001E4596" w:rsidRPr="001E4596" w:rsidRDefault="001E4596" w:rsidP="001E4596">
            <w:pPr>
              <w:pStyle w:val="SCCLsocSubfileSeparator"/>
              <w:rPr>
                <w:sz w:val="20"/>
                <w:szCs w:val="20"/>
                <w:lang w:val="fr-CA"/>
              </w:rPr>
            </w:pPr>
            <w:r w:rsidRPr="001E4596">
              <w:rPr>
                <w:sz w:val="20"/>
                <w:szCs w:val="20"/>
                <w:lang w:val="fr-CA"/>
              </w:rPr>
              <w:t>-et entre-</w:t>
            </w:r>
          </w:p>
          <w:p w:rsidR="001E4596" w:rsidRPr="00EA30E5" w:rsidRDefault="001E4596" w:rsidP="001E4596">
            <w:pPr>
              <w:pStyle w:val="SCCLsocParty"/>
              <w:jc w:val="both"/>
              <w:rPr>
                <w:b/>
                <w:sz w:val="20"/>
                <w:szCs w:val="20"/>
              </w:rPr>
            </w:pPr>
            <w:r w:rsidRPr="00EA30E5">
              <w:rPr>
                <w:b/>
                <w:sz w:val="20"/>
                <w:szCs w:val="20"/>
              </w:rPr>
              <w:t>Peter Manolakos c. Sa Majesté la Reine</w:t>
            </w:r>
          </w:p>
          <w:p w:rsidR="001E4596" w:rsidRPr="001E4596" w:rsidRDefault="001E4596" w:rsidP="001E4596">
            <w:pPr>
              <w:pStyle w:val="SCCLsocSubfileSeparator"/>
              <w:rPr>
                <w:sz w:val="20"/>
                <w:szCs w:val="20"/>
                <w:lang w:val="fr-CA"/>
              </w:rPr>
            </w:pPr>
            <w:r w:rsidRPr="001E4596">
              <w:rPr>
                <w:sz w:val="20"/>
                <w:szCs w:val="20"/>
                <w:lang w:val="fr-CA"/>
              </w:rPr>
              <w:t>-et entre-</w:t>
            </w:r>
          </w:p>
          <w:p w:rsidR="001E4596" w:rsidRPr="00EA30E5" w:rsidRDefault="001E4596" w:rsidP="001E4596">
            <w:pPr>
              <w:pStyle w:val="SCCLsocParty"/>
              <w:jc w:val="both"/>
              <w:rPr>
                <w:b/>
                <w:sz w:val="20"/>
                <w:szCs w:val="20"/>
              </w:rPr>
            </w:pPr>
            <w:r w:rsidRPr="00EA30E5">
              <w:rPr>
                <w:b/>
                <w:sz w:val="20"/>
                <w:szCs w:val="20"/>
              </w:rPr>
              <w:t>Sheldon O’Donnell c. Sa Majesté la Reine</w:t>
            </w:r>
          </w:p>
          <w:p w:rsidR="001E4596" w:rsidRPr="001E4596" w:rsidRDefault="001E4596" w:rsidP="001E4596">
            <w:pPr>
              <w:jc w:val="both"/>
              <w:rPr>
                <w:sz w:val="20"/>
                <w:lang w:val="fr-CA"/>
              </w:rPr>
            </w:pPr>
            <w:r w:rsidRPr="001E4596">
              <w:rPr>
                <w:sz w:val="20"/>
                <w:lang w:val="fr-CA"/>
              </w:rPr>
              <w:t>(C.-B.) (Criminelle) (Sur autorisation)</w:t>
            </w:r>
          </w:p>
        </w:tc>
      </w:tr>
      <w:tr w:rsidR="001E4596" w:rsidRPr="001E4596" w:rsidTr="00E95A6A">
        <w:tc>
          <w:tcPr>
            <w:tcW w:w="5000" w:type="pct"/>
            <w:gridSpan w:val="2"/>
          </w:tcPr>
          <w:p w:rsidR="001E4596" w:rsidRPr="001E4596" w:rsidRDefault="001E4596" w:rsidP="001E4596">
            <w:pPr>
              <w:pStyle w:val="SCCBanSummary"/>
              <w:rPr>
                <w:sz w:val="20"/>
                <w:szCs w:val="20"/>
                <w:lang w:val="fr-CA"/>
              </w:rPr>
            </w:pPr>
            <w:r w:rsidRPr="001E4596">
              <w:rPr>
                <w:sz w:val="20"/>
                <w:szCs w:val="20"/>
                <w:lang w:val="fr-CA"/>
              </w:rPr>
              <w:t>(Ordonnance de non-publication dans le dossier) (Ordonnance de mise sous scellés)</w:t>
            </w:r>
          </w:p>
          <w:p w:rsidR="001E4596" w:rsidRPr="001E4596" w:rsidRDefault="001E4596" w:rsidP="001E4596">
            <w:pPr>
              <w:jc w:val="both"/>
              <w:rPr>
                <w:sz w:val="20"/>
                <w:lang w:val="fr-CA"/>
              </w:rPr>
            </w:pPr>
          </w:p>
        </w:tc>
      </w:tr>
      <w:tr w:rsidR="001E4596" w:rsidRPr="001E4596" w:rsidTr="00E95A6A">
        <w:tc>
          <w:tcPr>
            <w:tcW w:w="5000" w:type="pct"/>
            <w:gridSpan w:val="2"/>
          </w:tcPr>
          <w:p w:rsidR="001E4596" w:rsidRPr="001E4596" w:rsidRDefault="001E4596" w:rsidP="001E4596">
            <w:pPr>
              <w:jc w:val="both"/>
              <w:rPr>
                <w:sz w:val="20"/>
                <w:lang w:val="fr-CA"/>
              </w:rPr>
            </w:pPr>
            <w:r w:rsidRPr="001E4596">
              <w:rPr>
                <w:sz w:val="20"/>
                <w:lang w:val="fr-CA"/>
              </w:rPr>
              <w:t xml:space="preserve">Droit criminel – Privilège de l’indicateur – Appels – Pouvoir d’une cour d’appel – Les demandeurs ont été déclarés coupables d’infractions en lien avec trois homicides – Les demandeurs interjettent appel d’une série d’erreurs qu’aurait commises le juge du procès au cours d’une enquête à huis clos sur le privilège de l’indicateur – Le ministère public demande la radiation des motifs d’appel, plaidant que les demandeurs n’ont pas la qualité pour agir – La Cour d’appel a-t-elle commis une erreur de droit en appliquant le mauvais critère juridique pour radier des motifs d’appel à titre préliminaire, sans tenir d’audience sur le fond? – La Cour d’appel a-t-elle commis une erreur de droit en radiant les motifs d’appel liés à une série d’erreurs commises par le juge du procès au cours d’une enquête officieuse tenue à huis clos? – </w:t>
            </w:r>
            <w:r w:rsidRPr="001E4596">
              <w:rPr>
                <w:i/>
                <w:sz w:val="20"/>
                <w:lang w:val="fr-CA"/>
              </w:rPr>
              <w:t>Code criminel</w:t>
            </w:r>
            <w:r w:rsidRPr="001E4596">
              <w:rPr>
                <w:sz w:val="20"/>
                <w:lang w:val="fr-CA"/>
              </w:rPr>
              <w:t>, L.R.C. 1985, ch. C-46, art. 482, 683(3) et 685.</w:t>
            </w:r>
          </w:p>
          <w:p w:rsidR="001E4596" w:rsidRPr="001E4596" w:rsidRDefault="001E4596" w:rsidP="001E4596">
            <w:pPr>
              <w:jc w:val="both"/>
              <w:rPr>
                <w:sz w:val="20"/>
                <w:lang w:val="fr-CA"/>
              </w:rPr>
            </w:pPr>
          </w:p>
          <w:p w:rsidR="001E4596" w:rsidRDefault="001E4596" w:rsidP="001E4596">
            <w:pPr>
              <w:jc w:val="both"/>
              <w:rPr>
                <w:sz w:val="20"/>
                <w:lang w:val="fr-CA"/>
              </w:rPr>
            </w:pPr>
            <w:r w:rsidRPr="001E4596">
              <w:rPr>
                <w:sz w:val="20"/>
                <w:lang w:val="fr-CA"/>
              </w:rPr>
              <w:t xml:space="preserve">Les trois demandeurs (ainsi que deux autres accusés) ont été déclarés coupables d’infractions liées à trois homicides. Avant le procès, le juge a tenu une enquête officieuse pour déterminer si l’identité de plusieurs indicateurs devait être </w:t>
            </w:r>
            <w:r w:rsidRPr="001E4596">
              <w:rPr>
                <w:sz w:val="20"/>
                <w:lang w:val="fr-CA"/>
              </w:rPr>
              <w:lastRenderedPageBreak/>
              <w:t>tenue confidentielle. Le juge a statué que l’identité d’un seul indicateur devait être tenue confidentielle. Les demandeurs ont été jugés et déclarés coupables par un jury. Chacun des trois demandeurs a interjeté appel de sa déclaration de culpabilité. Dans leurs avis d’appel, les demandeurs ont notamment plaidé un certain nombre de vices dans la manière dont l’enquête officieuse avait été tenue. Le ministère public a demandé la radiation de ces motifs d’appel des avis d’appel des demandeurs, plaidant que les demandeurs n’avaient pas la qualité pour agir pour interjeter appel d’une décision portant sur le privilège de l’indicateur.</w:t>
            </w:r>
          </w:p>
          <w:p w:rsidR="00EA30E5" w:rsidRPr="001E4596" w:rsidRDefault="00EA30E5" w:rsidP="001E4596">
            <w:pPr>
              <w:jc w:val="both"/>
              <w:rPr>
                <w:sz w:val="20"/>
                <w:lang w:val="fr-CA"/>
              </w:rPr>
            </w:pPr>
          </w:p>
        </w:tc>
      </w:tr>
      <w:tr w:rsidR="001E4596" w:rsidRPr="001E4596" w:rsidTr="00EA30E5">
        <w:trPr>
          <w:trHeight w:val="3699"/>
        </w:trPr>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91"/>
              <w:gridCol w:w="20"/>
              <w:gridCol w:w="497"/>
              <w:gridCol w:w="4162"/>
            </w:tblGrid>
            <w:tr w:rsidR="001E4596" w:rsidRPr="001E4596" w:rsidTr="002346DE">
              <w:tc>
                <w:tcPr>
                  <w:tcW w:w="2476" w:type="pct"/>
                </w:tcPr>
                <w:p w:rsidR="001E4596" w:rsidRPr="001E4596" w:rsidRDefault="001E4596" w:rsidP="001E4596">
                  <w:pPr>
                    <w:jc w:val="both"/>
                    <w:rPr>
                      <w:sz w:val="20"/>
                      <w:lang w:val="fr-CA"/>
                    </w:rPr>
                  </w:pPr>
                  <w:r w:rsidRPr="001E4596">
                    <w:rPr>
                      <w:sz w:val="20"/>
                      <w:lang w:val="fr-CA"/>
                    </w:rPr>
                    <w:lastRenderedPageBreak/>
                    <w:t>25 novembre 2012</w:t>
                  </w:r>
                </w:p>
                <w:p w:rsidR="001E4596" w:rsidRPr="001E4596" w:rsidRDefault="001E4596" w:rsidP="001E4596">
                  <w:pPr>
                    <w:jc w:val="both"/>
                    <w:rPr>
                      <w:sz w:val="20"/>
                      <w:lang w:val="fr-CA"/>
                    </w:rPr>
                  </w:pPr>
                  <w:r w:rsidRPr="001E4596">
                    <w:rPr>
                      <w:sz w:val="20"/>
                      <w:lang w:val="fr-CA"/>
                    </w:rPr>
                    <w:t xml:space="preserve">Cour suprême de la Colombie-Britannique </w:t>
                  </w:r>
                </w:p>
                <w:p w:rsidR="001E4596" w:rsidRPr="001E4596" w:rsidRDefault="001E4596" w:rsidP="001E4596">
                  <w:pPr>
                    <w:jc w:val="both"/>
                    <w:rPr>
                      <w:sz w:val="20"/>
                      <w:lang w:val="fr-CA"/>
                    </w:rPr>
                  </w:pPr>
                  <w:r w:rsidRPr="001E4596">
                    <w:rPr>
                      <w:sz w:val="20"/>
                      <w:lang w:val="fr-CA"/>
                    </w:rPr>
                    <w:t xml:space="preserve">(Juge Smart) </w:t>
                  </w:r>
                </w:p>
                <w:p w:rsidR="001E4596" w:rsidRPr="001E4596" w:rsidRDefault="001E4596" w:rsidP="001E4596">
                  <w:pPr>
                    <w:jc w:val="both"/>
                    <w:rPr>
                      <w:sz w:val="20"/>
                      <w:lang w:val="fr-CA"/>
                    </w:rPr>
                  </w:pPr>
                  <w:r w:rsidRPr="001E4596">
                    <w:rPr>
                      <w:i/>
                      <w:iCs/>
                      <w:sz w:val="20"/>
                      <w:lang w:val="fr-CA"/>
                    </w:rPr>
                    <w:t>R. c. Sipes</w:t>
                  </w:r>
                  <w:r w:rsidRPr="001E4596">
                    <w:rPr>
                      <w:iCs/>
                      <w:sz w:val="20"/>
                      <w:lang w:val="fr-CA"/>
                    </w:rPr>
                    <w:t xml:space="preserve">, </w:t>
                  </w:r>
                  <w:r w:rsidRPr="001E4596">
                    <w:rPr>
                      <w:sz w:val="20"/>
                      <w:lang w:val="fr-CA"/>
                    </w:rPr>
                    <w:t xml:space="preserve">2009 BCSC 1265, 2009 BCSC </w:t>
                  </w:r>
                </w:p>
                <w:p w:rsidR="001E4596" w:rsidRPr="001E4596" w:rsidRDefault="001E4596" w:rsidP="001E4596">
                  <w:pPr>
                    <w:jc w:val="both"/>
                    <w:rPr>
                      <w:sz w:val="20"/>
                      <w:lang w:val="fr-CA"/>
                    </w:rPr>
                  </w:pPr>
                  <w:r w:rsidRPr="001E4596">
                    <w:rPr>
                      <w:sz w:val="20"/>
                      <w:lang w:val="fr-CA"/>
                    </w:rPr>
                    <w:t>765, 2010 BCSC 152 (non publié)</w:t>
                  </w:r>
                </w:p>
                <w:p w:rsidR="001E4596" w:rsidRPr="001E4596" w:rsidRDefault="001E4596" w:rsidP="001E4596">
                  <w:pPr>
                    <w:jc w:val="both"/>
                    <w:rPr>
                      <w:sz w:val="20"/>
                      <w:lang w:val="fr-CA"/>
                    </w:rPr>
                  </w:pPr>
                </w:p>
              </w:tc>
              <w:tc>
                <w:tcPr>
                  <w:tcW w:w="11" w:type="pct"/>
                </w:tcPr>
                <w:p w:rsidR="001E4596" w:rsidRPr="001E4596" w:rsidRDefault="001E4596" w:rsidP="001E4596">
                  <w:pPr>
                    <w:jc w:val="both"/>
                    <w:rPr>
                      <w:sz w:val="20"/>
                      <w:lang w:val="fr-CA"/>
                    </w:rPr>
                  </w:pPr>
                </w:p>
              </w:tc>
              <w:tc>
                <w:tcPr>
                  <w:tcW w:w="268" w:type="pct"/>
                </w:tcPr>
                <w:p w:rsidR="001E4596" w:rsidRPr="001E4596" w:rsidRDefault="001E4596" w:rsidP="001E4596">
                  <w:pPr>
                    <w:jc w:val="both"/>
                    <w:rPr>
                      <w:sz w:val="20"/>
                      <w:lang w:val="fr-CA"/>
                    </w:rPr>
                  </w:pPr>
                </w:p>
              </w:tc>
              <w:tc>
                <w:tcPr>
                  <w:tcW w:w="2245" w:type="pct"/>
                </w:tcPr>
                <w:p w:rsidR="001E4596" w:rsidRPr="001E4596" w:rsidRDefault="001E4596" w:rsidP="001E4596">
                  <w:pPr>
                    <w:jc w:val="both"/>
                    <w:rPr>
                      <w:sz w:val="20"/>
                      <w:lang w:val="fr-CA"/>
                    </w:rPr>
                  </w:pPr>
                  <w:r w:rsidRPr="001E4596">
                    <w:rPr>
                      <w:sz w:val="20"/>
                      <w:lang w:val="fr-CA"/>
                    </w:rPr>
                    <w:t>Jugements portant sur le privilège de l’indicateur</w:t>
                  </w:r>
                </w:p>
              </w:tc>
            </w:tr>
            <w:tr w:rsidR="001E4596" w:rsidRPr="001E4596" w:rsidTr="002346DE">
              <w:tc>
                <w:tcPr>
                  <w:tcW w:w="2476" w:type="pct"/>
                </w:tcPr>
                <w:p w:rsidR="001E4596" w:rsidRPr="001E4596" w:rsidRDefault="001E4596" w:rsidP="001E4596">
                  <w:pPr>
                    <w:jc w:val="both"/>
                    <w:rPr>
                      <w:sz w:val="20"/>
                      <w:lang w:val="fr-CA"/>
                    </w:rPr>
                  </w:pPr>
                  <w:r w:rsidRPr="001E4596">
                    <w:rPr>
                      <w:sz w:val="20"/>
                      <w:lang w:val="fr-CA"/>
                    </w:rPr>
                    <w:t>16 décembre 2015</w:t>
                  </w:r>
                </w:p>
                <w:p w:rsidR="001E4596" w:rsidRPr="001E4596" w:rsidRDefault="001E4596" w:rsidP="001E4596">
                  <w:pPr>
                    <w:jc w:val="both"/>
                    <w:rPr>
                      <w:sz w:val="20"/>
                      <w:lang w:val="fr-CA"/>
                    </w:rPr>
                  </w:pPr>
                  <w:r w:rsidRPr="001E4596">
                    <w:rPr>
                      <w:sz w:val="20"/>
                      <w:lang w:val="fr-CA"/>
                    </w:rPr>
                    <w:t xml:space="preserve">Cour d’appel de la Colombie britannique </w:t>
                  </w:r>
                </w:p>
                <w:p w:rsidR="001E4596" w:rsidRPr="001E4596" w:rsidRDefault="001E4596" w:rsidP="001E4596">
                  <w:pPr>
                    <w:jc w:val="both"/>
                    <w:rPr>
                      <w:sz w:val="20"/>
                      <w:lang w:val="fr-CA"/>
                    </w:rPr>
                  </w:pPr>
                  <w:r w:rsidRPr="001E4596">
                    <w:rPr>
                      <w:sz w:val="20"/>
                      <w:lang w:val="fr-CA"/>
                    </w:rPr>
                    <w:t>(Vancouver)</w:t>
                  </w:r>
                </w:p>
                <w:p w:rsidR="001E4596" w:rsidRPr="001E4596" w:rsidRDefault="001E4596" w:rsidP="001E4596">
                  <w:pPr>
                    <w:jc w:val="both"/>
                    <w:rPr>
                      <w:sz w:val="20"/>
                      <w:lang w:val="fr-CA"/>
                    </w:rPr>
                  </w:pPr>
                  <w:r w:rsidRPr="001E4596">
                    <w:rPr>
                      <w:sz w:val="20"/>
                      <w:lang w:val="fr-CA"/>
                    </w:rPr>
                    <w:t>(Juges Lowry, Willcock et Fenlon)</w:t>
                  </w:r>
                </w:p>
                <w:p w:rsidR="001E4596" w:rsidRPr="001E4596" w:rsidRDefault="001E4596" w:rsidP="001E4596">
                  <w:pPr>
                    <w:jc w:val="both"/>
                    <w:rPr>
                      <w:sz w:val="20"/>
                      <w:lang w:val="fr-CA"/>
                    </w:rPr>
                  </w:pPr>
                  <w:hyperlink r:id="rId18" w:history="1">
                    <w:r w:rsidRPr="001E4596">
                      <w:rPr>
                        <w:rStyle w:val="Hyperlink"/>
                        <w:sz w:val="20"/>
                        <w:lang w:val="fr-CA"/>
                      </w:rPr>
                      <w:t>2015 BCCA 513</w:t>
                    </w:r>
                  </w:hyperlink>
                </w:p>
                <w:p w:rsidR="001E4596" w:rsidRPr="001E4596" w:rsidRDefault="001E4596" w:rsidP="001E4596">
                  <w:pPr>
                    <w:jc w:val="both"/>
                    <w:rPr>
                      <w:sz w:val="20"/>
                      <w:lang w:val="fr-CA"/>
                    </w:rPr>
                  </w:pPr>
                </w:p>
              </w:tc>
              <w:tc>
                <w:tcPr>
                  <w:tcW w:w="11" w:type="pct"/>
                </w:tcPr>
                <w:p w:rsidR="001E4596" w:rsidRPr="001E4596" w:rsidRDefault="001E4596" w:rsidP="001E4596">
                  <w:pPr>
                    <w:jc w:val="both"/>
                    <w:rPr>
                      <w:sz w:val="20"/>
                      <w:lang w:val="fr-CA"/>
                    </w:rPr>
                  </w:pPr>
                </w:p>
              </w:tc>
              <w:tc>
                <w:tcPr>
                  <w:tcW w:w="268" w:type="pct"/>
                </w:tcPr>
                <w:p w:rsidR="001E4596" w:rsidRPr="001E4596" w:rsidRDefault="001E4596" w:rsidP="001E4596">
                  <w:pPr>
                    <w:jc w:val="both"/>
                    <w:rPr>
                      <w:sz w:val="20"/>
                      <w:lang w:val="fr-CA"/>
                    </w:rPr>
                  </w:pPr>
                </w:p>
              </w:tc>
              <w:tc>
                <w:tcPr>
                  <w:tcW w:w="2245" w:type="pct"/>
                </w:tcPr>
                <w:p w:rsidR="001E4596" w:rsidRPr="001E4596" w:rsidRDefault="001E4596" w:rsidP="001E4596">
                  <w:pPr>
                    <w:jc w:val="both"/>
                    <w:rPr>
                      <w:sz w:val="20"/>
                      <w:lang w:val="fr-CA"/>
                    </w:rPr>
                  </w:pPr>
                  <w:r w:rsidRPr="001E4596">
                    <w:rPr>
                      <w:sz w:val="20"/>
                      <w:lang w:val="fr-CA"/>
                    </w:rPr>
                    <w:t>Arrêt accueillant la demande du ministère public en radiation des motifs d’appel</w:t>
                  </w:r>
                </w:p>
                <w:p w:rsidR="001E4596" w:rsidRPr="001E4596" w:rsidRDefault="001E4596" w:rsidP="001E4596">
                  <w:pPr>
                    <w:jc w:val="both"/>
                    <w:rPr>
                      <w:sz w:val="20"/>
                      <w:lang w:val="fr-CA"/>
                    </w:rPr>
                  </w:pPr>
                </w:p>
              </w:tc>
            </w:tr>
            <w:tr w:rsidR="001E4596" w:rsidRPr="001E4596" w:rsidTr="002346DE">
              <w:tc>
                <w:tcPr>
                  <w:tcW w:w="2476" w:type="pct"/>
                </w:tcPr>
                <w:p w:rsidR="001E4596" w:rsidRPr="001E4596" w:rsidRDefault="001E4596" w:rsidP="001E4596">
                  <w:pPr>
                    <w:jc w:val="both"/>
                    <w:rPr>
                      <w:sz w:val="20"/>
                      <w:lang w:val="fr-CA"/>
                    </w:rPr>
                  </w:pPr>
                  <w:r w:rsidRPr="001E4596">
                    <w:rPr>
                      <w:sz w:val="20"/>
                      <w:lang w:val="fr-CA"/>
                    </w:rPr>
                    <w:t>11 mars 2016</w:t>
                  </w:r>
                </w:p>
                <w:p w:rsidR="001E4596" w:rsidRPr="001E4596" w:rsidRDefault="001E4596" w:rsidP="00780778">
                  <w:pPr>
                    <w:jc w:val="both"/>
                    <w:rPr>
                      <w:sz w:val="20"/>
                      <w:lang w:val="fr-CA"/>
                    </w:rPr>
                  </w:pPr>
                  <w:r w:rsidRPr="001E4596">
                    <w:rPr>
                      <w:sz w:val="20"/>
                      <w:lang w:val="fr-CA"/>
                    </w:rPr>
                    <w:t>Cour suprême du Canada</w:t>
                  </w:r>
                </w:p>
              </w:tc>
              <w:tc>
                <w:tcPr>
                  <w:tcW w:w="11" w:type="pct"/>
                </w:tcPr>
                <w:p w:rsidR="001E4596" w:rsidRPr="001E4596" w:rsidRDefault="001E4596" w:rsidP="001E4596">
                  <w:pPr>
                    <w:jc w:val="both"/>
                    <w:rPr>
                      <w:sz w:val="20"/>
                      <w:lang w:val="fr-CA"/>
                    </w:rPr>
                  </w:pPr>
                </w:p>
              </w:tc>
              <w:tc>
                <w:tcPr>
                  <w:tcW w:w="268" w:type="pct"/>
                </w:tcPr>
                <w:p w:rsidR="001E4596" w:rsidRPr="001E4596" w:rsidRDefault="001E4596" w:rsidP="001E4596">
                  <w:pPr>
                    <w:jc w:val="both"/>
                    <w:rPr>
                      <w:sz w:val="20"/>
                      <w:lang w:val="fr-CA"/>
                    </w:rPr>
                  </w:pPr>
                </w:p>
              </w:tc>
              <w:tc>
                <w:tcPr>
                  <w:tcW w:w="2245" w:type="pct"/>
                </w:tcPr>
                <w:p w:rsidR="001E4596" w:rsidRPr="001E4596" w:rsidRDefault="001E4596" w:rsidP="001E4596">
                  <w:pPr>
                    <w:jc w:val="both"/>
                    <w:rPr>
                      <w:sz w:val="20"/>
                      <w:lang w:val="fr-CA"/>
                    </w:rPr>
                  </w:pPr>
                  <w:r w:rsidRPr="001E4596">
                    <w:rPr>
                      <w:sz w:val="20"/>
                      <w:lang w:val="fr-CA"/>
                    </w:rPr>
                    <w:t>Dépôt de la requête en prorogation du délai de signification et de dépôt des demandes d’autorisation d’appel et des demandes d’autorisation d’appel</w:t>
                  </w:r>
                </w:p>
              </w:tc>
            </w:tr>
          </w:tbl>
          <w:p w:rsidR="001E4596" w:rsidRPr="001E4596" w:rsidRDefault="001E4596" w:rsidP="001E4596">
            <w:pPr>
              <w:jc w:val="both"/>
              <w:rPr>
                <w:sz w:val="20"/>
                <w:lang w:val="fr-CA"/>
              </w:rPr>
            </w:pPr>
          </w:p>
        </w:tc>
      </w:tr>
    </w:tbl>
    <w:p w:rsidR="001E4596" w:rsidRPr="003D403C" w:rsidRDefault="001E4596" w:rsidP="003D403C">
      <w:pPr>
        <w:jc w:val="both"/>
        <w:rPr>
          <w:sz w:val="20"/>
          <w:lang w:val="fr-CA"/>
        </w:rPr>
      </w:pPr>
    </w:p>
    <w:p w:rsidR="00EC7995" w:rsidRPr="003D403C" w:rsidRDefault="00EC7995" w:rsidP="003D403C">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403C" w:rsidRPr="003D403C" w:rsidTr="00E95A6A">
        <w:tc>
          <w:tcPr>
            <w:tcW w:w="543" w:type="pct"/>
          </w:tcPr>
          <w:p w:rsidR="003D403C" w:rsidRPr="003D403C" w:rsidRDefault="003D403C" w:rsidP="003D403C">
            <w:pPr>
              <w:jc w:val="both"/>
              <w:rPr>
                <w:sz w:val="20"/>
              </w:rPr>
            </w:pPr>
            <w:r w:rsidRPr="003D403C">
              <w:rPr>
                <w:rStyle w:val="SCCFileNumberChar"/>
                <w:sz w:val="20"/>
                <w:szCs w:val="20"/>
              </w:rPr>
              <w:t>36824</w:t>
            </w:r>
          </w:p>
        </w:tc>
        <w:tc>
          <w:tcPr>
            <w:tcW w:w="4457" w:type="pct"/>
            <w:gridSpan w:val="3"/>
          </w:tcPr>
          <w:p w:rsidR="003D403C" w:rsidRPr="003D403C" w:rsidRDefault="003D403C" w:rsidP="003D403C">
            <w:pPr>
              <w:pStyle w:val="SCCLsocParty"/>
              <w:jc w:val="both"/>
              <w:rPr>
                <w:b/>
                <w:sz w:val="20"/>
                <w:szCs w:val="20"/>
              </w:rPr>
            </w:pPr>
            <w:r w:rsidRPr="003D403C">
              <w:rPr>
                <w:b/>
                <w:sz w:val="20"/>
                <w:szCs w:val="20"/>
              </w:rPr>
              <w:t>John Gabriel Viszlai v. Her Majesty the Queen</w:t>
            </w:r>
          </w:p>
          <w:p w:rsidR="003D403C" w:rsidRPr="003D403C" w:rsidRDefault="003D403C" w:rsidP="003D403C">
            <w:pPr>
              <w:jc w:val="both"/>
              <w:rPr>
                <w:sz w:val="20"/>
              </w:rPr>
            </w:pPr>
            <w:r w:rsidRPr="003D403C">
              <w:rPr>
                <w:sz w:val="20"/>
              </w:rPr>
              <w:t>(B.C.) (Criminal) (By Leave)</w:t>
            </w:r>
          </w:p>
        </w:tc>
      </w:tr>
      <w:tr w:rsidR="003D403C" w:rsidRPr="003D403C" w:rsidTr="00E95A6A">
        <w:tc>
          <w:tcPr>
            <w:tcW w:w="5000" w:type="pct"/>
            <w:gridSpan w:val="4"/>
          </w:tcPr>
          <w:p w:rsidR="003D403C" w:rsidRPr="003D403C" w:rsidRDefault="003D403C" w:rsidP="003D403C">
            <w:pPr>
              <w:pStyle w:val="SCCBanSummary"/>
              <w:rPr>
                <w:sz w:val="20"/>
                <w:szCs w:val="20"/>
              </w:rPr>
            </w:pPr>
            <w:r w:rsidRPr="003D403C">
              <w:rPr>
                <w:sz w:val="20"/>
                <w:szCs w:val="20"/>
              </w:rPr>
              <w:t>(Publication ban in case)</w:t>
            </w:r>
          </w:p>
          <w:p w:rsidR="003D403C" w:rsidRPr="003D403C" w:rsidRDefault="003D403C" w:rsidP="003D403C">
            <w:pPr>
              <w:jc w:val="both"/>
              <w:rPr>
                <w:sz w:val="20"/>
              </w:rPr>
            </w:pPr>
          </w:p>
        </w:tc>
      </w:tr>
      <w:tr w:rsidR="003D403C" w:rsidRPr="003D403C" w:rsidTr="00E95A6A">
        <w:tc>
          <w:tcPr>
            <w:tcW w:w="5000" w:type="pct"/>
            <w:gridSpan w:val="4"/>
          </w:tcPr>
          <w:p w:rsidR="003D403C" w:rsidRPr="003D403C" w:rsidRDefault="003D403C" w:rsidP="003D403C">
            <w:pPr>
              <w:jc w:val="both"/>
              <w:rPr>
                <w:sz w:val="20"/>
              </w:rPr>
            </w:pPr>
            <w:r w:rsidRPr="003D403C">
              <w:rPr>
                <w:i/>
                <w:sz w:val="20"/>
              </w:rPr>
              <w:t>Charter of Rights</w:t>
            </w:r>
            <w:r w:rsidRPr="003D403C">
              <w:rPr>
                <w:sz w:val="20"/>
              </w:rPr>
              <w:t xml:space="preserve"> – Arbitrary detention – Is the existing common law and </w:t>
            </w:r>
            <w:r w:rsidRPr="003D403C">
              <w:rPr>
                <w:i/>
                <w:iCs/>
                <w:sz w:val="20"/>
              </w:rPr>
              <w:t xml:space="preserve">Charter </w:t>
            </w:r>
            <w:r w:rsidRPr="003D403C">
              <w:rPr>
                <w:sz w:val="20"/>
              </w:rPr>
              <w:t xml:space="preserve">framework adequate to address situations where it is proved that a police investigation is tainted by tunnel vision and noble cause corruption – Does the existing framework maintain and preserve the integrity of the criminal justice system by preventing abuses during police investigations, particularly those abuses resulting from tunnel vision and noble cause corruption – Is it appropriate to adopt the approach of the Supreme Court of Canada in </w:t>
            </w:r>
            <w:r w:rsidRPr="003D403C">
              <w:rPr>
                <w:i/>
                <w:iCs/>
                <w:sz w:val="20"/>
              </w:rPr>
              <w:t>R. v. Hart</w:t>
            </w:r>
            <w:r w:rsidRPr="003D403C">
              <w:rPr>
                <w:iCs/>
                <w:sz w:val="20"/>
              </w:rPr>
              <w:t xml:space="preserve">, 2014 SCC 52, </w:t>
            </w:r>
            <w:r w:rsidRPr="003D403C">
              <w:rPr>
                <w:sz w:val="20"/>
              </w:rPr>
              <w:t xml:space="preserve">to ensure that the integrity of our criminal justice system is not compromised by improper police conduct in the present context – </w:t>
            </w:r>
            <w:r w:rsidRPr="003D403C">
              <w:rPr>
                <w:i/>
                <w:sz w:val="20"/>
              </w:rPr>
              <w:t>Canadian Charter of Rights and Freedoms</w:t>
            </w:r>
            <w:r w:rsidRPr="003D403C">
              <w:rPr>
                <w:sz w:val="20"/>
              </w:rPr>
              <w:t xml:space="preserve"> s. 9.</w:t>
            </w:r>
          </w:p>
        </w:tc>
      </w:tr>
      <w:tr w:rsidR="003D403C" w:rsidRPr="003D403C" w:rsidTr="00E95A6A">
        <w:tc>
          <w:tcPr>
            <w:tcW w:w="5000" w:type="pct"/>
            <w:gridSpan w:val="4"/>
          </w:tcPr>
          <w:p w:rsidR="003D403C" w:rsidRPr="003D403C" w:rsidRDefault="003D403C" w:rsidP="003D403C">
            <w:pPr>
              <w:jc w:val="both"/>
              <w:rPr>
                <w:i/>
                <w:sz w:val="20"/>
              </w:rPr>
            </w:pPr>
          </w:p>
        </w:tc>
      </w:tr>
      <w:tr w:rsidR="003D403C" w:rsidRPr="003D403C" w:rsidTr="00E95A6A">
        <w:tc>
          <w:tcPr>
            <w:tcW w:w="5000" w:type="pct"/>
            <w:gridSpan w:val="4"/>
          </w:tcPr>
          <w:p w:rsidR="003D403C" w:rsidRPr="003D403C" w:rsidRDefault="003D403C" w:rsidP="003D403C">
            <w:pPr>
              <w:jc w:val="both"/>
              <w:rPr>
                <w:sz w:val="20"/>
              </w:rPr>
            </w:pPr>
            <w:r w:rsidRPr="003D403C">
              <w:rPr>
                <w:iCs/>
                <w:sz w:val="20"/>
              </w:rPr>
              <w:t xml:space="preserve">The applicant was convicted of historical sexual offences </w:t>
            </w:r>
            <w:r w:rsidRPr="003D403C">
              <w:rPr>
                <w:sz w:val="20"/>
              </w:rPr>
              <w:t xml:space="preserve">with respect to D.W. and D.D. </w:t>
            </w:r>
            <w:r w:rsidRPr="003D403C">
              <w:rPr>
                <w:iCs/>
                <w:sz w:val="20"/>
              </w:rPr>
              <w:t>The Court of Appeal dismissed the conviction appeal.</w:t>
            </w:r>
          </w:p>
          <w:p w:rsidR="003D403C" w:rsidRPr="003D403C" w:rsidRDefault="003D403C" w:rsidP="003D403C">
            <w:pPr>
              <w:jc w:val="both"/>
              <w:rPr>
                <w:sz w:val="20"/>
              </w:rPr>
            </w:pPr>
          </w:p>
        </w:tc>
      </w:tr>
      <w:tr w:rsidR="003D403C" w:rsidRPr="003D403C" w:rsidTr="00E95A6A">
        <w:tc>
          <w:tcPr>
            <w:tcW w:w="2427" w:type="pct"/>
            <w:gridSpan w:val="2"/>
          </w:tcPr>
          <w:p w:rsidR="003D403C" w:rsidRPr="003D403C" w:rsidRDefault="003D403C" w:rsidP="003D403C">
            <w:pPr>
              <w:jc w:val="both"/>
              <w:rPr>
                <w:sz w:val="20"/>
              </w:rPr>
            </w:pPr>
            <w:r w:rsidRPr="003D403C">
              <w:rPr>
                <w:sz w:val="20"/>
              </w:rPr>
              <w:t>July 5, 2013</w:t>
            </w:r>
          </w:p>
          <w:p w:rsidR="003D403C" w:rsidRPr="003D403C" w:rsidRDefault="003D403C" w:rsidP="003D403C">
            <w:pPr>
              <w:jc w:val="both"/>
              <w:rPr>
                <w:sz w:val="20"/>
              </w:rPr>
            </w:pPr>
            <w:r w:rsidRPr="003D403C">
              <w:rPr>
                <w:sz w:val="20"/>
              </w:rPr>
              <w:t>Supreme Court of British Columbia</w:t>
            </w:r>
          </w:p>
          <w:p w:rsidR="003D403C" w:rsidRPr="003D403C" w:rsidRDefault="003D403C" w:rsidP="003D403C">
            <w:pPr>
              <w:jc w:val="both"/>
              <w:rPr>
                <w:sz w:val="20"/>
              </w:rPr>
            </w:pPr>
            <w:r w:rsidRPr="003D403C">
              <w:rPr>
                <w:sz w:val="20"/>
              </w:rPr>
              <w:t>(MacKenzie J.)</w:t>
            </w:r>
          </w:p>
          <w:p w:rsidR="003D403C" w:rsidRPr="003D403C" w:rsidRDefault="003D403C" w:rsidP="003D403C">
            <w:pPr>
              <w:jc w:val="both"/>
              <w:rPr>
                <w:sz w:val="20"/>
              </w:rPr>
            </w:pPr>
          </w:p>
        </w:tc>
        <w:tc>
          <w:tcPr>
            <w:tcW w:w="243" w:type="pct"/>
          </w:tcPr>
          <w:p w:rsidR="003D403C" w:rsidRPr="003D403C" w:rsidRDefault="003D403C" w:rsidP="003D403C">
            <w:pPr>
              <w:jc w:val="both"/>
              <w:rPr>
                <w:sz w:val="20"/>
              </w:rPr>
            </w:pPr>
          </w:p>
        </w:tc>
        <w:tc>
          <w:tcPr>
            <w:tcW w:w="2330" w:type="pct"/>
          </w:tcPr>
          <w:p w:rsidR="003D403C" w:rsidRPr="003D403C" w:rsidRDefault="003D403C" w:rsidP="003D403C">
            <w:pPr>
              <w:jc w:val="both"/>
              <w:rPr>
                <w:sz w:val="20"/>
              </w:rPr>
            </w:pPr>
            <w:r w:rsidRPr="003D403C">
              <w:rPr>
                <w:sz w:val="20"/>
              </w:rPr>
              <w:t>Conviction for sexual offences</w:t>
            </w:r>
          </w:p>
          <w:p w:rsidR="003D403C" w:rsidRPr="003D403C" w:rsidRDefault="003D403C" w:rsidP="003D403C">
            <w:pPr>
              <w:jc w:val="both"/>
              <w:rPr>
                <w:sz w:val="20"/>
              </w:rPr>
            </w:pPr>
          </w:p>
          <w:p w:rsidR="003D403C" w:rsidRPr="003D403C" w:rsidRDefault="003D403C" w:rsidP="003D403C">
            <w:pPr>
              <w:jc w:val="both"/>
              <w:rPr>
                <w:sz w:val="20"/>
              </w:rPr>
            </w:pPr>
          </w:p>
        </w:tc>
      </w:tr>
      <w:tr w:rsidR="003D403C" w:rsidRPr="003D403C" w:rsidTr="00E95A6A">
        <w:tc>
          <w:tcPr>
            <w:tcW w:w="2427" w:type="pct"/>
            <w:gridSpan w:val="2"/>
          </w:tcPr>
          <w:p w:rsidR="003D403C" w:rsidRPr="003D403C" w:rsidRDefault="003D403C" w:rsidP="003D403C">
            <w:pPr>
              <w:jc w:val="both"/>
              <w:rPr>
                <w:sz w:val="20"/>
              </w:rPr>
            </w:pPr>
            <w:r w:rsidRPr="003D403C">
              <w:rPr>
                <w:sz w:val="20"/>
              </w:rPr>
              <w:t>December 4, 2015</w:t>
            </w:r>
          </w:p>
          <w:p w:rsidR="003D403C" w:rsidRPr="003D403C" w:rsidRDefault="003D403C" w:rsidP="003D403C">
            <w:pPr>
              <w:jc w:val="both"/>
              <w:rPr>
                <w:sz w:val="20"/>
              </w:rPr>
            </w:pPr>
            <w:r w:rsidRPr="003D403C">
              <w:rPr>
                <w:sz w:val="20"/>
              </w:rPr>
              <w:t xml:space="preserve">Court of Appeal for British Columbia </w:t>
            </w:r>
          </w:p>
          <w:p w:rsidR="003D403C" w:rsidRPr="003D403C" w:rsidRDefault="003D403C" w:rsidP="003D403C">
            <w:pPr>
              <w:jc w:val="both"/>
              <w:rPr>
                <w:sz w:val="20"/>
              </w:rPr>
            </w:pPr>
            <w:r w:rsidRPr="003D403C">
              <w:rPr>
                <w:sz w:val="20"/>
              </w:rPr>
              <w:t>(Vancouver)</w:t>
            </w:r>
          </w:p>
          <w:p w:rsidR="003D403C" w:rsidRPr="003D403C" w:rsidRDefault="003D403C" w:rsidP="003D403C">
            <w:pPr>
              <w:jc w:val="both"/>
              <w:rPr>
                <w:sz w:val="20"/>
              </w:rPr>
            </w:pPr>
            <w:r w:rsidRPr="003D403C">
              <w:rPr>
                <w:sz w:val="20"/>
              </w:rPr>
              <w:t>(Chiasson, Groberman, Stromberg-Stein JJ.A.)</w:t>
            </w:r>
          </w:p>
          <w:p w:rsidR="003D403C" w:rsidRPr="003D403C" w:rsidRDefault="003D403C" w:rsidP="003D403C">
            <w:pPr>
              <w:jc w:val="both"/>
              <w:rPr>
                <w:sz w:val="20"/>
              </w:rPr>
            </w:pPr>
            <w:r w:rsidRPr="003D403C">
              <w:rPr>
                <w:sz w:val="20"/>
              </w:rPr>
              <w:t>2015 BCCA 495; CA41333</w:t>
            </w:r>
          </w:p>
          <w:p w:rsidR="003D403C" w:rsidRPr="003D403C" w:rsidRDefault="003D403C" w:rsidP="003D403C">
            <w:pPr>
              <w:jc w:val="both"/>
              <w:rPr>
                <w:sz w:val="20"/>
              </w:rPr>
            </w:pPr>
            <w:hyperlink r:id="rId19" w:history="1">
              <w:r w:rsidRPr="003D403C">
                <w:rPr>
                  <w:rStyle w:val="Hyperlink"/>
                  <w:rFonts w:eastAsiaTheme="majorEastAsia"/>
                  <w:sz w:val="20"/>
                </w:rPr>
                <w:t>http://canlii.ca/t/gmcvp</w:t>
              </w:r>
            </w:hyperlink>
          </w:p>
          <w:p w:rsidR="003D403C" w:rsidRPr="003D403C" w:rsidRDefault="003D403C" w:rsidP="003D403C">
            <w:pPr>
              <w:jc w:val="both"/>
              <w:rPr>
                <w:sz w:val="20"/>
              </w:rPr>
            </w:pPr>
          </w:p>
        </w:tc>
        <w:tc>
          <w:tcPr>
            <w:tcW w:w="243" w:type="pct"/>
          </w:tcPr>
          <w:p w:rsidR="003D403C" w:rsidRPr="003D403C" w:rsidRDefault="003D403C" w:rsidP="003D403C">
            <w:pPr>
              <w:jc w:val="both"/>
              <w:rPr>
                <w:sz w:val="20"/>
              </w:rPr>
            </w:pPr>
          </w:p>
        </w:tc>
        <w:tc>
          <w:tcPr>
            <w:tcW w:w="2330" w:type="pct"/>
          </w:tcPr>
          <w:p w:rsidR="003D403C" w:rsidRPr="003D403C" w:rsidRDefault="003D403C" w:rsidP="003D403C">
            <w:pPr>
              <w:jc w:val="both"/>
              <w:rPr>
                <w:sz w:val="20"/>
              </w:rPr>
            </w:pPr>
            <w:r w:rsidRPr="003D403C">
              <w:rPr>
                <w:sz w:val="20"/>
              </w:rPr>
              <w:t>Appeal dismissed</w:t>
            </w:r>
          </w:p>
          <w:p w:rsidR="003D403C" w:rsidRPr="003D403C" w:rsidRDefault="003D403C" w:rsidP="003D403C">
            <w:pPr>
              <w:jc w:val="both"/>
              <w:rPr>
                <w:sz w:val="20"/>
              </w:rPr>
            </w:pPr>
          </w:p>
          <w:p w:rsidR="003D403C" w:rsidRPr="003D403C" w:rsidRDefault="003D403C" w:rsidP="003D403C">
            <w:pPr>
              <w:jc w:val="both"/>
              <w:rPr>
                <w:sz w:val="20"/>
              </w:rPr>
            </w:pPr>
          </w:p>
        </w:tc>
      </w:tr>
      <w:tr w:rsidR="003D403C" w:rsidRPr="003D403C" w:rsidTr="00E95A6A">
        <w:tc>
          <w:tcPr>
            <w:tcW w:w="2427" w:type="pct"/>
            <w:gridSpan w:val="2"/>
          </w:tcPr>
          <w:p w:rsidR="003D403C" w:rsidRPr="003D403C" w:rsidRDefault="003D403C" w:rsidP="003D403C">
            <w:pPr>
              <w:jc w:val="both"/>
              <w:rPr>
                <w:sz w:val="20"/>
              </w:rPr>
            </w:pPr>
            <w:r w:rsidRPr="003D403C">
              <w:rPr>
                <w:sz w:val="20"/>
              </w:rPr>
              <w:lastRenderedPageBreak/>
              <w:t>January 29, 2016</w:t>
            </w:r>
          </w:p>
          <w:p w:rsidR="003D403C" w:rsidRPr="003D403C" w:rsidRDefault="003D403C" w:rsidP="003D403C">
            <w:pPr>
              <w:jc w:val="both"/>
              <w:rPr>
                <w:sz w:val="20"/>
              </w:rPr>
            </w:pPr>
            <w:r w:rsidRPr="003D403C">
              <w:rPr>
                <w:sz w:val="20"/>
              </w:rPr>
              <w:t>Supreme Court of Canada</w:t>
            </w:r>
          </w:p>
        </w:tc>
        <w:tc>
          <w:tcPr>
            <w:tcW w:w="243" w:type="pct"/>
          </w:tcPr>
          <w:p w:rsidR="003D403C" w:rsidRPr="003D403C" w:rsidRDefault="003D403C" w:rsidP="003D403C">
            <w:pPr>
              <w:jc w:val="both"/>
              <w:rPr>
                <w:sz w:val="20"/>
              </w:rPr>
            </w:pPr>
          </w:p>
        </w:tc>
        <w:tc>
          <w:tcPr>
            <w:tcW w:w="2330" w:type="pct"/>
          </w:tcPr>
          <w:p w:rsidR="003D403C" w:rsidRPr="003D403C" w:rsidRDefault="003D403C" w:rsidP="003D403C">
            <w:pPr>
              <w:jc w:val="both"/>
              <w:rPr>
                <w:sz w:val="20"/>
              </w:rPr>
            </w:pPr>
            <w:r w:rsidRPr="003D403C">
              <w:rPr>
                <w:sz w:val="20"/>
              </w:rPr>
              <w:t>Application for leave to appeal filed</w:t>
            </w:r>
          </w:p>
          <w:p w:rsidR="003D403C" w:rsidRPr="003D403C" w:rsidRDefault="003D403C" w:rsidP="003D403C">
            <w:pPr>
              <w:jc w:val="both"/>
              <w:rPr>
                <w:sz w:val="20"/>
              </w:rPr>
            </w:pPr>
          </w:p>
        </w:tc>
      </w:tr>
    </w:tbl>
    <w:p w:rsidR="003D403C" w:rsidRDefault="003D403C" w:rsidP="003D403C">
      <w:pPr>
        <w:jc w:val="both"/>
        <w:rPr>
          <w:sz w:val="20"/>
        </w:rPr>
      </w:pPr>
    </w:p>
    <w:p w:rsidR="003D403C" w:rsidRPr="003D403C" w:rsidRDefault="003D403C" w:rsidP="003D403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D403C" w:rsidRPr="003D403C" w:rsidTr="00E95A6A">
        <w:tc>
          <w:tcPr>
            <w:tcW w:w="543" w:type="pct"/>
          </w:tcPr>
          <w:p w:rsidR="003D403C" w:rsidRPr="003D403C" w:rsidRDefault="003D403C" w:rsidP="003D403C">
            <w:pPr>
              <w:jc w:val="both"/>
              <w:rPr>
                <w:sz w:val="20"/>
                <w:lang w:val="fr-CA"/>
              </w:rPr>
            </w:pPr>
            <w:r w:rsidRPr="003D403C">
              <w:rPr>
                <w:rStyle w:val="SCCFileNumberChar"/>
                <w:sz w:val="20"/>
                <w:szCs w:val="20"/>
                <w:lang w:val="fr-CA"/>
              </w:rPr>
              <w:t>36824</w:t>
            </w:r>
          </w:p>
        </w:tc>
        <w:tc>
          <w:tcPr>
            <w:tcW w:w="4457" w:type="pct"/>
            <w:gridSpan w:val="3"/>
          </w:tcPr>
          <w:p w:rsidR="003D403C" w:rsidRPr="003D403C" w:rsidRDefault="003D403C" w:rsidP="003D403C">
            <w:pPr>
              <w:pStyle w:val="SCCLsocParty"/>
              <w:jc w:val="both"/>
              <w:rPr>
                <w:b/>
                <w:sz w:val="20"/>
                <w:szCs w:val="20"/>
              </w:rPr>
            </w:pPr>
            <w:r w:rsidRPr="003D403C">
              <w:rPr>
                <w:b/>
                <w:sz w:val="20"/>
                <w:szCs w:val="20"/>
              </w:rPr>
              <w:t>John Gabriel Viszlai c. Sa Majesté la Reine</w:t>
            </w:r>
          </w:p>
          <w:p w:rsidR="003D403C" w:rsidRPr="003D403C" w:rsidRDefault="003D403C" w:rsidP="003D403C">
            <w:pPr>
              <w:jc w:val="both"/>
              <w:rPr>
                <w:sz w:val="20"/>
                <w:lang w:val="fr-CA"/>
              </w:rPr>
            </w:pPr>
            <w:r w:rsidRPr="003D403C">
              <w:rPr>
                <w:sz w:val="20"/>
                <w:lang w:val="fr-CA"/>
              </w:rPr>
              <w:t>(C.-B.) (Criminelle) (Sur autorisation)</w:t>
            </w:r>
          </w:p>
        </w:tc>
      </w:tr>
      <w:tr w:rsidR="003D403C" w:rsidRPr="003D403C" w:rsidTr="00E95A6A">
        <w:tc>
          <w:tcPr>
            <w:tcW w:w="5000" w:type="pct"/>
            <w:gridSpan w:val="4"/>
          </w:tcPr>
          <w:p w:rsidR="003D403C" w:rsidRPr="003D403C" w:rsidRDefault="003D403C" w:rsidP="003D403C">
            <w:pPr>
              <w:pStyle w:val="SCCBanSummary"/>
              <w:rPr>
                <w:sz w:val="20"/>
                <w:szCs w:val="20"/>
                <w:lang w:val="fr-CA"/>
              </w:rPr>
            </w:pPr>
            <w:r w:rsidRPr="003D403C">
              <w:rPr>
                <w:sz w:val="20"/>
                <w:szCs w:val="20"/>
                <w:lang w:val="fr-CA"/>
              </w:rPr>
              <w:t>(Ordonnance de non-publication dans le dossier)</w:t>
            </w:r>
          </w:p>
          <w:p w:rsidR="003D403C" w:rsidRPr="003D403C" w:rsidRDefault="003D403C" w:rsidP="003D403C">
            <w:pPr>
              <w:jc w:val="both"/>
              <w:rPr>
                <w:sz w:val="20"/>
                <w:lang w:val="fr-CA"/>
              </w:rPr>
            </w:pPr>
          </w:p>
        </w:tc>
      </w:tr>
      <w:tr w:rsidR="003D403C" w:rsidRPr="003D403C" w:rsidTr="00E95A6A">
        <w:tc>
          <w:tcPr>
            <w:tcW w:w="5000" w:type="pct"/>
            <w:gridSpan w:val="4"/>
          </w:tcPr>
          <w:p w:rsidR="003D403C" w:rsidRPr="003D403C" w:rsidRDefault="003D403C" w:rsidP="003D403C">
            <w:pPr>
              <w:jc w:val="both"/>
              <w:rPr>
                <w:sz w:val="20"/>
                <w:lang w:val="fr-CA"/>
              </w:rPr>
            </w:pPr>
            <w:r w:rsidRPr="003D403C">
              <w:rPr>
                <w:i/>
                <w:sz w:val="20"/>
                <w:lang w:val="fr-CA"/>
              </w:rPr>
              <w:t xml:space="preserve">Charte des droits </w:t>
            </w:r>
            <w:r w:rsidRPr="003D403C">
              <w:rPr>
                <w:sz w:val="20"/>
                <w:lang w:val="fr-CA"/>
              </w:rPr>
              <w:t xml:space="preserve">– Détention arbitraire – La common law dans son état actuel et le cadre de la </w:t>
            </w:r>
            <w:r w:rsidRPr="003D403C">
              <w:rPr>
                <w:i/>
                <w:sz w:val="20"/>
                <w:lang w:val="fr-CA"/>
              </w:rPr>
              <w:t>Charte</w:t>
            </w:r>
            <w:r w:rsidRPr="003D403C">
              <w:rPr>
                <w:sz w:val="20"/>
                <w:lang w:val="fr-CA"/>
              </w:rPr>
              <w:t xml:space="preserve"> permettent-ils de traiter des situations où il est prouvé qu’une enquête policière est viciée par une vision étriquée et de la corruption pour une noble cause? – Le cadre actuel maintient-il et protège-t-il l’intégrité du système de justice criminelle en empêchant les abus commis pendant les enquêtes policières, particulièrement les abus qui résultent d’une vision étriquée et de la corruption pour une noble cause? – Convient-il d’adopter l’approche de la Cour suprême du Canada dans l’arrêt </w:t>
            </w:r>
            <w:r w:rsidRPr="003D403C">
              <w:rPr>
                <w:i/>
                <w:iCs/>
                <w:sz w:val="20"/>
                <w:lang w:val="fr-CA"/>
              </w:rPr>
              <w:t>R. c. Hart</w:t>
            </w:r>
            <w:r w:rsidRPr="003D403C">
              <w:rPr>
                <w:iCs/>
                <w:sz w:val="20"/>
                <w:lang w:val="fr-CA"/>
              </w:rPr>
              <w:t xml:space="preserve">, 2014 CSC 52, pour veiller à ce que l’intégrité de notre système de justice criminelle ne soit pas compromise par une irrégularité policière dans le présent contexte? </w:t>
            </w:r>
            <w:r w:rsidRPr="003D403C">
              <w:rPr>
                <w:sz w:val="20"/>
                <w:lang w:val="fr-CA"/>
              </w:rPr>
              <w:t>–</w:t>
            </w:r>
            <w:r w:rsidRPr="003D403C">
              <w:rPr>
                <w:i/>
                <w:sz w:val="20"/>
                <w:lang w:val="fr-CA"/>
              </w:rPr>
              <w:t xml:space="preserve"> Charte canadienne des droits et libertés</w:t>
            </w:r>
            <w:r w:rsidRPr="003D403C">
              <w:rPr>
                <w:sz w:val="20"/>
                <w:lang w:val="fr-CA"/>
              </w:rPr>
              <w:t>,</w:t>
            </w:r>
            <w:r w:rsidRPr="003D403C">
              <w:rPr>
                <w:i/>
                <w:sz w:val="20"/>
                <w:lang w:val="fr-CA"/>
              </w:rPr>
              <w:t xml:space="preserve"> </w:t>
            </w:r>
            <w:r w:rsidRPr="003D403C">
              <w:rPr>
                <w:sz w:val="20"/>
                <w:lang w:val="fr-CA"/>
              </w:rPr>
              <w:t>art. 9.</w:t>
            </w:r>
          </w:p>
        </w:tc>
      </w:tr>
      <w:tr w:rsidR="003D403C" w:rsidRPr="003D403C" w:rsidTr="00E95A6A">
        <w:tc>
          <w:tcPr>
            <w:tcW w:w="5000" w:type="pct"/>
            <w:gridSpan w:val="4"/>
          </w:tcPr>
          <w:p w:rsidR="003D403C" w:rsidRPr="003D403C" w:rsidRDefault="003D403C" w:rsidP="003D403C">
            <w:pPr>
              <w:jc w:val="both"/>
              <w:rPr>
                <w:i/>
                <w:sz w:val="20"/>
                <w:lang w:val="fr-CA"/>
              </w:rPr>
            </w:pPr>
          </w:p>
        </w:tc>
      </w:tr>
      <w:tr w:rsidR="003D403C" w:rsidRPr="003D403C" w:rsidTr="00E95A6A">
        <w:tc>
          <w:tcPr>
            <w:tcW w:w="5000" w:type="pct"/>
            <w:gridSpan w:val="4"/>
          </w:tcPr>
          <w:p w:rsidR="003D403C" w:rsidRPr="003D403C" w:rsidRDefault="003D403C" w:rsidP="003D403C">
            <w:pPr>
              <w:jc w:val="both"/>
              <w:rPr>
                <w:sz w:val="20"/>
                <w:lang w:val="fr-CA"/>
              </w:rPr>
            </w:pPr>
            <w:r w:rsidRPr="003D403C">
              <w:rPr>
                <w:iCs/>
                <w:sz w:val="20"/>
                <w:lang w:val="fr-CA"/>
              </w:rPr>
              <w:t xml:space="preserve">Le demandeur a été déclaré coupable d’anciennes infractions d’ordre sexuel commises à l’endroit de </w:t>
            </w:r>
            <w:r w:rsidRPr="003D403C">
              <w:rPr>
                <w:sz w:val="20"/>
                <w:lang w:val="fr-CA"/>
              </w:rPr>
              <w:t xml:space="preserve">D.W. et de D.D. </w:t>
            </w:r>
            <w:r w:rsidRPr="003D403C">
              <w:rPr>
                <w:iCs/>
                <w:sz w:val="20"/>
                <w:lang w:val="fr-CA"/>
              </w:rPr>
              <w:t>La Cour d’appel a rejeté l’appel de la déclaration de culpabilité.</w:t>
            </w:r>
          </w:p>
          <w:p w:rsidR="003D403C" w:rsidRPr="003D403C" w:rsidRDefault="003D403C" w:rsidP="003D403C">
            <w:pPr>
              <w:jc w:val="both"/>
              <w:rPr>
                <w:sz w:val="20"/>
                <w:lang w:val="fr-CA"/>
              </w:rPr>
            </w:pPr>
          </w:p>
        </w:tc>
      </w:tr>
      <w:tr w:rsidR="003D403C" w:rsidRPr="003D403C" w:rsidTr="00E95A6A">
        <w:tc>
          <w:tcPr>
            <w:tcW w:w="2427" w:type="pct"/>
            <w:gridSpan w:val="2"/>
          </w:tcPr>
          <w:p w:rsidR="003D403C" w:rsidRPr="003D403C" w:rsidRDefault="003D403C" w:rsidP="003D403C">
            <w:pPr>
              <w:jc w:val="both"/>
              <w:rPr>
                <w:sz w:val="20"/>
                <w:lang w:val="fr-CA"/>
              </w:rPr>
            </w:pPr>
            <w:r w:rsidRPr="003D403C">
              <w:rPr>
                <w:sz w:val="20"/>
                <w:lang w:val="fr-CA"/>
              </w:rPr>
              <w:t>5 juillet 2013</w:t>
            </w:r>
          </w:p>
          <w:p w:rsidR="003D403C" w:rsidRPr="003D403C" w:rsidRDefault="003D403C" w:rsidP="003D403C">
            <w:pPr>
              <w:jc w:val="both"/>
              <w:rPr>
                <w:sz w:val="20"/>
                <w:lang w:val="fr-CA"/>
              </w:rPr>
            </w:pPr>
            <w:r w:rsidRPr="003D403C">
              <w:rPr>
                <w:sz w:val="20"/>
                <w:lang w:val="fr-CA"/>
              </w:rPr>
              <w:t xml:space="preserve">Cour suprême de la Colombie-Britannique </w:t>
            </w:r>
          </w:p>
          <w:p w:rsidR="003D403C" w:rsidRPr="003D403C" w:rsidRDefault="003D403C" w:rsidP="003D403C">
            <w:pPr>
              <w:jc w:val="both"/>
              <w:rPr>
                <w:sz w:val="20"/>
                <w:lang w:val="fr-CA"/>
              </w:rPr>
            </w:pPr>
            <w:r w:rsidRPr="003D403C">
              <w:rPr>
                <w:sz w:val="20"/>
                <w:lang w:val="fr-CA"/>
              </w:rPr>
              <w:t>(Juge MacKenzie)</w:t>
            </w:r>
          </w:p>
          <w:p w:rsidR="003D403C" w:rsidRPr="003D403C" w:rsidRDefault="003D403C" w:rsidP="003D403C">
            <w:pPr>
              <w:jc w:val="both"/>
              <w:rPr>
                <w:sz w:val="20"/>
                <w:lang w:val="fr-CA"/>
              </w:rPr>
            </w:pPr>
          </w:p>
        </w:tc>
        <w:tc>
          <w:tcPr>
            <w:tcW w:w="243" w:type="pct"/>
          </w:tcPr>
          <w:p w:rsidR="003D403C" w:rsidRPr="003D403C" w:rsidRDefault="003D403C" w:rsidP="003D403C">
            <w:pPr>
              <w:jc w:val="both"/>
              <w:rPr>
                <w:sz w:val="20"/>
                <w:lang w:val="fr-CA"/>
              </w:rPr>
            </w:pPr>
          </w:p>
        </w:tc>
        <w:tc>
          <w:tcPr>
            <w:tcW w:w="2330" w:type="pct"/>
          </w:tcPr>
          <w:p w:rsidR="003D403C" w:rsidRPr="003D403C" w:rsidRDefault="003D403C" w:rsidP="003D403C">
            <w:pPr>
              <w:jc w:val="both"/>
              <w:rPr>
                <w:sz w:val="20"/>
                <w:lang w:val="fr-CA"/>
              </w:rPr>
            </w:pPr>
            <w:r w:rsidRPr="003D403C">
              <w:rPr>
                <w:sz w:val="20"/>
                <w:lang w:val="fr-CA"/>
              </w:rPr>
              <w:t>Déclaration de culpabilité d’infractions sexuelles</w:t>
            </w:r>
          </w:p>
          <w:p w:rsidR="003D403C" w:rsidRPr="003D403C" w:rsidRDefault="003D403C" w:rsidP="003D403C">
            <w:pPr>
              <w:jc w:val="both"/>
              <w:rPr>
                <w:sz w:val="20"/>
                <w:lang w:val="fr-CA"/>
              </w:rPr>
            </w:pPr>
          </w:p>
        </w:tc>
      </w:tr>
      <w:tr w:rsidR="003D403C" w:rsidRPr="003D403C" w:rsidTr="00E95A6A">
        <w:tc>
          <w:tcPr>
            <w:tcW w:w="2427" w:type="pct"/>
            <w:gridSpan w:val="2"/>
          </w:tcPr>
          <w:p w:rsidR="003D403C" w:rsidRPr="003D403C" w:rsidRDefault="003D403C" w:rsidP="003D403C">
            <w:pPr>
              <w:jc w:val="both"/>
              <w:rPr>
                <w:sz w:val="20"/>
                <w:lang w:val="fr-CA"/>
              </w:rPr>
            </w:pPr>
            <w:r w:rsidRPr="003D403C">
              <w:rPr>
                <w:sz w:val="20"/>
                <w:lang w:val="fr-CA"/>
              </w:rPr>
              <w:t>4 décembre 2015</w:t>
            </w:r>
          </w:p>
          <w:p w:rsidR="003D403C" w:rsidRPr="003D403C" w:rsidRDefault="003D403C" w:rsidP="003D403C">
            <w:pPr>
              <w:jc w:val="both"/>
              <w:rPr>
                <w:sz w:val="20"/>
                <w:lang w:val="fr-CA"/>
              </w:rPr>
            </w:pPr>
            <w:r w:rsidRPr="003D403C">
              <w:rPr>
                <w:sz w:val="20"/>
                <w:lang w:val="fr-CA"/>
              </w:rPr>
              <w:t>Cour d’appel de la Colombie-Britannique</w:t>
            </w:r>
          </w:p>
          <w:p w:rsidR="003D403C" w:rsidRPr="003D403C" w:rsidRDefault="003D403C" w:rsidP="003D403C">
            <w:pPr>
              <w:jc w:val="both"/>
              <w:rPr>
                <w:sz w:val="20"/>
                <w:lang w:val="fr-CA"/>
              </w:rPr>
            </w:pPr>
            <w:r w:rsidRPr="003D403C">
              <w:rPr>
                <w:sz w:val="20"/>
                <w:lang w:val="fr-CA"/>
              </w:rPr>
              <w:t>(Vancouver)</w:t>
            </w:r>
          </w:p>
          <w:p w:rsidR="003D403C" w:rsidRPr="003D403C" w:rsidRDefault="003D403C" w:rsidP="003D403C">
            <w:pPr>
              <w:jc w:val="both"/>
              <w:rPr>
                <w:sz w:val="20"/>
                <w:lang w:val="fr-CA"/>
              </w:rPr>
            </w:pPr>
            <w:r w:rsidRPr="003D403C">
              <w:rPr>
                <w:sz w:val="20"/>
                <w:lang w:val="fr-CA"/>
              </w:rPr>
              <w:t>(Juges Chiasson, Groberman et Stromberg-Stein)</w:t>
            </w:r>
          </w:p>
          <w:p w:rsidR="003D403C" w:rsidRPr="003D403C" w:rsidRDefault="003D403C" w:rsidP="003D403C">
            <w:pPr>
              <w:jc w:val="both"/>
              <w:rPr>
                <w:sz w:val="20"/>
              </w:rPr>
            </w:pPr>
            <w:r w:rsidRPr="003D403C">
              <w:rPr>
                <w:sz w:val="20"/>
              </w:rPr>
              <w:t>2015 BCCA 495; CA41333</w:t>
            </w:r>
          </w:p>
          <w:p w:rsidR="003D403C" w:rsidRPr="003D403C" w:rsidRDefault="003D403C" w:rsidP="003D403C">
            <w:pPr>
              <w:jc w:val="both"/>
              <w:rPr>
                <w:sz w:val="20"/>
              </w:rPr>
            </w:pPr>
            <w:hyperlink r:id="rId20" w:history="1">
              <w:r w:rsidRPr="003D403C">
                <w:rPr>
                  <w:rStyle w:val="Hyperlink"/>
                  <w:rFonts w:eastAsiaTheme="majorEastAsia"/>
                  <w:sz w:val="20"/>
                </w:rPr>
                <w:t>http://canlii.ca/t/gmcvp</w:t>
              </w:r>
            </w:hyperlink>
          </w:p>
          <w:p w:rsidR="003D403C" w:rsidRPr="003D403C" w:rsidRDefault="003D403C" w:rsidP="003D403C">
            <w:pPr>
              <w:jc w:val="both"/>
              <w:rPr>
                <w:sz w:val="20"/>
              </w:rPr>
            </w:pPr>
          </w:p>
        </w:tc>
        <w:tc>
          <w:tcPr>
            <w:tcW w:w="243" w:type="pct"/>
          </w:tcPr>
          <w:p w:rsidR="003D403C" w:rsidRPr="003D403C" w:rsidRDefault="003D403C" w:rsidP="003D403C">
            <w:pPr>
              <w:jc w:val="both"/>
              <w:rPr>
                <w:sz w:val="20"/>
              </w:rPr>
            </w:pPr>
          </w:p>
        </w:tc>
        <w:tc>
          <w:tcPr>
            <w:tcW w:w="2330" w:type="pct"/>
          </w:tcPr>
          <w:p w:rsidR="003D403C" w:rsidRPr="003D403C" w:rsidRDefault="003D403C" w:rsidP="003D403C">
            <w:pPr>
              <w:jc w:val="both"/>
              <w:rPr>
                <w:sz w:val="20"/>
                <w:lang w:val="fr-CA"/>
              </w:rPr>
            </w:pPr>
            <w:r w:rsidRPr="003D403C">
              <w:rPr>
                <w:sz w:val="20"/>
                <w:lang w:val="fr-CA"/>
              </w:rPr>
              <w:t>Rejet de l’appel</w:t>
            </w:r>
          </w:p>
          <w:p w:rsidR="003D403C" w:rsidRPr="003D403C" w:rsidRDefault="003D403C" w:rsidP="003D403C">
            <w:pPr>
              <w:jc w:val="both"/>
              <w:rPr>
                <w:sz w:val="20"/>
                <w:lang w:val="fr-CA"/>
              </w:rPr>
            </w:pPr>
          </w:p>
        </w:tc>
      </w:tr>
      <w:tr w:rsidR="003D403C" w:rsidRPr="003D403C" w:rsidTr="00E95A6A">
        <w:tc>
          <w:tcPr>
            <w:tcW w:w="2427" w:type="pct"/>
            <w:gridSpan w:val="2"/>
          </w:tcPr>
          <w:p w:rsidR="003D403C" w:rsidRPr="003D403C" w:rsidRDefault="003D403C" w:rsidP="003D403C">
            <w:pPr>
              <w:jc w:val="both"/>
              <w:rPr>
                <w:sz w:val="20"/>
                <w:lang w:val="fr-CA"/>
              </w:rPr>
            </w:pPr>
            <w:r w:rsidRPr="003D403C">
              <w:rPr>
                <w:sz w:val="20"/>
                <w:lang w:val="fr-CA"/>
              </w:rPr>
              <w:t>29 janvier 2016</w:t>
            </w:r>
          </w:p>
          <w:p w:rsidR="003D403C" w:rsidRPr="003D403C" w:rsidRDefault="003D403C" w:rsidP="003D403C">
            <w:pPr>
              <w:jc w:val="both"/>
              <w:rPr>
                <w:sz w:val="20"/>
                <w:lang w:val="fr-CA"/>
              </w:rPr>
            </w:pPr>
            <w:r w:rsidRPr="003D403C">
              <w:rPr>
                <w:sz w:val="20"/>
                <w:lang w:val="fr-CA"/>
              </w:rPr>
              <w:t>Cour suprême du Canada</w:t>
            </w:r>
          </w:p>
        </w:tc>
        <w:tc>
          <w:tcPr>
            <w:tcW w:w="243" w:type="pct"/>
          </w:tcPr>
          <w:p w:rsidR="003D403C" w:rsidRPr="003D403C" w:rsidRDefault="003D403C" w:rsidP="003D403C">
            <w:pPr>
              <w:jc w:val="both"/>
              <w:rPr>
                <w:sz w:val="20"/>
                <w:lang w:val="fr-CA"/>
              </w:rPr>
            </w:pPr>
          </w:p>
        </w:tc>
        <w:tc>
          <w:tcPr>
            <w:tcW w:w="2330" w:type="pct"/>
          </w:tcPr>
          <w:p w:rsidR="003D403C" w:rsidRPr="003D403C" w:rsidRDefault="003D403C" w:rsidP="003D403C">
            <w:pPr>
              <w:jc w:val="both"/>
              <w:rPr>
                <w:sz w:val="20"/>
                <w:lang w:val="fr-CA"/>
              </w:rPr>
            </w:pPr>
            <w:r w:rsidRPr="003D403C">
              <w:rPr>
                <w:sz w:val="20"/>
                <w:lang w:val="fr-CA"/>
              </w:rPr>
              <w:t>Dépôt de la demande d’autorisation d’appel</w:t>
            </w:r>
          </w:p>
          <w:p w:rsidR="003D403C" w:rsidRPr="003D403C" w:rsidRDefault="003D403C" w:rsidP="003D403C">
            <w:pPr>
              <w:jc w:val="both"/>
              <w:rPr>
                <w:sz w:val="20"/>
                <w:lang w:val="fr-CA"/>
              </w:rPr>
            </w:pPr>
          </w:p>
        </w:tc>
      </w:tr>
    </w:tbl>
    <w:p w:rsidR="003D403C" w:rsidRPr="00160DEC" w:rsidRDefault="003D403C" w:rsidP="00160DEC">
      <w:pPr>
        <w:jc w:val="both"/>
        <w:rPr>
          <w:sz w:val="20"/>
          <w:lang w:val="fr-CA"/>
        </w:rPr>
      </w:pPr>
    </w:p>
    <w:p w:rsidR="00EC7995" w:rsidRPr="00160DEC" w:rsidRDefault="00EC7995" w:rsidP="00160DEC">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60DEC" w:rsidRPr="00160DEC" w:rsidTr="00E95A6A">
        <w:tc>
          <w:tcPr>
            <w:tcW w:w="543" w:type="pct"/>
          </w:tcPr>
          <w:p w:rsidR="00160DEC" w:rsidRPr="00160DEC" w:rsidRDefault="00160DEC" w:rsidP="00160DEC">
            <w:pPr>
              <w:jc w:val="both"/>
              <w:rPr>
                <w:sz w:val="20"/>
              </w:rPr>
            </w:pPr>
            <w:r w:rsidRPr="00160DEC">
              <w:rPr>
                <w:rStyle w:val="SCCFileNumberChar"/>
                <w:sz w:val="20"/>
                <w:szCs w:val="20"/>
              </w:rPr>
              <w:t>36906</w:t>
            </w:r>
          </w:p>
        </w:tc>
        <w:tc>
          <w:tcPr>
            <w:tcW w:w="4457" w:type="pct"/>
            <w:gridSpan w:val="3"/>
          </w:tcPr>
          <w:p w:rsidR="00160DEC" w:rsidRPr="00160DEC" w:rsidRDefault="00160DEC" w:rsidP="00160DEC">
            <w:pPr>
              <w:pStyle w:val="SCCLsocParty"/>
              <w:jc w:val="both"/>
              <w:rPr>
                <w:b/>
                <w:sz w:val="20"/>
                <w:szCs w:val="20"/>
              </w:rPr>
            </w:pPr>
            <w:r w:rsidRPr="00160DEC">
              <w:rPr>
                <w:b/>
                <w:sz w:val="20"/>
                <w:szCs w:val="20"/>
              </w:rPr>
              <w:t>Scott Galambos v. Her Majesty the Queen</w:t>
            </w:r>
          </w:p>
          <w:p w:rsidR="00160DEC" w:rsidRPr="00160DEC" w:rsidRDefault="00160DEC" w:rsidP="00160DEC">
            <w:pPr>
              <w:jc w:val="both"/>
              <w:rPr>
                <w:sz w:val="20"/>
              </w:rPr>
            </w:pPr>
            <w:r w:rsidRPr="00160DEC">
              <w:rPr>
                <w:sz w:val="20"/>
              </w:rPr>
              <w:t>(Ont.) (Criminal) (By Leave)</w:t>
            </w:r>
          </w:p>
        </w:tc>
      </w:tr>
      <w:tr w:rsidR="00160DEC" w:rsidRPr="00160DEC" w:rsidTr="00E95A6A">
        <w:tc>
          <w:tcPr>
            <w:tcW w:w="5000" w:type="pct"/>
            <w:gridSpan w:val="4"/>
          </w:tcPr>
          <w:p w:rsidR="00160DEC" w:rsidRPr="00160DEC" w:rsidRDefault="00160DEC" w:rsidP="00160DEC">
            <w:pPr>
              <w:jc w:val="both"/>
              <w:rPr>
                <w:sz w:val="20"/>
              </w:rPr>
            </w:pPr>
            <w:r w:rsidRPr="00160DEC">
              <w:rPr>
                <w:sz w:val="20"/>
              </w:rPr>
              <w:t>Criminal law – Appeal – Leave to appeal – Whether application for leave to appeal raises a legal issue – Whether issue is of national or public significance?</w:t>
            </w:r>
          </w:p>
        </w:tc>
      </w:tr>
      <w:tr w:rsidR="00160DEC" w:rsidRPr="00160DEC" w:rsidTr="00E95A6A">
        <w:tc>
          <w:tcPr>
            <w:tcW w:w="5000" w:type="pct"/>
            <w:gridSpan w:val="4"/>
          </w:tcPr>
          <w:p w:rsidR="00160DEC" w:rsidRPr="00160DEC" w:rsidRDefault="00160DEC" w:rsidP="00160DEC">
            <w:pPr>
              <w:jc w:val="both"/>
              <w:rPr>
                <w:sz w:val="20"/>
              </w:rPr>
            </w:pPr>
          </w:p>
        </w:tc>
      </w:tr>
      <w:tr w:rsidR="00160DEC" w:rsidRPr="00160DEC" w:rsidTr="00E95A6A">
        <w:tc>
          <w:tcPr>
            <w:tcW w:w="5000" w:type="pct"/>
            <w:gridSpan w:val="4"/>
          </w:tcPr>
          <w:p w:rsidR="00160DEC" w:rsidRPr="00160DEC" w:rsidRDefault="00160DEC" w:rsidP="00160DEC">
            <w:pPr>
              <w:jc w:val="both"/>
              <w:rPr>
                <w:sz w:val="20"/>
              </w:rPr>
            </w:pPr>
            <w:r w:rsidRPr="00160DEC">
              <w:rPr>
                <w:sz w:val="20"/>
              </w:rPr>
              <w:t>Mr. Galambos</w:t>
            </w:r>
            <w:r w:rsidRPr="00160DEC">
              <w:rPr>
                <w:b/>
                <w:sz w:val="20"/>
              </w:rPr>
              <w:t xml:space="preserve"> </w:t>
            </w:r>
            <w:r w:rsidRPr="00160DEC">
              <w:rPr>
                <w:sz w:val="20"/>
              </w:rPr>
              <w:t xml:space="preserve">was convicted of various offences for attempting to smuggle five stun guns into Canada. He was denied </w:t>
            </w:r>
            <w:r w:rsidRPr="00160DEC">
              <w:rPr>
                <w:color w:val="000000"/>
                <w:sz w:val="20"/>
              </w:rPr>
              <w:t>an extension of time to file a notice of appeal from sentence and a full panel of the Court of Appeal dismissed an appeal asking for reconsideration of that decision.</w:t>
            </w:r>
          </w:p>
          <w:p w:rsidR="00160DEC" w:rsidRPr="00160DEC" w:rsidRDefault="00160DEC" w:rsidP="00160DEC">
            <w:pPr>
              <w:jc w:val="both"/>
              <w:rPr>
                <w:sz w:val="20"/>
              </w:rPr>
            </w:pPr>
          </w:p>
        </w:tc>
      </w:tr>
      <w:tr w:rsidR="00160DEC" w:rsidRPr="00160DEC" w:rsidTr="00E95A6A">
        <w:tc>
          <w:tcPr>
            <w:tcW w:w="2427" w:type="pct"/>
            <w:gridSpan w:val="2"/>
          </w:tcPr>
          <w:p w:rsidR="00160DEC" w:rsidRPr="00160DEC" w:rsidRDefault="00160DEC" w:rsidP="00160DEC">
            <w:pPr>
              <w:jc w:val="both"/>
              <w:rPr>
                <w:sz w:val="20"/>
              </w:rPr>
            </w:pPr>
            <w:r w:rsidRPr="00160DEC">
              <w:rPr>
                <w:sz w:val="20"/>
              </w:rPr>
              <w:t>February 3, 2013</w:t>
            </w:r>
          </w:p>
          <w:p w:rsidR="00160DEC" w:rsidRPr="00160DEC" w:rsidRDefault="00160DEC" w:rsidP="00160DEC">
            <w:pPr>
              <w:jc w:val="both"/>
              <w:rPr>
                <w:sz w:val="20"/>
              </w:rPr>
            </w:pPr>
            <w:r w:rsidRPr="00160DEC">
              <w:rPr>
                <w:sz w:val="20"/>
              </w:rPr>
              <w:t xml:space="preserve">Ontario Court of Justice </w:t>
            </w:r>
          </w:p>
          <w:p w:rsidR="00160DEC" w:rsidRPr="00160DEC" w:rsidRDefault="00160DEC" w:rsidP="00160DEC">
            <w:pPr>
              <w:jc w:val="both"/>
              <w:rPr>
                <w:sz w:val="20"/>
              </w:rPr>
            </w:pPr>
            <w:r w:rsidRPr="00160DEC">
              <w:rPr>
                <w:sz w:val="20"/>
              </w:rPr>
              <w:t>(Nadel J.)</w:t>
            </w:r>
          </w:p>
          <w:p w:rsidR="00160DEC" w:rsidRPr="00160DEC" w:rsidRDefault="00160DEC" w:rsidP="00160DEC">
            <w:pPr>
              <w:jc w:val="both"/>
              <w:rPr>
                <w:sz w:val="20"/>
              </w:rPr>
            </w:pPr>
          </w:p>
          <w:p w:rsidR="00160DEC" w:rsidRPr="00160DEC" w:rsidRDefault="00160DEC" w:rsidP="00160DEC">
            <w:pPr>
              <w:jc w:val="both"/>
              <w:rPr>
                <w:sz w:val="20"/>
              </w:rPr>
            </w:pPr>
          </w:p>
        </w:tc>
        <w:tc>
          <w:tcPr>
            <w:tcW w:w="243" w:type="pct"/>
          </w:tcPr>
          <w:p w:rsidR="00160DEC" w:rsidRPr="00160DEC" w:rsidRDefault="00160DEC" w:rsidP="00160DEC">
            <w:pPr>
              <w:jc w:val="both"/>
              <w:rPr>
                <w:sz w:val="20"/>
              </w:rPr>
            </w:pPr>
          </w:p>
        </w:tc>
        <w:tc>
          <w:tcPr>
            <w:tcW w:w="2330" w:type="pct"/>
          </w:tcPr>
          <w:p w:rsidR="00160DEC" w:rsidRPr="00160DEC" w:rsidRDefault="00160DEC" w:rsidP="00160DEC">
            <w:pPr>
              <w:autoSpaceDE w:val="0"/>
              <w:autoSpaceDN w:val="0"/>
              <w:adjustRightInd w:val="0"/>
              <w:jc w:val="both"/>
              <w:rPr>
                <w:color w:val="000000"/>
                <w:sz w:val="20"/>
              </w:rPr>
            </w:pPr>
            <w:r w:rsidRPr="00160DEC">
              <w:rPr>
                <w:color w:val="000000"/>
                <w:sz w:val="20"/>
              </w:rPr>
              <w:t xml:space="preserve">Convictions: Possession of a prohibited weapon, importing prohibited weapon, offences under </w:t>
            </w:r>
            <w:r w:rsidRPr="00160DEC">
              <w:rPr>
                <w:i/>
                <w:iCs/>
                <w:color w:val="000000"/>
                <w:sz w:val="20"/>
              </w:rPr>
              <w:t>Customs Act</w:t>
            </w:r>
            <w:r w:rsidRPr="00160DEC">
              <w:rPr>
                <w:iCs/>
                <w:color w:val="000000"/>
                <w:sz w:val="20"/>
              </w:rPr>
              <w:t>, R.S.C. 1985, c. 1 (2</w:t>
            </w:r>
            <w:r w:rsidRPr="00160DEC">
              <w:rPr>
                <w:iCs/>
                <w:color w:val="000000"/>
                <w:sz w:val="20"/>
                <w:vertAlign w:val="superscript"/>
              </w:rPr>
              <w:t>nd</w:t>
            </w:r>
            <w:r w:rsidRPr="00160DEC">
              <w:rPr>
                <w:iCs/>
                <w:color w:val="000000"/>
                <w:sz w:val="20"/>
              </w:rPr>
              <w:t xml:space="preserve"> Supp.)</w:t>
            </w:r>
            <w:r w:rsidRPr="00160DEC">
              <w:rPr>
                <w:color w:val="000000"/>
                <w:sz w:val="20"/>
              </w:rPr>
              <w:t xml:space="preserve"> </w:t>
            </w:r>
          </w:p>
          <w:p w:rsidR="00160DEC" w:rsidRPr="00160DEC" w:rsidRDefault="00160DEC" w:rsidP="00160DEC">
            <w:pPr>
              <w:jc w:val="both"/>
              <w:rPr>
                <w:sz w:val="20"/>
              </w:rPr>
            </w:pPr>
          </w:p>
        </w:tc>
      </w:tr>
      <w:tr w:rsidR="00160DEC" w:rsidRPr="00160DEC" w:rsidTr="00E95A6A">
        <w:tc>
          <w:tcPr>
            <w:tcW w:w="2427" w:type="pct"/>
            <w:gridSpan w:val="2"/>
          </w:tcPr>
          <w:p w:rsidR="00160DEC" w:rsidRPr="00160DEC" w:rsidRDefault="00160DEC" w:rsidP="00160DEC">
            <w:pPr>
              <w:jc w:val="both"/>
              <w:rPr>
                <w:sz w:val="20"/>
              </w:rPr>
            </w:pPr>
            <w:r w:rsidRPr="00160DEC">
              <w:rPr>
                <w:sz w:val="20"/>
              </w:rPr>
              <w:lastRenderedPageBreak/>
              <w:t>June 24, 2014</w:t>
            </w:r>
          </w:p>
          <w:p w:rsidR="00160DEC" w:rsidRPr="00160DEC" w:rsidRDefault="00160DEC" w:rsidP="00160DEC">
            <w:pPr>
              <w:jc w:val="both"/>
              <w:rPr>
                <w:sz w:val="20"/>
              </w:rPr>
            </w:pPr>
            <w:r w:rsidRPr="00160DEC">
              <w:rPr>
                <w:sz w:val="20"/>
              </w:rPr>
              <w:t xml:space="preserve">Ontario Court of Justice </w:t>
            </w:r>
          </w:p>
          <w:p w:rsidR="00160DEC" w:rsidRPr="00160DEC" w:rsidRDefault="00160DEC" w:rsidP="00160DEC">
            <w:pPr>
              <w:jc w:val="both"/>
              <w:rPr>
                <w:sz w:val="20"/>
              </w:rPr>
            </w:pPr>
            <w:r w:rsidRPr="00160DEC">
              <w:rPr>
                <w:sz w:val="20"/>
              </w:rPr>
              <w:t>(Nadel J.)</w:t>
            </w:r>
          </w:p>
          <w:p w:rsidR="00160DEC" w:rsidRPr="00160DEC" w:rsidRDefault="00160DEC" w:rsidP="00160DEC">
            <w:pPr>
              <w:jc w:val="both"/>
              <w:rPr>
                <w:sz w:val="20"/>
              </w:rPr>
            </w:pPr>
          </w:p>
        </w:tc>
        <w:tc>
          <w:tcPr>
            <w:tcW w:w="243" w:type="pct"/>
          </w:tcPr>
          <w:p w:rsidR="00160DEC" w:rsidRPr="00160DEC" w:rsidRDefault="00160DEC" w:rsidP="00160DEC">
            <w:pPr>
              <w:jc w:val="both"/>
              <w:rPr>
                <w:sz w:val="20"/>
              </w:rPr>
            </w:pPr>
          </w:p>
        </w:tc>
        <w:tc>
          <w:tcPr>
            <w:tcW w:w="2330" w:type="pct"/>
          </w:tcPr>
          <w:p w:rsidR="00160DEC" w:rsidRPr="00160DEC" w:rsidRDefault="00160DEC" w:rsidP="00160DEC">
            <w:pPr>
              <w:jc w:val="both"/>
              <w:rPr>
                <w:sz w:val="20"/>
              </w:rPr>
            </w:pPr>
            <w:r w:rsidRPr="00160DEC">
              <w:rPr>
                <w:color w:val="000000"/>
                <w:sz w:val="20"/>
              </w:rPr>
              <w:t>Sentence: One year custody less credit for time served plus probation and weapons prohibition</w:t>
            </w:r>
          </w:p>
        </w:tc>
      </w:tr>
      <w:tr w:rsidR="00160DEC" w:rsidRPr="00160DEC" w:rsidTr="00E95A6A">
        <w:tc>
          <w:tcPr>
            <w:tcW w:w="2427" w:type="pct"/>
            <w:gridSpan w:val="2"/>
          </w:tcPr>
          <w:p w:rsidR="00160DEC" w:rsidRPr="00160DEC" w:rsidRDefault="00160DEC" w:rsidP="00160DEC">
            <w:pPr>
              <w:jc w:val="both"/>
              <w:rPr>
                <w:sz w:val="20"/>
              </w:rPr>
            </w:pPr>
            <w:r w:rsidRPr="00160DEC">
              <w:rPr>
                <w:sz w:val="20"/>
              </w:rPr>
              <w:t>June 2, 2015</w:t>
            </w:r>
          </w:p>
          <w:p w:rsidR="00160DEC" w:rsidRPr="00160DEC" w:rsidRDefault="00160DEC" w:rsidP="00160DEC">
            <w:pPr>
              <w:jc w:val="both"/>
              <w:rPr>
                <w:sz w:val="20"/>
              </w:rPr>
            </w:pPr>
            <w:r w:rsidRPr="00160DEC">
              <w:rPr>
                <w:sz w:val="20"/>
              </w:rPr>
              <w:t>Court of Appeal for Ontario</w:t>
            </w:r>
          </w:p>
          <w:p w:rsidR="00160DEC" w:rsidRPr="00160DEC" w:rsidRDefault="00160DEC" w:rsidP="00160DEC">
            <w:pPr>
              <w:jc w:val="both"/>
              <w:rPr>
                <w:sz w:val="20"/>
              </w:rPr>
            </w:pPr>
            <w:r w:rsidRPr="00160DEC">
              <w:rPr>
                <w:sz w:val="20"/>
              </w:rPr>
              <w:t xml:space="preserve">(Feldman J.) </w:t>
            </w:r>
          </w:p>
          <w:p w:rsidR="00160DEC" w:rsidRPr="00160DEC" w:rsidRDefault="00160DEC" w:rsidP="00160DEC">
            <w:pPr>
              <w:jc w:val="both"/>
              <w:rPr>
                <w:sz w:val="20"/>
              </w:rPr>
            </w:pPr>
          </w:p>
        </w:tc>
        <w:tc>
          <w:tcPr>
            <w:tcW w:w="243" w:type="pct"/>
          </w:tcPr>
          <w:p w:rsidR="00160DEC" w:rsidRPr="00160DEC" w:rsidRDefault="00160DEC" w:rsidP="00160DEC">
            <w:pPr>
              <w:jc w:val="both"/>
              <w:rPr>
                <w:sz w:val="20"/>
              </w:rPr>
            </w:pPr>
          </w:p>
        </w:tc>
        <w:tc>
          <w:tcPr>
            <w:tcW w:w="2330" w:type="pct"/>
          </w:tcPr>
          <w:p w:rsidR="00160DEC" w:rsidRPr="00160DEC" w:rsidRDefault="00160DEC" w:rsidP="00160DEC">
            <w:pPr>
              <w:jc w:val="both"/>
              <w:rPr>
                <w:sz w:val="20"/>
              </w:rPr>
            </w:pPr>
            <w:r w:rsidRPr="00160DEC">
              <w:rPr>
                <w:sz w:val="20"/>
              </w:rPr>
              <w:t>Motion for extension of time to file notice of appeal dismissed</w:t>
            </w:r>
          </w:p>
        </w:tc>
      </w:tr>
      <w:tr w:rsidR="00160DEC" w:rsidRPr="00160DEC" w:rsidTr="00E95A6A">
        <w:tc>
          <w:tcPr>
            <w:tcW w:w="2427" w:type="pct"/>
            <w:gridSpan w:val="2"/>
          </w:tcPr>
          <w:p w:rsidR="00160DEC" w:rsidRPr="00160DEC" w:rsidRDefault="00160DEC" w:rsidP="00160DEC">
            <w:pPr>
              <w:jc w:val="both"/>
              <w:rPr>
                <w:sz w:val="20"/>
              </w:rPr>
            </w:pPr>
            <w:r w:rsidRPr="00160DEC">
              <w:rPr>
                <w:sz w:val="20"/>
              </w:rPr>
              <w:t>November 3, 2015</w:t>
            </w:r>
          </w:p>
          <w:p w:rsidR="00160DEC" w:rsidRPr="00160DEC" w:rsidRDefault="00160DEC" w:rsidP="00160DEC">
            <w:pPr>
              <w:jc w:val="both"/>
              <w:rPr>
                <w:sz w:val="20"/>
              </w:rPr>
            </w:pPr>
            <w:r w:rsidRPr="00160DEC">
              <w:rPr>
                <w:sz w:val="20"/>
              </w:rPr>
              <w:t>Court of Appeal for Ontario</w:t>
            </w:r>
          </w:p>
          <w:p w:rsidR="00160DEC" w:rsidRPr="00160DEC" w:rsidRDefault="00160DEC" w:rsidP="00160DEC">
            <w:pPr>
              <w:jc w:val="both"/>
              <w:rPr>
                <w:sz w:val="20"/>
              </w:rPr>
            </w:pPr>
            <w:r w:rsidRPr="00160DEC">
              <w:rPr>
                <w:sz w:val="20"/>
              </w:rPr>
              <w:t xml:space="preserve">(Doherty, Pepall, Brown JJ.A.) </w:t>
            </w:r>
          </w:p>
          <w:p w:rsidR="00160DEC" w:rsidRPr="00160DEC" w:rsidRDefault="00160DEC" w:rsidP="00160DEC">
            <w:pPr>
              <w:jc w:val="both"/>
              <w:rPr>
                <w:sz w:val="20"/>
              </w:rPr>
            </w:pPr>
          </w:p>
        </w:tc>
        <w:tc>
          <w:tcPr>
            <w:tcW w:w="243" w:type="pct"/>
          </w:tcPr>
          <w:p w:rsidR="00160DEC" w:rsidRPr="00160DEC" w:rsidRDefault="00160DEC" w:rsidP="00160DEC">
            <w:pPr>
              <w:jc w:val="both"/>
              <w:rPr>
                <w:sz w:val="20"/>
              </w:rPr>
            </w:pPr>
          </w:p>
        </w:tc>
        <w:tc>
          <w:tcPr>
            <w:tcW w:w="2330" w:type="pct"/>
          </w:tcPr>
          <w:p w:rsidR="00160DEC" w:rsidRPr="00160DEC" w:rsidRDefault="00160DEC" w:rsidP="00160DEC">
            <w:pPr>
              <w:jc w:val="both"/>
              <w:rPr>
                <w:sz w:val="20"/>
              </w:rPr>
            </w:pPr>
            <w:r w:rsidRPr="00160DEC">
              <w:rPr>
                <w:sz w:val="20"/>
              </w:rPr>
              <w:t>Motion for reconsideration dismissed</w:t>
            </w:r>
          </w:p>
          <w:p w:rsidR="00160DEC" w:rsidRPr="00160DEC" w:rsidRDefault="00160DEC" w:rsidP="00160DEC">
            <w:pPr>
              <w:jc w:val="both"/>
              <w:rPr>
                <w:sz w:val="20"/>
              </w:rPr>
            </w:pPr>
          </w:p>
        </w:tc>
      </w:tr>
      <w:tr w:rsidR="00160DEC" w:rsidRPr="00160DEC" w:rsidTr="00E95A6A">
        <w:tc>
          <w:tcPr>
            <w:tcW w:w="2427" w:type="pct"/>
            <w:gridSpan w:val="2"/>
          </w:tcPr>
          <w:p w:rsidR="00160DEC" w:rsidRPr="00160DEC" w:rsidRDefault="00160DEC" w:rsidP="00160DEC">
            <w:pPr>
              <w:jc w:val="both"/>
              <w:rPr>
                <w:sz w:val="20"/>
              </w:rPr>
            </w:pPr>
            <w:r w:rsidRPr="00160DEC">
              <w:rPr>
                <w:sz w:val="20"/>
              </w:rPr>
              <w:t>January 28, 2016</w:t>
            </w:r>
          </w:p>
          <w:p w:rsidR="00160DEC" w:rsidRPr="00160DEC" w:rsidRDefault="00160DEC" w:rsidP="00160DEC">
            <w:pPr>
              <w:jc w:val="both"/>
              <w:rPr>
                <w:sz w:val="20"/>
              </w:rPr>
            </w:pPr>
            <w:r w:rsidRPr="00160DEC">
              <w:rPr>
                <w:sz w:val="20"/>
              </w:rPr>
              <w:t>Supreme Court of Canada</w:t>
            </w:r>
          </w:p>
        </w:tc>
        <w:tc>
          <w:tcPr>
            <w:tcW w:w="243" w:type="pct"/>
          </w:tcPr>
          <w:p w:rsidR="00160DEC" w:rsidRPr="00160DEC" w:rsidRDefault="00160DEC" w:rsidP="00160DEC">
            <w:pPr>
              <w:jc w:val="both"/>
              <w:rPr>
                <w:sz w:val="20"/>
              </w:rPr>
            </w:pPr>
          </w:p>
        </w:tc>
        <w:tc>
          <w:tcPr>
            <w:tcW w:w="2330" w:type="pct"/>
          </w:tcPr>
          <w:p w:rsidR="00160DEC" w:rsidRPr="00160DEC" w:rsidRDefault="00160DEC" w:rsidP="00160DEC">
            <w:pPr>
              <w:jc w:val="both"/>
              <w:rPr>
                <w:sz w:val="20"/>
              </w:rPr>
            </w:pPr>
            <w:r w:rsidRPr="00160DEC">
              <w:rPr>
                <w:sz w:val="20"/>
              </w:rPr>
              <w:t>Motion for extension of time to serve and file application for leave to appeal and application for leave to appeal filed</w:t>
            </w:r>
          </w:p>
        </w:tc>
      </w:tr>
    </w:tbl>
    <w:p w:rsidR="00160DEC" w:rsidRDefault="00160DEC" w:rsidP="00160DEC">
      <w:pPr>
        <w:jc w:val="both"/>
        <w:rPr>
          <w:sz w:val="20"/>
        </w:rPr>
      </w:pPr>
    </w:p>
    <w:p w:rsidR="00160DEC" w:rsidRPr="00160DEC" w:rsidRDefault="00160DEC" w:rsidP="00160DE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60DEC" w:rsidRPr="00160DEC" w:rsidTr="00E95A6A">
        <w:tc>
          <w:tcPr>
            <w:tcW w:w="543" w:type="pct"/>
          </w:tcPr>
          <w:p w:rsidR="00160DEC" w:rsidRPr="00160DEC" w:rsidRDefault="00160DEC" w:rsidP="00160DEC">
            <w:pPr>
              <w:jc w:val="both"/>
              <w:rPr>
                <w:sz w:val="20"/>
                <w:lang w:val="fr-CA"/>
              </w:rPr>
            </w:pPr>
            <w:r w:rsidRPr="00160DEC">
              <w:rPr>
                <w:rStyle w:val="SCCFileNumberChar"/>
                <w:sz w:val="20"/>
                <w:szCs w:val="20"/>
                <w:lang w:val="fr-CA"/>
              </w:rPr>
              <w:t>36906</w:t>
            </w:r>
          </w:p>
        </w:tc>
        <w:tc>
          <w:tcPr>
            <w:tcW w:w="4457" w:type="pct"/>
            <w:gridSpan w:val="3"/>
          </w:tcPr>
          <w:p w:rsidR="00160DEC" w:rsidRPr="00160DEC" w:rsidRDefault="00160DEC" w:rsidP="00160DEC">
            <w:pPr>
              <w:pStyle w:val="SCCLsocParty"/>
              <w:jc w:val="both"/>
              <w:rPr>
                <w:b/>
                <w:sz w:val="20"/>
                <w:szCs w:val="20"/>
              </w:rPr>
            </w:pPr>
            <w:r w:rsidRPr="00160DEC">
              <w:rPr>
                <w:b/>
                <w:sz w:val="20"/>
                <w:szCs w:val="20"/>
              </w:rPr>
              <w:t>Scott Galambos c. Sa Majesté la Reine</w:t>
            </w:r>
          </w:p>
          <w:p w:rsidR="00160DEC" w:rsidRPr="00160DEC" w:rsidRDefault="00160DEC" w:rsidP="00160DEC">
            <w:pPr>
              <w:jc w:val="both"/>
              <w:rPr>
                <w:sz w:val="20"/>
                <w:lang w:val="fr-CA"/>
              </w:rPr>
            </w:pPr>
            <w:r w:rsidRPr="00160DEC">
              <w:rPr>
                <w:sz w:val="20"/>
                <w:lang w:val="fr-CA"/>
              </w:rPr>
              <w:t>(Ont.) (Criminelle) (Sur autorisation)</w:t>
            </w:r>
          </w:p>
        </w:tc>
      </w:tr>
      <w:tr w:rsidR="00160DEC" w:rsidRPr="00160DEC" w:rsidTr="00E95A6A">
        <w:tc>
          <w:tcPr>
            <w:tcW w:w="5000" w:type="pct"/>
            <w:gridSpan w:val="4"/>
          </w:tcPr>
          <w:p w:rsidR="00160DEC" w:rsidRPr="00160DEC" w:rsidRDefault="00160DEC" w:rsidP="00160DEC">
            <w:pPr>
              <w:jc w:val="both"/>
              <w:rPr>
                <w:sz w:val="20"/>
                <w:lang w:val="fr-CA"/>
              </w:rPr>
            </w:pPr>
            <w:r w:rsidRPr="00160DEC">
              <w:rPr>
                <w:sz w:val="20"/>
                <w:lang w:val="fr-CA"/>
              </w:rPr>
              <w:t>Droit criminel – Appel – Autorisation d’appel – La demande d’autorisation d’appel soulève-t-elle une question de droit? – La question revêt-elle une importance nationale ou de l’importance pour le public?</w:t>
            </w:r>
          </w:p>
        </w:tc>
      </w:tr>
      <w:tr w:rsidR="00160DEC" w:rsidRPr="00160DEC" w:rsidTr="00E95A6A">
        <w:tc>
          <w:tcPr>
            <w:tcW w:w="5000" w:type="pct"/>
            <w:gridSpan w:val="4"/>
          </w:tcPr>
          <w:p w:rsidR="00160DEC" w:rsidRPr="00160DEC" w:rsidRDefault="00160DEC" w:rsidP="00160DEC">
            <w:pPr>
              <w:jc w:val="both"/>
              <w:rPr>
                <w:sz w:val="20"/>
                <w:lang w:val="fr-CA"/>
              </w:rPr>
            </w:pPr>
          </w:p>
        </w:tc>
      </w:tr>
      <w:tr w:rsidR="00160DEC" w:rsidRPr="00160DEC" w:rsidTr="00E95A6A">
        <w:tc>
          <w:tcPr>
            <w:tcW w:w="5000" w:type="pct"/>
            <w:gridSpan w:val="4"/>
          </w:tcPr>
          <w:p w:rsidR="00160DEC" w:rsidRPr="00160DEC" w:rsidRDefault="00160DEC" w:rsidP="00160DEC">
            <w:pPr>
              <w:jc w:val="both"/>
              <w:rPr>
                <w:sz w:val="20"/>
                <w:lang w:val="fr-CA"/>
              </w:rPr>
            </w:pPr>
            <w:r w:rsidRPr="00160DEC">
              <w:rPr>
                <w:sz w:val="20"/>
                <w:lang w:val="fr-CA"/>
              </w:rPr>
              <w:t>Monsieur Galambos</w:t>
            </w:r>
            <w:r w:rsidRPr="00160DEC">
              <w:rPr>
                <w:b/>
                <w:sz w:val="20"/>
                <w:lang w:val="fr-CA"/>
              </w:rPr>
              <w:t xml:space="preserve"> </w:t>
            </w:r>
            <w:r w:rsidRPr="00160DEC">
              <w:rPr>
                <w:sz w:val="20"/>
                <w:lang w:val="fr-CA"/>
              </w:rPr>
              <w:t>a été déclaré coupable de diverses infractions pour avoir tenté d’introduire illégalement cinq matraques électroniques au Canada. Il s’est vu refuser une prorogation du délai pour déposer un avis d’appel de la peine et une formation complète de juges de la Cour d’appel a rejeté l’appel sollicitant le réexamen de cette décision</w:t>
            </w:r>
            <w:r w:rsidRPr="00160DEC">
              <w:rPr>
                <w:color w:val="000000"/>
                <w:sz w:val="20"/>
                <w:lang w:val="fr-CA"/>
              </w:rPr>
              <w:t>.</w:t>
            </w:r>
          </w:p>
          <w:p w:rsidR="00160DEC" w:rsidRPr="00160DEC" w:rsidRDefault="00160DEC" w:rsidP="00160DEC">
            <w:pPr>
              <w:jc w:val="both"/>
              <w:rPr>
                <w:sz w:val="20"/>
                <w:lang w:val="fr-CA"/>
              </w:rPr>
            </w:pPr>
          </w:p>
        </w:tc>
      </w:tr>
      <w:tr w:rsidR="00160DEC" w:rsidRPr="00160DEC" w:rsidTr="00E95A6A">
        <w:tc>
          <w:tcPr>
            <w:tcW w:w="2427" w:type="pct"/>
            <w:gridSpan w:val="2"/>
          </w:tcPr>
          <w:p w:rsidR="00160DEC" w:rsidRPr="00160DEC" w:rsidRDefault="00160DEC" w:rsidP="00160DEC">
            <w:pPr>
              <w:jc w:val="both"/>
              <w:rPr>
                <w:sz w:val="20"/>
                <w:lang w:val="fr-CA"/>
              </w:rPr>
            </w:pPr>
            <w:r w:rsidRPr="00160DEC">
              <w:rPr>
                <w:sz w:val="20"/>
                <w:lang w:val="fr-CA"/>
              </w:rPr>
              <w:t>3 février 2013</w:t>
            </w:r>
          </w:p>
          <w:p w:rsidR="00160DEC" w:rsidRPr="00160DEC" w:rsidRDefault="00160DEC" w:rsidP="00160DEC">
            <w:pPr>
              <w:jc w:val="both"/>
              <w:rPr>
                <w:sz w:val="20"/>
                <w:lang w:val="fr-CA"/>
              </w:rPr>
            </w:pPr>
            <w:r w:rsidRPr="00160DEC">
              <w:rPr>
                <w:sz w:val="20"/>
                <w:lang w:val="fr-CA"/>
              </w:rPr>
              <w:t xml:space="preserve">Cour de justice de l’Ontario </w:t>
            </w:r>
          </w:p>
          <w:p w:rsidR="00160DEC" w:rsidRPr="00160DEC" w:rsidRDefault="00160DEC" w:rsidP="00160DEC">
            <w:pPr>
              <w:jc w:val="both"/>
              <w:rPr>
                <w:sz w:val="20"/>
                <w:lang w:val="fr-CA"/>
              </w:rPr>
            </w:pPr>
            <w:r w:rsidRPr="00160DEC">
              <w:rPr>
                <w:sz w:val="20"/>
                <w:lang w:val="fr-CA"/>
              </w:rPr>
              <w:t>(Juge Nadel)</w:t>
            </w:r>
          </w:p>
          <w:p w:rsidR="00160DEC" w:rsidRPr="00160DEC" w:rsidRDefault="00160DEC" w:rsidP="00160DEC">
            <w:pPr>
              <w:jc w:val="both"/>
              <w:rPr>
                <w:sz w:val="20"/>
                <w:lang w:val="fr-CA"/>
              </w:rPr>
            </w:pPr>
          </w:p>
        </w:tc>
        <w:tc>
          <w:tcPr>
            <w:tcW w:w="243" w:type="pct"/>
          </w:tcPr>
          <w:p w:rsidR="00160DEC" w:rsidRPr="00160DEC" w:rsidRDefault="00160DEC" w:rsidP="00160DEC">
            <w:pPr>
              <w:jc w:val="both"/>
              <w:rPr>
                <w:sz w:val="20"/>
                <w:lang w:val="fr-CA"/>
              </w:rPr>
            </w:pPr>
          </w:p>
        </w:tc>
        <w:tc>
          <w:tcPr>
            <w:tcW w:w="2330" w:type="pct"/>
          </w:tcPr>
          <w:p w:rsidR="00160DEC" w:rsidRPr="00160DEC" w:rsidRDefault="00160DEC" w:rsidP="00160DEC">
            <w:pPr>
              <w:autoSpaceDE w:val="0"/>
              <w:autoSpaceDN w:val="0"/>
              <w:adjustRightInd w:val="0"/>
              <w:jc w:val="both"/>
              <w:rPr>
                <w:color w:val="000000"/>
                <w:sz w:val="20"/>
                <w:lang w:val="fr-CA"/>
              </w:rPr>
            </w:pPr>
            <w:r w:rsidRPr="00160DEC">
              <w:rPr>
                <w:color w:val="000000"/>
                <w:sz w:val="20"/>
                <w:lang w:val="fr-CA"/>
              </w:rPr>
              <w:t xml:space="preserve">Déclaration de culpabilité : possession et importation d’une arme prohibée, des infractions prévues dans la </w:t>
            </w:r>
            <w:r w:rsidRPr="00160DEC">
              <w:rPr>
                <w:i/>
                <w:iCs/>
                <w:color w:val="000000"/>
                <w:sz w:val="20"/>
                <w:lang w:val="fr-CA"/>
              </w:rPr>
              <w:t>Loi sur les douanes</w:t>
            </w:r>
            <w:r w:rsidRPr="00160DEC">
              <w:rPr>
                <w:iCs/>
                <w:color w:val="000000"/>
                <w:sz w:val="20"/>
                <w:lang w:val="fr-CA"/>
              </w:rPr>
              <w:t>, L.R.C. 1985, ch. 1 (2</w:t>
            </w:r>
            <w:r w:rsidRPr="00160DEC">
              <w:rPr>
                <w:iCs/>
                <w:color w:val="000000"/>
                <w:sz w:val="20"/>
                <w:vertAlign w:val="superscript"/>
                <w:lang w:val="fr-CA"/>
              </w:rPr>
              <w:t>e</w:t>
            </w:r>
            <w:r w:rsidRPr="00160DEC">
              <w:rPr>
                <w:iCs/>
                <w:color w:val="000000"/>
                <w:sz w:val="20"/>
                <w:lang w:val="fr-CA"/>
              </w:rPr>
              <w:t xml:space="preserve"> suppl.)</w:t>
            </w:r>
            <w:r w:rsidRPr="00160DEC">
              <w:rPr>
                <w:color w:val="000000"/>
                <w:sz w:val="20"/>
                <w:lang w:val="fr-CA"/>
              </w:rPr>
              <w:t xml:space="preserve"> </w:t>
            </w:r>
          </w:p>
          <w:p w:rsidR="00160DEC" w:rsidRPr="00160DEC" w:rsidRDefault="00160DEC" w:rsidP="00160DEC">
            <w:pPr>
              <w:jc w:val="both"/>
              <w:rPr>
                <w:sz w:val="20"/>
                <w:lang w:val="fr-CA"/>
              </w:rPr>
            </w:pPr>
          </w:p>
        </w:tc>
      </w:tr>
      <w:tr w:rsidR="00160DEC" w:rsidRPr="00160DEC" w:rsidTr="00E95A6A">
        <w:tc>
          <w:tcPr>
            <w:tcW w:w="2427" w:type="pct"/>
            <w:gridSpan w:val="2"/>
          </w:tcPr>
          <w:p w:rsidR="00160DEC" w:rsidRPr="00160DEC" w:rsidRDefault="00160DEC" w:rsidP="00160DEC">
            <w:pPr>
              <w:jc w:val="both"/>
              <w:rPr>
                <w:sz w:val="20"/>
                <w:lang w:val="fr-CA"/>
              </w:rPr>
            </w:pPr>
            <w:r w:rsidRPr="00160DEC">
              <w:rPr>
                <w:sz w:val="20"/>
                <w:lang w:val="fr-CA"/>
              </w:rPr>
              <w:t>24 juin 2014</w:t>
            </w:r>
          </w:p>
          <w:p w:rsidR="00160DEC" w:rsidRPr="00160DEC" w:rsidRDefault="00160DEC" w:rsidP="00160DEC">
            <w:pPr>
              <w:jc w:val="both"/>
              <w:rPr>
                <w:sz w:val="20"/>
                <w:lang w:val="fr-CA"/>
              </w:rPr>
            </w:pPr>
            <w:r w:rsidRPr="00160DEC">
              <w:rPr>
                <w:sz w:val="20"/>
                <w:lang w:val="fr-CA"/>
              </w:rPr>
              <w:t xml:space="preserve">Cour de justice de l’Ontario </w:t>
            </w:r>
          </w:p>
          <w:p w:rsidR="00160DEC" w:rsidRPr="00160DEC" w:rsidRDefault="00160DEC" w:rsidP="00160DEC">
            <w:pPr>
              <w:jc w:val="both"/>
              <w:rPr>
                <w:sz w:val="20"/>
                <w:lang w:val="fr-CA"/>
              </w:rPr>
            </w:pPr>
            <w:r w:rsidRPr="00160DEC">
              <w:rPr>
                <w:sz w:val="20"/>
                <w:lang w:val="fr-CA"/>
              </w:rPr>
              <w:t>(Juge Nadel)</w:t>
            </w:r>
          </w:p>
          <w:p w:rsidR="00160DEC" w:rsidRPr="00160DEC" w:rsidRDefault="00160DEC" w:rsidP="00160DEC">
            <w:pPr>
              <w:jc w:val="both"/>
              <w:rPr>
                <w:sz w:val="20"/>
                <w:lang w:val="fr-CA"/>
              </w:rPr>
            </w:pPr>
          </w:p>
        </w:tc>
        <w:tc>
          <w:tcPr>
            <w:tcW w:w="243" w:type="pct"/>
          </w:tcPr>
          <w:p w:rsidR="00160DEC" w:rsidRPr="00160DEC" w:rsidRDefault="00160DEC" w:rsidP="00160DEC">
            <w:pPr>
              <w:jc w:val="both"/>
              <w:rPr>
                <w:sz w:val="20"/>
                <w:lang w:val="fr-CA"/>
              </w:rPr>
            </w:pPr>
          </w:p>
        </w:tc>
        <w:tc>
          <w:tcPr>
            <w:tcW w:w="2330" w:type="pct"/>
          </w:tcPr>
          <w:p w:rsidR="00160DEC" w:rsidRPr="00160DEC" w:rsidRDefault="00160DEC" w:rsidP="00160DEC">
            <w:pPr>
              <w:jc w:val="both"/>
              <w:rPr>
                <w:color w:val="000000"/>
                <w:sz w:val="20"/>
                <w:lang w:val="fr-CA"/>
              </w:rPr>
            </w:pPr>
            <w:r w:rsidRPr="00160DEC">
              <w:rPr>
                <w:color w:val="000000"/>
                <w:sz w:val="20"/>
                <w:lang w:val="fr-CA"/>
              </w:rPr>
              <w:t>Peine : un an de détention moins le temps crédité pour la détention, à laquelle s’ajoutent une probation et une interdiction de posséder des armes</w:t>
            </w:r>
          </w:p>
          <w:p w:rsidR="00160DEC" w:rsidRPr="00160DEC" w:rsidRDefault="00160DEC" w:rsidP="00160DEC">
            <w:pPr>
              <w:jc w:val="both"/>
              <w:rPr>
                <w:sz w:val="20"/>
                <w:lang w:val="fr-CA"/>
              </w:rPr>
            </w:pPr>
          </w:p>
        </w:tc>
      </w:tr>
      <w:tr w:rsidR="00160DEC" w:rsidRPr="00160DEC" w:rsidTr="00E95A6A">
        <w:tc>
          <w:tcPr>
            <w:tcW w:w="2427" w:type="pct"/>
            <w:gridSpan w:val="2"/>
          </w:tcPr>
          <w:p w:rsidR="00160DEC" w:rsidRPr="00160DEC" w:rsidRDefault="00160DEC" w:rsidP="00160DEC">
            <w:pPr>
              <w:jc w:val="both"/>
              <w:rPr>
                <w:sz w:val="20"/>
                <w:lang w:val="fr-CA"/>
              </w:rPr>
            </w:pPr>
            <w:r w:rsidRPr="00160DEC">
              <w:rPr>
                <w:sz w:val="20"/>
                <w:lang w:val="fr-CA"/>
              </w:rPr>
              <w:t>2 juin 2015</w:t>
            </w:r>
          </w:p>
          <w:p w:rsidR="00160DEC" w:rsidRPr="00160DEC" w:rsidRDefault="00160DEC" w:rsidP="00160DEC">
            <w:pPr>
              <w:jc w:val="both"/>
              <w:rPr>
                <w:sz w:val="20"/>
                <w:lang w:val="fr-CA"/>
              </w:rPr>
            </w:pPr>
            <w:r w:rsidRPr="00160DEC">
              <w:rPr>
                <w:sz w:val="20"/>
                <w:lang w:val="fr-CA"/>
              </w:rPr>
              <w:t>Cour d’appel de l’Ontario</w:t>
            </w:r>
          </w:p>
          <w:p w:rsidR="00160DEC" w:rsidRPr="00160DEC" w:rsidRDefault="00160DEC" w:rsidP="00160DEC">
            <w:pPr>
              <w:jc w:val="both"/>
              <w:rPr>
                <w:sz w:val="20"/>
                <w:lang w:val="fr-CA"/>
              </w:rPr>
            </w:pPr>
            <w:r w:rsidRPr="00160DEC">
              <w:rPr>
                <w:sz w:val="20"/>
                <w:lang w:val="fr-CA"/>
              </w:rPr>
              <w:t xml:space="preserve">(Juge Feldman) </w:t>
            </w:r>
          </w:p>
          <w:p w:rsidR="00160DEC" w:rsidRPr="00160DEC" w:rsidRDefault="00160DEC" w:rsidP="00160DEC">
            <w:pPr>
              <w:jc w:val="both"/>
              <w:rPr>
                <w:sz w:val="20"/>
                <w:lang w:val="fr-CA"/>
              </w:rPr>
            </w:pPr>
          </w:p>
        </w:tc>
        <w:tc>
          <w:tcPr>
            <w:tcW w:w="243" w:type="pct"/>
          </w:tcPr>
          <w:p w:rsidR="00160DEC" w:rsidRPr="00160DEC" w:rsidRDefault="00160DEC" w:rsidP="00160DEC">
            <w:pPr>
              <w:jc w:val="both"/>
              <w:rPr>
                <w:sz w:val="20"/>
                <w:lang w:val="fr-CA"/>
              </w:rPr>
            </w:pPr>
          </w:p>
        </w:tc>
        <w:tc>
          <w:tcPr>
            <w:tcW w:w="2330" w:type="pct"/>
          </w:tcPr>
          <w:p w:rsidR="00160DEC" w:rsidRPr="00160DEC" w:rsidRDefault="00160DEC" w:rsidP="00160DEC">
            <w:pPr>
              <w:jc w:val="both"/>
              <w:rPr>
                <w:sz w:val="20"/>
                <w:lang w:val="fr-CA"/>
              </w:rPr>
            </w:pPr>
            <w:r w:rsidRPr="00160DEC">
              <w:rPr>
                <w:sz w:val="20"/>
                <w:lang w:val="fr-CA"/>
              </w:rPr>
              <w:t>Rejet de la motion en prorogation du délai pour déposer un avis d’appel</w:t>
            </w:r>
          </w:p>
        </w:tc>
      </w:tr>
      <w:tr w:rsidR="00160DEC" w:rsidRPr="00160DEC" w:rsidTr="00E95A6A">
        <w:tc>
          <w:tcPr>
            <w:tcW w:w="2427" w:type="pct"/>
            <w:gridSpan w:val="2"/>
          </w:tcPr>
          <w:p w:rsidR="00160DEC" w:rsidRPr="00160DEC" w:rsidRDefault="00160DEC" w:rsidP="00160DEC">
            <w:pPr>
              <w:jc w:val="both"/>
              <w:rPr>
                <w:sz w:val="20"/>
                <w:lang w:val="fr-CA"/>
              </w:rPr>
            </w:pPr>
            <w:r w:rsidRPr="00160DEC">
              <w:rPr>
                <w:sz w:val="20"/>
                <w:lang w:val="fr-CA"/>
              </w:rPr>
              <w:t>3 novembre 2015</w:t>
            </w:r>
          </w:p>
          <w:p w:rsidR="00160DEC" w:rsidRPr="00160DEC" w:rsidRDefault="00160DEC" w:rsidP="00160DEC">
            <w:pPr>
              <w:jc w:val="both"/>
              <w:rPr>
                <w:sz w:val="20"/>
                <w:lang w:val="fr-CA"/>
              </w:rPr>
            </w:pPr>
            <w:r w:rsidRPr="00160DEC">
              <w:rPr>
                <w:sz w:val="20"/>
                <w:lang w:val="fr-CA"/>
              </w:rPr>
              <w:t>Cour d’appel de l’Ontario</w:t>
            </w:r>
          </w:p>
          <w:p w:rsidR="00160DEC" w:rsidRPr="00160DEC" w:rsidRDefault="00160DEC" w:rsidP="00160DEC">
            <w:pPr>
              <w:jc w:val="both"/>
              <w:rPr>
                <w:sz w:val="20"/>
                <w:lang w:val="fr-CA"/>
              </w:rPr>
            </w:pPr>
            <w:r w:rsidRPr="00160DEC">
              <w:rPr>
                <w:sz w:val="20"/>
                <w:lang w:val="fr-CA"/>
              </w:rPr>
              <w:t xml:space="preserve">(Juges Doherty, Pepall et Brown) </w:t>
            </w:r>
          </w:p>
          <w:p w:rsidR="00160DEC" w:rsidRPr="00160DEC" w:rsidRDefault="00160DEC" w:rsidP="00160DEC">
            <w:pPr>
              <w:jc w:val="both"/>
              <w:rPr>
                <w:sz w:val="20"/>
                <w:lang w:val="fr-CA"/>
              </w:rPr>
            </w:pPr>
          </w:p>
        </w:tc>
        <w:tc>
          <w:tcPr>
            <w:tcW w:w="243" w:type="pct"/>
          </w:tcPr>
          <w:p w:rsidR="00160DEC" w:rsidRPr="00160DEC" w:rsidRDefault="00160DEC" w:rsidP="00160DEC">
            <w:pPr>
              <w:jc w:val="both"/>
              <w:rPr>
                <w:sz w:val="20"/>
                <w:lang w:val="fr-CA"/>
              </w:rPr>
            </w:pPr>
          </w:p>
        </w:tc>
        <w:tc>
          <w:tcPr>
            <w:tcW w:w="2330" w:type="pct"/>
          </w:tcPr>
          <w:p w:rsidR="00160DEC" w:rsidRPr="00160DEC" w:rsidRDefault="00160DEC" w:rsidP="00160DEC">
            <w:pPr>
              <w:jc w:val="both"/>
              <w:rPr>
                <w:sz w:val="20"/>
                <w:lang w:val="fr-CA"/>
              </w:rPr>
            </w:pPr>
            <w:r w:rsidRPr="00160DEC">
              <w:rPr>
                <w:sz w:val="20"/>
                <w:lang w:val="fr-CA"/>
              </w:rPr>
              <w:t>Rejet de la motion en réexamen</w:t>
            </w:r>
          </w:p>
          <w:p w:rsidR="00160DEC" w:rsidRPr="00160DEC" w:rsidRDefault="00160DEC" w:rsidP="00160DEC">
            <w:pPr>
              <w:jc w:val="both"/>
              <w:rPr>
                <w:sz w:val="20"/>
                <w:lang w:val="fr-CA"/>
              </w:rPr>
            </w:pPr>
          </w:p>
        </w:tc>
      </w:tr>
      <w:tr w:rsidR="00160DEC" w:rsidRPr="00160DEC" w:rsidTr="00E95A6A">
        <w:tc>
          <w:tcPr>
            <w:tcW w:w="2427" w:type="pct"/>
            <w:gridSpan w:val="2"/>
          </w:tcPr>
          <w:p w:rsidR="00160DEC" w:rsidRPr="00160DEC" w:rsidRDefault="00160DEC" w:rsidP="00160DEC">
            <w:pPr>
              <w:jc w:val="both"/>
              <w:rPr>
                <w:sz w:val="20"/>
                <w:lang w:val="fr-CA"/>
              </w:rPr>
            </w:pPr>
            <w:r w:rsidRPr="00160DEC">
              <w:rPr>
                <w:sz w:val="20"/>
                <w:lang w:val="fr-CA"/>
              </w:rPr>
              <w:t>28 janvier 2016</w:t>
            </w:r>
          </w:p>
          <w:p w:rsidR="00160DEC" w:rsidRPr="00160DEC" w:rsidRDefault="00160DEC" w:rsidP="00160DEC">
            <w:pPr>
              <w:jc w:val="both"/>
              <w:rPr>
                <w:sz w:val="20"/>
                <w:lang w:val="fr-CA"/>
              </w:rPr>
            </w:pPr>
            <w:r w:rsidRPr="00160DEC">
              <w:rPr>
                <w:sz w:val="20"/>
                <w:lang w:val="fr-CA"/>
              </w:rPr>
              <w:t>Cour suprême du Canada</w:t>
            </w:r>
          </w:p>
        </w:tc>
        <w:tc>
          <w:tcPr>
            <w:tcW w:w="243" w:type="pct"/>
          </w:tcPr>
          <w:p w:rsidR="00160DEC" w:rsidRPr="00160DEC" w:rsidRDefault="00160DEC" w:rsidP="00160DEC">
            <w:pPr>
              <w:jc w:val="both"/>
              <w:rPr>
                <w:sz w:val="20"/>
                <w:lang w:val="fr-CA"/>
              </w:rPr>
            </w:pPr>
          </w:p>
        </w:tc>
        <w:tc>
          <w:tcPr>
            <w:tcW w:w="2330" w:type="pct"/>
          </w:tcPr>
          <w:p w:rsidR="00160DEC" w:rsidRPr="00160DEC" w:rsidRDefault="00160DEC" w:rsidP="00160DEC">
            <w:pPr>
              <w:jc w:val="both"/>
              <w:rPr>
                <w:sz w:val="20"/>
                <w:lang w:val="fr-CA"/>
              </w:rPr>
            </w:pPr>
            <w:r w:rsidRPr="00160DEC">
              <w:rPr>
                <w:sz w:val="20"/>
                <w:lang w:val="fr-CA"/>
              </w:rPr>
              <w:t>Dépôt de la requête en prorogation du délai de signification et de dépôt de la demande d’autorisation d’appel et de la demande d’autorisation d’appel</w:t>
            </w:r>
          </w:p>
        </w:tc>
      </w:tr>
    </w:tbl>
    <w:p w:rsidR="00160DEC" w:rsidRPr="00444478" w:rsidRDefault="00160DEC" w:rsidP="00444478">
      <w:pPr>
        <w:jc w:val="both"/>
        <w:rPr>
          <w:sz w:val="20"/>
          <w:lang w:val="fr-CA"/>
        </w:rPr>
      </w:pPr>
    </w:p>
    <w:p w:rsidR="00EC7995" w:rsidRPr="00444478" w:rsidRDefault="00EC7995" w:rsidP="00444478">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44478" w:rsidRPr="00444478" w:rsidTr="00E95A6A">
        <w:tc>
          <w:tcPr>
            <w:tcW w:w="543" w:type="pct"/>
          </w:tcPr>
          <w:p w:rsidR="00444478" w:rsidRPr="00444478" w:rsidRDefault="00444478" w:rsidP="00444478">
            <w:pPr>
              <w:jc w:val="both"/>
              <w:rPr>
                <w:sz w:val="20"/>
              </w:rPr>
            </w:pPr>
            <w:r w:rsidRPr="00444478">
              <w:rPr>
                <w:rStyle w:val="SCCFileNumberChar"/>
                <w:sz w:val="20"/>
                <w:szCs w:val="20"/>
              </w:rPr>
              <w:t>36801</w:t>
            </w:r>
          </w:p>
        </w:tc>
        <w:tc>
          <w:tcPr>
            <w:tcW w:w="4457" w:type="pct"/>
            <w:gridSpan w:val="3"/>
          </w:tcPr>
          <w:p w:rsidR="00444478" w:rsidRPr="00444478" w:rsidRDefault="00444478" w:rsidP="00444478">
            <w:pPr>
              <w:pStyle w:val="SCCLsocParty"/>
              <w:jc w:val="both"/>
              <w:rPr>
                <w:b/>
                <w:sz w:val="20"/>
                <w:szCs w:val="20"/>
              </w:rPr>
            </w:pPr>
            <w:r w:rsidRPr="00444478">
              <w:rPr>
                <w:b/>
                <w:sz w:val="20"/>
                <w:szCs w:val="20"/>
              </w:rPr>
              <w:t>O'Chiese First Nation v. Alberta Energy Regulator, Shell Canada Limited</w:t>
            </w:r>
          </w:p>
          <w:p w:rsidR="00444478" w:rsidRPr="00444478" w:rsidRDefault="00444478" w:rsidP="00444478">
            <w:pPr>
              <w:jc w:val="both"/>
              <w:rPr>
                <w:sz w:val="20"/>
              </w:rPr>
            </w:pPr>
            <w:r w:rsidRPr="00444478">
              <w:rPr>
                <w:sz w:val="20"/>
              </w:rPr>
              <w:t>(Alta.) (Civil) (By Leave)</w:t>
            </w:r>
          </w:p>
        </w:tc>
      </w:tr>
      <w:tr w:rsidR="00444478" w:rsidRPr="00444478" w:rsidTr="00E95A6A">
        <w:tc>
          <w:tcPr>
            <w:tcW w:w="5000" w:type="pct"/>
            <w:gridSpan w:val="4"/>
          </w:tcPr>
          <w:p w:rsidR="00444478" w:rsidRDefault="00444478" w:rsidP="00444478">
            <w:pPr>
              <w:jc w:val="both"/>
              <w:rPr>
                <w:rStyle w:val="italic1"/>
                <w:color w:val="000000"/>
                <w:sz w:val="20"/>
              </w:rPr>
            </w:pPr>
            <w:r w:rsidRPr="00444478">
              <w:rPr>
                <w:sz w:val="20"/>
              </w:rPr>
              <w:lastRenderedPageBreak/>
              <w:t xml:space="preserve">Administrative law — Appeals — Regulatory Board — Natural resources — Oil and gas development on unoccupied Crown lands — Aboriginal law — Treaty rights — Regulatory Board finding First Nation not eligible to request regulatory appeal and dismissing appeal — Court of Appeal dismissing First Nation’s application for permission to appeal — Whether site-specific evidence of exercise of treaty right required to demonstrate First Nation’s treaty rights will be directly and adversely affected by decision of Regulatory Board to grant exclusive use and occupation of unoccupied Crown lands to third party — Whether requirement that Alberta First Nation provide site-specific evidence of exercise of treaty rights on unoccupied Crown Lands in order to demonstrate it is directly and adversely affected, discriminates against Alberta First Nation when no such requirement is imposed on non-First Nation persons — </w:t>
            </w:r>
            <w:r w:rsidRPr="00444478">
              <w:rPr>
                <w:rStyle w:val="italic1"/>
                <w:color w:val="000000"/>
                <w:sz w:val="20"/>
              </w:rPr>
              <w:t>Responsible Energy Development Act, S.A. 2012, c. R-17.3 — Public Lands Act, R.S.A. 2000, c. R-40.</w:t>
            </w:r>
          </w:p>
          <w:p w:rsidR="006F6EF3" w:rsidRPr="006F6EF3" w:rsidRDefault="006F6EF3" w:rsidP="00444478">
            <w:pPr>
              <w:jc w:val="both"/>
              <w:rPr>
                <w:sz w:val="20"/>
              </w:rPr>
            </w:pPr>
          </w:p>
        </w:tc>
      </w:tr>
      <w:tr w:rsidR="00444478" w:rsidRPr="00444478" w:rsidTr="00E95A6A">
        <w:tc>
          <w:tcPr>
            <w:tcW w:w="5000" w:type="pct"/>
            <w:gridSpan w:val="4"/>
          </w:tcPr>
          <w:p w:rsidR="00444478" w:rsidRPr="00444478" w:rsidRDefault="00444478" w:rsidP="00444478">
            <w:pPr>
              <w:jc w:val="both"/>
              <w:rPr>
                <w:sz w:val="20"/>
                <w:lang w:eastAsia="en-CA"/>
              </w:rPr>
            </w:pPr>
            <w:r w:rsidRPr="00444478">
              <w:rPr>
                <w:sz w:val="20"/>
                <w:lang w:eastAsia="en-CA"/>
              </w:rPr>
              <w:t xml:space="preserve">The applicant, the O’Chiese First Nation (“OCFN”) is located in the area encompassed by Treaty 6 and is an Indian Band under the </w:t>
            </w:r>
            <w:r w:rsidRPr="00444478">
              <w:rPr>
                <w:i/>
                <w:sz w:val="20"/>
                <w:lang w:eastAsia="en-CA"/>
              </w:rPr>
              <w:t>Indian Act</w:t>
            </w:r>
            <w:r w:rsidRPr="00444478">
              <w:rPr>
                <w:sz w:val="20"/>
                <w:lang w:eastAsia="en-CA"/>
              </w:rPr>
              <w:t xml:space="preserve">, R.S.C. 1985, </w:t>
            </w:r>
            <w:proofErr w:type="gramStart"/>
            <w:r w:rsidRPr="00444478">
              <w:rPr>
                <w:sz w:val="20"/>
                <w:lang w:eastAsia="en-CA"/>
              </w:rPr>
              <w:t>c</w:t>
            </w:r>
            <w:proofErr w:type="gramEnd"/>
            <w:r w:rsidRPr="00444478">
              <w:rPr>
                <w:sz w:val="20"/>
                <w:lang w:eastAsia="en-CA"/>
              </w:rPr>
              <w:t xml:space="preserve">. I-5. The respondent, Shell Canada Limited applied to the Alberta Energy Regulator (“AER”) and obtained approval in two cases for two natural </w:t>
            </w:r>
            <w:r w:rsidR="00320DAF" w:rsidRPr="00444478">
              <w:rPr>
                <w:sz w:val="20"/>
                <w:lang w:eastAsia="en-CA"/>
              </w:rPr>
              <w:t>gasoline</w:t>
            </w:r>
            <w:r w:rsidRPr="00444478">
              <w:rPr>
                <w:sz w:val="20"/>
                <w:lang w:eastAsia="en-CA"/>
              </w:rPr>
              <w:t xml:space="preserve"> pipelines, for a mineral surface lease for a petroleum and natural gas well site and a licence of occupation on public Crown lands. The OCFN filed a request with the AER for a regulatory appeal of the approvals.</w:t>
            </w:r>
          </w:p>
          <w:p w:rsidR="00444478" w:rsidRPr="00444478" w:rsidRDefault="00444478" w:rsidP="00444478">
            <w:pPr>
              <w:jc w:val="both"/>
              <w:rPr>
                <w:sz w:val="20"/>
                <w:lang w:eastAsia="en-CA"/>
              </w:rPr>
            </w:pPr>
          </w:p>
          <w:p w:rsidR="00444478" w:rsidRPr="00444478" w:rsidRDefault="00444478" w:rsidP="00D548D3">
            <w:pPr>
              <w:jc w:val="both"/>
              <w:rPr>
                <w:sz w:val="20"/>
              </w:rPr>
            </w:pPr>
            <w:r w:rsidRPr="00444478">
              <w:rPr>
                <w:sz w:val="20"/>
                <w:lang w:eastAsia="en-CA"/>
              </w:rPr>
              <w:t>The AER dismissed both requests for a regulatory appeal. In both cases, the AER concluded the OCFN did not demonstrate that the approvals given to Shell would directly and adversely affect an OCFN member. The OCFN made application to the Court of Appeal for permission to appeal the two AER decisions. The Court of Appeal dismissed the appeal.</w:t>
            </w:r>
          </w:p>
        </w:tc>
      </w:tr>
      <w:tr w:rsidR="00444478" w:rsidRPr="00444478" w:rsidTr="00E95A6A">
        <w:tc>
          <w:tcPr>
            <w:tcW w:w="5000" w:type="pct"/>
            <w:gridSpan w:val="4"/>
          </w:tcPr>
          <w:p w:rsidR="00444478" w:rsidRPr="00444478" w:rsidRDefault="00444478" w:rsidP="00444478">
            <w:pPr>
              <w:jc w:val="both"/>
              <w:rPr>
                <w:sz w:val="20"/>
              </w:rPr>
            </w:pPr>
          </w:p>
        </w:tc>
      </w:tr>
      <w:tr w:rsidR="00444478" w:rsidRPr="00444478" w:rsidTr="00E95A6A">
        <w:tc>
          <w:tcPr>
            <w:tcW w:w="2427" w:type="pct"/>
            <w:gridSpan w:val="2"/>
          </w:tcPr>
          <w:p w:rsidR="00444478" w:rsidRPr="00444478" w:rsidRDefault="00444478" w:rsidP="00444478">
            <w:pPr>
              <w:jc w:val="both"/>
              <w:rPr>
                <w:sz w:val="20"/>
              </w:rPr>
            </w:pPr>
            <w:r w:rsidRPr="00444478">
              <w:rPr>
                <w:sz w:val="20"/>
              </w:rPr>
              <w:t>July 9, 2015</w:t>
            </w:r>
          </w:p>
          <w:p w:rsidR="00444478" w:rsidRPr="00444478" w:rsidRDefault="00444478" w:rsidP="00444478">
            <w:pPr>
              <w:jc w:val="both"/>
              <w:rPr>
                <w:sz w:val="20"/>
              </w:rPr>
            </w:pPr>
            <w:r w:rsidRPr="00444478">
              <w:rPr>
                <w:sz w:val="20"/>
              </w:rPr>
              <w:t>Alberta Energy Regulator</w:t>
            </w:r>
          </w:p>
          <w:p w:rsidR="00444478" w:rsidRPr="00444478" w:rsidRDefault="00444478" w:rsidP="00444478">
            <w:pPr>
              <w:jc w:val="both"/>
              <w:rPr>
                <w:sz w:val="20"/>
              </w:rPr>
            </w:pPr>
            <w:r w:rsidRPr="00444478">
              <w:rPr>
                <w:sz w:val="20"/>
              </w:rPr>
              <w:t>Appeal No. 1818729</w:t>
            </w:r>
          </w:p>
          <w:p w:rsidR="00444478" w:rsidRPr="00444478" w:rsidRDefault="00444478" w:rsidP="00444478">
            <w:pPr>
              <w:jc w:val="both"/>
              <w:rPr>
                <w:sz w:val="20"/>
              </w:rPr>
            </w:pPr>
          </w:p>
        </w:tc>
        <w:tc>
          <w:tcPr>
            <w:tcW w:w="243" w:type="pct"/>
          </w:tcPr>
          <w:p w:rsidR="00444478" w:rsidRPr="00444478" w:rsidRDefault="00444478" w:rsidP="00444478">
            <w:pPr>
              <w:jc w:val="both"/>
              <w:rPr>
                <w:sz w:val="20"/>
              </w:rPr>
            </w:pPr>
          </w:p>
        </w:tc>
        <w:tc>
          <w:tcPr>
            <w:tcW w:w="2330" w:type="pct"/>
          </w:tcPr>
          <w:p w:rsidR="00444478" w:rsidRPr="00444478" w:rsidRDefault="00444478" w:rsidP="00444478">
            <w:pPr>
              <w:jc w:val="both"/>
              <w:rPr>
                <w:sz w:val="20"/>
              </w:rPr>
            </w:pPr>
            <w:r w:rsidRPr="00444478">
              <w:rPr>
                <w:sz w:val="20"/>
              </w:rPr>
              <w:t xml:space="preserve">Request for a regulatory appeal dismissed. </w:t>
            </w:r>
          </w:p>
          <w:p w:rsidR="00444478" w:rsidRPr="00444478" w:rsidRDefault="00444478" w:rsidP="00444478">
            <w:pPr>
              <w:jc w:val="both"/>
              <w:rPr>
                <w:sz w:val="20"/>
              </w:rPr>
            </w:pPr>
          </w:p>
        </w:tc>
      </w:tr>
      <w:tr w:rsidR="00444478" w:rsidRPr="00444478" w:rsidTr="00E95A6A">
        <w:tc>
          <w:tcPr>
            <w:tcW w:w="2427" w:type="pct"/>
            <w:gridSpan w:val="2"/>
          </w:tcPr>
          <w:p w:rsidR="00444478" w:rsidRPr="00444478" w:rsidRDefault="00444478" w:rsidP="00444478">
            <w:pPr>
              <w:jc w:val="both"/>
              <w:rPr>
                <w:sz w:val="20"/>
              </w:rPr>
            </w:pPr>
            <w:r w:rsidRPr="00444478">
              <w:rPr>
                <w:sz w:val="20"/>
              </w:rPr>
              <w:t>July 9, 2015</w:t>
            </w:r>
          </w:p>
          <w:p w:rsidR="00444478" w:rsidRPr="00444478" w:rsidRDefault="00444478" w:rsidP="00444478">
            <w:pPr>
              <w:jc w:val="both"/>
              <w:rPr>
                <w:sz w:val="20"/>
              </w:rPr>
            </w:pPr>
            <w:r w:rsidRPr="00444478">
              <w:rPr>
                <w:sz w:val="20"/>
              </w:rPr>
              <w:t>Alberta Energy Regulator</w:t>
            </w:r>
          </w:p>
          <w:p w:rsidR="00444478" w:rsidRPr="00444478" w:rsidRDefault="00444478" w:rsidP="00444478">
            <w:pPr>
              <w:jc w:val="both"/>
              <w:rPr>
                <w:sz w:val="20"/>
              </w:rPr>
            </w:pPr>
            <w:r w:rsidRPr="00444478">
              <w:rPr>
                <w:sz w:val="20"/>
              </w:rPr>
              <w:t>Appeal No. 1826553</w:t>
            </w:r>
          </w:p>
          <w:p w:rsidR="00444478" w:rsidRPr="00444478" w:rsidRDefault="00444478" w:rsidP="00444478">
            <w:pPr>
              <w:jc w:val="both"/>
              <w:rPr>
                <w:sz w:val="20"/>
              </w:rPr>
            </w:pPr>
          </w:p>
        </w:tc>
        <w:tc>
          <w:tcPr>
            <w:tcW w:w="243" w:type="pct"/>
          </w:tcPr>
          <w:p w:rsidR="00444478" w:rsidRPr="00444478" w:rsidRDefault="00444478" w:rsidP="00444478">
            <w:pPr>
              <w:jc w:val="both"/>
              <w:rPr>
                <w:sz w:val="20"/>
              </w:rPr>
            </w:pPr>
          </w:p>
        </w:tc>
        <w:tc>
          <w:tcPr>
            <w:tcW w:w="2330" w:type="pct"/>
          </w:tcPr>
          <w:p w:rsidR="00444478" w:rsidRPr="00444478" w:rsidRDefault="00444478" w:rsidP="00444478">
            <w:pPr>
              <w:jc w:val="both"/>
              <w:rPr>
                <w:sz w:val="20"/>
              </w:rPr>
            </w:pPr>
            <w:r w:rsidRPr="00444478">
              <w:rPr>
                <w:sz w:val="20"/>
              </w:rPr>
              <w:t xml:space="preserve">Request for a regulatory appeal dismissed. </w:t>
            </w:r>
          </w:p>
          <w:p w:rsidR="00444478" w:rsidRPr="00444478" w:rsidRDefault="00444478" w:rsidP="00444478">
            <w:pPr>
              <w:jc w:val="both"/>
              <w:rPr>
                <w:sz w:val="20"/>
              </w:rPr>
            </w:pPr>
          </w:p>
        </w:tc>
      </w:tr>
      <w:tr w:rsidR="00444478" w:rsidRPr="00444478" w:rsidTr="00E95A6A">
        <w:tc>
          <w:tcPr>
            <w:tcW w:w="2427" w:type="pct"/>
            <w:gridSpan w:val="2"/>
          </w:tcPr>
          <w:p w:rsidR="00444478" w:rsidRPr="00444478" w:rsidRDefault="00444478" w:rsidP="00444478">
            <w:pPr>
              <w:jc w:val="both"/>
              <w:rPr>
                <w:sz w:val="20"/>
              </w:rPr>
            </w:pPr>
            <w:r w:rsidRPr="00444478">
              <w:rPr>
                <w:sz w:val="20"/>
              </w:rPr>
              <w:t>November 13, 2015</w:t>
            </w:r>
          </w:p>
          <w:p w:rsidR="00444478" w:rsidRPr="00444478" w:rsidRDefault="00444478" w:rsidP="00444478">
            <w:pPr>
              <w:jc w:val="both"/>
              <w:rPr>
                <w:sz w:val="20"/>
              </w:rPr>
            </w:pPr>
            <w:r w:rsidRPr="00444478">
              <w:rPr>
                <w:sz w:val="20"/>
              </w:rPr>
              <w:t xml:space="preserve">Court of Appeal of Alberta </w:t>
            </w:r>
          </w:p>
          <w:p w:rsidR="00444478" w:rsidRPr="00444478" w:rsidRDefault="00444478" w:rsidP="00444478">
            <w:pPr>
              <w:jc w:val="both"/>
              <w:rPr>
                <w:sz w:val="20"/>
              </w:rPr>
            </w:pPr>
            <w:r w:rsidRPr="00444478">
              <w:rPr>
                <w:sz w:val="20"/>
              </w:rPr>
              <w:t>(McDonald J.A.)</w:t>
            </w:r>
          </w:p>
          <w:p w:rsidR="00444478" w:rsidRPr="00444478" w:rsidRDefault="00444478" w:rsidP="00444478">
            <w:pPr>
              <w:jc w:val="both"/>
              <w:rPr>
                <w:sz w:val="20"/>
              </w:rPr>
            </w:pPr>
            <w:hyperlink r:id="rId21" w:history="1">
              <w:r w:rsidRPr="00444478">
                <w:rPr>
                  <w:rStyle w:val="Hyperlink"/>
                  <w:sz w:val="20"/>
                </w:rPr>
                <w:t>2015 ABCA 348</w:t>
              </w:r>
            </w:hyperlink>
          </w:p>
          <w:p w:rsidR="00444478" w:rsidRPr="00444478" w:rsidRDefault="00444478" w:rsidP="00444478">
            <w:pPr>
              <w:jc w:val="both"/>
              <w:rPr>
                <w:sz w:val="20"/>
              </w:rPr>
            </w:pPr>
            <w:r w:rsidRPr="00444478">
              <w:rPr>
                <w:sz w:val="20"/>
              </w:rPr>
              <w:t xml:space="preserve">File Numbers: 1501-0199AC and </w:t>
            </w:r>
          </w:p>
          <w:p w:rsidR="00444478" w:rsidRPr="00444478" w:rsidRDefault="00444478" w:rsidP="00444478">
            <w:pPr>
              <w:jc w:val="both"/>
              <w:rPr>
                <w:sz w:val="20"/>
              </w:rPr>
            </w:pPr>
            <w:r w:rsidRPr="00444478">
              <w:rPr>
                <w:sz w:val="20"/>
              </w:rPr>
              <w:t>1501-0198AC</w:t>
            </w:r>
          </w:p>
          <w:p w:rsidR="00444478" w:rsidRPr="00444478" w:rsidRDefault="00444478" w:rsidP="00444478">
            <w:pPr>
              <w:jc w:val="both"/>
              <w:rPr>
                <w:sz w:val="20"/>
              </w:rPr>
            </w:pPr>
          </w:p>
        </w:tc>
        <w:tc>
          <w:tcPr>
            <w:tcW w:w="243" w:type="pct"/>
          </w:tcPr>
          <w:p w:rsidR="00444478" w:rsidRPr="00444478" w:rsidRDefault="00444478" w:rsidP="00444478">
            <w:pPr>
              <w:jc w:val="both"/>
              <w:rPr>
                <w:sz w:val="20"/>
              </w:rPr>
            </w:pPr>
          </w:p>
        </w:tc>
        <w:tc>
          <w:tcPr>
            <w:tcW w:w="2330" w:type="pct"/>
          </w:tcPr>
          <w:p w:rsidR="00444478" w:rsidRPr="00444478" w:rsidRDefault="00444478" w:rsidP="00444478">
            <w:pPr>
              <w:jc w:val="both"/>
              <w:rPr>
                <w:sz w:val="20"/>
              </w:rPr>
            </w:pPr>
            <w:r w:rsidRPr="00444478">
              <w:rPr>
                <w:sz w:val="20"/>
              </w:rPr>
              <w:t xml:space="preserve">Applications for permission to appeal dismissed. </w:t>
            </w:r>
          </w:p>
          <w:p w:rsidR="00444478" w:rsidRPr="00444478" w:rsidRDefault="00444478" w:rsidP="00444478">
            <w:pPr>
              <w:jc w:val="both"/>
              <w:rPr>
                <w:sz w:val="20"/>
              </w:rPr>
            </w:pPr>
          </w:p>
        </w:tc>
      </w:tr>
      <w:tr w:rsidR="00444478" w:rsidRPr="00444478" w:rsidTr="00E95A6A">
        <w:tc>
          <w:tcPr>
            <w:tcW w:w="2427" w:type="pct"/>
            <w:gridSpan w:val="2"/>
          </w:tcPr>
          <w:p w:rsidR="00444478" w:rsidRPr="00444478" w:rsidRDefault="00444478" w:rsidP="00444478">
            <w:pPr>
              <w:jc w:val="both"/>
              <w:rPr>
                <w:sz w:val="20"/>
              </w:rPr>
            </w:pPr>
            <w:r w:rsidRPr="00444478">
              <w:rPr>
                <w:sz w:val="20"/>
              </w:rPr>
              <w:t>January 11, 2016</w:t>
            </w:r>
          </w:p>
          <w:p w:rsidR="00444478" w:rsidRPr="00444478" w:rsidRDefault="00444478" w:rsidP="00444478">
            <w:pPr>
              <w:jc w:val="both"/>
              <w:rPr>
                <w:sz w:val="20"/>
              </w:rPr>
            </w:pPr>
            <w:r w:rsidRPr="00444478">
              <w:rPr>
                <w:sz w:val="20"/>
              </w:rPr>
              <w:t>Supreme Court of Canada</w:t>
            </w:r>
          </w:p>
        </w:tc>
        <w:tc>
          <w:tcPr>
            <w:tcW w:w="243" w:type="pct"/>
          </w:tcPr>
          <w:p w:rsidR="00444478" w:rsidRPr="00444478" w:rsidRDefault="00444478" w:rsidP="00444478">
            <w:pPr>
              <w:jc w:val="both"/>
              <w:rPr>
                <w:sz w:val="20"/>
              </w:rPr>
            </w:pPr>
          </w:p>
        </w:tc>
        <w:tc>
          <w:tcPr>
            <w:tcW w:w="2330" w:type="pct"/>
          </w:tcPr>
          <w:p w:rsidR="00444478" w:rsidRPr="00444478" w:rsidRDefault="00444478" w:rsidP="00444478">
            <w:pPr>
              <w:jc w:val="both"/>
              <w:rPr>
                <w:sz w:val="20"/>
              </w:rPr>
            </w:pPr>
            <w:r w:rsidRPr="00444478">
              <w:rPr>
                <w:sz w:val="20"/>
              </w:rPr>
              <w:t>Application for leave to appeal filed.</w:t>
            </w:r>
          </w:p>
          <w:p w:rsidR="00444478" w:rsidRPr="00444478" w:rsidRDefault="00444478" w:rsidP="00444478">
            <w:pPr>
              <w:jc w:val="both"/>
              <w:rPr>
                <w:sz w:val="20"/>
              </w:rPr>
            </w:pPr>
          </w:p>
        </w:tc>
      </w:tr>
    </w:tbl>
    <w:p w:rsidR="00444478" w:rsidRDefault="00444478" w:rsidP="00444478">
      <w:pPr>
        <w:jc w:val="both"/>
        <w:rPr>
          <w:sz w:val="20"/>
        </w:rPr>
      </w:pPr>
    </w:p>
    <w:p w:rsidR="00444478" w:rsidRPr="00444478" w:rsidRDefault="00444478" w:rsidP="0044447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44478" w:rsidRPr="00444478" w:rsidTr="00E95A6A">
        <w:tc>
          <w:tcPr>
            <w:tcW w:w="543" w:type="pct"/>
          </w:tcPr>
          <w:p w:rsidR="00444478" w:rsidRPr="00444478" w:rsidRDefault="00444478" w:rsidP="00444478">
            <w:pPr>
              <w:jc w:val="both"/>
              <w:rPr>
                <w:sz w:val="20"/>
                <w:lang w:val="fr-CA"/>
              </w:rPr>
            </w:pPr>
            <w:r w:rsidRPr="00444478">
              <w:rPr>
                <w:rStyle w:val="SCCFileNumberChar"/>
                <w:sz w:val="20"/>
                <w:szCs w:val="20"/>
                <w:lang w:val="fr-CA"/>
              </w:rPr>
              <w:t>36801</w:t>
            </w:r>
          </w:p>
        </w:tc>
        <w:tc>
          <w:tcPr>
            <w:tcW w:w="4457" w:type="pct"/>
            <w:gridSpan w:val="3"/>
          </w:tcPr>
          <w:p w:rsidR="00444478" w:rsidRPr="00444478" w:rsidRDefault="00444478" w:rsidP="00444478">
            <w:pPr>
              <w:pStyle w:val="SCCLsocParty"/>
              <w:jc w:val="both"/>
              <w:rPr>
                <w:b/>
                <w:sz w:val="20"/>
                <w:szCs w:val="20"/>
                <w:lang w:val="en-US"/>
              </w:rPr>
            </w:pPr>
            <w:r w:rsidRPr="00444478">
              <w:rPr>
                <w:b/>
                <w:sz w:val="20"/>
                <w:szCs w:val="20"/>
                <w:lang w:val="en-US"/>
              </w:rPr>
              <w:t>O’Chiese First Nation c. Alberta Energy Regulator, Shell Canada Limitée</w:t>
            </w:r>
          </w:p>
          <w:p w:rsidR="00444478" w:rsidRPr="00444478" w:rsidRDefault="00444478" w:rsidP="00444478">
            <w:pPr>
              <w:jc w:val="both"/>
              <w:rPr>
                <w:sz w:val="20"/>
                <w:lang w:val="fr-CA"/>
              </w:rPr>
            </w:pPr>
            <w:r w:rsidRPr="00444478">
              <w:rPr>
                <w:sz w:val="20"/>
                <w:lang w:val="fr-CA"/>
              </w:rPr>
              <w:t>(Alb.) (Civile) (Sur autorisation)</w:t>
            </w:r>
          </w:p>
        </w:tc>
      </w:tr>
      <w:tr w:rsidR="00444478" w:rsidRPr="00444478" w:rsidTr="00E95A6A">
        <w:tc>
          <w:tcPr>
            <w:tcW w:w="5000" w:type="pct"/>
            <w:gridSpan w:val="4"/>
          </w:tcPr>
          <w:p w:rsidR="00444478" w:rsidRDefault="00444478" w:rsidP="00444478">
            <w:pPr>
              <w:jc w:val="both"/>
              <w:rPr>
                <w:rStyle w:val="italic1"/>
                <w:color w:val="000000"/>
                <w:sz w:val="20"/>
                <w:lang w:val="fr-CA"/>
              </w:rPr>
            </w:pPr>
            <w:r w:rsidRPr="00444478">
              <w:rPr>
                <w:sz w:val="20"/>
                <w:lang w:val="fr-CA"/>
              </w:rPr>
              <w:t>Droit administratif — Appels — Organisme de réglementation — Ressources naturelles — Développement pétrolier et gazier sur des terres inoccupées de la Couronne — Droit des autochtones — Droits issus de traités — L’organisme de réglementation a conclu que la Première Nation n’avait pas un droit d’appel en matière réglementaire et a rejeté l’appel — La Cour d’appel a rejeté la demande d’autorisation d’appel de la Première Nation — Est-il nécessaire de faire la preuve de l’exercice d’un droit issu de traité à un site spécifique pour démontrer que les droits issus de traités d’une Première Nation seront directement et négativement touchés par la décision de l’organisme de réglementation d’accorder à un tiers l’usage exclusif de terres inoccupées de la Couronne? — L’obligation imposée à la Première Nation de l’Alberta de fournir une preuve de l’exercice de droits issus de traités à un site spécifique, soit des terres inoccupées de la Couronne, pour pouvoir démontrer qu’elle est directement et négativement touchée est-elle discriminatoire envers la Première Nation de l’Alberta du fait qu’une telle obligation n’est pas imposée aux non-</w:t>
            </w:r>
            <w:r w:rsidRPr="00444478">
              <w:rPr>
                <w:sz w:val="20"/>
                <w:lang w:val="fr-CA"/>
              </w:rPr>
              <w:lastRenderedPageBreak/>
              <w:t xml:space="preserve">Autochtones? — </w:t>
            </w:r>
            <w:r w:rsidRPr="00444478">
              <w:rPr>
                <w:rStyle w:val="italic1"/>
                <w:color w:val="000000"/>
                <w:sz w:val="20"/>
                <w:lang w:val="fr-CA"/>
              </w:rPr>
              <w:t xml:space="preserve">Responsible Energy Development Act, S.A. 2012, ch. </w:t>
            </w:r>
            <w:r w:rsidRPr="00444478">
              <w:rPr>
                <w:rStyle w:val="italic1"/>
                <w:color w:val="000000"/>
                <w:sz w:val="20"/>
              </w:rPr>
              <w:t xml:space="preserve">R-17.3 — Public Lands Act, R.S.A. 2000, ch. </w:t>
            </w:r>
            <w:r w:rsidRPr="00444478">
              <w:rPr>
                <w:rStyle w:val="italic1"/>
                <w:color w:val="000000"/>
                <w:sz w:val="20"/>
                <w:lang w:val="fr-CA"/>
              </w:rPr>
              <w:t>R-40.</w:t>
            </w:r>
          </w:p>
          <w:p w:rsidR="006F6EF3" w:rsidRPr="00444478" w:rsidRDefault="006F6EF3" w:rsidP="00444478">
            <w:pPr>
              <w:jc w:val="both"/>
              <w:rPr>
                <w:sz w:val="20"/>
                <w:lang w:val="fr-CA"/>
              </w:rPr>
            </w:pPr>
          </w:p>
        </w:tc>
      </w:tr>
      <w:tr w:rsidR="00444478" w:rsidRPr="00444478" w:rsidTr="00E95A6A">
        <w:tc>
          <w:tcPr>
            <w:tcW w:w="5000" w:type="pct"/>
            <w:gridSpan w:val="4"/>
          </w:tcPr>
          <w:p w:rsidR="00444478" w:rsidRPr="00444478" w:rsidRDefault="00444478" w:rsidP="00444478">
            <w:pPr>
              <w:jc w:val="both"/>
              <w:rPr>
                <w:sz w:val="20"/>
                <w:lang w:val="fr-CA" w:eastAsia="en-CA"/>
              </w:rPr>
            </w:pPr>
            <w:r w:rsidRPr="00444478">
              <w:rPr>
                <w:sz w:val="20"/>
                <w:lang w:val="fr-CA" w:eastAsia="en-CA"/>
              </w:rPr>
              <w:lastRenderedPageBreak/>
              <w:t>La demanderesse, la Première Nation O’Chiese (« PNOC »), habite la zone visée par le Traité n</w:t>
            </w:r>
            <w:r w:rsidRPr="00444478">
              <w:rPr>
                <w:sz w:val="20"/>
                <w:vertAlign w:val="superscript"/>
                <w:lang w:val="fr-CA" w:eastAsia="en-CA"/>
              </w:rPr>
              <w:t>o</w:t>
            </w:r>
            <w:r w:rsidRPr="00444478">
              <w:rPr>
                <w:sz w:val="20"/>
                <w:lang w:val="fr-CA" w:eastAsia="en-CA"/>
              </w:rPr>
              <w:t xml:space="preserve"> 6 et est une bande indienne au sens de la </w:t>
            </w:r>
            <w:r w:rsidRPr="00444478">
              <w:rPr>
                <w:i/>
                <w:sz w:val="20"/>
                <w:lang w:val="fr-CA" w:eastAsia="en-CA"/>
              </w:rPr>
              <w:t>Loi sur les Indiens</w:t>
            </w:r>
            <w:r w:rsidRPr="00444478">
              <w:rPr>
                <w:sz w:val="20"/>
                <w:lang w:val="fr-CA" w:eastAsia="en-CA"/>
              </w:rPr>
              <w:t>, L.R.C. 1985, ch. I-5. L’intimée, Shell Canada Limitée, a présenté une demande à l’Alberta Energy Regulator (« AER ») et a obtenu l’autorisation, dans deux cas, relativement à des gazoducs et à un bail de droit minier de surface pour l’emplacement d’un puits de pétrole et de gaz naturel et un permis d’occupation de terres publiques. La PNOC a déposé une demande à l’AER pour interjeter un appel en matière règlementaire des autorisations.</w:t>
            </w:r>
          </w:p>
          <w:p w:rsidR="00444478" w:rsidRPr="00444478" w:rsidRDefault="00444478" w:rsidP="00444478">
            <w:pPr>
              <w:jc w:val="both"/>
              <w:rPr>
                <w:sz w:val="20"/>
                <w:lang w:val="fr-CA" w:eastAsia="en-CA"/>
              </w:rPr>
            </w:pPr>
          </w:p>
          <w:p w:rsidR="00444478" w:rsidRPr="00444478" w:rsidRDefault="00444478" w:rsidP="00444478">
            <w:pPr>
              <w:jc w:val="both"/>
              <w:rPr>
                <w:sz w:val="20"/>
                <w:lang w:val="fr-CA"/>
              </w:rPr>
            </w:pPr>
            <w:r w:rsidRPr="00444478">
              <w:rPr>
                <w:sz w:val="20"/>
                <w:lang w:val="fr-CA" w:eastAsia="en-CA"/>
              </w:rPr>
              <w:t xml:space="preserve">L’AER rejeté les deux demandes d’appel en matière réglementaire. Dans les deux cas, l’AER a conclu que la PNOC n’avait pas démontré que les autorisations accordées à Shell auraient une incidence directe et négative sur un membre de la PNOC. La PNOC a demandé à la Cour d’appel l’autorisation d’en appeler des deux décisions de l’AER. La Cour d’appel a rejeté l’appel. </w:t>
            </w:r>
          </w:p>
        </w:tc>
      </w:tr>
      <w:tr w:rsidR="00444478" w:rsidRPr="00444478" w:rsidTr="00E95A6A">
        <w:tc>
          <w:tcPr>
            <w:tcW w:w="5000" w:type="pct"/>
            <w:gridSpan w:val="4"/>
          </w:tcPr>
          <w:p w:rsidR="00444478" w:rsidRPr="00444478" w:rsidRDefault="00444478" w:rsidP="00444478">
            <w:pPr>
              <w:jc w:val="both"/>
              <w:rPr>
                <w:sz w:val="20"/>
                <w:lang w:val="fr-CA"/>
              </w:rPr>
            </w:pPr>
          </w:p>
        </w:tc>
      </w:tr>
      <w:tr w:rsidR="00444478" w:rsidRPr="00444478" w:rsidTr="00E95A6A">
        <w:tc>
          <w:tcPr>
            <w:tcW w:w="2427" w:type="pct"/>
            <w:gridSpan w:val="2"/>
          </w:tcPr>
          <w:p w:rsidR="00444478" w:rsidRPr="00444478" w:rsidRDefault="00444478" w:rsidP="00444478">
            <w:pPr>
              <w:jc w:val="both"/>
              <w:rPr>
                <w:sz w:val="20"/>
              </w:rPr>
            </w:pPr>
            <w:r w:rsidRPr="00444478">
              <w:rPr>
                <w:sz w:val="20"/>
              </w:rPr>
              <w:t>9 juillet 2015</w:t>
            </w:r>
          </w:p>
          <w:p w:rsidR="00444478" w:rsidRPr="00444478" w:rsidRDefault="00444478" w:rsidP="00444478">
            <w:pPr>
              <w:jc w:val="both"/>
              <w:rPr>
                <w:sz w:val="20"/>
              </w:rPr>
            </w:pPr>
            <w:r w:rsidRPr="00444478">
              <w:rPr>
                <w:sz w:val="20"/>
              </w:rPr>
              <w:t>Alberta Energy Regulator</w:t>
            </w:r>
          </w:p>
          <w:p w:rsidR="00444478" w:rsidRPr="00444478" w:rsidRDefault="00444478" w:rsidP="00444478">
            <w:pPr>
              <w:jc w:val="both"/>
              <w:rPr>
                <w:sz w:val="20"/>
              </w:rPr>
            </w:pPr>
            <w:r w:rsidRPr="00444478">
              <w:rPr>
                <w:sz w:val="20"/>
              </w:rPr>
              <w:t>Appel n</w:t>
            </w:r>
            <w:r w:rsidRPr="00444478">
              <w:rPr>
                <w:sz w:val="20"/>
                <w:vertAlign w:val="superscript"/>
              </w:rPr>
              <w:t>o</w:t>
            </w:r>
            <w:r w:rsidRPr="00444478">
              <w:rPr>
                <w:sz w:val="20"/>
              </w:rPr>
              <w:t xml:space="preserve"> 1818729</w:t>
            </w:r>
          </w:p>
          <w:p w:rsidR="00444478" w:rsidRPr="00444478" w:rsidRDefault="00444478" w:rsidP="00444478">
            <w:pPr>
              <w:jc w:val="both"/>
              <w:rPr>
                <w:sz w:val="20"/>
              </w:rPr>
            </w:pPr>
          </w:p>
        </w:tc>
        <w:tc>
          <w:tcPr>
            <w:tcW w:w="243" w:type="pct"/>
          </w:tcPr>
          <w:p w:rsidR="00444478" w:rsidRPr="00444478" w:rsidRDefault="00444478" w:rsidP="00444478">
            <w:pPr>
              <w:jc w:val="both"/>
              <w:rPr>
                <w:sz w:val="20"/>
              </w:rPr>
            </w:pPr>
          </w:p>
        </w:tc>
        <w:tc>
          <w:tcPr>
            <w:tcW w:w="2330" w:type="pct"/>
          </w:tcPr>
          <w:p w:rsidR="00444478" w:rsidRPr="00444478" w:rsidRDefault="00444478" w:rsidP="00444478">
            <w:pPr>
              <w:jc w:val="both"/>
              <w:rPr>
                <w:sz w:val="20"/>
                <w:lang w:val="fr-CA"/>
              </w:rPr>
            </w:pPr>
            <w:r w:rsidRPr="00444478">
              <w:rPr>
                <w:sz w:val="20"/>
                <w:lang w:val="fr-CA"/>
              </w:rPr>
              <w:t xml:space="preserve">Rejet de la demande d’appel en matière réglementaire. </w:t>
            </w:r>
          </w:p>
          <w:p w:rsidR="00444478" w:rsidRPr="00444478" w:rsidRDefault="00444478" w:rsidP="00444478">
            <w:pPr>
              <w:jc w:val="both"/>
              <w:rPr>
                <w:sz w:val="20"/>
                <w:lang w:val="fr-CA"/>
              </w:rPr>
            </w:pPr>
          </w:p>
        </w:tc>
      </w:tr>
      <w:tr w:rsidR="00444478" w:rsidRPr="00444478" w:rsidTr="00E95A6A">
        <w:tc>
          <w:tcPr>
            <w:tcW w:w="2427" w:type="pct"/>
            <w:gridSpan w:val="2"/>
          </w:tcPr>
          <w:p w:rsidR="00444478" w:rsidRPr="00444478" w:rsidRDefault="00444478" w:rsidP="00444478">
            <w:pPr>
              <w:jc w:val="both"/>
              <w:rPr>
                <w:sz w:val="20"/>
              </w:rPr>
            </w:pPr>
            <w:r w:rsidRPr="00444478">
              <w:rPr>
                <w:sz w:val="20"/>
              </w:rPr>
              <w:t>9 juillet 2015</w:t>
            </w:r>
          </w:p>
          <w:p w:rsidR="00444478" w:rsidRPr="00444478" w:rsidRDefault="00444478" w:rsidP="00444478">
            <w:pPr>
              <w:jc w:val="both"/>
              <w:rPr>
                <w:sz w:val="20"/>
              </w:rPr>
            </w:pPr>
            <w:r w:rsidRPr="00444478">
              <w:rPr>
                <w:sz w:val="20"/>
              </w:rPr>
              <w:t>Alberta Energy Regulator</w:t>
            </w:r>
          </w:p>
          <w:p w:rsidR="00444478" w:rsidRPr="00444478" w:rsidRDefault="00444478" w:rsidP="00444478">
            <w:pPr>
              <w:jc w:val="both"/>
              <w:rPr>
                <w:sz w:val="20"/>
              </w:rPr>
            </w:pPr>
            <w:r w:rsidRPr="00444478">
              <w:rPr>
                <w:sz w:val="20"/>
              </w:rPr>
              <w:t>Appel n</w:t>
            </w:r>
            <w:r w:rsidRPr="00444478">
              <w:rPr>
                <w:sz w:val="20"/>
                <w:vertAlign w:val="superscript"/>
              </w:rPr>
              <w:t>o</w:t>
            </w:r>
            <w:r w:rsidRPr="00444478">
              <w:rPr>
                <w:sz w:val="20"/>
              </w:rPr>
              <w:t xml:space="preserve"> 1826553</w:t>
            </w:r>
          </w:p>
          <w:p w:rsidR="00444478" w:rsidRPr="00444478" w:rsidRDefault="00444478" w:rsidP="00444478">
            <w:pPr>
              <w:jc w:val="both"/>
              <w:rPr>
                <w:sz w:val="20"/>
              </w:rPr>
            </w:pPr>
          </w:p>
        </w:tc>
        <w:tc>
          <w:tcPr>
            <w:tcW w:w="243" w:type="pct"/>
          </w:tcPr>
          <w:p w:rsidR="00444478" w:rsidRPr="00444478" w:rsidRDefault="00444478" w:rsidP="00444478">
            <w:pPr>
              <w:jc w:val="both"/>
              <w:rPr>
                <w:sz w:val="20"/>
              </w:rPr>
            </w:pPr>
          </w:p>
        </w:tc>
        <w:tc>
          <w:tcPr>
            <w:tcW w:w="2330" w:type="pct"/>
          </w:tcPr>
          <w:p w:rsidR="00444478" w:rsidRPr="00444478" w:rsidRDefault="00444478" w:rsidP="00444478">
            <w:pPr>
              <w:jc w:val="both"/>
              <w:rPr>
                <w:sz w:val="20"/>
                <w:lang w:val="fr-CA"/>
              </w:rPr>
            </w:pPr>
            <w:r w:rsidRPr="00444478">
              <w:rPr>
                <w:sz w:val="20"/>
                <w:lang w:val="fr-CA"/>
              </w:rPr>
              <w:t xml:space="preserve">Rejet de la demande d’appel en matière réglementaire. </w:t>
            </w:r>
          </w:p>
          <w:p w:rsidR="00444478" w:rsidRPr="00444478" w:rsidRDefault="00444478" w:rsidP="00444478">
            <w:pPr>
              <w:jc w:val="both"/>
              <w:rPr>
                <w:sz w:val="20"/>
                <w:lang w:val="fr-CA"/>
              </w:rPr>
            </w:pPr>
          </w:p>
        </w:tc>
      </w:tr>
      <w:tr w:rsidR="00444478" w:rsidRPr="00444478" w:rsidTr="00E95A6A">
        <w:tc>
          <w:tcPr>
            <w:tcW w:w="2427" w:type="pct"/>
            <w:gridSpan w:val="2"/>
          </w:tcPr>
          <w:p w:rsidR="00444478" w:rsidRPr="00444478" w:rsidRDefault="00444478" w:rsidP="00444478">
            <w:pPr>
              <w:jc w:val="both"/>
              <w:rPr>
                <w:sz w:val="20"/>
                <w:lang w:val="fr-CA"/>
              </w:rPr>
            </w:pPr>
            <w:r w:rsidRPr="00444478">
              <w:rPr>
                <w:sz w:val="20"/>
                <w:lang w:val="fr-CA"/>
              </w:rPr>
              <w:t>13 novembre 2015</w:t>
            </w:r>
          </w:p>
          <w:p w:rsidR="00444478" w:rsidRPr="00444478" w:rsidRDefault="00444478" w:rsidP="00444478">
            <w:pPr>
              <w:jc w:val="both"/>
              <w:rPr>
                <w:sz w:val="20"/>
                <w:lang w:val="fr-CA"/>
              </w:rPr>
            </w:pPr>
            <w:r w:rsidRPr="00444478">
              <w:rPr>
                <w:sz w:val="20"/>
                <w:lang w:val="fr-CA"/>
              </w:rPr>
              <w:t xml:space="preserve">Cour d’appel de l’Alberta </w:t>
            </w:r>
          </w:p>
          <w:p w:rsidR="00444478" w:rsidRPr="00444478" w:rsidRDefault="00444478" w:rsidP="00444478">
            <w:pPr>
              <w:jc w:val="both"/>
              <w:rPr>
                <w:sz w:val="20"/>
                <w:lang w:val="fr-CA"/>
              </w:rPr>
            </w:pPr>
            <w:r w:rsidRPr="00444478">
              <w:rPr>
                <w:sz w:val="20"/>
                <w:lang w:val="fr-CA"/>
              </w:rPr>
              <w:t>(Juge McDonald)</w:t>
            </w:r>
          </w:p>
          <w:p w:rsidR="00444478" w:rsidRPr="00444478" w:rsidRDefault="00444478" w:rsidP="00444478">
            <w:pPr>
              <w:jc w:val="both"/>
              <w:rPr>
                <w:sz w:val="20"/>
                <w:lang w:val="fr-CA"/>
              </w:rPr>
            </w:pPr>
            <w:hyperlink r:id="rId22" w:history="1">
              <w:r w:rsidRPr="00444478">
                <w:rPr>
                  <w:rStyle w:val="Hyperlink"/>
                  <w:sz w:val="20"/>
                  <w:lang w:val="fr-CA"/>
                </w:rPr>
                <w:t>2015 ABCA 348</w:t>
              </w:r>
            </w:hyperlink>
          </w:p>
          <w:p w:rsidR="00444478" w:rsidRPr="00444478" w:rsidRDefault="00444478" w:rsidP="00444478">
            <w:pPr>
              <w:jc w:val="both"/>
              <w:rPr>
                <w:sz w:val="20"/>
                <w:lang w:val="fr-CA"/>
              </w:rPr>
            </w:pPr>
            <w:r w:rsidRPr="00444478">
              <w:rPr>
                <w:sz w:val="20"/>
                <w:lang w:val="fr-CA"/>
              </w:rPr>
              <w:t xml:space="preserve">Numéros du greffe : 1501-0199AC et </w:t>
            </w:r>
          </w:p>
          <w:p w:rsidR="00444478" w:rsidRPr="00444478" w:rsidRDefault="00444478" w:rsidP="00444478">
            <w:pPr>
              <w:jc w:val="both"/>
              <w:rPr>
                <w:sz w:val="20"/>
                <w:lang w:val="fr-CA"/>
              </w:rPr>
            </w:pPr>
            <w:r w:rsidRPr="00444478">
              <w:rPr>
                <w:sz w:val="20"/>
                <w:lang w:val="fr-CA"/>
              </w:rPr>
              <w:t>1501-0198AC</w:t>
            </w:r>
          </w:p>
          <w:p w:rsidR="00444478" w:rsidRPr="00444478" w:rsidRDefault="00444478" w:rsidP="00444478">
            <w:pPr>
              <w:jc w:val="both"/>
              <w:rPr>
                <w:sz w:val="20"/>
                <w:lang w:val="fr-CA"/>
              </w:rPr>
            </w:pPr>
          </w:p>
        </w:tc>
        <w:tc>
          <w:tcPr>
            <w:tcW w:w="243" w:type="pct"/>
          </w:tcPr>
          <w:p w:rsidR="00444478" w:rsidRPr="00444478" w:rsidRDefault="00444478" w:rsidP="00444478">
            <w:pPr>
              <w:jc w:val="both"/>
              <w:rPr>
                <w:sz w:val="20"/>
                <w:lang w:val="fr-CA"/>
              </w:rPr>
            </w:pPr>
          </w:p>
        </w:tc>
        <w:tc>
          <w:tcPr>
            <w:tcW w:w="2330" w:type="pct"/>
          </w:tcPr>
          <w:p w:rsidR="00444478" w:rsidRPr="00444478" w:rsidRDefault="00444478" w:rsidP="00444478">
            <w:pPr>
              <w:jc w:val="both"/>
              <w:rPr>
                <w:sz w:val="20"/>
                <w:lang w:val="fr-CA"/>
              </w:rPr>
            </w:pPr>
            <w:r w:rsidRPr="00444478">
              <w:rPr>
                <w:sz w:val="20"/>
                <w:lang w:val="fr-CA"/>
              </w:rPr>
              <w:t xml:space="preserve">Rejet des demandes d’autorisation d’appel. </w:t>
            </w:r>
          </w:p>
          <w:p w:rsidR="00444478" w:rsidRPr="00444478" w:rsidRDefault="00444478" w:rsidP="00444478">
            <w:pPr>
              <w:jc w:val="both"/>
              <w:rPr>
                <w:sz w:val="20"/>
                <w:lang w:val="fr-CA"/>
              </w:rPr>
            </w:pPr>
          </w:p>
        </w:tc>
      </w:tr>
      <w:tr w:rsidR="00444478" w:rsidRPr="00444478" w:rsidTr="00E95A6A">
        <w:tc>
          <w:tcPr>
            <w:tcW w:w="2427" w:type="pct"/>
            <w:gridSpan w:val="2"/>
          </w:tcPr>
          <w:p w:rsidR="00444478" w:rsidRPr="00444478" w:rsidRDefault="00444478" w:rsidP="00444478">
            <w:pPr>
              <w:jc w:val="both"/>
              <w:rPr>
                <w:sz w:val="20"/>
                <w:lang w:val="fr-CA"/>
              </w:rPr>
            </w:pPr>
            <w:r w:rsidRPr="00444478">
              <w:rPr>
                <w:sz w:val="20"/>
                <w:lang w:val="fr-CA"/>
              </w:rPr>
              <w:t>11 janvier 2016</w:t>
            </w:r>
          </w:p>
          <w:p w:rsidR="00444478" w:rsidRPr="00444478" w:rsidRDefault="00444478" w:rsidP="00444478">
            <w:pPr>
              <w:jc w:val="both"/>
              <w:rPr>
                <w:sz w:val="20"/>
                <w:lang w:val="fr-CA"/>
              </w:rPr>
            </w:pPr>
            <w:r w:rsidRPr="00444478">
              <w:rPr>
                <w:sz w:val="20"/>
                <w:lang w:val="fr-CA"/>
              </w:rPr>
              <w:t>Cour suprême du Canada</w:t>
            </w:r>
          </w:p>
        </w:tc>
        <w:tc>
          <w:tcPr>
            <w:tcW w:w="243" w:type="pct"/>
          </w:tcPr>
          <w:p w:rsidR="00444478" w:rsidRPr="00444478" w:rsidRDefault="00444478" w:rsidP="00444478">
            <w:pPr>
              <w:jc w:val="both"/>
              <w:rPr>
                <w:sz w:val="20"/>
                <w:lang w:val="fr-CA"/>
              </w:rPr>
            </w:pPr>
          </w:p>
        </w:tc>
        <w:tc>
          <w:tcPr>
            <w:tcW w:w="2330" w:type="pct"/>
          </w:tcPr>
          <w:p w:rsidR="00444478" w:rsidRPr="00444478" w:rsidRDefault="00444478" w:rsidP="00444478">
            <w:pPr>
              <w:jc w:val="both"/>
              <w:rPr>
                <w:sz w:val="20"/>
                <w:lang w:val="fr-CA"/>
              </w:rPr>
            </w:pPr>
            <w:r w:rsidRPr="00444478">
              <w:rPr>
                <w:sz w:val="20"/>
                <w:lang w:val="fr-CA"/>
              </w:rPr>
              <w:t>Dépôt de la demande d’autorisation d’appel.</w:t>
            </w:r>
          </w:p>
          <w:p w:rsidR="00444478" w:rsidRPr="00444478" w:rsidRDefault="00444478" w:rsidP="00444478">
            <w:pPr>
              <w:jc w:val="both"/>
              <w:rPr>
                <w:sz w:val="20"/>
                <w:lang w:val="fr-CA"/>
              </w:rPr>
            </w:pPr>
          </w:p>
        </w:tc>
      </w:tr>
    </w:tbl>
    <w:p w:rsidR="00444478" w:rsidRPr="00444478" w:rsidRDefault="00444478" w:rsidP="00444478">
      <w:pPr>
        <w:jc w:val="both"/>
        <w:rPr>
          <w:sz w:val="20"/>
          <w:lang w:val="fr-CA"/>
        </w:rPr>
      </w:pPr>
    </w:p>
    <w:p w:rsidR="00EC7995" w:rsidRPr="0019249C" w:rsidRDefault="00EC7995" w:rsidP="0019249C">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9249C" w:rsidRPr="0019249C" w:rsidTr="00E95A6A">
        <w:tc>
          <w:tcPr>
            <w:tcW w:w="543" w:type="pct"/>
          </w:tcPr>
          <w:p w:rsidR="0019249C" w:rsidRPr="0019249C" w:rsidRDefault="0019249C" w:rsidP="0019249C">
            <w:pPr>
              <w:jc w:val="both"/>
              <w:rPr>
                <w:sz w:val="20"/>
              </w:rPr>
            </w:pPr>
            <w:r w:rsidRPr="0019249C">
              <w:rPr>
                <w:rStyle w:val="SCCFileNumberChar"/>
                <w:sz w:val="20"/>
                <w:szCs w:val="20"/>
              </w:rPr>
              <w:t>36878</w:t>
            </w:r>
          </w:p>
        </w:tc>
        <w:tc>
          <w:tcPr>
            <w:tcW w:w="4457" w:type="pct"/>
            <w:gridSpan w:val="3"/>
          </w:tcPr>
          <w:p w:rsidR="0019249C" w:rsidRPr="0019249C" w:rsidRDefault="0019249C" w:rsidP="0019249C">
            <w:pPr>
              <w:pStyle w:val="SCCLsocParty"/>
              <w:jc w:val="both"/>
              <w:rPr>
                <w:b/>
                <w:sz w:val="20"/>
                <w:szCs w:val="20"/>
              </w:rPr>
            </w:pPr>
            <w:r w:rsidRPr="0019249C">
              <w:rPr>
                <w:b/>
                <w:sz w:val="20"/>
                <w:szCs w:val="20"/>
              </w:rPr>
              <w:t>Louis Kakoutis, Effie Kakoutis v. Bank of Nova Scotia</w:t>
            </w:r>
          </w:p>
          <w:p w:rsidR="0019249C" w:rsidRPr="0019249C" w:rsidRDefault="0019249C" w:rsidP="0019249C">
            <w:pPr>
              <w:jc w:val="both"/>
              <w:rPr>
                <w:sz w:val="20"/>
              </w:rPr>
            </w:pPr>
            <w:r w:rsidRPr="0019249C">
              <w:rPr>
                <w:sz w:val="20"/>
              </w:rPr>
              <w:t>(Ont.) (Civil) (By Leave)</w:t>
            </w:r>
          </w:p>
        </w:tc>
      </w:tr>
      <w:tr w:rsidR="0019249C" w:rsidRPr="0019249C" w:rsidTr="00E95A6A">
        <w:tc>
          <w:tcPr>
            <w:tcW w:w="5000" w:type="pct"/>
            <w:gridSpan w:val="4"/>
          </w:tcPr>
          <w:p w:rsidR="0019249C" w:rsidRPr="0019249C" w:rsidRDefault="0019249C" w:rsidP="0019249C">
            <w:pPr>
              <w:jc w:val="both"/>
              <w:rPr>
                <w:sz w:val="20"/>
              </w:rPr>
            </w:pPr>
            <w:r w:rsidRPr="0019249C">
              <w:rPr>
                <w:sz w:val="20"/>
              </w:rPr>
              <w:t>Judgments and orders – Summary judgments – Loans – Mortgages – Default – Applicants defaulting on comprehensive loan and mortgage agreement with Bank – Applicants maintaining that cash payment on loan improperly not applied to account, rendering agreement void – Applicants and respondents filing motions for summary judgment – Whether lower courts interfered with applicants’ access to justice and adequate reasons for judgment.</w:t>
            </w:r>
          </w:p>
        </w:tc>
      </w:tr>
      <w:tr w:rsidR="0019249C" w:rsidRPr="0019249C" w:rsidTr="00E95A6A">
        <w:tc>
          <w:tcPr>
            <w:tcW w:w="5000" w:type="pct"/>
            <w:gridSpan w:val="4"/>
          </w:tcPr>
          <w:p w:rsidR="0019249C" w:rsidRPr="0019249C" w:rsidRDefault="0019249C" w:rsidP="0019249C">
            <w:pPr>
              <w:jc w:val="both"/>
              <w:rPr>
                <w:sz w:val="20"/>
              </w:rPr>
            </w:pPr>
          </w:p>
        </w:tc>
      </w:tr>
      <w:tr w:rsidR="0019249C" w:rsidRPr="0019249C" w:rsidTr="00E95A6A">
        <w:tc>
          <w:tcPr>
            <w:tcW w:w="5000" w:type="pct"/>
            <w:gridSpan w:val="4"/>
          </w:tcPr>
          <w:p w:rsidR="0019249C" w:rsidRPr="0019249C" w:rsidRDefault="0019249C" w:rsidP="0019249C">
            <w:pPr>
              <w:jc w:val="both"/>
              <w:rPr>
                <w:sz w:val="20"/>
              </w:rPr>
            </w:pPr>
            <w:r w:rsidRPr="0019249C">
              <w:rPr>
                <w:sz w:val="20"/>
              </w:rPr>
              <w:t xml:space="preserve">In July 2011, Mr. and Ms. Kakoutis entered into a Personal Credit Agreement with the Bank of Nova Scotia (“BNS”) for the sum of $30,000.00 as revolving credit on their Scotialine account and the sum of $400,000.00 under a Mortgage Loan. Both loans were secured by a single collateral mortgage in favour of BNS against title to the applicants’ property in Richmond Hill, Ontario. Pursuant to the Personal Credit Agreement, default under either of the credit line or the mortgage would trigger a default under both accounts, causing all amounts owing to BNS, including principal, interest and other costs and charges, to become due and payable to BNS immediately. BNS would additionally be entitled to quiet possession of the property. On February 22, 2012, Mr. Kakoutis attempted to make payment of $1,188 on the Scotialine account because it was in default. The applicants maintained that this payment was made in cash and that the teller had either lost or stolen this payment. BNS stated that there was no </w:t>
            </w:r>
            <w:r w:rsidRPr="0019249C">
              <w:rPr>
                <w:sz w:val="20"/>
              </w:rPr>
              <w:lastRenderedPageBreak/>
              <w:t>evidence that a cash payment was made but that an attempt was made to make the payment from the applicants’ deposit account. Due to the teller’s error the transaction had no effect. The applicants made their last payment of $593 on March 1, 2012. BNS served the applicants with a Notice of Sale Under Mortgage on February 1, 2013. They remained in possession of the property. The applicants made a claim against BNS for damages of $1,235,965 and also claimed that their obligations to BNS were nullified, as a result of the alleged theft or loss. BNS counterclaimed for the outstanding amounts owing on the Scotialine and mortgage loan and for possession of the mortgaged property. BNS brought a motion for summary judgment, dismissing the applicants’ claim and for summary judgment on its counterclaim.</w:t>
            </w:r>
          </w:p>
          <w:p w:rsidR="0019249C" w:rsidRPr="0019249C" w:rsidRDefault="0019249C" w:rsidP="0019249C">
            <w:pPr>
              <w:jc w:val="both"/>
              <w:rPr>
                <w:sz w:val="20"/>
              </w:rPr>
            </w:pPr>
          </w:p>
        </w:tc>
      </w:tr>
      <w:tr w:rsidR="0019249C" w:rsidRPr="0019249C" w:rsidTr="00E95A6A">
        <w:tc>
          <w:tcPr>
            <w:tcW w:w="2427" w:type="pct"/>
            <w:gridSpan w:val="2"/>
          </w:tcPr>
          <w:p w:rsidR="0019249C" w:rsidRPr="0019249C" w:rsidRDefault="0019249C" w:rsidP="0019249C">
            <w:pPr>
              <w:jc w:val="both"/>
              <w:rPr>
                <w:sz w:val="20"/>
              </w:rPr>
            </w:pPr>
            <w:r w:rsidRPr="0019249C">
              <w:rPr>
                <w:sz w:val="20"/>
              </w:rPr>
              <w:lastRenderedPageBreak/>
              <w:t>April 7, 2015</w:t>
            </w:r>
          </w:p>
          <w:p w:rsidR="0019249C" w:rsidRPr="0019249C" w:rsidRDefault="0019249C" w:rsidP="0019249C">
            <w:pPr>
              <w:jc w:val="both"/>
              <w:rPr>
                <w:sz w:val="20"/>
              </w:rPr>
            </w:pPr>
            <w:r w:rsidRPr="0019249C">
              <w:rPr>
                <w:sz w:val="20"/>
              </w:rPr>
              <w:t>Ontario Superior Court of Justice</w:t>
            </w:r>
          </w:p>
          <w:p w:rsidR="0019249C" w:rsidRPr="0019249C" w:rsidRDefault="0019249C" w:rsidP="0019249C">
            <w:pPr>
              <w:jc w:val="both"/>
              <w:rPr>
                <w:sz w:val="20"/>
              </w:rPr>
            </w:pPr>
            <w:r w:rsidRPr="0019249C">
              <w:rPr>
                <w:sz w:val="20"/>
              </w:rPr>
              <w:t>(Pollak J.)</w:t>
            </w:r>
          </w:p>
          <w:p w:rsidR="0019249C" w:rsidRPr="0019249C" w:rsidRDefault="0019249C" w:rsidP="0019249C">
            <w:pPr>
              <w:jc w:val="both"/>
              <w:rPr>
                <w:sz w:val="20"/>
              </w:rPr>
            </w:pPr>
            <w:hyperlink r:id="rId23" w:history="1">
              <w:r w:rsidRPr="0019249C">
                <w:rPr>
                  <w:rStyle w:val="Hyperlink"/>
                  <w:sz w:val="20"/>
                </w:rPr>
                <w:t>2015 ONSC 513</w:t>
              </w:r>
            </w:hyperlink>
          </w:p>
          <w:p w:rsidR="0019249C" w:rsidRPr="0019249C" w:rsidRDefault="0019249C" w:rsidP="0019249C">
            <w:pPr>
              <w:jc w:val="both"/>
              <w:rPr>
                <w:sz w:val="20"/>
              </w:rPr>
            </w:pPr>
          </w:p>
        </w:tc>
        <w:tc>
          <w:tcPr>
            <w:tcW w:w="243" w:type="pct"/>
          </w:tcPr>
          <w:p w:rsidR="0019249C" w:rsidRPr="0019249C" w:rsidRDefault="0019249C" w:rsidP="0019249C">
            <w:pPr>
              <w:jc w:val="both"/>
              <w:rPr>
                <w:sz w:val="20"/>
              </w:rPr>
            </w:pPr>
          </w:p>
        </w:tc>
        <w:tc>
          <w:tcPr>
            <w:tcW w:w="2330" w:type="pct"/>
          </w:tcPr>
          <w:p w:rsidR="0019249C" w:rsidRPr="0019249C" w:rsidRDefault="0019249C" w:rsidP="0019249C">
            <w:pPr>
              <w:jc w:val="both"/>
              <w:rPr>
                <w:sz w:val="20"/>
              </w:rPr>
            </w:pPr>
            <w:r w:rsidRPr="0019249C">
              <w:rPr>
                <w:sz w:val="20"/>
              </w:rPr>
              <w:t>Applicants’ claim and motion for summary judgment dismissed; Respondent’s counter-claim and motion for summary judgment granted</w:t>
            </w:r>
          </w:p>
          <w:p w:rsidR="0019249C" w:rsidRPr="0019249C" w:rsidRDefault="0019249C" w:rsidP="0019249C">
            <w:pPr>
              <w:jc w:val="both"/>
              <w:rPr>
                <w:sz w:val="20"/>
              </w:rPr>
            </w:pPr>
          </w:p>
        </w:tc>
      </w:tr>
      <w:tr w:rsidR="0019249C" w:rsidRPr="0019249C" w:rsidTr="00E95A6A">
        <w:tc>
          <w:tcPr>
            <w:tcW w:w="2427" w:type="pct"/>
            <w:gridSpan w:val="2"/>
          </w:tcPr>
          <w:p w:rsidR="0019249C" w:rsidRPr="0019249C" w:rsidRDefault="0019249C" w:rsidP="0019249C">
            <w:pPr>
              <w:jc w:val="both"/>
              <w:rPr>
                <w:sz w:val="20"/>
              </w:rPr>
            </w:pPr>
            <w:r w:rsidRPr="0019249C">
              <w:rPr>
                <w:sz w:val="20"/>
              </w:rPr>
              <w:t>December 4, 2015</w:t>
            </w:r>
          </w:p>
          <w:p w:rsidR="0019249C" w:rsidRPr="0019249C" w:rsidRDefault="0019249C" w:rsidP="0019249C">
            <w:pPr>
              <w:jc w:val="both"/>
              <w:rPr>
                <w:sz w:val="20"/>
              </w:rPr>
            </w:pPr>
            <w:r w:rsidRPr="0019249C">
              <w:rPr>
                <w:sz w:val="20"/>
              </w:rPr>
              <w:t>Court of Appeal for Ontario</w:t>
            </w:r>
          </w:p>
          <w:p w:rsidR="0019249C" w:rsidRPr="0019249C" w:rsidRDefault="0019249C" w:rsidP="0019249C">
            <w:pPr>
              <w:jc w:val="both"/>
              <w:rPr>
                <w:sz w:val="20"/>
              </w:rPr>
            </w:pPr>
            <w:r w:rsidRPr="0019249C">
              <w:rPr>
                <w:sz w:val="20"/>
              </w:rPr>
              <w:t>(Sharpe, Cronk and Miller JJ.A.)</w:t>
            </w:r>
          </w:p>
          <w:p w:rsidR="0019249C" w:rsidRPr="0019249C" w:rsidRDefault="0019249C" w:rsidP="0019249C">
            <w:pPr>
              <w:jc w:val="both"/>
              <w:rPr>
                <w:sz w:val="20"/>
              </w:rPr>
            </w:pPr>
            <w:hyperlink r:id="rId24" w:history="1">
              <w:r w:rsidRPr="0019249C">
                <w:rPr>
                  <w:rStyle w:val="Hyperlink"/>
                  <w:sz w:val="20"/>
                </w:rPr>
                <w:t>2015 ONCA 872</w:t>
              </w:r>
            </w:hyperlink>
          </w:p>
          <w:p w:rsidR="0019249C" w:rsidRPr="0019249C" w:rsidRDefault="0019249C" w:rsidP="0019249C">
            <w:pPr>
              <w:jc w:val="both"/>
              <w:rPr>
                <w:sz w:val="20"/>
              </w:rPr>
            </w:pPr>
          </w:p>
        </w:tc>
        <w:tc>
          <w:tcPr>
            <w:tcW w:w="243" w:type="pct"/>
          </w:tcPr>
          <w:p w:rsidR="0019249C" w:rsidRPr="0019249C" w:rsidRDefault="0019249C" w:rsidP="0019249C">
            <w:pPr>
              <w:jc w:val="both"/>
              <w:rPr>
                <w:sz w:val="20"/>
              </w:rPr>
            </w:pPr>
          </w:p>
        </w:tc>
        <w:tc>
          <w:tcPr>
            <w:tcW w:w="2330" w:type="pct"/>
          </w:tcPr>
          <w:p w:rsidR="0019249C" w:rsidRPr="0019249C" w:rsidRDefault="0019249C" w:rsidP="0019249C">
            <w:pPr>
              <w:jc w:val="both"/>
              <w:rPr>
                <w:sz w:val="20"/>
              </w:rPr>
            </w:pPr>
            <w:r w:rsidRPr="0019249C">
              <w:rPr>
                <w:sz w:val="20"/>
              </w:rPr>
              <w:t>Applicants’ appeal dismissed</w:t>
            </w:r>
          </w:p>
          <w:p w:rsidR="0019249C" w:rsidRPr="0019249C" w:rsidRDefault="0019249C" w:rsidP="0019249C">
            <w:pPr>
              <w:jc w:val="both"/>
              <w:rPr>
                <w:sz w:val="20"/>
              </w:rPr>
            </w:pPr>
          </w:p>
        </w:tc>
      </w:tr>
      <w:tr w:rsidR="0019249C" w:rsidRPr="0019249C" w:rsidTr="00E95A6A">
        <w:tc>
          <w:tcPr>
            <w:tcW w:w="2427" w:type="pct"/>
            <w:gridSpan w:val="2"/>
          </w:tcPr>
          <w:p w:rsidR="0019249C" w:rsidRPr="0019249C" w:rsidRDefault="0019249C" w:rsidP="0019249C">
            <w:pPr>
              <w:jc w:val="both"/>
              <w:rPr>
                <w:sz w:val="20"/>
              </w:rPr>
            </w:pPr>
            <w:r w:rsidRPr="0019249C">
              <w:rPr>
                <w:sz w:val="20"/>
              </w:rPr>
              <w:t>February 1, 2016</w:t>
            </w:r>
          </w:p>
          <w:p w:rsidR="0019249C" w:rsidRPr="0019249C" w:rsidRDefault="0019249C" w:rsidP="0019249C">
            <w:pPr>
              <w:jc w:val="both"/>
              <w:rPr>
                <w:sz w:val="20"/>
              </w:rPr>
            </w:pPr>
            <w:r w:rsidRPr="0019249C">
              <w:rPr>
                <w:sz w:val="20"/>
              </w:rPr>
              <w:t>Supreme Court of Canada</w:t>
            </w:r>
          </w:p>
        </w:tc>
        <w:tc>
          <w:tcPr>
            <w:tcW w:w="243" w:type="pct"/>
          </w:tcPr>
          <w:p w:rsidR="0019249C" w:rsidRPr="0019249C" w:rsidRDefault="0019249C" w:rsidP="0019249C">
            <w:pPr>
              <w:jc w:val="both"/>
              <w:rPr>
                <w:sz w:val="20"/>
              </w:rPr>
            </w:pPr>
          </w:p>
        </w:tc>
        <w:tc>
          <w:tcPr>
            <w:tcW w:w="2330" w:type="pct"/>
          </w:tcPr>
          <w:p w:rsidR="0019249C" w:rsidRPr="0019249C" w:rsidRDefault="0019249C" w:rsidP="0019249C">
            <w:pPr>
              <w:jc w:val="both"/>
              <w:rPr>
                <w:sz w:val="20"/>
              </w:rPr>
            </w:pPr>
            <w:r w:rsidRPr="0019249C">
              <w:rPr>
                <w:sz w:val="20"/>
              </w:rPr>
              <w:t>Application for leave to appeal filed</w:t>
            </w:r>
          </w:p>
          <w:p w:rsidR="0019249C" w:rsidRPr="0019249C" w:rsidRDefault="0019249C" w:rsidP="0019249C">
            <w:pPr>
              <w:jc w:val="both"/>
              <w:rPr>
                <w:sz w:val="20"/>
              </w:rPr>
            </w:pPr>
          </w:p>
        </w:tc>
      </w:tr>
    </w:tbl>
    <w:p w:rsidR="0019249C" w:rsidRDefault="0019249C" w:rsidP="0019249C">
      <w:pPr>
        <w:jc w:val="both"/>
        <w:rPr>
          <w:sz w:val="20"/>
        </w:rPr>
      </w:pPr>
    </w:p>
    <w:p w:rsidR="0019249C" w:rsidRPr="0019249C" w:rsidRDefault="0019249C" w:rsidP="0019249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9249C" w:rsidRPr="0019249C" w:rsidTr="00E95A6A">
        <w:tc>
          <w:tcPr>
            <w:tcW w:w="543" w:type="pct"/>
          </w:tcPr>
          <w:p w:rsidR="0019249C" w:rsidRPr="0019249C" w:rsidRDefault="0019249C" w:rsidP="0019249C">
            <w:pPr>
              <w:jc w:val="both"/>
              <w:rPr>
                <w:sz w:val="20"/>
                <w:lang w:val="fr-CA"/>
              </w:rPr>
            </w:pPr>
            <w:r w:rsidRPr="0019249C">
              <w:rPr>
                <w:rStyle w:val="SCCFileNumberChar"/>
                <w:sz w:val="20"/>
                <w:szCs w:val="20"/>
                <w:lang w:val="fr-CA"/>
              </w:rPr>
              <w:t>36878</w:t>
            </w:r>
          </w:p>
        </w:tc>
        <w:tc>
          <w:tcPr>
            <w:tcW w:w="4457" w:type="pct"/>
            <w:gridSpan w:val="3"/>
          </w:tcPr>
          <w:p w:rsidR="0019249C" w:rsidRPr="0019249C" w:rsidRDefault="0019249C" w:rsidP="0019249C">
            <w:pPr>
              <w:pStyle w:val="SCCLsocParty"/>
              <w:jc w:val="both"/>
              <w:rPr>
                <w:b/>
                <w:sz w:val="20"/>
                <w:szCs w:val="20"/>
              </w:rPr>
            </w:pPr>
            <w:r w:rsidRPr="0019249C">
              <w:rPr>
                <w:b/>
                <w:sz w:val="20"/>
                <w:szCs w:val="20"/>
              </w:rPr>
              <w:t>Louis Kakoutis, Effie Kakoutis c. Banque de Nouvelle-Écosse</w:t>
            </w:r>
          </w:p>
          <w:p w:rsidR="0019249C" w:rsidRPr="0019249C" w:rsidRDefault="0019249C" w:rsidP="0019249C">
            <w:pPr>
              <w:jc w:val="both"/>
              <w:rPr>
                <w:sz w:val="20"/>
                <w:lang w:val="fr-CA"/>
              </w:rPr>
            </w:pPr>
            <w:r w:rsidRPr="0019249C">
              <w:rPr>
                <w:sz w:val="20"/>
                <w:lang w:val="fr-CA"/>
              </w:rPr>
              <w:t>(Ont.) (Civile) (Sur autorisation)</w:t>
            </w:r>
          </w:p>
        </w:tc>
      </w:tr>
      <w:tr w:rsidR="0019249C" w:rsidRPr="0019249C" w:rsidTr="00E95A6A">
        <w:tc>
          <w:tcPr>
            <w:tcW w:w="5000" w:type="pct"/>
            <w:gridSpan w:val="4"/>
          </w:tcPr>
          <w:p w:rsidR="0019249C" w:rsidRPr="0019249C" w:rsidRDefault="0019249C" w:rsidP="0019249C">
            <w:pPr>
              <w:jc w:val="both"/>
              <w:rPr>
                <w:sz w:val="20"/>
                <w:lang w:val="fr-CA"/>
              </w:rPr>
            </w:pPr>
            <w:r w:rsidRPr="0019249C">
              <w:rPr>
                <w:sz w:val="20"/>
                <w:lang w:val="fr-CA"/>
              </w:rPr>
              <w:t>Jugements et ordonnances – Jugements sommaires – Prêts – Prêts hypothécaires – Défaut - Les demandeurs ont manqué à leurs engagements à l’égard d’un contrat de prêt hypothécaire conclu avec la banque – Les demandeurs soutiennent qu’un paiement en argent comptant n’a pas été dûment imputé au prêt, entraînant la nullité du contrat – Les demandeurs et l’intimée ont déposé des motions en jugement sommaire - Les juridictions inférieures ont-elles entravé l’accès des demandeurs à la justice et à des motifs de jugement adéquats?</w:t>
            </w:r>
          </w:p>
        </w:tc>
      </w:tr>
      <w:tr w:rsidR="0019249C" w:rsidRPr="0019249C" w:rsidTr="00E95A6A">
        <w:tc>
          <w:tcPr>
            <w:tcW w:w="5000" w:type="pct"/>
            <w:gridSpan w:val="4"/>
          </w:tcPr>
          <w:p w:rsidR="0019249C" w:rsidRPr="0019249C" w:rsidRDefault="0019249C" w:rsidP="0019249C">
            <w:pPr>
              <w:jc w:val="both"/>
              <w:rPr>
                <w:sz w:val="20"/>
                <w:lang w:val="fr-CA"/>
              </w:rPr>
            </w:pPr>
          </w:p>
        </w:tc>
      </w:tr>
      <w:tr w:rsidR="0019249C" w:rsidRPr="0019249C" w:rsidTr="00E95A6A">
        <w:tc>
          <w:tcPr>
            <w:tcW w:w="5000" w:type="pct"/>
            <w:gridSpan w:val="4"/>
          </w:tcPr>
          <w:p w:rsidR="0019249C" w:rsidRDefault="0019249C" w:rsidP="0019249C">
            <w:pPr>
              <w:jc w:val="both"/>
              <w:rPr>
                <w:sz w:val="20"/>
                <w:lang w:val="fr-CA"/>
              </w:rPr>
            </w:pPr>
            <w:r w:rsidRPr="0019249C">
              <w:rPr>
                <w:sz w:val="20"/>
                <w:lang w:val="fr-CA"/>
              </w:rPr>
              <w:t xml:space="preserve">En juillet 2011, M. et Mme Kakoutis ont conclu un contrat de crédit à un particulier avec la Banque de Nouvelle-Écosse (« BNÉ »), comprenant un crédit renouvelable de 30 000 $ sur leur Ligne de crédit Scotia et un prêt hypothécaire de 400 000 $. Les deux emprunts étaient garantis par une seule hypothèque accessoire en faveur de la BNÉ, grevant le titre d’un immeuble appartenant aux demandeurs à Richmond (Ontario). En vertu du contrat de crédit, un défaut à l’égard de la ligne de crédit ou du prêt hypothécaire entraînerait un défaut en vertu des deux comptes, rendant tous les montants dus à la BNÉ, y compris le capital, les intérêts et d’autres frais et charges, immédiatement exigibles et payables à la BNÉ. En outre, la BNÉ aurait droit à la jouissance paisible du bien hypothéqué. Le 22 février 2012, M. Kakoutis a tenté de faire un versement de </w:t>
            </w:r>
            <w:r w:rsidRPr="0019249C">
              <w:rPr>
                <w:sz w:val="20"/>
              </w:rPr>
              <w:t>1 188</w:t>
            </w:r>
            <w:r w:rsidRPr="0019249C">
              <w:rPr>
                <w:sz w:val="20"/>
                <w:lang w:val="fr-CA"/>
              </w:rPr>
              <w:t xml:space="preserve"> $ sur la Ligne de crédit Scotia parce que celle-ci était en souffrance. Les demandeurs ont soutenu que ce paiement avait été fait en argent comptant et que le caissier avait soit perdu, soit volé ce paiement. La BNÉ a affirmé qu’il n’existait aucune preuve de paiement en argent comptant, mais qu’une tentative avait été faite pour faire le paiement à partir du compte de dépôt des demandeurs. En raison de l’erreur du caissier, l’opération n’avait pas eu d’effet. Les demandeurs ont fait leur dernier versement de 593 $ le 1</w:t>
            </w:r>
            <w:r w:rsidRPr="0019249C">
              <w:rPr>
                <w:sz w:val="20"/>
                <w:vertAlign w:val="superscript"/>
                <w:lang w:val="fr-CA"/>
              </w:rPr>
              <w:t>er</w:t>
            </w:r>
            <w:r w:rsidRPr="0019249C">
              <w:rPr>
                <w:sz w:val="20"/>
                <w:lang w:val="fr-CA"/>
              </w:rPr>
              <w:t xml:space="preserve"> mars 2012. Le 1</w:t>
            </w:r>
            <w:r w:rsidRPr="0019249C">
              <w:rPr>
                <w:sz w:val="20"/>
                <w:vertAlign w:val="superscript"/>
                <w:lang w:val="fr-CA"/>
              </w:rPr>
              <w:t>er</w:t>
            </w:r>
            <w:r w:rsidRPr="0019249C">
              <w:rPr>
                <w:sz w:val="20"/>
                <w:lang w:val="fr-CA"/>
              </w:rPr>
              <w:t xml:space="preserve"> février 2013, la BNÉ a signifié aux demandeurs un avis de vente en vertu du prêt hypothécaire. Les demandeurs sont demeurés en possession du bien hypothéqué. Les demandeurs ont intenté une action en dommages-intérêts de 1 235 965 $ contre la BNÉ et ils ont également allégué que leurs obligations envers la BNÉ étaient devenues nulles à la suite du vol ou de la perte présumés. En demande reconventionnelle, la BNÉ a réclamé les montants en souffrance payables sur la Ligne de crédit Scotia et sur le prêt hypothécaire et la possession du bien hypothéqué. La BNÉ a présenté une motion en jugement sommaire, rejetant l’action des demandeurs et en jugement sommaire sur sa demande reconventionnelle.</w:t>
            </w:r>
          </w:p>
          <w:p w:rsidR="0019249C" w:rsidRPr="0019249C" w:rsidRDefault="0019249C" w:rsidP="0019249C">
            <w:pPr>
              <w:jc w:val="both"/>
              <w:rPr>
                <w:sz w:val="20"/>
                <w:lang w:val="fr-CA"/>
              </w:rPr>
            </w:pPr>
          </w:p>
        </w:tc>
      </w:tr>
      <w:tr w:rsidR="0019249C" w:rsidRPr="0019249C" w:rsidTr="00E95A6A">
        <w:tc>
          <w:tcPr>
            <w:tcW w:w="2427" w:type="pct"/>
            <w:gridSpan w:val="2"/>
          </w:tcPr>
          <w:p w:rsidR="0019249C" w:rsidRPr="0019249C" w:rsidRDefault="0019249C" w:rsidP="0019249C">
            <w:pPr>
              <w:jc w:val="both"/>
              <w:rPr>
                <w:sz w:val="20"/>
                <w:lang w:val="fr-CA"/>
              </w:rPr>
            </w:pPr>
            <w:r w:rsidRPr="0019249C">
              <w:rPr>
                <w:sz w:val="20"/>
                <w:lang w:val="fr-CA"/>
              </w:rPr>
              <w:lastRenderedPageBreak/>
              <w:t>7 avril 2015</w:t>
            </w:r>
          </w:p>
          <w:p w:rsidR="0019249C" w:rsidRPr="0019249C" w:rsidRDefault="0019249C" w:rsidP="0019249C">
            <w:pPr>
              <w:jc w:val="both"/>
              <w:rPr>
                <w:sz w:val="20"/>
                <w:lang w:val="fr-CA"/>
              </w:rPr>
            </w:pPr>
            <w:r w:rsidRPr="0019249C">
              <w:rPr>
                <w:sz w:val="20"/>
                <w:lang w:val="fr-CA"/>
              </w:rPr>
              <w:t xml:space="preserve">Cour supérieure de justice de l’Ontario </w:t>
            </w:r>
          </w:p>
          <w:p w:rsidR="0019249C" w:rsidRPr="0019249C" w:rsidRDefault="0019249C" w:rsidP="0019249C">
            <w:pPr>
              <w:jc w:val="both"/>
              <w:rPr>
                <w:sz w:val="20"/>
                <w:lang w:val="fr-CA"/>
              </w:rPr>
            </w:pPr>
            <w:r w:rsidRPr="0019249C">
              <w:rPr>
                <w:sz w:val="20"/>
                <w:lang w:val="fr-CA"/>
              </w:rPr>
              <w:t>(Juge Pollak)</w:t>
            </w:r>
          </w:p>
          <w:p w:rsidR="0019249C" w:rsidRPr="0019249C" w:rsidRDefault="0019249C" w:rsidP="0019249C">
            <w:pPr>
              <w:jc w:val="both"/>
              <w:rPr>
                <w:sz w:val="20"/>
                <w:lang w:val="fr-CA"/>
              </w:rPr>
            </w:pPr>
            <w:hyperlink r:id="rId25" w:history="1">
              <w:r w:rsidRPr="0019249C">
                <w:rPr>
                  <w:rStyle w:val="Hyperlink"/>
                  <w:sz w:val="20"/>
                  <w:lang w:val="fr-CA"/>
                </w:rPr>
                <w:t>2015 ONSC 513</w:t>
              </w:r>
            </w:hyperlink>
          </w:p>
          <w:p w:rsidR="0019249C" w:rsidRPr="0019249C" w:rsidRDefault="0019249C" w:rsidP="0019249C">
            <w:pPr>
              <w:jc w:val="both"/>
              <w:rPr>
                <w:sz w:val="20"/>
                <w:lang w:val="fr-CA"/>
              </w:rPr>
            </w:pPr>
          </w:p>
        </w:tc>
        <w:tc>
          <w:tcPr>
            <w:tcW w:w="243" w:type="pct"/>
          </w:tcPr>
          <w:p w:rsidR="0019249C" w:rsidRPr="0019249C" w:rsidRDefault="0019249C" w:rsidP="0019249C">
            <w:pPr>
              <w:jc w:val="both"/>
              <w:rPr>
                <w:sz w:val="20"/>
                <w:lang w:val="fr-CA"/>
              </w:rPr>
            </w:pPr>
          </w:p>
        </w:tc>
        <w:tc>
          <w:tcPr>
            <w:tcW w:w="2330" w:type="pct"/>
          </w:tcPr>
          <w:p w:rsidR="0019249C" w:rsidRPr="0019249C" w:rsidRDefault="0019249C" w:rsidP="0019249C">
            <w:pPr>
              <w:jc w:val="both"/>
              <w:rPr>
                <w:sz w:val="20"/>
                <w:lang w:val="fr-CA"/>
              </w:rPr>
            </w:pPr>
            <w:r w:rsidRPr="0019249C">
              <w:rPr>
                <w:sz w:val="20"/>
                <w:lang w:val="fr-CA"/>
              </w:rPr>
              <w:t>Jugement rejetant l’action et la motion en jugement sommaire des demandeurs et accueillant la demande reconventionnelle et la motion en jugement sommaire de l’intimée</w:t>
            </w:r>
          </w:p>
          <w:p w:rsidR="0019249C" w:rsidRPr="0019249C" w:rsidRDefault="0019249C" w:rsidP="0019249C">
            <w:pPr>
              <w:jc w:val="both"/>
              <w:rPr>
                <w:sz w:val="20"/>
                <w:lang w:val="fr-CA"/>
              </w:rPr>
            </w:pPr>
          </w:p>
        </w:tc>
      </w:tr>
      <w:tr w:rsidR="0019249C" w:rsidRPr="0019249C" w:rsidTr="00E95A6A">
        <w:tc>
          <w:tcPr>
            <w:tcW w:w="2427" w:type="pct"/>
            <w:gridSpan w:val="2"/>
          </w:tcPr>
          <w:p w:rsidR="0019249C" w:rsidRPr="0019249C" w:rsidRDefault="0019249C" w:rsidP="0019249C">
            <w:pPr>
              <w:jc w:val="both"/>
              <w:rPr>
                <w:sz w:val="20"/>
                <w:lang w:val="fr-CA"/>
              </w:rPr>
            </w:pPr>
            <w:r w:rsidRPr="0019249C">
              <w:rPr>
                <w:sz w:val="20"/>
                <w:lang w:val="fr-CA"/>
              </w:rPr>
              <w:t>4 décembre 2015</w:t>
            </w:r>
          </w:p>
          <w:p w:rsidR="0019249C" w:rsidRPr="0019249C" w:rsidRDefault="0019249C" w:rsidP="0019249C">
            <w:pPr>
              <w:jc w:val="both"/>
              <w:rPr>
                <w:sz w:val="20"/>
                <w:lang w:val="fr-CA"/>
              </w:rPr>
            </w:pPr>
            <w:r w:rsidRPr="0019249C">
              <w:rPr>
                <w:sz w:val="20"/>
                <w:lang w:val="fr-CA"/>
              </w:rPr>
              <w:t xml:space="preserve">Cour d’appel de l’Ontario </w:t>
            </w:r>
          </w:p>
          <w:p w:rsidR="0019249C" w:rsidRPr="0019249C" w:rsidRDefault="0019249C" w:rsidP="0019249C">
            <w:pPr>
              <w:jc w:val="both"/>
              <w:rPr>
                <w:sz w:val="20"/>
                <w:lang w:val="fr-CA"/>
              </w:rPr>
            </w:pPr>
            <w:r w:rsidRPr="0019249C">
              <w:rPr>
                <w:sz w:val="20"/>
                <w:lang w:val="fr-CA"/>
              </w:rPr>
              <w:t>(Juges Sharpe, Cronk et Miller)</w:t>
            </w:r>
          </w:p>
          <w:p w:rsidR="0019249C" w:rsidRPr="0019249C" w:rsidRDefault="0019249C" w:rsidP="0019249C">
            <w:pPr>
              <w:jc w:val="both"/>
              <w:rPr>
                <w:sz w:val="20"/>
                <w:lang w:val="fr-CA"/>
              </w:rPr>
            </w:pPr>
            <w:hyperlink r:id="rId26" w:history="1">
              <w:r w:rsidRPr="0019249C">
                <w:rPr>
                  <w:rStyle w:val="Hyperlink"/>
                  <w:sz w:val="20"/>
                  <w:lang w:val="fr-CA"/>
                </w:rPr>
                <w:t>2015 ONCA 872</w:t>
              </w:r>
            </w:hyperlink>
          </w:p>
          <w:p w:rsidR="0019249C" w:rsidRPr="0019249C" w:rsidRDefault="0019249C" w:rsidP="0019249C">
            <w:pPr>
              <w:jc w:val="both"/>
              <w:rPr>
                <w:sz w:val="20"/>
                <w:lang w:val="fr-CA"/>
              </w:rPr>
            </w:pPr>
          </w:p>
        </w:tc>
        <w:tc>
          <w:tcPr>
            <w:tcW w:w="243" w:type="pct"/>
          </w:tcPr>
          <w:p w:rsidR="0019249C" w:rsidRPr="0019249C" w:rsidRDefault="0019249C" w:rsidP="0019249C">
            <w:pPr>
              <w:jc w:val="both"/>
              <w:rPr>
                <w:sz w:val="20"/>
                <w:lang w:val="fr-CA"/>
              </w:rPr>
            </w:pPr>
          </w:p>
        </w:tc>
        <w:tc>
          <w:tcPr>
            <w:tcW w:w="2330" w:type="pct"/>
          </w:tcPr>
          <w:p w:rsidR="0019249C" w:rsidRPr="0019249C" w:rsidRDefault="0019249C" w:rsidP="0019249C">
            <w:pPr>
              <w:jc w:val="both"/>
              <w:rPr>
                <w:sz w:val="20"/>
                <w:lang w:val="fr-CA"/>
              </w:rPr>
            </w:pPr>
            <w:r w:rsidRPr="0019249C">
              <w:rPr>
                <w:sz w:val="20"/>
                <w:lang w:val="fr-CA"/>
              </w:rPr>
              <w:t>Rejet de l’appel des demandeurs.</w:t>
            </w:r>
          </w:p>
          <w:p w:rsidR="0019249C" w:rsidRPr="0019249C" w:rsidRDefault="0019249C" w:rsidP="0019249C">
            <w:pPr>
              <w:jc w:val="both"/>
              <w:rPr>
                <w:sz w:val="20"/>
                <w:lang w:val="fr-CA"/>
              </w:rPr>
            </w:pPr>
          </w:p>
        </w:tc>
      </w:tr>
      <w:tr w:rsidR="0019249C" w:rsidRPr="0019249C" w:rsidTr="00E95A6A">
        <w:tc>
          <w:tcPr>
            <w:tcW w:w="2427" w:type="pct"/>
            <w:gridSpan w:val="2"/>
          </w:tcPr>
          <w:p w:rsidR="0019249C" w:rsidRPr="0019249C" w:rsidRDefault="0019249C" w:rsidP="0019249C">
            <w:pPr>
              <w:jc w:val="both"/>
              <w:rPr>
                <w:sz w:val="20"/>
                <w:lang w:val="fr-CA"/>
              </w:rPr>
            </w:pPr>
            <w:r w:rsidRPr="0019249C">
              <w:rPr>
                <w:sz w:val="20"/>
                <w:lang w:val="fr-CA"/>
              </w:rPr>
              <w:t>1</w:t>
            </w:r>
            <w:r w:rsidRPr="0019249C">
              <w:rPr>
                <w:sz w:val="20"/>
                <w:vertAlign w:val="superscript"/>
                <w:lang w:val="fr-CA"/>
              </w:rPr>
              <w:t>er</w:t>
            </w:r>
            <w:r w:rsidRPr="0019249C">
              <w:rPr>
                <w:sz w:val="20"/>
                <w:lang w:val="fr-CA"/>
              </w:rPr>
              <w:t xml:space="preserve"> février 2016</w:t>
            </w:r>
          </w:p>
          <w:p w:rsidR="0019249C" w:rsidRPr="0019249C" w:rsidRDefault="0019249C" w:rsidP="0019249C">
            <w:pPr>
              <w:jc w:val="both"/>
              <w:rPr>
                <w:sz w:val="20"/>
                <w:lang w:val="fr-CA"/>
              </w:rPr>
            </w:pPr>
            <w:r w:rsidRPr="0019249C">
              <w:rPr>
                <w:sz w:val="20"/>
                <w:lang w:val="fr-CA"/>
              </w:rPr>
              <w:t>Cour suprême du Canada</w:t>
            </w:r>
          </w:p>
        </w:tc>
        <w:tc>
          <w:tcPr>
            <w:tcW w:w="243" w:type="pct"/>
          </w:tcPr>
          <w:p w:rsidR="0019249C" w:rsidRPr="0019249C" w:rsidRDefault="0019249C" w:rsidP="0019249C">
            <w:pPr>
              <w:jc w:val="both"/>
              <w:rPr>
                <w:sz w:val="20"/>
                <w:lang w:val="fr-CA"/>
              </w:rPr>
            </w:pPr>
          </w:p>
        </w:tc>
        <w:tc>
          <w:tcPr>
            <w:tcW w:w="2330" w:type="pct"/>
          </w:tcPr>
          <w:p w:rsidR="0019249C" w:rsidRPr="0019249C" w:rsidRDefault="0019249C" w:rsidP="0019249C">
            <w:pPr>
              <w:jc w:val="both"/>
              <w:rPr>
                <w:sz w:val="20"/>
                <w:lang w:val="fr-CA"/>
              </w:rPr>
            </w:pPr>
            <w:r w:rsidRPr="0019249C">
              <w:rPr>
                <w:sz w:val="20"/>
                <w:lang w:val="fr-CA"/>
              </w:rPr>
              <w:t>Dépôt de la demande d’autorisation d’appel</w:t>
            </w:r>
          </w:p>
          <w:p w:rsidR="0019249C" w:rsidRPr="0019249C" w:rsidRDefault="0019249C" w:rsidP="0019249C">
            <w:pPr>
              <w:jc w:val="both"/>
              <w:rPr>
                <w:sz w:val="20"/>
                <w:lang w:val="fr-CA"/>
              </w:rPr>
            </w:pPr>
          </w:p>
        </w:tc>
      </w:tr>
    </w:tbl>
    <w:p w:rsidR="0019249C" w:rsidRPr="0019249C" w:rsidRDefault="0019249C" w:rsidP="0019249C">
      <w:pPr>
        <w:jc w:val="both"/>
        <w:rPr>
          <w:sz w:val="20"/>
          <w:lang w:val="fr-CA"/>
        </w:rPr>
      </w:pPr>
    </w:p>
    <w:p w:rsidR="00EC7995" w:rsidRPr="00E3488B" w:rsidRDefault="00EC7995" w:rsidP="00E3488B">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3488B" w:rsidRPr="00E3488B" w:rsidTr="00E95A6A">
        <w:tc>
          <w:tcPr>
            <w:tcW w:w="543" w:type="pct"/>
          </w:tcPr>
          <w:p w:rsidR="00E3488B" w:rsidRPr="00E3488B" w:rsidRDefault="00E3488B" w:rsidP="00E3488B">
            <w:pPr>
              <w:jc w:val="both"/>
              <w:rPr>
                <w:sz w:val="20"/>
              </w:rPr>
            </w:pPr>
            <w:r w:rsidRPr="00E3488B">
              <w:rPr>
                <w:rStyle w:val="SCCFileNumberChar"/>
                <w:sz w:val="20"/>
                <w:szCs w:val="20"/>
              </w:rPr>
              <w:t>36847</w:t>
            </w:r>
          </w:p>
        </w:tc>
        <w:tc>
          <w:tcPr>
            <w:tcW w:w="4457" w:type="pct"/>
            <w:gridSpan w:val="3"/>
          </w:tcPr>
          <w:p w:rsidR="00E3488B" w:rsidRPr="00E3488B" w:rsidRDefault="00E3488B" w:rsidP="00E3488B">
            <w:pPr>
              <w:pStyle w:val="SCCLsocParty"/>
              <w:jc w:val="both"/>
              <w:rPr>
                <w:b/>
                <w:sz w:val="20"/>
                <w:szCs w:val="20"/>
              </w:rPr>
            </w:pPr>
            <w:r w:rsidRPr="00E3488B">
              <w:rPr>
                <w:b/>
                <w:sz w:val="20"/>
                <w:szCs w:val="20"/>
              </w:rPr>
              <w:t>Rosa Everett, Keith Merasty, Rosa Everett as litigation guardian of Precious Everett-Scott, Rosa Everett as litigation guardian of Lucas Scott and Rosa Everett as litigation guardian of Brandon Scott v. Keith McCaskill, City of Winnipeg</w:t>
            </w:r>
          </w:p>
          <w:p w:rsidR="00E3488B" w:rsidRPr="00E3488B" w:rsidRDefault="00E3488B" w:rsidP="00E3488B">
            <w:pPr>
              <w:jc w:val="both"/>
              <w:rPr>
                <w:sz w:val="20"/>
              </w:rPr>
            </w:pPr>
            <w:r w:rsidRPr="00E3488B">
              <w:rPr>
                <w:sz w:val="20"/>
              </w:rPr>
              <w:t>(Man.) (Civil) (By Leave)</w:t>
            </w:r>
          </w:p>
        </w:tc>
      </w:tr>
      <w:tr w:rsidR="00E3488B" w:rsidRPr="00E3488B" w:rsidTr="00E95A6A">
        <w:tc>
          <w:tcPr>
            <w:tcW w:w="5000" w:type="pct"/>
            <w:gridSpan w:val="4"/>
          </w:tcPr>
          <w:p w:rsidR="00E3488B" w:rsidRPr="00E3488B" w:rsidRDefault="00E3488B" w:rsidP="00E3488B">
            <w:pPr>
              <w:jc w:val="both"/>
              <w:rPr>
                <w:sz w:val="20"/>
              </w:rPr>
            </w:pPr>
            <w:r w:rsidRPr="00E3488B">
              <w:rPr>
                <w:sz w:val="20"/>
              </w:rPr>
              <w:t>Torts — Police — Searches — Warrantless searches — Detention — Warrantless detention — Trespass — Trespass to land — Trespass to person — Battery — Defences — Justification — Statutory justification — Whether the appellate court erred in law in justifying warrantless searches of the applicants’ dwelling on July 28, September 28, September 29, and September 30, 2010, on the basis of third party consent — Whether the appellate court erred in law in equating the police authority to respond to a 911 call coming from inside a dwelling with anonymous 911 calls of unknown origin — Whether the appellate court erred in law in upholding the imprisonment of Keith Merasty and Precious Everett-Scott on April 4, 2010, as valid investigative detention — Whether the appellate court erred in law by denying Precious Everett-Scott a remedy for the denial of her right to counsel on that detention — Whether the appellate court erred in law in finding the warrantless searches of the applicants’ residence on April 4, 2010, justified as the circumstances were not exigent and grounds to obtain a search warrant did not exist — Whether the appellate court erred in law in finding the searches of the applicants’ dwelling on July 17, 2010, justified by exigent circumstances — Whether the appellate court erred in law in failing to correctly count the number of warrantless incursions to the applicants’ dwelling on July 17, 2010 — Whether the appellate court erred in law in finding the warrantless detention of Brandon Scott in his dwelling on July 28, 2010, lawful — Whether the appellate court erred in law in finding police assaults on Precious Everett-Scott, Brandon Scott and Lucas Scott justified.</w:t>
            </w:r>
          </w:p>
        </w:tc>
      </w:tr>
      <w:tr w:rsidR="00E3488B" w:rsidRPr="00E3488B" w:rsidTr="00E95A6A">
        <w:tc>
          <w:tcPr>
            <w:tcW w:w="5000" w:type="pct"/>
            <w:gridSpan w:val="4"/>
          </w:tcPr>
          <w:p w:rsidR="00E3488B" w:rsidRPr="00E3488B" w:rsidRDefault="00E3488B" w:rsidP="00E3488B">
            <w:pPr>
              <w:jc w:val="both"/>
              <w:rPr>
                <w:sz w:val="20"/>
              </w:rPr>
            </w:pPr>
          </w:p>
        </w:tc>
      </w:tr>
      <w:tr w:rsidR="00E3488B" w:rsidRPr="00E3488B" w:rsidTr="00E95A6A">
        <w:tc>
          <w:tcPr>
            <w:tcW w:w="5000" w:type="pct"/>
            <w:gridSpan w:val="4"/>
          </w:tcPr>
          <w:p w:rsidR="00E3488B" w:rsidRPr="00E3488B" w:rsidRDefault="00E3488B" w:rsidP="00E3488B">
            <w:pPr>
              <w:jc w:val="both"/>
              <w:rPr>
                <w:sz w:val="20"/>
              </w:rPr>
            </w:pPr>
            <w:r w:rsidRPr="00E3488B">
              <w:rPr>
                <w:sz w:val="20"/>
              </w:rPr>
              <w:t xml:space="preserve">The applicants had six unrelated encounters with members of the Winnipeg Police Service between April 4, 2010, and September 30, 2010. Specifically, they complain that, on April 4, Precious Scott-Everett (12) and Keith were detained without reasonable grounds for administrative reasons, that no investigation of Keith or Precious occurred, and that the detention was not brief; that Precious was denied right to counsel; and that the search was not exigent and there weren’t grounds for warrant; on July 17, a search was not justified by exigent circumstances, and the Court of Appeal failed to correctly count the warrantless incursions into the home; on July 28, a warrantless search was based on third party consent, and detaining Brandon Scott “to calm matters down” was not lawful; and on September 28, 29 and 30, warrantless searches conducted were based on third party consent. The applicants filed a statement of claim alleging that the entries, searches and detentions were unlawful; false imprisonment, battery, trespass and violation of privacy under the </w:t>
            </w:r>
            <w:r w:rsidRPr="00E3488B">
              <w:rPr>
                <w:i/>
                <w:sz w:val="20"/>
              </w:rPr>
              <w:t>Privacy Act</w:t>
            </w:r>
            <w:r w:rsidRPr="00E3488B">
              <w:rPr>
                <w:sz w:val="20"/>
              </w:rPr>
              <w:t xml:space="preserve">, C.C.S.M. c. P125; and breach of their rights under ss. 8, 9 and 10(b) of the </w:t>
            </w:r>
            <w:r w:rsidRPr="00E3488B">
              <w:rPr>
                <w:i/>
                <w:sz w:val="20"/>
              </w:rPr>
              <w:t>Charter</w:t>
            </w:r>
            <w:r w:rsidRPr="00E3488B">
              <w:rPr>
                <w:sz w:val="20"/>
              </w:rPr>
              <w:t xml:space="preserve">. They sought general, aggravated and punitive damages, and damages under s. 24(1) of the </w:t>
            </w:r>
            <w:r w:rsidRPr="00E3488B">
              <w:rPr>
                <w:i/>
                <w:sz w:val="20"/>
              </w:rPr>
              <w:t>Charter</w:t>
            </w:r>
            <w:r w:rsidRPr="00E3488B">
              <w:rPr>
                <w:sz w:val="20"/>
              </w:rPr>
              <w:t>. The claim and the subsequent appeal were both dismissed.</w:t>
            </w:r>
          </w:p>
          <w:p w:rsidR="00E3488B" w:rsidRPr="00E3488B" w:rsidRDefault="00E3488B" w:rsidP="00E3488B">
            <w:pPr>
              <w:jc w:val="both"/>
              <w:rPr>
                <w:sz w:val="20"/>
              </w:rPr>
            </w:pPr>
          </w:p>
        </w:tc>
      </w:tr>
      <w:tr w:rsidR="00E3488B" w:rsidRPr="00E3488B" w:rsidTr="00E95A6A">
        <w:tc>
          <w:tcPr>
            <w:tcW w:w="2427" w:type="pct"/>
            <w:gridSpan w:val="2"/>
          </w:tcPr>
          <w:p w:rsidR="00E3488B" w:rsidRPr="00E3488B" w:rsidRDefault="00E3488B" w:rsidP="00E3488B">
            <w:pPr>
              <w:jc w:val="both"/>
              <w:rPr>
                <w:sz w:val="20"/>
              </w:rPr>
            </w:pPr>
            <w:r w:rsidRPr="00E3488B">
              <w:rPr>
                <w:sz w:val="20"/>
              </w:rPr>
              <w:t>September 16, 2014</w:t>
            </w:r>
          </w:p>
          <w:p w:rsidR="00E3488B" w:rsidRPr="00E3488B" w:rsidRDefault="00E3488B" w:rsidP="00E3488B">
            <w:pPr>
              <w:jc w:val="both"/>
              <w:rPr>
                <w:sz w:val="20"/>
              </w:rPr>
            </w:pPr>
            <w:r w:rsidRPr="00E3488B">
              <w:rPr>
                <w:sz w:val="20"/>
              </w:rPr>
              <w:t>Court of Queen’s Bench of Manitoba</w:t>
            </w:r>
          </w:p>
          <w:p w:rsidR="00E3488B" w:rsidRPr="00E3488B" w:rsidRDefault="00E3488B" w:rsidP="00E3488B">
            <w:pPr>
              <w:jc w:val="both"/>
              <w:rPr>
                <w:sz w:val="20"/>
              </w:rPr>
            </w:pPr>
            <w:r w:rsidRPr="00E3488B">
              <w:rPr>
                <w:sz w:val="20"/>
              </w:rPr>
              <w:t>(Spivak J.)</w:t>
            </w:r>
          </w:p>
          <w:p w:rsidR="00E3488B" w:rsidRPr="00E3488B" w:rsidRDefault="00E3488B" w:rsidP="00E3488B">
            <w:pPr>
              <w:jc w:val="both"/>
              <w:rPr>
                <w:sz w:val="20"/>
              </w:rPr>
            </w:pPr>
            <w:hyperlink r:id="rId27" w:history="1">
              <w:r w:rsidRPr="00E3488B">
                <w:rPr>
                  <w:rStyle w:val="Hyperlink"/>
                  <w:sz w:val="20"/>
                </w:rPr>
                <w:t>2014 MBQB 185</w:t>
              </w:r>
            </w:hyperlink>
          </w:p>
          <w:p w:rsidR="00E3488B" w:rsidRPr="00E3488B" w:rsidRDefault="00E3488B" w:rsidP="00E3488B">
            <w:pPr>
              <w:jc w:val="both"/>
              <w:rPr>
                <w:sz w:val="20"/>
              </w:rPr>
            </w:pPr>
          </w:p>
        </w:tc>
        <w:tc>
          <w:tcPr>
            <w:tcW w:w="243" w:type="pct"/>
          </w:tcPr>
          <w:p w:rsidR="00E3488B" w:rsidRPr="00E3488B" w:rsidRDefault="00E3488B" w:rsidP="00E3488B">
            <w:pPr>
              <w:jc w:val="both"/>
              <w:rPr>
                <w:sz w:val="20"/>
              </w:rPr>
            </w:pPr>
          </w:p>
        </w:tc>
        <w:tc>
          <w:tcPr>
            <w:tcW w:w="2330" w:type="pct"/>
          </w:tcPr>
          <w:p w:rsidR="00E3488B" w:rsidRPr="00E3488B" w:rsidRDefault="00E3488B" w:rsidP="00E3488B">
            <w:pPr>
              <w:jc w:val="both"/>
              <w:rPr>
                <w:sz w:val="20"/>
              </w:rPr>
            </w:pPr>
            <w:r w:rsidRPr="00E3488B">
              <w:rPr>
                <w:sz w:val="20"/>
              </w:rPr>
              <w:t>Action dismissed</w:t>
            </w:r>
          </w:p>
          <w:p w:rsidR="00E3488B" w:rsidRPr="00E3488B" w:rsidRDefault="00E3488B" w:rsidP="00E3488B">
            <w:pPr>
              <w:jc w:val="both"/>
              <w:rPr>
                <w:sz w:val="20"/>
              </w:rPr>
            </w:pPr>
          </w:p>
        </w:tc>
      </w:tr>
      <w:tr w:rsidR="00E3488B" w:rsidRPr="00E3488B" w:rsidTr="00E95A6A">
        <w:tc>
          <w:tcPr>
            <w:tcW w:w="2427" w:type="pct"/>
            <w:gridSpan w:val="2"/>
          </w:tcPr>
          <w:p w:rsidR="00E3488B" w:rsidRPr="00E3488B" w:rsidRDefault="00E3488B" w:rsidP="00E3488B">
            <w:pPr>
              <w:jc w:val="both"/>
              <w:rPr>
                <w:sz w:val="20"/>
              </w:rPr>
            </w:pPr>
            <w:r w:rsidRPr="00E3488B">
              <w:rPr>
                <w:sz w:val="20"/>
              </w:rPr>
              <w:lastRenderedPageBreak/>
              <w:t>November 30, 2015</w:t>
            </w:r>
          </w:p>
          <w:p w:rsidR="00E3488B" w:rsidRPr="00E3488B" w:rsidRDefault="00E3488B" w:rsidP="00E3488B">
            <w:pPr>
              <w:jc w:val="both"/>
              <w:rPr>
                <w:sz w:val="20"/>
              </w:rPr>
            </w:pPr>
            <w:r w:rsidRPr="00E3488B">
              <w:rPr>
                <w:sz w:val="20"/>
              </w:rPr>
              <w:t>Court of Appeal of Manitoba</w:t>
            </w:r>
          </w:p>
          <w:p w:rsidR="00E3488B" w:rsidRPr="00E3488B" w:rsidRDefault="00E3488B" w:rsidP="00E3488B">
            <w:pPr>
              <w:jc w:val="both"/>
              <w:rPr>
                <w:sz w:val="20"/>
                <w:lang w:val="fr-CA"/>
              </w:rPr>
            </w:pPr>
            <w:r w:rsidRPr="00E3488B">
              <w:rPr>
                <w:sz w:val="20"/>
                <w:lang w:val="fr-CA"/>
              </w:rPr>
              <w:t>(Monnin, Burnett, Mainella JJ.A.)</w:t>
            </w:r>
          </w:p>
          <w:p w:rsidR="00E3488B" w:rsidRPr="00E3488B" w:rsidRDefault="00E3488B" w:rsidP="00E3488B">
            <w:pPr>
              <w:jc w:val="both"/>
              <w:rPr>
                <w:sz w:val="20"/>
              </w:rPr>
            </w:pPr>
            <w:hyperlink r:id="rId28" w:history="1">
              <w:r w:rsidRPr="00E3488B">
                <w:rPr>
                  <w:rStyle w:val="Hyperlink"/>
                  <w:sz w:val="20"/>
                </w:rPr>
                <w:t>2015 MBCA 107</w:t>
              </w:r>
            </w:hyperlink>
          </w:p>
          <w:p w:rsidR="00E3488B" w:rsidRPr="00E3488B" w:rsidRDefault="00E3488B" w:rsidP="00E3488B">
            <w:pPr>
              <w:jc w:val="both"/>
              <w:rPr>
                <w:sz w:val="20"/>
              </w:rPr>
            </w:pPr>
          </w:p>
        </w:tc>
        <w:tc>
          <w:tcPr>
            <w:tcW w:w="243" w:type="pct"/>
          </w:tcPr>
          <w:p w:rsidR="00E3488B" w:rsidRPr="00E3488B" w:rsidRDefault="00E3488B" w:rsidP="00E3488B">
            <w:pPr>
              <w:jc w:val="both"/>
              <w:rPr>
                <w:sz w:val="20"/>
              </w:rPr>
            </w:pPr>
          </w:p>
        </w:tc>
        <w:tc>
          <w:tcPr>
            <w:tcW w:w="2330" w:type="pct"/>
          </w:tcPr>
          <w:p w:rsidR="00E3488B" w:rsidRPr="00E3488B" w:rsidRDefault="00E3488B" w:rsidP="00E3488B">
            <w:pPr>
              <w:jc w:val="both"/>
              <w:rPr>
                <w:sz w:val="20"/>
              </w:rPr>
            </w:pPr>
            <w:r w:rsidRPr="00E3488B">
              <w:rPr>
                <w:sz w:val="20"/>
              </w:rPr>
              <w:t>Appeal dismissed</w:t>
            </w:r>
          </w:p>
          <w:p w:rsidR="00E3488B" w:rsidRPr="00E3488B" w:rsidRDefault="00E3488B" w:rsidP="00E3488B">
            <w:pPr>
              <w:jc w:val="both"/>
              <w:rPr>
                <w:sz w:val="20"/>
              </w:rPr>
            </w:pPr>
          </w:p>
        </w:tc>
      </w:tr>
      <w:tr w:rsidR="00E3488B" w:rsidRPr="00E3488B" w:rsidTr="00E95A6A">
        <w:tc>
          <w:tcPr>
            <w:tcW w:w="2427" w:type="pct"/>
            <w:gridSpan w:val="2"/>
          </w:tcPr>
          <w:p w:rsidR="00E3488B" w:rsidRPr="00E3488B" w:rsidRDefault="00E3488B" w:rsidP="00E3488B">
            <w:pPr>
              <w:jc w:val="both"/>
              <w:rPr>
                <w:sz w:val="20"/>
              </w:rPr>
            </w:pPr>
            <w:r w:rsidRPr="00E3488B">
              <w:rPr>
                <w:sz w:val="20"/>
              </w:rPr>
              <w:t>February 9, 2016</w:t>
            </w:r>
          </w:p>
          <w:p w:rsidR="00E3488B" w:rsidRPr="00E3488B" w:rsidRDefault="00E3488B" w:rsidP="00E3488B">
            <w:pPr>
              <w:jc w:val="both"/>
              <w:rPr>
                <w:sz w:val="20"/>
              </w:rPr>
            </w:pPr>
            <w:r w:rsidRPr="00E3488B">
              <w:rPr>
                <w:sz w:val="20"/>
              </w:rPr>
              <w:t>Supreme Court of Canada</w:t>
            </w:r>
          </w:p>
        </w:tc>
        <w:tc>
          <w:tcPr>
            <w:tcW w:w="243" w:type="pct"/>
          </w:tcPr>
          <w:p w:rsidR="00E3488B" w:rsidRPr="00E3488B" w:rsidRDefault="00E3488B" w:rsidP="00E3488B">
            <w:pPr>
              <w:jc w:val="both"/>
              <w:rPr>
                <w:sz w:val="20"/>
              </w:rPr>
            </w:pPr>
          </w:p>
        </w:tc>
        <w:tc>
          <w:tcPr>
            <w:tcW w:w="2330" w:type="pct"/>
          </w:tcPr>
          <w:p w:rsidR="00E3488B" w:rsidRPr="00E3488B" w:rsidRDefault="00E3488B" w:rsidP="00E3488B">
            <w:pPr>
              <w:jc w:val="both"/>
              <w:rPr>
                <w:sz w:val="20"/>
              </w:rPr>
            </w:pPr>
            <w:r w:rsidRPr="00E3488B">
              <w:rPr>
                <w:sz w:val="20"/>
              </w:rPr>
              <w:t>Motion to extend time to file and serve application for leave and application for leave to appeal filed</w:t>
            </w:r>
          </w:p>
        </w:tc>
      </w:tr>
    </w:tbl>
    <w:p w:rsidR="00E3488B" w:rsidRDefault="00E3488B" w:rsidP="00E3488B">
      <w:pPr>
        <w:jc w:val="both"/>
        <w:rPr>
          <w:sz w:val="20"/>
        </w:rPr>
      </w:pPr>
    </w:p>
    <w:p w:rsidR="00E3488B" w:rsidRPr="00E3488B" w:rsidRDefault="00E3488B" w:rsidP="00E3488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3488B" w:rsidRPr="00E3488B" w:rsidTr="00E95A6A">
        <w:tc>
          <w:tcPr>
            <w:tcW w:w="543" w:type="pct"/>
          </w:tcPr>
          <w:p w:rsidR="00E3488B" w:rsidRPr="00E3488B" w:rsidRDefault="00E3488B" w:rsidP="00E3488B">
            <w:pPr>
              <w:jc w:val="both"/>
              <w:rPr>
                <w:sz w:val="20"/>
                <w:lang w:val="fr-CA"/>
              </w:rPr>
            </w:pPr>
            <w:r w:rsidRPr="00E3488B">
              <w:rPr>
                <w:rStyle w:val="SCCFileNumberChar"/>
                <w:sz w:val="20"/>
                <w:szCs w:val="20"/>
                <w:lang w:val="fr-CA"/>
              </w:rPr>
              <w:t>36847</w:t>
            </w:r>
          </w:p>
        </w:tc>
        <w:tc>
          <w:tcPr>
            <w:tcW w:w="4457" w:type="pct"/>
            <w:gridSpan w:val="3"/>
          </w:tcPr>
          <w:p w:rsidR="00E3488B" w:rsidRPr="00E3488B" w:rsidRDefault="00E3488B" w:rsidP="00E3488B">
            <w:pPr>
              <w:pStyle w:val="SCCLsocParty"/>
              <w:jc w:val="both"/>
              <w:rPr>
                <w:b/>
                <w:sz w:val="20"/>
                <w:szCs w:val="20"/>
              </w:rPr>
            </w:pPr>
            <w:r w:rsidRPr="00E3488B">
              <w:rPr>
                <w:b/>
                <w:sz w:val="20"/>
                <w:szCs w:val="20"/>
              </w:rPr>
              <w:t>Rosa Everett, Keith Merasty, Rosa Everett en sa qualité de tutrice à l’instance de Precious Everett-Scott, Rosa Everett en sa qualité de tutrice à l’instance de Lucas Scott et Rosa Everett en sa qualité de tutrice à l’instance de Brandon Scott c. Keith McCaskill, Ville de Winnipeg</w:t>
            </w:r>
          </w:p>
          <w:p w:rsidR="00E3488B" w:rsidRPr="00E3488B" w:rsidRDefault="00E3488B" w:rsidP="00E3488B">
            <w:pPr>
              <w:jc w:val="both"/>
              <w:rPr>
                <w:sz w:val="20"/>
                <w:lang w:val="fr-CA"/>
              </w:rPr>
            </w:pPr>
            <w:r w:rsidRPr="00E3488B">
              <w:rPr>
                <w:sz w:val="20"/>
                <w:lang w:val="fr-CA"/>
              </w:rPr>
              <w:t>(Man.) (Civile) (Sur autorisation)</w:t>
            </w:r>
          </w:p>
        </w:tc>
      </w:tr>
      <w:tr w:rsidR="00E3488B" w:rsidRPr="00E3488B" w:rsidTr="00E95A6A">
        <w:tc>
          <w:tcPr>
            <w:tcW w:w="5000" w:type="pct"/>
            <w:gridSpan w:val="4"/>
          </w:tcPr>
          <w:p w:rsidR="00E3488B" w:rsidRPr="00E3488B" w:rsidRDefault="00E3488B" w:rsidP="00E3488B">
            <w:pPr>
              <w:jc w:val="both"/>
              <w:rPr>
                <w:sz w:val="20"/>
                <w:lang w:val="fr-CA"/>
              </w:rPr>
            </w:pPr>
            <w:r w:rsidRPr="00E3488B">
              <w:rPr>
                <w:sz w:val="20"/>
                <w:lang w:val="fr-CA"/>
              </w:rPr>
              <w:t>Responsabilité délictuelle — Police — Perquisition — Perquisition sans mandat — Détention — Détention sans mandat — Atteinte directe — Intrusion — Atteinte directe de la personne — Batterie — Moyens de défense — Justification — Justification légale — La Cour d’appel a-t-elle commis une erreur de droit en justifiant des perquisitions sans mandat de l’habitation des demandeurs le 28 juillet, le 28 septembre, le 29 septembre et le 30 septembre 2010 sur le fondement du consentement d’un tiers? — La Cour d’appel a-t-elle commis une erreur de droit en assimilant le pouvoir de la police de répondre à un appel au service 911 venant de l’intérieur d’une habitation aux appels anonymes au service 911 d’origine inconnue? — La Cour d’appel a-t-elle commis une erreur de droit en confirmant la détention de Keith Merasty et de Precious Everett-Scott le 4 avril 2010 à titre de détention valide aux fins d’enquête? — La Cour d’appel a-t-elle commis une erreur de droit en refusant à Precious Everett-Scott une réparation pour le déni de son droit à l’assistance d’un avocat à l’occasion de cette détention? — La Cour d’appel a-t-elle commis une erreur de droit en concluant que les perquisitions sans mandat de la résidence des demandeurs le 4 avril 2010 étaient justifiées, vu qu’il ne s’agissait pas d’une situation urgente et que les motifs pour obtenir le mandat de perquisition n’existaient pas? — La Cour d’appel a-t-elle commis une erreur de droit en concluant que les perquisitions de l’habitation des demandeurs le 17 juillet 2010 étaient justifiées par une situation urgente? — La Cour d’appel a-t-elle commis une erreur de droit en omettant de compter correctement le nombre d’incursions sans mandat dans l’habitation des demandeurs le 17 juillet 2010? — La Cour d’appel a-t-elle commis une erreur de droit en concluant que la détention sans mandat de Brandon Scott dans son habitation le 28 juillet 2010 était légale? — La Cour d’appel a-t-elle commis une erreur de droit en concluant que les agressions policières perpétrées contre Precious Everett-Scott, Brandon Scott et Lucas Scott étaient justifiées?</w:t>
            </w:r>
          </w:p>
        </w:tc>
      </w:tr>
      <w:tr w:rsidR="00E3488B" w:rsidRPr="00E3488B" w:rsidTr="00E95A6A">
        <w:tc>
          <w:tcPr>
            <w:tcW w:w="5000" w:type="pct"/>
            <w:gridSpan w:val="4"/>
          </w:tcPr>
          <w:p w:rsidR="00E3488B" w:rsidRPr="00E3488B" w:rsidRDefault="00E3488B" w:rsidP="00E3488B">
            <w:pPr>
              <w:jc w:val="both"/>
              <w:rPr>
                <w:sz w:val="20"/>
                <w:lang w:val="fr-CA"/>
              </w:rPr>
            </w:pPr>
          </w:p>
        </w:tc>
      </w:tr>
      <w:tr w:rsidR="00E3488B" w:rsidRPr="00E3488B" w:rsidTr="00E95A6A">
        <w:tc>
          <w:tcPr>
            <w:tcW w:w="5000" w:type="pct"/>
            <w:gridSpan w:val="4"/>
          </w:tcPr>
          <w:p w:rsidR="00E3488B" w:rsidRPr="00E3488B" w:rsidRDefault="00E3488B" w:rsidP="00E3488B">
            <w:pPr>
              <w:jc w:val="both"/>
              <w:rPr>
                <w:sz w:val="20"/>
                <w:lang w:val="fr-CA"/>
              </w:rPr>
            </w:pPr>
            <w:r w:rsidRPr="00E3488B">
              <w:rPr>
                <w:sz w:val="20"/>
                <w:lang w:val="fr-CA"/>
              </w:rPr>
              <w:t>Les demandeurs ont eu six démêlées non liées avec des membres du service de police Winnipeg entre le 4 avril 2010 et le 30 septembre 2010. En particulier, ils se plaignent que, le 4 avril, Precious Scott-Everett (12 ans) et Keith McCaskill ont été détenus sans motif raisonnable pour des raisons administratives, que Keith ou Precious ne faisaient pas l’objet d’une enquête et que la détention n’était pas brève; que Precious s’est vu refuser le droit à l’assistance d’un avocat, que la perquisition n’avait pas été effectuée dans une situation urgente et qu’il n’y avait aucun motif pour obtenir un mandat; que le 17 juillet, une perquisition n’était pas justifiée par une situation urgente et que la cour d’appel a omis de compter correctement les incursions sans mandat dans l’habitation; que le 28 juillet, un mandat de perquisition sans mandat a été exécuté sur le fondement du consentement d’un tiers et que la détention de Brandon Scott [</w:t>
            </w:r>
            <w:r w:rsidRPr="00E3488B">
              <w:rPr>
                <w:smallCaps/>
                <w:sz w:val="20"/>
                <w:lang w:val="fr-CA"/>
              </w:rPr>
              <w:t>traduction</w:t>
            </w:r>
            <w:r w:rsidRPr="00E3488B">
              <w:rPr>
                <w:sz w:val="20"/>
                <w:lang w:val="fr-CA"/>
              </w:rPr>
              <w:t xml:space="preserve">] « pour calmer le jeu » n’était pas légale et que le 28, le 29 et le 30 septembre, des perquisitions sans mandat ont été effectuées sur le fondement du consentement d’un tiers. Les demandeurs ont déposé une déclaration alléguant que les entrées, les perquisitions et les détentions étaient illégales, qu’elles constituaient une séquestration, de la batterie, une atteinte directe, une atteinte à la vie privée au sens de la </w:t>
            </w:r>
            <w:r w:rsidRPr="00E3488B">
              <w:rPr>
                <w:i/>
                <w:sz w:val="20"/>
                <w:lang w:val="fr-CA"/>
              </w:rPr>
              <w:t>Loi sur la protection de la vie privée</w:t>
            </w:r>
            <w:r w:rsidRPr="00E3488B">
              <w:rPr>
                <w:sz w:val="20"/>
                <w:lang w:val="fr-CA"/>
              </w:rPr>
              <w:t xml:space="preserve">, C.P.L.M. ch. P125 et une atteinte aux droits que leur garantissent les art. 8, 9 et 10b) de la </w:t>
            </w:r>
            <w:r w:rsidRPr="00E3488B">
              <w:rPr>
                <w:i/>
                <w:sz w:val="20"/>
                <w:lang w:val="fr-CA"/>
              </w:rPr>
              <w:t>Charte</w:t>
            </w:r>
            <w:r w:rsidRPr="00E3488B">
              <w:rPr>
                <w:sz w:val="20"/>
                <w:lang w:val="fr-CA"/>
              </w:rPr>
              <w:t xml:space="preserve">. Ils ont demandé des dommages-intérêts généraux, majorés et punitifs, ainsi que des dommages-intérêts en application du par. 24(1) de la </w:t>
            </w:r>
            <w:r w:rsidRPr="00E3488B">
              <w:rPr>
                <w:i/>
                <w:sz w:val="20"/>
                <w:lang w:val="fr-CA"/>
              </w:rPr>
              <w:t>Charte</w:t>
            </w:r>
            <w:r w:rsidRPr="00E3488B">
              <w:rPr>
                <w:sz w:val="20"/>
                <w:lang w:val="fr-CA"/>
              </w:rPr>
              <w:t>. La demande et l’appel subséquent ont tous les deux été rejetés.</w:t>
            </w:r>
          </w:p>
          <w:p w:rsidR="00E3488B" w:rsidRPr="00E3488B" w:rsidRDefault="00E3488B" w:rsidP="00E3488B">
            <w:pPr>
              <w:jc w:val="both"/>
              <w:rPr>
                <w:sz w:val="20"/>
                <w:lang w:val="fr-CA"/>
              </w:rPr>
            </w:pPr>
          </w:p>
        </w:tc>
      </w:tr>
      <w:tr w:rsidR="00E3488B" w:rsidRPr="00E3488B" w:rsidTr="00E95A6A">
        <w:tc>
          <w:tcPr>
            <w:tcW w:w="2427" w:type="pct"/>
            <w:gridSpan w:val="2"/>
          </w:tcPr>
          <w:p w:rsidR="00E3488B" w:rsidRPr="00E3488B" w:rsidRDefault="00E3488B" w:rsidP="00E3488B">
            <w:pPr>
              <w:jc w:val="both"/>
              <w:rPr>
                <w:sz w:val="20"/>
                <w:lang w:val="fr-CA"/>
              </w:rPr>
            </w:pPr>
            <w:r w:rsidRPr="00E3488B">
              <w:rPr>
                <w:sz w:val="20"/>
                <w:lang w:val="fr-CA"/>
              </w:rPr>
              <w:t>16 septembre 2014</w:t>
            </w:r>
          </w:p>
          <w:p w:rsidR="00E3488B" w:rsidRPr="00E3488B" w:rsidRDefault="00E3488B" w:rsidP="00E3488B">
            <w:pPr>
              <w:jc w:val="both"/>
              <w:rPr>
                <w:sz w:val="20"/>
                <w:lang w:val="fr-CA"/>
              </w:rPr>
            </w:pPr>
            <w:r w:rsidRPr="00E3488B">
              <w:rPr>
                <w:sz w:val="20"/>
                <w:lang w:val="fr-CA"/>
              </w:rPr>
              <w:t xml:space="preserve">Cour du Banc de la Reine du Manitoba </w:t>
            </w:r>
          </w:p>
          <w:p w:rsidR="00E3488B" w:rsidRPr="00E3488B" w:rsidRDefault="00E3488B" w:rsidP="00E3488B">
            <w:pPr>
              <w:jc w:val="both"/>
              <w:rPr>
                <w:sz w:val="20"/>
                <w:lang w:val="fr-CA"/>
              </w:rPr>
            </w:pPr>
            <w:r w:rsidRPr="00E3488B">
              <w:rPr>
                <w:sz w:val="20"/>
                <w:lang w:val="fr-CA"/>
              </w:rPr>
              <w:t>(Juge Spivak)</w:t>
            </w:r>
          </w:p>
          <w:p w:rsidR="00E3488B" w:rsidRPr="00E3488B" w:rsidRDefault="00E3488B" w:rsidP="00E3488B">
            <w:pPr>
              <w:jc w:val="both"/>
              <w:rPr>
                <w:sz w:val="20"/>
                <w:lang w:val="fr-CA"/>
              </w:rPr>
            </w:pPr>
            <w:hyperlink r:id="rId29" w:history="1">
              <w:r w:rsidRPr="00E3488B">
                <w:rPr>
                  <w:rStyle w:val="Hyperlink"/>
                  <w:sz w:val="20"/>
                  <w:lang w:val="fr-CA"/>
                </w:rPr>
                <w:t>2014 MBQB 185</w:t>
              </w:r>
            </w:hyperlink>
          </w:p>
          <w:p w:rsidR="00E3488B" w:rsidRPr="00E3488B" w:rsidRDefault="00E3488B" w:rsidP="00E3488B">
            <w:pPr>
              <w:jc w:val="both"/>
              <w:rPr>
                <w:sz w:val="20"/>
                <w:lang w:val="fr-CA"/>
              </w:rPr>
            </w:pPr>
          </w:p>
        </w:tc>
        <w:tc>
          <w:tcPr>
            <w:tcW w:w="243" w:type="pct"/>
          </w:tcPr>
          <w:p w:rsidR="00E3488B" w:rsidRPr="00E3488B" w:rsidRDefault="00E3488B" w:rsidP="00E3488B">
            <w:pPr>
              <w:jc w:val="both"/>
              <w:rPr>
                <w:sz w:val="20"/>
                <w:lang w:val="fr-CA"/>
              </w:rPr>
            </w:pPr>
          </w:p>
        </w:tc>
        <w:tc>
          <w:tcPr>
            <w:tcW w:w="2330" w:type="pct"/>
          </w:tcPr>
          <w:p w:rsidR="00E3488B" w:rsidRPr="00E3488B" w:rsidRDefault="00E3488B" w:rsidP="00E3488B">
            <w:pPr>
              <w:jc w:val="both"/>
              <w:rPr>
                <w:sz w:val="20"/>
                <w:lang w:val="fr-CA"/>
              </w:rPr>
            </w:pPr>
            <w:r w:rsidRPr="00E3488B">
              <w:rPr>
                <w:sz w:val="20"/>
                <w:lang w:val="fr-CA"/>
              </w:rPr>
              <w:t>Rejet de l’action</w:t>
            </w:r>
          </w:p>
          <w:p w:rsidR="00E3488B" w:rsidRPr="00E3488B" w:rsidRDefault="00E3488B" w:rsidP="00E3488B">
            <w:pPr>
              <w:jc w:val="both"/>
              <w:rPr>
                <w:sz w:val="20"/>
                <w:lang w:val="fr-CA"/>
              </w:rPr>
            </w:pPr>
          </w:p>
        </w:tc>
      </w:tr>
      <w:tr w:rsidR="00E3488B" w:rsidRPr="00E3488B" w:rsidTr="00E95A6A">
        <w:tc>
          <w:tcPr>
            <w:tcW w:w="2427" w:type="pct"/>
            <w:gridSpan w:val="2"/>
          </w:tcPr>
          <w:p w:rsidR="00E3488B" w:rsidRPr="00E3488B" w:rsidRDefault="00E3488B" w:rsidP="00E3488B">
            <w:pPr>
              <w:jc w:val="both"/>
              <w:rPr>
                <w:sz w:val="20"/>
                <w:lang w:val="fr-CA"/>
              </w:rPr>
            </w:pPr>
            <w:r w:rsidRPr="00E3488B">
              <w:rPr>
                <w:sz w:val="20"/>
                <w:lang w:val="fr-CA"/>
              </w:rPr>
              <w:t>30 novembre 2015</w:t>
            </w:r>
          </w:p>
          <w:p w:rsidR="00E3488B" w:rsidRPr="00E3488B" w:rsidRDefault="00E3488B" w:rsidP="00E3488B">
            <w:pPr>
              <w:jc w:val="both"/>
              <w:rPr>
                <w:sz w:val="20"/>
                <w:lang w:val="fr-CA"/>
              </w:rPr>
            </w:pPr>
            <w:r w:rsidRPr="00E3488B">
              <w:rPr>
                <w:sz w:val="20"/>
                <w:lang w:val="fr-CA"/>
              </w:rPr>
              <w:t>Cour d’appel du Manitoba</w:t>
            </w:r>
          </w:p>
          <w:p w:rsidR="00E3488B" w:rsidRPr="00E3488B" w:rsidRDefault="00E3488B" w:rsidP="00E3488B">
            <w:pPr>
              <w:jc w:val="both"/>
              <w:rPr>
                <w:sz w:val="20"/>
                <w:lang w:val="fr-CA"/>
              </w:rPr>
            </w:pPr>
            <w:r w:rsidRPr="00E3488B">
              <w:rPr>
                <w:sz w:val="20"/>
                <w:lang w:val="fr-CA"/>
              </w:rPr>
              <w:t>(Juges Monnin, Burnett et Mainella)</w:t>
            </w:r>
          </w:p>
          <w:p w:rsidR="00E3488B" w:rsidRPr="00E3488B" w:rsidRDefault="00E3488B" w:rsidP="00E3488B">
            <w:pPr>
              <w:jc w:val="both"/>
              <w:rPr>
                <w:sz w:val="20"/>
                <w:lang w:val="fr-CA"/>
              </w:rPr>
            </w:pPr>
            <w:hyperlink r:id="rId30" w:history="1">
              <w:r w:rsidRPr="00E3488B">
                <w:rPr>
                  <w:rStyle w:val="Hyperlink"/>
                  <w:sz w:val="20"/>
                  <w:lang w:val="fr-CA"/>
                </w:rPr>
                <w:t>2015 MBCA 107</w:t>
              </w:r>
            </w:hyperlink>
          </w:p>
          <w:p w:rsidR="00E3488B" w:rsidRPr="00E3488B" w:rsidRDefault="00E3488B" w:rsidP="00E3488B">
            <w:pPr>
              <w:jc w:val="both"/>
              <w:rPr>
                <w:sz w:val="20"/>
                <w:lang w:val="fr-CA"/>
              </w:rPr>
            </w:pPr>
          </w:p>
        </w:tc>
        <w:tc>
          <w:tcPr>
            <w:tcW w:w="243" w:type="pct"/>
          </w:tcPr>
          <w:p w:rsidR="00E3488B" w:rsidRPr="00E3488B" w:rsidRDefault="00E3488B" w:rsidP="00E3488B">
            <w:pPr>
              <w:jc w:val="both"/>
              <w:rPr>
                <w:sz w:val="20"/>
                <w:lang w:val="fr-CA"/>
              </w:rPr>
            </w:pPr>
          </w:p>
        </w:tc>
        <w:tc>
          <w:tcPr>
            <w:tcW w:w="2330" w:type="pct"/>
          </w:tcPr>
          <w:p w:rsidR="00E3488B" w:rsidRPr="00E3488B" w:rsidRDefault="00E3488B" w:rsidP="00E3488B">
            <w:pPr>
              <w:jc w:val="both"/>
              <w:rPr>
                <w:sz w:val="20"/>
                <w:lang w:val="fr-CA"/>
              </w:rPr>
            </w:pPr>
            <w:r w:rsidRPr="00E3488B">
              <w:rPr>
                <w:sz w:val="20"/>
                <w:lang w:val="fr-CA"/>
              </w:rPr>
              <w:t>Rejet de l’appel</w:t>
            </w:r>
          </w:p>
          <w:p w:rsidR="00E3488B" w:rsidRPr="00E3488B" w:rsidRDefault="00E3488B" w:rsidP="00E3488B">
            <w:pPr>
              <w:jc w:val="both"/>
              <w:rPr>
                <w:sz w:val="20"/>
                <w:lang w:val="fr-CA"/>
              </w:rPr>
            </w:pPr>
          </w:p>
        </w:tc>
      </w:tr>
      <w:tr w:rsidR="00E3488B" w:rsidRPr="00E3488B" w:rsidTr="00E95A6A">
        <w:tc>
          <w:tcPr>
            <w:tcW w:w="2427" w:type="pct"/>
            <w:gridSpan w:val="2"/>
          </w:tcPr>
          <w:p w:rsidR="00E3488B" w:rsidRPr="00E3488B" w:rsidRDefault="00E3488B" w:rsidP="00E3488B">
            <w:pPr>
              <w:jc w:val="both"/>
              <w:rPr>
                <w:sz w:val="20"/>
                <w:lang w:val="fr-CA"/>
              </w:rPr>
            </w:pPr>
            <w:r w:rsidRPr="00E3488B">
              <w:rPr>
                <w:sz w:val="20"/>
                <w:lang w:val="fr-CA"/>
              </w:rPr>
              <w:t>9 février 2016</w:t>
            </w:r>
          </w:p>
          <w:p w:rsidR="00E3488B" w:rsidRPr="00E3488B" w:rsidRDefault="00E3488B" w:rsidP="00E3488B">
            <w:pPr>
              <w:jc w:val="both"/>
              <w:rPr>
                <w:sz w:val="20"/>
                <w:lang w:val="fr-CA"/>
              </w:rPr>
            </w:pPr>
            <w:r w:rsidRPr="00E3488B">
              <w:rPr>
                <w:sz w:val="20"/>
                <w:lang w:val="fr-CA"/>
              </w:rPr>
              <w:t>Cour suprême du Canada</w:t>
            </w:r>
          </w:p>
        </w:tc>
        <w:tc>
          <w:tcPr>
            <w:tcW w:w="243" w:type="pct"/>
          </w:tcPr>
          <w:p w:rsidR="00E3488B" w:rsidRPr="00E3488B" w:rsidRDefault="00E3488B" w:rsidP="00E3488B">
            <w:pPr>
              <w:jc w:val="both"/>
              <w:rPr>
                <w:sz w:val="20"/>
                <w:lang w:val="fr-CA"/>
              </w:rPr>
            </w:pPr>
          </w:p>
        </w:tc>
        <w:tc>
          <w:tcPr>
            <w:tcW w:w="2330" w:type="pct"/>
          </w:tcPr>
          <w:p w:rsidR="00E3488B" w:rsidRPr="00E3488B" w:rsidRDefault="00E3488B" w:rsidP="00E3488B">
            <w:pPr>
              <w:jc w:val="both"/>
              <w:rPr>
                <w:sz w:val="20"/>
                <w:lang w:val="fr-CA"/>
              </w:rPr>
            </w:pPr>
            <w:r w:rsidRPr="00E3488B">
              <w:rPr>
                <w:sz w:val="20"/>
                <w:lang w:val="fr-CA"/>
              </w:rPr>
              <w:t>Dépôt de la requête en prorogation du délai de dépôt et de signification de la demande d’autorisation d’appel et de la demande d’autorisation d’appel</w:t>
            </w:r>
          </w:p>
        </w:tc>
      </w:tr>
    </w:tbl>
    <w:p w:rsidR="00E3488B" w:rsidRPr="00C11FAD" w:rsidRDefault="00E3488B" w:rsidP="00C11FAD">
      <w:pPr>
        <w:jc w:val="both"/>
        <w:rPr>
          <w:sz w:val="20"/>
          <w:lang w:val="fr-CA"/>
        </w:rPr>
      </w:pPr>
    </w:p>
    <w:p w:rsidR="00EC7995" w:rsidRPr="00C11FAD" w:rsidRDefault="00EC7995" w:rsidP="00C11FAD">
      <w:pPr>
        <w:widowControl w:val="0"/>
        <w:autoSpaceDE w:val="0"/>
        <w:autoSpaceDN w:val="0"/>
        <w:adjustRightInd w:val="0"/>
        <w:ind w:left="360" w:hanging="360"/>
        <w:jc w:val="both"/>
        <w:rPr>
          <w:rFonts w:eastAsiaTheme="minorEastAsia"/>
          <w:sz w:val="20"/>
          <w:lang w:val="en-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429"/>
      </w:tblGrid>
      <w:tr w:rsidR="00C11FAD" w:rsidRPr="00C11FAD" w:rsidTr="0034387E">
        <w:tc>
          <w:tcPr>
            <w:tcW w:w="538" w:type="pct"/>
          </w:tcPr>
          <w:p w:rsidR="00C11FAD" w:rsidRPr="00C11FAD" w:rsidRDefault="00C11FAD" w:rsidP="00C11FAD">
            <w:pPr>
              <w:jc w:val="both"/>
              <w:rPr>
                <w:sz w:val="20"/>
              </w:rPr>
            </w:pPr>
            <w:r w:rsidRPr="00C11FAD">
              <w:rPr>
                <w:rStyle w:val="SCCFileNumberChar"/>
                <w:sz w:val="20"/>
                <w:szCs w:val="20"/>
              </w:rPr>
              <w:t>36871</w:t>
            </w:r>
          </w:p>
        </w:tc>
        <w:tc>
          <w:tcPr>
            <w:tcW w:w="4462" w:type="pct"/>
            <w:gridSpan w:val="3"/>
          </w:tcPr>
          <w:p w:rsidR="00C11FAD" w:rsidRPr="00C11FAD" w:rsidRDefault="00C11FAD" w:rsidP="00C11FAD">
            <w:pPr>
              <w:pStyle w:val="SCCLsocParty"/>
              <w:jc w:val="both"/>
              <w:rPr>
                <w:b/>
                <w:sz w:val="20"/>
                <w:szCs w:val="20"/>
              </w:rPr>
            </w:pPr>
            <w:r w:rsidRPr="00C11FAD">
              <w:rPr>
                <w:b/>
                <w:sz w:val="20"/>
                <w:szCs w:val="20"/>
              </w:rPr>
              <w:t>Nadejda Aletkina v. Hospital for Sick Children</w:t>
            </w:r>
          </w:p>
          <w:p w:rsidR="00C11FAD" w:rsidRPr="00C11FAD" w:rsidRDefault="00C11FAD" w:rsidP="00C11FAD">
            <w:pPr>
              <w:jc w:val="both"/>
              <w:rPr>
                <w:sz w:val="20"/>
              </w:rPr>
            </w:pPr>
            <w:r w:rsidRPr="00C11FAD">
              <w:rPr>
                <w:sz w:val="20"/>
              </w:rPr>
              <w:t>(Ont.) (Civil) (By Leave)</w:t>
            </w:r>
          </w:p>
        </w:tc>
      </w:tr>
      <w:tr w:rsidR="00C11FAD" w:rsidRPr="00C11FAD" w:rsidTr="0034387E">
        <w:tc>
          <w:tcPr>
            <w:tcW w:w="5000" w:type="pct"/>
            <w:gridSpan w:val="4"/>
          </w:tcPr>
          <w:p w:rsidR="00C11FAD" w:rsidRPr="00C11FAD" w:rsidRDefault="00C11FAD" w:rsidP="00C11FAD">
            <w:pPr>
              <w:jc w:val="both"/>
              <w:rPr>
                <w:sz w:val="20"/>
              </w:rPr>
            </w:pPr>
            <w:r w:rsidRPr="00C11FAD">
              <w:rPr>
                <w:i/>
                <w:sz w:val="20"/>
              </w:rPr>
              <w:t>Canadian Charter of Rights and Freedom</w:t>
            </w:r>
            <w:r w:rsidRPr="00C11FAD">
              <w:rPr>
                <w:sz w:val="20"/>
              </w:rPr>
              <w:t xml:space="preserve"> – Civil procedure – Time – Stay of a decision to dismiss wrongful dismissal’s action for time – Was the dismissal of the applicant’s action a breach of her </w:t>
            </w:r>
            <w:r w:rsidRPr="00C11FAD">
              <w:rPr>
                <w:i/>
                <w:sz w:val="20"/>
              </w:rPr>
              <w:t>Charter</w:t>
            </w:r>
            <w:r w:rsidRPr="00C11FAD">
              <w:rPr>
                <w:sz w:val="20"/>
              </w:rPr>
              <w:t xml:space="preserve"> rights? – Did a breach of fundamental justice occur before the lower courts?</w:t>
            </w:r>
          </w:p>
        </w:tc>
      </w:tr>
      <w:tr w:rsidR="00C11FAD" w:rsidRPr="00C11FAD" w:rsidTr="0034387E">
        <w:tc>
          <w:tcPr>
            <w:tcW w:w="5000" w:type="pct"/>
            <w:gridSpan w:val="4"/>
          </w:tcPr>
          <w:p w:rsidR="00C11FAD" w:rsidRPr="00C11FAD" w:rsidRDefault="00C11FAD" w:rsidP="00C11FAD">
            <w:pPr>
              <w:jc w:val="both"/>
              <w:rPr>
                <w:sz w:val="20"/>
              </w:rPr>
            </w:pPr>
          </w:p>
        </w:tc>
      </w:tr>
      <w:tr w:rsidR="00C11FAD" w:rsidRPr="00C11FAD" w:rsidTr="0034387E">
        <w:tc>
          <w:tcPr>
            <w:tcW w:w="5000" w:type="pct"/>
            <w:gridSpan w:val="4"/>
          </w:tcPr>
          <w:p w:rsidR="00C11FAD" w:rsidRPr="00C11FAD" w:rsidRDefault="00C11FAD" w:rsidP="00C11FAD">
            <w:pPr>
              <w:jc w:val="both"/>
              <w:rPr>
                <w:sz w:val="20"/>
              </w:rPr>
            </w:pPr>
            <w:r w:rsidRPr="00C11FAD">
              <w:rPr>
                <w:sz w:val="20"/>
              </w:rPr>
              <w:t>The applicant, Ms. Aletkina, was employed at the Hospital for Sick Children, the respondent, from 2002 to 2003. In 2009, the applicant began an action against the respondent for wrongful dismissal. An interlocutory motion and its appeal were dismissed by the lower courts and the applicant requested a stay of the decision and for an order that she undergo capacity assessment.</w:t>
            </w:r>
          </w:p>
          <w:p w:rsidR="00C11FAD" w:rsidRPr="00C11FAD" w:rsidRDefault="00C11FAD" w:rsidP="00C11FAD">
            <w:pPr>
              <w:jc w:val="both"/>
              <w:rPr>
                <w:sz w:val="20"/>
              </w:rPr>
            </w:pPr>
          </w:p>
        </w:tc>
      </w:tr>
      <w:tr w:rsidR="00C11FAD" w:rsidRPr="00C11FAD" w:rsidTr="00AC3316">
        <w:tblPrEx>
          <w:tblCellMar>
            <w:bottom w:w="0" w:type="dxa"/>
          </w:tblCellMar>
        </w:tblPrEx>
        <w:tc>
          <w:tcPr>
            <w:tcW w:w="2367" w:type="pct"/>
            <w:gridSpan w:val="2"/>
          </w:tcPr>
          <w:p w:rsidR="00C11FAD" w:rsidRPr="00C11FAD" w:rsidRDefault="00C11FAD" w:rsidP="00C11FAD">
            <w:pPr>
              <w:jc w:val="both"/>
              <w:rPr>
                <w:sz w:val="20"/>
              </w:rPr>
            </w:pPr>
            <w:r w:rsidRPr="00C11FAD">
              <w:rPr>
                <w:sz w:val="20"/>
              </w:rPr>
              <w:t>July 31, 2015</w:t>
            </w:r>
          </w:p>
          <w:p w:rsidR="00C11FAD" w:rsidRPr="00C11FAD" w:rsidRDefault="00C11FAD" w:rsidP="00C11FAD">
            <w:pPr>
              <w:jc w:val="both"/>
              <w:rPr>
                <w:sz w:val="20"/>
              </w:rPr>
            </w:pPr>
            <w:r w:rsidRPr="00C11FAD">
              <w:rPr>
                <w:sz w:val="20"/>
              </w:rPr>
              <w:t>Court of Appeal for Ontario</w:t>
            </w:r>
          </w:p>
          <w:p w:rsidR="00C11FAD" w:rsidRPr="00C11FAD" w:rsidRDefault="00C11FAD" w:rsidP="00C11FAD">
            <w:pPr>
              <w:jc w:val="both"/>
              <w:rPr>
                <w:sz w:val="20"/>
              </w:rPr>
            </w:pPr>
            <w:r w:rsidRPr="00C11FAD">
              <w:rPr>
                <w:sz w:val="20"/>
              </w:rPr>
              <w:t>(Roberts J.)</w:t>
            </w:r>
          </w:p>
          <w:p w:rsidR="00C11FAD" w:rsidRPr="00C11FAD" w:rsidRDefault="00C11FAD" w:rsidP="00C11FAD">
            <w:pPr>
              <w:jc w:val="both"/>
              <w:rPr>
                <w:sz w:val="20"/>
              </w:rPr>
            </w:pPr>
            <w:r w:rsidRPr="00C11FAD">
              <w:rPr>
                <w:sz w:val="20"/>
              </w:rPr>
              <w:t>M45324  (unreported)</w:t>
            </w:r>
          </w:p>
          <w:p w:rsidR="00C11FAD" w:rsidRPr="00C11FAD" w:rsidRDefault="00C11FAD" w:rsidP="00C11FAD">
            <w:pPr>
              <w:jc w:val="both"/>
              <w:rPr>
                <w:sz w:val="20"/>
              </w:rPr>
            </w:pPr>
          </w:p>
        </w:tc>
        <w:tc>
          <w:tcPr>
            <w:tcW w:w="267" w:type="pct"/>
          </w:tcPr>
          <w:p w:rsidR="00C11FAD" w:rsidRPr="00C11FAD" w:rsidRDefault="00C11FAD" w:rsidP="00C11FAD">
            <w:pPr>
              <w:jc w:val="both"/>
              <w:rPr>
                <w:sz w:val="20"/>
              </w:rPr>
            </w:pPr>
          </w:p>
        </w:tc>
        <w:tc>
          <w:tcPr>
            <w:tcW w:w="2366" w:type="pct"/>
          </w:tcPr>
          <w:p w:rsidR="00C11FAD" w:rsidRPr="00C11FAD" w:rsidRDefault="00C11FAD" w:rsidP="00C11FAD">
            <w:pPr>
              <w:jc w:val="both"/>
              <w:rPr>
                <w:sz w:val="20"/>
              </w:rPr>
            </w:pPr>
            <w:r w:rsidRPr="00C11FAD">
              <w:rPr>
                <w:sz w:val="20"/>
              </w:rPr>
              <w:t>Motion for a capacity assessment dismissed;</w:t>
            </w:r>
          </w:p>
          <w:p w:rsidR="00C11FAD" w:rsidRPr="00C11FAD" w:rsidRDefault="00C11FAD" w:rsidP="00C11FAD">
            <w:pPr>
              <w:jc w:val="both"/>
              <w:rPr>
                <w:sz w:val="20"/>
              </w:rPr>
            </w:pPr>
            <w:r w:rsidRPr="00C11FAD">
              <w:rPr>
                <w:sz w:val="20"/>
              </w:rPr>
              <w:t>Motion to order a stay of decision dismissed</w:t>
            </w:r>
          </w:p>
          <w:p w:rsidR="00C11FAD" w:rsidRPr="00C11FAD" w:rsidRDefault="00C11FAD" w:rsidP="00C11FAD">
            <w:pPr>
              <w:jc w:val="both"/>
              <w:rPr>
                <w:sz w:val="20"/>
              </w:rPr>
            </w:pPr>
          </w:p>
        </w:tc>
      </w:tr>
      <w:tr w:rsidR="00C11FAD" w:rsidRPr="00C11FAD" w:rsidTr="00AC3316">
        <w:tblPrEx>
          <w:tblCellMar>
            <w:bottom w:w="0" w:type="dxa"/>
          </w:tblCellMar>
        </w:tblPrEx>
        <w:tc>
          <w:tcPr>
            <w:tcW w:w="2367" w:type="pct"/>
            <w:gridSpan w:val="2"/>
          </w:tcPr>
          <w:p w:rsidR="00C11FAD" w:rsidRPr="00C11FAD" w:rsidRDefault="00C11FAD" w:rsidP="00C11FAD">
            <w:pPr>
              <w:jc w:val="both"/>
              <w:rPr>
                <w:sz w:val="20"/>
              </w:rPr>
            </w:pPr>
            <w:r w:rsidRPr="00C11FAD">
              <w:rPr>
                <w:sz w:val="20"/>
              </w:rPr>
              <w:t>November 3, 2015</w:t>
            </w:r>
          </w:p>
          <w:p w:rsidR="00C11FAD" w:rsidRPr="00C11FAD" w:rsidRDefault="00C11FAD" w:rsidP="00C11FAD">
            <w:pPr>
              <w:jc w:val="both"/>
              <w:rPr>
                <w:sz w:val="20"/>
              </w:rPr>
            </w:pPr>
            <w:r w:rsidRPr="00C11FAD">
              <w:rPr>
                <w:sz w:val="20"/>
              </w:rPr>
              <w:t>Court of Appeal for Ontario</w:t>
            </w:r>
          </w:p>
          <w:p w:rsidR="00C11FAD" w:rsidRPr="00C11FAD" w:rsidRDefault="00C11FAD" w:rsidP="00C11FAD">
            <w:pPr>
              <w:jc w:val="both"/>
              <w:rPr>
                <w:sz w:val="20"/>
              </w:rPr>
            </w:pPr>
            <w:r w:rsidRPr="00C11FAD">
              <w:rPr>
                <w:sz w:val="20"/>
              </w:rPr>
              <w:t>(Hoy, MacFarland and Lauwers JJ.A.)</w:t>
            </w:r>
          </w:p>
          <w:p w:rsidR="00C11FAD" w:rsidRPr="00C11FAD" w:rsidRDefault="00C11FAD" w:rsidP="00C11FAD">
            <w:pPr>
              <w:jc w:val="both"/>
              <w:rPr>
                <w:sz w:val="20"/>
              </w:rPr>
            </w:pPr>
            <w:hyperlink r:id="rId31" w:history="1">
              <w:r w:rsidRPr="00C11FAD">
                <w:rPr>
                  <w:rStyle w:val="Hyperlink"/>
                  <w:sz w:val="20"/>
                </w:rPr>
                <w:t>2015 ONCA 804</w:t>
              </w:r>
            </w:hyperlink>
            <w:r w:rsidRPr="00C11FAD">
              <w:rPr>
                <w:sz w:val="20"/>
              </w:rPr>
              <w:t xml:space="preserve"> </w:t>
            </w:r>
          </w:p>
          <w:p w:rsidR="00C11FAD" w:rsidRPr="00C11FAD" w:rsidRDefault="00C11FAD" w:rsidP="00C11FAD">
            <w:pPr>
              <w:jc w:val="both"/>
              <w:rPr>
                <w:sz w:val="20"/>
              </w:rPr>
            </w:pPr>
          </w:p>
        </w:tc>
        <w:tc>
          <w:tcPr>
            <w:tcW w:w="267" w:type="pct"/>
          </w:tcPr>
          <w:p w:rsidR="00C11FAD" w:rsidRPr="00C11FAD" w:rsidRDefault="00C11FAD" w:rsidP="00C11FAD">
            <w:pPr>
              <w:jc w:val="both"/>
              <w:rPr>
                <w:sz w:val="20"/>
              </w:rPr>
            </w:pPr>
          </w:p>
        </w:tc>
        <w:tc>
          <w:tcPr>
            <w:tcW w:w="2366" w:type="pct"/>
          </w:tcPr>
          <w:p w:rsidR="00C11FAD" w:rsidRPr="00C11FAD" w:rsidRDefault="00C11FAD" w:rsidP="00C11FAD">
            <w:pPr>
              <w:jc w:val="both"/>
              <w:rPr>
                <w:sz w:val="20"/>
              </w:rPr>
            </w:pPr>
            <w:r w:rsidRPr="00C11FAD">
              <w:rPr>
                <w:sz w:val="20"/>
              </w:rPr>
              <w:t>Motion to adduce fresh evidence dismissed;</w:t>
            </w:r>
          </w:p>
          <w:p w:rsidR="00C11FAD" w:rsidRPr="00C11FAD" w:rsidRDefault="00C11FAD" w:rsidP="00C11FAD">
            <w:pPr>
              <w:jc w:val="both"/>
              <w:rPr>
                <w:sz w:val="20"/>
              </w:rPr>
            </w:pPr>
            <w:r w:rsidRPr="00C11FAD">
              <w:rPr>
                <w:sz w:val="20"/>
              </w:rPr>
              <w:t>Motion to review dismissed</w:t>
            </w:r>
          </w:p>
          <w:p w:rsidR="00C11FAD" w:rsidRPr="00C11FAD" w:rsidRDefault="00C11FAD" w:rsidP="00C11FAD">
            <w:pPr>
              <w:jc w:val="both"/>
              <w:rPr>
                <w:sz w:val="20"/>
              </w:rPr>
            </w:pPr>
          </w:p>
        </w:tc>
      </w:tr>
      <w:tr w:rsidR="00C11FAD" w:rsidRPr="00C11FAD" w:rsidTr="00AC3316">
        <w:tblPrEx>
          <w:tblCellMar>
            <w:bottom w:w="0" w:type="dxa"/>
          </w:tblCellMar>
        </w:tblPrEx>
        <w:tc>
          <w:tcPr>
            <w:tcW w:w="2367" w:type="pct"/>
            <w:gridSpan w:val="2"/>
          </w:tcPr>
          <w:p w:rsidR="00C11FAD" w:rsidRPr="00C11FAD" w:rsidRDefault="00C11FAD" w:rsidP="00C11FAD">
            <w:pPr>
              <w:jc w:val="both"/>
              <w:rPr>
                <w:sz w:val="20"/>
              </w:rPr>
            </w:pPr>
            <w:r w:rsidRPr="00C11FAD">
              <w:rPr>
                <w:sz w:val="20"/>
              </w:rPr>
              <w:t>February 25, 2016</w:t>
            </w:r>
          </w:p>
          <w:p w:rsidR="00C11FAD" w:rsidRPr="00C11FAD" w:rsidRDefault="00C11FAD" w:rsidP="00C11FAD">
            <w:pPr>
              <w:jc w:val="both"/>
              <w:rPr>
                <w:sz w:val="20"/>
              </w:rPr>
            </w:pPr>
            <w:r w:rsidRPr="00C11FAD">
              <w:rPr>
                <w:sz w:val="20"/>
              </w:rPr>
              <w:t>Supreme Court of Canada</w:t>
            </w:r>
          </w:p>
          <w:p w:rsidR="00C11FAD" w:rsidRPr="00C11FAD" w:rsidRDefault="00C11FAD" w:rsidP="00C11FAD">
            <w:pPr>
              <w:jc w:val="both"/>
              <w:rPr>
                <w:sz w:val="20"/>
              </w:rPr>
            </w:pPr>
          </w:p>
        </w:tc>
        <w:tc>
          <w:tcPr>
            <w:tcW w:w="267" w:type="pct"/>
          </w:tcPr>
          <w:p w:rsidR="00C11FAD" w:rsidRPr="00C11FAD" w:rsidRDefault="00C11FAD" w:rsidP="00C11FAD">
            <w:pPr>
              <w:jc w:val="both"/>
              <w:rPr>
                <w:sz w:val="20"/>
              </w:rPr>
            </w:pPr>
          </w:p>
        </w:tc>
        <w:tc>
          <w:tcPr>
            <w:tcW w:w="2366" w:type="pct"/>
          </w:tcPr>
          <w:p w:rsidR="00C11FAD" w:rsidRPr="00C11FAD" w:rsidRDefault="00C11FAD" w:rsidP="00C11FAD">
            <w:pPr>
              <w:jc w:val="both"/>
              <w:rPr>
                <w:sz w:val="20"/>
              </w:rPr>
            </w:pPr>
            <w:r w:rsidRPr="00C11FAD">
              <w:rPr>
                <w:sz w:val="20"/>
              </w:rPr>
              <w:t>Application for leave to appeal filed</w:t>
            </w:r>
          </w:p>
          <w:p w:rsidR="00C11FAD" w:rsidRPr="00C11FAD" w:rsidRDefault="00C11FAD" w:rsidP="00C11FAD">
            <w:pPr>
              <w:jc w:val="both"/>
              <w:rPr>
                <w:sz w:val="20"/>
              </w:rPr>
            </w:pPr>
          </w:p>
        </w:tc>
      </w:tr>
      <w:tr w:rsidR="00C11FAD" w:rsidRPr="00C11FAD" w:rsidTr="00AC3316">
        <w:tblPrEx>
          <w:tblCellMar>
            <w:bottom w:w="0" w:type="dxa"/>
          </w:tblCellMar>
        </w:tblPrEx>
        <w:tc>
          <w:tcPr>
            <w:tcW w:w="2367" w:type="pct"/>
            <w:gridSpan w:val="2"/>
          </w:tcPr>
          <w:p w:rsidR="00C11FAD" w:rsidRPr="00C11FAD" w:rsidRDefault="00C11FAD" w:rsidP="00C11FAD">
            <w:pPr>
              <w:jc w:val="both"/>
              <w:rPr>
                <w:sz w:val="20"/>
              </w:rPr>
            </w:pPr>
            <w:r w:rsidRPr="00C11FAD">
              <w:rPr>
                <w:sz w:val="20"/>
              </w:rPr>
              <w:t>February 29, 2016</w:t>
            </w:r>
          </w:p>
          <w:p w:rsidR="00C11FAD" w:rsidRPr="00C11FAD" w:rsidRDefault="00C11FAD" w:rsidP="00C11FAD">
            <w:pPr>
              <w:jc w:val="both"/>
              <w:rPr>
                <w:sz w:val="20"/>
              </w:rPr>
            </w:pPr>
            <w:r w:rsidRPr="00C11FAD">
              <w:rPr>
                <w:sz w:val="20"/>
              </w:rPr>
              <w:t>Supreme Court of Canada</w:t>
            </w:r>
          </w:p>
        </w:tc>
        <w:tc>
          <w:tcPr>
            <w:tcW w:w="267" w:type="pct"/>
          </w:tcPr>
          <w:p w:rsidR="00C11FAD" w:rsidRPr="00C11FAD" w:rsidRDefault="00C11FAD" w:rsidP="00C11FAD">
            <w:pPr>
              <w:jc w:val="both"/>
              <w:rPr>
                <w:sz w:val="20"/>
              </w:rPr>
            </w:pPr>
          </w:p>
        </w:tc>
        <w:tc>
          <w:tcPr>
            <w:tcW w:w="2366" w:type="pct"/>
          </w:tcPr>
          <w:p w:rsidR="00C11FAD" w:rsidRPr="00C11FAD" w:rsidRDefault="00C11FAD" w:rsidP="00C11FAD">
            <w:pPr>
              <w:jc w:val="both"/>
              <w:rPr>
                <w:sz w:val="20"/>
              </w:rPr>
            </w:pPr>
            <w:r w:rsidRPr="00C11FAD">
              <w:rPr>
                <w:sz w:val="20"/>
              </w:rPr>
              <w:t>Motion for an extension of time filed;</w:t>
            </w:r>
          </w:p>
          <w:p w:rsidR="00C11FAD" w:rsidRPr="00C11FAD" w:rsidRDefault="00C11FAD" w:rsidP="00C11FAD">
            <w:pPr>
              <w:jc w:val="both"/>
              <w:rPr>
                <w:sz w:val="20"/>
              </w:rPr>
            </w:pPr>
            <w:r w:rsidRPr="00C11FAD">
              <w:rPr>
                <w:sz w:val="20"/>
              </w:rPr>
              <w:t xml:space="preserve">Miscellaneous motion filed </w:t>
            </w:r>
          </w:p>
          <w:p w:rsidR="00C11FAD" w:rsidRPr="00C11FAD" w:rsidRDefault="00C11FAD" w:rsidP="00C11FAD">
            <w:pPr>
              <w:jc w:val="both"/>
              <w:rPr>
                <w:sz w:val="20"/>
              </w:rPr>
            </w:pPr>
          </w:p>
        </w:tc>
      </w:tr>
      <w:tr w:rsidR="00C11FAD" w:rsidRPr="00C11FAD" w:rsidTr="00AC3316">
        <w:tblPrEx>
          <w:tblCellMar>
            <w:bottom w:w="0" w:type="dxa"/>
          </w:tblCellMar>
        </w:tblPrEx>
        <w:tc>
          <w:tcPr>
            <w:tcW w:w="2367" w:type="pct"/>
            <w:gridSpan w:val="2"/>
          </w:tcPr>
          <w:p w:rsidR="00C11FAD" w:rsidRPr="00C11FAD" w:rsidRDefault="00C11FAD" w:rsidP="00C11FAD">
            <w:pPr>
              <w:jc w:val="both"/>
              <w:rPr>
                <w:sz w:val="20"/>
              </w:rPr>
            </w:pPr>
            <w:r w:rsidRPr="00C11FAD">
              <w:rPr>
                <w:sz w:val="20"/>
              </w:rPr>
              <w:t>March 04, 2016</w:t>
            </w:r>
          </w:p>
          <w:p w:rsidR="00C11FAD" w:rsidRPr="00C11FAD" w:rsidRDefault="00C11FAD" w:rsidP="00C11FAD">
            <w:pPr>
              <w:jc w:val="both"/>
              <w:rPr>
                <w:sz w:val="20"/>
              </w:rPr>
            </w:pPr>
            <w:r w:rsidRPr="00C11FAD">
              <w:rPr>
                <w:sz w:val="20"/>
              </w:rPr>
              <w:t>Supreme Court of Canada</w:t>
            </w:r>
          </w:p>
          <w:p w:rsidR="00C11FAD" w:rsidRPr="00C11FAD" w:rsidRDefault="00C11FAD" w:rsidP="00C11FAD">
            <w:pPr>
              <w:jc w:val="both"/>
              <w:rPr>
                <w:sz w:val="20"/>
              </w:rPr>
            </w:pPr>
          </w:p>
        </w:tc>
        <w:tc>
          <w:tcPr>
            <w:tcW w:w="267" w:type="pct"/>
          </w:tcPr>
          <w:p w:rsidR="00C11FAD" w:rsidRPr="00C11FAD" w:rsidRDefault="00C11FAD" w:rsidP="00C11FAD">
            <w:pPr>
              <w:jc w:val="both"/>
              <w:rPr>
                <w:sz w:val="20"/>
              </w:rPr>
            </w:pPr>
          </w:p>
        </w:tc>
        <w:tc>
          <w:tcPr>
            <w:tcW w:w="2366" w:type="pct"/>
          </w:tcPr>
          <w:p w:rsidR="00C11FAD" w:rsidRPr="00C11FAD" w:rsidRDefault="00C11FAD" w:rsidP="00C11FAD">
            <w:pPr>
              <w:jc w:val="both"/>
              <w:rPr>
                <w:sz w:val="20"/>
              </w:rPr>
            </w:pPr>
            <w:r w:rsidRPr="00C11FAD">
              <w:rPr>
                <w:sz w:val="20"/>
              </w:rPr>
              <w:t xml:space="preserve">Miscellaneous motions filed </w:t>
            </w:r>
          </w:p>
          <w:p w:rsidR="00C11FAD" w:rsidRPr="00C11FAD" w:rsidRDefault="00C11FAD" w:rsidP="00C11FAD">
            <w:pPr>
              <w:jc w:val="both"/>
              <w:rPr>
                <w:sz w:val="20"/>
              </w:rPr>
            </w:pPr>
          </w:p>
        </w:tc>
      </w:tr>
      <w:tr w:rsidR="00C11FAD" w:rsidRPr="00C11FAD" w:rsidTr="00AC3316">
        <w:tblPrEx>
          <w:tblCellMar>
            <w:bottom w:w="0" w:type="dxa"/>
          </w:tblCellMar>
        </w:tblPrEx>
        <w:tc>
          <w:tcPr>
            <w:tcW w:w="2367" w:type="pct"/>
            <w:gridSpan w:val="2"/>
          </w:tcPr>
          <w:p w:rsidR="00C11FAD" w:rsidRPr="00C11FAD" w:rsidRDefault="00C11FAD" w:rsidP="00C11FAD">
            <w:pPr>
              <w:jc w:val="both"/>
              <w:rPr>
                <w:sz w:val="20"/>
              </w:rPr>
            </w:pPr>
            <w:r w:rsidRPr="00C11FAD">
              <w:rPr>
                <w:sz w:val="20"/>
              </w:rPr>
              <w:t>April 15, 2016</w:t>
            </w:r>
          </w:p>
          <w:p w:rsidR="00C11FAD" w:rsidRPr="00C11FAD" w:rsidRDefault="00C11FAD" w:rsidP="00C11FAD">
            <w:pPr>
              <w:jc w:val="both"/>
              <w:rPr>
                <w:sz w:val="20"/>
              </w:rPr>
            </w:pPr>
            <w:r w:rsidRPr="00C11FAD">
              <w:rPr>
                <w:sz w:val="20"/>
              </w:rPr>
              <w:t>Supreme Court of Canada</w:t>
            </w:r>
          </w:p>
        </w:tc>
        <w:tc>
          <w:tcPr>
            <w:tcW w:w="267" w:type="pct"/>
          </w:tcPr>
          <w:p w:rsidR="00C11FAD" w:rsidRPr="00C11FAD" w:rsidRDefault="00C11FAD" w:rsidP="00C11FAD">
            <w:pPr>
              <w:jc w:val="both"/>
              <w:rPr>
                <w:sz w:val="20"/>
              </w:rPr>
            </w:pPr>
          </w:p>
        </w:tc>
        <w:tc>
          <w:tcPr>
            <w:tcW w:w="2366" w:type="pct"/>
          </w:tcPr>
          <w:p w:rsidR="00C11FAD" w:rsidRPr="00C11FAD" w:rsidRDefault="00C11FAD" w:rsidP="00C11FAD">
            <w:pPr>
              <w:jc w:val="both"/>
              <w:rPr>
                <w:sz w:val="20"/>
              </w:rPr>
            </w:pPr>
            <w:r w:rsidRPr="00C11FAD">
              <w:rPr>
                <w:sz w:val="20"/>
              </w:rPr>
              <w:t xml:space="preserve">Miscellaneous motion filed </w:t>
            </w:r>
          </w:p>
        </w:tc>
      </w:tr>
    </w:tbl>
    <w:p w:rsidR="00C11FAD" w:rsidRDefault="00C11FAD" w:rsidP="00C11FAD">
      <w:pPr>
        <w:jc w:val="both"/>
        <w:rPr>
          <w:sz w:val="20"/>
        </w:rPr>
      </w:pPr>
    </w:p>
    <w:p w:rsidR="00C11FAD" w:rsidRPr="00C11FAD" w:rsidRDefault="00C11FAD" w:rsidP="00C11FAD">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429"/>
      </w:tblGrid>
      <w:tr w:rsidR="00C11FAD" w:rsidRPr="00C11FAD" w:rsidTr="0034387E">
        <w:tc>
          <w:tcPr>
            <w:tcW w:w="538" w:type="pct"/>
          </w:tcPr>
          <w:p w:rsidR="00C11FAD" w:rsidRPr="00C11FAD" w:rsidRDefault="00C11FAD" w:rsidP="00C11FAD">
            <w:pPr>
              <w:jc w:val="both"/>
              <w:rPr>
                <w:sz w:val="20"/>
                <w:lang w:val="fr-CA"/>
              </w:rPr>
            </w:pPr>
            <w:r w:rsidRPr="00C11FAD">
              <w:rPr>
                <w:rStyle w:val="SCCFileNumberChar"/>
                <w:sz w:val="20"/>
                <w:szCs w:val="20"/>
                <w:lang w:val="fr-CA"/>
              </w:rPr>
              <w:t>36871</w:t>
            </w:r>
          </w:p>
        </w:tc>
        <w:tc>
          <w:tcPr>
            <w:tcW w:w="4462" w:type="pct"/>
            <w:gridSpan w:val="3"/>
          </w:tcPr>
          <w:p w:rsidR="00C11FAD" w:rsidRPr="00C11FAD" w:rsidRDefault="00C11FAD" w:rsidP="00C11FAD">
            <w:pPr>
              <w:pStyle w:val="SCCLsocParty"/>
              <w:jc w:val="both"/>
              <w:rPr>
                <w:b/>
                <w:sz w:val="20"/>
                <w:szCs w:val="20"/>
                <w:lang w:val="en-US"/>
              </w:rPr>
            </w:pPr>
            <w:r w:rsidRPr="00C11FAD">
              <w:rPr>
                <w:b/>
                <w:sz w:val="20"/>
                <w:szCs w:val="20"/>
                <w:lang w:val="en-US"/>
              </w:rPr>
              <w:t>Nadejda Aletkina c. Hospital for Sick Children</w:t>
            </w:r>
          </w:p>
          <w:p w:rsidR="00C11FAD" w:rsidRPr="00C11FAD" w:rsidRDefault="00C11FAD" w:rsidP="00C11FAD">
            <w:pPr>
              <w:jc w:val="both"/>
              <w:rPr>
                <w:sz w:val="20"/>
                <w:lang w:val="fr-CA"/>
              </w:rPr>
            </w:pPr>
            <w:r w:rsidRPr="00C11FAD">
              <w:rPr>
                <w:sz w:val="20"/>
                <w:lang w:val="fr-CA"/>
              </w:rPr>
              <w:t>(Ont.) (Civile) (Sur autorisation)</w:t>
            </w:r>
          </w:p>
        </w:tc>
      </w:tr>
      <w:tr w:rsidR="00C11FAD" w:rsidRPr="00C11FAD" w:rsidTr="0034387E">
        <w:tc>
          <w:tcPr>
            <w:tcW w:w="5000" w:type="pct"/>
            <w:gridSpan w:val="4"/>
          </w:tcPr>
          <w:p w:rsidR="00C11FAD" w:rsidRPr="00C11FAD" w:rsidRDefault="00C11FAD" w:rsidP="00C11FAD">
            <w:pPr>
              <w:jc w:val="both"/>
              <w:rPr>
                <w:sz w:val="20"/>
                <w:lang w:val="fr-CA"/>
              </w:rPr>
            </w:pPr>
            <w:r w:rsidRPr="00C11FAD">
              <w:rPr>
                <w:i/>
                <w:sz w:val="20"/>
                <w:lang w:val="fr-CA"/>
              </w:rPr>
              <w:t xml:space="preserve">Charte canadienne des droits et libertés </w:t>
            </w:r>
            <w:r w:rsidRPr="00C11FAD">
              <w:rPr>
                <w:sz w:val="20"/>
                <w:lang w:val="fr-CA"/>
              </w:rPr>
              <w:t xml:space="preserve">– Procédure civile – Délais – Suspension de la décision de rejeter une action en congédiement injustifié pour cause de délai – Le rejet de l’action de la demanderesse constitue-t-il une atteinte aux droits que lui garantit la </w:t>
            </w:r>
            <w:r w:rsidRPr="00C11FAD">
              <w:rPr>
                <w:i/>
                <w:sz w:val="20"/>
                <w:lang w:val="fr-CA"/>
              </w:rPr>
              <w:t>Charte</w:t>
            </w:r>
            <w:r w:rsidRPr="00C11FAD">
              <w:rPr>
                <w:sz w:val="20"/>
                <w:lang w:val="fr-CA"/>
              </w:rPr>
              <w:t xml:space="preserve">? – Y a-t-il eu manquement à la justice fondamentale devant les juridictions inférieures?     </w:t>
            </w:r>
          </w:p>
        </w:tc>
      </w:tr>
      <w:tr w:rsidR="00C11FAD" w:rsidRPr="00C11FAD" w:rsidTr="0034387E">
        <w:tc>
          <w:tcPr>
            <w:tcW w:w="5000" w:type="pct"/>
            <w:gridSpan w:val="4"/>
          </w:tcPr>
          <w:p w:rsidR="00C11FAD" w:rsidRPr="00C11FAD" w:rsidRDefault="00C11FAD" w:rsidP="00C11FAD">
            <w:pPr>
              <w:jc w:val="both"/>
              <w:rPr>
                <w:sz w:val="20"/>
                <w:lang w:val="fr-CA"/>
              </w:rPr>
            </w:pPr>
          </w:p>
        </w:tc>
      </w:tr>
      <w:tr w:rsidR="00C11FAD" w:rsidRPr="00C11FAD" w:rsidTr="0034387E">
        <w:tc>
          <w:tcPr>
            <w:tcW w:w="5000" w:type="pct"/>
            <w:gridSpan w:val="4"/>
          </w:tcPr>
          <w:p w:rsidR="00C11FAD" w:rsidRPr="00C11FAD" w:rsidRDefault="00C11FAD" w:rsidP="00C11FAD">
            <w:pPr>
              <w:jc w:val="both"/>
              <w:rPr>
                <w:sz w:val="20"/>
                <w:lang w:val="fr-CA"/>
              </w:rPr>
            </w:pPr>
            <w:r w:rsidRPr="00C11FAD">
              <w:rPr>
                <w:sz w:val="20"/>
                <w:lang w:val="fr-CA"/>
              </w:rPr>
              <w:lastRenderedPageBreak/>
              <w:t>La demanderesse, Mme Aletkina, était employée au Hospital for Sick Children, l’intimé, en 2002 et 2003. En 2009, la demanderesse a intenté une action contre l’intimé pour congédiement injustifié. Les juridictions inférieures ont rejeté une motion interlocutoire et l’appel subséquent et la demanderesse a demandé la suspension de la décision et une ordonnance pour qu’elle subisse une évaluation de sa capacité.</w:t>
            </w:r>
          </w:p>
          <w:p w:rsidR="00C11FAD" w:rsidRPr="00C11FAD" w:rsidRDefault="00C11FAD" w:rsidP="00C11FAD">
            <w:pPr>
              <w:jc w:val="both"/>
              <w:rPr>
                <w:sz w:val="20"/>
                <w:lang w:val="fr-CA"/>
              </w:rPr>
            </w:pPr>
          </w:p>
        </w:tc>
      </w:tr>
      <w:tr w:rsidR="00C11FAD" w:rsidRPr="00C11FAD" w:rsidTr="00AC3316">
        <w:tblPrEx>
          <w:tblCellMar>
            <w:bottom w:w="0" w:type="dxa"/>
          </w:tblCellMar>
        </w:tblPrEx>
        <w:tc>
          <w:tcPr>
            <w:tcW w:w="2367" w:type="pct"/>
            <w:gridSpan w:val="2"/>
          </w:tcPr>
          <w:p w:rsidR="00C11FAD" w:rsidRPr="00C11FAD" w:rsidRDefault="00C11FAD" w:rsidP="00C11FAD">
            <w:pPr>
              <w:jc w:val="both"/>
              <w:rPr>
                <w:sz w:val="20"/>
                <w:lang w:val="fr-CA"/>
              </w:rPr>
            </w:pPr>
            <w:r w:rsidRPr="00C11FAD">
              <w:rPr>
                <w:sz w:val="20"/>
                <w:lang w:val="fr-CA"/>
              </w:rPr>
              <w:t>31 juillet 2015</w:t>
            </w:r>
          </w:p>
          <w:p w:rsidR="00C11FAD" w:rsidRPr="00C11FAD" w:rsidRDefault="00C11FAD" w:rsidP="00C11FAD">
            <w:pPr>
              <w:jc w:val="both"/>
              <w:rPr>
                <w:sz w:val="20"/>
                <w:lang w:val="fr-CA"/>
              </w:rPr>
            </w:pPr>
            <w:r w:rsidRPr="00C11FAD">
              <w:rPr>
                <w:sz w:val="20"/>
                <w:lang w:val="fr-CA"/>
              </w:rPr>
              <w:t xml:space="preserve">Cour d’appel de l’Ontario </w:t>
            </w:r>
          </w:p>
          <w:p w:rsidR="00C11FAD" w:rsidRPr="00C11FAD" w:rsidRDefault="00C11FAD" w:rsidP="00C11FAD">
            <w:pPr>
              <w:jc w:val="both"/>
              <w:rPr>
                <w:sz w:val="20"/>
                <w:lang w:val="fr-CA"/>
              </w:rPr>
            </w:pPr>
            <w:r w:rsidRPr="00C11FAD">
              <w:rPr>
                <w:sz w:val="20"/>
                <w:lang w:val="fr-CA"/>
              </w:rPr>
              <w:t>(Juge Roberts)</w:t>
            </w:r>
          </w:p>
          <w:p w:rsidR="00C11FAD" w:rsidRPr="00C11FAD" w:rsidRDefault="00C11FAD" w:rsidP="00C11FAD">
            <w:pPr>
              <w:jc w:val="both"/>
              <w:rPr>
                <w:sz w:val="20"/>
                <w:lang w:val="fr-CA"/>
              </w:rPr>
            </w:pPr>
            <w:r w:rsidRPr="00C11FAD">
              <w:rPr>
                <w:sz w:val="20"/>
                <w:lang w:val="fr-CA"/>
              </w:rPr>
              <w:t>M45324  (non publié)</w:t>
            </w:r>
          </w:p>
          <w:p w:rsidR="00C11FAD" w:rsidRPr="00C11FAD" w:rsidRDefault="00C11FAD" w:rsidP="00C11FAD">
            <w:pPr>
              <w:jc w:val="both"/>
              <w:rPr>
                <w:sz w:val="20"/>
                <w:lang w:val="fr-CA"/>
              </w:rPr>
            </w:pPr>
          </w:p>
        </w:tc>
        <w:tc>
          <w:tcPr>
            <w:tcW w:w="267" w:type="pct"/>
          </w:tcPr>
          <w:p w:rsidR="00C11FAD" w:rsidRPr="00C11FAD" w:rsidRDefault="00C11FAD" w:rsidP="00C11FAD">
            <w:pPr>
              <w:jc w:val="both"/>
              <w:rPr>
                <w:sz w:val="20"/>
                <w:lang w:val="fr-CA"/>
              </w:rPr>
            </w:pPr>
          </w:p>
        </w:tc>
        <w:tc>
          <w:tcPr>
            <w:tcW w:w="2366" w:type="pct"/>
          </w:tcPr>
          <w:p w:rsidR="00C11FAD" w:rsidRPr="00C11FAD" w:rsidRDefault="00C11FAD" w:rsidP="00C11FAD">
            <w:pPr>
              <w:jc w:val="both"/>
              <w:rPr>
                <w:sz w:val="20"/>
                <w:lang w:val="fr-CA"/>
              </w:rPr>
            </w:pPr>
            <w:r w:rsidRPr="00C11FAD">
              <w:rPr>
                <w:sz w:val="20"/>
                <w:lang w:val="fr-CA"/>
              </w:rPr>
              <w:t>Rejet de la motion pour évaluation de la capacité;</w:t>
            </w:r>
          </w:p>
          <w:p w:rsidR="00C11FAD" w:rsidRPr="00C11FAD" w:rsidRDefault="00C11FAD" w:rsidP="00C11FAD">
            <w:pPr>
              <w:jc w:val="both"/>
              <w:rPr>
                <w:sz w:val="20"/>
                <w:lang w:val="fr-CA"/>
              </w:rPr>
            </w:pPr>
            <w:r w:rsidRPr="00C11FAD">
              <w:rPr>
                <w:sz w:val="20"/>
                <w:lang w:val="fr-CA"/>
              </w:rPr>
              <w:t>Rejet de la motion en suspension de la décision</w:t>
            </w:r>
          </w:p>
          <w:p w:rsidR="00C11FAD" w:rsidRPr="00C11FAD" w:rsidRDefault="00C11FAD" w:rsidP="00C11FAD">
            <w:pPr>
              <w:jc w:val="both"/>
              <w:rPr>
                <w:sz w:val="20"/>
                <w:lang w:val="fr-CA"/>
              </w:rPr>
            </w:pPr>
          </w:p>
        </w:tc>
      </w:tr>
      <w:tr w:rsidR="00C11FAD" w:rsidRPr="00C11FAD" w:rsidTr="00AC3316">
        <w:tblPrEx>
          <w:tblCellMar>
            <w:bottom w:w="0" w:type="dxa"/>
          </w:tblCellMar>
        </w:tblPrEx>
        <w:tc>
          <w:tcPr>
            <w:tcW w:w="2367" w:type="pct"/>
            <w:gridSpan w:val="2"/>
          </w:tcPr>
          <w:p w:rsidR="00C11FAD" w:rsidRPr="00C11FAD" w:rsidRDefault="00C11FAD" w:rsidP="00C11FAD">
            <w:pPr>
              <w:jc w:val="both"/>
              <w:rPr>
                <w:sz w:val="20"/>
                <w:lang w:val="fr-CA"/>
              </w:rPr>
            </w:pPr>
            <w:r w:rsidRPr="00C11FAD">
              <w:rPr>
                <w:sz w:val="20"/>
                <w:lang w:val="fr-CA"/>
              </w:rPr>
              <w:t>3 novembre 2015</w:t>
            </w:r>
          </w:p>
          <w:p w:rsidR="00C11FAD" w:rsidRPr="00C11FAD" w:rsidRDefault="00C11FAD" w:rsidP="00C11FAD">
            <w:pPr>
              <w:jc w:val="both"/>
              <w:rPr>
                <w:sz w:val="20"/>
                <w:lang w:val="fr-CA"/>
              </w:rPr>
            </w:pPr>
            <w:r w:rsidRPr="00C11FAD">
              <w:rPr>
                <w:sz w:val="20"/>
                <w:lang w:val="fr-CA"/>
              </w:rPr>
              <w:t xml:space="preserve">Cour d’appel de l’Ontario </w:t>
            </w:r>
          </w:p>
          <w:p w:rsidR="00C11FAD" w:rsidRPr="00C11FAD" w:rsidRDefault="00C11FAD" w:rsidP="00C11FAD">
            <w:pPr>
              <w:jc w:val="both"/>
              <w:rPr>
                <w:sz w:val="20"/>
                <w:lang w:val="fr-CA"/>
              </w:rPr>
            </w:pPr>
            <w:r w:rsidRPr="00C11FAD">
              <w:rPr>
                <w:sz w:val="20"/>
                <w:lang w:val="fr-CA"/>
              </w:rPr>
              <w:t>(Juges Hoy, MacFarland et Lauwers)</w:t>
            </w:r>
          </w:p>
          <w:p w:rsidR="00C11FAD" w:rsidRPr="00C11FAD" w:rsidRDefault="00C11FAD" w:rsidP="00C11FAD">
            <w:pPr>
              <w:jc w:val="both"/>
              <w:rPr>
                <w:sz w:val="20"/>
                <w:lang w:val="fr-CA"/>
              </w:rPr>
            </w:pPr>
            <w:hyperlink r:id="rId32" w:history="1">
              <w:r w:rsidRPr="00C11FAD">
                <w:rPr>
                  <w:rStyle w:val="Hyperlink"/>
                  <w:sz w:val="20"/>
                  <w:lang w:val="fr-CA"/>
                </w:rPr>
                <w:t>2015 ONCA 804</w:t>
              </w:r>
            </w:hyperlink>
            <w:r w:rsidRPr="00C11FAD">
              <w:rPr>
                <w:sz w:val="20"/>
                <w:lang w:val="fr-CA"/>
              </w:rPr>
              <w:t xml:space="preserve"> </w:t>
            </w:r>
          </w:p>
          <w:p w:rsidR="00C11FAD" w:rsidRPr="00C11FAD" w:rsidRDefault="00C11FAD" w:rsidP="00C11FAD">
            <w:pPr>
              <w:jc w:val="both"/>
              <w:rPr>
                <w:sz w:val="20"/>
                <w:lang w:val="fr-CA"/>
              </w:rPr>
            </w:pPr>
          </w:p>
        </w:tc>
        <w:tc>
          <w:tcPr>
            <w:tcW w:w="267" w:type="pct"/>
          </w:tcPr>
          <w:p w:rsidR="00C11FAD" w:rsidRPr="00C11FAD" w:rsidRDefault="00C11FAD" w:rsidP="00C11FAD">
            <w:pPr>
              <w:jc w:val="both"/>
              <w:rPr>
                <w:sz w:val="20"/>
                <w:lang w:val="fr-CA"/>
              </w:rPr>
            </w:pPr>
          </w:p>
        </w:tc>
        <w:tc>
          <w:tcPr>
            <w:tcW w:w="2366" w:type="pct"/>
          </w:tcPr>
          <w:p w:rsidR="00C11FAD" w:rsidRPr="00C11FAD" w:rsidRDefault="00C11FAD" w:rsidP="00C11FAD">
            <w:pPr>
              <w:jc w:val="both"/>
              <w:rPr>
                <w:sz w:val="20"/>
                <w:lang w:val="fr-CA"/>
              </w:rPr>
            </w:pPr>
            <w:r w:rsidRPr="00C11FAD">
              <w:rPr>
                <w:sz w:val="20"/>
                <w:lang w:val="fr-CA"/>
              </w:rPr>
              <w:t>Rejet de la motion en présentation de preuves nouvelles;</w:t>
            </w:r>
          </w:p>
          <w:p w:rsidR="00C11FAD" w:rsidRPr="00C11FAD" w:rsidRDefault="00C11FAD" w:rsidP="00C11FAD">
            <w:pPr>
              <w:jc w:val="both"/>
              <w:rPr>
                <w:sz w:val="20"/>
                <w:lang w:val="fr-CA"/>
              </w:rPr>
            </w:pPr>
            <w:r w:rsidRPr="00C11FAD">
              <w:rPr>
                <w:sz w:val="20"/>
                <w:lang w:val="fr-CA"/>
              </w:rPr>
              <w:t>Rejet de la motion en révision</w:t>
            </w:r>
          </w:p>
          <w:p w:rsidR="00C11FAD" w:rsidRPr="00C11FAD" w:rsidRDefault="00C11FAD" w:rsidP="00C11FAD">
            <w:pPr>
              <w:jc w:val="both"/>
              <w:rPr>
                <w:sz w:val="20"/>
                <w:lang w:val="fr-CA"/>
              </w:rPr>
            </w:pPr>
          </w:p>
        </w:tc>
      </w:tr>
      <w:tr w:rsidR="00C11FAD" w:rsidRPr="00C11FAD" w:rsidTr="00AC3316">
        <w:tblPrEx>
          <w:tblCellMar>
            <w:bottom w:w="0" w:type="dxa"/>
          </w:tblCellMar>
        </w:tblPrEx>
        <w:tc>
          <w:tcPr>
            <w:tcW w:w="2367" w:type="pct"/>
            <w:gridSpan w:val="2"/>
          </w:tcPr>
          <w:p w:rsidR="00C11FAD" w:rsidRPr="00C11FAD" w:rsidRDefault="00C11FAD" w:rsidP="00C11FAD">
            <w:pPr>
              <w:jc w:val="both"/>
              <w:rPr>
                <w:sz w:val="20"/>
                <w:lang w:val="fr-CA"/>
              </w:rPr>
            </w:pPr>
            <w:r w:rsidRPr="00C11FAD">
              <w:rPr>
                <w:sz w:val="20"/>
                <w:lang w:val="fr-CA"/>
              </w:rPr>
              <w:t>25 février 2016</w:t>
            </w:r>
          </w:p>
          <w:p w:rsidR="00C11FAD" w:rsidRPr="00C11FAD" w:rsidRDefault="00C11FAD" w:rsidP="00C11FAD">
            <w:pPr>
              <w:jc w:val="both"/>
              <w:rPr>
                <w:sz w:val="20"/>
                <w:lang w:val="fr-CA"/>
              </w:rPr>
            </w:pPr>
            <w:r w:rsidRPr="00C11FAD">
              <w:rPr>
                <w:sz w:val="20"/>
                <w:lang w:val="fr-CA"/>
              </w:rPr>
              <w:t>Cour suprême du Canada</w:t>
            </w:r>
          </w:p>
          <w:p w:rsidR="00C11FAD" w:rsidRPr="00C11FAD" w:rsidRDefault="00C11FAD" w:rsidP="00C11FAD">
            <w:pPr>
              <w:jc w:val="both"/>
              <w:rPr>
                <w:sz w:val="20"/>
                <w:lang w:val="fr-CA"/>
              </w:rPr>
            </w:pPr>
          </w:p>
        </w:tc>
        <w:tc>
          <w:tcPr>
            <w:tcW w:w="267" w:type="pct"/>
          </w:tcPr>
          <w:p w:rsidR="00C11FAD" w:rsidRPr="00C11FAD" w:rsidRDefault="00C11FAD" w:rsidP="00C11FAD">
            <w:pPr>
              <w:jc w:val="both"/>
              <w:rPr>
                <w:sz w:val="20"/>
                <w:lang w:val="fr-CA"/>
              </w:rPr>
            </w:pPr>
          </w:p>
        </w:tc>
        <w:tc>
          <w:tcPr>
            <w:tcW w:w="2366" w:type="pct"/>
          </w:tcPr>
          <w:p w:rsidR="00C11FAD" w:rsidRPr="00C11FAD" w:rsidRDefault="00C11FAD" w:rsidP="00C11FAD">
            <w:pPr>
              <w:jc w:val="both"/>
              <w:rPr>
                <w:sz w:val="20"/>
                <w:lang w:val="fr-CA"/>
              </w:rPr>
            </w:pPr>
            <w:r w:rsidRPr="00C11FAD">
              <w:rPr>
                <w:sz w:val="20"/>
                <w:lang w:val="fr-CA"/>
              </w:rPr>
              <w:t>Dépôt de la demande d’autorisation d’appel</w:t>
            </w:r>
          </w:p>
          <w:p w:rsidR="00C11FAD" w:rsidRPr="00C11FAD" w:rsidRDefault="00C11FAD" w:rsidP="00C11FAD">
            <w:pPr>
              <w:jc w:val="both"/>
              <w:rPr>
                <w:sz w:val="20"/>
                <w:lang w:val="fr-CA"/>
              </w:rPr>
            </w:pPr>
          </w:p>
        </w:tc>
      </w:tr>
      <w:tr w:rsidR="00C11FAD" w:rsidRPr="00C11FAD" w:rsidTr="00AC3316">
        <w:tblPrEx>
          <w:tblCellMar>
            <w:bottom w:w="0" w:type="dxa"/>
          </w:tblCellMar>
        </w:tblPrEx>
        <w:tc>
          <w:tcPr>
            <w:tcW w:w="2367" w:type="pct"/>
            <w:gridSpan w:val="2"/>
          </w:tcPr>
          <w:p w:rsidR="00C11FAD" w:rsidRPr="00C11FAD" w:rsidRDefault="00C11FAD" w:rsidP="00C11FAD">
            <w:pPr>
              <w:jc w:val="both"/>
              <w:rPr>
                <w:sz w:val="20"/>
                <w:lang w:val="fr-CA"/>
              </w:rPr>
            </w:pPr>
            <w:r w:rsidRPr="00C11FAD">
              <w:rPr>
                <w:sz w:val="20"/>
                <w:lang w:val="fr-CA"/>
              </w:rPr>
              <w:t>29 février 2016</w:t>
            </w:r>
          </w:p>
          <w:p w:rsidR="00C11FAD" w:rsidRPr="00C11FAD" w:rsidRDefault="00C11FAD" w:rsidP="00C11FAD">
            <w:pPr>
              <w:jc w:val="both"/>
              <w:rPr>
                <w:sz w:val="20"/>
                <w:lang w:val="fr-CA"/>
              </w:rPr>
            </w:pPr>
            <w:r w:rsidRPr="00C11FAD">
              <w:rPr>
                <w:sz w:val="20"/>
                <w:lang w:val="fr-CA"/>
              </w:rPr>
              <w:t>Cour suprême du Canada</w:t>
            </w:r>
          </w:p>
        </w:tc>
        <w:tc>
          <w:tcPr>
            <w:tcW w:w="267" w:type="pct"/>
          </w:tcPr>
          <w:p w:rsidR="00C11FAD" w:rsidRPr="00C11FAD" w:rsidRDefault="00C11FAD" w:rsidP="00C11FAD">
            <w:pPr>
              <w:jc w:val="both"/>
              <w:rPr>
                <w:sz w:val="20"/>
                <w:lang w:val="fr-CA"/>
              </w:rPr>
            </w:pPr>
          </w:p>
        </w:tc>
        <w:tc>
          <w:tcPr>
            <w:tcW w:w="2366" w:type="pct"/>
          </w:tcPr>
          <w:p w:rsidR="00C11FAD" w:rsidRPr="00C11FAD" w:rsidRDefault="00C11FAD" w:rsidP="00C11FAD">
            <w:pPr>
              <w:jc w:val="both"/>
              <w:rPr>
                <w:sz w:val="20"/>
                <w:lang w:val="fr-CA"/>
              </w:rPr>
            </w:pPr>
            <w:r w:rsidRPr="00C11FAD">
              <w:rPr>
                <w:sz w:val="20"/>
                <w:lang w:val="fr-CA"/>
              </w:rPr>
              <w:t>Dépôt de la requête en prorogation du délai ;</w:t>
            </w:r>
          </w:p>
          <w:p w:rsidR="00C11FAD" w:rsidRPr="00C11FAD" w:rsidRDefault="00C11FAD" w:rsidP="00C11FAD">
            <w:pPr>
              <w:jc w:val="both"/>
              <w:rPr>
                <w:sz w:val="20"/>
                <w:lang w:val="fr-CA"/>
              </w:rPr>
            </w:pPr>
            <w:r w:rsidRPr="00C11FAD">
              <w:rPr>
                <w:sz w:val="20"/>
                <w:lang w:val="fr-CA"/>
              </w:rPr>
              <w:t>dépôt de requête diverse</w:t>
            </w:r>
          </w:p>
          <w:p w:rsidR="00C11FAD" w:rsidRPr="00C11FAD" w:rsidRDefault="00C11FAD" w:rsidP="00C11FAD">
            <w:pPr>
              <w:jc w:val="both"/>
              <w:rPr>
                <w:sz w:val="20"/>
                <w:lang w:val="fr-CA"/>
              </w:rPr>
            </w:pPr>
          </w:p>
        </w:tc>
      </w:tr>
      <w:tr w:rsidR="00C11FAD" w:rsidRPr="00C11FAD" w:rsidTr="00AC3316">
        <w:tblPrEx>
          <w:tblCellMar>
            <w:bottom w:w="0" w:type="dxa"/>
          </w:tblCellMar>
        </w:tblPrEx>
        <w:tc>
          <w:tcPr>
            <w:tcW w:w="2367" w:type="pct"/>
            <w:gridSpan w:val="2"/>
          </w:tcPr>
          <w:p w:rsidR="00C11FAD" w:rsidRPr="00C11FAD" w:rsidRDefault="00C11FAD" w:rsidP="00C11FAD">
            <w:pPr>
              <w:jc w:val="both"/>
              <w:rPr>
                <w:sz w:val="20"/>
                <w:lang w:val="fr-CA"/>
              </w:rPr>
            </w:pPr>
            <w:r w:rsidRPr="00C11FAD">
              <w:rPr>
                <w:sz w:val="20"/>
                <w:lang w:val="fr-CA"/>
              </w:rPr>
              <w:t>4 mars 2016</w:t>
            </w:r>
          </w:p>
          <w:p w:rsidR="00C11FAD" w:rsidRPr="00C11FAD" w:rsidRDefault="00C11FAD" w:rsidP="00C11FAD">
            <w:pPr>
              <w:jc w:val="both"/>
              <w:rPr>
                <w:sz w:val="20"/>
                <w:lang w:val="fr-CA"/>
              </w:rPr>
            </w:pPr>
            <w:r w:rsidRPr="00C11FAD">
              <w:rPr>
                <w:sz w:val="20"/>
                <w:lang w:val="fr-CA"/>
              </w:rPr>
              <w:t>Cour suprême du Canada</w:t>
            </w:r>
          </w:p>
          <w:p w:rsidR="00C11FAD" w:rsidRPr="00C11FAD" w:rsidRDefault="00C11FAD" w:rsidP="00C11FAD">
            <w:pPr>
              <w:jc w:val="both"/>
              <w:rPr>
                <w:sz w:val="20"/>
                <w:lang w:val="fr-CA"/>
              </w:rPr>
            </w:pPr>
          </w:p>
        </w:tc>
        <w:tc>
          <w:tcPr>
            <w:tcW w:w="267" w:type="pct"/>
          </w:tcPr>
          <w:p w:rsidR="00C11FAD" w:rsidRPr="00C11FAD" w:rsidRDefault="00C11FAD" w:rsidP="00C11FAD">
            <w:pPr>
              <w:jc w:val="both"/>
              <w:rPr>
                <w:sz w:val="20"/>
                <w:lang w:val="fr-CA"/>
              </w:rPr>
            </w:pPr>
          </w:p>
        </w:tc>
        <w:tc>
          <w:tcPr>
            <w:tcW w:w="2366" w:type="pct"/>
          </w:tcPr>
          <w:p w:rsidR="00C11FAD" w:rsidRPr="00C11FAD" w:rsidRDefault="00C11FAD" w:rsidP="00C11FAD">
            <w:pPr>
              <w:jc w:val="both"/>
              <w:rPr>
                <w:sz w:val="20"/>
                <w:lang w:val="fr-CA"/>
              </w:rPr>
            </w:pPr>
            <w:r w:rsidRPr="00C11FAD">
              <w:rPr>
                <w:sz w:val="20"/>
                <w:lang w:val="fr-CA"/>
              </w:rPr>
              <w:t>Dépôt de requêtes diverses</w:t>
            </w:r>
          </w:p>
          <w:p w:rsidR="00C11FAD" w:rsidRPr="00C11FAD" w:rsidRDefault="00C11FAD" w:rsidP="00C11FAD">
            <w:pPr>
              <w:jc w:val="both"/>
              <w:rPr>
                <w:sz w:val="20"/>
                <w:lang w:val="fr-CA"/>
              </w:rPr>
            </w:pPr>
          </w:p>
        </w:tc>
      </w:tr>
      <w:tr w:rsidR="00C11FAD" w:rsidRPr="00C11FAD" w:rsidTr="00AC3316">
        <w:tblPrEx>
          <w:tblCellMar>
            <w:bottom w:w="0" w:type="dxa"/>
          </w:tblCellMar>
        </w:tblPrEx>
        <w:tc>
          <w:tcPr>
            <w:tcW w:w="2367" w:type="pct"/>
            <w:gridSpan w:val="2"/>
          </w:tcPr>
          <w:p w:rsidR="00C11FAD" w:rsidRPr="00C11FAD" w:rsidRDefault="00C11FAD" w:rsidP="00C11FAD">
            <w:pPr>
              <w:jc w:val="both"/>
              <w:rPr>
                <w:sz w:val="20"/>
                <w:lang w:val="fr-CA"/>
              </w:rPr>
            </w:pPr>
            <w:r w:rsidRPr="00C11FAD">
              <w:rPr>
                <w:sz w:val="20"/>
                <w:lang w:val="fr-CA"/>
              </w:rPr>
              <w:t>15 avril 2016</w:t>
            </w:r>
          </w:p>
          <w:p w:rsidR="00C11FAD" w:rsidRPr="00C11FAD" w:rsidRDefault="00C11FAD" w:rsidP="00C11FAD">
            <w:pPr>
              <w:jc w:val="both"/>
              <w:rPr>
                <w:sz w:val="20"/>
                <w:lang w:val="fr-CA"/>
              </w:rPr>
            </w:pPr>
            <w:r w:rsidRPr="00C11FAD">
              <w:rPr>
                <w:sz w:val="20"/>
                <w:lang w:val="fr-CA"/>
              </w:rPr>
              <w:t>Cour suprême du Canada</w:t>
            </w:r>
          </w:p>
        </w:tc>
        <w:tc>
          <w:tcPr>
            <w:tcW w:w="267" w:type="pct"/>
          </w:tcPr>
          <w:p w:rsidR="00C11FAD" w:rsidRPr="00C11FAD" w:rsidRDefault="00C11FAD" w:rsidP="00C11FAD">
            <w:pPr>
              <w:jc w:val="both"/>
              <w:rPr>
                <w:sz w:val="20"/>
                <w:lang w:val="fr-CA"/>
              </w:rPr>
            </w:pPr>
          </w:p>
        </w:tc>
        <w:tc>
          <w:tcPr>
            <w:tcW w:w="2366" w:type="pct"/>
          </w:tcPr>
          <w:p w:rsidR="00C11FAD" w:rsidRPr="00C11FAD" w:rsidRDefault="00C11FAD" w:rsidP="00C11FAD">
            <w:pPr>
              <w:jc w:val="both"/>
              <w:rPr>
                <w:sz w:val="20"/>
                <w:lang w:val="fr-CA"/>
              </w:rPr>
            </w:pPr>
            <w:r w:rsidRPr="00C11FAD">
              <w:rPr>
                <w:sz w:val="20"/>
                <w:lang w:val="fr-CA"/>
              </w:rPr>
              <w:t>Dépôt de requête diverse</w:t>
            </w:r>
          </w:p>
        </w:tc>
      </w:tr>
    </w:tbl>
    <w:p w:rsidR="00C11FAD" w:rsidRPr="00C11FAD" w:rsidRDefault="00C11FAD" w:rsidP="00C11FAD">
      <w:pPr>
        <w:jc w:val="both"/>
        <w:rPr>
          <w:sz w:val="20"/>
          <w:lang w:val="fr-CA"/>
        </w:rPr>
      </w:pPr>
    </w:p>
    <w:p w:rsidR="00EC7995" w:rsidRPr="0097709D" w:rsidRDefault="00EC7995" w:rsidP="0097709D">
      <w:pPr>
        <w:widowControl w:val="0"/>
        <w:autoSpaceDE w:val="0"/>
        <w:autoSpaceDN w:val="0"/>
        <w:adjustRightInd w:val="0"/>
        <w:ind w:left="360" w:hanging="360"/>
        <w:jc w:val="both"/>
        <w:rPr>
          <w:rFonts w:eastAsiaTheme="minorEastAsia"/>
          <w:sz w:val="20"/>
          <w:lang w:val="en-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97709D" w:rsidRPr="0097709D" w:rsidTr="008443FF">
        <w:trPr>
          <w:gridAfter w:val="1"/>
          <w:wAfter w:w="48" w:type="pct"/>
        </w:trPr>
        <w:tc>
          <w:tcPr>
            <w:tcW w:w="538" w:type="pct"/>
          </w:tcPr>
          <w:p w:rsidR="0097709D" w:rsidRPr="0097709D" w:rsidRDefault="0097709D" w:rsidP="0097709D">
            <w:pPr>
              <w:jc w:val="both"/>
              <w:rPr>
                <w:sz w:val="20"/>
              </w:rPr>
            </w:pPr>
            <w:r w:rsidRPr="0097709D">
              <w:rPr>
                <w:rStyle w:val="SCCFileNumberChar"/>
                <w:sz w:val="20"/>
                <w:szCs w:val="20"/>
              </w:rPr>
              <w:t>36926</w:t>
            </w:r>
          </w:p>
        </w:tc>
        <w:tc>
          <w:tcPr>
            <w:tcW w:w="4414" w:type="pct"/>
            <w:gridSpan w:val="3"/>
          </w:tcPr>
          <w:p w:rsidR="0097709D" w:rsidRPr="0097709D" w:rsidRDefault="0097709D" w:rsidP="0097709D">
            <w:pPr>
              <w:pStyle w:val="SCCLsocParty"/>
              <w:jc w:val="both"/>
              <w:rPr>
                <w:b/>
                <w:sz w:val="20"/>
                <w:szCs w:val="20"/>
              </w:rPr>
            </w:pPr>
            <w:r w:rsidRPr="0097709D">
              <w:rPr>
                <w:b/>
                <w:sz w:val="20"/>
                <w:szCs w:val="20"/>
              </w:rPr>
              <w:t>Angelina Bailey v. Estate of Gerald Harry Barbour</w:t>
            </w:r>
          </w:p>
          <w:p w:rsidR="0097709D" w:rsidRPr="0097709D" w:rsidRDefault="0097709D" w:rsidP="0097709D">
            <w:pPr>
              <w:jc w:val="both"/>
              <w:rPr>
                <w:sz w:val="20"/>
              </w:rPr>
            </w:pPr>
            <w:r w:rsidRPr="0097709D">
              <w:rPr>
                <w:sz w:val="20"/>
              </w:rPr>
              <w:t>(Ont.) (Civil) (By Leave)</w:t>
            </w:r>
          </w:p>
        </w:tc>
      </w:tr>
      <w:tr w:rsidR="0097709D" w:rsidRPr="0097709D" w:rsidTr="008443FF">
        <w:trPr>
          <w:gridAfter w:val="1"/>
          <w:wAfter w:w="48" w:type="pct"/>
        </w:trPr>
        <w:tc>
          <w:tcPr>
            <w:tcW w:w="4952" w:type="pct"/>
            <w:gridSpan w:val="4"/>
          </w:tcPr>
          <w:p w:rsidR="0097709D" w:rsidRPr="0097709D" w:rsidRDefault="0097709D" w:rsidP="0097709D">
            <w:pPr>
              <w:jc w:val="both"/>
              <w:rPr>
                <w:sz w:val="20"/>
              </w:rPr>
            </w:pPr>
            <w:r w:rsidRPr="0097709D">
              <w:rPr>
                <w:sz w:val="20"/>
              </w:rPr>
              <w:t>Property – Real Property – Adverse Possession – Easements – Estoppel – Applicant claiming possessory title to portion of respondent’s property – Have the doctrine of adverse possession and the “inconsistent use” test, the law relating to prescriptive easements, easements of necessity, proprietary estoppel, the doctrine of lost modern grant and the validity and recognition of easements which arise under equitable circumstances, become vague and requiring clarification? – Does an appellate court lose jurisdiction if it fails to follow the standard of review and functions as a trial judge? – Can a trial judge exercise the court’s inherent jurisdiction and make an order of costs payable by a lawyer personally and, if so, must the lawyer be given an opportunity to make representations at the earliest opportunity if it appears that trial time is being wasted?</w:t>
            </w:r>
          </w:p>
          <w:p w:rsidR="0097709D" w:rsidRPr="0097709D" w:rsidRDefault="0097709D" w:rsidP="0097709D">
            <w:pPr>
              <w:jc w:val="both"/>
              <w:rPr>
                <w:sz w:val="20"/>
              </w:rPr>
            </w:pPr>
          </w:p>
          <w:p w:rsidR="0097709D" w:rsidRPr="0097709D" w:rsidRDefault="0097709D" w:rsidP="0097709D">
            <w:pPr>
              <w:jc w:val="both"/>
              <w:rPr>
                <w:sz w:val="20"/>
              </w:rPr>
            </w:pPr>
            <w:r w:rsidRPr="0097709D">
              <w:rPr>
                <w:sz w:val="20"/>
              </w:rPr>
              <w:t xml:space="preserve">The applicant Mrs. Bailey claimed possessory title to a portion of the property owned by the late Mr. Barbour. The property in question includes a lake beachfront and part of an isthmus, owned by Mr. Barbour, which joins the beach to an island, owned by Mrs. Bailey. During the periods of low water levels, the owners of the island reached the island by foot and sometimes by motor vehicle over a strip of land descending over Mr. Barbour’s beach and isthmus. During the periods of high water levels, the owners of the island travelled there from the beach by boat, parking their motor vehicles on the property that they owned on the mainland. Before 1995, Mr. Babour did not object to the owners of the island using his property that way. </w:t>
            </w:r>
          </w:p>
          <w:p w:rsidR="0097709D" w:rsidRPr="0097709D" w:rsidRDefault="0097709D" w:rsidP="0097709D">
            <w:pPr>
              <w:jc w:val="both"/>
              <w:rPr>
                <w:sz w:val="20"/>
              </w:rPr>
            </w:pPr>
          </w:p>
          <w:p w:rsidR="0097709D" w:rsidRPr="0097709D" w:rsidRDefault="0097709D" w:rsidP="0097709D">
            <w:pPr>
              <w:jc w:val="both"/>
              <w:rPr>
                <w:sz w:val="20"/>
              </w:rPr>
            </w:pPr>
            <w:r w:rsidRPr="0097709D">
              <w:rPr>
                <w:sz w:val="20"/>
              </w:rPr>
              <w:t xml:space="preserve">In 1995, Mr. Barbour requested that Mrs. Bailey pay him a licence fee for travel over his property. Mrs. Bailey objected. The dispute over the property in question ultimately went to trial. Mrs. Bailey asserted her rights by way of adverse possession, prescriptive easement, easement of necessity and proprietary estoppel claims, among others. </w:t>
            </w:r>
          </w:p>
        </w:tc>
      </w:tr>
      <w:tr w:rsidR="0097709D" w:rsidRPr="0097709D" w:rsidTr="008443FF">
        <w:trPr>
          <w:gridAfter w:val="1"/>
          <w:wAfter w:w="48" w:type="pct"/>
        </w:trPr>
        <w:tc>
          <w:tcPr>
            <w:tcW w:w="4952" w:type="pct"/>
            <w:gridSpan w:val="4"/>
          </w:tcPr>
          <w:p w:rsidR="0097709D" w:rsidRPr="0097709D" w:rsidRDefault="0097709D" w:rsidP="0097709D">
            <w:pPr>
              <w:jc w:val="both"/>
              <w:rPr>
                <w:sz w:val="20"/>
              </w:rPr>
            </w:pPr>
          </w:p>
        </w:tc>
      </w:tr>
      <w:tr w:rsidR="0097709D" w:rsidRPr="0097709D" w:rsidTr="008443FF">
        <w:tblPrEx>
          <w:tblCellMar>
            <w:bottom w:w="0" w:type="dxa"/>
          </w:tblCellMar>
        </w:tblPrEx>
        <w:tc>
          <w:tcPr>
            <w:tcW w:w="2367" w:type="pct"/>
            <w:gridSpan w:val="2"/>
          </w:tcPr>
          <w:p w:rsidR="0097709D" w:rsidRPr="0097709D" w:rsidRDefault="0097709D" w:rsidP="0097709D">
            <w:pPr>
              <w:jc w:val="both"/>
              <w:rPr>
                <w:sz w:val="20"/>
              </w:rPr>
            </w:pPr>
            <w:r w:rsidRPr="0097709D">
              <w:rPr>
                <w:sz w:val="20"/>
              </w:rPr>
              <w:t>November 29, 2013</w:t>
            </w:r>
          </w:p>
          <w:p w:rsidR="0097709D" w:rsidRPr="0097709D" w:rsidRDefault="0097709D" w:rsidP="0097709D">
            <w:pPr>
              <w:jc w:val="both"/>
              <w:rPr>
                <w:sz w:val="20"/>
              </w:rPr>
            </w:pPr>
            <w:r w:rsidRPr="0097709D">
              <w:rPr>
                <w:sz w:val="20"/>
              </w:rPr>
              <w:t>Ontario Superior Court of Justice</w:t>
            </w:r>
          </w:p>
          <w:p w:rsidR="0097709D" w:rsidRPr="0097709D" w:rsidRDefault="0097709D" w:rsidP="0097709D">
            <w:pPr>
              <w:jc w:val="both"/>
              <w:rPr>
                <w:sz w:val="20"/>
              </w:rPr>
            </w:pPr>
            <w:r w:rsidRPr="0097709D">
              <w:rPr>
                <w:sz w:val="20"/>
              </w:rPr>
              <w:t>(Healey J.)</w:t>
            </w:r>
          </w:p>
          <w:p w:rsidR="0097709D" w:rsidRPr="0097709D" w:rsidRDefault="0097709D" w:rsidP="0097709D">
            <w:pPr>
              <w:jc w:val="both"/>
              <w:rPr>
                <w:sz w:val="20"/>
              </w:rPr>
            </w:pPr>
            <w:hyperlink r:id="rId33" w:history="1">
              <w:r w:rsidRPr="0097709D">
                <w:rPr>
                  <w:rStyle w:val="Hyperlink"/>
                  <w:sz w:val="20"/>
                </w:rPr>
                <w:t>2013 ONSC 7397</w:t>
              </w:r>
            </w:hyperlink>
            <w:r w:rsidRPr="0097709D">
              <w:rPr>
                <w:rStyle w:val="Hyperlink"/>
                <w:sz w:val="20"/>
              </w:rPr>
              <w:t xml:space="preserve"> </w:t>
            </w:r>
            <w:r w:rsidRPr="0097709D">
              <w:rPr>
                <w:sz w:val="20"/>
              </w:rPr>
              <w:t xml:space="preserve">(see also </w:t>
            </w:r>
            <w:hyperlink r:id="rId34" w:history="1">
              <w:r w:rsidRPr="0097709D">
                <w:rPr>
                  <w:rStyle w:val="Hyperlink"/>
                  <w:sz w:val="20"/>
                </w:rPr>
                <w:t>2014 ONSC 2343</w:t>
              </w:r>
            </w:hyperlink>
            <w:r w:rsidRPr="0097709D">
              <w:rPr>
                <w:sz w:val="20"/>
              </w:rPr>
              <w:t xml:space="preserve"> and </w:t>
            </w:r>
            <w:hyperlink r:id="rId35" w:history="1">
              <w:r w:rsidRPr="0097709D">
                <w:rPr>
                  <w:rStyle w:val="Hyperlink"/>
                  <w:sz w:val="20"/>
                </w:rPr>
                <w:t>2014 ONSC 3698</w:t>
              </w:r>
            </w:hyperlink>
            <w:r w:rsidRPr="0097709D">
              <w:rPr>
                <w:sz w:val="20"/>
              </w:rPr>
              <w:t>)</w:t>
            </w:r>
          </w:p>
          <w:p w:rsidR="0097709D" w:rsidRPr="0097709D" w:rsidRDefault="0097709D" w:rsidP="0097709D">
            <w:pPr>
              <w:jc w:val="both"/>
              <w:rPr>
                <w:sz w:val="20"/>
              </w:rPr>
            </w:pPr>
          </w:p>
        </w:tc>
        <w:tc>
          <w:tcPr>
            <w:tcW w:w="267" w:type="pct"/>
          </w:tcPr>
          <w:p w:rsidR="0097709D" w:rsidRPr="0097709D" w:rsidRDefault="0097709D" w:rsidP="0097709D">
            <w:pPr>
              <w:jc w:val="both"/>
              <w:rPr>
                <w:sz w:val="20"/>
              </w:rPr>
            </w:pPr>
          </w:p>
        </w:tc>
        <w:tc>
          <w:tcPr>
            <w:tcW w:w="2366" w:type="pct"/>
            <w:gridSpan w:val="2"/>
          </w:tcPr>
          <w:p w:rsidR="0097709D" w:rsidRPr="0097709D" w:rsidRDefault="0097709D" w:rsidP="0097709D">
            <w:pPr>
              <w:jc w:val="both"/>
              <w:rPr>
                <w:sz w:val="20"/>
              </w:rPr>
            </w:pPr>
            <w:r w:rsidRPr="0097709D">
              <w:rPr>
                <w:sz w:val="20"/>
              </w:rPr>
              <w:t xml:space="preserve">Action allowed in favour of applicant </w:t>
            </w:r>
          </w:p>
          <w:p w:rsidR="0097709D" w:rsidRPr="0097709D" w:rsidRDefault="0097709D" w:rsidP="0097709D">
            <w:pPr>
              <w:jc w:val="both"/>
              <w:rPr>
                <w:sz w:val="20"/>
              </w:rPr>
            </w:pPr>
          </w:p>
        </w:tc>
      </w:tr>
      <w:tr w:rsidR="0097709D" w:rsidRPr="0097709D" w:rsidTr="008443FF">
        <w:tblPrEx>
          <w:tblCellMar>
            <w:bottom w:w="0" w:type="dxa"/>
          </w:tblCellMar>
        </w:tblPrEx>
        <w:tc>
          <w:tcPr>
            <w:tcW w:w="2367" w:type="pct"/>
            <w:gridSpan w:val="2"/>
          </w:tcPr>
          <w:p w:rsidR="0097709D" w:rsidRPr="0097709D" w:rsidRDefault="0097709D" w:rsidP="0097709D">
            <w:pPr>
              <w:jc w:val="both"/>
              <w:rPr>
                <w:sz w:val="20"/>
              </w:rPr>
            </w:pPr>
            <w:r w:rsidRPr="0097709D">
              <w:rPr>
                <w:sz w:val="20"/>
              </w:rPr>
              <w:lastRenderedPageBreak/>
              <w:t>February 4, 2016</w:t>
            </w:r>
          </w:p>
          <w:p w:rsidR="0097709D" w:rsidRPr="0097709D" w:rsidRDefault="0097709D" w:rsidP="0097709D">
            <w:pPr>
              <w:jc w:val="both"/>
              <w:rPr>
                <w:sz w:val="20"/>
              </w:rPr>
            </w:pPr>
            <w:r w:rsidRPr="0097709D">
              <w:rPr>
                <w:sz w:val="20"/>
              </w:rPr>
              <w:t>Court of Appeal for Ontario</w:t>
            </w:r>
          </w:p>
          <w:p w:rsidR="0097709D" w:rsidRPr="0097709D" w:rsidRDefault="0097709D" w:rsidP="0097709D">
            <w:pPr>
              <w:jc w:val="both"/>
              <w:rPr>
                <w:sz w:val="20"/>
              </w:rPr>
            </w:pPr>
            <w:r w:rsidRPr="0097709D">
              <w:rPr>
                <w:sz w:val="20"/>
              </w:rPr>
              <w:t>(MacFarland, Rouleau and Roberts JJ.A.)</w:t>
            </w:r>
          </w:p>
          <w:p w:rsidR="0097709D" w:rsidRPr="0097709D" w:rsidRDefault="0097709D" w:rsidP="0097709D">
            <w:pPr>
              <w:jc w:val="both"/>
              <w:rPr>
                <w:sz w:val="20"/>
                <w:lang w:val="fr-CA"/>
              </w:rPr>
            </w:pPr>
            <w:hyperlink r:id="rId36" w:history="1">
              <w:r w:rsidRPr="0097709D">
                <w:rPr>
                  <w:rStyle w:val="Hyperlink"/>
                  <w:sz w:val="20"/>
                </w:rPr>
                <w:t>2016 ONCA 98</w:t>
              </w:r>
            </w:hyperlink>
            <w:r w:rsidRPr="0097709D">
              <w:rPr>
                <w:sz w:val="20"/>
              </w:rPr>
              <w:t xml:space="preserve"> (unreported in CanLII)</w:t>
            </w:r>
          </w:p>
          <w:p w:rsidR="0097709D" w:rsidRPr="0097709D" w:rsidRDefault="0097709D" w:rsidP="0097709D">
            <w:pPr>
              <w:jc w:val="both"/>
              <w:rPr>
                <w:sz w:val="20"/>
              </w:rPr>
            </w:pPr>
          </w:p>
        </w:tc>
        <w:tc>
          <w:tcPr>
            <w:tcW w:w="267" w:type="pct"/>
          </w:tcPr>
          <w:p w:rsidR="0097709D" w:rsidRPr="0097709D" w:rsidRDefault="0097709D" w:rsidP="0097709D">
            <w:pPr>
              <w:jc w:val="both"/>
              <w:rPr>
                <w:sz w:val="20"/>
              </w:rPr>
            </w:pPr>
          </w:p>
        </w:tc>
        <w:tc>
          <w:tcPr>
            <w:tcW w:w="2366" w:type="pct"/>
            <w:gridSpan w:val="2"/>
          </w:tcPr>
          <w:p w:rsidR="0097709D" w:rsidRPr="0097709D" w:rsidRDefault="0097709D" w:rsidP="0097709D">
            <w:pPr>
              <w:jc w:val="both"/>
              <w:rPr>
                <w:sz w:val="20"/>
              </w:rPr>
            </w:pPr>
            <w:r w:rsidRPr="0097709D">
              <w:rPr>
                <w:sz w:val="20"/>
              </w:rPr>
              <w:t xml:space="preserve">Appeal allowed in part </w:t>
            </w:r>
          </w:p>
          <w:p w:rsidR="0097709D" w:rsidRPr="0097709D" w:rsidRDefault="0097709D" w:rsidP="0097709D">
            <w:pPr>
              <w:jc w:val="both"/>
              <w:rPr>
                <w:sz w:val="20"/>
              </w:rPr>
            </w:pPr>
          </w:p>
        </w:tc>
      </w:tr>
      <w:tr w:rsidR="0097709D" w:rsidRPr="0097709D" w:rsidTr="008443FF">
        <w:tblPrEx>
          <w:tblCellMar>
            <w:bottom w:w="0" w:type="dxa"/>
          </w:tblCellMar>
        </w:tblPrEx>
        <w:tc>
          <w:tcPr>
            <w:tcW w:w="2367" w:type="pct"/>
            <w:gridSpan w:val="2"/>
          </w:tcPr>
          <w:p w:rsidR="0097709D" w:rsidRPr="0097709D" w:rsidRDefault="0097709D" w:rsidP="0097709D">
            <w:pPr>
              <w:jc w:val="both"/>
              <w:rPr>
                <w:sz w:val="20"/>
              </w:rPr>
            </w:pPr>
            <w:r w:rsidRPr="0097709D">
              <w:rPr>
                <w:sz w:val="20"/>
              </w:rPr>
              <w:t>April 4, 2016</w:t>
            </w:r>
          </w:p>
          <w:p w:rsidR="0097709D" w:rsidRPr="0097709D" w:rsidRDefault="0097709D" w:rsidP="0097709D">
            <w:pPr>
              <w:jc w:val="both"/>
              <w:rPr>
                <w:sz w:val="20"/>
              </w:rPr>
            </w:pPr>
            <w:r w:rsidRPr="0097709D">
              <w:rPr>
                <w:sz w:val="20"/>
              </w:rPr>
              <w:t>Supreme Court of Canada</w:t>
            </w:r>
          </w:p>
        </w:tc>
        <w:tc>
          <w:tcPr>
            <w:tcW w:w="267" w:type="pct"/>
          </w:tcPr>
          <w:p w:rsidR="0097709D" w:rsidRPr="0097709D" w:rsidRDefault="0097709D" w:rsidP="0097709D">
            <w:pPr>
              <w:jc w:val="both"/>
              <w:rPr>
                <w:sz w:val="20"/>
              </w:rPr>
            </w:pPr>
          </w:p>
        </w:tc>
        <w:tc>
          <w:tcPr>
            <w:tcW w:w="2366" w:type="pct"/>
            <w:gridSpan w:val="2"/>
          </w:tcPr>
          <w:p w:rsidR="0097709D" w:rsidRPr="0097709D" w:rsidRDefault="0097709D" w:rsidP="0097709D">
            <w:pPr>
              <w:jc w:val="both"/>
              <w:rPr>
                <w:sz w:val="20"/>
              </w:rPr>
            </w:pPr>
            <w:r w:rsidRPr="0097709D">
              <w:rPr>
                <w:sz w:val="20"/>
              </w:rPr>
              <w:t>Application for leave to appeal filed</w:t>
            </w:r>
          </w:p>
          <w:p w:rsidR="0097709D" w:rsidRPr="0097709D" w:rsidRDefault="0097709D" w:rsidP="0097709D">
            <w:pPr>
              <w:jc w:val="both"/>
              <w:rPr>
                <w:sz w:val="20"/>
              </w:rPr>
            </w:pPr>
          </w:p>
        </w:tc>
      </w:tr>
    </w:tbl>
    <w:p w:rsidR="0097709D" w:rsidRDefault="0097709D" w:rsidP="0097709D">
      <w:pPr>
        <w:jc w:val="both"/>
        <w:rPr>
          <w:sz w:val="20"/>
        </w:rPr>
      </w:pPr>
    </w:p>
    <w:p w:rsidR="0097709D" w:rsidRPr="0097709D" w:rsidRDefault="0097709D" w:rsidP="0097709D">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97709D" w:rsidRPr="0097709D" w:rsidTr="008443FF">
        <w:trPr>
          <w:gridAfter w:val="1"/>
          <w:wAfter w:w="48" w:type="pct"/>
        </w:trPr>
        <w:tc>
          <w:tcPr>
            <w:tcW w:w="538" w:type="pct"/>
          </w:tcPr>
          <w:p w:rsidR="0097709D" w:rsidRPr="0097709D" w:rsidRDefault="0097709D" w:rsidP="0097709D">
            <w:pPr>
              <w:jc w:val="both"/>
              <w:rPr>
                <w:sz w:val="20"/>
                <w:lang w:val="fr-CA"/>
              </w:rPr>
            </w:pPr>
            <w:r w:rsidRPr="0097709D">
              <w:rPr>
                <w:rStyle w:val="SCCFileNumberChar"/>
                <w:sz w:val="20"/>
                <w:szCs w:val="20"/>
                <w:lang w:val="fr-CA"/>
              </w:rPr>
              <w:t>36926</w:t>
            </w:r>
          </w:p>
        </w:tc>
        <w:tc>
          <w:tcPr>
            <w:tcW w:w="4414" w:type="pct"/>
            <w:gridSpan w:val="3"/>
          </w:tcPr>
          <w:p w:rsidR="0097709D" w:rsidRPr="0097709D" w:rsidRDefault="0097709D" w:rsidP="0097709D">
            <w:pPr>
              <w:pStyle w:val="SCCLsocParty"/>
              <w:jc w:val="both"/>
              <w:rPr>
                <w:b/>
                <w:sz w:val="20"/>
                <w:szCs w:val="20"/>
                <w:lang w:val="en-US"/>
              </w:rPr>
            </w:pPr>
            <w:r w:rsidRPr="0097709D">
              <w:rPr>
                <w:b/>
                <w:sz w:val="20"/>
                <w:szCs w:val="20"/>
                <w:lang w:val="en-US"/>
              </w:rPr>
              <w:t>Angelina Bailey c. Succession de Gerald Harry Barbour</w:t>
            </w:r>
          </w:p>
          <w:p w:rsidR="0097709D" w:rsidRPr="0097709D" w:rsidRDefault="0097709D" w:rsidP="0097709D">
            <w:pPr>
              <w:jc w:val="both"/>
              <w:rPr>
                <w:sz w:val="20"/>
                <w:lang w:val="fr-CA"/>
              </w:rPr>
            </w:pPr>
            <w:r w:rsidRPr="0097709D">
              <w:rPr>
                <w:sz w:val="20"/>
                <w:lang w:val="fr-CA"/>
              </w:rPr>
              <w:t>(Ont.) (Civile) (Sur autorisation)</w:t>
            </w:r>
          </w:p>
        </w:tc>
      </w:tr>
      <w:tr w:rsidR="0097709D" w:rsidRPr="0097709D" w:rsidTr="008443FF">
        <w:trPr>
          <w:gridAfter w:val="1"/>
          <w:wAfter w:w="48" w:type="pct"/>
        </w:trPr>
        <w:tc>
          <w:tcPr>
            <w:tcW w:w="4952" w:type="pct"/>
            <w:gridSpan w:val="4"/>
          </w:tcPr>
          <w:p w:rsidR="0097709D" w:rsidRPr="0097709D" w:rsidRDefault="0097709D" w:rsidP="0097709D">
            <w:pPr>
              <w:jc w:val="both"/>
              <w:rPr>
                <w:sz w:val="20"/>
                <w:lang w:val="fr-CA"/>
              </w:rPr>
            </w:pPr>
            <w:r w:rsidRPr="0097709D">
              <w:rPr>
                <w:sz w:val="20"/>
                <w:lang w:val="fr-CA"/>
              </w:rPr>
              <w:t>Biens – Biens réels – Possession acquisitive – Servitudes – Préclusion – La demanderesse revendique un titre possessoire sur une partie du bien de l’intimée – La doctrine de la possession acquisitive, le critère de l’« utilisation incompatible » et le droit relatif aux servitudes acquises par prescription, aux servitudes de nécessité, à la préclusion propriétale, à la doctrine de la concession moderne perdue et à la validité et la reconnaissance des servitudes qui prennent naissance dans des circonstances suivant les principes de l’equity sont-ils devenus vagues et doivent-ils être clarifiés? – Un tribunal d’appel perd-il compétence s’il ne respecte pas la norme de contrôle et agit comme juge de première instance? – Un juge de première instance peut-il exercer la compétence inhérente de la cour et condamner personnellement un avocat aux dépens et, dans l’affirmative, doit-on donner à l’avocat l’occasion de faire des observations dès que possible s’il apparaît que le temps d’instruction est en train d’être gaspillé?</w:t>
            </w:r>
          </w:p>
          <w:p w:rsidR="0097709D" w:rsidRPr="0097709D" w:rsidRDefault="0097709D" w:rsidP="0097709D">
            <w:pPr>
              <w:jc w:val="both"/>
              <w:rPr>
                <w:sz w:val="20"/>
                <w:lang w:val="fr-CA"/>
              </w:rPr>
            </w:pPr>
          </w:p>
          <w:p w:rsidR="0097709D" w:rsidRPr="0097709D" w:rsidRDefault="0097709D" w:rsidP="0097709D">
            <w:pPr>
              <w:jc w:val="both"/>
              <w:rPr>
                <w:sz w:val="20"/>
                <w:lang w:val="fr-CA"/>
              </w:rPr>
            </w:pPr>
            <w:r w:rsidRPr="0097709D">
              <w:rPr>
                <w:sz w:val="20"/>
                <w:lang w:val="fr-CA"/>
              </w:rPr>
              <w:t xml:space="preserve">La demanderesse, Mme Bailey revendique un titre possessoire sur une partie du bien appartenant à feu M. Barbour. Le bien en question comprend une plage au bord d’un lac et une partie d’un isthme qui appartenait à M. Barbour et qui joint la plage à une île appartenant à Mme Bailey. Au cours des périodes des basses eaux, les propriétaires de l’île s’y rendaient à pied et parfois en voiture sur une bande de terrain qui descendait sur la plage de M. Barbour et l’isthme. Pendant les périodes des hautes eaux, les propriétaires de l’île s’y rendaient à partir de la plage en bateau, stationnant leurs véhicules sur le bien dont ils étaient propriétaires sur la terre ferme. Avant 1995, M. Barbour ne s’opposait pas à ce que les propriétaires de l’île utilisent son bien de cette façon. </w:t>
            </w:r>
          </w:p>
          <w:p w:rsidR="0097709D" w:rsidRPr="0097709D" w:rsidRDefault="0097709D" w:rsidP="0097709D">
            <w:pPr>
              <w:jc w:val="both"/>
              <w:rPr>
                <w:sz w:val="20"/>
                <w:lang w:val="fr-CA"/>
              </w:rPr>
            </w:pPr>
          </w:p>
          <w:p w:rsidR="0097709D" w:rsidRPr="0097709D" w:rsidRDefault="0097709D" w:rsidP="0097709D">
            <w:pPr>
              <w:jc w:val="both"/>
              <w:rPr>
                <w:sz w:val="20"/>
                <w:lang w:val="fr-CA"/>
              </w:rPr>
            </w:pPr>
            <w:r w:rsidRPr="0097709D">
              <w:rPr>
                <w:sz w:val="20"/>
                <w:lang w:val="fr-CA"/>
              </w:rPr>
              <w:t xml:space="preserve">En 1995, M. Barbour a demandé à Mme Bailey de lui verser un droit pour passer sur son terrain. Madame Bailey a refusé. Le litige portant sur le terrain en question a finalement fait l’objet d’un procès. Madame Bailey a revendiqué ses droits en invoquant notamment la possession acquisitive, la servitude acquise par prescription, la servitude de nécessité et la préclusion propriétale. </w:t>
            </w:r>
          </w:p>
        </w:tc>
      </w:tr>
      <w:tr w:rsidR="0097709D" w:rsidRPr="0097709D" w:rsidTr="008443FF">
        <w:trPr>
          <w:gridAfter w:val="1"/>
          <w:wAfter w:w="48" w:type="pct"/>
        </w:trPr>
        <w:tc>
          <w:tcPr>
            <w:tcW w:w="4952" w:type="pct"/>
            <w:gridSpan w:val="4"/>
          </w:tcPr>
          <w:p w:rsidR="0097709D" w:rsidRPr="0097709D" w:rsidRDefault="0097709D" w:rsidP="0097709D">
            <w:pPr>
              <w:jc w:val="both"/>
              <w:rPr>
                <w:sz w:val="20"/>
                <w:lang w:val="fr-CA"/>
              </w:rPr>
            </w:pPr>
          </w:p>
        </w:tc>
      </w:tr>
      <w:tr w:rsidR="0097709D" w:rsidRPr="0097709D" w:rsidTr="008443FF">
        <w:tblPrEx>
          <w:tblCellMar>
            <w:bottom w:w="0" w:type="dxa"/>
          </w:tblCellMar>
        </w:tblPrEx>
        <w:tc>
          <w:tcPr>
            <w:tcW w:w="2367" w:type="pct"/>
            <w:gridSpan w:val="2"/>
          </w:tcPr>
          <w:p w:rsidR="0097709D" w:rsidRPr="0097709D" w:rsidRDefault="0097709D" w:rsidP="0097709D">
            <w:pPr>
              <w:jc w:val="both"/>
              <w:rPr>
                <w:sz w:val="20"/>
                <w:lang w:val="fr-CA"/>
              </w:rPr>
            </w:pPr>
            <w:r w:rsidRPr="0097709D">
              <w:rPr>
                <w:sz w:val="20"/>
                <w:lang w:val="fr-CA"/>
              </w:rPr>
              <w:t>29 novembre 2013</w:t>
            </w:r>
          </w:p>
          <w:p w:rsidR="0097709D" w:rsidRPr="0097709D" w:rsidRDefault="0097709D" w:rsidP="0097709D">
            <w:pPr>
              <w:jc w:val="both"/>
              <w:rPr>
                <w:sz w:val="20"/>
                <w:lang w:val="fr-CA"/>
              </w:rPr>
            </w:pPr>
            <w:r w:rsidRPr="0097709D">
              <w:rPr>
                <w:sz w:val="20"/>
                <w:lang w:val="fr-CA"/>
              </w:rPr>
              <w:t xml:space="preserve">Cour supérieure de justice de l’Ontario </w:t>
            </w:r>
          </w:p>
          <w:p w:rsidR="0097709D" w:rsidRPr="0097709D" w:rsidRDefault="0097709D" w:rsidP="0097709D">
            <w:pPr>
              <w:jc w:val="both"/>
              <w:rPr>
                <w:sz w:val="20"/>
                <w:lang w:val="fr-CA"/>
              </w:rPr>
            </w:pPr>
            <w:r w:rsidRPr="0097709D">
              <w:rPr>
                <w:sz w:val="20"/>
                <w:lang w:val="fr-CA"/>
              </w:rPr>
              <w:t>(Juge Healey)</w:t>
            </w:r>
          </w:p>
          <w:p w:rsidR="0097709D" w:rsidRPr="0097709D" w:rsidRDefault="0097709D" w:rsidP="0097709D">
            <w:pPr>
              <w:jc w:val="both"/>
              <w:rPr>
                <w:sz w:val="20"/>
                <w:lang w:val="fr-CA"/>
              </w:rPr>
            </w:pPr>
            <w:hyperlink r:id="rId37" w:history="1">
              <w:r w:rsidRPr="0097709D">
                <w:rPr>
                  <w:rStyle w:val="Hyperlink"/>
                  <w:sz w:val="20"/>
                  <w:lang w:val="fr-CA"/>
                </w:rPr>
                <w:t>2013 ONSC 7397</w:t>
              </w:r>
            </w:hyperlink>
            <w:r w:rsidRPr="0097709D">
              <w:rPr>
                <w:rStyle w:val="Hyperlink"/>
                <w:sz w:val="20"/>
                <w:lang w:val="fr-CA"/>
              </w:rPr>
              <w:t xml:space="preserve"> </w:t>
            </w:r>
            <w:r w:rsidRPr="0097709D">
              <w:rPr>
                <w:sz w:val="20"/>
                <w:lang w:val="fr-CA"/>
              </w:rPr>
              <w:t xml:space="preserve">(voir également </w:t>
            </w:r>
            <w:hyperlink r:id="rId38" w:history="1">
              <w:r w:rsidRPr="0097709D">
                <w:rPr>
                  <w:rStyle w:val="Hyperlink"/>
                  <w:sz w:val="20"/>
                  <w:lang w:val="fr-CA"/>
                </w:rPr>
                <w:t>2014 ONSC 2343</w:t>
              </w:r>
            </w:hyperlink>
            <w:r w:rsidRPr="0097709D">
              <w:rPr>
                <w:sz w:val="20"/>
                <w:lang w:val="fr-CA"/>
              </w:rPr>
              <w:t xml:space="preserve"> et </w:t>
            </w:r>
            <w:hyperlink r:id="rId39" w:history="1">
              <w:r w:rsidRPr="0097709D">
                <w:rPr>
                  <w:rStyle w:val="Hyperlink"/>
                  <w:sz w:val="20"/>
                  <w:lang w:val="fr-CA"/>
                </w:rPr>
                <w:t>2014 ONSC 3698</w:t>
              </w:r>
            </w:hyperlink>
            <w:r w:rsidRPr="0097709D">
              <w:rPr>
                <w:sz w:val="20"/>
                <w:lang w:val="fr-CA"/>
              </w:rPr>
              <w:t>)</w:t>
            </w:r>
          </w:p>
          <w:p w:rsidR="0097709D" w:rsidRPr="0097709D" w:rsidRDefault="0097709D" w:rsidP="0097709D">
            <w:pPr>
              <w:jc w:val="both"/>
              <w:rPr>
                <w:sz w:val="20"/>
                <w:lang w:val="fr-CA"/>
              </w:rPr>
            </w:pPr>
          </w:p>
        </w:tc>
        <w:tc>
          <w:tcPr>
            <w:tcW w:w="267" w:type="pct"/>
          </w:tcPr>
          <w:p w:rsidR="0097709D" w:rsidRPr="0097709D" w:rsidRDefault="0097709D" w:rsidP="0097709D">
            <w:pPr>
              <w:jc w:val="both"/>
              <w:rPr>
                <w:sz w:val="20"/>
                <w:lang w:val="fr-CA"/>
              </w:rPr>
            </w:pPr>
          </w:p>
        </w:tc>
        <w:tc>
          <w:tcPr>
            <w:tcW w:w="2366" w:type="pct"/>
            <w:gridSpan w:val="2"/>
          </w:tcPr>
          <w:p w:rsidR="0097709D" w:rsidRPr="0097709D" w:rsidRDefault="0097709D" w:rsidP="0097709D">
            <w:pPr>
              <w:jc w:val="both"/>
              <w:rPr>
                <w:sz w:val="20"/>
                <w:lang w:val="fr-CA"/>
              </w:rPr>
            </w:pPr>
            <w:r w:rsidRPr="0097709D">
              <w:rPr>
                <w:sz w:val="20"/>
                <w:lang w:val="fr-CA"/>
              </w:rPr>
              <w:t>Jugement accueillant en partie l’action de la demanderesse</w:t>
            </w:r>
          </w:p>
          <w:p w:rsidR="0097709D" w:rsidRPr="0097709D" w:rsidRDefault="0097709D" w:rsidP="0097709D">
            <w:pPr>
              <w:jc w:val="both"/>
              <w:rPr>
                <w:sz w:val="20"/>
                <w:lang w:val="fr-CA"/>
              </w:rPr>
            </w:pPr>
          </w:p>
        </w:tc>
      </w:tr>
      <w:tr w:rsidR="0097709D" w:rsidRPr="0097709D" w:rsidTr="008443FF">
        <w:tblPrEx>
          <w:tblCellMar>
            <w:bottom w:w="0" w:type="dxa"/>
          </w:tblCellMar>
        </w:tblPrEx>
        <w:tc>
          <w:tcPr>
            <w:tcW w:w="2367" w:type="pct"/>
            <w:gridSpan w:val="2"/>
          </w:tcPr>
          <w:p w:rsidR="0097709D" w:rsidRPr="0097709D" w:rsidRDefault="0097709D" w:rsidP="0097709D">
            <w:pPr>
              <w:jc w:val="both"/>
              <w:rPr>
                <w:sz w:val="20"/>
                <w:lang w:val="fr-CA"/>
              </w:rPr>
            </w:pPr>
            <w:r w:rsidRPr="0097709D">
              <w:rPr>
                <w:sz w:val="20"/>
                <w:lang w:val="fr-CA"/>
              </w:rPr>
              <w:t>4 février 2016</w:t>
            </w:r>
          </w:p>
          <w:p w:rsidR="0097709D" w:rsidRPr="0097709D" w:rsidRDefault="0097709D" w:rsidP="0097709D">
            <w:pPr>
              <w:jc w:val="both"/>
              <w:rPr>
                <w:sz w:val="20"/>
                <w:lang w:val="fr-CA"/>
              </w:rPr>
            </w:pPr>
            <w:r w:rsidRPr="0097709D">
              <w:rPr>
                <w:sz w:val="20"/>
                <w:lang w:val="fr-CA"/>
              </w:rPr>
              <w:t xml:space="preserve">Cour d’appel de l’Ontario </w:t>
            </w:r>
          </w:p>
          <w:p w:rsidR="0097709D" w:rsidRPr="0097709D" w:rsidRDefault="0097709D" w:rsidP="0097709D">
            <w:pPr>
              <w:jc w:val="both"/>
              <w:rPr>
                <w:sz w:val="20"/>
                <w:lang w:val="fr-CA"/>
              </w:rPr>
            </w:pPr>
            <w:r w:rsidRPr="0097709D">
              <w:rPr>
                <w:sz w:val="20"/>
                <w:lang w:val="fr-CA"/>
              </w:rPr>
              <w:t>(Juges MacFarland, Rouleau et Roberts)</w:t>
            </w:r>
          </w:p>
          <w:p w:rsidR="0097709D" w:rsidRPr="0097709D" w:rsidRDefault="0097709D" w:rsidP="0097709D">
            <w:pPr>
              <w:jc w:val="both"/>
              <w:rPr>
                <w:sz w:val="20"/>
                <w:lang w:val="fr-CA"/>
              </w:rPr>
            </w:pPr>
            <w:hyperlink r:id="rId40" w:history="1">
              <w:r w:rsidRPr="0097709D">
                <w:rPr>
                  <w:rStyle w:val="Hyperlink"/>
                  <w:sz w:val="20"/>
                  <w:lang w:val="fr-CA"/>
                </w:rPr>
                <w:t>2016 ONCA 98</w:t>
              </w:r>
            </w:hyperlink>
            <w:r w:rsidRPr="0097709D">
              <w:rPr>
                <w:sz w:val="20"/>
                <w:lang w:val="fr-CA"/>
              </w:rPr>
              <w:t xml:space="preserve"> (non publié dans CanLII)</w:t>
            </w:r>
          </w:p>
          <w:p w:rsidR="0097709D" w:rsidRPr="0097709D" w:rsidRDefault="0097709D" w:rsidP="0097709D">
            <w:pPr>
              <w:jc w:val="both"/>
              <w:rPr>
                <w:sz w:val="20"/>
                <w:lang w:val="fr-CA"/>
              </w:rPr>
            </w:pPr>
          </w:p>
        </w:tc>
        <w:tc>
          <w:tcPr>
            <w:tcW w:w="267" w:type="pct"/>
          </w:tcPr>
          <w:p w:rsidR="0097709D" w:rsidRPr="0097709D" w:rsidRDefault="0097709D" w:rsidP="0097709D">
            <w:pPr>
              <w:jc w:val="both"/>
              <w:rPr>
                <w:sz w:val="20"/>
                <w:lang w:val="fr-CA"/>
              </w:rPr>
            </w:pPr>
          </w:p>
        </w:tc>
        <w:tc>
          <w:tcPr>
            <w:tcW w:w="2366" w:type="pct"/>
            <w:gridSpan w:val="2"/>
          </w:tcPr>
          <w:p w:rsidR="0097709D" w:rsidRPr="0097709D" w:rsidRDefault="0097709D" w:rsidP="0097709D">
            <w:pPr>
              <w:jc w:val="both"/>
              <w:rPr>
                <w:sz w:val="20"/>
                <w:lang w:val="fr-CA"/>
              </w:rPr>
            </w:pPr>
            <w:r w:rsidRPr="0097709D">
              <w:rPr>
                <w:sz w:val="20"/>
                <w:lang w:val="fr-CA"/>
              </w:rPr>
              <w:t xml:space="preserve">Arrêt accueillant en partie l’appel </w:t>
            </w:r>
          </w:p>
          <w:p w:rsidR="0097709D" w:rsidRPr="0097709D" w:rsidRDefault="0097709D" w:rsidP="0097709D">
            <w:pPr>
              <w:jc w:val="both"/>
              <w:rPr>
                <w:sz w:val="20"/>
                <w:lang w:val="fr-CA"/>
              </w:rPr>
            </w:pPr>
          </w:p>
        </w:tc>
      </w:tr>
      <w:tr w:rsidR="0097709D" w:rsidRPr="0097709D" w:rsidTr="008443FF">
        <w:tblPrEx>
          <w:tblCellMar>
            <w:bottom w:w="0" w:type="dxa"/>
          </w:tblCellMar>
        </w:tblPrEx>
        <w:tc>
          <w:tcPr>
            <w:tcW w:w="2367" w:type="pct"/>
            <w:gridSpan w:val="2"/>
          </w:tcPr>
          <w:p w:rsidR="0097709D" w:rsidRPr="0097709D" w:rsidRDefault="0097709D" w:rsidP="0097709D">
            <w:pPr>
              <w:jc w:val="both"/>
              <w:rPr>
                <w:sz w:val="20"/>
                <w:lang w:val="fr-CA"/>
              </w:rPr>
            </w:pPr>
            <w:r w:rsidRPr="0097709D">
              <w:rPr>
                <w:sz w:val="20"/>
                <w:lang w:val="fr-CA"/>
              </w:rPr>
              <w:t>4 avril 2016</w:t>
            </w:r>
          </w:p>
          <w:p w:rsidR="0097709D" w:rsidRPr="0097709D" w:rsidRDefault="0097709D" w:rsidP="0097709D">
            <w:pPr>
              <w:jc w:val="both"/>
              <w:rPr>
                <w:sz w:val="20"/>
                <w:lang w:val="fr-CA"/>
              </w:rPr>
            </w:pPr>
            <w:r w:rsidRPr="0097709D">
              <w:rPr>
                <w:sz w:val="20"/>
                <w:lang w:val="fr-CA"/>
              </w:rPr>
              <w:t>Cour suprême du Canada</w:t>
            </w:r>
          </w:p>
        </w:tc>
        <w:tc>
          <w:tcPr>
            <w:tcW w:w="267" w:type="pct"/>
          </w:tcPr>
          <w:p w:rsidR="0097709D" w:rsidRPr="0097709D" w:rsidRDefault="0097709D" w:rsidP="0097709D">
            <w:pPr>
              <w:jc w:val="both"/>
              <w:rPr>
                <w:sz w:val="20"/>
                <w:lang w:val="fr-CA"/>
              </w:rPr>
            </w:pPr>
          </w:p>
        </w:tc>
        <w:tc>
          <w:tcPr>
            <w:tcW w:w="2366" w:type="pct"/>
            <w:gridSpan w:val="2"/>
          </w:tcPr>
          <w:p w:rsidR="0097709D" w:rsidRPr="0097709D" w:rsidRDefault="0097709D" w:rsidP="0097709D">
            <w:pPr>
              <w:jc w:val="both"/>
              <w:rPr>
                <w:sz w:val="20"/>
                <w:lang w:val="fr-CA"/>
              </w:rPr>
            </w:pPr>
            <w:r w:rsidRPr="0097709D">
              <w:rPr>
                <w:sz w:val="20"/>
                <w:lang w:val="fr-CA"/>
              </w:rPr>
              <w:t>Dépôt de la demande d’autorisation d’appel</w:t>
            </w:r>
          </w:p>
          <w:p w:rsidR="0097709D" w:rsidRPr="0097709D" w:rsidRDefault="0097709D" w:rsidP="0097709D">
            <w:pPr>
              <w:jc w:val="both"/>
              <w:rPr>
                <w:sz w:val="20"/>
                <w:lang w:val="fr-CA"/>
              </w:rPr>
            </w:pPr>
          </w:p>
        </w:tc>
      </w:tr>
    </w:tbl>
    <w:p w:rsidR="0097709D" w:rsidRPr="0097709D" w:rsidRDefault="0097709D" w:rsidP="0097709D">
      <w:pPr>
        <w:jc w:val="both"/>
        <w:rPr>
          <w:sz w:val="20"/>
          <w:lang w:val="fr-CA"/>
        </w:rPr>
      </w:pPr>
    </w:p>
    <w:p w:rsidR="00EC7995" w:rsidRPr="00614FCC" w:rsidRDefault="00EC7995" w:rsidP="00614FCC">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614FCC" w:rsidRPr="00614FCC" w:rsidTr="00E90CFD">
        <w:tc>
          <w:tcPr>
            <w:tcW w:w="543" w:type="pct"/>
          </w:tcPr>
          <w:p w:rsidR="00614FCC" w:rsidRPr="00614FCC" w:rsidRDefault="00614FCC" w:rsidP="00614FCC">
            <w:pPr>
              <w:jc w:val="both"/>
              <w:rPr>
                <w:sz w:val="20"/>
                <w:lang w:val="en-CA"/>
              </w:rPr>
            </w:pPr>
            <w:r w:rsidRPr="00614FCC">
              <w:rPr>
                <w:rStyle w:val="SCCFileNumberChar"/>
                <w:sz w:val="20"/>
                <w:szCs w:val="20"/>
              </w:rPr>
              <w:t>36876</w:t>
            </w:r>
          </w:p>
        </w:tc>
        <w:tc>
          <w:tcPr>
            <w:tcW w:w="4457" w:type="pct"/>
            <w:gridSpan w:val="3"/>
          </w:tcPr>
          <w:p w:rsidR="00614FCC" w:rsidRPr="00614FCC" w:rsidRDefault="00614FCC" w:rsidP="00614FCC">
            <w:pPr>
              <w:pStyle w:val="SCCLsocParty"/>
              <w:jc w:val="both"/>
              <w:rPr>
                <w:b/>
                <w:sz w:val="20"/>
                <w:szCs w:val="20"/>
                <w:lang w:val="en-CA"/>
              </w:rPr>
            </w:pPr>
            <w:r w:rsidRPr="00614FCC">
              <w:rPr>
                <w:b/>
                <w:sz w:val="20"/>
                <w:szCs w:val="20"/>
                <w:lang w:val="en-CA"/>
              </w:rPr>
              <w:t>Raynald Grenier v. Attorney General of Canada for the Canada Revenue Agency (CRA)</w:t>
            </w:r>
          </w:p>
          <w:p w:rsidR="00614FCC" w:rsidRPr="00614FCC" w:rsidRDefault="00614FCC" w:rsidP="00614FCC">
            <w:pPr>
              <w:jc w:val="both"/>
              <w:rPr>
                <w:sz w:val="20"/>
                <w:lang w:val="en-CA"/>
              </w:rPr>
            </w:pPr>
            <w:r w:rsidRPr="00614FCC">
              <w:rPr>
                <w:sz w:val="20"/>
                <w:lang w:val="en-CA"/>
              </w:rPr>
              <w:t>(FC) (Civil) (By Leave)</w:t>
            </w:r>
          </w:p>
        </w:tc>
      </w:tr>
      <w:tr w:rsidR="00614FCC" w:rsidRPr="00614FCC" w:rsidTr="00E90CFD">
        <w:tc>
          <w:tcPr>
            <w:tcW w:w="5000" w:type="pct"/>
            <w:gridSpan w:val="4"/>
          </w:tcPr>
          <w:p w:rsidR="00614FCC" w:rsidRPr="00614FCC" w:rsidRDefault="00614FCC" w:rsidP="00614FCC">
            <w:pPr>
              <w:jc w:val="both"/>
              <w:rPr>
                <w:sz w:val="20"/>
                <w:lang w:val="en-CA"/>
              </w:rPr>
            </w:pPr>
            <w:r w:rsidRPr="00614FCC">
              <w:rPr>
                <w:i/>
                <w:sz w:val="20"/>
                <w:lang w:val="en-CA"/>
              </w:rPr>
              <w:lastRenderedPageBreak/>
              <w:t>Charter of Rights and Freedoms</w:t>
            </w:r>
            <w:r w:rsidRPr="00614FCC">
              <w:rPr>
                <w:sz w:val="20"/>
                <w:lang w:val="en-CA"/>
              </w:rPr>
              <w:t xml:space="preserve"> – Administrative law – Judicial review – Natural justice – Whether courts below erred in declining to answer constitutional questions raised by applicant – Whether courts below erred in ordering that applicant’s application for judicial review be struck out – </w:t>
            </w:r>
            <w:r w:rsidRPr="00614FCC">
              <w:rPr>
                <w:i/>
                <w:iCs/>
                <w:sz w:val="20"/>
                <w:lang w:val="en-CA"/>
              </w:rPr>
              <w:t xml:space="preserve">Income Tax Act, </w:t>
            </w:r>
            <w:r w:rsidRPr="00614FCC">
              <w:rPr>
                <w:iCs/>
                <w:sz w:val="20"/>
                <w:lang w:val="en-CA"/>
              </w:rPr>
              <w:t>RSC 1985, c. 1 (5th Supp.), s. 31.</w:t>
            </w:r>
          </w:p>
          <w:p w:rsidR="00614FCC" w:rsidRPr="00614FCC" w:rsidRDefault="00614FCC" w:rsidP="00614FCC">
            <w:pPr>
              <w:jc w:val="both"/>
              <w:rPr>
                <w:sz w:val="20"/>
                <w:lang w:val="en-CA"/>
              </w:rPr>
            </w:pPr>
          </w:p>
        </w:tc>
      </w:tr>
      <w:tr w:rsidR="00614FCC" w:rsidRPr="00614FCC" w:rsidTr="00E90CFD">
        <w:tc>
          <w:tcPr>
            <w:tcW w:w="5000" w:type="pct"/>
            <w:gridSpan w:val="4"/>
          </w:tcPr>
          <w:p w:rsidR="00614FCC" w:rsidRPr="00614FCC" w:rsidRDefault="00614FCC" w:rsidP="00614FCC">
            <w:pPr>
              <w:jc w:val="both"/>
              <w:rPr>
                <w:sz w:val="20"/>
                <w:lang w:val="en-CA"/>
              </w:rPr>
            </w:pPr>
            <w:r w:rsidRPr="00614FCC">
              <w:rPr>
                <w:sz w:val="20"/>
                <w:lang w:val="en-CA"/>
              </w:rPr>
              <w:t xml:space="preserve">The applicant’s income was from various sources, including medicine and farming. The respondent, the Canada Revenue Agency, determined that his chief source of income was neither farming nor a combination of farming and some other source of income. In 2013, the respondent denied a request for tax relief for the 1981 to 2007, 2010 and 2011 taxation years. The applicant applied for judicial review of that decision and submitted constitutional questions, including with regard to the validity of s. 31 of the </w:t>
            </w:r>
            <w:r w:rsidRPr="00614FCC">
              <w:rPr>
                <w:i/>
                <w:iCs/>
                <w:sz w:val="20"/>
                <w:lang w:val="en-CA"/>
              </w:rPr>
              <w:t xml:space="preserve">Income Tax Act, </w:t>
            </w:r>
            <w:r w:rsidRPr="00614FCC">
              <w:rPr>
                <w:iCs/>
                <w:sz w:val="20"/>
                <w:lang w:val="en-CA"/>
              </w:rPr>
              <w:t>RSC 1985, c. 1 (5th Supp.)</w:t>
            </w:r>
            <w:r w:rsidRPr="00614FCC">
              <w:rPr>
                <w:i/>
                <w:iCs/>
                <w:sz w:val="20"/>
                <w:lang w:val="en-CA"/>
              </w:rPr>
              <w:t xml:space="preserve">. </w:t>
            </w:r>
            <w:r w:rsidRPr="00614FCC">
              <w:rPr>
                <w:iCs/>
                <w:sz w:val="20"/>
                <w:lang w:val="en-CA"/>
              </w:rPr>
              <w:t xml:space="preserve">However, the Federal Court did not address those questions, since it allowed the respondent’s motion to strike, finding that the application for judicial review had no reasonable chance of success. </w:t>
            </w:r>
          </w:p>
        </w:tc>
      </w:tr>
      <w:tr w:rsidR="00614FCC" w:rsidRPr="00614FCC" w:rsidTr="00E90CFD">
        <w:tc>
          <w:tcPr>
            <w:tcW w:w="5000" w:type="pct"/>
            <w:gridSpan w:val="4"/>
          </w:tcPr>
          <w:p w:rsidR="00614FCC" w:rsidRPr="00614FCC" w:rsidRDefault="00614FCC" w:rsidP="00614FCC">
            <w:pPr>
              <w:jc w:val="both"/>
              <w:rPr>
                <w:sz w:val="20"/>
                <w:lang w:val="en-CA"/>
              </w:rPr>
            </w:pPr>
          </w:p>
        </w:tc>
      </w:tr>
      <w:tr w:rsidR="00614FCC" w:rsidRPr="00614FCC" w:rsidTr="00E90CFD">
        <w:tblPrEx>
          <w:tblCellMar>
            <w:bottom w:w="0" w:type="dxa"/>
          </w:tblCellMar>
        </w:tblPrEx>
        <w:tc>
          <w:tcPr>
            <w:tcW w:w="2390" w:type="pct"/>
            <w:gridSpan w:val="2"/>
          </w:tcPr>
          <w:p w:rsidR="00614FCC" w:rsidRPr="00614FCC" w:rsidRDefault="00614FCC" w:rsidP="00614FCC">
            <w:pPr>
              <w:jc w:val="both"/>
              <w:rPr>
                <w:sz w:val="20"/>
                <w:lang w:val="en-CA"/>
              </w:rPr>
            </w:pPr>
            <w:r w:rsidRPr="00614FCC">
              <w:rPr>
                <w:sz w:val="20"/>
                <w:lang w:val="en-CA"/>
              </w:rPr>
              <w:t>May 27, 2014</w:t>
            </w:r>
          </w:p>
          <w:p w:rsidR="00614FCC" w:rsidRPr="00614FCC" w:rsidRDefault="00614FCC" w:rsidP="00614FCC">
            <w:pPr>
              <w:jc w:val="both"/>
              <w:rPr>
                <w:sz w:val="20"/>
                <w:lang w:val="en-CA"/>
              </w:rPr>
            </w:pPr>
            <w:r w:rsidRPr="00614FCC">
              <w:rPr>
                <w:sz w:val="20"/>
                <w:lang w:val="en-CA"/>
              </w:rPr>
              <w:t>Federal Court (Martineau J.)</w:t>
            </w:r>
          </w:p>
          <w:p w:rsidR="00614FCC" w:rsidRPr="00614FCC" w:rsidRDefault="00614FCC" w:rsidP="00614FCC">
            <w:pPr>
              <w:jc w:val="both"/>
              <w:rPr>
                <w:sz w:val="20"/>
                <w:lang w:val="en-CA"/>
              </w:rPr>
            </w:pPr>
            <w:hyperlink r:id="rId41" w:history="1">
              <w:r w:rsidRPr="00614FCC">
                <w:rPr>
                  <w:rStyle w:val="Hyperlink"/>
                  <w:sz w:val="20"/>
                  <w:lang w:val="en-CA"/>
                </w:rPr>
                <w:t>2014 FC 504</w:t>
              </w:r>
            </w:hyperlink>
          </w:p>
          <w:p w:rsidR="00614FCC" w:rsidRPr="00614FCC" w:rsidRDefault="00614FCC" w:rsidP="00614FCC">
            <w:pPr>
              <w:jc w:val="both"/>
              <w:rPr>
                <w:sz w:val="20"/>
                <w:lang w:val="en-CA"/>
              </w:rPr>
            </w:pPr>
          </w:p>
        </w:tc>
        <w:tc>
          <w:tcPr>
            <w:tcW w:w="270" w:type="pct"/>
          </w:tcPr>
          <w:p w:rsidR="00614FCC" w:rsidRPr="00614FCC" w:rsidRDefault="00614FCC" w:rsidP="00614FCC">
            <w:pPr>
              <w:jc w:val="both"/>
              <w:rPr>
                <w:sz w:val="20"/>
                <w:lang w:val="en-CA"/>
              </w:rPr>
            </w:pPr>
          </w:p>
        </w:tc>
        <w:tc>
          <w:tcPr>
            <w:tcW w:w="2340" w:type="pct"/>
          </w:tcPr>
          <w:p w:rsidR="00614FCC" w:rsidRPr="00614FCC" w:rsidRDefault="00614FCC" w:rsidP="00614FCC">
            <w:pPr>
              <w:jc w:val="both"/>
              <w:rPr>
                <w:sz w:val="20"/>
                <w:lang w:val="en-CA"/>
              </w:rPr>
            </w:pPr>
            <w:r w:rsidRPr="00614FCC">
              <w:rPr>
                <w:sz w:val="20"/>
                <w:lang w:val="en-CA"/>
              </w:rPr>
              <w:t xml:space="preserve">Motion to strike application for judicial review allowed </w:t>
            </w:r>
          </w:p>
        </w:tc>
      </w:tr>
      <w:tr w:rsidR="00614FCC" w:rsidRPr="00614FCC" w:rsidTr="00E90CFD">
        <w:tblPrEx>
          <w:tblCellMar>
            <w:bottom w:w="0" w:type="dxa"/>
          </w:tblCellMar>
        </w:tblPrEx>
        <w:tc>
          <w:tcPr>
            <w:tcW w:w="2390" w:type="pct"/>
            <w:gridSpan w:val="2"/>
          </w:tcPr>
          <w:p w:rsidR="00614FCC" w:rsidRPr="00614FCC" w:rsidRDefault="00614FCC" w:rsidP="00614FCC">
            <w:pPr>
              <w:jc w:val="both"/>
              <w:rPr>
                <w:sz w:val="20"/>
                <w:lang w:val="en-CA"/>
              </w:rPr>
            </w:pPr>
            <w:r w:rsidRPr="00614FCC">
              <w:rPr>
                <w:sz w:val="20"/>
                <w:lang w:val="en-CA"/>
              </w:rPr>
              <w:t>December 17, 2015</w:t>
            </w:r>
          </w:p>
          <w:p w:rsidR="00614FCC" w:rsidRPr="00614FCC" w:rsidRDefault="00614FCC" w:rsidP="00614FCC">
            <w:pPr>
              <w:jc w:val="both"/>
              <w:rPr>
                <w:sz w:val="20"/>
                <w:lang w:val="en-CA"/>
              </w:rPr>
            </w:pPr>
            <w:r w:rsidRPr="00614FCC">
              <w:rPr>
                <w:sz w:val="20"/>
                <w:lang w:val="en-CA"/>
              </w:rPr>
              <w:t>Federal Court of Appeal</w:t>
            </w:r>
          </w:p>
          <w:p w:rsidR="00614FCC" w:rsidRPr="00614FCC" w:rsidRDefault="00614FCC" w:rsidP="00614FCC">
            <w:pPr>
              <w:jc w:val="both"/>
              <w:rPr>
                <w:sz w:val="20"/>
                <w:lang w:val="en-CA"/>
              </w:rPr>
            </w:pPr>
            <w:r w:rsidRPr="00614FCC">
              <w:rPr>
                <w:sz w:val="20"/>
                <w:lang w:val="en-CA"/>
              </w:rPr>
              <w:t>(Nadon, Trudel and Scott JJ.A.)</w:t>
            </w:r>
          </w:p>
          <w:p w:rsidR="00614FCC" w:rsidRPr="00614FCC" w:rsidRDefault="00614FCC" w:rsidP="00614FCC">
            <w:pPr>
              <w:jc w:val="both"/>
              <w:rPr>
                <w:sz w:val="20"/>
                <w:lang w:val="en-CA"/>
              </w:rPr>
            </w:pPr>
            <w:hyperlink r:id="rId42" w:history="1">
              <w:r w:rsidRPr="00614FCC">
                <w:rPr>
                  <w:rStyle w:val="Hyperlink"/>
                  <w:sz w:val="20"/>
                  <w:lang w:val="en-CA"/>
                </w:rPr>
                <w:t>2015 FCA 292</w:t>
              </w:r>
            </w:hyperlink>
          </w:p>
          <w:p w:rsidR="00614FCC" w:rsidRPr="00614FCC" w:rsidRDefault="00614FCC" w:rsidP="00614FCC">
            <w:pPr>
              <w:jc w:val="both"/>
              <w:rPr>
                <w:sz w:val="20"/>
                <w:lang w:val="en-CA"/>
              </w:rPr>
            </w:pPr>
          </w:p>
        </w:tc>
        <w:tc>
          <w:tcPr>
            <w:tcW w:w="270" w:type="pct"/>
          </w:tcPr>
          <w:p w:rsidR="00614FCC" w:rsidRPr="00614FCC" w:rsidRDefault="00614FCC" w:rsidP="00614FCC">
            <w:pPr>
              <w:jc w:val="both"/>
              <w:rPr>
                <w:sz w:val="20"/>
                <w:lang w:val="en-CA"/>
              </w:rPr>
            </w:pPr>
          </w:p>
        </w:tc>
        <w:tc>
          <w:tcPr>
            <w:tcW w:w="2340" w:type="pct"/>
          </w:tcPr>
          <w:p w:rsidR="00614FCC" w:rsidRPr="00614FCC" w:rsidRDefault="00614FCC" w:rsidP="00614FCC">
            <w:pPr>
              <w:jc w:val="both"/>
              <w:rPr>
                <w:sz w:val="20"/>
                <w:lang w:val="en-CA"/>
              </w:rPr>
            </w:pPr>
            <w:r w:rsidRPr="00614FCC">
              <w:rPr>
                <w:sz w:val="20"/>
                <w:lang w:val="en-CA"/>
              </w:rPr>
              <w:t>Appeal dismissed</w:t>
            </w:r>
          </w:p>
          <w:p w:rsidR="00614FCC" w:rsidRPr="00614FCC" w:rsidRDefault="00614FCC" w:rsidP="00614FCC">
            <w:pPr>
              <w:jc w:val="both"/>
              <w:rPr>
                <w:sz w:val="20"/>
                <w:lang w:val="en-CA"/>
              </w:rPr>
            </w:pPr>
          </w:p>
        </w:tc>
      </w:tr>
      <w:tr w:rsidR="00614FCC" w:rsidRPr="00614FCC" w:rsidTr="00E90CFD">
        <w:tblPrEx>
          <w:tblCellMar>
            <w:bottom w:w="0" w:type="dxa"/>
          </w:tblCellMar>
        </w:tblPrEx>
        <w:tc>
          <w:tcPr>
            <w:tcW w:w="2390" w:type="pct"/>
            <w:gridSpan w:val="2"/>
          </w:tcPr>
          <w:p w:rsidR="00614FCC" w:rsidRPr="00614FCC" w:rsidRDefault="00614FCC" w:rsidP="00614FCC">
            <w:pPr>
              <w:jc w:val="both"/>
              <w:rPr>
                <w:sz w:val="20"/>
                <w:lang w:val="en-CA"/>
              </w:rPr>
            </w:pPr>
            <w:r w:rsidRPr="00614FCC">
              <w:rPr>
                <w:sz w:val="20"/>
                <w:lang w:val="en-CA"/>
              </w:rPr>
              <w:t>January 5, 2016</w:t>
            </w:r>
          </w:p>
          <w:p w:rsidR="00614FCC" w:rsidRPr="00614FCC" w:rsidRDefault="00614FCC" w:rsidP="00614FCC">
            <w:pPr>
              <w:jc w:val="both"/>
              <w:rPr>
                <w:sz w:val="20"/>
                <w:lang w:val="en-CA"/>
              </w:rPr>
            </w:pPr>
            <w:r w:rsidRPr="00614FCC">
              <w:rPr>
                <w:sz w:val="20"/>
                <w:lang w:val="en-CA"/>
              </w:rPr>
              <w:t>Supreme Court of Canada</w:t>
            </w:r>
          </w:p>
        </w:tc>
        <w:tc>
          <w:tcPr>
            <w:tcW w:w="270" w:type="pct"/>
          </w:tcPr>
          <w:p w:rsidR="00614FCC" w:rsidRPr="00614FCC" w:rsidRDefault="00614FCC" w:rsidP="00614FCC">
            <w:pPr>
              <w:jc w:val="both"/>
              <w:rPr>
                <w:sz w:val="20"/>
                <w:lang w:val="en-CA"/>
              </w:rPr>
            </w:pPr>
          </w:p>
        </w:tc>
        <w:tc>
          <w:tcPr>
            <w:tcW w:w="2340" w:type="pct"/>
          </w:tcPr>
          <w:p w:rsidR="00614FCC" w:rsidRPr="00614FCC" w:rsidRDefault="00614FCC" w:rsidP="00614FCC">
            <w:pPr>
              <w:jc w:val="both"/>
              <w:rPr>
                <w:sz w:val="20"/>
                <w:lang w:val="en-CA"/>
              </w:rPr>
            </w:pPr>
            <w:r w:rsidRPr="00614FCC">
              <w:rPr>
                <w:sz w:val="20"/>
                <w:lang w:val="en-CA"/>
              </w:rPr>
              <w:t>Application for leave to appeal filed</w:t>
            </w:r>
          </w:p>
          <w:p w:rsidR="00614FCC" w:rsidRPr="00614FCC" w:rsidRDefault="00614FCC" w:rsidP="00614FCC">
            <w:pPr>
              <w:jc w:val="both"/>
              <w:rPr>
                <w:sz w:val="20"/>
                <w:lang w:val="en-CA"/>
              </w:rPr>
            </w:pPr>
          </w:p>
        </w:tc>
      </w:tr>
    </w:tbl>
    <w:p w:rsidR="00614FCC" w:rsidRPr="00614FCC" w:rsidRDefault="00614FCC" w:rsidP="00614FCC">
      <w:pPr>
        <w:jc w:val="both"/>
        <w:rPr>
          <w:sz w:val="20"/>
          <w:lang w:val="en-CA"/>
        </w:rPr>
      </w:pPr>
    </w:p>
    <w:p w:rsidR="00614FCC" w:rsidRPr="00614FCC" w:rsidRDefault="00614FCC" w:rsidP="00614FC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614FCC" w:rsidRPr="00614FCC" w:rsidTr="00E90CFD">
        <w:tc>
          <w:tcPr>
            <w:tcW w:w="543" w:type="pct"/>
          </w:tcPr>
          <w:p w:rsidR="00614FCC" w:rsidRPr="00614FCC" w:rsidRDefault="00614FCC" w:rsidP="00614FCC">
            <w:pPr>
              <w:jc w:val="both"/>
              <w:rPr>
                <w:sz w:val="20"/>
              </w:rPr>
            </w:pPr>
            <w:r w:rsidRPr="00614FCC">
              <w:rPr>
                <w:rStyle w:val="SCCFileNumberChar"/>
                <w:sz w:val="20"/>
                <w:szCs w:val="20"/>
              </w:rPr>
              <w:t>36876</w:t>
            </w:r>
          </w:p>
        </w:tc>
        <w:tc>
          <w:tcPr>
            <w:tcW w:w="4457" w:type="pct"/>
            <w:gridSpan w:val="3"/>
          </w:tcPr>
          <w:p w:rsidR="00614FCC" w:rsidRPr="00614FCC" w:rsidRDefault="00614FCC" w:rsidP="00614FCC">
            <w:pPr>
              <w:pStyle w:val="SCCLsocParty"/>
              <w:jc w:val="both"/>
              <w:rPr>
                <w:b/>
                <w:sz w:val="20"/>
                <w:szCs w:val="20"/>
              </w:rPr>
            </w:pPr>
            <w:r w:rsidRPr="00614FCC">
              <w:rPr>
                <w:b/>
                <w:sz w:val="20"/>
                <w:szCs w:val="20"/>
              </w:rPr>
              <w:t>Raynald Grenier c. Procureur général du Canada pour l'Agence du revenu du Canada (ARC)</w:t>
            </w:r>
          </w:p>
          <w:p w:rsidR="00614FCC" w:rsidRPr="00614FCC" w:rsidRDefault="00614FCC" w:rsidP="00614FCC">
            <w:pPr>
              <w:jc w:val="both"/>
              <w:rPr>
                <w:sz w:val="20"/>
              </w:rPr>
            </w:pPr>
            <w:r w:rsidRPr="00614FCC">
              <w:rPr>
                <w:sz w:val="20"/>
              </w:rPr>
              <w:t>(CF) (Civile) (Autorisation)</w:t>
            </w:r>
          </w:p>
        </w:tc>
      </w:tr>
      <w:tr w:rsidR="00614FCC" w:rsidRPr="00614FCC" w:rsidTr="00E90CFD">
        <w:tc>
          <w:tcPr>
            <w:tcW w:w="5000" w:type="pct"/>
            <w:gridSpan w:val="4"/>
          </w:tcPr>
          <w:p w:rsidR="00614FCC" w:rsidRPr="00614FCC" w:rsidRDefault="00614FCC" w:rsidP="00614FCC">
            <w:pPr>
              <w:jc w:val="both"/>
              <w:rPr>
                <w:sz w:val="20"/>
              </w:rPr>
            </w:pPr>
            <w:r w:rsidRPr="00614FCC">
              <w:rPr>
                <w:i/>
                <w:sz w:val="20"/>
              </w:rPr>
              <w:t>Charte des droits et libertés</w:t>
            </w:r>
            <w:r w:rsidRPr="00614FCC">
              <w:rPr>
                <w:sz w:val="20"/>
              </w:rPr>
              <w:t xml:space="preserve"> – Droit administratif – Contrôle judiciaire – Justice naturelle – Les tribunaux inférieurs ont-ils erré en s’abstenant de répondre aux questions constitutionnelles soulevées par le demandeur? – Les tribunaux inférieurs ont-ils erré en ordonnant la radiation de la demande de contrôle judiciaire du demandeur? – </w:t>
            </w:r>
            <w:r w:rsidRPr="00614FCC">
              <w:rPr>
                <w:i/>
                <w:iCs/>
                <w:sz w:val="20"/>
              </w:rPr>
              <w:t xml:space="preserve">Loi de l’impôt sur le revenu, </w:t>
            </w:r>
            <w:r w:rsidRPr="00614FCC">
              <w:rPr>
                <w:iCs/>
                <w:sz w:val="20"/>
              </w:rPr>
              <w:t>LRC 1985, ch. 1 (5</w:t>
            </w:r>
            <w:r w:rsidRPr="00614FCC">
              <w:rPr>
                <w:iCs/>
                <w:sz w:val="20"/>
                <w:vertAlign w:val="superscript"/>
              </w:rPr>
              <w:t>e</w:t>
            </w:r>
            <w:r w:rsidRPr="00614FCC">
              <w:rPr>
                <w:iCs/>
                <w:sz w:val="20"/>
              </w:rPr>
              <w:t xml:space="preserve"> suppl), art. 31</w:t>
            </w:r>
          </w:p>
          <w:p w:rsidR="00614FCC" w:rsidRPr="00614FCC" w:rsidRDefault="00614FCC" w:rsidP="00614FCC">
            <w:pPr>
              <w:jc w:val="both"/>
              <w:rPr>
                <w:sz w:val="20"/>
              </w:rPr>
            </w:pPr>
          </w:p>
        </w:tc>
      </w:tr>
      <w:tr w:rsidR="00614FCC" w:rsidRPr="00614FCC" w:rsidTr="00E90CFD">
        <w:tc>
          <w:tcPr>
            <w:tcW w:w="5000" w:type="pct"/>
            <w:gridSpan w:val="4"/>
          </w:tcPr>
          <w:p w:rsidR="00614FCC" w:rsidRPr="00614FCC" w:rsidRDefault="00614FCC" w:rsidP="00614FCC">
            <w:pPr>
              <w:jc w:val="both"/>
              <w:rPr>
                <w:sz w:val="20"/>
              </w:rPr>
            </w:pPr>
            <w:r w:rsidRPr="00614FCC">
              <w:rPr>
                <w:sz w:val="20"/>
              </w:rPr>
              <w:t xml:space="preserve">Le demandeur tire ses revenus de différentes sources, dont la médecine et l’agriculture. Or, l’intimée, l’Agence du revenu du Canada, a déterminé que la source principale de ses revenus n’était pas l’agriculture ni une combinaison de l’agriculture et d’une autre source. En 2013, l’intimée refuse une demande d’allègement fiscal pour les années d’imposition 1981 à 2007, 2010 et 2011. Le demandeur dépose une demande de contrôle judiciaire de cette décision et présente des questions constitutionnelles, notamment quant à la validité de l’art. 31 de la </w:t>
            </w:r>
            <w:r w:rsidRPr="00614FCC">
              <w:rPr>
                <w:i/>
                <w:iCs/>
                <w:sz w:val="20"/>
              </w:rPr>
              <w:t xml:space="preserve">Loi de l’impôt sur le revenu, </w:t>
            </w:r>
            <w:r w:rsidRPr="00614FCC">
              <w:rPr>
                <w:iCs/>
                <w:sz w:val="20"/>
              </w:rPr>
              <w:t>LRC 1985, ch. 1 (5</w:t>
            </w:r>
            <w:r w:rsidRPr="00614FCC">
              <w:rPr>
                <w:iCs/>
                <w:sz w:val="20"/>
                <w:vertAlign w:val="superscript"/>
              </w:rPr>
              <w:t>e</w:t>
            </w:r>
            <w:r w:rsidRPr="00614FCC">
              <w:rPr>
                <w:iCs/>
                <w:sz w:val="20"/>
              </w:rPr>
              <w:t xml:space="preserve"> suppl)</w:t>
            </w:r>
            <w:r w:rsidRPr="00614FCC">
              <w:rPr>
                <w:i/>
                <w:iCs/>
                <w:sz w:val="20"/>
              </w:rPr>
              <w:t xml:space="preserve">. </w:t>
            </w:r>
            <w:r w:rsidRPr="00614FCC">
              <w:rPr>
                <w:iCs/>
                <w:sz w:val="20"/>
              </w:rPr>
              <w:t xml:space="preserve">Toutefois, la Cour fédérale n’adresse pas ces questions puisqu’elle accueille la requête en radiation de l’intimée, constatant que la demande de contrôle judiciaire n’a aucune chance raisonnable de succès. </w:t>
            </w:r>
          </w:p>
        </w:tc>
      </w:tr>
      <w:tr w:rsidR="00614FCC" w:rsidRPr="00614FCC" w:rsidTr="00E90CFD">
        <w:tc>
          <w:tcPr>
            <w:tcW w:w="5000" w:type="pct"/>
            <w:gridSpan w:val="4"/>
          </w:tcPr>
          <w:p w:rsidR="00614FCC" w:rsidRPr="00614FCC" w:rsidRDefault="00614FCC" w:rsidP="00614FCC">
            <w:pPr>
              <w:jc w:val="both"/>
              <w:rPr>
                <w:sz w:val="20"/>
              </w:rPr>
            </w:pPr>
          </w:p>
        </w:tc>
      </w:tr>
      <w:tr w:rsidR="00614FCC" w:rsidRPr="00614FCC" w:rsidTr="00E90CFD">
        <w:tblPrEx>
          <w:tblCellMar>
            <w:bottom w:w="0" w:type="dxa"/>
          </w:tblCellMar>
        </w:tblPrEx>
        <w:tc>
          <w:tcPr>
            <w:tcW w:w="2390" w:type="pct"/>
            <w:gridSpan w:val="2"/>
          </w:tcPr>
          <w:p w:rsidR="00614FCC" w:rsidRPr="00614FCC" w:rsidRDefault="00614FCC" w:rsidP="00614FCC">
            <w:pPr>
              <w:jc w:val="both"/>
              <w:rPr>
                <w:sz w:val="20"/>
              </w:rPr>
            </w:pPr>
            <w:r w:rsidRPr="00614FCC">
              <w:rPr>
                <w:sz w:val="20"/>
              </w:rPr>
              <w:t>Le 27 mai 2014</w:t>
            </w:r>
          </w:p>
          <w:p w:rsidR="00614FCC" w:rsidRPr="00614FCC" w:rsidRDefault="00614FCC" w:rsidP="00614FCC">
            <w:pPr>
              <w:jc w:val="both"/>
              <w:rPr>
                <w:sz w:val="20"/>
              </w:rPr>
            </w:pPr>
            <w:r w:rsidRPr="00614FCC">
              <w:rPr>
                <w:sz w:val="20"/>
              </w:rPr>
              <w:t>Cour fédérale (le juge Martineau)</w:t>
            </w:r>
          </w:p>
          <w:p w:rsidR="00614FCC" w:rsidRPr="00614FCC" w:rsidRDefault="00614FCC" w:rsidP="00614FCC">
            <w:pPr>
              <w:jc w:val="both"/>
              <w:rPr>
                <w:sz w:val="20"/>
              </w:rPr>
            </w:pPr>
            <w:hyperlink r:id="rId43" w:history="1">
              <w:r w:rsidRPr="00614FCC">
                <w:rPr>
                  <w:rStyle w:val="Hyperlink"/>
                  <w:sz w:val="20"/>
                </w:rPr>
                <w:t>2014 CF 504</w:t>
              </w:r>
            </w:hyperlink>
          </w:p>
          <w:p w:rsidR="00614FCC" w:rsidRPr="00614FCC" w:rsidRDefault="00614FCC" w:rsidP="00614FCC">
            <w:pPr>
              <w:jc w:val="both"/>
              <w:rPr>
                <w:sz w:val="20"/>
              </w:rPr>
            </w:pPr>
          </w:p>
        </w:tc>
        <w:tc>
          <w:tcPr>
            <w:tcW w:w="270" w:type="pct"/>
          </w:tcPr>
          <w:p w:rsidR="00614FCC" w:rsidRPr="00614FCC" w:rsidRDefault="00614FCC" w:rsidP="00614FCC">
            <w:pPr>
              <w:jc w:val="both"/>
              <w:rPr>
                <w:sz w:val="20"/>
              </w:rPr>
            </w:pPr>
          </w:p>
        </w:tc>
        <w:tc>
          <w:tcPr>
            <w:tcW w:w="2340" w:type="pct"/>
          </w:tcPr>
          <w:p w:rsidR="00614FCC" w:rsidRPr="00614FCC" w:rsidRDefault="00614FCC" w:rsidP="00614FCC">
            <w:pPr>
              <w:jc w:val="both"/>
              <w:rPr>
                <w:sz w:val="20"/>
              </w:rPr>
            </w:pPr>
            <w:r w:rsidRPr="00614FCC">
              <w:rPr>
                <w:sz w:val="20"/>
              </w:rPr>
              <w:t xml:space="preserve">Requête en radiation de demande de contrôle judiciaire accueillie </w:t>
            </w:r>
          </w:p>
        </w:tc>
      </w:tr>
      <w:tr w:rsidR="00614FCC" w:rsidRPr="00614FCC" w:rsidTr="00E90CFD">
        <w:tblPrEx>
          <w:tblCellMar>
            <w:bottom w:w="0" w:type="dxa"/>
          </w:tblCellMar>
        </w:tblPrEx>
        <w:tc>
          <w:tcPr>
            <w:tcW w:w="2390" w:type="pct"/>
            <w:gridSpan w:val="2"/>
          </w:tcPr>
          <w:p w:rsidR="00614FCC" w:rsidRPr="00614FCC" w:rsidRDefault="00614FCC" w:rsidP="00614FCC">
            <w:pPr>
              <w:jc w:val="both"/>
              <w:rPr>
                <w:sz w:val="20"/>
              </w:rPr>
            </w:pPr>
            <w:r w:rsidRPr="00614FCC">
              <w:rPr>
                <w:sz w:val="20"/>
              </w:rPr>
              <w:t>Le 17 décembre 2015</w:t>
            </w:r>
          </w:p>
          <w:p w:rsidR="00614FCC" w:rsidRPr="00614FCC" w:rsidRDefault="00614FCC" w:rsidP="00614FCC">
            <w:pPr>
              <w:jc w:val="both"/>
              <w:rPr>
                <w:sz w:val="20"/>
              </w:rPr>
            </w:pPr>
            <w:r w:rsidRPr="00614FCC">
              <w:rPr>
                <w:sz w:val="20"/>
              </w:rPr>
              <w:t>Cour d’appel fédérale</w:t>
            </w:r>
          </w:p>
          <w:p w:rsidR="00614FCC" w:rsidRPr="00614FCC" w:rsidRDefault="00614FCC" w:rsidP="00614FCC">
            <w:pPr>
              <w:jc w:val="both"/>
              <w:rPr>
                <w:sz w:val="20"/>
              </w:rPr>
            </w:pPr>
            <w:r w:rsidRPr="00614FCC">
              <w:rPr>
                <w:sz w:val="20"/>
              </w:rPr>
              <w:t>(les juges Nadon, Trudel et Scott)</w:t>
            </w:r>
          </w:p>
          <w:p w:rsidR="00614FCC" w:rsidRPr="00614FCC" w:rsidRDefault="00614FCC" w:rsidP="00614FCC">
            <w:pPr>
              <w:jc w:val="both"/>
              <w:rPr>
                <w:sz w:val="20"/>
              </w:rPr>
            </w:pPr>
            <w:hyperlink r:id="rId44" w:history="1">
              <w:r w:rsidRPr="00614FCC">
                <w:rPr>
                  <w:rStyle w:val="Hyperlink"/>
                  <w:sz w:val="20"/>
                </w:rPr>
                <w:t>2015 CAF 292</w:t>
              </w:r>
            </w:hyperlink>
          </w:p>
          <w:p w:rsidR="00614FCC" w:rsidRPr="00614FCC" w:rsidRDefault="00614FCC" w:rsidP="00614FCC">
            <w:pPr>
              <w:jc w:val="both"/>
              <w:rPr>
                <w:sz w:val="20"/>
              </w:rPr>
            </w:pPr>
          </w:p>
        </w:tc>
        <w:tc>
          <w:tcPr>
            <w:tcW w:w="270" w:type="pct"/>
          </w:tcPr>
          <w:p w:rsidR="00614FCC" w:rsidRPr="00614FCC" w:rsidRDefault="00614FCC" w:rsidP="00614FCC">
            <w:pPr>
              <w:jc w:val="both"/>
              <w:rPr>
                <w:sz w:val="20"/>
              </w:rPr>
            </w:pPr>
          </w:p>
        </w:tc>
        <w:tc>
          <w:tcPr>
            <w:tcW w:w="2340" w:type="pct"/>
          </w:tcPr>
          <w:p w:rsidR="00614FCC" w:rsidRPr="00614FCC" w:rsidRDefault="00614FCC" w:rsidP="00614FCC">
            <w:pPr>
              <w:jc w:val="both"/>
              <w:rPr>
                <w:sz w:val="20"/>
              </w:rPr>
            </w:pPr>
            <w:r w:rsidRPr="00614FCC">
              <w:rPr>
                <w:sz w:val="20"/>
              </w:rPr>
              <w:t>Appel rejeté</w:t>
            </w:r>
          </w:p>
          <w:p w:rsidR="00614FCC" w:rsidRPr="00614FCC" w:rsidRDefault="00614FCC" w:rsidP="00614FCC">
            <w:pPr>
              <w:jc w:val="both"/>
              <w:rPr>
                <w:sz w:val="20"/>
              </w:rPr>
            </w:pPr>
          </w:p>
        </w:tc>
      </w:tr>
      <w:tr w:rsidR="00614FCC" w:rsidRPr="00614FCC" w:rsidTr="00E90CFD">
        <w:tblPrEx>
          <w:tblCellMar>
            <w:bottom w:w="0" w:type="dxa"/>
          </w:tblCellMar>
        </w:tblPrEx>
        <w:tc>
          <w:tcPr>
            <w:tcW w:w="2390" w:type="pct"/>
            <w:gridSpan w:val="2"/>
          </w:tcPr>
          <w:p w:rsidR="00614FCC" w:rsidRPr="00614FCC" w:rsidRDefault="00614FCC" w:rsidP="00614FCC">
            <w:pPr>
              <w:jc w:val="both"/>
              <w:rPr>
                <w:sz w:val="20"/>
              </w:rPr>
            </w:pPr>
            <w:r w:rsidRPr="00614FCC">
              <w:rPr>
                <w:sz w:val="20"/>
              </w:rPr>
              <w:t>Le 5 janvier 2016</w:t>
            </w:r>
          </w:p>
          <w:p w:rsidR="00614FCC" w:rsidRPr="00614FCC" w:rsidRDefault="00614FCC" w:rsidP="00614FCC">
            <w:pPr>
              <w:jc w:val="both"/>
              <w:rPr>
                <w:sz w:val="20"/>
              </w:rPr>
            </w:pPr>
            <w:r w:rsidRPr="00614FCC">
              <w:rPr>
                <w:sz w:val="20"/>
              </w:rPr>
              <w:t>Cour suprême du Canada</w:t>
            </w:r>
          </w:p>
        </w:tc>
        <w:tc>
          <w:tcPr>
            <w:tcW w:w="270" w:type="pct"/>
          </w:tcPr>
          <w:p w:rsidR="00614FCC" w:rsidRPr="00614FCC" w:rsidRDefault="00614FCC" w:rsidP="00614FCC">
            <w:pPr>
              <w:jc w:val="both"/>
              <w:rPr>
                <w:sz w:val="20"/>
              </w:rPr>
            </w:pPr>
          </w:p>
        </w:tc>
        <w:tc>
          <w:tcPr>
            <w:tcW w:w="2340" w:type="pct"/>
          </w:tcPr>
          <w:p w:rsidR="00614FCC" w:rsidRPr="00614FCC" w:rsidRDefault="00614FCC" w:rsidP="00614FCC">
            <w:pPr>
              <w:jc w:val="both"/>
              <w:rPr>
                <w:sz w:val="20"/>
              </w:rPr>
            </w:pPr>
            <w:r w:rsidRPr="00614FCC">
              <w:rPr>
                <w:sz w:val="20"/>
              </w:rPr>
              <w:t>Demande d'autorisation d'appel déposée</w:t>
            </w:r>
          </w:p>
          <w:p w:rsidR="00614FCC" w:rsidRPr="00614FCC" w:rsidRDefault="00614FCC" w:rsidP="00614FCC">
            <w:pPr>
              <w:jc w:val="both"/>
              <w:rPr>
                <w:sz w:val="20"/>
              </w:rPr>
            </w:pPr>
          </w:p>
        </w:tc>
      </w:tr>
    </w:tbl>
    <w:p w:rsidR="00614FCC" w:rsidRPr="00614FCC" w:rsidRDefault="00614FCC" w:rsidP="00614FCC">
      <w:pPr>
        <w:jc w:val="both"/>
        <w:rPr>
          <w:sz w:val="20"/>
        </w:rPr>
      </w:pPr>
    </w:p>
    <w:p w:rsidR="00614FCC" w:rsidRPr="00614FCC" w:rsidRDefault="00614FCC" w:rsidP="00614FCC">
      <w:pPr>
        <w:jc w:val="both"/>
        <w:rPr>
          <w:sz w:val="20"/>
        </w:rPr>
      </w:pPr>
    </w:p>
    <w:p w:rsidR="00EC7995" w:rsidRDefault="00EC7995" w:rsidP="00BE2C4B">
      <w:pPr>
        <w:widowControl w:val="0"/>
        <w:autoSpaceDE w:val="0"/>
        <w:autoSpaceDN w:val="0"/>
        <w:adjustRightInd w:val="0"/>
        <w:ind w:left="360" w:hanging="360"/>
        <w:rPr>
          <w:rFonts w:eastAsiaTheme="minorEastAsia"/>
          <w:sz w:val="20"/>
          <w:lang w:val="en-CA" w:eastAsia="en-CA"/>
        </w:rPr>
      </w:pPr>
    </w:p>
    <w:p w:rsidR="00D3344A" w:rsidRPr="004473E9" w:rsidRDefault="00D3344A" w:rsidP="00D3344A">
      <w:pPr>
        <w:widowControl w:val="0"/>
        <w:outlineLvl w:val="0"/>
      </w:pPr>
      <w:r w:rsidRPr="004473E9">
        <w:t xml:space="preserve">Supreme Court of Canada / Cour suprême du </w:t>
      </w:r>
      <w:proofErr w:type="gramStart"/>
      <w:r w:rsidRPr="004473E9">
        <w:t>Canada :</w:t>
      </w:r>
      <w:proofErr w:type="gramEnd"/>
    </w:p>
    <w:p w:rsidR="00D3344A" w:rsidRPr="004473E9" w:rsidRDefault="00A23036" w:rsidP="00D3344A">
      <w:pPr>
        <w:widowControl w:val="0"/>
        <w:outlineLvl w:val="0"/>
        <w:rPr>
          <w:u w:val="single"/>
        </w:rPr>
      </w:pPr>
      <w:hyperlink r:id="rId45" w:history="1">
        <w:r w:rsidR="00D3344A" w:rsidRPr="004473E9">
          <w:rPr>
            <w:rStyle w:val="Hyperlink"/>
          </w:rPr>
          <w:t>comments-commentaires@scc-csc.ca</w:t>
        </w:r>
      </w:hyperlink>
    </w:p>
    <w:p w:rsidR="00D3344A" w:rsidRPr="004473E9" w:rsidRDefault="0065588C" w:rsidP="00D3344A">
      <w:pPr>
        <w:widowControl w:val="0"/>
        <w:outlineLvl w:val="0"/>
      </w:pPr>
      <w:r w:rsidRPr="004473E9">
        <w:t>613-</w:t>
      </w:r>
      <w:r w:rsidR="00D3344A" w:rsidRPr="004473E9">
        <w:t>995-4330</w:t>
      </w:r>
    </w:p>
    <w:p w:rsidR="00497B5E" w:rsidRPr="004473E9" w:rsidRDefault="00497B5E" w:rsidP="00497B5E">
      <w:pPr>
        <w:widowControl w:val="0"/>
        <w:rPr>
          <w:sz w:val="20"/>
        </w:rPr>
      </w:pPr>
    </w:p>
    <w:p w:rsidR="00F6251B" w:rsidRPr="004473E9" w:rsidRDefault="003F43E6" w:rsidP="00F6251B">
      <w:pPr>
        <w:pStyle w:val="Footer"/>
        <w:jc w:val="center"/>
      </w:pPr>
      <w:r w:rsidRPr="004473E9">
        <w:t>- 30 -</w:t>
      </w:r>
    </w:p>
    <w:p w:rsidR="00F6251B" w:rsidRPr="004473E9" w:rsidRDefault="00F6251B" w:rsidP="00F6251B">
      <w:pPr>
        <w:pStyle w:val="Footer"/>
        <w:jc w:val="center"/>
      </w:pPr>
    </w:p>
    <w:sectPr w:rsidR="00F6251B" w:rsidRPr="004473E9" w:rsidSect="00524822">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B9"/>
    <w:multiLevelType w:val="hybridMultilevel"/>
    <w:tmpl w:val="FD566F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FF42C3"/>
    <w:multiLevelType w:val="hybridMultilevel"/>
    <w:tmpl w:val="24C27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B7018C"/>
    <w:multiLevelType w:val="hybridMultilevel"/>
    <w:tmpl w:val="547A5F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594515"/>
    <w:multiLevelType w:val="hybridMultilevel"/>
    <w:tmpl w:val="544ECE44"/>
    <w:lvl w:ilvl="0" w:tplc="F6C231E4">
      <w:start w:val="8"/>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597F70"/>
    <w:multiLevelType w:val="hybridMultilevel"/>
    <w:tmpl w:val="D4A2EF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674BA6"/>
    <w:multiLevelType w:val="hybridMultilevel"/>
    <w:tmpl w:val="E9761880"/>
    <w:lvl w:ilvl="0" w:tplc="6F2080A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A22947"/>
    <w:multiLevelType w:val="hybridMultilevel"/>
    <w:tmpl w:val="A5262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AA5CF1"/>
    <w:multiLevelType w:val="hybridMultilevel"/>
    <w:tmpl w:val="A8F89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5EA6E76"/>
    <w:multiLevelType w:val="hybridMultilevel"/>
    <w:tmpl w:val="DC540EF4"/>
    <w:lvl w:ilvl="0" w:tplc="B63EFA4C">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4910D47"/>
    <w:multiLevelType w:val="hybridMultilevel"/>
    <w:tmpl w:val="E91EC39C"/>
    <w:lvl w:ilvl="0" w:tplc="09EE625C">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5A6CDF"/>
    <w:multiLevelType w:val="hybridMultilevel"/>
    <w:tmpl w:val="DDC0BEAE"/>
    <w:lvl w:ilvl="0" w:tplc="0A4A138C">
      <w:start w:val="3"/>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35B80F73"/>
    <w:multiLevelType w:val="hybridMultilevel"/>
    <w:tmpl w:val="246455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3A854B96"/>
    <w:multiLevelType w:val="hybridMultilevel"/>
    <w:tmpl w:val="0E24B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B6F44F0"/>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418D75DE"/>
    <w:multiLevelType w:val="hybridMultilevel"/>
    <w:tmpl w:val="0964C2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41EC40BE"/>
    <w:multiLevelType w:val="hybridMultilevel"/>
    <w:tmpl w:val="64348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2F57B8"/>
    <w:multiLevelType w:val="hybridMultilevel"/>
    <w:tmpl w:val="D2DE1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055700"/>
    <w:multiLevelType w:val="hybridMultilevel"/>
    <w:tmpl w:val="C472D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08831F9"/>
    <w:multiLevelType w:val="hybridMultilevel"/>
    <w:tmpl w:val="4D08AF68"/>
    <w:lvl w:ilvl="0" w:tplc="67BE5CDE">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E92A52"/>
    <w:multiLevelType w:val="hybridMultilevel"/>
    <w:tmpl w:val="0A78FA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85D2BB0"/>
    <w:multiLevelType w:val="hybridMultilevel"/>
    <w:tmpl w:val="5E2E83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C3815DA"/>
    <w:multiLevelType w:val="hybridMultilevel"/>
    <w:tmpl w:val="11FC3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DC692E"/>
    <w:multiLevelType w:val="hybridMultilevel"/>
    <w:tmpl w:val="980481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A646A8"/>
    <w:multiLevelType w:val="hybridMultilevel"/>
    <w:tmpl w:val="3F76FB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7347B97"/>
    <w:multiLevelType w:val="hybridMultilevel"/>
    <w:tmpl w:val="462C5F40"/>
    <w:lvl w:ilvl="0" w:tplc="928817F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8C81D97"/>
    <w:multiLevelType w:val="hybridMultilevel"/>
    <w:tmpl w:val="9872B39A"/>
    <w:lvl w:ilvl="0" w:tplc="D6FABEE2">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95F3FD1"/>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74F34E2B"/>
    <w:multiLevelType w:val="hybridMultilevel"/>
    <w:tmpl w:val="DEFE3E3A"/>
    <w:lvl w:ilvl="0" w:tplc="92928C0C">
      <w:start w:val="3"/>
      <w:numFmt w:val="decimal"/>
      <w:lvlText w:val="%1."/>
      <w:lvlJc w:val="left"/>
      <w:pPr>
        <w:ind w:left="810" w:hanging="360"/>
      </w:pPr>
      <w:rPr>
        <w:rFonts w:hint="default"/>
        <w:b w:val="0"/>
        <w:i w: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0" w15:restartNumberingAfterBreak="0">
    <w:nsid w:val="7E932A83"/>
    <w:multiLevelType w:val="hybridMultilevel"/>
    <w:tmpl w:val="58C4ED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CB075D"/>
    <w:multiLevelType w:val="hybridMultilevel"/>
    <w:tmpl w:val="40AEB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F813DD0"/>
    <w:multiLevelType w:val="hybridMultilevel"/>
    <w:tmpl w:val="AE686A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7FD02557"/>
    <w:multiLevelType w:val="hybridMultilevel"/>
    <w:tmpl w:val="64348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0"/>
  </w:num>
  <w:num w:numId="13">
    <w:abstractNumId w:val="26"/>
  </w:num>
  <w:num w:numId="14">
    <w:abstractNumId w:val="2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num>
  <w:num w:numId="18">
    <w:abstractNumId w:val="3"/>
  </w:num>
  <w:num w:numId="19">
    <w:abstractNumId w:val="22"/>
  </w:num>
  <w:num w:numId="20">
    <w:abstractNumId w:val="18"/>
  </w:num>
  <w:num w:numId="21">
    <w:abstractNumId w:val="25"/>
  </w:num>
  <w:num w:numId="22">
    <w:abstractNumId w:val="0"/>
  </w:num>
  <w:num w:numId="23">
    <w:abstractNumId w:val="31"/>
  </w:num>
  <w:num w:numId="24">
    <w:abstractNumId w:val="12"/>
  </w:num>
  <w:num w:numId="25">
    <w:abstractNumId w:val="1"/>
  </w:num>
  <w:num w:numId="26">
    <w:abstractNumId w:val="15"/>
  </w:num>
  <w:num w:numId="27">
    <w:abstractNumId w:val="33"/>
  </w:num>
  <w:num w:numId="28">
    <w:abstractNumId w:val="21"/>
  </w:num>
  <w:num w:numId="29">
    <w:abstractNumId w:val="29"/>
  </w:num>
  <w:num w:numId="30">
    <w:abstractNumId w:val="24"/>
  </w:num>
  <w:num w:numId="31">
    <w:abstractNumId w:val="16"/>
  </w:num>
  <w:num w:numId="32">
    <w:abstractNumId w:val="6"/>
  </w:num>
  <w:num w:numId="33">
    <w:abstractNumId w:val="2"/>
  </w:num>
  <w:num w:numId="34">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grammar="clean"/>
  <w:defaultTabStop w:val="720"/>
  <w:drawingGridHorizontalSpacing w:val="120"/>
  <w:displayHorizontalDrawingGridEvery w:val="2"/>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3D1C"/>
    <w:rsid w:val="000043C3"/>
    <w:rsid w:val="000128A2"/>
    <w:rsid w:val="000136CC"/>
    <w:rsid w:val="0001374A"/>
    <w:rsid w:val="00014C19"/>
    <w:rsid w:val="000164DB"/>
    <w:rsid w:val="00016932"/>
    <w:rsid w:val="00016D65"/>
    <w:rsid w:val="00016D95"/>
    <w:rsid w:val="0001736B"/>
    <w:rsid w:val="00017D08"/>
    <w:rsid w:val="00020797"/>
    <w:rsid w:val="00020816"/>
    <w:rsid w:val="00020DAE"/>
    <w:rsid w:val="0002267C"/>
    <w:rsid w:val="00024962"/>
    <w:rsid w:val="000250B7"/>
    <w:rsid w:val="000276EE"/>
    <w:rsid w:val="00032E02"/>
    <w:rsid w:val="00033257"/>
    <w:rsid w:val="00033D1E"/>
    <w:rsid w:val="00033D28"/>
    <w:rsid w:val="0003496D"/>
    <w:rsid w:val="00034A7F"/>
    <w:rsid w:val="00035790"/>
    <w:rsid w:val="000368C3"/>
    <w:rsid w:val="00041B58"/>
    <w:rsid w:val="00042069"/>
    <w:rsid w:val="00042390"/>
    <w:rsid w:val="0004298B"/>
    <w:rsid w:val="00043FDE"/>
    <w:rsid w:val="000467DE"/>
    <w:rsid w:val="00046CB2"/>
    <w:rsid w:val="00047CD6"/>
    <w:rsid w:val="00051DE6"/>
    <w:rsid w:val="00054F8E"/>
    <w:rsid w:val="000577D9"/>
    <w:rsid w:val="00060B62"/>
    <w:rsid w:val="00061283"/>
    <w:rsid w:val="000627A2"/>
    <w:rsid w:val="0006417A"/>
    <w:rsid w:val="00065F8F"/>
    <w:rsid w:val="0006649C"/>
    <w:rsid w:val="00066B80"/>
    <w:rsid w:val="00067F50"/>
    <w:rsid w:val="00070830"/>
    <w:rsid w:val="00077E16"/>
    <w:rsid w:val="000809B3"/>
    <w:rsid w:val="00080EAB"/>
    <w:rsid w:val="00082444"/>
    <w:rsid w:val="000825A5"/>
    <w:rsid w:val="00082D8D"/>
    <w:rsid w:val="00083162"/>
    <w:rsid w:val="0008327A"/>
    <w:rsid w:val="000841F9"/>
    <w:rsid w:val="000843DB"/>
    <w:rsid w:val="000845AF"/>
    <w:rsid w:val="00085D13"/>
    <w:rsid w:val="00086629"/>
    <w:rsid w:val="00087808"/>
    <w:rsid w:val="00093693"/>
    <w:rsid w:val="00095627"/>
    <w:rsid w:val="000975EC"/>
    <w:rsid w:val="000A0444"/>
    <w:rsid w:val="000A152E"/>
    <w:rsid w:val="000A245A"/>
    <w:rsid w:val="000A36F0"/>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47A4"/>
    <w:rsid w:val="00115CF1"/>
    <w:rsid w:val="001170C6"/>
    <w:rsid w:val="00117137"/>
    <w:rsid w:val="00117AF3"/>
    <w:rsid w:val="001200D6"/>
    <w:rsid w:val="00120360"/>
    <w:rsid w:val="00120CA0"/>
    <w:rsid w:val="0012101A"/>
    <w:rsid w:val="0012202C"/>
    <w:rsid w:val="00122CE1"/>
    <w:rsid w:val="00123976"/>
    <w:rsid w:val="00124DEC"/>
    <w:rsid w:val="00124EFD"/>
    <w:rsid w:val="001262EF"/>
    <w:rsid w:val="0013159F"/>
    <w:rsid w:val="00131EB1"/>
    <w:rsid w:val="00132635"/>
    <w:rsid w:val="00134190"/>
    <w:rsid w:val="001354E7"/>
    <w:rsid w:val="00136710"/>
    <w:rsid w:val="00140982"/>
    <w:rsid w:val="00141200"/>
    <w:rsid w:val="00141591"/>
    <w:rsid w:val="0014243F"/>
    <w:rsid w:val="0014294E"/>
    <w:rsid w:val="00142C72"/>
    <w:rsid w:val="001432DF"/>
    <w:rsid w:val="00143519"/>
    <w:rsid w:val="00144111"/>
    <w:rsid w:val="00144A29"/>
    <w:rsid w:val="00147BE4"/>
    <w:rsid w:val="00147DE3"/>
    <w:rsid w:val="00150453"/>
    <w:rsid w:val="00150C10"/>
    <w:rsid w:val="00150D1B"/>
    <w:rsid w:val="00151336"/>
    <w:rsid w:val="00152366"/>
    <w:rsid w:val="00152EC0"/>
    <w:rsid w:val="00153B85"/>
    <w:rsid w:val="00155FD8"/>
    <w:rsid w:val="0015605D"/>
    <w:rsid w:val="001560EC"/>
    <w:rsid w:val="00157B04"/>
    <w:rsid w:val="00160866"/>
    <w:rsid w:val="00160DEC"/>
    <w:rsid w:val="00161F83"/>
    <w:rsid w:val="00167721"/>
    <w:rsid w:val="0017098A"/>
    <w:rsid w:val="001716F7"/>
    <w:rsid w:val="001739C2"/>
    <w:rsid w:val="00173B3A"/>
    <w:rsid w:val="00174655"/>
    <w:rsid w:val="0017656E"/>
    <w:rsid w:val="00176790"/>
    <w:rsid w:val="00176D8B"/>
    <w:rsid w:val="00181375"/>
    <w:rsid w:val="001813C3"/>
    <w:rsid w:val="001819DA"/>
    <w:rsid w:val="00182705"/>
    <w:rsid w:val="001838E0"/>
    <w:rsid w:val="00183A15"/>
    <w:rsid w:val="00185355"/>
    <w:rsid w:val="001866BF"/>
    <w:rsid w:val="00186884"/>
    <w:rsid w:val="001878EB"/>
    <w:rsid w:val="0019000C"/>
    <w:rsid w:val="0019030D"/>
    <w:rsid w:val="0019092C"/>
    <w:rsid w:val="00190C7A"/>
    <w:rsid w:val="00190F7F"/>
    <w:rsid w:val="0019249C"/>
    <w:rsid w:val="00194559"/>
    <w:rsid w:val="001947C1"/>
    <w:rsid w:val="001948EC"/>
    <w:rsid w:val="00194F2A"/>
    <w:rsid w:val="0019508F"/>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E4596"/>
    <w:rsid w:val="001E7B18"/>
    <w:rsid w:val="001F1F3F"/>
    <w:rsid w:val="001F27B1"/>
    <w:rsid w:val="001F2F00"/>
    <w:rsid w:val="001F5B11"/>
    <w:rsid w:val="00200F31"/>
    <w:rsid w:val="0020221F"/>
    <w:rsid w:val="00203AEA"/>
    <w:rsid w:val="00203D33"/>
    <w:rsid w:val="00205051"/>
    <w:rsid w:val="0020794A"/>
    <w:rsid w:val="00207A23"/>
    <w:rsid w:val="00207C7F"/>
    <w:rsid w:val="00210B48"/>
    <w:rsid w:val="0021175A"/>
    <w:rsid w:val="002120BD"/>
    <w:rsid w:val="00212962"/>
    <w:rsid w:val="00215C9A"/>
    <w:rsid w:val="00217135"/>
    <w:rsid w:val="0022132D"/>
    <w:rsid w:val="00221D16"/>
    <w:rsid w:val="00222064"/>
    <w:rsid w:val="00222CAE"/>
    <w:rsid w:val="00223622"/>
    <w:rsid w:val="00223B83"/>
    <w:rsid w:val="00225A53"/>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1714"/>
    <w:rsid w:val="00243D06"/>
    <w:rsid w:val="00244CDD"/>
    <w:rsid w:val="00245302"/>
    <w:rsid w:val="00245D73"/>
    <w:rsid w:val="002460F2"/>
    <w:rsid w:val="002472FE"/>
    <w:rsid w:val="00250F72"/>
    <w:rsid w:val="002514CA"/>
    <w:rsid w:val="00252FDB"/>
    <w:rsid w:val="002540C9"/>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776"/>
    <w:rsid w:val="002858BA"/>
    <w:rsid w:val="0028661B"/>
    <w:rsid w:val="0028686B"/>
    <w:rsid w:val="0029235D"/>
    <w:rsid w:val="00292574"/>
    <w:rsid w:val="0029396A"/>
    <w:rsid w:val="0029649C"/>
    <w:rsid w:val="002A0621"/>
    <w:rsid w:val="002A17E0"/>
    <w:rsid w:val="002A4823"/>
    <w:rsid w:val="002A5245"/>
    <w:rsid w:val="002A55D1"/>
    <w:rsid w:val="002A5C41"/>
    <w:rsid w:val="002A5CF5"/>
    <w:rsid w:val="002A6EA4"/>
    <w:rsid w:val="002A7B04"/>
    <w:rsid w:val="002A7E9D"/>
    <w:rsid w:val="002B15AC"/>
    <w:rsid w:val="002B36C3"/>
    <w:rsid w:val="002B5525"/>
    <w:rsid w:val="002B5A2E"/>
    <w:rsid w:val="002B5A4B"/>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3F4"/>
    <w:rsid w:val="002F7DDE"/>
    <w:rsid w:val="002F7E97"/>
    <w:rsid w:val="003006A1"/>
    <w:rsid w:val="003012A2"/>
    <w:rsid w:val="003018B7"/>
    <w:rsid w:val="00304ACA"/>
    <w:rsid w:val="003127F4"/>
    <w:rsid w:val="00313652"/>
    <w:rsid w:val="0031376D"/>
    <w:rsid w:val="003151B5"/>
    <w:rsid w:val="00315AF8"/>
    <w:rsid w:val="003175F3"/>
    <w:rsid w:val="00317835"/>
    <w:rsid w:val="00317C72"/>
    <w:rsid w:val="00320DAF"/>
    <w:rsid w:val="003235CC"/>
    <w:rsid w:val="00324EC4"/>
    <w:rsid w:val="00325668"/>
    <w:rsid w:val="00325823"/>
    <w:rsid w:val="0032752E"/>
    <w:rsid w:val="0033097A"/>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B36"/>
    <w:rsid w:val="0034796D"/>
    <w:rsid w:val="003509E6"/>
    <w:rsid w:val="00351946"/>
    <w:rsid w:val="0035210E"/>
    <w:rsid w:val="003521FD"/>
    <w:rsid w:val="00352802"/>
    <w:rsid w:val="00353085"/>
    <w:rsid w:val="003535EF"/>
    <w:rsid w:val="0035515E"/>
    <w:rsid w:val="00357828"/>
    <w:rsid w:val="00357895"/>
    <w:rsid w:val="00357916"/>
    <w:rsid w:val="00357B15"/>
    <w:rsid w:val="00360FCE"/>
    <w:rsid w:val="00362E82"/>
    <w:rsid w:val="00364001"/>
    <w:rsid w:val="00365DC3"/>
    <w:rsid w:val="0036633C"/>
    <w:rsid w:val="0036763E"/>
    <w:rsid w:val="00367E02"/>
    <w:rsid w:val="0037013D"/>
    <w:rsid w:val="00370DA4"/>
    <w:rsid w:val="003710CD"/>
    <w:rsid w:val="00372E91"/>
    <w:rsid w:val="00372FAD"/>
    <w:rsid w:val="00372FD5"/>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718"/>
    <w:rsid w:val="003B1455"/>
    <w:rsid w:val="003B1639"/>
    <w:rsid w:val="003B23AF"/>
    <w:rsid w:val="003B2AC6"/>
    <w:rsid w:val="003B2F30"/>
    <w:rsid w:val="003B3019"/>
    <w:rsid w:val="003B34C2"/>
    <w:rsid w:val="003B39D7"/>
    <w:rsid w:val="003B4B2E"/>
    <w:rsid w:val="003B61F0"/>
    <w:rsid w:val="003B64B3"/>
    <w:rsid w:val="003B693A"/>
    <w:rsid w:val="003B6E18"/>
    <w:rsid w:val="003B7053"/>
    <w:rsid w:val="003B7102"/>
    <w:rsid w:val="003C0C25"/>
    <w:rsid w:val="003C2D62"/>
    <w:rsid w:val="003C4234"/>
    <w:rsid w:val="003C5F5E"/>
    <w:rsid w:val="003C5FC2"/>
    <w:rsid w:val="003C6BB7"/>
    <w:rsid w:val="003D0A88"/>
    <w:rsid w:val="003D19A0"/>
    <w:rsid w:val="003D27BD"/>
    <w:rsid w:val="003D353C"/>
    <w:rsid w:val="003D403C"/>
    <w:rsid w:val="003E19E7"/>
    <w:rsid w:val="003E29B3"/>
    <w:rsid w:val="003E36C0"/>
    <w:rsid w:val="003E3724"/>
    <w:rsid w:val="003E3957"/>
    <w:rsid w:val="003E6A80"/>
    <w:rsid w:val="003E7F59"/>
    <w:rsid w:val="003F0D8B"/>
    <w:rsid w:val="003F1E6F"/>
    <w:rsid w:val="003F1F9E"/>
    <w:rsid w:val="003F3BC1"/>
    <w:rsid w:val="003F43E6"/>
    <w:rsid w:val="003F4894"/>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211"/>
    <w:rsid w:val="0042035D"/>
    <w:rsid w:val="00420841"/>
    <w:rsid w:val="00423732"/>
    <w:rsid w:val="004259F9"/>
    <w:rsid w:val="00425B31"/>
    <w:rsid w:val="0042648D"/>
    <w:rsid w:val="00426957"/>
    <w:rsid w:val="00426976"/>
    <w:rsid w:val="00427722"/>
    <w:rsid w:val="00427F4F"/>
    <w:rsid w:val="00431731"/>
    <w:rsid w:val="00431779"/>
    <w:rsid w:val="00431A2A"/>
    <w:rsid w:val="00431CE6"/>
    <w:rsid w:val="00433C3E"/>
    <w:rsid w:val="00434AC5"/>
    <w:rsid w:val="00437108"/>
    <w:rsid w:val="00440246"/>
    <w:rsid w:val="00441588"/>
    <w:rsid w:val="00441CF2"/>
    <w:rsid w:val="00444072"/>
    <w:rsid w:val="00444478"/>
    <w:rsid w:val="00446BAE"/>
    <w:rsid w:val="004473E9"/>
    <w:rsid w:val="0045044A"/>
    <w:rsid w:val="00450B24"/>
    <w:rsid w:val="004511AB"/>
    <w:rsid w:val="0045235F"/>
    <w:rsid w:val="004533F1"/>
    <w:rsid w:val="00453797"/>
    <w:rsid w:val="00453ABE"/>
    <w:rsid w:val="004542A8"/>
    <w:rsid w:val="004576E8"/>
    <w:rsid w:val="00460794"/>
    <w:rsid w:val="00463731"/>
    <w:rsid w:val="00463A9F"/>
    <w:rsid w:val="00463CEF"/>
    <w:rsid w:val="00463DEF"/>
    <w:rsid w:val="00464FEE"/>
    <w:rsid w:val="004672B7"/>
    <w:rsid w:val="00467391"/>
    <w:rsid w:val="004706A0"/>
    <w:rsid w:val="00472190"/>
    <w:rsid w:val="004724BF"/>
    <w:rsid w:val="00472695"/>
    <w:rsid w:val="00473E9C"/>
    <w:rsid w:val="00474AAA"/>
    <w:rsid w:val="00474D9B"/>
    <w:rsid w:val="00475E1A"/>
    <w:rsid w:val="004774B6"/>
    <w:rsid w:val="004775E8"/>
    <w:rsid w:val="00481888"/>
    <w:rsid w:val="0048370B"/>
    <w:rsid w:val="00486750"/>
    <w:rsid w:val="00487EBC"/>
    <w:rsid w:val="00490DDC"/>
    <w:rsid w:val="00491D56"/>
    <w:rsid w:val="00491D60"/>
    <w:rsid w:val="00494CD1"/>
    <w:rsid w:val="004957BA"/>
    <w:rsid w:val="0049590A"/>
    <w:rsid w:val="00495CE9"/>
    <w:rsid w:val="004963CC"/>
    <w:rsid w:val="004970C9"/>
    <w:rsid w:val="00497574"/>
    <w:rsid w:val="00497B5E"/>
    <w:rsid w:val="004A224A"/>
    <w:rsid w:val="004A28DD"/>
    <w:rsid w:val="004A3074"/>
    <w:rsid w:val="004A570E"/>
    <w:rsid w:val="004A59B2"/>
    <w:rsid w:val="004A7CEC"/>
    <w:rsid w:val="004B06E1"/>
    <w:rsid w:val="004B129A"/>
    <w:rsid w:val="004B26C7"/>
    <w:rsid w:val="004B31C7"/>
    <w:rsid w:val="004B4BDC"/>
    <w:rsid w:val="004B4D42"/>
    <w:rsid w:val="004B4E10"/>
    <w:rsid w:val="004B612C"/>
    <w:rsid w:val="004B7E3E"/>
    <w:rsid w:val="004C0544"/>
    <w:rsid w:val="004C07ED"/>
    <w:rsid w:val="004C2585"/>
    <w:rsid w:val="004C281D"/>
    <w:rsid w:val="004C2E9D"/>
    <w:rsid w:val="004C4513"/>
    <w:rsid w:val="004C4BEC"/>
    <w:rsid w:val="004C5A9B"/>
    <w:rsid w:val="004C7FC6"/>
    <w:rsid w:val="004D25B5"/>
    <w:rsid w:val="004D49C8"/>
    <w:rsid w:val="004D6E67"/>
    <w:rsid w:val="004E00B4"/>
    <w:rsid w:val="004E0963"/>
    <w:rsid w:val="004E0B2F"/>
    <w:rsid w:val="004E1B3F"/>
    <w:rsid w:val="004E2A8E"/>
    <w:rsid w:val="004F000D"/>
    <w:rsid w:val="004F0EC9"/>
    <w:rsid w:val="004F27DD"/>
    <w:rsid w:val="004F40AB"/>
    <w:rsid w:val="004F47F7"/>
    <w:rsid w:val="0050050B"/>
    <w:rsid w:val="0050132A"/>
    <w:rsid w:val="00502F3E"/>
    <w:rsid w:val="00503196"/>
    <w:rsid w:val="00503967"/>
    <w:rsid w:val="00503ADE"/>
    <w:rsid w:val="00504706"/>
    <w:rsid w:val="0050674F"/>
    <w:rsid w:val="00506A2E"/>
    <w:rsid w:val="00510BE0"/>
    <w:rsid w:val="00510C5C"/>
    <w:rsid w:val="00511E62"/>
    <w:rsid w:val="005208AC"/>
    <w:rsid w:val="00520B14"/>
    <w:rsid w:val="00521DC2"/>
    <w:rsid w:val="00521EFA"/>
    <w:rsid w:val="0052230A"/>
    <w:rsid w:val="00523237"/>
    <w:rsid w:val="00523A16"/>
    <w:rsid w:val="00523D2D"/>
    <w:rsid w:val="00524822"/>
    <w:rsid w:val="005256DB"/>
    <w:rsid w:val="00525AC4"/>
    <w:rsid w:val="00525B79"/>
    <w:rsid w:val="005264A5"/>
    <w:rsid w:val="00526D01"/>
    <w:rsid w:val="00532EB0"/>
    <w:rsid w:val="00533CD5"/>
    <w:rsid w:val="00534871"/>
    <w:rsid w:val="00535069"/>
    <w:rsid w:val="00535A60"/>
    <w:rsid w:val="005372AF"/>
    <w:rsid w:val="00540D5C"/>
    <w:rsid w:val="00541971"/>
    <w:rsid w:val="00541FF9"/>
    <w:rsid w:val="00544481"/>
    <w:rsid w:val="0054689F"/>
    <w:rsid w:val="00546DAD"/>
    <w:rsid w:val="00550D90"/>
    <w:rsid w:val="005542A1"/>
    <w:rsid w:val="005549AB"/>
    <w:rsid w:val="00555A0C"/>
    <w:rsid w:val="00555A17"/>
    <w:rsid w:val="00555EC7"/>
    <w:rsid w:val="00557DCC"/>
    <w:rsid w:val="00561169"/>
    <w:rsid w:val="005617DA"/>
    <w:rsid w:val="00561B18"/>
    <w:rsid w:val="0056339B"/>
    <w:rsid w:val="0056580C"/>
    <w:rsid w:val="00565B20"/>
    <w:rsid w:val="00566C79"/>
    <w:rsid w:val="00570169"/>
    <w:rsid w:val="00571FF4"/>
    <w:rsid w:val="005748A1"/>
    <w:rsid w:val="005812EF"/>
    <w:rsid w:val="0058254B"/>
    <w:rsid w:val="0058351E"/>
    <w:rsid w:val="00587914"/>
    <w:rsid w:val="0059181C"/>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3069"/>
    <w:rsid w:val="005D370F"/>
    <w:rsid w:val="005D3730"/>
    <w:rsid w:val="005D3BD1"/>
    <w:rsid w:val="005D5D26"/>
    <w:rsid w:val="005E0B86"/>
    <w:rsid w:val="005E2F89"/>
    <w:rsid w:val="005E4545"/>
    <w:rsid w:val="005E4A75"/>
    <w:rsid w:val="005E4E13"/>
    <w:rsid w:val="005E5730"/>
    <w:rsid w:val="005E73A1"/>
    <w:rsid w:val="005E76FD"/>
    <w:rsid w:val="005F4197"/>
    <w:rsid w:val="005F4C67"/>
    <w:rsid w:val="005F5163"/>
    <w:rsid w:val="005F52C6"/>
    <w:rsid w:val="005F541C"/>
    <w:rsid w:val="00601F00"/>
    <w:rsid w:val="006067DB"/>
    <w:rsid w:val="006073F9"/>
    <w:rsid w:val="00607F86"/>
    <w:rsid w:val="00610BC0"/>
    <w:rsid w:val="0061157C"/>
    <w:rsid w:val="0061282A"/>
    <w:rsid w:val="006131E5"/>
    <w:rsid w:val="006132AE"/>
    <w:rsid w:val="00614FCC"/>
    <w:rsid w:val="00615427"/>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7BC"/>
    <w:rsid w:val="00641C9C"/>
    <w:rsid w:val="00642EB3"/>
    <w:rsid w:val="006441AD"/>
    <w:rsid w:val="006442C8"/>
    <w:rsid w:val="00646E32"/>
    <w:rsid w:val="00647687"/>
    <w:rsid w:val="0065353F"/>
    <w:rsid w:val="00654B60"/>
    <w:rsid w:val="00655090"/>
    <w:rsid w:val="0065588C"/>
    <w:rsid w:val="00657727"/>
    <w:rsid w:val="0066366C"/>
    <w:rsid w:val="006648D1"/>
    <w:rsid w:val="00664E1D"/>
    <w:rsid w:val="00666BA1"/>
    <w:rsid w:val="00667D20"/>
    <w:rsid w:val="006700CB"/>
    <w:rsid w:val="00670428"/>
    <w:rsid w:val="006708BC"/>
    <w:rsid w:val="00670BF6"/>
    <w:rsid w:val="006721DF"/>
    <w:rsid w:val="00672A20"/>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750"/>
    <w:rsid w:val="006A7FA7"/>
    <w:rsid w:val="006B1C34"/>
    <w:rsid w:val="006B1FF1"/>
    <w:rsid w:val="006B293F"/>
    <w:rsid w:val="006B35F3"/>
    <w:rsid w:val="006B40C1"/>
    <w:rsid w:val="006B5F49"/>
    <w:rsid w:val="006B6A20"/>
    <w:rsid w:val="006C1EDD"/>
    <w:rsid w:val="006C2F5C"/>
    <w:rsid w:val="006C4010"/>
    <w:rsid w:val="006C477E"/>
    <w:rsid w:val="006C5AD3"/>
    <w:rsid w:val="006C6D7A"/>
    <w:rsid w:val="006D0350"/>
    <w:rsid w:val="006D0C02"/>
    <w:rsid w:val="006D0F19"/>
    <w:rsid w:val="006D2B2B"/>
    <w:rsid w:val="006D3FB0"/>
    <w:rsid w:val="006D443D"/>
    <w:rsid w:val="006D614A"/>
    <w:rsid w:val="006D6B5E"/>
    <w:rsid w:val="006D6CA1"/>
    <w:rsid w:val="006D7DA7"/>
    <w:rsid w:val="006E27D1"/>
    <w:rsid w:val="006E2CD8"/>
    <w:rsid w:val="006E43D2"/>
    <w:rsid w:val="006E4462"/>
    <w:rsid w:val="006E465C"/>
    <w:rsid w:val="006E4B08"/>
    <w:rsid w:val="006E4EB7"/>
    <w:rsid w:val="006E7F81"/>
    <w:rsid w:val="006F1443"/>
    <w:rsid w:val="006F1C69"/>
    <w:rsid w:val="006F2579"/>
    <w:rsid w:val="006F2887"/>
    <w:rsid w:val="006F6EF3"/>
    <w:rsid w:val="006F713E"/>
    <w:rsid w:val="006F750C"/>
    <w:rsid w:val="006F7EB1"/>
    <w:rsid w:val="00700AD5"/>
    <w:rsid w:val="00702B93"/>
    <w:rsid w:val="00702D4F"/>
    <w:rsid w:val="00703D5F"/>
    <w:rsid w:val="007045FC"/>
    <w:rsid w:val="0070488F"/>
    <w:rsid w:val="00704CDE"/>
    <w:rsid w:val="00704CF9"/>
    <w:rsid w:val="0070582E"/>
    <w:rsid w:val="007073E2"/>
    <w:rsid w:val="00710713"/>
    <w:rsid w:val="007123C3"/>
    <w:rsid w:val="0071266E"/>
    <w:rsid w:val="007130F7"/>
    <w:rsid w:val="00714183"/>
    <w:rsid w:val="0071691D"/>
    <w:rsid w:val="00721EC2"/>
    <w:rsid w:val="007226F3"/>
    <w:rsid w:val="0072344E"/>
    <w:rsid w:val="007237EE"/>
    <w:rsid w:val="007240C3"/>
    <w:rsid w:val="007243CC"/>
    <w:rsid w:val="007263B7"/>
    <w:rsid w:val="00727632"/>
    <w:rsid w:val="007301CB"/>
    <w:rsid w:val="00731957"/>
    <w:rsid w:val="00732BB6"/>
    <w:rsid w:val="00733697"/>
    <w:rsid w:val="00733EF3"/>
    <w:rsid w:val="007356B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4725"/>
    <w:rsid w:val="00764B6B"/>
    <w:rsid w:val="00764F0C"/>
    <w:rsid w:val="00766432"/>
    <w:rsid w:val="00766983"/>
    <w:rsid w:val="00767A28"/>
    <w:rsid w:val="00770893"/>
    <w:rsid w:val="007712C3"/>
    <w:rsid w:val="00771D33"/>
    <w:rsid w:val="00771F1C"/>
    <w:rsid w:val="007725DF"/>
    <w:rsid w:val="007736D0"/>
    <w:rsid w:val="007758CF"/>
    <w:rsid w:val="00775FEC"/>
    <w:rsid w:val="00776317"/>
    <w:rsid w:val="00776D06"/>
    <w:rsid w:val="00780778"/>
    <w:rsid w:val="007810BC"/>
    <w:rsid w:val="00781EB4"/>
    <w:rsid w:val="007823D7"/>
    <w:rsid w:val="00782E96"/>
    <w:rsid w:val="007844DE"/>
    <w:rsid w:val="00785A39"/>
    <w:rsid w:val="007861AA"/>
    <w:rsid w:val="0078776F"/>
    <w:rsid w:val="007900EA"/>
    <w:rsid w:val="007918A1"/>
    <w:rsid w:val="007943A8"/>
    <w:rsid w:val="007947F4"/>
    <w:rsid w:val="00795FC0"/>
    <w:rsid w:val="007963D7"/>
    <w:rsid w:val="00796527"/>
    <w:rsid w:val="007975AC"/>
    <w:rsid w:val="007A0F7C"/>
    <w:rsid w:val="007A10D6"/>
    <w:rsid w:val="007A12A7"/>
    <w:rsid w:val="007A14FC"/>
    <w:rsid w:val="007A340C"/>
    <w:rsid w:val="007A4A3D"/>
    <w:rsid w:val="007A5A11"/>
    <w:rsid w:val="007A6F16"/>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12F"/>
    <w:rsid w:val="007E1C60"/>
    <w:rsid w:val="007E450C"/>
    <w:rsid w:val="007E4A09"/>
    <w:rsid w:val="007E4C9C"/>
    <w:rsid w:val="007E5486"/>
    <w:rsid w:val="007E5B1C"/>
    <w:rsid w:val="007E5F2E"/>
    <w:rsid w:val="007E6196"/>
    <w:rsid w:val="007E6656"/>
    <w:rsid w:val="007E70BF"/>
    <w:rsid w:val="007E735A"/>
    <w:rsid w:val="007F0085"/>
    <w:rsid w:val="007F080F"/>
    <w:rsid w:val="007F0F01"/>
    <w:rsid w:val="007F155F"/>
    <w:rsid w:val="007F1A99"/>
    <w:rsid w:val="007F22ED"/>
    <w:rsid w:val="007F24DA"/>
    <w:rsid w:val="007F3253"/>
    <w:rsid w:val="007F4DE5"/>
    <w:rsid w:val="007F4F42"/>
    <w:rsid w:val="007F536B"/>
    <w:rsid w:val="007F7F32"/>
    <w:rsid w:val="00800DF8"/>
    <w:rsid w:val="00801E32"/>
    <w:rsid w:val="008021FD"/>
    <w:rsid w:val="008026FA"/>
    <w:rsid w:val="008036BE"/>
    <w:rsid w:val="00803B18"/>
    <w:rsid w:val="00804BA2"/>
    <w:rsid w:val="00804FE6"/>
    <w:rsid w:val="0080556B"/>
    <w:rsid w:val="00806ABD"/>
    <w:rsid w:val="00807D00"/>
    <w:rsid w:val="00807EA4"/>
    <w:rsid w:val="00807EB6"/>
    <w:rsid w:val="008115B8"/>
    <w:rsid w:val="008115CF"/>
    <w:rsid w:val="00812315"/>
    <w:rsid w:val="00813018"/>
    <w:rsid w:val="00814DCA"/>
    <w:rsid w:val="0081539C"/>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456D"/>
    <w:rsid w:val="008465CB"/>
    <w:rsid w:val="0085127E"/>
    <w:rsid w:val="008517C6"/>
    <w:rsid w:val="00852898"/>
    <w:rsid w:val="008534CC"/>
    <w:rsid w:val="00853C98"/>
    <w:rsid w:val="008549B1"/>
    <w:rsid w:val="0085543E"/>
    <w:rsid w:val="008568B0"/>
    <w:rsid w:val="008578F2"/>
    <w:rsid w:val="008600ED"/>
    <w:rsid w:val="00860366"/>
    <w:rsid w:val="00861CAB"/>
    <w:rsid w:val="008627A8"/>
    <w:rsid w:val="00862B21"/>
    <w:rsid w:val="00863E02"/>
    <w:rsid w:val="00865274"/>
    <w:rsid w:val="00865940"/>
    <w:rsid w:val="00865EEC"/>
    <w:rsid w:val="00866A27"/>
    <w:rsid w:val="008701DC"/>
    <w:rsid w:val="0087081B"/>
    <w:rsid w:val="008739F1"/>
    <w:rsid w:val="00874308"/>
    <w:rsid w:val="00877B13"/>
    <w:rsid w:val="00880AB5"/>
    <w:rsid w:val="00880AD5"/>
    <w:rsid w:val="00881457"/>
    <w:rsid w:val="00882802"/>
    <w:rsid w:val="008836A7"/>
    <w:rsid w:val="00884467"/>
    <w:rsid w:val="00887F03"/>
    <w:rsid w:val="00893B95"/>
    <w:rsid w:val="008941B2"/>
    <w:rsid w:val="008A1084"/>
    <w:rsid w:val="008A1DA7"/>
    <w:rsid w:val="008A3884"/>
    <w:rsid w:val="008A4ABF"/>
    <w:rsid w:val="008A739F"/>
    <w:rsid w:val="008B0108"/>
    <w:rsid w:val="008B18E3"/>
    <w:rsid w:val="008B3670"/>
    <w:rsid w:val="008B4157"/>
    <w:rsid w:val="008B4A24"/>
    <w:rsid w:val="008B5AFF"/>
    <w:rsid w:val="008B5E0B"/>
    <w:rsid w:val="008B758A"/>
    <w:rsid w:val="008B7CD2"/>
    <w:rsid w:val="008C0C4F"/>
    <w:rsid w:val="008C12F3"/>
    <w:rsid w:val="008C277A"/>
    <w:rsid w:val="008C31D4"/>
    <w:rsid w:val="008C561D"/>
    <w:rsid w:val="008C62EC"/>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8F75F1"/>
    <w:rsid w:val="00901457"/>
    <w:rsid w:val="0090233F"/>
    <w:rsid w:val="009035A2"/>
    <w:rsid w:val="009056CA"/>
    <w:rsid w:val="0090688C"/>
    <w:rsid w:val="0090766E"/>
    <w:rsid w:val="009119D3"/>
    <w:rsid w:val="00922101"/>
    <w:rsid w:val="009244F7"/>
    <w:rsid w:val="00924C0D"/>
    <w:rsid w:val="0092587F"/>
    <w:rsid w:val="00925AA4"/>
    <w:rsid w:val="009313BE"/>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3502"/>
    <w:rsid w:val="00963C96"/>
    <w:rsid w:val="009648EF"/>
    <w:rsid w:val="00970F04"/>
    <w:rsid w:val="0097114B"/>
    <w:rsid w:val="00971F36"/>
    <w:rsid w:val="00974614"/>
    <w:rsid w:val="009754BC"/>
    <w:rsid w:val="0097588C"/>
    <w:rsid w:val="00975C3B"/>
    <w:rsid w:val="00976FE8"/>
    <w:rsid w:val="0097709D"/>
    <w:rsid w:val="0097799A"/>
    <w:rsid w:val="00977C25"/>
    <w:rsid w:val="009807C9"/>
    <w:rsid w:val="00980CAF"/>
    <w:rsid w:val="0098122A"/>
    <w:rsid w:val="009816C8"/>
    <w:rsid w:val="00982327"/>
    <w:rsid w:val="009833CB"/>
    <w:rsid w:val="009836FB"/>
    <w:rsid w:val="009837A3"/>
    <w:rsid w:val="009843E2"/>
    <w:rsid w:val="0098559C"/>
    <w:rsid w:val="0098582B"/>
    <w:rsid w:val="009861EE"/>
    <w:rsid w:val="009912E2"/>
    <w:rsid w:val="00991536"/>
    <w:rsid w:val="009918AC"/>
    <w:rsid w:val="00992A8B"/>
    <w:rsid w:val="00993DAC"/>
    <w:rsid w:val="00996373"/>
    <w:rsid w:val="00996A23"/>
    <w:rsid w:val="00997046"/>
    <w:rsid w:val="00997705"/>
    <w:rsid w:val="009A0E19"/>
    <w:rsid w:val="009A1215"/>
    <w:rsid w:val="009A1416"/>
    <w:rsid w:val="009A20E4"/>
    <w:rsid w:val="009A2440"/>
    <w:rsid w:val="009A2448"/>
    <w:rsid w:val="009A3D15"/>
    <w:rsid w:val="009A3FD3"/>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407"/>
    <w:rsid w:val="009B7BAA"/>
    <w:rsid w:val="009C08E6"/>
    <w:rsid w:val="009C09D7"/>
    <w:rsid w:val="009C1B38"/>
    <w:rsid w:val="009C205F"/>
    <w:rsid w:val="009C2993"/>
    <w:rsid w:val="009C3B2A"/>
    <w:rsid w:val="009C4918"/>
    <w:rsid w:val="009C4C78"/>
    <w:rsid w:val="009C5124"/>
    <w:rsid w:val="009C5F2B"/>
    <w:rsid w:val="009C6454"/>
    <w:rsid w:val="009C6CF4"/>
    <w:rsid w:val="009C78E3"/>
    <w:rsid w:val="009C7FFB"/>
    <w:rsid w:val="009D2D62"/>
    <w:rsid w:val="009D31CD"/>
    <w:rsid w:val="009D7121"/>
    <w:rsid w:val="009E01B8"/>
    <w:rsid w:val="009E0843"/>
    <w:rsid w:val="009E1B79"/>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F88"/>
    <w:rsid w:val="00A01AAA"/>
    <w:rsid w:val="00A02007"/>
    <w:rsid w:val="00A024F6"/>
    <w:rsid w:val="00A02A8B"/>
    <w:rsid w:val="00A030F3"/>
    <w:rsid w:val="00A041C7"/>
    <w:rsid w:val="00A06B3C"/>
    <w:rsid w:val="00A11A74"/>
    <w:rsid w:val="00A12CC9"/>
    <w:rsid w:val="00A14921"/>
    <w:rsid w:val="00A20173"/>
    <w:rsid w:val="00A2060D"/>
    <w:rsid w:val="00A20B21"/>
    <w:rsid w:val="00A216B7"/>
    <w:rsid w:val="00A21708"/>
    <w:rsid w:val="00A23036"/>
    <w:rsid w:val="00A242AE"/>
    <w:rsid w:val="00A242EA"/>
    <w:rsid w:val="00A2504D"/>
    <w:rsid w:val="00A271B3"/>
    <w:rsid w:val="00A272BE"/>
    <w:rsid w:val="00A2797C"/>
    <w:rsid w:val="00A309B7"/>
    <w:rsid w:val="00A322BE"/>
    <w:rsid w:val="00A33342"/>
    <w:rsid w:val="00A33574"/>
    <w:rsid w:val="00A33719"/>
    <w:rsid w:val="00A3529A"/>
    <w:rsid w:val="00A40262"/>
    <w:rsid w:val="00A41B5E"/>
    <w:rsid w:val="00A41E03"/>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1446"/>
    <w:rsid w:val="00A62285"/>
    <w:rsid w:val="00A65A66"/>
    <w:rsid w:val="00A66EE4"/>
    <w:rsid w:val="00A70197"/>
    <w:rsid w:val="00A70585"/>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AC2"/>
    <w:rsid w:val="00A948B2"/>
    <w:rsid w:val="00A95355"/>
    <w:rsid w:val="00A960E9"/>
    <w:rsid w:val="00A97B41"/>
    <w:rsid w:val="00A97F0C"/>
    <w:rsid w:val="00A97F93"/>
    <w:rsid w:val="00AA0E4D"/>
    <w:rsid w:val="00AA25C5"/>
    <w:rsid w:val="00AB05C9"/>
    <w:rsid w:val="00AB0BC7"/>
    <w:rsid w:val="00AB20AB"/>
    <w:rsid w:val="00AB2AAE"/>
    <w:rsid w:val="00AB2C0F"/>
    <w:rsid w:val="00AB40A0"/>
    <w:rsid w:val="00AB5528"/>
    <w:rsid w:val="00AB5538"/>
    <w:rsid w:val="00AB6656"/>
    <w:rsid w:val="00AB717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328A"/>
    <w:rsid w:val="00AE42F5"/>
    <w:rsid w:val="00AE4721"/>
    <w:rsid w:val="00AE541B"/>
    <w:rsid w:val="00AE747B"/>
    <w:rsid w:val="00AE7DE5"/>
    <w:rsid w:val="00AF1653"/>
    <w:rsid w:val="00AF3BF4"/>
    <w:rsid w:val="00AF3F93"/>
    <w:rsid w:val="00AF50BF"/>
    <w:rsid w:val="00B02DE3"/>
    <w:rsid w:val="00B037AA"/>
    <w:rsid w:val="00B054BA"/>
    <w:rsid w:val="00B06804"/>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27DB4"/>
    <w:rsid w:val="00B30861"/>
    <w:rsid w:val="00B33676"/>
    <w:rsid w:val="00B33FC9"/>
    <w:rsid w:val="00B34D05"/>
    <w:rsid w:val="00B34E1F"/>
    <w:rsid w:val="00B35194"/>
    <w:rsid w:val="00B36C97"/>
    <w:rsid w:val="00B37AAA"/>
    <w:rsid w:val="00B37C41"/>
    <w:rsid w:val="00B4078C"/>
    <w:rsid w:val="00B4191E"/>
    <w:rsid w:val="00B42C6D"/>
    <w:rsid w:val="00B43418"/>
    <w:rsid w:val="00B437D7"/>
    <w:rsid w:val="00B4516E"/>
    <w:rsid w:val="00B455D4"/>
    <w:rsid w:val="00B45B27"/>
    <w:rsid w:val="00B46CB0"/>
    <w:rsid w:val="00B5139A"/>
    <w:rsid w:val="00B52315"/>
    <w:rsid w:val="00B52DAB"/>
    <w:rsid w:val="00B539BE"/>
    <w:rsid w:val="00B56011"/>
    <w:rsid w:val="00B56EF5"/>
    <w:rsid w:val="00B6070A"/>
    <w:rsid w:val="00B60A02"/>
    <w:rsid w:val="00B62043"/>
    <w:rsid w:val="00B63682"/>
    <w:rsid w:val="00B6581A"/>
    <w:rsid w:val="00B6639E"/>
    <w:rsid w:val="00B670E5"/>
    <w:rsid w:val="00B70890"/>
    <w:rsid w:val="00B71CAF"/>
    <w:rsid w:val="00B7320C"/>
    <w:rsid w:val="00B73752"/>
    <w:rsid w:val="00B749EC"/>
    <w:rsid w:val="00B74DA0"/>
    <w:rsid w:val="00B7733B"/>
    <w:rsid w:val="00B809A7"/>
    <w:rsid w:val="00B80F85"/>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4A45"/>
    <w:rsid w:val="00B957C1"/>
    <w:rsid w:val="00B95A58"/>
    <w:rsid w:val="00B974A4"/>
    <w:rsid w:val="00B9752D"/>
    <w:rsid w:val="00B979F7"/>
    <w:rsid w:val="00BA01C1"/>
    <w:rsid w:val="00BA06FA"/>
    <w:rsid w:val="00BA0A23"/>
    <w:rsid w:val="00BA3460"/>
    <w:rsid w:val="00BA39C2"/>
    <w:rsid w:val="00BA5F1E"/>
    <w:rsid w:val="00BA6D44"/>
    <w:rsid w:val="00BA7782"/>
    <w:rsid w:val="00BB0472"/>
    <w:rsid w:val="00BB134D"/>
    <w:rsid w:val="00BB2F5F"/>
    <w:rsid w:val="00BB4B53"/>
    <w:rsid w:val="00BC0A42"/>
    <w:rsid w:val="00BC286A"/>
    <w:rsid w:val="00BC3ACD"/>
    <w:rsid w:val="00BC45E1"/>
    <w:rsid w:val="00BC471A"/>
    <w:rsid w:val="00BC52D2"/>
    <w:rsid w:val="00BC5FEE"/>
    <w:rsid w:val="00BC6152"/>
    <w:rsid w:val="00BC6C9D"/>
    <w:rsid w:val="00BC6F58"/>
    <w:rsid w:val="00BD07C7"/>
    <w:rsid w:val="00BD1371"/>
    <w:rsid w:val="00BD14CE"/>
    <w:rsid w:val="00BD2421"/>
    <w:rsid w:val="00BD3541"/>
    <w:rsid w:val="00BD4652"/>
    <w:rsid w:val="00BD4A8F"/>
    <w:rsid w:val="00BD513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426"/>
    <w:rsid w:val="00BE540B"/>
    <w:rsid w:val="00BE6364"/>
    <w:rsid w:val="00BE6576"/>
    <w:rsid w:val="00BF048F"/>
    <w:rsid w:val="00BF1FCA"/>
    <w:rsid w:val="00C00650"/>
    <w:rsid w:val="00C021BB"/>
    <w:rsid w:val="00C037A3"/>
    <w:rsid w:val="00C03932"/>
    <w:rsid w:val="00C06B98"/>
    <w:rsid w:val="00C06DE4"/>
    <w:rsid w:val="00C11FAD"/>
    <w:rsid w:val="00C15480"/>
    <w:rsid w:val="00C204EF"/>
    <w:rsid w:val="00C21013"/>
    <w:rsid w:val="00C23824"/>
    <w:rsid w:val="00C23B84"/>
    <w:rsid w:val="00C264D9"/>
    <w:rsid w:val="00C2655A"/>
    <w:rsid w:val="00C269D6"/>
    <w:rsid w:val="00C26F6A"/>
    <w:rsid w:val="00C31354"/>
    <w:rsid w:val="00C319FB"/>
    <w:rsid w:val="00C31C5A"/>
    <w:rsid w:val="00C31EAC"/>
    <w:rsid w:val="00C3269C"/>
    <w:rsid w:val="00C342CA"/>
    <w:rsid w:val="00C34515"/>
    <w:rsid w:val="00C34A03"/>
    <w:rsid w:val="00C34D9A"/>
    <w:rsid w:val="00C36C08"/>
    <w:rsid w:val="00C36CF8"/>
    <w:rsid w:val="00C36FF2"/>
    <w:rsid w:val="00C37183"/>
    <w:rsid w:val="00C373FF"/>
    <w:rsid w:val="00C412AD"/>
    <w:rsid w:val="00C419F7"/>
    <w:rsid w:val="00C4313B"/>
    <w:rsid w:val="00C45F01"/>
    <w:rsid w:val="00C4698C"/>
    <w:rsid w:val="00C5207F"/>
    <w:rsid w:val="00C52D21"/>
    <w:rsid w:val="00C5543B"/>
    <w:rsid w:val="00C573B1"/>
    <w:rsid w:val="00C600EE"/>
    <w:rsid w:val="00C64192"/>
    <w:rsid w:val="00C67D33"/>
    <w:rsid w:val="00C72D39"/>
    <w:rsid w:val="00C7351D"/>
    <w:rsid w:val="00C747F2"/>
    <w:rsid w:val="00C752EB"/>
    <w:rsid w:val="00C75878"/>
    <w:rsid w:val="00C76BBB"/>
    <w:rsid w:val="00C779D4"/>
    <w:rsid w:val="00C77C0E"/>
    <w:rsid w:val="00C81430"/>
    <w:rsid w:val="00C86829"/>
    <w:rsid w:val="00C935F6"/>
    <w:rsid w:val="00C95234"/>
    <w:rsid w:val="00C9788C"/>
    <w:rsid w:val="00C97C59"/>
    <w:rsid w:val="00CA0C2B"/>
    <w:rsid w:val="00CA418B"/>
    <w:rsid w:val="00CA42DE"/>
    <w:rsid w:val="00CB1766"/>
    <w:rsid w:val="00CB1E90"/>
    <w:rsid w:val="00CB1EB4"/>
    <w:rsid w:val="00CB328F"/>
    <w:rsid w:val="00CB3A38"/>
    <w:rsid w:val="00CB3B10"/>
    <w:rsid w:val="00CB4831"/>
    <w:rsid w:val="00CB5DBA"/>
    <w:rsid w:val="00CB5FBD"/>
    <w:rsid w:val="00CB7F2D"/>
    <w:rsid w:val="00CC21F6"/>
    <w:rsid w:val="00CC2600"/>
    <w:rsid w:val="00CC4B0F"/>
    <w:rsid w:val="00CC4B86"/>
    <w:rsid w:val="00CC71C7"/>
    <w:rsid w:val="00CC759C"/>
    <w:rsid w:val="00CD0363"/>
    <w:rsid w:val="00CD171A"/>
    <w:rsid w:val="00CD2B43"/>
    <w:rsid w:val="00CD33A6"/>
    <w:rsid w:val="00CD4E01"/>
    <w:rsid w:val="00CD4F9A"/>
    <w:rsid w:val="00CD6935"/>
    <w:rsid w:val="00CD6C36"/>
    <w:rsid w:val="00CD7204"/>
    <w:rsid w:val="00CE0A6E"/>
    <w:rsid w:val="00CE113C"/>
    <w:rsid w:val="00CE2C20"/>
    <w:rsid w:val="00CE42F4"/>
    <w:rsid w:val="00CE6C1C"/>
    <w:rsid w:val="00CE7B3F"/>
    <w:rsid w:val="00CE7C81"/>
    <w:rsid w:val="00CF0EF2"/>
    <w:rsid w:val="00CF47E5"/>
    <w:rsid w:val="00CF732A"/>
    <w:rsid w:val="00D00533"/>
    <w:rsid w:val="00D01406"/>
    <w:rsid w:val="00D015A7"/>
    <w:rsid w:val="00D0250E"/>
    <w:rsid w:val="00D0423A"/>
    <w:rsid w:val="00D04A90"/>
    <w:rsid w:val="00D06EF2"/>
    <w:rsid w:val="00D07131"/>
    <w:rsid w:val="00D07526"/>
    <w:rsid w:val="00D07E3B"/>
    <w:rsid w:val="00D1308F"/>
    <w:rsid w:val="00D14B1E"/>
    <w:rsid w:val="00D17E05"/>
    <w:rsid w:val="00D17F23"/>
    <w:rsid w:val="00D207B2"/>
    <w:rsid w:val="00D220F4"/>
    <w:rsid w:val="00D22B49"/>
    <w:rsid w:val="00D23F60"/>
    <w:rsid w:val="00D240C0"/>
    <w:rsid w:val="00D24A6C"/>
    <w:rsid w:val="00D24AC2"/>
    <w:rsid w:val="00D25A76"/>
    <w:rsid w:val="00D2692A"/>
    <w:rsid w:val="00D27E31"/>
    <w:rsid w:val="00D308D8"/>
    <w:rsid w:val="00D311F7"/>
    <w:rsid w:val="00D318AF"/>
    <w:rsid w:val="00D32350"/>
    <w:rsid w:val="00D3344A"/>
    <w:rsid w:val="00D3355A"/>
    <w:rsid w:val="00D35AA2"/>
    <w:rsid w:val="00D362BE"/>
    <w:rsid w:val="00D36BE9"/>
    <w:rsid w:val="00D3722A"/>
    <w:rsid w:val="00D37579"/>
    <w:rsid w:val="00D40B0A"/>
    <w:rsid w:val="00D43F58"/>
    <w:rsid w:val="00D4457A"/>
    <w:rsid w:val="00D45734"/>
    <w:rsid w:val="00D46172"/>
    <w:rsid w:val="00D47829"/>
    <w:rsid w:val="00D47E7C"/>
    <w:rsid w:val="00D50AD1"/>
    <w:rsid w:val="00D542A9"/>
    <w:rsid w:val="00D548D3"/>
    <w:rsid w:val="00D5501F"/>
    <w:rsid w:val="00D55807"/>
    <w:rsid w:val="00D604C4"/>
    <w:rsid w:val="00D63929"/>
    <w:rsid w:val="00D63C1C"/>
    <w:rsid w:val="00D6421D"/>
    <w:rsid w:val="00D645E0"/>
    <w:rsid w:val="00D65124"/>
    <w:rsid w:val="00D65507"/>
    <w:rsid w:val="00D6599A"/>
    <w:rsid w:val="00D669A4"/>
    <w:rsid w:val="00D66E91"/>
    <w:rsid w:val="00D66EFA"/>
    <w:rsid w:val="00D7143F"/>
    <w:rsid w:val="00D72409"/>
    <w:rsid w:val="00D73621"/>
    <w:rsid w:val="00D7507B"/>
    <w:rsid w:val="00D7557F"/>
    <w:rsid w:val="00D75794"/>
    <w:rsid w:val="00D75BC9"/>
    <w:rsid w:val="00D77016"/>
    <w:rsid w:val="00D77153"/>
    <w:rsid w:val="00D81BB1"/>
    <w:rsid w:val="00D84F6A"/>
    <w:rsid w:val="00D8506B"/>
    <w:rsid w:val="00D85A8B"/>
    <w:rsid w:val="00D86ADC"/>
    <w:rsid w:val="00D90791"/>
    <w:rsid w:val="00D90F27"/>
    <w:rsid w:val="00D90F8B"/>
    <w:rsid w:val="00D91524"/>
    <w:rsid w:val="00D928A3"/>
    <w:rsid w:val="00D95433"/>
    <w:rsid w:val="00D95F43"/>
    <w:rsid w:val="00D9772E"/>
    <w:rsid w:val="00DA0DC8"/>
    <w:rsid w:val="00DA17B0"/>
    <w:rsid w:val="00DA2C00"/>
    <w:rsid w:val="00DA33EC"/>
    <w:rsid w:val="00DA3F09"/>
    <w:rsid w:val="00DA5E1F"/>
    <w:rsid w:val="00DA6D82"/>
    <w:rsid w:val="00DB06D2"/>
    <w:rsid w:val="00DB169C"/>
    <w:rsid w:val="00DB180E"/>
    <w:rsid w:val="00DB21E9"/>
    <w:rsid w:val="00DB27AF"/>
    <w:rsid w:val="00DB292F"/>
    <w:rsid w:val="00DB3608"/>
    <w:rsid w:val="00DB3966"/>
    <w:rsid w:val="00DB3F0F"/>
    <w:rsid w:val="00DB5A3F"/>
    <w:rsid w:val="00DB78EC"/>
    <w:rsid w:val="00DC124A"/>
    <w:rsid w:val="00DC2AD7"/>
    <w:rsid w:val="00DC2CDA"/>
    <w:rsid w:val="00DC6EBF"/>
    <w:rsid w:val="00DD4D17"/>
    <w:rsid w:val="00DD5846"/>
    <w:rsid w:val="00DD620A"/>
    <w:rsid w:val="00DD7392"/>
    <w:rsid w:val="00DE11D6"/>
    <w:rsid w:val="00DE1AEE"/>
    <w:rsid w:val="00DE2212"/>
    <w:rsid w:val="00DE2457"/>
    <w:rsid w:val="00DE2C8D"/>
    <w:rsid w:val="00DE5E69"/>
    <w:rsid w:val="00DE610C"/>
    <w:rsid w:val="00DE7B73"/>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B9B"/>
    <w:rsid w:val="00E30FF3"/>
    <w:rsid w:val="00E3151F"/>
    <w:rsid w:val="00E31BA9"/>
    <w:rsid w:val="00E31E1C"/>
    <w:rsid w:val="00E337E8"/>
    <w:rsid w:val="00E33A8F"/>
    <w:rsid w:val="00E3488B"/>
    <w:rsid w:val="00E34AA2"/>
    <w:rsid w:val="00E37FAF"/>
    <w:rsid w:val="00E4090B"/>
    <w:rsid w:val="00E41F06"/>
    <w:rsid w:val="00E42B30"/>
    <w:rsid w:val="00E42DA2"/>
    <w:rsid w:val="00E45E6B"/>
    <w:rsid w:val="00E50167"/>
    <w:rsid w:val="00E5097C"/>
    <w:rsid w:val="00E51DDA"/>
    <w:rsid w:val="00E52A08"/>
    <w:rsid w:val="00E5361B"/>
    <w:rsid w:val="00E54925"/>
    <w:rsid w:val="00E604A4"/>
    <w:rsid w:val="00E61C4E"/>
    <w:rsid w:val="00E63C6C"/>
    <w:rsid w:val="00E63F87"/>
    <w:rsid w:val="00E6527E"/>
    <w:rsid w:val="00E65A41"/>
    <w:rsid w:val="00E710C9"/>
    <w:rsid w:val="00E71666"/>
    <w:rsid w:val="00E724E4"/>
    <w:rsid w:val="00E73312"/>
    <w:rsid w:val="00E735D4"/>
    <w:rsid w:val="00E73AFD"/>
    <w:rsid w:val="00E7411D"/>
    <w:rsid w:val="00E7483A"/>
    <w:rsid w:val="00E76439"/>
    <w:rsid w:val="00E80317"/>
    <w:rsid w:val="00E80877"/>
    <w:rsid w:val="00E829FE"/>
    <w:rsid w:val="00E82B62"/>
    <w:rsid w:val="00E841D8"/>
    <w:rsid w:val="00E850A8"/>
    <w:rsid w:val="00E858D9"/>
    <w:rsid w:val="00E85DC1"/>
    <w:rsid w:val="00E862F4"/>
    <w:rsid w:val="00E9032B"/>
    <w:rsid w:val="00E90B5E"/>
    <w:rsid w:val="00E92DE1"/>
    <w:rsid w:val="00E93717"/>
    <w:rsid w:val="00E95563"/>
    <w:rsid w:val="00E97E2B"/>
    <w:rsid w:val="00EA0D5B"/>
    <w:rsid w:val="00EA30E5"/>
    <w:rsid w:val="00EA3FF6"/>
    <w:rsid w:val="00EA6DC0"/>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3BD"/>
    <w:rsid w:val="00EC6654"/>
    <w:rsid w:val="00EC7995"/>
    <w:rsid w:val="00ED11BA"/>
    <w:rsid w:val="00ED1764"/>
    <w:rsid w:val="00ED200B"/>
    <w:rsid w:val="00ED2520"/>
    <w:rsid w:val="00ED2E12"/>
    <w:rsid w:val="00ED4F03"/>
    <w:rsid w:val="00ED52B2"/>
    <w:rsid w:val="00EE0ADC"/>
    <w:rsid w:val="00EE173D"/>
    <w:rsid w:val="00EE231A"/>
    <w:rsid w:val="00EE24D6"/>
    <w:rsid w:val="00EE59C6"/>
    <w:rsid w:val="00EE75E5"/>
    <w:rsid w:val="00EF1864"/>
    <w:rsid w:val="00EF26B4"/>
    <w:rsid w:val="00EF33BF"/>
    <w:rsid w:val="00EF41F1"/>
    <w:rsid w:val="00EF6E6D"/>
    <w:rsid w:val="00EF775A"/>
    <w:rsid w:val="00F00020"/>
    <w:rsid w:val="00F02E36"/>
    <w:rsid w:val="00F04707"/>
    <w:rsid w:val="00F04ACD"/>
    <w:rsid w:val="00F0571B"/>
    <w:rsid w:val="00F07867"/>
    <w:rsid w:val="00F107A8"/>
    <w:rsid w:val="00F10F01"/>
    <w:rsid w:val="00F110F6"/>
    <w:rsid w:val="00F122E7"/>
    <w:rsid w:val="00F13D28"/>
    <w:rsid w:val="00F152B2"/>
    <w:rsid w:val="00F16949"/>
    <w:rsid w:val="00F17D2D"/>
    <w:rsid w:val="00F20894"/>
    <w:rsid w:val="00F22AFE"/>
    <w:rsid w:val="00F23754"/>
    <w:rsid w:val="00F237A4"/>
    <w:rsid w:val="00F24087"/>
    <w:rsid w:val="00F24A5E"/>
    <w:rsid w:val="00F265F6"/>
    <w:rsid w:val="00F26653"/>
    <w:rsid w:val="00F27291"/>
    <w:rsid w:val="00F2770C"/>
    <w:rsid w:val="00F314C0"/>
    <w:rsid w:val="00F32457"/>
    <w:rsid w:val="00F32569"/>
    <w:rsid w:val="00F33889"/>
    <w:rsid w:val="00F35C22"/>
    <w:rsid w:val="00F41337"/>
    <w:rsid w:val="00F41940"/>
    <w:rsid w:val="00F44405"/>
    <w:rsid w:val="00F46255"/>
    <w:rsid w:val="00F47DC5"/>
    <w:rsid w:val="00F50A23"/>
    <w:rsid w:val="00F518F3"/>
    <w:rsid w:val="00F5367B"/>
    <w:rsid w:val="00F54B12"/>
    <w:rsid w:val="00F5608F"/>
    <w:rsid w:val="00F6027C"/>
    <w:rsid w:val="00F60DAD"/>
    <w:rsid w:val="00F60DE0"/>
    <w:rsid w:val="00F6194D"/>
    <w:rsid w:val="00F61F8E"/>
    <w:rsid w:val="00F62233"/>
    <w:rsid w:val="00F6251B"/>
    <w:rsid w:val="00F626C6"/>
    <w:rsid w:val="00F63405"/>
    <w:rsid w:val="00F64156"/>
    <w:rsid w:val="00F70C8A"/>
    <w:rsid w:val="00F71087"/>
    <w:rsid w:val="00F73A04"/>
    <w:rsid w:val="00F74DE7"/>
    <w:rsid w:val="00F76A83"/>
    <w:rsid w:val="00F81D96"/>
    <w:rsid w:val="00F826E7"/>
    <w:rsid w:val="00F82C6C"/>
    <w:rsid w:val="00F83978"/>
    <w:rsid w:val="00F83ED3"/>
    <w:rsid w:val="00F857B4"/>
    <w:rsid w:val="00F85C44"/>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A686A"/>
    <w:rsid w:val="00FB00F7"/>
    <w:rsid w:val="00FB08CC"/>
    <w:rsid w:val="00FB1304"/>
    <w:rsid w:val="00FB3686"/>
    <w:rsid w:val="00FB4545"/>
    <w:rsid w:val="00FB478F"/>
    <w:rsid w:val="00FB56BD"/>
    <w:rsid w:val="00FB578C"/>
    <w:rsid w:val="00FB58BB"/>
    <w:rsid w:val="00FB597D"/>
    <w:rsid w:val="00FB634D"/>
    <w:rsid w:val="00FC0D59"/>
    <w:rsid w:val="00FC1A5C"/>
    <w:rsid w:val="00FC2D4C"/>
    <w:rsid w:val="00FC39EA"/>
    <w:rsid w:val="00FC469C"/>
    <w:rsid w:val="00FC4943"/>
    <w:rsid w:val="00FC60B8"/>
    <w:rsid w:val="00FC6DE6"/>
    <w:rsid w:val="00FD15AF"/>
    <w:rsid w:val="00FD2F1A"/>
    <w:rsid w:val="00FD4EC8"/>
    <w:rsid w:val="00FD5E81"/>
    <w:rsid w:val="00FD7F01"/>
    <w:rsid w:val="00FE0775"/>
    <w:rsid w:val="00FE0F88"/>
    <w:rsid w:val="00FE3782"/>
    <w:rsid w:val="00FE3AC5"/>
    <w:rsid w:val="00FE44CF"/>
    <w:rsid w:val="00FE4721"/>
    <w:rsid w:val="00FE4D2A"/>
    <w:rsid w:val="00FE4FD0"/>
    <w:rsid w:val="00FE5051"/>
    <w:rsid w:val="00FE5839"/>
    <w:rsid w:val="00FE5B58"/>
    <w:rsid w:val="00FE6E80"/>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8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SubfileSeparator">
    <w:name w:val="SCC.Lsoc.SubfileSeparator"/>
    <w:basedOn w:val="Normal"/>
    <w:next w:val="Normal"/>
    <w:link w:val="SCCLsocSubfileSeparatorChar"/>
    <w:rsid w:val="001E4596"/>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1E4596"/>
    <w:rPr>
      <w:rFonts w:ascii="Times New Roman" w:eastAsiaTheme="minorHAnsi" w:hAnsi="Times New Roman"/>
      <w:b/>
      <w:sz w:val="24"/>
      <w:szCs w:val="24"/>
      <w:lang w:val="en-CA"/>
    </w:rPr>
  </w:style>
  <w:style w:type="character" w:customStyle="1" w:styleId="italic1">
    <w:name w:val="italic1"/>
    <w:basedOn w:val="DefaultParagraphFont"/>
    <w:rsid w:val="004444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6847" TargetMode="External"/><Relationship Id="rId18" Type="http://schemas.openxmlformats.org/officeDocument/2006/relationships/hyperlink" Target="http://canlii.ca/t/gmkx8" TargetMode="External"/><Relationship Id="rId26" Type="http://schemas.openxmlformats.org/officeDocument/2006/relationships/hyperlink" Target="http://canlii.ca/t/gmgwc" TargetMode="External"/><Relationship Id="rId39" Type="http://schemas.openxmlformats.org/officeDocument/2006/relationships/hyperlink" Target="http://canlii.ca/t/g7jj3" TargetMode="External"/><Relationship Id="rId3" Type="http://schemas.openxmlformats.org/officeDocument/2006/relationships/styles" Target="styles.xml"/><Relationship Id="rId21" Type="http://schemas.openxmlformats.org/officeDocument/2006/relationships/hyperlink" Target="http://www.canlii.org/en/ab/abca/doc/2015/2015abca348/2015abca348.html?autocompleteStr=2015%20ABCA%20348&amp;autocompletePos=1" TargetMode="External"/><Relationship Id="rId34" Type="http://schemas.openxmlformats.org/officeDocument/2006/relationships/hyperlink" Target="http://canlii.ca/t/g6jvc" TargetMode="External"/><Relationship Id="rId42" Type="http://schemas.openxmlformats.org/officeDocument/2006/relationships/hyperlink" Target="http://www.canlii.org/fr/ca/caf/doc/2015/2015caf292/2015caf292.html"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cc-csc.ca/case-dossier/info/sum-som-eng.aspx?cas=36878" TargetMode="External"/><Relationship Id="rId17" Type="http://schemas.openxmlformats.org/officeDocument/2006/relationships/hyperlink" Target="http://canlii.ca/t/gmkx8" TargetMode="External"/><Relationship Id="rId25" Type="http://schemas.openxmlformats.org/officeDocument/2006/relationships/hyperlink" Target="http://canlii.ca/t/gh2b1" TargetMode="External"/><Relationship Id="rId33" Type="http://schemas.openxmlformats.org/officeDocument/2006/relationships/hyperlink" Target="http://canlii.ca/t/g23nn" TargetMode="External"/><Relationship Id="rId38" Type="http://schemas.openxmlformats.org/officeDocument/2006/relationships/hyperlink" Target="http://canlii.ca/t/g6jvc"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cc-csc.ca/case-dossier/info/sum-som-fra.aspx?cas=36876" TargetMode="External"/><Relationship Id="rId20" Type="http://schemas.openxmlformats.org/officeDocument/2006/relationships/hyperlink" Target="http://canlii.ca/t/gmcvp" TargetMode="External"/><Relationship Id="rId29" Type="http://schemas.openxmlformats.org/officeDocument/2006/relationships/hyperlink" Target="http://www.canlii.org/en/mb/mbqb/doc/2014/2014mbqb185/2014mbqb185.html" TargetMode="External"/><Relationship Id="rId41" Type="http://schemas.openxmlformats.org/officeDocument/2006/relationships/hyperlink" Target="http://www.canlii.org/fr/ca/cfpi/doc/2014/2014cf504/2014cf504.html?autocompleteStr=2014%20cf%20504&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801" TargetMode="External"/><Relationship Id="rId24" Type="http://schemas.openxmlformats.org/officeDocument/2006/relationships/hyperlink" Target="http://canlii.ca/t/gmgwc" TargetMode="External"/><Relationship Id="rId32" Type="http://schemas.openxmlformats.org/officeDocument/2006/relationships/hyperlink" Target="http://www.canlii.org/en/on/onca/doc/2015/2015onca804/2015onca804.html?autocompleteStr=aletkina&amp;autocompletePos=5" TargetMode="External"/><Relationship Id="rId37" Type="http://schemas.openxmlformats.org/officeDocument/2006/relationships/hyperlink" Target="http://canlii.ca/t/g23nn" TargetMode="External"/><Relationship Id="rId40" Type="http://schemas.openxmlformats.org/officeDocument/2006/relationships/hyperlink" Target="http://www.ontariocourts.ca/decisions/2016/2016ONCA0098.htm" TargetMode="External"/><Relationship Id="rId45" Type="http://schemas.openxmlformats.org/officeDocument/2006/relationships/hyperlink" Target="mailto:comments-commentaires@scc-csc.ca"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c-csc.ca/case-dossier/info/sum-som-eng.aspx?cas=36926" TargetMode="External"/><Relationship Id="rId23" Type="http://schemas.openxmlformats.org/officeDocument/2006/relationships/hyperlink" Target="http://canlii.ca/t/gh2b1" TargetMode="External"/><Relationship Id="rId28" Type="http://schemas.openxmlformats.org/officeDocument/2006/relationships/hyperlink" Target="http://www.canlii.org/en/mb/mbca/doc/2015/2015mbca107/2015mbca107.html?autocompleteStr=2015%20MBCA%20107&amp;autocompletePos=1" TargetMode="External"/><Relationship Id="rId36" Type="http://schemas.openxmlformats.org/officeDocument/2006/relationships/hyperlink" Target="http://www.ontariocourts.ca/decisions/2016/2016ONCA0098.htm" TargetMode="External"/><Relationship Id="rId49" Type="http://schemas.openxmlformats.org/officeDocument/2006/relationships/footer" Target="footer2.xml"/><Relationship Id="rId10" Type="http://schemas.openxmlformats.org/officeDocument/2006/relationships/hyperlink" Target="http://www.scc-csc.ca/case-dossier/info/sum-som-eng.aspx?cas=36906" TargetMode="External"/><Relationship Id="rId19" Type="http://schemas.openxmlformats.org/officeDocument/2006/relationships/hyperlink" Target="http://canlii.ca/t/gmcvp" TargetMode="External"/><Relationship Id="rId31" Type="http://schemas.openxmlformats.org/officeDocument/2006/relationships/hyperlink" Target="http://www.canlii.org/en/on/onca/doc/2015/2015onca804/2015onca804.html?autocompleteStr=aletkina&amp;autocompletePos=5" TargetMode="External"/><Relationship Id="rId44" Type="http://schemas.openxmlformats.org/officeDocument/2006/relationships/hyperlink" Target="http://www.canlii.org/fr/ca/caf/doc/2015/2015caf292/2015caf292.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case-dossier/info/sum-som-eng.aspx?cas=36824" TargetMode="External"/><Relationship Id="rId14" Type="http://schemas.openxmlformats.org/officeDocument/2006/relationships/hyperlink" Target="http://www.scc-csc.ca/case-dossier/info/sum-som-eng.aspx?cas=36871" TargetMode="External"/><Relationship Id="rId22" Type="http://schemas.openxmlformats.org/officeDocument/2006/relationships/hyperlink" Target="http://www.canlii.org/en/ab/abca/doc/2015/2015abca348/2015abca348.html?autocompleteStr=2015%20ABCA%20348&amp;autocompletePos=1" TargetMode="External"/><Relationship Id="rId27" Type="http://schemas.openxmlformats.org/officeDocument/2006/relationships/hyperlink" Target="http://www.canlii.org/en/mb/mbqb/doc/2014/2014mbqb185/2014mbqb185.html" TargetMode="External"/><Relationship Id="rId30" Type="http://schemas.openxmlformats.org/officeDocument/2006/relationships/hyperlink" Target="http://www.canlii.org/en/mb/mbca/doc/2015/2015mbca107/2015mbca107.html?autocompleteStr=2015%20MBCA%20107&amp;autocompletePos=1" TargetMode="External"/><Relationship Id="rId35" Type="http://schemas.openxmlformats.org/officeDocument/2006/relationships/hyperlink" Target="http://canlii.ca/t/g7jj3" TargetMode="External"/><Relationship Id="rId43" Type="http://schemas.openxmlformats.org/officeDocument/2006/relationships/hyperlink" Target="http://www.canlii.org/fr/ca/cfpi/doc/2014/2014cf504/2014cf504.html?autocompleteStr=2014%20cf%20504&amp;autocompletePos=1" TargetMode="External"/><Relationship Id="rId48" Type="http://schemas.openxmlformats.org/officeDocument/2006/relationships/footer" Target="footer1.xml"/><Relationship Id="rId8" Type="http://schemas.openxmlformats.org/officeDocument/2006/relationships/hyperlink" Target="http://www.scc-csc.ca/case-dossier/info/sum-som-eng.aspx?cas=36895" TargetMode="Externa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D925A-76CA-4C2C-8FE7-E38F3B63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6855</Words>
  <Characters>39079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45843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2016-05-27T14:48:00Z</dcterms:created>
  <dcterms:modified xsi:type="dcterms:W3CDTF">2016-05-27T19:23:00Z</dcterms:modified>
</cp:coreProperties>
</file>