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62B2A" w:rsidRDefault="003F43E6" w:rsidP="00122CE1">
      <w:pPr>
        <w:pStyle w:val="Header"/>
        <w:tabs>
          <w:tab w:val="left" w:pos="1620"/>
          <w:tab w:val="left" w:pos="1710"/>
        </w:tabs>
        <w:jc w:val="center"/>
        <w:rPr>
          <w:b/>
          <w:sz w:val="32"/>
        </w:rPr>
      </w:pPr>
      <w:r w:rsidRPr="00962B2A">
        <w:rPr>
          <w:b/>
          <w:sz w:val="32"/>
        </w:rPr>
        <w:t>Supreme Court of Canada / Cour suprême du Canada</w:t>
      </w:r>
    </w:p>
    <w:p w:rsidR="003F43E6" w:rsidRPr="00962B2A" w:rsidRDefault="003F43E6" w:rsidP="006F2579">
      <w:pPr>
        <w:widowControl w:val="0"/>
        <w:rPr>
          <w:i/>
        </w:rPr>
      </w:pPr>
    </w:p>
    <w:p w:rsidR="006F2579" w:rsidRPr="00962B2A" w:rsidRDefault="006F2579" w:rsidP="006F2579">
      <w:pPr>
        <w:widowControl w:val="0"/>
        <w:rPr>
          <w:i/>
        </w:rPr>
      </w:pPr>
      <w:r w:rsidRPr="00962B2A">
        <w:rPr>
          <w:i/>
        </w:rPr>
        <w:t>(le français suit)</w:t>
      </w:r>
    </w:p>
    <w:p w:rsidR="006F2579" w:rsidRPr="00962B2A" w:rsidRDefault="006F2579" w:rsidP="006F2579">
      <w:pPr>
        <w:widowControl w:val="0"/>
      </w:pPr>
    </w:p>
    <w:p w:rsidR="006F2579" w:rsidRPr="00962B2A" w:rsidRDefault="00B07908" w:rsidP="006F2579">
      <w:pPr>
        <w:widowControl w:val="0"/>
        <w:jc w:val="center"/>
        <w:rPr>
          <w:b/>
        </w:rPr>
      </w:pPr>
      <w:r w:rsidRPr="00962B2A">
        <w:fldChar w:fldCharType="begin"/>
      </w:r>
      <w:r w:rsidR="006F2579" w:rsidRPr="00962B2A">
        <w:instrText xml:space="preserve"> SEQ CHAPTER \h \r 1</w:instrText>
      </w:r>
      <w:r w:rsidRPr="00962B2A">
        <w:fldChar w:fldCharType="end"/>
      </w:r>
      <w:r w:rsidR="006F2579" w:rsidRPr="00962B2A">
        <w:rPr>
          <w:b/>
        </w:rPr>
        <w:t>JUDGMENT</w:t>
      </w:r>
      <w:r w:rsidR="00B17AAC" w:rsidRPr="00962B2A">
        <w:rPr>
          <w:b/>
        </w:rPr>
        <w:t>S</w:t>
      </w:r>
      <w:r w:rsidR="006F2579" w:rsidRPr="00962B2A">
        <w:rPr>
          <w:b/>
        </w:rPr>
        <w:t xml:space="preserve"> TO B</w:t>
      </w:r>
      <w:r w:rsidR="00001846" w:rsidRPr="00962B2A">
        <w:rPr>
          <w:b/>
        </w:rPr>
        <w:t>E RENDERED IN LEAVE APPLICATION</w:t>
      </w:r>
      <w:r w:rsidR="00B17AAC" w:rsidRPr="00962B2A">
        <w:rPr>
          <w:b/>
        </w:rPr>
        <w:t>S</w:t>
      </w:r>
    </w:p>
    <w:p w:rsidR="006F2579" w:rsidRPr="00962B2A" w:rsidRDefault="006F2579" w:rsidP="006F2579">
      <w:pPr>
        <w:widowControl w:val="0"/>
        <w:rPr>
          <w:b/>
        </w:rPr>
      </w:pPr>
    </w:p>
    <w:p w:rsidR="006F2579" w:rsidRPr="00962B2A" w:rsidRDefault="00DA48B0" w:rsidP="006F2579">
      <w:pPr>
        <w:widowControl w:val="0"/>
        <w:rPr>
          <w:b/>
        </w:rPr>
      </w:pPr>
      <w:r w:rsidRPr="00962B2A">
        <w:rPr>
          <w:b/>
        </w:rPr>
        <w:t>June</w:t>
      </w:r>
      <w:r w:rsidR="003817A9" w:rsidRPr="00962B2A">
        <w:rPr>
          <w:b/>
        </w:rPr>
        <w:t xml:space="preserve"> </w:t>
      </w:r>
      <w:r w:rsidR="00582010">
        <w:rPr>
          <w:b/>
        </w:rPr>
        <w:t>20</w:t>
      </w:r>
      <w:r w:rsidR="00AB5538" w:rsidRPr="00962B2A">
        <w:rPr>
          <w:b/>
        </w:rPr>
        <w:t>,</w:t>
      </w:r>
      <w:r w:rsidR="006F2579" w:rsidRPr="00962B2A">
        <w:rPr>
          <w:b/>
        </w:rPr>
        <w:t xml:space="preserve"> </w:t>
      </w:r>
      <w:r w:rsidR="0054689F" w:rsidRPr="00962B2A">
        <w:rPr>
          <w:b/>
        </w:rPr>
        <w:t>201</w:t>
      </w:r>
      <w:r w:rsidR="00674329" w:rsidRPr="00962B2A">
        <w:rPr>
          <w:b/>
        </w:rPr>
        <w:t>6</w:t>
      </w:r>
    </w:p>
    <w:p w:rsidR="006F2579" w:rsidRPr="00962B2A" w:rsidRDefault="006F2579" w:rsidP="006F2579">
      <w:pPr>
        <w:widowControl w:val="0"/>
        <w:rPr>
          <w:b/>
        </w:rPr>
      </w:pPr>
      <w:r w:rsidRPr="00962B2A">
        <w:rPr>
          <w:b/>
        </w:rPr>
        <w:t>For immediate release</w:t>
      </w:r>
    </w:p>
    <w:p w:rsidR="006F2579" w:rsidRPr="00962B2A" w:rsidRDefault="006F2579" w:rsidP="006F2579">
      <w:pPr>
        <w:widowControl w:val="0"/>
      </w:pPr>
    </w:p>
    <w:p w:rsidR="006F2579" w:rsidRPr="00962B2A" w:rsidRDefault="006F2579" w:rsidP="006F2579">
      <w:pPr>
        <w:widowControl w:val="0"/>
      </w:pPr>
      <w:r w:rsidRPr="00962B2A">
        <w:rPr>
          <w:b/>
        </w:rPr>
        <w:t>OTTAWA</w:t>
      </w:r>
      <w:r w:rsidRPr="00962B2A">
        <w:t xml:space="preserve"> – The Supreme Court of Canada announced today that judgment in the following application</w:t>
      </w:r>
      <w:r w:rsidR="008600ED" w:rsidRPr="00962B2A">
        <w:t>s</w:t>
      </w:r>
      <w:r w:rsidRPr="00962B2A">
        <w:t xml:space="preserve"> for leave to appeal will be delivered at 9:45 a.m. E</w:t>
      </w:r>
      <w:r w:rsidR="003817A9" w:rsidRPr="00962B2A">
        <w:t>D</w:t>
      </w:r>
      <w:r w:rsidRPr="00962B2A">
        <w:t xml:space="preserve">T on Thursday, </w:t>
      </w:r>
      <w:r w:rsidR="00647687" w:rsidRPr="00962B2A">
        <w:t>June</w:t>
      </w:r>
      <w:r w:rsidR="007E112F" w:rsidRPr="00962B2A">
        <w:t xml:space="preserve"> </w:t>
      </w:r>
      <w:r w:rsidR="00582010">
        <w:t>23</w:t>
      </w:r>
      <w:r w:rsidR="007E112F" w:rsidRPr="00962B2A">
        <w:t>,</w:t>
      </w:r>
      <w:r w:rsidR="002F38D7" w:rsidRPr="00962B2A">
        <w:t xml:space="preserve"> </w:t>
      </w:r>
      <w:r w:rsidR="006648D1" w:rsidRPr="00962B2A">
        <w:t>201</w:t>
      </w:r>
      <w:r w:rsidR="00674329" w:rsidRPr="00962B2A">
        <w:t>6</w:t>
      </w:r>
      <w:r w:rsidRPr="00962B2A">
        <w:t>.  This list is subject to change.</w:t>
      </w:r>
    </w:p>
    <w:p w:rsidR="00FF5AA4" w:rsidRPr="00962B2A" w:rsidRDefault="00FF5AA4" w:rsidP="006F2579">
      <w:pPr>
        <w:widowControl w:val="0"/>
      </w:pPr>
    </w:p>
    <w:p w:rsidR="00B43418" w:rsidRPr="00962B2A" w:rsidRDefault="00B43418" w:rsidP="006F2579">
      <w:pPr>
        <w:widowControl w:val="0"/>
      </w:pPr>
    </w:p>
    <w:p w:rsidR="006F2579" w:rsidRPr="00962B2A" w:rsidRDefault="006F2579" w:rsidP="006F2579">
      <w:pPr>
        <w:widowControl w:val="0"/>
        <w:jc w:val="center"/>
        <w:rPr>
          <w:lang w:val="fr-CA"/>
        </w:rPr>
      </w:pPr>
      <w:r w:rsidRPr="00962B2A">
        <w:rPr>
          <w:b/>
          <w:lang w:val="fr-CA"/>
        </w:rPr>
        <w:t>PROCHAIN</w:t>
      </w:r>
      <w:r w:rsidR="00B17AAC" w:rsidRPr="00962B2A">
        <w:rPr>
          <w:b/>
          <w:lang w:val="fr-CA"/>
        </w:rPr>
        <w:t>S</w:t>
      </w:r>
      <w:r w:rsidRPr="00962B2A">
        <w:rPr>
          <w:b/>
          <w:lang w:val="fr-CA"/>
        </w:rPr>
        <w:t xml:space="preserve"> JUGEMENT</w:t>
      </w:r>
      <w:r w:rsidR="00B17AAC" w:rsidRPr="00962B2A">
        <w:rPr>
          <w:b/>
          <w:lang w:val="fr-CA"/>
        </w:rPr>
        <w:t>S</w:t>
      </w:r>
      <w:r w:rsidR="00001846" w:rsidRPr="00962B2A">
        <w:rPr>
          <w:b/>
          <w:lang w:val="fr-CA"/>
        </w:rPr>
        <w:t xml:space="preserve"> SUR DEMANDE</w:t>
      </w:r>
      <w:r w:rsidR="00B17AAC" w:rsidRPr="00962B2A">
        <w:rPr>
          <w:b/>
          <w:lang w:val="fr-CA"/>
        </w:rPr>
        <w:t>S</w:t>
      </w:r>
      <w:r w:rsidRPr="00962B2A">
        <w:rPr>
          <w:b/>
          <w:lang w:val="fr-CA"/>
        </w:rPr>
        <w:t xml:space="preserve"> D’AUTORISATION</w:t>
      </w:r>
    </w:p>
    <w:p w:rsidR="006F2579" w:rsidRPr="00962B2A" w:rsidRDefault="006F2579" w:rsidP="006F2579">
      <w:pPr>
        <w:widowControl w:val="0"/>
        <w:rPr>
          <w:lang w:val="fr-CA"/>
        </w:rPr>
      </w:pPr>
    </w:p>
    <w:p w:rsidR="006F2579" w:rsidRPr="00962B2A" w:rsidRDefault="006F2579" w:rsidP="006F2579">
      <w:pPr>
        <w:widowControl w:val="0"/>
        <w:rPr>
          <w:b/>
          <w:lang w:val="fr-CA"/>
        </w:rPr>
      </w:pPr>
      <w:r w:rsidRPr="00962B2A">
        <w:rPr>
          <w:b/>
          <w:lang w:val="fr-CA"/>
        </w:rPr>
        <w:t>Le</w:t>
      </w:r>
      <w:r w:rsidR="00957A76" w:rsidRPr="00962B2A">
        <w:rPr>
          <w:b/>
          <w:lang w:val="fr-CA"/>
        </w:rPr>
        <w:t xml:space="preserve"> </w:t>
      </w:r>
      <w:r w:rsidR="00582010">
        <w:rPr>
          <w:b/>
          <w:lang w:val="fr-CA"/>
        </w:rPr>
        <w:t>20</w:t>
      </w:r>
      <w:r w:rsidR="004C4BEC" w:rsidRPr="00962B2A">
        <w:rPr>
          <w:b/>
          <w:lang w:val="fr-CA"/>
        </w:rPr>
        <w:t xml:space="preserve"> </w:t>
      </w:r>
      <w:r w:rsidR="00DA48B0" w:rsidRPr="00962B2A">
        <w:rPr>
          <w:b/>
          <w:lang w:val="fr-CA"/>
        </w:rPr>
        <w:t>juin</w:t>
      </w:r>
      <w:r w:rsidR="00674329" w:rsidRPr="00962B2A">
        <w:rPr>
          <w:b/>
          <w:lang w:val="fr-CA"/>
        </w:rPr>
        <w:t xml:space="preserve"> 2016</w:t>
      </w:r>
    </w:p>
    <w:p w:rsidR="006F2579" w:rsidRPr="00962B2A" w:rsidRDefault="006F2579" w:rsidP="006F2579">
      <w:pPr>
        <w:widowControl w:val="0"/>
        <w:rPr>
          <w:b/>
          <w:lang w:val="fr-CA"/>
        </w:rPr>
      </w:pPr>
      <w:r w:rsidRPr="00962B2A">
        <w:rPr>
          <w:b/>
          <w:lang w:val="fr-CA"/>
        </w:rPr>
        <w:t>Pour diffusion immédiate</w:t>
      </w:r>
    </w:p>
    <w:p w:rsidR="006F2579" w:rsidRPr="00962B2A" w:rsidRDefault="006F2579" w:rsidP="006F2579">
      <w:pPr>
        <w:widowControl w:val="0"/>
        <w:rPr>
          <w:b/>
          <w:lang w:val="fr-CA"/>
        </w:rPr>
      </w:pPr>
    </w:p>
    <w:p w:rsidR="006F2579" w:rsidRPr="00962B2A" w:rsidRDefault="006F2579" w:rsidP="006F2579">
      <w:pPr>
        <w:widowControl w:val="0"/>
        <w:rPr>
          <w:lang w:val="fr-CA"/>
        </w:rPr>
      </w:pPr>
      <w:r w:rsidRPr="00962B2A">
        <w:rPr>
          <w:b/>
          <w:lang w:val="fr-CA"/>
        </w:rPr>
        <w:t>OTTAWA</w:t>
      </w:r>
      <w:r w:rsidRPr="00962B2A">
        <w:rPr>
          <w:lang w:val="fr-CA"/>
        </w:rPr>
        <w:t xml:space="preserve"> – La Cour suprême du Canada annonce que jugement ser</w:t>
      </w:r>
      <w:r w:rsidR="004259F9" w:rsidRPr="00962B2A">
        <w:rPr>
          <w:lang w:val="fr-CA"/>
        </w:rPr>
        <w:t>a</w:t>
      </w:r>
      <w:r w:rsidRPr="00962B2A">
        <w:rPr>
          <w:lang w:val="fr-CA"/>
        </w:rPr>
        <w:t xml:space="preserve"> rendu dans l</w:t>
      </w:r>
      <w:r w:rsidR="008600ED" w:rsidRPr="00962B2A">
        <w:rPr>
          <w:lang w:val="fr-CA"/>
        </w:rPr>
        <w:t>es</w:t>
      </w:r>
      <w:r w:rsidRPr="00962B2A">
        <w:rPr>
          <w:lang w:val="fr-CA"/>
        </w:rPr>
        <w:t xml:space="preserve"> demande</w:t>
      </w:r>
      <w:r w:rsidR="008600ED" w:rsidRPr="00962B2A">
        <w:rPr>
          <w:lang w:val="fr-CA"/>
        </w:rPr>
        <w:t>s</w:t>
      </w:r>
      <w:r w:rsidRPr="00962B2A">
        <w:rPr>
          <w:lang w:val="fr-CA"/>
        </w:rPr>
        <w:t xml:space="preserve"> d</w:t>
      </w:r>
      <w:r w:rsidR="00001846" w:rsidRPr="00962B2A">
        <w:rPr>
          <w:lang w:val="fr-CA"/>
        </w:rPr>
        <w:t>’autorisation d’appel suivante</w:t>
      </w:r>
      <w:r w:rsidR="008600ED" w:rsidRPr="00962B2A">
        <w:rPr>
          <w:lang w:val="fr-CA"/>
        </w:rPr>
        <w:t>s</w:t>
      </w:r>
      <w:r w:rsidRPr="00962B2A">
        <w:rPr>
          <w:lang w:val="fr-CA"/>
        </w:rPr>
        <w:t xml:space="preserve"> le jeudi </w:t>
      </w:r>
      <w:r w:rsidR="00582010">
        <w:rPr>
          <w:lang w:val="fr-CA"/>
        </w:rPr>
        <w:t>23</w:t>
      </w:r>
      <w:r w:rsidR="007E112F" w:rsidRPr="00962B2A">
        <w:rPr>
          <w:lang w:val="fr-CA"/>
        </w:rPr>
        <w:t xml:space="preserve"> </w:t>
      </w:r>
      <w:r w:rsidR="00647687" w:rsidRPr="00962B2A">
        <w:rPr>
          <w:lang w:val="fr-CA"/>
        </w:rPr>
        <w:t>juin</w:t>
      </w:r>
      <w:r w:rsidR="00674329" w:rsidRPr="00962B2A">
        <w:rPr>
          <w:lang w:val="fr-CA"/>
        </w:rPr>
        <w:t xml:space="preserve"> </w:t>
      </w:r>
      <w:r w:rsidR="006648D1" w:rsidRPr="00962B2A">
        <w:rPr>
          <w:lang w:val="fr-CA"/>
        </w:rPr>
        <w:t>201</w:t>
      </w:r>
      <w:r w:rsidR="00674329" w:rsidRPr="00962B2A">
        <w:rPr>
          <w:lang w:val="fr-CA"/>
        </w:rPr>
        <w:t>6</w:t>
      </w:r>
      <w:r w:rsidRPr="00962B2A">
        <w:rPr>
          <w:lang w:val="fr-CA"/>
        </w:rPr>
        <w:t xml:space="preserve">, à 9 h 45 </w:t>
      </w:r>
      <w:r w:rsidR="000627A2" w:rsidRPr="00962B2A">
        <w:rPr>
          <w:lang w:val="fr-CA"/>
        </w:rPr>
        <w:t>H</w:t>
      </w:r>
      <w:r w:rsidR="003817A9" w:rsidRPr="00962B2A">
        <w:rPr>
          <w:lang w:val="fr-CA"/>
        </w:rPr>
        <w:t>A</w:t>
      </w:r>
      <w:r w:rsidRPr="00962B2A">
        <w:rPr>
          <w:lang w:val="fr-CA"/>
        </w:rPr>
        <w:t>E.  Cette liste est sujette à modifications.</w:t>
      </w:r>
    </w:p>
    <w:p w:rsidR="0080556B" w:rsidRPr="00962B2A" w:rsidRDefault="0080556B" w:rsidP="009B14F4">
      <w:pPr>
        <w:widowControl w:val="0"/>
        <w:jc w:val="both"/>
        <w:rPr>
          <w:sz w:val="20"/>
          <w:lang w:val="fr-CA"/>
        </w:rPr>
      </w:pPr>
    </w:p>
    <w:p w:rsidR="001838E0" w:rsidRPr="00962B2A" w:rsidRDefault="003D353C" w:rsidP="009B14F4">
      <w:pPr>
        <w:widowControl w:val="0"/>
        <w:jc w:val="both"/>
        <w:rPr>
          <w:sz w:val="20"/>
          <w:lang w:val="fr-CA"/>
        </w:rPr>
      </w:pPr>
      <w:r w:rsidRPr="00962B2A">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Pr="004729E0" w:rsidRDefault="00BE2C4B" w:rsidP="009A5F3F">
      <w:pPr>
        <w:widowControl w:val="0"/>
        <w:autoSpaceDE w:val="0"/>
        <w:autoSpaceDN w:val="0"/>
        <w:adjustRightInd w:val="0"/>
        <w:ind w:left="360" w:hanging="360"/>
        <w:rPr>
          <w:rFonts w:eastAsiaTheme="minorEastAsia"/>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 xml:space="preserve">Farhan Nur v. Her Majesty the Queen in Right of </w:t>
      </w:r>
      <w:r w:rsidR="00422E71">
        <w:rPr>
          <w:i/>
          <w:sz w:val="20"/>
          <w:szCs w:val="20"/>
          <w:lang w:val="en-CA" w:eastAsia="en-CA"/>
        </w:rPr>
        <w:t>Canada</w:t>
      </w:r>
      <w:r w:rsidRPr="004729E0">
        <w:rPr>
          <w:i/>
          <w:sz w:val="20"/>
          <w:szCs w:val="20"/>
          <w:lang w:val="en-CA" w:eastAsia="en-CA"/>
        </w:rPr>
        <w:t xml:space="preserve"> et al.</w:t>
      </w:r>
      <w:r w:rsidRPr="004729E0">
        <w:rPr>
          <w:sz w:val="20"/>
          <w:szCs w:val="20"/>
          <w:lang w:val="en-CA" w:eastAsia="en-CA"/>
        </w:rPr>
        <w:t xml:space="preserve"> (Ont.) (Criminal) (By Leave)</w:t>
      </w:r>
      <w:r w:rsidR="00640221">
        <w:rPr>
          <w:sz w:val="20"/>
          <w:szCs w:val="20"/>
          <w:lang w:val="en-CA" w:eastAsia="en-CA"/>
        </w:rPr>
        <w:t xml:space="preserve"> </w:t>
      </w:r>
      <w:r w:rsidR="00640221" w:rsidRPr="00962B2A">
        <w:rPr>
          <w:sz w:val="20"/>
        </w:rPr>
        <w:t>(</w:t>
      </w:r>
      <w:hyperlink r:id="rId8" w:history="1">
        <w:r w:rsidR="00640221" w:rsidRPr="00962B2A">
          <w:rPr>
            <w:rStyle w:val="Hyperlink"/>
            <w:sz w:val="20"/>
          </w:rPr>
          <w:t>368</w:t>
        </w:r>
        <w:r w:rsidR="00640221">
          <w:rPr>
            <w:rStyle w:val="Hyperlink"/>
            <w:sz w:val="20"/>
          </w:rPr>
          <w:t>43</w:t>
        </w:r>
      </w:hyperlink>
      <w:r w:rsidR="00640221"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Rogers Communications Canada Inc</w:t>
      </w:r>
      <w:r w:rsidR="00A9205F">
        <w:rPr>
          <w:i/>
          <w:sz w:val="20"/>
          <w:szCs w:val="20"/>
          <w:lang w:val="en-CA" w:eastAsia="en-CA"/>
        </w:rPr>
        <w:t>. (formerly known as Rogers Communications Partnership)</w:t>
      </w:r>
      <w:r w:rsidRPr="004729E0">
        <w:rPr>
          <w:i/>
          <w:sz w:val="20"/>
          <w:szCs w:val="20"/>
          <w:lang w:val="en-CA" w:eastAsia="en-CA"/>
        </w:rPr>
        <w:t xml:space="preserve"> </w:t>
      </w:r>
      <w:r w:rsidR="00A9205F">
        <w:rPr>
          <w:i/>
          <w:sz w:val="20"/>
          <w:szCs w:val="20"/>
          <w:lang w:val="en-CA" w:eastAsia="en-CA"/>
        </w:rPr>
        <w:t xml:space="preserve">et al. </w:t>
      </w:r>
      <w:r w:rsidRPr="004729E0">
        <w:rPr>
          <w:i/>
          <w:sz w:val="20"/>
          <w:szCs w:val="20"/>
          <w:lang w:val="en-CA" w:eastAsia="en-CA"/>
        </w:rPr>
        <w:t>v. Society of Composers, Authors, and Music Publishers of Canada (a.k.a. SOCAN)</w:t>
      </w:r>
      <w:r w:rsidRPr="004729E0">
        <w:rPr>
          <w:sz w:val="20"/>
          <w:szCs w:val="20"/>
          <w:lang w:val="en-CA" w:eastAsia="en-CA"/>
        </w:rPr>
        <w:t xml:space="preserve"> (F</w:t>
      </w:r>
      <w:r w:rsidR="00A9205F">
        <w:rPr>
          <w:sz w:val="20"/>
          <w:szCs w:val="20"/>
          <w:lang w:val="en-CA" w:eastAsia="en-CA"/>
        </w:rPr>
        <w:t>.</w:t>
      </w:r>
      <w:r w:rsidRPr="004729E0">
        <w:rPr>
          <w:sz w:val="20"/>
          <w:szCs w:val="20"/>
          <w:lang w:val="en-CA" w:eastAsia="en-CA"/>
        </w:rPr>
        <w:t>C</w:t>
      </w:r>
      <w:r w:rsidR="00A9205F">
        <w:rPr>
          <w:sz w:val="20"/>
          <w:szCs w:val="20"/>
          <w:lang w:val="en-CA" w:eastAsia="en-CA"/>
        </w:rPr>
        <w:t>.</w:t>
      </w:r>
      <w:r w:rsidRPr="004729E0">
        <w:rPr>
          <w:sz w:val="20"/>
          <w:szCs w:val="20"/>
          <w:lang w:val="en-CA" w:eastAsia="en-CA"/>
        </w:rPr>
        <w:t>) (Civil) (By Leave)</w:t>
      </w:r>
      <w:r w:rsidR="00A9205F">
        <w:rPr>
          <w:sz w:val="20"/>
          <w:szCs w:val="20"/>
          <w:lang w:val="en-CA" w:eastAsia="en-CA"/>
        </w:rPr>
        <w:t xml:space="preserve"> </w:t>
      </w:r>
      <w:r w:rsidR="00A9205F" w:rsidRPr="00962B2A">
        <w:rPr>
          <w:sz w:val="20"/>
        </w:rPr>
        <w:t>(</w:t>
      </w:r>
      <w:hyperlink r:id="rId9" w:history="1">
        <w:r w:rsidR="00A9205F" w:rsidRPr="00962B2A">
          <w:rPr>
            <w:rStyle w:val="Hyperlink"/>
            <w:sz w:val="20"/>
          </w:rPr>
          <w:t>369</w:t>
        </w:r>
        <w:r w:rsidR="00A9205F">
          <w:rPr>
            <w:rStyle w:val="Hyperlink"/>
            <w:sz w:val="20"/>
          </w:rPr>
          <w:t>07</w:t>
        </w:r>
      </w:hyperlink>
      <w:r w:rsidR="00A9205F"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fr-FR" w:eastAsia="en-CA"/>
        </w:rPr>
        <w:t>James D. Hole et al. v. James F. Hole et al.</w:t>
      </w:r>
      <w:r w:rsidRPr="004729E0">
        <w:rPr>
          <w:sz w:val="20"/>
          <w:szCs w:val="20"/>
          <w:lang w:val="fr-FR" w:eastAsia="en-CA"/>
        </w:rPr>
        <w:t xml:space="preserve"> </w:t>
      </w:r>
      <w:r w:rsidR="00E47A35">
        <w:rPr>
          <w:sz w:val="20"/>
          <w:szCs w:val="20"/>
          <w:lang w:val="fr-FR" w:eastAsia="en-CA"/>
        </w:rPr>
        <w:t>(</w:t>
      </w:r>
      <w:r w:rsidRPr="004729E0">
        <w:rPr>
          <w:sz w:val="20"/>
          <w:szCs w:val="20"/>
          <w:lang w:val="en-CA" w:eastAsia="en-CA"/>
        </w:rPr>
        <w:t xml:space="preserve">Alta.) (Civil) (By Leave) </w:t>
      </w:r>
      <w:r w:rsidR="00461DF1" w:rsidRPr="00962B2A">
        <w:rPr>
          <w:sz w:val="20"/>
        </w:rPr>
        <w:t>(</w:t>
      </w:r>
      <w:hyperlink r:id="rId10" w:history="1">
        <w:r w:rsidR="00461DF1" w:rsidRPr="00962B2A">
          <w:rPr>
            <w:rStyle w:val="Hyperlink"/>
            <w:sz w:val="20"/>
          </w:rPr>
          <w:t>369</w:t>
        </w:r>
        <w:r w:rsidR="00461DF1">
          <w:rPr>
            <w:rStyle w:val="Hyperlink"/>
            <w:sz w:val="20"/>
          </w:rPr>
          <w:t>2</w:t>
        </w:r>
        <w:r w:rsidR="00461DF1" w:rsidRPr="00962B2A">
          <w:rPr>
            <w:rStyle w:val="Hyperlink"/>
            <w:sz w:val="20"/>
          </w:rPr>
          <w:t>0</w:t>
        </w:r>
      </w:hyperlink>
      <w:r w:rsidR="00461DF1"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Raymond Turmel v. Her Majesty the Queen</w:t>
      </w:r>
      <w:r w:rsidRPr="004729E0">
        <w:rPr>
          <w:sz w:val="20"/>
          <w:szCs w:val="20"/>
          <w:lang w:val="en-CA" w:eastAsia="en-CA"/>
        </w:rPr>
        <w:t xml:space="preserve"> (F</w:t>
      </w:r>
      <w:r w:rsidR="00143447">
        <w:rPr>
          <w:sz w:val="20"/>
          <w:szCs w:val="20"/>
          <w:lang w:val="en-CA" w:eastAsia="en-CA"/>
        </w:rPr>
        <w:t>.</w:t>
      </w:r>
      <w:r w:rsidRPr="004729E0">
        <w:rPr>
          <w:sz w:val="20"/>
          <w:szCs w:val="20"/>
          <w:lang w:val="en-CA" w:eastAsia="en-CA"/>
        </w:rPr>
        <w:t>C</w:t>
      </w:r>
      <w:r w:rsidR="00143447">
        <w:rPr>
          <w:sz w:val="20"/>
          <w:szCs w:val="20"/>
          <w:lang w:val="en-CA" w:eastAsia="en-CA"/>
        </w:rPr>
        <w:t>.</w:t>
      </w:r>
      <w:r w:rsidRPr="004729E0">
        <w:rPr>
          <w:sz w:val="20"/>
          <w:szCs w:val="20"/>
          <w:lang w:val="en-CA" w:eastAsia="en-CA"/>
        </w:rPr>
        <w:t>) (Civil) (By Leave)</w:t>
      </w:r>
      <w:r w:rsidR="00143447">
        <w:rPr>
          <w:sz w:val="20"/>
          <w:szCs w:val="20"/>
          <w:lang w:val="en-CA" w:eastAsia="en-CA"/>
        </w:rPr>
        <w:t xml:space="preserve"> </w:t>
      </w:r>
      <w:r w:rsidR="00143447" w:rsidRPr="00962B2A">
        <w:rPr>
          <w:sz w:val="20"/>
        </w:rPr>
        <w:t>(</w:t>
      </w:r>
      <w:hyperlink r:id="rId11" w:history="1">
        <w:r w:rsidR="00143447" w:rsidRPr="00962B2A">
          <w:rPr>
            <w:rStyle w:val="Hyperlink"/>
            <w:sz w:val="20"/>
          </w:rPr>
          <w:t>369</w:t>
        </w:r>
        <w:r w:rsidR="00143447">
          <w:rPr>
            <w:rStyle w:val="Hyperlink"/>
            <w:sz w:val="20"/>
          </w:rPr>
          <w:t>27</w:t>
        </w:r>
      </w:hyperlink>
      <w:r w:rsidR="00143447"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Robert Roy v. Her Majesty the Queen</w:t>
      </w:r>
      <w:r w:rsidRPr="004729E0">
        <w:rPr>
          <w:sz w:val="20"/>
          <w:szCs w:val="20"/>
          <w:lang w:val="en-CA" w:eastAsia="en-CA"/>
        </w:rPr>
        <w:t xml:space="preserve"> (F</w:t>
      </w:r>
      <w:r w:rsidR="006E0FAD">
        <w:rPr>
          <w:sz w:val="20"/>
          <w:szCs w:val="20"/>
          <w:lang w:val="en-CA" w:eastAsia="en-CA"/>
        </w:rPr>
        <w:t>.</w:t>
      </w:r>
      <w:r w:rsidRPr="004729E0">
        <w:rPr>
          <w:sz w:val="20"/>
          <w:szCs w:val="20"/>
          <w:lang w:val="en-CA" w:eastAsia="en-CA"/>
        </w:rPr>
        <w:t>C</w:t>
      </w:r>
      <w:r w:rsidR="006E0FAD">
        <w:rPr>
          <w:sz w:val="20"/>
          <w:szCs w:val="20"/>
          <w:lang w:val="en-CA" w:eastAsia="en-CA"/>
        </w:rPr>
        <w:t>.</w:t>
      </w:r>
      <w:r w:rsidRPr="004729E0">
        <w:rPr>
          <w:sz w:val="20"/>
          <w:szCs w:val="20"/>
          <w:lang w:val="en-CA" w:eastAsia="en-CA"/>
        </w:rPr>
        <w:t xml:space="preserve">) (Civil) (By Leave) </w:t>
      </w:r>
      <w:r w:rsidR="006E0FAD" w:rsidRPr="00962B2A">
        <w:rPr>
          <w:sz w:val="20"/>
        </w:rPr>
        <w:t>(</w:t>
      </w:r>
      <w:hyperlink r:id="rId12" w:history="1">
        <w:r w:rsidR="006E0FAD" w:rsidRPr="00962B2A">
          <w:rPr>
            <w:rStyle w:val="Hyperlink"/>
            <w:sz w:val="20"/>
          </w:rPr>
          <w:t>36</w:t>
        </w:r>
        <w:r w:rsidR="006E0FAD">
          <w:rPr>
            <w:rStyle w:val="Hyperlink"/>
            <w:sz w:val="20"/>
          </w:rPr>
          <w:t>928</w:t>
        </w:r>
      </w:hyperlink>
      <w:r w:rsidR="006E0FAD" w:rsidRPr="00962B2A">
        <w:rPr>
          <w:sz w:val="20"/>
        </w:rPr>
        <w:t>)</w:t>
      </w:r>
    </w:p>
    <w:p w:rsidR="00E810DA" w:rsidRPr="004729E0" w:rsidRDefault="00E810DA" w:rsidP="004729E0">
      <w:pPr>
        <w:ind w:left="360" w:hanging="360"/>
        <w:rPr>
          <w:sz w:val="20"/>
          <w:lang w:val="en-CA" w:eastAsia="en-CA"/>
        </w:rPr>
      </w:pPr>
      <w:bookmarkStart w:id="0" w:name="_GoBack"/>
      <w:bookmarkEnd w:id="0"/>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Stephen Patrick Burrows v. Her Majesty the Queen</w:t>
      </w:r>
      <w:r w:rsidRPr="004729E0">
        <w:rPr>
          <w:sz w:val="20"/>
          <w:szCs w:val="20"/>
          <w:lang w:val="en-CA" w:eastAsia="en-CA"/>
        </w:rPr>
        <w:t xml:space="preserve"> (F</w:t>
      </w:r>
      <w:r w:rsidR="006E0FAD">
        <w:rPr>
          <w:sz w:val="20"/>
          <w:szCs w:val="20"/>
          <w:lang w:val="en-CA" w:eastAsia="en-CA"/>
        </w:rPr>
        <w:t>.</w:t>
      </w:r>
      <w:r w:rsidRPr="004729E0">
        <w:rPr>
          <w:sz w:val="20"/>
          <w:szCs w:val="20"/>
          <w:lang w:val="en-CA" w:eastAsia="en-CA"/>
        </w:rPr>
        <w:t>C</w:t>
      </w:r>
      <w:r w:rsidR="006E0FAD">
        <w:rPr>
          <w:sz w:val="20"/>
          <w:szCs w:val="20"/>
          <w:lang w:val="en-CA" w:eastAsia="en-CA"/>
        </w:rPr>
        <w:t>.</w:t>
      </w:r>
      <w:r w:rsidRPr="004729E0">
        <w:rPr>
          <w:sz w:val="20"/>
          <w:szCs w:val="20"/>
          <w:lang w:val="en-CA" w:eastAsia="en-CA"/>
        </w:rPr>
        <w:t>) (Civil) (By Leave)</w:t>
      </w:r>
      <w:r w:rsidR="006E0FAD">
        <w:rPr>
          <w:sz w:val="20"/>
          <w:szCs w:val="20"/>
          <w:lang w:val="en-CA" w:eastAsia="en-CA"/>
        </w:rPr>
        <w:t xml:space="preserve"> </w:t>
      </w:r>
      <w:r w:rsidR="006E0FAD" w:rsidRPr="00962B2A">
        <w:rPr>
          <w:sz w:val="20"/>
        </w:rPr>
        <w:t>(</w:t>
      </w:r>
      <w:hyperlink r:id="rId13" w:history="1">
        <w:r w:rsidR="006E0FAD" w:rsidRPr="00962B2A">
          <w:rPr>
            <w:rStyle w:val="Hyperlink"/>
            <w:sz w:val="20"/>
          </w:rPr>
          <w:t>36</w:t>
        </w:r>
        <w:r w:rsidR="006E0FAD">
          <w:rPr>
            <w:rStyle w:val="Hyperlink"/>
            <w:sz w:val="20"/>
          </w:rPr>
          <w:t>929</w:t>
        </w:r>
      </w:hyperlink>
      <w:r w:rsidR="006E0FAD" w:rsidRPr="00962B2A">
        <w:rPr>
          <w:sz w:val="20"/>
        </w:rPr>
        <w:t>)</w:t>
      </w:r>
    </w:p>
    <w:p w:rsidR="00E810DA" w:rsidRPr="004729E0" w:rsidRDefault="00E810DA" w:rsidP="004729E0">
      <w:pPr>
        <w:pStyle w:val="ListParagraph"/>
        <w:ind w:left="360" w:hanging="360"/>
        <w:rPr>
          <w:sz w:val="20"/>
          <w:szCs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Cheryle M. Hawkins v. Her Majesty the Queen</w:t>
      </w:r>
      <w:r w:rsidRPr="004729E0">
        <w:rPr>
          <w:sz w:val="20"/>
          <w:szCs w:val="20"/>
          <w:lang w:val="en-CA" w:eastAsia="en-CA"/>
        </w:rPr>
        <w:t xml:space="preserve"> (F</w:t>
      </w:r>
      <w:r w:rsidR="00A1084E">
        <w:rPr>
          <w:sz w:val="20"/>
          <w:szCs w:val="20"/>
          <w:lang w:val="en-CA" w:eastAsia="en-CA"/>
        </w:rPr>
        <w:t>.</w:t>
      </w:r>
      <w:r w:rsidRPr="004729E0">
        <w:rPr>
          <w:sz w:val="20"/>
          <w:szCs w:val="20"/>
          <w:lang w:val="en-CA" w:eastAsia="en-CA"/>
        </w:rPr>
        <w:t>C</w:t>
      </w:r>
      <w:r w:rsidR="00A1084E">
        <w:rPr>
          <w:sz w:val="20"/>
          <w:szCs w:val="20"/>
          <w:lang w:val="en-CA" w:eastAsia="en-CA"/>
        </w:rPr>
        <w:t>.</w:t>
      </w:r>
      <w:r w:rsidRPr="004729E0">
        <w:rPr>
          <w:sz w:val="20"/>
          <w:szCs w:val="20"/>
          <w:lang w:val="en-CA" w:eastAsia="en-CA"/>
        </w:rPr>
        <w:t>) (Civil) (By Leave)</w:t>
      </w:r>
      <w:r w:rsidR="00A73405">
        <w:rPr>
          <w:sz w:val="20"/>
          <w:szCs w:val="20"/>
          <w:lang w:val="en-CA" w:eastAsia="en-CA"/>
        </w:rPr>
        <w:t xml:space="preserve"> </w:t>
      </w:r>
      <w:r w:rsidR="00A73405" w:rsidRPr="00962B2A">
        <w:rPr>
          <w:sz w:val="20"/>
        </w:rPr>
        <w:t>(</w:t>
      </w:r>
      <w:hyperlink r:id="rId14" w:history="1">
        <w:r w:rsidR="00A73405" w:rsidRPr="00962B2A">
          <w:rPr>
            <w:rStyle w:val="Hyperlink"/>
            <w:sz w:val="20"/>
          </w:rPr>
          <w:t>36</w:t>
        </w:r>
        <w:r w:rsidR="00A73405">
          <w:rPr>
            <w:rStyle w:val="Hyperlink"/>
            <w:sz w:val="20"/>
          </w:rPr>
          <w:t>930</w:t>
        </w:r>
      </w:hyperlink>
      <w:r w:rsidR="00A73405"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John Turmel v. Her Majesty the Queen</w:t>
      </w:r>
      <w:r w:rsidRPr="004729E0">
        <w:rPr>
          <w:sz w:val="20"/>
          <w:szCs w:val="20"/>
          <w:lang w:val="en-CA" w:eastAsia="en-CA"/>
        </w:rPr>
        <w:t xml:space="preserve"> (F</w:t>
      </w:r>
      <w:r w:rsidR="00A1084E">
        <w:rPr>
          <w:sz w:val="20"/>
          <w:szCs w:val="20"/>
          <w:lang w:val="en-CA" w:eastAsia="en-CA"/>
        </w:rPr>
        <w:t>.</w:t>
      </w:r>
      <w:r w:rsidRPr="004729E0">
        <w:rPr>
          <w:sz w:val="20"/>
          <w:szCs w:val="20"/>
          <w:lang w:val="en-CA" w:eastAsia="en-CA"/>
        </w:rPr>
        <w:t>C</w:t>
      </w:r>
      <w:r w:rsidR="00A1084E">
        <w:rPr>
          <w:sz w:val="20"/>
          <w:szCs w:val="20"/>
          <w:lang w:val="en-CA" w:eastAsia="en-CA"/>
        </w:rPr>
        <w:t>.</w:t>
      </w:r>
      <w:r w:rsidRPr="004729E0">
        <w:rPr>
          <w:sz w:val="20"/>
          <w:szCs w:val="20"/>
          <w:lang w:val="en-CA" w:eastAsia="en-CA"/>
        </w:rPr>
        <w:t>) (Civil) (By Leave)</w:t>
      </w:r>
      <w:r w:rsidR="00B467ED">
        <w:rPr>
          <w:sz w:val="20"/>
          <w:szCs w:val="20"/>
          <w:lang w:val="en-CA" w:eastAsia="en-CA"/>
        </w:rPr>
        <w:t xml:space="preserve"> </w:t>
      </w:r>
      <w:r w:rsidR="00B467ED" w:rsidRPr="00962B2A">
        <w:rPr>
          <w:sz w:val="20"/>
        </w:rPr>
        <w:t>(</w:t>
      </w:r>
      <w:hyperlink r:id="rId15" w:history="1">
        <w:r w:rsidR="00B467ED" w:rsidRPr="00962B2A">
          <w:rPr>
            <w:rStyle w:val="Hyperlink"/>
            <w:sz w:val="20"/>
          </w:rPr>
          <w:t>36</w:t>
        </w:r>
        <w:r w:rsidR="00B467ED">
          <w:rPr>
            <w:rStyle w:val="Hyperlink"/>
            <w:sz w:val="20"/>
          </w:rPr>
          <w:t>937</w:t>
        </w:r>
      </w:hyperlink>
      <w:r w:rsidR="00B467ED"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 xml:space="preserve">Terrance Parker v. Her Majesty the Queen </w:t>
      </w:r>
      <w:r w:rsidRPr="004729E0">
        <w:rPr>
          <w:sz w:val="20"/>
          <w:szCs w:val="20"/>
          <w:lang w:val="en-CA" w:eastAsia="en-CA"/>
        </w:rPr>
        <w:t>(F</w:t>
      </w:r>
      <w:r w:rsidR="00A1084E">
        <w:rPr>
          <w:sz w:val="20"/>
          <w:szCs w:val="20"/>
          <w:lang w:val="en-CA" w:eastAsia="en-CA"/>
        </w:rPr>
        <w:t>.</w:t>
      </w:r>
      <w:r w:rsidRPr="004729E0">
        <w:rPr>
          <w:sz w:val="20"/>
          <w:szCs w:val="20"/>
          <w:lang w:val="en-CA" w:eastAsia="en-CA"/>
        </w:rPr>
        <w:t>C</w:t>
      </w:r>
      <w:r w:rsidR="00A1084E">
        <w:rPr>
          <w:sz w:val="20"/>
          <w:szCs w:val="20"/>
          <w:lang w:val="en-CA" w:eastAsia="en-CA"/>
        </w:rPr>
        <w:t>.</w:t>
      </w:r>
      <w:r w:rsidRPr="004729E0">
        <w:rPr>
          <w:sz w:val="20"/>
          <w:szCs w:val="20"/>
          <w:lang w:val="en-CA" w:eastAsia="en-CA"/>
        </w:rPr>
        <w:t>) (Civil) (By Leave)</w:t>
      </w:r>
      <w:r w:rsidR="00B243A4">
        <w:rPr>
          <w:sz w:val="20"/>
          <w:szCs w:val="20"/>
          <w:lang w:val="en-CA" w:eastAsia="en-CA"/>
        </w:rPr>
        <w:t xml:space="preserve"> </w:t>
      </w:r>
      <w:r w:rsidR="00B243A4" w:rsidRPr="00962B2A">
        <w:rPr>
          <w:sz w:val="20"/>
        </w:rPr>
        <w:t>(</w:t>
      </w:r>
      <w:hyperlink r:id="rId16" w:history="1">
        <w:r w:rsidR="00B243A4" w:rsidRPr="00962B2A">
          <w:rPr>
            <w:rStyle w:val="Hyperlink"/>
            <w:sz w:val="20"/>
          </w:rPr>
          <w:t>36</w:t>
        </w:r>
        <w:r w:rsidR="00B243A4">
          <w:rPr>
            <w:rStyle w:val="Hyperlink"/>
            <w:sz w:val="20"/>
          </w:rPr>
          <w:t>938</w:t>
        </w:r>
      </w:hyperlink>
      <w:r w:rsidR="00B243A4"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Arthur Jackes v. Her Majesty the Queen</w:t>
      </w:r>
      <w:r w:rsidRPr="004729E0">
        <w:rPr>
          <w:sz w:val="20"/>
          <w:szCs w:val="20"/>
          <w:lang w:val="en-CA" w:eastAsia="en-CA"/>
        </w:rPr>
        <w:t xml:space="preserve"> (F</w:t>
      </w:r>
      <w:r w:rsidR="00A1084E">
        <w:rPr>
          <w:sz w:val="20"/>
          <w:szCs w:val="20"/>
          <w:lang w:val="en-CA" w:eastAsia="en-CA"/>
        </w:rPr>
        <w:t>.</w:t>
      </w:r>
      <w:r w:rsidRPr="004729E0">
        <w:rPr>
          <w:sz w:val="20"/>
          <w:szCs w:val="20"/>
          <w:lang w:val="en-CA" w:eastAsia="en-CA"/>
        </w:rPr>
        <w:t>C</w:t>
      </w:r>
      <w:r w:rsidR="00A1084E">
        <w:rPr>
          <w:sz w:val="20"/>
          <w:szCs w:val="20"/>
          <w:lang w:val="en-CA" w:eastAsia="en-CA"/>
        </w:rPr>
        <w:t>.</w:t>
      </w:r>
      <w:r w:rsidRPr="004729E0">
        <w:rPr>
          <w:sz w:val="20"/>
          <w:szCs w:val="20"/>
          <w:lang w:val="en-CA" w:eastAsia="en-CA"/>
        </w:rPr>
        <w:t>) (Civil) (By Leave)</w:t>
      </w:r>
      <w:r w:rsidR="00882B0F">
        <w:rPr>
          <w:sz w:val="20"/>
          <w:szCs w:val="20"/>
          <w:lang w:val="en-CA" w:eastAsia="en-CA"/>
        </w:rPr>
        <w:t xml:space="preserve"> </w:t>
      </w:r>
      <w:r w:rsidR="00882B0F" w:rsidRPr="00962B2A">
        <w:rPr>
          <w:sz w:val="20"/>
        </w:rPr>
        <w:t>(</w:t>
      </w:r>
      <w:hyperlink r:id="rId17" w:history="1">
        <w:r w:rsidR="00882B0F" w:rsidRPr="00962B2A">
          <w:rPr>
            <w:rStyle w:val="Hyperlink"/>
            <w:sz w:val="20"/>
          </w:rPr>
          <w:t>36</w:t>
        </w:r>
        <w:r w:rsidR="00882B0F">
          <w:rPr>
            <w:rStyle w:val="Hyperlink"/>
            <w:sz w:val="20"/>
          </w:rPr>
          <w:t>939</w:t>
        </w:r>
      </w:hyperlink>
      <w:r w:rsidR="00882B0F" w:rsidRPr="00962B2A">
        <w:rPr>
          <w:sz w:val="20"/>
        </w:rPr>
        <w:t>)</w:t>
      </w:r>
    </w:p>
    <w:p w:rsidR="00E810DA" w:rsidRPr="004729E0" w:rsidRDefault="00E810DA" w:rsidP="004729E0">
      <w:pPr>
        <w:pStyle w:val="ListParagraph"/>
        <w:ind w:left="360" w:hanging="360"/>
        <w:rPr>
          <w:sz w:val="20"/>
          <w:szCs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Elsie Gear v. Her Majesty the Queen</w:t>
      </w:r>
      <w:r w:rsidRPr="004729E0">
        <w:rPr>
          <w:sz w:val="20"/>
          <w:szCs w:val="20"/>
          <w:lang w:val="en-CA" w:eastAsia="en-CA"/>
        </w:rPr>
        <w:t xml:space="preserve"> (F</w:t>
      </w:r>
      <w:r w:rsidR="00A1084E">
        <w:rPr>
          <w:sz w:val="20"/>
          <w:szCs w:val="20"/>
          <w:lang w:val="en-CA" w:eastAsia="en-CA"/>
        </w:rPr>
        <w:t>.</w:t>
      </w:r>
      <w:r w:rsidRPr="004729E0">
        <w:rPr>
          <w:sz w:val="20"/>
          <w:szCs w:val="20"/>
          <w:lang w:val="en-CA" w:eastAsia="en-CA"/>
        </w:rPr>
        <w:t>C</w:t>
      </w:r>
      <w:r w:rsidR="00A1084E">
        <w:rPr>
          <w:sz w:val="20"/>
          <w:szCs w:val="20"/>
          <w:lang w:val="en-CA" w:eastAsia="en-CA"/>
        </w:rPr>
        <w:t>.</w:t>
      </w:r>
      <w:r w:rsidRPr="004729E0">
        <w:rPr>
          <w:sz w:val="20"/>
          <w:szCs w:val="20"/>
          <w:lang w:val="en-CA" w:eastAsia="en-CA"/>
        </w:rPr>
        <w:t>) (Civil) (By Leave)</w:t>
      </w:r>
      <w:r w:rsidR="00AD4CC2">
        <w:rPr>
          <w:sz w:val="20"/>
          <w:szCs w:val="20"/>
          <w:lang w:val="en-CA" w:eastAsia="en-CA"/>
        </w:rPr>
        <w:t xml:space="preserve"> </w:t>
      </w:r>
      <w:r w:rsidR="00AD4CC2" w:rsidRPr="00962B2A">
        <w:rPr>
          <w:sz w:val="20"/>
        </w:rPr>
        <w:t>(</w:t>
      </w:r>
      <w:hyperlink r:id="rId18" w:history="1">
        <w:r w:rsidR="00AD4CC2" w:rsidRPr="00962B2A">
          <w:rPr>
            <w:rStyle w:val="Hyperlink"/>
            <w:sz w:val="20"/>
          </w:rPr>
          <w:t>36</w:t>
        </w:r>
        <w:r w:rsidR="00AD4CC2">
          <w:rPr>
            <w:rStyle w:val="Hyperlink"/>
            <w:sz w:val="20"/>
          </w:rPr>
          <w:t>940</w:t>
        </w:r>
      </w:hyperlink>
      <w:r w:rsidR="00AD4CC2" w:rsidRPr="00962B2A">
        <w:rPr>
          <w:sz w:val="20"/>
        </w:rPr>
        <w:t>)</w:t>
      </w:r>
    </w:p>
    <w:p w:rsidR="00E810DA" w:rsidRPr="004729E0" w:rsidRDefault="00E810DA" w:rsidP="004729E0">
      <w:pPr>
        <w:ind w:left="360" w:hanging="360"/>
        <w:rPr>
          <w:sz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Heidi Chartrand v. Her Majesty the Queen</w:t>
      </w:r>
      <w:r w:rsidRPr="004729E0">
        <w:rPr>
          <w:sz w:val="20"/>
          <w:szCs w:val="20"/>
          <w:lang w:val="en-CA" w:eastAsia="en-CA"/>
        </w:rPr>
        <w:t xml:space="preserve"> (F</w:t>
      </w:r>
      <w:r w:rsidR="00A1084E">
        <w:rPr>
          <w:sz w:val="20"/>
          <w:szCs w:val="20"/>
          <w:lang w:val="en-CA" w:eastAsia="en-CA"/>
        </w:rPr>
        <w:t>.</w:t>
      </w:r>
      <w:r w:rsidRPr="004729E0">
        <w:rPr>
          <w:sz w:val="20"/>
          <w:szCs w:val="20"/>
          <w:lang w:val="en-CA" w:eastAsia="en-CA"/>
        </w:rPr>
        <w:t>C</w:t>
      </w:r>
      <w:r w:rsidR="00A1084E">
        <w:rPr>
          <w:sz w:val="20"/>
          <w:szCs w:val="20"/>
          <w:lang w:val="en-CA" w:eastAsia="en-CA"/>
        </w:rPr>
        <w:t>.</w:t>
      </w:r>
      <w:r w:rsidRPr="004729E0">
        <w:rPr>
          <w:sz w:val="20"/>
          <w:szCs w:val="20"/>
          <w:lang w:val="en-CA" w:eastAsia="en-CA"/>
        </w:rPr>
        <w:t>) (Civil) (By Leave)</w:t>
      </w:r>
      <w:r w:rsidR="005B3F91">
        <w:rPr>
          <w:sz w:val="20"/>
          <w:szCs w:val="20"/>
          <w:lang w:val="en-CA" w:eastAsia="en-CA"/>
        </w:rPr>
        <w:t xml:space="preserve"> </w:t>
      </w:r>
      <w:r w:rsidR="005B3F91" w:rsidRPr="00962B2A">
        <w:rPr>
          <w:sz w:val="20"/>
        </w:rPr>
        <w:t>(</w:t>
      </w:r>
      <w:hyperlink r:id="rId19" w:history="1">
        <w:r w:rsidR="005B3F91" w:rsidRPr="00962B2A">
          <w:rPr>
            <w:rStyle w:val="Hyperlink"/>
            <w:sz w:val="20"/>
          </w:rPr>
          <w:t>36</w:t>
        </w:r>
        <w:r w:rsidR="005B3F91">
          <w:rPr>
            <w:rStyle w:val="Hyperlink"/>
            <w:sz w:val="20"/>
          </w:rPr>
          <w:t>941</w:t>
        </w:r>
      </w:hyperlink>
      <w:r w:rsidR="005B3F91" w:rsidRPr="00962B2A">
        <w:rPr>
          <w:sz w:val="20"/>
        </w:rPr>
        <w:t>)</w:t>
      </w:r>
    </w:p>
    <w:p w:rsidR="00E810DA" w:rsidRPr="004729E0" w:rsidRDefault="00E810DA" w:rsidP="004729E0">
      <w:pPr>
        <w:pStyle w:val="ListParagraph"/>
        <w:ind w:left="360" w:hanging="360"/>
        <w:rPr>
          <w:sz w:val="20"/>
          <w:szCs w:val="20"/>
          <w:lang w:val="en-CA" w:eastAsia="en-CA"/>
        </w:rPr>
      </w:pPr>
    </w:p>
    <w:p w:rsidR="00E810DA" w:rsidRPr="004729E0" w:rsidRDefault="00E810DA" w:rsidP="004729E0">
      <w:pPr>
        <w:pStyle w:val="ListParagraph"/>
        <w:numPr>
          <w:ilvl w:val="0"/>
          <w:numId w:val="40"/>
        </w:numPr>
        <w:ind w:left="360"/>
        <w:rPr>
          <w:sz w:val="20"/>
          <w:szCs w:val="20"/>
          <w:lang w:val="en-CA" w:eastAsia="en-CA"/>
        </w:rPr>
      </w:pPr>
      <w:r w:rsidRPr="004729E0">
        <w:rPr>
          <w:i/>
          <w:sz w:val="20"/>
          <w:szCs w:val="20"/>
          <w:lang w:val="en-CA" w:eastAsia="en-CA"/>
        </w:rPr>
        <w:t xml:space="preserve">Beverly Sharon Misener v. Her Majesty the Queen </w:t>
      </w:r>
      <w:r w:rsidRPr="004729E0">
        <w:rPr>
          <w:sz w:val="20"/>
          <w:szCs w:val="20"/>
          <w:lang w:val="en-CA" w:eastAsia="en-CA"/>
        </w:rPr>
        <w:t>(F</w:t>
      </w:r>
      <w:r w:rsidR="00A1084E">
        <w:rPr>
          <w:sz w:val="20"/>
          <w:szCs w:val="20"/>
          <w:lang w:val="en-CA" w:eastAsia="en-CA"/>
        </w:rPr>
        <w:t>.</w:t>
      </w:r>
      <w:r w:rsidRPr="004729E0">
        <w:rPr>
          <w:sz w:val="20"/>
          <w:szCs w:val="20"/>
          <w:lang w:val="en-CA" w:eastAsia="en-CA"/>
        </w:rPr>
        <w:t>C</w:t>
      </w:r>
      <w:r w:rsidR="00A1084E">
        <w:rPr>
          <w:sz w:val="20"/>
          <w:szCs w:val="20"/>
          <w:lang w:val="en-CA" w:eastAsia="en-CA"/>
        </w:rPr>
        <w:t>.</w:t>
      </w:r>
      <w:r w:rsidRPr="004729E0">
        <w:rPr>
          <w:sz w:val="20"/>
          <w:szCs w:val="20"/>
          <w:lang w:val="en-CA" w:eastAsia="en-CA"/>
        </w:rPr>
        <w:t>) (Civil) (By Leave)</w:t>
      </w:r>
      <w:r w:rsidR="002E24D4">
        <w:rPr>
          <w:sz w:val="20"/>
          <w:szCs w:val="20"/>
          <w:lang w:val="en-CA" w:eastAsia="en-CA"/>
        </w:rPr>
        <w:t xml:space="preserve"> </w:t>
      </w:r>
      <w:r w:rsidR="002E24D4" w:rsidRPr="00962B2A">
        <w:rPr>
          <w:sz w:val="20"/>
        </w:rPr>
        <w:t>(</w:t>
      </w:r>
      <w:hyperlink r:id="rId20" w:history="1">
        <w:r w:rsidR="002E24D4" w:rsidRPr="00962B2A">
          <w:rPr>
            <w:rStyle w:val="Hyperlink"/>
            <w:sz w:val="20"/>
          </w:rPr>
          <w:t>36</w:t>
        </w:r>
        <w:r w:rsidR="002E24D4">
          <w:rPr>
            <w:rStyle w:val="Hyperlink"/>
            <w:sz w:val="20"/>
          </w:rPr>
          <w:t>991</w:t>
        </w:r>
      </w:hyperlink>
      <w:r w:rsidR="002E24D4" w:rsidRPr="00962B2A">
        <w:rPr>
          <w:sz w:val="20"/>
        </w:rPr>
        <w:t>)</w:t>
      </w:r>
    </w:p>
    <w:p w:rsidR="00E810DA" w:rsidRPr="004729E0" w:rsidRDefault="00E810DA" w:rsidP="004729E0">
      <w:pPr>
        <w:pStyle w:val="NoSpacing"/>
        <w:ind w:left="360" w:hanging="360"/>
        <w:rPr>
          <w:sz w:val="20"/>
          <w:szCs w:val="20"/>
          <w:lang w:val="en-CA"/>
        </w:rPr>
      </w:pPr>
    </w:p>
    <w:p w:rsidR="00E810DA" w:rsidRPr="004729E0" w:rsidRDefault="00E810DA" w:rsidP="004729E0">
      <w:pPr>
        <w:pStyle w:val="ListParagraph"/>
        <w:numPr>
          <w:ilvl w:val="0"/>
          <w:numId w:val="40"/>
        </w:numPr>
        <w:ind w:left="360"/>
        <w:rPr>
          <w:sz w:val="20"/>
          <w:szCs w:val="20"/>
          <w:lang w:val="fr-CA"/>
        </w:rPr>
      </w:pPr>
      <w:r w:rsidRPr="004729E0">
        <w:rPr>
          <w:i/>
          <w:sz w:val="20"/>
          <w:szCs w:val="20"/>
          <w:lang w:val="fr-CA"/>
        </w:rPr>
        <w:t>Pierre Mailloux c. Jean-Claude Fortin, ès qualités de syndic adjoint du Collège des médecins du Québec</w:t>
      </w:r>
      <w:r w:rsidRPr="004729E0">
        <w:rPr>
          <w:sz w:val="20"/>
          <w:szCs w:val="20"/>
          <w:lang w:val="fr-CA"/>
        </w:rPr>
        <w:t xml:space="preserve"> (Qc) (Civile) (Autorisation)</w:t>
      </w:r>
      <w:r w:rsidR="000879BA">
        <w:rPr>
          <w:sz w:val="20"/>
          <w:szCs w:val="20"/>
          <w:lang w:val="fr-CA"/>
        </w:rPr>
        <w:t xml:space="preserve"> </w:t>
      </w:r>
      <w:r w:rsidR="000879BA" w:rsidRPr="00962B2A">
        <w:rPr>
          <w:sz w:val="20"/>
          <w:lang w:val="fr-FR" w:eastAsia="en-CA"/>
        </w:rPr>
        <w:t>(</w:t>
      </w:r>
      <w:hyperlink r:id="rId21" w:history="1">
        <w:r w:rsidR="000879BA" w:rsidRPr="00962B2A">
          <w:rPr>
            <w:rStyle w:val="Hyperlink"/>
            <w:sz w:val="20"/>
            <w:lang w:val="fr-FR" w:eastAsia="en-CA"/>
          </w:rPr>
          <w:t>36</w:t>
        </w:r>
        <w:r w:rsidR="000879BA">
          <w:rPr>
            <w:rStyle w:val="Hyperlink"/>
            <w:sz w:val="20"/>
            <w:lang w:val="fr-FR" w:eastAsia="en-CA"/>
          </w:rPr>
          <w:t>951</w:t>
        </w:r>
      </w:hyperlink>
      <w:r w:rsidR="000879BA" w:rsidRPr="00962B2A">
        <w:rPr>
          <w:sz w:val="20"/>
          <w:lang w:val="fr-FR" w:eastAsia="en-CA"/>
        </w:rPr>
        <w:t>)</w:t>
      </w:r>
    </w:p>
    <w:p w:rsidR="00E810DA" w:rsidRPr="004729E0" w:rsidRDefault="00E810DA" w:rsidP="004729E0">
      <w:pPr>
        <w:widowControl w:val="0"/>
        <w:ind w:left="360" w:hanging="360"/>
        <w:rPr>
          <w:sz w:val="20"/>
          <w:lang w:val="fr-CA"/>
        </w:rPr>
      </w:pPr>
    </w:p>
    <w:p w:rsidR="00E810DA" w:rsidRPr="004729E0" w:rsidRDefault="00E810DA" w:rsidP="004729E0">
      <w:pPr>
        <w:pStyle w:val="ListParagraph"/>
        <w:numPr>
          <w:ilvl w:val="0"/>
          <w:numId w:val="40"/>
        </w:numPr>
        <w:ind w:left="360"/>
        <w:rPr>
          <w:sz w:val="20"/>
          <w:szCs w:val="20"/>
          <w:lang w:val="fr-CA"/>
        </w:rPr>
      </w:pPr>
      <w:r w:rsidRPr="004729E0">
        <w:rPr>
          <w:i/>
          <w:sz w:val="20"/>
          <w:szCs w:val="20"/>
          <w:lang w:val="fr-CA"/>
        </w:rPr>
        <w:t>Pierre Mailloux c. Mario Deschênes, ès qualités de syndic adjoint du Collège des médecins du Québec</w:t>
      </w:r>
      <w:r w:rsidRPr="004729E0">
        <w:rPr>
          <w:sz w:val="20"/>
          <w:szCs w:val="20"/>
          <w:lang w:val="fr-CA"/>
        </w:rPr>
        <w:t xml:space="preserve"> (Qc) (Civile) (Autorisation)</w:t>
      </w:r>
      <w:r w:rsidR="009C44E4">
        <w:rPr>
          <w:sz w:val="20"/>
          <w:szCs w:val="20"/>
          <w:lang w:val="fr-CA"/>
        </w:rPr>
        <w:t xml:space="preserve"> </w:t>
      </w:r>
      <w:r w:rsidR="009C44E4" w:rsidRPr="00962B2A">
        <w:rPr>
          <w:sz w:val="20"/>
          <w:lang w:val="fr-FR" w:eastAsia="en-CA"/>
        </w:rPr>
        <w:t>(</w:t>
      </w:r>
      <w:hyperlink r:id="rId22" w:history="1">
        <w:r w:rsidR="009C44E4" w:rsidRPr="00962B2A">
          <w:rPr>
            <w:rStyle w:val="Hyperlink"/>
            <w:sz w:val="20"/>
            <w:lang w:val="fr-FR" w:eastAsia="en-CA"/>
          </w:rPr>
          <w:t>36</w:t>
        </w:r>
        <w:r w:rsidR="009C44E4">
          <w:rPr>
            <w:rStyle w:val="Hyperlink"/>
            <w:sz w:val="20"/>
            <w:lang w:val="fr-FR" w:eastAsia="en-CA"/>
          </w:rPr>
          <w:t>9</w:t>
        </w:r>
        <w:r w:rsidR="009C44E4" w:rsidRPr="00962B2A">
          <w:rPr>
            <w:rStyle w:val="Hyperlink"/>
            <w:sz w:val="20"/>
            <w:lang w:val="fr-FR" w:eastAsia="en-CA"/>
          </w:rPr>
          <w:t>5</w:t>
        </w:r>
        <w:r w:rsidR="009C44E4">
          <w:rPr>
            <w:rStyle w:val="Hyperlink"/>
            <w:sz w:val="20"/>
            <w:lang w:val="fr-FR" w:eastAsia="en-CA"/>
          </w:rPr>
          <w:t>3</w:t>
        </w:r>
      </w:hyperlink>
      <w:r w:rsidR="009C44E4" w:rsidRPr="00962B2A">
        <w:rPr>
          <w:sz w:val="20"/>
          <w:lang w:val="fr-FR" w:eastAsia="en-CA"/>
        </w:rPr>
        <w:t>)</w:t>
      </w:r>
    </w:p>
    <w:p w:rsidR="00E810DA" w:rsidRPr="004729E0" w:rsidRDefault="00E810DA" w:rsidP="004729E0">
      <w:pPr>
        <w:widowControl w:val="0"/>
        <w:ind w:left="360" w:hanging="360"/>
        <w:rPr>
          <w:sz w:val="20"/>
          <w:lang w:val="en-CA"/>
        </w:rPr>
      </w:pPr>
    </w:p>
    <w:p w:rsidR="00E810DA" w:rsidRPr="004729E0" w:rsidRDefault="00E810DA" w:rsidP="004729E0">
      <w:pPr>
        <w:pStyle w:val="ListParagraph"/>
        <w:numPr>
          <w:ilvl w:val="0"/>
          <w:numId w:val="40"/>
        </w:numPr>
        <w:ind w:left="360"/>
        <w:rPr>
          <w:sz w:val="20"/>
          <w:szCs w:val="20"/>
          <w:lang w:val="en-CA"/>
        </w:rPr>
      </w:pPr>
      <w:r w:rsidRPr="004729E0">
        <w:rPr>
          <w:i/>
          <w:sz w:val="20"/>
          <w:szCs w:val="20"/>
        </w:rPr>
        <w:t>Suhaag Jewellers Ltd. v. Alarm Factory Inc. carrying on business as AFC Advance Integration</w:t>
      </w:r>
      <w:r w:rsidRPr="004729E0">
        <w:rPr>
          <w:sz w:val="20"/>
          <w:szCs w:val="20"/>
        </w:rPr>
        <w:t xml:space="preserve"> (Ont.) (Civil) (By Leave) </w:t>
      </w:r>
      <w:r w:rsidR="00293DE2" w:rsidRPr="00962B2A">
        <w:rPr>
          <w:sz w:val="20"/>
        </w:rPr>
        <w:t>(</w:t>
      </w:r>
      <w:hyperlink r:id="rId23" w:history="1">
        <w:r w:rsidR="00293DE2" w:rsidRPr="00962B2A">
          <w:rPr>
            <w:rStyle w:val="Hyperlink"/>
            <w:sz w:val="20"/>
          </w:rPr>
          <w:t>36</w:t>
        </w:r>
        <w:r w:rsidR="00293DE2">
          <w:rPr>
            <w:rStyle w:val="Hyperlink"/>
            <w:sz w:val="20"/>
          </w:rPr>
          <w:t>887</w:t>
        </w:r>
      </w:hyperlink>
      <w:r w:rsidR="00293DE2" w:rsidRPr="00962B2A">
        <w:rPr>
          <w:sz w:val="20"/>
        </w:rPr>
        <w:t>)</w:t>
      </w:r>
    </w:p>
    <w:p w:rsidR="00E810DA" w:rsidRPr="004729E0" w:rsidRDefault="00E810DA" w:rsidP="004729E0">
      <w:pPr>
        <w:widowControl w:val="0"/>
        <w:ind w:left="360" w:hanging="360"/>
        <w:rPr>
          <w:sz w:val="20"/>
          <w:lang w:val="en-CA"/>
        </w:rPr>
      </w:pPr>
    </w:p>
    <w:p w:rsidR="00E810DA" w:rsidRPr="004729E0" w:rsidRDefault="00E810DA" w:rsidP="004729E0">
      <w:pPr>
        <w:pStyle w:val="ListParagraph"/>
        <w:numPr>
          <w:ilvl w:val="0"/>
          <w:numId w:val="40"/>
        </w:numPr>
        <w:ind w:left="360"/>
        <w:rPr>
          <w:sz w:val="20"/>
          <w:szCs w:val="20"/>
          <w:lang w:val="en-CA"/>
        </w:rPr>
      </w:pPr>
      <w:r w:rsidRPr="004729E0">
        <w:rPr>
          <w:i/>
          <w:sz w:val="20"/>
          <w:szCs w:val="20"/>
        </w:rPr>
        <w:t>Nick Mancuso et al. v. Minister of National Health and Welfare et al.</w:t>
      </w:r>
      <w:r w:rsidRPr="004729E0">
        <w:rPr>
          <w:sz w:val="20"/>
          <w:szCs w:val="20"/>
        </w:rPr>
        <w:t xml:space="preserve"> (F</w:t>
      </w:r>
      <w:r w:rsidR="00A1084E">
        <w:rPr>
          <w:sz w:val="20"/>
          <w:szCs w:val="20"/>
        </w:rPr>
        <w:t>.</w:t>
      </w:r>
      <w:r w:rsidRPr="004729E0">
        <w:rPr>
          <w:sz w:val="20"/>
          <w:szCs w:val="20"/>
        </w:rPr>
        <w:t>C</w:t>
      </w:r>
      <w:r w:rsidR="00A1084E">
        <w:rPr>
          <w:sz w:val="20"/>
          <w:szCs w:val="20"/>
        </w:rPr>
        <w:t>.</w:t>
      </w:r>
      <w:r w:rsidRPr="004729E0">
        <w:rPr>
          <w:sz w:val="20"/>
          <w:szCs w:val="20"/>
        </w:rPr>
        <w:t>) (Civil) (By Leave) (36889)</w:t>
      </w:r>
      <w:r w:rsidR="00FB1514">
        <w:rPr>
          <w:sz w:val="20"/>
          <w:szCs w:val="20"/>
        </w:rPr>
        <w:t xml:space="preserve"> </w:t>
      </w:r>
      <w:r w:rsidR="00FB1514" w:rsidRPr="00962B2A">
        <w:rPr>
          <w:sz w:val="20"/>
        </w:rPr>
        <w:t>(</w:t>
      </w:r>
      <w:hyperlink r:id="rId24" w:history="1">
        <w:r w:rsidR="00FB1514" w:rsidRPr="00962B2A">
          <w:rPr>
            <w:rStyle w:val="Hyperlink"/>
            <w:sz w:val="20"/>
          </w:rPr>
          <w:t>36</w:t>
        </w:r>
        <w:r w:rsidR="00FB1514">
          <w:rPr>
            <w:rStyle w:val="Hyperlink"/>
            <w:sz w:val="20"/>
          </w:rPr>
          <w:t>889</w:t>
        </w:r>
      </w:hyperlink>
      <w:r w:rsidR="00FB1514" w:rsidRPr="00962B2A">
        <w:rPr>
          <w:sz w:val="20"/>
        </w:rPr>
        <w:t>)</w:t>
      </w:r>
    </w:p>
    <w:p w:rsidR="00582010" w:rsidRDefault="00582010" w:rsidP="009A5F3F">
      <w:pPr>
        <w:widowControl w:val="0"/>
        <w:autoSpaceDE w:val="0"/>
        <w:autoSpaceDN w:val="0"/>
        <w:adjustRightInd w:val="0"/>
        <w:ind w:left="360" w:hanging="360"/>
        <w:rPr>
          <w:rFonts w:eastAsiaTheme="minorEastAsia"/>
          <w:sz w:val="20"/>
          <w:lang w:val="en-CA" w:eastAsia="en-CA"/>
        </w:rPr>
      </w:pPr>
    </w:p>
    <w:p w:rsidR="00921EA7" w:rsidRDefault="00921EA7" w:rsidP="009A5F3F">
      <w:pPr>
        <w:widowControl w:val="0"/>
        <w:autoSpaceDE w:val="0"/>
        <w:autoSpaceDN w:val="0"/>
        <w:adjustRightInd w:val="0"/>
        <w:ind w:left="360" w:hanging="360"/>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4357" w:rsidRPr="00322AD9" w:rsidTr="00EB2E70">
        <w:tc>
          <w:tcPr>
            <w:tcW w:w="543" w:type="pct"/>
          </w:tcPr>
          <w:p w:rsidR="00084357" w:rsidRPr="00322AD9" w:rsidRDefault="00084357" w:rsidP="00084357">
            <w:pPr>
              <w:jc w:val="both"/>
              <w:rPr>
                <w:sz w:val="20"/>
              </w:rPr>
            </w:pPr>
            <w:r w:rsidRPr="00322AD9">
              <w:rPr>
                <w:rStyle w:val="SCCFileNumberChar"/>
                <w:sz w:val="20"/>
                <w:szCs w:val="20"/>
              </w:rPr>
              <w:t>36843</w:t>
            </w:r>
          </w:p>
        </w:tc>
        <w:tc>
          <w:tcPr>
            <w:tcW w:w="4457" w:type="pct"/>
            <w:gridSpan w:val="3"/>
          </w:tcPr>
          <w:p w:rsidR="00084357" w:rsidRPr="00322AD9" w:rsidRDefault="00084357" w:rsidP="00084357">
            <w:pPr>
              <w:pStyle w:val="SCCLsocParty"/>
              <w:jc w:val="both"/>
              <w:rPr>
                <w:b/>
                <w:sz w:val="20"/>
                <w:szCs w:val="20"/>
              </w:rPr>
            </w:pPr>
            <w:proofErr w:type="spellStart"/>
            <w:r w:rsidRPr="00322AD9">
              <w:rPr>
                <w:b/>
                <w:sz w:val="20"/>
                <w:szCs w:val="20"/>
              </w:rPr>
              <w:t>Farhan</w:t>
            </w:r>
            <w:proofErr w:type="spellEnd"/>
            <w:r w:rsidRPr="00322AD9">
              <w:rPr>
                <w:b/>
                <w:sz w:val="20"/>
                <w:szCs w:val="20"/>
              </w:rPr>
              <w:t xml:space="preserve"> </w:t>
            </w:r>
            <w:proofErr w:type="spellStart"/>
            <w:r w:rsidRPr="00322AD9">
              <w:rPr>
                <w:b/>
                <w:sz w:val="20"/>
                <w:szCs w:val="20"/>
              </w:rPr>
              <w:t>Nur</w:t>
            </w:r>
            <w:proofErr w:type="spellEnd"/>
            <w:r w:rsidRPr="00322AD9">
              <w:rPr>
                <w:b/>
                <w:sz w:val="20"/>
                <w:szCs w:val="20"/>
              </w:rPr>
              <w:t xml:space="preserve"> v. </w:t>
            </w:r>
            <w:proofErr w:type="spellStart"/>
            <w:r w:rsidRPr="00322AD9">
              <w:rPr>
                <w:b/>
                <w:sz w:val="20"/>
                <w:szCs w:val="20"/>
              </w:rPr>
              <w:t>Her</w:t>
            </w:r>
            <w:proofErr w:type="spellEnd"/>
            <w:r w:rsidRPr="00322AD9">
              <w:rPr>
                <w:b/>
                <w:sz w:val="20"/>
                <w:szCs w:val="20"/>
              </w:rPr>
              <w:t xml:space="preserve"> </w:t>
            </w:r>
            <w:proofErr w:type="spellStart"/>
            <w:r w:rsidRPr="00322AD9">
              <w:rPr>
                <w:b/>
                <w:sz w:val="20"/>
                <w:szCs w:val="20"/>
              </w:rPr>
              <w:t>Majesty</w:t>
            </w:r>
            <w:proofErr w:type="spellEnd"/>
            <w:r w:rsidRPr="00322AD9">
              <w:rPr>
                <w:b/>
                <w:sz w:val="20"/>
                <w:szCs w:val="20"/>
              </w:rPr>
              <w:t xml:space="preserve"> the </w:t>
            </w:r>
            <w:proofErr w:type="spellStart"/>
            <w:r w:rsidRPr="00322AD9">
              <w:rPr>
                <w:b/>
                <w:sz w:val="20"/>
                <w:szCs w:val="20"/>
              </w:rPr>
              <w:t>Queen</w:t>
            </w:r>
            <w:proofErr w:type="spellEnd"/>
          </w:p>
          <w:p w:rsidR="00084357" w:rsidRPr="00322AD9" w:rsidRDefault="00084357" w:rsidP="00084357">
            <w:pPr>
              <w:jc w:val="both"/>
              <w:rPr>
                <w:sz w:val="20"/>
              </w:rPr>
            </w:pPr>
            <w:r w:rsidRPr="00322AD9">
              <w:rPr>
                <w:sz w:val="20"/>
              </w:rPr>
              <w:t>(Ont.) (Criminal) (By Leave)</w:t>
            </w:r>
          </w:p>
        </w:tc>
      </w:tr>
      <w:tr w:rsidR="00084357" w:rsidRPr="00322AD9" w:rsidTr="00EB2E70">
        <w:tc>
          <w:tcPr>
            <w:tcW w:w="5000" w:type="pct"/>
            <w:gridSpan w:val="4"/>
          </w:tcPr>
          <w:p w:rsidR="00084357" w:rsidRPr="00322AD9" w:rsidRDefault="00084357" w:rsidP="00084357">
            <w:pPr>
              <w:jc w:val="both"/>
              <w:rPr>
                <w:sz w:val="20"/>
              </w:rPr>
            </w:pPr>
            <w:r w:rsidRPr="00322AD9">
              <w:rPr>
                <w:i/>
                <w:sz w:val="20"/>
              </w:rPr>
              <w:t>Charter</w:t>
            </w:r>
            <w:r w:rsidRPr="00322AD9">
              <w:rPr>
                <w:sz w:val="20"/>
              </w:rPr>
              <w:t xml:space="preserve"> — Search or seizure — Sealed search warrant executed against non-accused’s property — Non-accused’s subsequent application to vary sealing order of search warrant dismissed — Whether this Court’s decision in </w:t>
            </w:r>
            <w:r w:rsidRPr="00322AD9">
              <w:rPr>
                <w:i/>
                <w:sz w:val="20"/>
              </w:rPr>
              <w:t>Michaud</w:t>
            </w:r>
            <w:r w:rsidRPr="00322AD9">
              <w:rPr>
                <w:i/>
                <w:iCs/>
                <w:sz w:val="20"/>
              </w:rPr>
              <w:t xml:space="preserve"> v. Quebec </w:t>
            </w:r>
            <w:r w:rsidRPr="00322AD9">
              <w:rPr>
                <w:i/>
                <w:sz w:val="20"/>
              </w:rPr>
              <w:t>(Attorney General)</w:t>
            </w:r>
            <w:r w:rsidRPr="00322AD9">
              <w:rPr>
                <w:sz w:val="20"/>
              </w:rPr>
              <w:t xml:space="preserve">, [1996] 3 S.C.R. 3, applies to non-accused’s access to sealed search warrant — </w:t>
            </w:r>
            <w:r w:rsidRPr="00322AD9">
              <w:rPr>
                <w:i/>
                <w:sz w:val="20"/>
              </w:rPr>
              <w:t>Canadian Charter of Rights and Freedoms</w:t>
            </w:r>
            <w:r w:rsidRPr="00322AD9">
              <w:rPr>
                <w:sz w:val="20"/>
              </w:rPr>
              <w:t>, s. 8.</w:t>
            </w:r>
          </w:p>
        </w:tc>
      </w:tr>
      <w:tr w:rsidR="00084357" w:rsidRPr="00322AD9" w:rsidTr="00EB2E70">
        <w:tc>
          <w:tcPr>
            <w:tcW w:w="5000" w:type="pct"/>
            <w:gridSpan w:val="4"/>
          </w:tcPr>
          <w:p w:rsidR="00084357" w:rsidRPr="00322AD9" w:rsidRDefault="00084357" w:rsidP="00084357">
            <w:pPr>
              <w:jc w:val="both"/>
              <w:rPr>
                <w:sz w:val="20"/>
              </w:rPr>
            </w:pPr>
          </w:p>
        </w:tc>
      </w:tr>
      <w:tr w:rsidR="00084357" w:rsidRPr="00322AD9" w:rsidTr="00EB2E70">
        <w:tc>
          <w:tcPr>
            <w:tcW w:w="5000" w:type="pct"/>
            <w:gridSpan w:val="4"/>
          </w:tcPr>
          <w:p w:rsidR="00084357" w:rsidRPr="00322AD9" w:rsidRDefault="00084357" w:rsidP="00084357">
            <w:pPr>
              <w:jc w:val="both"/>
              <w:rPr>
                <w:sz w:val="20"/>
              </w:rPr>
            </w:pPr>
            <w:r w:rsidRPr="00322AD9">
              <w:rPr>
                <w:sz w:val="20"/>
              </w:rPr>
              <w:t>A search warrant was executed against the property of the applicant, Mr. </w:t>
            </w:r>
            <w:proofErr w:type="spellStart"/>
            <w:r w:rsidRPr="00322AD9">
              <w:rPr>
                <w:sz w:val="20"/>
              </w:rPr>
              <w:t>Nur</w:t>
            </w:r>
            <w:proofErr w:type="spellEnd"/>
            <w:r w:rsidRPr="00322AD9">
              <w:rPr>
                <w:sz w:val="20"/>
              </w:rPr>
              <w:t xml:space="preserve">, by the RCMP during its investigation following the shooting on Parliament Hill by Michael </w:t>
            </w:r>
            <w:proofErr w:type="spellStart"/>
            <w:r w:rsidRPr="00322AD9">
              <w:rPr>
                <w:sz w:val="20"/>
              </w:rPr>
              <w:t>Zehaf-Bibeau</w:t>
            </w:r>
            <w:proofErr w:type="spellEnd"/>
            <w:r w:rsidRPr="00322AD9">
              <w:rPr>
                <w:sz w:val="20"/>
              </w:rPr>
              <w:t xml:space="preserve"> on October 22, 2014. The Information to Obtain the search warrant (“ITO”) was dated May 26, 2015, and was prepared by a peace officer and member of the RCMP. The search warrant was issued by Alder J. of the Ontario Court of Justice. An application was made in August 2015 requesting the continued detention of the seized items for a period of not more than nine months. As part of the issuance of the search warrant, an order was made, pursuant to s. 487.3 of the </w:t>
            </w:r>
            <w:r w:rsidRPr="00322AD9">
              <w:rPr>
                <w:i/>
                <w:sz w:val="20"/>
              </w:rPr>
              <w:t>Criminal Code</w:t>
            </w:r>
            <w:r w:rsidRPr="00322AD9">
              <w:rPr>
                <w:sz w:val="20"/>
              </w:rPr>
              <w:t>, sealing all materials relating to the warrant until further order of a court of competent jurisdiction. Mr. </w:t>
            </w:r>
            <w:proofErr w:type="spellStart"/>
            <w:r w:rsidRPr="00322AD9">
              <w:rPr>
                <w:sz w:val="20"/>
              </w:rPr>
              <w:t>Nur’s</w:t>
            </w:r>
            <w:proofErr w:type="spellEnd"/>
            <w:r w:rsidRPr="00322AD9">
              <w:rPr>
                <w:sz w:val="20"/>
              </w:rPr>
              <w:t xml:space="preserve"> subsequent application to vary the sealing order was dismissed by </w:t>
            </w:r>
            <w:proofErr w:type="spellStart"/>
            <w:r w:rsidRPr="00322AD9">
              <w:rPr>
                <w:sz w:val="20"/>
              </w:rPr>
              <w:t>Labrosse</w:t>
            </w:r>
            <w:proofErr w:type="spellEnd"/>
            <w:r w:rsidRPr="00322AD9">
              <w:rPr>
                <w:sz w:val="20"/>
              </w:rPr>
              <w:t> J. of the Superior Court. By the date of the hearing of that application, all seized items had been returned to Mr. </w:t>
            </w:r>
            <w:proofErr w:type="spellStart"/>
            <w:r w:rsidRPr="00322AD9">
              <w:rPr>
                <w:sz w:val="20"/>
              </w:rPr>
              <w:t>Nur</w:t>
            </w:r>
            <w:proofErr w:type="spellEnd"/>
            <w:r w:rsidRPr="00322AD9">
              <w:rPr>
                <w:sz w:val="20"/>
              </w:rPr>
              <w:t>, and he has not since been charged.</w:t>
            </w:r>
          </w:p>
          <w:p w:rsidR="00084357" w:rsidRPr="00322AD9" w:rsidRDefault="00084357" w:rsidP="00084357">
            <w:pPr>
              <w:jc w:val="both"/>
              <w:rPr>
                <w:sz w:val="20"/>
              </w:rPr>
            </w:pPr>
          </w:p>
        </w:tc>
      </w:tr>
      <w:tr w:rsidR="00084357" w:rsidRPr="00322AD9" w:rsidTr="00EB2E70">
        <w:tc>
          <w:tcPr>
            <w:tcW w:w="2427" w:type="pct"/>
            <w:gridSpan w:val="2"/>
          </w:tcPr>
          <w:p w:rsidR="00084357" w:rsidRPr="00322AD9" w:rsidRDefault="00084357" w:rsidP="00084357">
            <w:pPr>
              <w:jc w:val="both"/>
              <w:rPr>
                <w:sz w:val="20"/>
              </w:rPr>
            </w:pPr>
            <w:r w:rsidRPr="00322AD9">
              <w:rPr>
                <w:sz w:val="20"/>
              </w:rPr>
              <w:t>May 26, 2015</w:t>
            </w:r>
          </w:p>
          <w:p w:rsidR="00084357" w:rsidRPr="00322AD9" w:rsidRDefault="00084357" w:rsidP="00084357">
            <w:pPr>
              <w:jc w:val="both"/>
              <w:rPr>
                <w:sz w:val="20"/>
              </w:rPr>
            </w:pPr>
            <w:r w:rsidRPr="00322AD9">
              <w:rPr>
                <w:sz w:val="20"/>
              </w:rPr>
              <w:t xml:space="preserve">Ontario Court of Justice </w:t>
            </w:r>
          </w:p>
          <w:p w:rsidR="00084357" w:rsidRPr="00322AD9" w:rsidRDefault="00084357" w:rsidP="00084357">
            <w:pPr>
              <w:jc w:val="both"/>
              <w:rPr>
                <w:sz w:val="20"/>
              </w:rPr>
            </w:pPr>
            <w:r w:rsidRPr="00322AD9">
              <w:rPr>
                <w:sz w:val="20"/>
              </w:rPr>
              <w:t>(Alder J.)</w:t>
            </w:r>
          </w:p>
          <w:p w:rsidR="00084357" w:rsidRPr="00322AD9" w:rsidRDefault="00084357" w:rsidP="00084357">
            <w:pPr>
              <w:jc w:val="both"/>
              <w:rPr>
                <w:sz w:val="20"/>
              </w:rPr>
            </w:pPr>
          </w:p>
        </w:tc>
        <w:tc>
          <w:tcPr>
            <w:tcW w:w="243" w:type="pct"/>
          </w:tcPr>
          <w:p w:rsidR="00084357" w:rsidRPr="00322AD9" w:rsidRDefault="00084357" w:rsidP="00084357">
            <w:pPr>
              <w:jc w:val="both"/>
              <w:rPr>
                <w:sz w:val="20"/>
              </w:rPr>
            </w:pPr>
          </w:p>
        </w:tc>
        <w:tc>
          <w:tcPr>
            <w:tcW w:w="2330" w:type="pct"/>
          </w:tcPr>
          <w:p w:rsidR="00084357" w:rsidRPr="00322AD9" w:rsidRDefault="00084357" w:rsidP="00084357">
            <w:pPr>
              <w:jc w:val="both"/>
              <w:rPr>
                <w:sz w:val="20"/>
              </w:rPr>
            </w:pPr>
            <w:r w:rsidRPr="00322AD9">
              <w:rPr>
                <w:sz w:val="20"/>
              </w:rPr>
              <w:t>Application for search warrant (to be executed against non-accused’s property) and sealing order granted.</w:t>
            </w:r>
          </w:p>
          <w:p w:rsidR="00084357" w:rsidRPr="00322AD9" w:rsidRDefault="00084357" w:rsidP="00084357">
            <w:pPr>
              <w:jc w:val="both"/>
              <w:rPr>
                <w:sz w:val="20"/>
              </w:rPr>
            </w:pPr>
          </w:p>
        </w:tc>
      </w:tr>
      <w:tr w:rsidR="00084357" w:rsidRPr="00322AD9" w:rsidTr="00EB2E70">
        <w:tc>
          <w:tcPr>
            <w:tcW w:w="2427" w:type="pct"/>
            <w:gridSpan w:val="2"/>
          </w:tcPr>
          <w:p w:rsidR="00084357" w:rsidRPr="00322AD9" w:rsidRDefault="00084357" w:rsidP="00084357">
            <w:pPr>
              <w:jc w:val="both"/>
              <w:rPr>
                <w:sz w:val="20"/>
              </w:rPr>
            </w:pPr>
            <w:r w:rsidRPr="00322AD9">
              <w:rPr>
                <w:sz w:val="20"/>
              </w:rPr>
              <w:t>December 10, 2015</w:t>
            </w:r>
          </w:p>
          <w:p w:rsidR="00084357" w:rsidRPr="00322AD9" w:rsidRDefault="00084357" w:rsidP="00084357">
            <w:pPr>
              <w:jc w:val="both"/>
              <w:rPr>
                <w:sz w:val="20"/>
              </w:rPr>
            </w:pPr>
            <w:r w:rsidRPr="00322AD9">
              <w:rPr>
                <w:sz w:val="20"/>
              </w:rPr>
              <w:t>Ontario Superior Court of Justice</w:t>
            </w:r>
          </w:p>
          <w:p w:rsidR="00084357" w:rsidRPr="00322AD9" w:rsidRDefault="00084357" w:rsidP="00084357">
            <w:pPr>
              <w:jc w:val="both"/>
              <w:rPr>
                <w:sz w:val="20"/>
              </w:rPr>
            </w:pPr>
            <w:r w:rsidRPr="00322AD9">
              <w:rPr>
                <w:sz w:val="20"/>
              </w:rPr>
              <w:t>(</w:t>
            </w:r>
            <w:proofErr w:type="spellStart"/>
            <w:r w:rsidRPr="00322AD9">
              <w:rPr>
                <w:sz w:val="20"/>
              </w:rPr>
              <w:t>Labrosse</w:t>
            </w:r>
            <w:proofErr w:type="spellEnd"/>
            <w:r w:rsidRPr="00322AD9">
              <w:rPr>
                <w:sz w:val="20"/>
              </w:rPr>
              <w:t xml:space="preserve"> J.)</w:t>
            </w:r>
          </w:p>
          <w:p w:rsidR="00084357" w:rsidRPr="00322AD9" w:rsidRDefault="00B621BC" w:rsidP="00084357">
            <w:pPr>
              <w:jc w:val="both"/>
              <w:rPr>
                <w:sz w:val="20"/>
              </w:rPr>
            </w:pPr>
            <w:hyperlink r:id="rId25" w:history="1">
              <w:r w:rsidR="00084357" w:rsidRPr="00322AD9">
                <w:rPr>
                  <w:rStyle w:val="Hyperlink"/>
                  <w:sz w:val="20"/>
                </w:rPr>
                <w:t>2015 ONSC 7777</w:t>
              </w:r>
            </w:hyperlink>
          </w:p>
          <w:p w:rsidR="00084357" w:rsidRPr="00322AD9" w:rsidRDefault="00084357" w:rsidP="00084357">
            <w:pPr>
              <w:jc w:val="both"/>
              <w:rPr>
                <w:sz w:val="20"/>
              </w:rPr>
            </w:pPr>
          </w:p>
        </w:tc>
        <w:tc>
          <w:tcPr>
            <w:tcW w:w="243" w:type="pct"/>
          </w:tcPr>
          <w:p w:rsidR="00084357" w:rsidRPr="00322AD9" w:rsidRDefault="00084357" w:rsidP="00084357">
            <w:pPr>
              <w:jc w:val="both"/>
              <w:rPr>
                <w:sz w:val="20"/>
              </w:rPr>
            </w:pPr>
          </w:p>
        </w:tc>
        <w:tc>
          <w:tcPr>
            <w:tcW w:w="2330" w:type="pct"/>
          </w:tcPr>
          <w:p w:rsidR="00084357" w:rsidRPr="00322AD9" w:rsidRDefault="00084357" w:rsidP="00084357">
            <w:pPr>
              <w:jc w:val="both"/>
              <w:rPr>
                <w:sz w:val="20"/>
              </w:rPr>
            </w:pPr>
            <w:r w:rsidRPr="00322AD9">
              <w:rPr>
                <w:sz w:val="20"/>
              </w:rPr>
              <w:t>Application to vary sealing order of search warrant dismissed.</w:t>
            </w:r>
          </w:p>
          <w:p w:rsidR="00084357" w:rsidRPr="00322AD9" w:rsidRDefault="00084357" w:rsidP="00084357">
            <w:pPr>
              <w:jc w:val="both"/>
              <w:rPr>
                <w:sz w:val="20"/>
              </w:rPr>
            </w:pPr>
          </w:p>
        </w:tc>
      </w:tr>
      <w:tr w:rsidR="00084357" w:rsidRPr="00322AD9" w:rsidTr="00EB2E70">
        <w:tc>
          <w:tcPr>
            <w:tcW w:w="2427" w:type="pct"/>
            <w:gridSpan w:val="2"/>
          </w:tcPr>
          <w:p w:rsidR="00084357" w:rsidRPr="00322AD9" w:rsidRDefault="00084357" w:rsidP="00084357">
            <w:pPr>
              <w:jc w:val="both"/>
              <w:rPr>
                <w:sz w:val="20"/>
              </w:rPr>
            </w:pPr>
            <w:r w:rsidRPr="00322AD9">
              <w:rPr>
                <w:sz w:val="20"/>
              </w:rPr>
              <w:t>February 8, 2016</w:t>
            </w:r>
          </w:p>
          <w:p w:rsidR="00084357" w:rsidRPr="00322AD9" w:rsidRDefault="00084357" w:rsidP="00084357">
            <w:pPr>
              <w:jc w:val="both"/>
              <w:rPr>
                <w:sz w:val="20"/>
              </w:rPr>
            </w:pPr>
            <w:r w:rsidRPr="00322AD9">
              <w:rPr>
                <w:sz w:val="20"/>
              </w:rPr>
              <w:t>Supreme Court of Canada</w:t>
            </w:r>
          </w:p>
        </w:tc>
        <w:tc>
          <w:tcPr>
            <w:tcW w:w="243" w:type="pct"/>
          </w:tcPr>
          <w:p w:rsidR="00084357" w:rsidRPr="00322AD9" w:rsidRDefault="00084357" w:rsidP="00084357">
            <w:pPr>
              <w:jc w:val="both"/>
              <w:rPr>
                <w:sz w:val="20"/>
              </w:rPr>
            </w:pPr>
          </w:p>
        </w:tc>
        <w:tc>
          <w:tcPr>
            <w:tcW w:w="2330" w:type="pct"/>
          </w:tcPr>
          <w:p w:rsidR="00084357" w:rsidRPr="00322AD9" w:rsidRDefault="00084357" w:rsidP="00084357">
            <w:pPr>
              <w:jc w:val="both"/>
              <w:rPr>
                <w:sz w:val="20"/>
              </w:rPr>
            </w:pPr>
            <w:r w:rsidRPr="00322AD9">
              <w:rPr>
                <w:sz w:val="20"/>
              </w:rPr>
              <w:t>Application for leave to appeal filed.</w:t>
            </w:r>
          </w:p>
        </w:tc>
      </w:tr>
    </w:tbl>
    <w:p w:rsidR="00084357" w:rsidRPr="00322AD9" w:rsidRDefault="00084357" w:rsidP="00084357">
      <w:pPr>
        <w:jc w:val="both"/>
        <w:rPr>
          <w:sz w:val="20"/>
        </w:rPr>
      </w:pPr>
    </w:p>
    <w:p w:rsidR="00084357" w:rsidRPr="00322AD9" w:rsidRDefault="00084357" w:rsidP="0008435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4357" w:rsidRPr="00084357" w:rsidTr="00EB2E70">
        <w:tc>
          <w:tcPr>
            <w:tcW w:w="543" w:type="pct"/>
          </w:tcPr>
          <w:p w:rsidR="00084357" w:rsidRPr="00322AD9" w:rsidRDefault="00084357" w:rsidP="00084357">
            <w:pPr>
              <w:jc w:val="both"/>
              <w:rPr>
                <w:sz w:val="20"/>
                <w:lang w:val="fr-CA"/>
              </w:rPr>
            </w:pPr>
            <w:r w:rsidRPr="00322AD9">
              <w:rPr>
                <w:rStyle w:val="SCCFileNumberChar"/>
                <w:sz w:val="20"/>
                <w:szCs w:val="20"/>
                <w:lang w:val="fr-CA"/>
              </w:rPr>
              <w:t>36843</w:t>
            </w:r>
          </w:p>
        </w:tc>
        <w:tc>
          <w:tcPr>
            <w:tcW w:w="4457" w:type="pct"/>
            <w:gridSpan w:val="3"/>
          </w:tcPr>
          <w:p w:rsidR="00084357" w:rsidRPr="00322AD9" w:rsidRDefault="00084357" w:rsidP="00084357">
            <w:pPr>
              <w:pStyle w:val="SCCLsocParty"/>
              <w:jc w:val="both"/>
              <w:rPr>
                <w:b/>
                <w:sz w:val="20"/>
                <w:szCs w:val="20"/>
              </w:rPr>
            </w:pPr>
            <w:r w:rsidRPr="00322AD9">
              <w:rPr>
                <w:b/>
                <w:sz w:val="20"/>
                <w:szCs w:val="20"/>
              </w:rPr>
              <w:t>Farhan Nur c. Sa Majesté la Reine</w:t>
            </w:r>
          </w:p>
          <w:p w:rsidR="00084357" w:rsidRPr="00084357" w:rsidRDefault="00084357" w:rsidP="00084357">
            <w:pPr>
              <w:jc w:val="both"/>
              <w:rPr>
                <w:sz w:val="20"/>
                <w:lang w:val="fr-CA"/>
              </w:rPr>
            </w:pPr>
            <w:r w:rsidRPr="00322AD9">
              <w:rPr>
                <w:sz w:val="20"/>
                <w:lang w:val="fr-CA"/>
              </w:rPr>
              <w:t>(Ont.) (Criminelle) (Sur autorisation)</w:t>
            </w:r>
          </w:p>
        </w:tc>
      </w:tr>
      <w:tr w:rsidR="00084357" w:rsidRPr="00084357" w:rsidTr="00EB2E70">
        <w:tc>
          <w:tcPr>
            <w:tcW w:w="5000" w:type="pct"/>
            <w:gridSpan w:val="4"/>
          </w:tcPr>
          <w:p w:rsidR="00084357" w:rsidRPr="00084357" w:rsidRDefault="00084357" w:rsidP="00084357">
            <w:pPr>
              <w:jc w:val="both"/>
              <w:rPr>
                <w:sz w:val="20"/>
                <w:lang w:val="fr-CA"/>
              </w:rPr>
            </w:pPr>
            <w:r w:rsidRPr="00084357">
              <w:rPr>
                <w:i/>
                <w:sz w:val="20"/>
                <w:lang w:val="fr-CA"/>
              </w:rPr>
              <w:t>Charte</w:t>
            </w:r>
            <w:r w:rsidRPr="00084357">
              <w:rPr>
                <w:sz w:val="20"/>
                <w:lang w:val="fr-CA"/>
              </w:rPr>
              <w:t xml:space="preserve"> — Fouilles et perquisitions — Un mandat de perquisition scellé a été exécuté à l’endroit d’un bien appartenant à un tiers non accusé — La demande subséquente du tiers non accusé en vue de modifier l’ordonnance de mise sous scellés du mandat de perquisition a été rejetée — L’arrêt de notre Cour </w:t>
            </w:r>
            <w:r w:rsidRPr="00084357">
              <w:rPr>
                <w:i/>
                <w:sz w:val="20"/>
                <w:lang w:val="fr-CA"/>
              </w:rPr>
              <w:t>Michaud</w:t>
            </w:r>
            <w:r w:rsidRPr="00084357">
              <w:rPr>
                <w:i/>
                <w:iCs/>
                <w:sz w:val="20"/>
                <w:lang w:val="fr-CA"/>
              </w:rPr>
              <w:t xml:space="preserve"> c. Québec </w:t>
            </w:r>
            <w:r w:rsidRPr="00084357">
              <w:rPr>
                <w:i/>
                <w:sz w:val="20"/>
                <w:lang w:val="fr-CA"/>
              </w:rPr>
              <w:t>(Procureur général)</w:t>
            </w:r>
            <w:r w:rsidRPr="00084357">
              <w:rPr>
                <w:sz w:val="20"/>
                <w:lang w:val="fr-CA"/>
              </w:rPr>
              <w:t xml:space="preserve">, [1996] 3 R.C.S. 3, s’applique-t-il à l’accès par un tiers non accusé à un mandat de perquisition scellé? — </w:t>
            </w:r>
            <w:r w:rsidRPr="00084357">
              <w:rPr>
                <w:i/>
                <w:sz w:val="20"/>
                <w:lang w:val="fr-CA"/>
              </w:rPr>
              <w:t>Charte canadienne des droits et libertés</w:t>
            </w:r>
            <w:r w:rsidRPr="00084357">
              <w:rPr>
                <w:sz w:val="20"/>
                <w:lang w:val="fr-CA"/>
              </w:rPr>
              <w:t>, art. 8.</w:t>
            </w:r>
          </w:p>
        </w:tc>
      </w:tr>
      <w:tr w:rsidR="00084357" w:rsidRPr="00084357" w:rsidTr="00EB2E70">
        <w:tc>
          <w:tcPr>
            <w:tcW w:w="5000" w:type="pct"/>
            <w:gridSpan w:val="4"/>
          </w:tcPr>
          <w:p w:rsidR="00084357" w:rsidRPr="00084357" w:rsidRDefault="00084357" w:rsidP="00084357">
            <w:pPr>
              <w:jc w:val="both"/>
              <w:rPr>
                <w:sz w:val="20"/>
                <w:lang w:val="fr-CA"/>
              </w:rPr>
            </w:pPr>
          </w:p>
        </w:tc>
      </w:tr>
      <w:tr w:rsidR="00084357" w:rsidRPr="00084357" w:rsidTr="00EB2E70">
        <w:tc>
          <w:tcPr>
            <w:tcW w:w="5000" w:type="pct"/>
            <w:gridSpan w:val="4"/>
          </w:tcPr>
          <w:p w:rsidR="00084357" w:rsidRPr="00084357" w:rsidRDefault="00084357" w:rsidP="00084357">
            <w:pPr>
              <w:jc w:val="both"/>
              <w:rPr>
                <w:sz w:val="20"/>
                <w:lang w:val="fr-CA"/>
              </w:rPr>
            </w:pPr>
            <w:r w:rsidRPr="00084357">
              <w:rPr>
                <w:sz w:val="20"/>
                <w:lang w:val="fr-CA"/>
              </w:rPr>
              <w:lastRenderedPageBreak/>
              <w:t xml:space="preserve">La GRC a exécuté un mandat de perquisition portant sur des biens du demandeur, M. Nur, dans le cadre de son enquête faisant suite à la fusillade à la Colline du Parlement perpétrée par Michael Zehaf-Bibeau le 22 octobre 2014. La Dénonciation en vue d’obtenir un mandat de perquisition (« Dénonciation ») était datée du 26 mai 2015 et a été établie par un agent de la paix et membre de la GRC. Le mandat de perquisition a été délivré par le juge Alder de la Cour de justice de l’Ontario. En août 2015, une demande a été faite pour que les articles saisis le demeurent pour une période ne dépassant pas neuf mois. Dans le cadre du processus de délivrance du mandat de perquisition, une ordonnance a été rendue en application de l’art. 487.3 du </w:t>
            </w:r>
            <w:r w:rsidRPr="00084357">
              <w:rPr>
                <w:i/>
                <w:sz w:val="20"/>
                <w:lang w:val="fr-CA"/>
              </w:rPr>
              <w:t>Code criminel</w:t>
            </w:r>
            <w:r w:rsidRPr="00084357">
              <w:rPr>
                <w:sz w:val="20"/>
                <w:lang w:val="fr-CA"/>
              </w:rPr>
              <w:t>, scellant tous les documents relatifs au mandat jusqu’à nouvel ordre par un tribunal compétent. La demande subséquente de M. Nur en vue de modifier l’ordonnance de mise sous scellés a été rejetée par le juge Labrosse de la Cour supérieure. En date de l’instruction de cette demande, tous les articles saisis avaient été rendus à M. Nur et il n’a pas été accusé depuis.</w:t>
            </w:r>
          </w:p>
          <w:p w:rsidR="00084357" w:rsidRPr="00084357" w:rsidRDefault="00084357" w:rsidP="00084357">
            <w:pPr>
              <w:jc w:val="both"/>
              <w:rPr>
                <w:sz w:val="20"/>
                <w:lang w:val="fr-CA"/>
              </w:rPr>
            </w:pPr>
          </w:p>
        </w:tc>
      </w:tr>
      <w:tr w:rsidR="00084357" w:rsidRPr="00084357" w:rsidTr="00EB2E70">
        <w:tc>
          <w:tcPr>
            <w:tcW w:w="2427" w:type="pct"/>
            <w:gridSpan w:val="2"/>
          </w:tcPr>
          <w:p w:rsidR="00084357" w:rsidRPr="00084357" w:rsidRDefault="00084357" w:rsidP="00084357">
            <w:pPr>
              <w:jc w:val="both"/>
              <w:rPr>
                <w:sz w:val="20"/>
                <w:lang w:val="fr-CA"/>
              </w:rPr>
            </w:pPr>
            <w:r w:rsidRPr="00084357">
              <w:rPr>
                <w:sz w:val="20"/>
                <w:lang w:val="fr-CA"/>
              </w:rPr>
              <w:t>26 mai 2015</w:t>
            </w:r>
          </w:p>
          <w:p w:rsidR="00084357" w:rsidRPr="00084357" w:rsidRDefault="00084357" w:rsidP="00084357">
            <w:pPr>
              <w:jc w:val="both"/>
              <w:rPr>
                <w:sz w:val="20"/>
                <w:lang w:val="fr-CA"/>
              </w:rPr>
            </w:pPr>
            <w:r w:rsidRPr="00084357">
              <w:rPr>
                <w:sz w:val="20"/>
                <w:lang w:val="fr-CA"/>
              </w:rPr>
              <w:t xml:space="preserve">Cour de justice de l’Ontario </w:t>
            </w:r>
          </w:p>
          <w:p w:rsidR="00084357" w:rsidRPr="00084357" w:rsidRDefault="00084357" w:rsidP="00084357">
            <w:pPr>
              <w:jc w:val="both"/>
              <w:rPr>
                <w:sz w:val="20"/>
                <w:lang w:val="fr-CA"/>
              </w:rPr>
            </w:pPr>
            <w:r w:rsidRPr="00084357">
              <w:rPr>
                <w:sz w:val="20"/>
                <w:lang w:val="fr-CA"/>
              </w:rPr>
              <w:t>(Juge Alder)</w:t>
            </w:r>
          </w:p>
          <w:p w:rsidR="00084357" w:rsidRPr="00084357" w:rsidRDefault="00084357" w:rsidP="00084357">
            <w:pPr>
              <w:jc w:val="both"/>
              <w:rPr>
                <w:sz w:val="20"/>
                <w:lang w:val="fr-CA"/>
              </w:rPr>
            </w:pPr>
          </w:p>
        </w:tc>
        <w:tc>
          <w:tcPr>
            <w:tcW w:w="243" w:type="pct"/>
          </w:tcPr>
          <w:p w:rsidR="00084357" w:rsidRPr="00084357" w:rsidRDefault="00084357" w:rsidP="00084357">
            <w:pPr>
              <w:jc w:val="both"/>
              <w:rPr>
                <w:sz w:val="20"/>
                <w:lang w:val="fr-CA"/>
              </w:rPr>
            </w:pPr>
          </w:p>
        </w:tc>
        <w:tc>
          <w:tcPr>
            <w:tcW w:w="2330" w:type="pct"/>
          </w:tcPr>
          <w:p w:rsidR="00084357" w:rsidRPr="00084357" w:rsidRDefault="00084357" w:rsidP="00084357">
            <w:pPr>
              <w:jc w:val="both"/>
              <w:rPr>
                <w:sz w:val="20"/>
                <w:lang w:val="fr-CA"/>
              </w:rPr>
            </w:pPr>
            <w:r w:rsidRPr="00084357">
              <w:rPr>
                <w:sz w:val="20"/>
                <w:lang w:val="fr-CA"/>
              </w:rPr>
              <w:t>Jugement accueillant la demande de mandat de perquisition (à être exécuté contre des biens du tiers non accusé) et d’ordonnance de mise sous scellés.</w:t>
            </w:r>
          </w:p>
          <w:p w:rsidR="00084357" w:rsidRPr="00084357" w:rsidRDefault="00084357" w:rsidP="00084357">
            <w:pPr>
              <w:jc w:val="both"/>
              <w:rPr>
                <w:sz w:val="20"/>
                <w:lang w:val="fr-CA"/>
              </w:rPr>
            </w:pPr>
          </w:p>
        </w:tc>
      </w:tr>
      <w:tr w:rsidR="00084357" w:rsidRPr="00084357" w:rsidTr="00EB2E70">
        <w:tc>
          <w:tcPr>
            <w:tcW w:w="2427" w:type="pct"/>
            <w:gridSpan w:val="2"/>
          </w:tcPr>
          <w:p w:rsidR="00084357" w:rsidRPr="00084357" w:rsidRDefault="00084357" w:rsidP="00084357">
            <w:pPr>
              <w:jc w:val="both"/>
              <w:rPr>
                <w:sz w:val="20"/>
                <w:lang w:val="fr-CA"/>
              </w:rPr>
            </w:pPr>
            <w:r w:rsidRPr="00084357">
              <w:rPr>
                <w:sz w:val="20"/>
                <w:lang w:val="fr-CA"/>
              </w:rPr>
              <w:t>10 décembre 2015</w:t>
            </w:r>
          </w:p>
          <w:p w:rsidR="00084357" w:rsidRPr="00084357" w:rsidRDefault="00084357" w:rsidP="00084357">
            <w:pPr>
              <w:jc w:val="both"/>
              <w:rPr>
                <w:sz w:val="20"/>
                <w:lang w:val="fr-CA"/>
              </w:rPr>
            </w:pPr>
            <w:r w:rsidRPr="00084357">
              <w:rPr>
                <w:sz w:val="20"/>
                <w:lang w:val="fr-CA"/>
              </w:rPr>
              <w:t xml:space="preserve">Cour supérieure de justice de l’Ontario </w:t>
            </w:r>
          </w:p>
          <w:p w:rsidR="00084357" w:rsidRPr="00084357" w:rsidRDefault="00084357" w:rsidP="00084357">
            <w:pPr>
              <w:jc w:val="both"/>
              <w:rPr>
                <w:sz w:val="20"/>
                <w:lang w:val="fr-CA"/>
              </w:rPr>
            </w:pPr>
            <w:r w:rsidRPr="00084357">
              <w:rPr>
                <w:sz w:val="20"/>
                <w:lang w:val="fr-CA"/>
              </w:rPr>
              <w:t>(Juge Labrosse)</w:t>
            </w:r>
          </w:p>
          <w:p w:rsidR="00084357" w:rsidRPr="00084357" w:rsidRDefault="00B621BC" w:rsidP="00084357">
            <w:pPr>
              <w:jc w:val="both"/>
              <w:rPr>
                <w:sz w:val="20"/>
                <w:lang w:val="fr-CA"/>
              </w:rPr>
            </w:pPr>
            <w:hyperlink r:id="rId26" w:history="1">
              <w:r w:rsidR="00084357" w:rsidRPr="00084357">
                <w:rPr>
                  <w:rStyle w:val="Hyperlink"/>
                  <w:sz w:val="20"/>
                  <w:lang w:val="fr-CA"/>
                </w:rPr>
                <w:t>2015 ONSC 7777</w:t>
              </w:r>
            </w:hyperlink>
          </w:p>
          <w:p w:rsidR="00084357" w:rsidRPr="00084357" w:rsidRDefault="00084357" w:rsidP="00084357">
            <w:pPr>
              <w:jc w:val="both"/>
              <w:rPr>
                <w:sz w:val="20"/>
                <w:lang w:val="fr-CA"/>
              </w:rPr>
            </w:pPr>
          </w:p>
        </w:tc>
        <w:tc>
          <w:tcPr>
            <w:tcW w:w="243" w:type="pct"/>
          </w:tcPr>
          <w:p w:rsidR="00084357" w:rsidRPr="00084357" w:rsidRDefault="00084357" w:rsidP="00084357">
            <w:pPr>
              <w:jc w:val="both"/>
              <w:rPr>
                <w:sz w:val="20"/>
                <w:lang w:val="fr-CA"/>
              </w:rPr>
            </w:pPr>
          </w:p>
        </w:tc>
        <w:tc>
          <w:tcPr>
            <w:tcW w:w="2330" w:type="pct"/>
          </w:tcPr>
          <w:p w:rsidR="00084357" w:rsidRPr="00084357" w:rsidRDefault="00084357" w:rsidP="00084357">
            <w:pPr>
              <w:jc w:val="both"/>
              <w:rPr>
                <w:sz w:val="20"/>
                <w:lang w:val="fr-CA"/>
              </w:rPr>
            </w:pPr>
            <w:r w:rsidRPr="00084357">
              <w:rPr>
                <w:sz w:val="20"/>
                <w:lang w:val="fr-CA"/>
              </w:rPr>
              <w:t>Rejet de la demande de modification de l’ordonnance de mise sous scellés du mandat de perquisition.</w:t>
            </w:r>
          </w:p>
          <w:p w:rsidR="00084357" w:rsidRPr="00084357" w:rsidRDefault="00084357" w:rsidP="00084357">
            <w:pPr>
              <w:jc w:val="both"/>
              <w:rPr>
                <w:sz w:val="20"/>
                <w:lang w:val="fr-CA"/>
              </w:rPr>
            </w:pPr>
          </w:p>
        </w:tc>
      </w:tr>
      <w:tr w:rsidR="00084357" w:rsidRPr="00084357" w:rsidTr="00EB2E70">
        <w:tc>
          <w:tcPr>
            <w:tcW w:w="2427" w:type="pct"/>
            <w:gridSpan w:val="2"/>
          </w:tcPr>
          <w:p w:rsidR="00084357" w:rsidRPr="00084357" w:rsidRDefault="00084357" w:rsidP="00084357">
            <w:pPr>
              <w:jc w:val="both"/>
              <w:rPr>
                <w:sz w:val="20"/>
                <w:lang w:val="fr-CA"/>
              </w:rPr>
            </w:pPr>
            <w:r w:rsidRPr="00084357">
              <w:rPr>
                <w:sz w:val="20"/>
                <w:lang w:val="fr-CA"/>
              </w:rPr>
              <w:t>8 février 2016</w:t>
            </w:r>
          </w:p>
          <w:p w:rsidR="00084357" w:rsidRPr="00084357" w:rsidRDefault="00084357" w:rsidP="00084357">
            <w:pPr>
              <w:jc w:val="both"/>
              <w:rPr>
                <w:sz w:val="20"/>
                <w:lang w:val="fr-CA"/>
              </w:rPr>
            </w:pPr>
            <w:r w:rsidRPr="00084357">
              <w:rPr>
                <w:sz w:val="20"/>
                <w:lang w:val="fr-CA"/>
              </w:rPr>
              <w:t>Cour suprême du Canada</w:t>
            </w:r>
          </w:p>
          <w:p w:rsidR="00084357" w:rsidRPr="00084357" w:rsidRDefault="00084357" w:rsidP="00084357">
            <w:pPr>
              <w:jc w:val="both"/>
              <w:rPr>
                <w:sz w:val="20"/>
                <w:lang w:val="fr-CA"/>
              </w:rPr>
            </w:pPr>
          </w:p>
        </w:tc>
        <w:tc>
          <w:tcPr>
            <w:tcW w:w="243" w:type="pct"/>
          </w:tcPr>
          <w:p w:rsidR="00084357" w:rsidRPr="00084357" w:rsidRDefault="00084357" w:rsidP="00084357">
            <w:pPr>
              <w:jc w:val="both"/>
              <w:rPr>
                <w:sz w:val="20"/>
                <w:lang w:val="fr-CA"/>
              </w:rPr>
            </w:pPr>
          </w:p>
        </w:tc>
        <w:tc>
          <w:tcPr>
            <w:tcW w:w="2330" w:type="pct"/>
          </w:tcPr>
          <w:p w:rsidR="00084357" w:rsidRPr="00084357" w:rsidRDefault="00084357" w:rsidP="00084357">
            <w:pPr>
              <w:jc w:val="both"/>
              <w:rPr>
                <w:sz w:val="20"/>
                <w:lang w:val="fr-CA"/>
              </w:rPr>
            </w:pPr>
            <w:r w:rsidRPr="00084357">
              <w:rPr>
                <w:sz w:val="20"/>
                <w:lang w:val="fr-CA"/>
              </w:rPr>
              <w:t>Dépôt de la demande d’autorisation d’appel.</w:t>
            </w:r>
          </w:p>
        </w:tc>
      </w:tr>
    </w:tbl>
    <w:p w:rsidR="00084357" w:rsidRPr="00084357" w:rsidRDefault="00084357" w:rsidP="00084357">
      <w:pPr>
        <w:jc w:val="both"/>
        <w:rPr>
          <w:sz w:val="20"/>
          <w:lang w:val="fr-CA"/>
        </w:rPr>
      </w:pPr>
    </w:p>
    <w:p w:rsidR="00921EA7" w:rsidRPr="001232B0" w:rsidRDefault="00921EA7" w:rsidP="001232B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32B0" w:rsidRPr="001232B0" w:rsidTr="00EB2E70">
        <w:tc>
          <w:tcPr>
            <w:tcW w:w="543" w:type="pct"/>
          </w:tcPr>
          <w:p w:rsidR="001232B0" w:rsidRPr="001232B0" w:rsidRDefault="001232B0" w:rsidP="001232B0">
            <w:pPr>
              <w:jc w:val="both"/>
              <w:rPr>
                <w:sz w:val="20"/>
              </w:rPr>
            </w:pPr>
            <w:r w:rsidRPr="001232B0">
              <w:rPr>
                <w:rStyle w:val="SCCFileNumberChar"/>
                <w:sz w:val="20"/>
                <w:szCs w:val="20"/>
              </w:rPr>
              <w:t>36907</w:t>
            </w:r>
          </w:p>
        </w:tc>
        <w:tc>
          <w:tcPr>
            <w:tcW w:w="4457" w:type="pct"/>
            <w:gridSpan w:val="3"/>
          </w:tcPr>
          <w:p w:rsidR="001232B0" w:rsidRPr="001232B0" w:rsidRDefault="001232B0" w:rsidP="001232B0">
            <w:pPr>
              <w:pStyle w:val="SCCLsocParty"/>
              <w:jc w:val="both"/>
              <w:rPr>
                <w:b/>
                <w:sz w:val="20"/>
                <w:szCs w:val="20"/>
              </w:rPr>
            </w:pPr>
            <w:r w:rsidRPr="001232B0">
              <w:rPr>
                <w:b/>
                <w:sz w:val="20"/>
                <w:szCs w:val="20"/>
              </w:rPr>
              <w:t xml:space="preserve">Rogers Communications Canada Inc. (formerly known as Rogers Communications Partnership), Telus Communications Company, Bell Mobility Inc. and </w:t>
            </w:r>
            <w:proofErr w:type="spellStart"/>
            <w:r w:rsidRPr="001232B0">
              <w:rPr>
                <w:b/>
                <w:sz w:val="20"/>
                <w:szCs w:val="20"/>
              </w:rPr>
              <w:t>Québecor</w:t>
            </w:r>
            <w:proofErr w:type="spellEnd"/>
            <w:r w:rsidRPr="001232B0">
              <w:rPr>
                <w:b/>
                <w:sz w:val="20"/>
                <w:szCs w:val="20"/>
              </w:rPr>
              <w:t xml:space="preserve"> Media Inc. v. Society of Composers, Authors, and Music Publishers of Canada (a.k.a. SOCAN)</w:t>
            </w:r>
          </w:p>
          <w:p w:rsidR="001232B0" w:rsidRPr="001232B0" w:rsidRDefault="001232B0" w:rsidP="001232B0">
            <w:pPr>
              <w:jc w:val="both"/>
              <w:rPr>
                <w:sz w:val="20"/>
              </w:rPr>
            </w:pPr>
            <w:r w:rsidRPr="001232B0">
              <w:rPr>
                <w:sz w:val="20"/>
              </w:rPr>
              <w:t>(FC) (Civil) (By Leave)</w:t>
            </w:r>
          </w:p>
        </w:tc>
      </w:tr>
      <w:tr w:rsidR="001232B0" w:rsidRPr="001232B0" w:rsidTr="00EB2E70">
        <w:tc>
          <w:tcPr>
            <w:tcW w:w="5000" w:type="pct"/>
            <w:gridSpan w:val="4"/>
          </w:tcPr>
          <w:p w:rsidR="001232B0" w:rsidRPr="001232B0" w:rsidRDefault="001232B0" w:rsidP="001232B0">
            <w:pPr>
              <w:jc w:val="both"/>
              <w:rPr>
                <w:sz w:val="20"/>
              </w:rPr>
            </w:pPr>
            <w:r w:rsidRPr="001232B0">
              <w:rPr>
                <w:sz w:val="20"/>
              </w:rPr>
              <w:t xml:space="preserve">Courts – Appeal – </w:t>
            </w:r>
            <w:r w:rsidRPr="001232B0">
              <w:rPr>
                <w:i/>
                <w:sz w:val="20"/>
              </w:rPr>
              <w:t>Res Judicata</w:t>
            </w:r>
            <w:r w:rsidRPr="001232B0">
              <w:rPr>
                <w:sz w:val="20"/>
              </w:rPr>
              <w:t xml:space="preserve"> – Administrative law – Estoppel – Intellectual property – Copyright – Tariffs – Applicants unsuccessfully challenging certification of initial Tariff 24 which treats the downloading of ringtones to cellphones as communications to the public by telecommunication – After subsequent case law determined that downloads do not constitute communication to the public, the applicants sought to recover royalty amounts paid under Tariff 24 – Appellate court holding that doctrine of </w:t>
            </w:r>
            <w:r w:rsidRPr="001232B0">
              <w:rPr>
                <w:i/>
                <w:sz w:val="20"/>
              </w:rPr>
              <w:t>res judicata</w:t>
            </w:r>
            <w:r w:rsidRPr="001232B0">
              <w:rPr>
                <w:sz w:val="20"/>
              </w:rPr>
              <w:t xml:space="preserve"> applied to bar claim – Do this Court’s decisions have legal effect on prior cases, by operation of the </w:t>
            </w:r>
            <w:proofErr w:type="spellStart"/>
            <w:r w:rsidRPr="001232B0">
              <w:rPr>
                <w:sz w:val="20"/>
              </w:rPr>
              <w:t>Blackstonian</w:t>
            </w:r>
            <w:proofErr w:type="spellEnd"/>
            <w:r w:rsidRPr="001232B0">
              <w:rPr>
                <w:sz w:val="20"/>
              </w:rPr>
              <w:t xml:space="preserve"> doctrine or otherwise, and if so, does the doctrine of </w:t>
            </w:r>
            <w:r w:rsidRPr="001232B0">
              <w:rPr>
                <w:i/>
                <w:sz w:val="20"/>
              </w:rPr>
              <w:t>res judicata</w:t>
            </w:r>
            <w:r w:rsidRPr="001232B0">
              <w:rPr>
                <w:sz w:val="20"/>
              </w:rPr>
              <w:t xml:space="preserve"> bar the operation of the </w:t>
            </w:r>
            <w:proofErr w:type="spellStart"/>
            <w:r w:rsidRPr="001232B0">
              <w:rPr>
                <w:sz w:val="20"/>
              </w:rPr>
              <w:t>Blackstonian</w:t>
            </w:r>
            <w:proofErr w:type="spellEnd"/>
            <w:r w:rsidRPr="001232B0">
              <w:rPr>
                <w:sz w:val="20"/>
              </w:rPr>
              <w:t xml:space="preserve"> doctrine or the availability of restitution – Does a Supreme Court decision on the jurisdiction of a tribunal render </w:t>
            </w:r>
            <w:r w:rsidRPr="001232B0">
              <w:rPr>
                <w:i/>
                <w:sz w:val="20"/>
              </w:rPr>
              <w:t>ultra vires</w:t>
            </w:r>
            <w:r w:rsidRPr="001232B0">
              <w:rPr>
                <w:sz w:val="20"/>
              </w:rPr>
              <w:t xml:space="preserve"> that tribunal’s former determinations, which were made on the basis of the same, now known to be erroneous, interpretation of its enabling statute – Can an erroneous, </w:t>
            </w:r>
            <w:r w:rsidRPr="001232B0">
              <w:rPr>
                <w:i/>
                <w:sz w:val="20"/>
              </w:rPr>
              <w:t>ultra vires</w:t>
            </w:r>
            <w:r w:rsidRPr="001232B0">
              <w:rPr>
                <w:sz w:val="20"/>
              </w:rPr>
              <w:t xml:space="preserve"> determination of a tribunal form the basis of </w:t>
            </w:r>
            <w:r w:rsidRPr="001232B0">
              <w:rPr>
                <w:i/>
                <w:sz w:val="20"/>
              </w:rPr>
              <w:t>res judicata</w:t>
            </w:r>
            <w:r w:rsidRPr="001232B0">
              <w:rPr>
                <w:sz w:val="20"/>
              </w:rPr>
              <w:t xml:space="preserve"> (issue estoppel) – </w:t>
            </w:r>
            <w:r w:rsidRPr="001232B0">
              <w:rPr>
                <w:i/>
                <w:sz w:val="20"/>
              </w:rPr>
              <w:t>Copyright Act</w:t>
            </w:r>
            <w:r w:rsidRPr="001232B0">
              <w:rPr>
                <w:sz w:val="20"/>
              </w:rPr>
              <w:t xml:space="preserve">, R.S.C. 1985, c. C-42, ss. 3(1)(f) and 66.52 – </w:t>
            </w:r>
            <w:r w:rsidRPr="001232B0">
              <w:rPr>
                <w:i/>
                <w:sz w:val="20"/>
              </w:rPr>
              <w:t>Entertainment Software Association v. Society of Composers, Authors and Music Publishers of Canada</w:t>
            </w:r>
            <w:r w:rsidRPr="001232B0">
              <w:rPr>
                <w:sz w:val="20"/>
              </w:rPr>
              <w:t xml:space="preserve">, 2012 SCC 34, [2012] 2 S.C.R. 231– </w:t>
            </w:r>
            <w:r w:rsidRPr="001232B0">
              <w:rPr>
                <w:i/>
                <w:sz w:val="20"/>
              </w:rPr>
              <w:t>Rogers Communications Inc. v. Society of Composers, Authors and Music Publishers of Canada</w:t>
            </w:r>
            <w:r w:rsidRPr="001232B0">
              <w:rPr>
                <w:sz w:val="20"/>
              </w:rPr>
              <w:t>, 2012 SCC 35, [2012] 2 S.C.R. 283.</w:t>
            </w:r>
          </w:p>
        </w:tc>
      </w:tr>
      <w:tr w:rsidR="001232B0" w:rsidRPr="001232B0" w:rsidTr="00EB2E70">
        <w:tc>
          <w:tcPr>
            <w:tcW w:w="5000" w:type="pct"/>
            <w:gridSpan w:val="4"/>
          </w:tcPr>
          <w:p w:rsidR="001232B0" w:rsidRPr="001232B0" w:rsidRDefault="001232B0" w:rsidP="001232B0">
            <w:pPr>
              <w:jc w:val="both"/>
              <w:rPr>
                <w:sz w:val="20"/>
              </w:rPr>
            </w:pPr>
          </w:p>
        </w:tc>
      </w:tr>
      <w:tr w:rsidR="001232B0" w:rsidRPr="001232B0" w:rsidTr="00EB2E70">
        <w:tc>
          <w:tcPr>
            <w:tcW w:w="5000" w:type="pct"/>
            <w:gridSpan w:val="4"/>
          </w:tcPr>
          <w:p w:rsidR="001232B0" w:rsidRPr="001232B0" w:rsidRDefault="001232B0" w:rsidP="001232B0">
            <w:pPr>
              <w:jc w:val="both"/>
              <w:rPr>
                <w:sz w:val="20"/>
              </w:rPr>
            </w:pPr>
            <w:r w:rsidRPr="001232B0">
              <w:rPr>
                <w:sz w:val="20"/>
              </w:rPr>
              <w:t xml:space="preserve">The applicants are providers of mobile telecommunication services and sell ringtones to customers as part of their business. At issue are the portions of musical works downloaded from a wireless carrier to a customer’s cellphone and stored in its memory for use as ringtones. The respondent collects, administers and distributes royalties collected for public performances of musical works on behalf of creators. The applicants unsuccessfully challenging certification of the initial Tariff 24, which treats the downloading of ringtones to cellphones as communications to the public by telecommunication. Subsequent decisions of the Supreme Court of Canada determined that downloads do not constitute communication to the public by telecommunication. After bringing an unsuccessful application before the Copyright Board of Canada to vary Tariff 24, the applicants commenced an action in Federal Court seeking an order declaring either that Tariff 24 is invalid in respect of ringtones, or outside the jurisdiction of the Board to </w:t>
            </w:r>
            <w:r w:rsidRPr="001232B0">
              <w:rPr>
                <w:sz w:val="20"/>
              </w:rPr>
              <w:lastRenderedPageBreak/>
              <w:t xml:space="preserve">certify. They sought to recover amounts paid to the respondent as royalties under Tariff 24 from November 2006 to July 2012. The respondent filed a defense and counterclaim seeking the payment of royalties the applicants had refused to pay.  </w:t>
            </w:r>
          </w:p>
          <w:p w:rsidR="001232B0" w:rsidRPr="001232B0" w:rsidRDefault="001232B0" w:rsidP="001232B0">
            <w:pPr>
              <w:jc w:val="both"/>
              <w:rPr>
                <w:sz w:val="20"/>
              </w:rPr>
            </w:pPr>
          </w:p>
          <w:p w:rsidR="001232B0" w:rsidRPr="001232B0" w:rsidRDefault="001232B0" w:rsidP="001232B0">
            <w:pPr>
              <w:jc w:val="both"/>
              <w:rPr>
                <w:sz w:val="20"/>
              </w:rPr>
            </w:pPr>
            <w:r w:rsidRPr="001232B0">
              <w:rPr>
                <w:sz w:val="20"/>
              </w:rPr>
              <w:t xml:space="preserve">On a consent motion, the Federal Court ordered the pre-trial determination of six questions of law. Two questions are of relevance to this leave application. First, the Federal Court determined that the claim was not barred by </w:t>
            </w:r>
            <w:r w:rsidRPr="001232B0">
              <w:rPr>
                <w:i/>
                <w:sz w:val="20"/>
              </w:rPr>
              <w:t>res judicata</w:t>
            </w:r>
            <w:r w:rsidRPr="001232B0">
              <w:rPr>
                <w:sz w:val="20"/>
              </w:rPr>
              <w:t xml:space="preserve"> because the earlier decision had not been final so as to evoke issue or cause of action estoppel. This determination was reversed by the Federal Court of Appeal. Second, the Federal Court determined that the Copyright Board had the jurisdiction to certify the disputed Tariff 24. This was confirmed on appeal.</w:t>
            </w:r>
          </w:p>
        </w:tc>
      </w:tr>
      <w:tr w:rsidR="001232B0" w:rsidRPr="001232B0" w:rsidTr="00EB2E70">
        <w:tc>
          <w:tcPr>
            <w:tcW w:w="5000" w:type="pct"/>
            <w:gridSpan w:val="4"/>
          </w:tcPr>
          <w:p w:rsidR="001232B0" w:rsidRPr="001232B0" w:rsidRDefault="001232B0" w:rsidP="001232B0">
            <w:pPr>
              <w:jc w:val="both"/>
              <w:rPr>
                <w:sz w:val="20"/>
              </w:rPr>
            </w:pPr>
          </w:p>
        </w:tc>
      </w:tr>
      <w:tr w:rsidR="001232B0" w:rsidRPr="001232B0" w:rsidTr="00EB2E70">
        <w:tc>
          <w:tcPr>
            <w:tcW w:w="2427" w:type="pct"/>
            <w:gridSpan w:val="2"/>
          </w:tcPr>
          <w:p w:rsidR="001232B0" w:rsidRPr="001232B0" w:rsidRDefault="001232B0" w:rsidP="001232B0">
            <w:pPr>
              <w:jc w:val="both"/>
              <w:rPr>
                <w:sz w:val="20"/>
              </w:rPr>
            </w:pPr>
            <w:r w:rsidRPr="001232B0">
              <w:rPr>
                <w:sz w:val="20"/>
              </w:rPr>
              <w:t>March 6, 2015</w:t>
            </w:r>
          </w:p>
          <w:p w:rsidR="001232B0" w:rsidRPr="001232B0" w:rsidRDefault="001232B0" w:rsidP="001232B0">
            <w:pPr>
              <w:jc w:val="both"/>
              <w:rPr>
                <w:sz w:val="20"/>
              </w:rPr>
            </w:pPr>
            <w:r w:rsidRPr="001232B0">
              <w:rPr>
                <w:sz w:val="20"/>
              </w:rPr>
              <w:t>Federal Court</w:t>
            </w:r>
          </w:p>
          <w:p w:rsidR="001232B0" w:rsidRPr="001232B0" w:rsidRDefault="001232B0" w:rsidP="001232B0">
            <w:pPr>
              <w:jc w:val="both"/>
              <w:rPr>
                <w:sz w:val="20"/>
              </w:rPr>
            </w:pPr>
            <w:r w:rsidRPr="001232B0">
              <w:rPr>
                <w:sz w:val="20"/>
              </w:rPr>
              <w:t>(O'Reilly J.)</w:t>
            </w:r>
          </w:p>
          <w:p w:rsidR="001232B0" w:rsidRPr="001232B0" w:rsidRDefault="00B621BC" w:rsidP="001232B0">
            <w:pPr>
              <w:jc w:val="both"/>
              <w:rPr>
                <w:sz w:val="20"/>
              </w:rPr>
            </w:pPr>
            <w:hyperlink r:id="rId27" w:history="1">
              <w:r w:rsidR="001232B0" w:rsidRPr="001232B0">
                <w:rPr>
                  <w:rStyle w:val="Hyperlink"/>
                  <w:sz w:val="20"/>
                </w:rPr>
                <w:t>2015 FC 286</w:t>
              </w:r>
            </w:hyperlink>
          </w:p>
          <w:p w:rsidR="001232B0" w:rsidRPr="001232B0" w:rsidRDefault="001232B0" w:rsidP="001232B0">
            <w:pPr>
              <w:jc w:val="both"/>
              <w:rPr>
                <w:sz w:val="20"/>
              </w:rPr>
            </w:pPr>
          </w:p>
        </w:tc>
        <w:tc>
          <w:tcPr>
            <w:tcW w:w="243" w:type="pct"/>
          </w:tcPr>
          <w:p w:rsidR="001232B0" w:rsidRPr="001232B0" w:rsidRDefault="001232B0" w:rsidP="001232B0">
            <w:pPr>
              <w:jc w:val="both"/>
              <w:rPr>
                <w:sz w:val="20"/>
              </w:rPr>
            </w:pPr>
          </w:p>
        </w:tc>
        <w:tc>
          <w:tcPr>
            <w:tcW w:w="2330" w:type="pct"/>
          </w:tcPr>
          <w:p w:rsidR="001232B0" w:rsidRPr="001232B0" w:rsidRDefault="001232B0" w:rsidP="001232B0">
            <w:pPr>
              <w:jc w:val="both"/>
              <w:rPr>
                <w:sz w:val="20"/>
              </w:rPr>
            </w:pPr>
            <w:r w:rsidRPr="001232B0">
              <w:rPr>
                <w:sz w:val="20"/>
              </w:rPr>
              <w:t xml:space="preserve">Determination, </w:t>
            </w:r>
            <w:r w:rsidRPr="001232B0">
              <w:rPr>
                <w:i/>
                <w:sz w:val="20"/>
              </w:rPr>
              <w:t>inter alia</w:t>
            </w:r>
            <w:r w:rsidRPr="001232B0">
              <w:rPr>
                <w:sz w:val="20"/>
              </w:rPr>
              <w:t>, that the Board had jurisdiction to certify Tariff 24 and the applicants’ claim had not been finally decided against them or precluded by agreement</w:t>
            </w:r>
          </w:p>
          <w:p w:rsidR="001232B0" w:rsidRPr="001232B0" w:rsidRDefault="001232B0" w:rsidP="001232B0">
            <w:pPr>
              <w:jc w:val="both"/>
              <w:rPr>
                <w:sz w:val="20"/>
              </w:rPr>
            </w:pPr>
          </w:p>
        </w:tc>
      </w:tr>
      <w:tr w:rsidR="001232B0" w:rsidRPr="001232B0" w:rsidTr="00EB2E70">
        <w:tc>
          <w:tcPr>
            <w:tcW w:w="2427" w:type="pct"/>
            <w:gridSpan w:val="2"/>
          </w:tcPr>
          <w:p w:rsidR="001232B0" w:rsidRPr="001232B0" w:rsidRDefault="001232B0" w:rsidP="001232B0">
            <w:pPr>
              <w:jc w:val="both"/>
              <w:rPr>
                <w:sz w:val="20"/>
              </w:rPr>
            </w:pPr>
            <w:r w:rsidRPr="001232B0">
              <w:rPr>
                <w:sz w:val="20"/>
              </w:rPr>
              <w:t>January 27, 2016</w:t>
            </w:r>
          </w:p>
          <w:p w:rsidR="001232B0" w:rsidRPr="001232B0" w:rsidRDefault="001232B0" w:rsidP="001232B0">
            <w:pPr>
              <w:jc w:val="both"/>
              <w:rPr>
                <w:sz w:val="20"/>
              </w:rPr>
            </w:pPr>
            <w:r w:rsidRPr="001232B0">
              <w:rPr>
                <w:sz w:val="20"/>
              </w:rPr>
              <w:t>Federal Court of Appeal</w:t>
            </w:r>
          </w:p>
          <w:p w:rsidR="001232B0" w:rsidRPr="001232B0" w:rsidRDefault="001232B0" w:rsidP="001232B0">
            <w:pPr>
              <w:jc w:val="both"/>
              <w:rPr>
                <w:sz w:val="20"/>
              </w:rPr>
            </w:pPr>
            <w:r w:rsidRPr="001232B0">
              <w:rPr>
                <w:sz w:val="20"/>
              </w:rPr>
              <w:t>(</w:t>
            </w:r>
            <w:proofErr w:type="spellStart"/>
            <w:r w:rsidRPr="001232B0">
              <w:rPr>
                <w:sz w:val="20"/>
              </w:rPr>
              <w:t>Ryer</w:t>
            </w:r>
            <w:proofErr w:type="spellEnd"/>
            <w:r w:rsidRPr="001232B0">
              <w:rPr>
                <w:sz w:val="20"/>
              </w:rPr>
              <w:t>, Webb and Near JJ.A.)</w:t>
            </w:r>
          </w:p>
          <w:p w:rsidR="001232B0" w:rsidRPr="001232B0" w:rsidRDefault="00B621BC" w:rsidP="001232B0">
            <w:pPr>
              <w:jc w:val="both"/>
              <w:rPr>
                <w:sz w:val="20"/>
              </w:rPr>
            </w:pPr>
            <w:hyperlink r:id="rId28" w:history="1">
              <w:r w:rsidR="001232B0" w:rsidRPr="001232B0">
                <w:rPr>
                  <w:rStyle w:val="Hyperlink"/>
                  <w:sz w:val="20"/>
                </w:rPr>
                <w:t>2016 FCA 28</w:t>
              </w:r>
            </w:hyperlink>
          </w:p>
          <w:p w:rsidR="001232B0" w:rsidRPr="001232B0" w:rsidRDefault="001232B0" w:rsidP="001232B0">
            <w:pPr>
              <w:jc w:val="both"/>
              <w:rPr>
                <w:sz w:val="20"/>
              </w:rPr>
            </w:pPr>
          </w:p>
        </w:tc>
        <w:tc>
          <w:tcPr>
            <w:tcW w:w="243" w:type="pct"/>
          </w:tcPr>
          <w:p w:rsidR="001232B0" w:rsidRPr="001232B0" w:rsidRDefault="001232B0" w:rsidP="001232B0">
            <w:pPr>
              <w:jc w:val="both"/>
              <w:rPr>
                <w:sz w:val="20"/>
              </w:rPr>
            </w:pPr>
          </w:p>
        </w:tc>
        <w:tc>
          <w:tcPr>
            <w:tcW w:w="2330" w:type="pct"/>
          </w:tcPr>
          <w:p w:rsidR="001232B0" w:rsidRPr="001232B0" w:rsidRDefault="001232B0" w:rsidP="001232B0">
            <w:pPr>
              <w:jc w:val="both"/>
              <w:rPr>
                <w:sz w:val="20"/>
              </w:rPr>
            </w:pPr>
            <w:r w:rsidRPr="001232B0">
              <w:rPr>
                <w:sz w:val="20"/>
              </w:rPr>
              <w:t>Appeal and cross-appeal allowed in part</w:t>
            </w:r>
          </w:p>
          <w:p w:rsidR="001232B0" w:rsidRPr="001232B0" w:rsidRDefault="001232B0" w:rsidP="001232B0">
            <w:pPr>
              <w:jc w:val="both"/>
              <w:rPr>
                <w:sz w:val="20"/>
              </w:rPr>
            </w:pPr>
          </w:p>
        </w:tc>
      </w:tr>
      <w:tr w:rsidR="001232B0" w:rsidRPr="001232B0" w:rsidTr="00EB2E70">
        <w:tc>
          <w:tcPr>
            <w:tcW w:w="2427" w:type="pct"/>
            <w:gridSpan w:val="2"/>
          </w:tcPr>
          <w:p w:rsidR="001232B0" w:rsidRPr="001232B0" w:rsidRDefault="001232B0" w:rsidP="001232B0">
            <w:pPr>
              <w:jc w:val="both"/>
              <w:rPr>
                <w:sz w:val="20"/>
              </w:rPr>
            </w:pPr>
            <w:r w:rsidRPr="001232B0">
              <w:rPr>
                <w:sz w:val="20"/>
              </w:rPr>
              <w:t>March 29, 2016</w:t>
            </w:r>
          </w:p>
          <w:p w:rsidR="001232B0" w:rsidRPr="001232B0" w:rsidRDefault="001232B0" w:rsidP="001232B0">
            <w:pPr>
              <w:jc w:val="both"/>
              <w:rPr>
                <w:sz w:val="20"/>
              </w:rPr>
            </w:pPr>
            <w:r w:rsidRPr="001232B0">
              <w:rPr>
                <w:sz w:val="20"/>
              </w:rPr>
              <w:t>Supreme Court of Canada</w:t>
            </w:r>
          </w:p>
        </w:tc>
        <w:tc>
          <w:tcPr>
            <w:tcW w:w="243" w:type="pct"/>
          </w:tcPr>
          <w:p w:rsidR="001232B0" w:rsidRPr="001232B0" w:rsidRDefault="001232B0" w:rsidP="001232B0">
            <w:pPr>
              <w:jc w:val="both"/>
              <w:rPr>
                <w:sz w:val="20"/>
              </w:rPr>
            </w:pPr>
          </w:p>
        </w:tc>
        <w:tc>
          <w:tcPr>
            <w:tcW w:w="2330" w:type="pct"/>
          </w:tcPr>
          <w:p w:rsidR="001232B0" w:rsidRPr="001232B0" w:rsidRDefault="001232B0" w:rsidP="001232B0">
            <w:pPr>
              <w:jc w:val="both"/>
              <w:rPr>
                <w:sz w:val="20"/>
              </w:rPr>
            </w:pPr>
            <w:r w:rsidRPr="001232B0">
              <w:rPr>
                <w:sz w:val="20"/>
              </w:rPr>
              <w:t>Application for leave to appeal filed</w:t>
            </w:r>
          </w:p>
          <w:p w:rsidR="001232B0" w:rsidRPr="001232B0" w:rsidRDefault="001232B0" w:rsidP="001232B0">
            <w:pPr>
              <w:jc w:val="both"/>
              <w:rPr>
                <w:sz w:val="20"/>
              </w:rPr>
            </w:pPr>
          </w:p>
        </w:tc>
      </w:tr>
    </w:tbl>
    <w:p w:rsidR="001232B0" w:rsidRPr="001232B0" w:rsidRDefault="001232B0" w:rsidP="001232B0">
      <w:pPr>
        <w:jc w:val="both"/>
        <w:rPr>
          <w:sz w:val="20"/>
        </w:rPr>
      </w:pPr>
    </w:p>
    <w:p w:rsidR="001232B0" w:rsidRPr="001232B0" w:rsidRDefault="001232B0" w:rsidP="0012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32B0" w:rsidRPr="001232B0" w:rsidTr="00EB2E70">
        <w:tc>
          <w:tcPr>
            <w:tcW w:w="543" w:type="pct"/>
          </w:tcPr>
          <w:p w:rsidR="001232B0" w:rsidRPr="001232B0" w:rsidRDefault="001232B0" w:rsidP="001232B0">
            <w:pPr>
              <w:jc w:val="both"/>
              <w:rPr>
                <w:sz w:val="20"/>
                <w:lang w:val="fr-CA"/>
              </w:rPr>
            </w:pPr>
            <w:r w:rsidRPr="001232B0">
              <w:rPr>
                <w:rStyle w:val="SCCFileNumberChar"/>
                <w:sz w:val="20"/>
                <w:szCs w:val="20"/>
                <w:lang w:val="fr-CA"/>
              </w:rPr>
              <w:t>36907</w:t>
            </w:r>
          </w:p>
        </w:tc>
        <w:tc>
          <w:tcPr>
            <w:tcW w:w="4457" w:type="pct"/>
            <w:gridSpan w:val="3"/>
          </w:tcPr>
          <w:p w:rsidR="001232B0" w:rsidRPr="001232B0" w:rsidRDefault="001232B0" w:rsidP="001232B0">
            <w:pPr>
              <w:pStyle w:val="SCCLsocParty"/>
              <w:jc w:val="both"/>
              <w:rPr>
                <w:b/>
                <w:sz w:val="20"/>
                <w:szCs w:val="20"/>
              </w:rPr>
            </w:pPr>
            <w:r w:rsidRPr="001232B0">
              <w:rPr>
                <w:b/>
                <w:sz w:val="20"/>
                <w:szCs w:val="20"/>
              </w:rPr>
              <w:t>Rogers Communications Canada Inc. (auparavant connue sous le nom de Rogers Communications Partnership), Société Telus Communications, Bell Mobility Inc. et Québecor Media Inc. c. Société canadienne des auteurs, compositeurs et éditeurs de musique (alias SOCAN)</w:t>
            </w:r>
          </w:p>
          <w:p w:rsidR="001232B0" w:rsidRPr="001232B0" w:rsidRDefault="001232B0" w:rsidP="001232B0">
            <w:pPr>
              <w:jc w:val="both"/>
              <w:rPr>
                <w:sz w:val="20"/>
                <w:lang w:val="fr-CA"/>
              </w:rPr>
            </w:pPr>
            <w:r w:rsidRPr="001232B0">
              <w:rPr>
                <w:sz w:val="20"/>
                <w:lang w:val="fr-CA"/>
              </w:rPr>
              <w:t>(CF) (Civile) (Sur autorisation)</w:t>
            </w:r>
          </w:p>
        </w:tc>
      </w:tr>
      <w:tr w:rsidR="001232B0" w:rsidRPr="001232B0" w:rsidTr="00EB2E70">
        <w:tc>
          <w:tcPr>
            <w:tcW w:w="5000" w:type="pct"/>
            <w:gridSpan w:val="4"/>
          </w:tcPr>
          <w:p w:rsidR="001232B0" w:rsidRPr="001232B0" w:rsidRDefault="001232B0" w:rsidP="001232B0">
            <w:pPr>
              <w:jc w:val="both"/>
              <w:rPr>
                <w:sz w:val="20"/>
                <w:lang w:val="fr-CA"/>
              </w:rPr>
            </w:pPr>
            <w:r w:rsidRPr="001232B0">
              <w:rPr>
                <w:sz w:val="20"/>
                <w:lang w:val="fr-CA"/>
              </w:rPr>
              <w:t xml:space="preserve">Tribunaux – Appel – Chose jugée – Droit administratif – Préclusion – Propriété intellectuelle – Droit d’auteur – Tarifs – Les demanderesses ont été déboutées dans leur contestation de  l’homologation du Tarif 24 initial qui traite le téléchargement de sonneries à des téléphones cellulaires comme une communication au public par télécommunication – Après que la jurisprudence subséquente eut tranché que les téléchargements ne constituaient pas une communication au public, les demanderesses ont cherché à recouvrer les montants des redevances versées au titre du Tarif 24 – La Cour d’appel a statué que la doctrine de l’autorité de la chose jugée s’appliquait pour rendre la demande irrecevable – Les arrêts de notre Cour ont-ils un effet sur des affaires antérieures, par l’application de la doctrine blackstonienne ou autrement et, dans l’affirmative, la doctrine de l’autorité de la chose jugée rend-elle inapplicable la doctrine blackstonienne ou la possibilité d’obtenir restitution? – Un arrêt de la Cour suprême sur la compétence d’un tribunal administratif rend-il </w:t>
            </w:r>
            <w:r w:rsidRPr="001232B0">
              <w:rPr>
                <w:i/>
                <w:sz w:val="20"/>
                <w:lang w:val="fr-CA"/>
              </w:rPr>
              <w:t>ultra vires</w:t>
            </w:r>
            <w:r w:rsidRPr="001232B0">
              <w:rPr>
                <w:sz w:val="20"/>
                <w:lang w:val="fr-CA"/>
              </w:rPr>
              <w:t xml:space="preserve"> les décisions antérieures de ce tribunal, rendues sur le fondement de la même interprétation de sa loi habilitante, une interprétation que l’on sait maintenant erronée? – La décision erronée et </w:t>
            </w:r>
            <w:r w:rsidRPr="001232B0">
              <w:rPr>
                <w:i/>
                <w:sz w:val="20"/>
                <w:lang w:val="fr-CA"/>
              </w:rPr>
              <w:t>ultra vires</w:t>
            </w:r>
            <w:r w:rsidRPr="001232B0">
              <w:rPr>
                <w:sz w:val="20"/>
                <w:lang w:val="fr-CA"/>
              </w:rPr>
              <w:t xml:space="preserve"> d’un tribunal administratif peut-elle servir de fondement de l’autorité de la chose jugée (préclusion découlant d’une question déjà tranchée)? – </w:t>
            </w:r>
            <w:r w:rsidRPr="001232B0">
              <w:rPr>
                <w:i/>
                <w:sz w:val="20"/>
                <w:lang w:val="fr-CA"/>
              </w:rPr>
              <w:t>Loi sur le droit d’auteur</w:t>
            </w:r>
            <w:r w:rsidRPr="001232B0">
              <w:rPr>
                <w:sz w:val="20"/>
                <w:lang w:val="fr-CA"/>
              </w:rPr>
              <w:t xml:space="preserve">, L.R.C. 1985, ch. C-42, al. 3(1)f) et art. 66.52 – </w:t>
            </w:r>
            <w:r w:rsidRPr="001232B0">
              <w:rPr>
                <w:i/>
                <w:sz w:val="20"/>
                <w:lang w:val="fr-CA"/>
              </w:rPr>
              <w:t>Entertainment Software Association c. Société canadienne des auteurs, compositeurs et éditeurs de musique</w:t>
            </w:r>
            <w:r w:rsidRPr="001232B0">
              <w:rPr>
                <w:sz w:val="20"/>
                <w:lang w:val="fr-CA"/>
              </w:rPr>
              <w:t xml:space="preserve">, 2012 CSC 34, [2012] 2 R.C.S. 231 – </w:t>
            </w:r>
            <w:r w:rsidRPr="001232B0">
              <w:rPr>
                <w:i/>
                <w:sz w:val="20"/>
                <w:lang w:val="fr-CA"/>
              </w:rPr>
              <w:t>Rogers Communications Inc. c. Société canadienne des auteurs, compositeurs et éditeurs de musique</w:t>
            </w:r>
            <w:r w:rsidRPr="001232B0">
              <w:rPr>
                <w:sz w:val="20"/>
                <w:lang w:val="fr-CA"/>
              </w:rPr>
              <w:t>, 2012 CSC 35, [2012] 2 R.C.S. 283.</w:t>
            </w:r>
          </w:p>
        </w:tc>
      </w:tr>
      <w:tr w:rsidR="001232B0" w:rsidRPr="001232B0" w:rsidTr="00EB2E70">
        <w:tc>
          <w:tcPr>
            <w:tcW w:w="5000" w:type="pct"/>
            <w:gridSpan w:val="4"/>
          </w:tcPr>
          <w:p w:rsidR="001232B0" w:rsidRPr="001232B0" w:rsidRDefault="001232B0" w:rsidP="001232B0">
            <w:pPr>
              <w:jc w:val="both"/>
              <w:rPr>
                <w:sz w:val="20"/>
                <w:lang w:val="fr-CA"/>
              </w:rPr>
            </w:pPr>
          </w:p>
        </w:tc>
      </w:tr>
      <w:tr w:rsidR="001232B0" w:rsidRPr="001232B0" w:rsidTr="00EB2E70">
        <w:tc>
          <w:tcPr>
            <w:tcW w:w="5000" w:type="pct"/>
            <w:gridSpan w:val="4"/>
          </w:tcPr>
          <w:p w:rsidR="001232B0" w:rsidRPr="001232B0" w:rsidRDefault="001232B0" w:rsidP="001232B0">
            <w:pPr>
              <w:jc w:val="both"/>
              <w:rPr>
                <w:sz w:val="20"/>
                <w:lang w:val="fr-CA"/>
              </w:rPr>
            </w:pPr>
            <w:r w:rsidRPr="001232B0">
              <w:rPr>
                <w:sz w:val="20"/>
                <w:lang w:val="fr-CA"/>
              </w:rPr>
              <w:t xml:space="preserve">Les demanderesses sont des fournisseurs de services de télécommunication mobile et vendent des sonneries à leurs clients dans le cadre de leur entreprise. Le litige porte sur les parties des œuvres musicales téléchargées d’un fournisseur de communication sans fil au téléphone cellulaire d’un client et mises en mémoire dans le téléphone pour être utilisées comme sonneries. L’intimée perçoit, gère et répartit, au nom des créateurs, les redevances provenant de représentations publiques d’œuvres musicales. Les demanderesses ont été déboutées dans leur contestation de  l’homologation du Tarif 24 initial qui traite le téléchargement de sonneries à des téléphones cellulaires comme une communication au public par télécommunication. Dans des arrêts subséquents, la Cour suprême du Canada a statué </w:t>
            </w:r>
            <w:r w:rsidRPr="001232B0">
              <w:rPr>
                <w:sz w:val="20"/>
                <w:lang w:val="fr-CA"/>
              </w:rPr>
              <w:lastRenderedPageBreak/>
              <w:t xml:space="preserve">que les téléchargements ne constituaient pas une communication au public par télécommunication. Après avoir été déboutés dans leur demande à la Commission du droit d’auteur du Canada en vue de modifier le Tarif 24, les demanderesses ont intenté une action en Cour fédérale, sollicitant une ordonnance déclarant soit que le Tarif 24 est invalide pour ce qui est des sonneries, soit que la Commission n’a pas compétence pour homologuer. Elles ont cherché à recouvrer les montants versés à l’intimée comme redevances au titre du Tarif 24 de novembre 2006 à juillet 2012. L’intimée a déposé une défense et une demande reconventionnelle, sollicitant le versement des redevances que les demanderesses avaient refusé de payer.  </w:t>
            </w:r>
          </w:p>
          <w:p w:rsidR="001232B0" w:rsidRPr="001232B0" w:rsidRDefault="001232B0" w:rsidP="001232B0">
            <w:pPr>
              <w:jc w:val="both"/>
              <w:rPr>
                <w:sz w:val="20"/>
                <w:lang w:val="fr-CA"/>
              </w:rPr>
            </w:pPr>
          </w:p>
          <w:p w:rsidR="001232B0" w:rsidRPr="001232B0" w:rsidRDefault="001232B0" w:rsidP="001232B0">
            <w:pPr>
              <w:jc w:val="both"/>
              <w:rPr>
                <w:sz w:val="20"/>
                <w:lang w:val="fr-CA"/>
              </w:rPr>
            </w:pPr>
            <w:r w:rsidRPr="001232B0">
              <w:rPr>
                <w:sz w:val="20"/>
                <w:lang w:val="fr-CA"/>
              </w:rPr>
              <w:t>Sur requête accueillie de consentement, la Cour fédérale a ordonné qu’il soit statué avant l’instruction sur six questions de droit. Deux de ces questions sont pertinentes en ce qui a trait à la présente demande d’autorisation. Premièrement, la Cour fédérale a conclu que la doctrine de l’autorité de la chose jugée ne rendait pas la demande irrecevable, puisque la décision antérieure ne revêtait pas de caractère définitif susceptible de faire entrer en jeu la préclusion découlant d’une question déjà tranchée et la préclusion fondée sur la cause d’action. La Cour d’appel a infirmé cette conclusion. Deuxièmement, la Cour fédérale a conclu que la Commission du droit d’auteur avait compétence pour homologuer le Tarif 24 contesté. Cette conclusion a été confirmée en appel.</w:t>
            </w:r>
          </w:p>
        </w:tc>
      </w:tr>
      <w:tr w:rsidR="001232B0" w:rsidRPr="001232B0" w:rsidTr="00EB2E70">
        <w:tc>
          <w:tcPr>
            <w:tcW w:w="5000" w:type="pct"/>
            <w:gridSpan w:val="4"/>
          </w:tcPr>
          <w:p w:rsidR="001232B0" w:rsidRPr="001232B0" w:rsidRDefault="001232B0" w:rsidP="001232B0">
            <w:pPr>
              <w:jc w:val="both"/>
              <w:rPr>
                <w:sz w:val="20"/>
                <w:lang w:val="fr-CA"/>
              </w:rPr>
            </w:pPr>
          </w:p>
        </w:tc>
      </w:tr>
      <w:tr w:rsidR="001232B0" w:rsidRPr="001232B0" w:rsidTr="00EB2E70">
        <w:tc>
          <w:tcPr>
            <w:tcW w:w="2427" w:type="pct"/>
            <w:gridSpan w:val="2"/>
          </w:tcPr>
          <w:p w:rsidR="001232B0" w:rsidRPr="001232B0" w:rsidRDefault="001232B0" w:rsidP="001232B0">
            <w:pPr>
              <w:jc w:val="both"/>
              <w:rPr>
                <w:sz w:val="20"/>
                <w:lang w:val="fr-CA"/>
              </w:rPr>
            </w:pPr>
            <w:r w:rsidRPr="001232B0">
              <w:rPr>
                <w:sz w:val="20"/>
                <w:lang w:val="fr-CA"/>
              </w:rPr>
              <w:t>6 mars 2015</w:t>
            </w:r>
          </w:p>
          <w:p w:rsidR="001232B0" w:rsidRPr="001232B0" w:rsidRDefault="001232B0" w:rsidP="001232B0">
            <w:pPr>
              <w:jc w:val="both"/>
              <w:rPr>
                <w:sz w:val="20"/>
                <w:lang w:val="fr-CA"/>
              </w:rPr>
            </w:pPr>
            <w:r w:rsidRPr="001232B0">
              <w:rPr>
                <w:sz w:val="20"/>
                <w:lang w:val="fr-CA"/>
              </w:rPr>
              <w:t>Cour fédérale</w:t>
            </w:r>
          </w:p>
          <w:p w:rsidR="001232B0" w:rsidRPr="001232B0" w:rsidRDefault="001232B0" w:rsidP="001232B0">
            <w:pPr>
              <w:jc w:val="both"/>
              <w:rPr>
                <w:sz w:val="20"/>
                <w:lang w:val="fr-CA"/>
              </w:rPr>
            </w:pPr>
            <w:r w:rsidRPr="001232B0">
              <w:rPr>
                <w:sz w:val="20"/>
                <w:lang w:val="fr-CA"/>
              </w:rPr>
              <w:t>(Juge O'Reilly)</w:t>
            </w:r>
          </w:p>
          <w:p w:rsidR="001232B0" w:rsidRPr="001232B0" w:rsidRDefault="00B621BC" w:rsidP="001232B0">
            <w:pPr>
              <w:jc w:val="both"/>
              <w:rPr>
                <w:sz w:val="20"/>
                <w:lang w:val="fr-CA"/>
              </w:rPr>
            </w:pPr>
            <w:hyperlink r:id="rId29" w:history="1">
              <w:r w:rsidR="001232B0" w:rsidRPr="001232B0">
                <w:rPr>
                  <w:rStyle w:val="Hyperlink"/>
                  <w:sz w:val="20"/>
                  <w:lang w:val="fr-CA"/>
                </w:rPr>
                <w:t>2015 FC 286</w:t>
              </w:r>
            </w:hyperlink>
          </w:p>
          <w:p w:rsidR="001232B0" w:rsidRPr="001232B0" w:rsidRDefault="001232B0" w:rsidP="001232B0">
            <w:pPr>
              <w:jc w:val="both"/>
              <w:rPr>
                <w:sz w:val="20"/>
                <w:lang w:val="fr-CA"/>
              </w:rPr>
            </w:pPr>
          </w:p>
        </w:tc>
        <w:tc>
          <w:tcPr>
            <w:tcW w:w="243" w:type="pct"/>
          </w:tcPr>
          <w:p w:rsidR="001232B0" w:rsidRPr="001232B0" w:rsidRDefault="001232B0" w:rsidP="001232B0">
            <w:pPr>
              <w:jc w:val="both"/>
              <w:rPr>
                <w:sz w:val="20"/>
                <w:lang w:val="fr-CA"/>
              </w:rPr>
            </w:pPr>
          </w:p>
        </w:tc>
        <w:tc>
          <w:tcPr>
            <w:tcW w:w="2330" w:type="pct"/>
          </w:tcPr>
          <w:p w:rsidR="001232B0" w:rsidRPr="001232B0" w:rsidRDefault="001232B0" w:rsidP="001232B0">
            <w:pPr>
              <w:jc w:val="both"/>
              <w:rPr>
                <w:sz w:val="20"/>
                <w:lang w:val="fr-CA"/>
              </w:rPr>
            </w:pPr>
            <w:r w:rsidRPr="001232B0">
              <w:rPr>
                <w:sz w:val="20"/>
                <w:lang w:val="fr-CA"/>
              </w:rPr>
              <w:t xml:space="preserve">Jugement concluant notamment que la Commission avait compétence pour homologuer le Tarif 24 et que la réclamation des demanderesses n’avait pas fait l’objet d’une décision définitive dans laquelle elles ont été déboutées ou n’étaient pas empêchées par l’accord </w:t>
            </w:r>
          </w:p>
          <w:p w:rsidR="001232B0" w:rsidRPr="001232B0" w:rsidRDefault="001232B0" w:rsidP="001232B0">
            <w:pPr>
              <w:jc w:val="both"/>
              <w:rPr>
                <w:sz w:val="20"/>
                <w:lang w:val="fr-CA"/>
              </w:rPr>
            </w:pPr>
          </w:p>
        </w:tc>
      </w:tr>
      <w:tr w:rsidR="001232B0" w:rsidRPr="001232B0" w:rsidTr="00EB2E70">
        <w:tc>
          <w:tcPr>
            <w:tcW w:w="2427" w:type="pct"/>
            <w:gridSpan w:val="2"/>
          </w:tcPr>
          <w:p w:rsidR="001232B0" w:rsidRPr="001232B0" w:rsidRDefault="001232B0" w:rsidP="001232B0">
            <w:pPr>
              <w:jc w:val="both"/>
              <w:rPr>
                <w:sz w:val="20"/>
                <w:lang w:val="fr-CA"/>
              </w:rPr>
            </w:pPr>
            <w:r w:rsidRPr="001232B0">
              <w:rPr>
                <w:sz w:val="20"/>
                <w:lang w:val="fr-CA"/>
              </w:rPr>
              <w:t>27 janvier 2016</w:t>
            </w:r>
          </w:p>
          <w:p w:rsidR="001232B0" w:rsidRPr="001232B0" w:rsidRDefault="001232B0" w:rsidP="001232B0">
            <w:pPr>
              <w:jc w:val="both"/>
              <w:rPr>
                <w:sz w:val="20"/>
                <w:lang w:val="fr-CA"/>
              </w:rPr>
            </w:pPr>
            <w:r w:rsidRPr="001232B0">
              <w:rPr>
                <w:sz w:val="20"/>
                <w:lang w:val="fr-CA"/>
              </w:rPr>
              <w:t>Cour d’appel fédérale</w:t>
            </w:r>
          </w:p>
          <w:p w:rsidR="001232B0" w:rsidRPr="001232B0" w:rsidRDefault="001232B0" w:rsidP="001232B0">
            <w:pPr>
              <w:jc w:val="both"/>
              <w:rPr>
                <w:sz w:val="20"/>
                <w:lang w:val="fr-CA"/>
              </w:rPr>
            </w:pPr>
            <w:r w:rsidRPr="001232B0">
              <w:rPr>
                <w:sz w:val="20"/>
                <w:lang w:val="fr-CA"/>
              </w:rPr>
              <w:t>(Juges Ryer, Webb et Near)</w:t>
            </w:r>
          </w:p>
          <w:p w:rsidR="001232B0" w:rsidRPr="001232B0" w:rsidRDefault="00B621BC" w:rsidP="001232B0">
            <w:pPr>
              <w:jc w:val="both"/>
              <w:rPr>
                <w:sz w:val="20"/>
                <w:lang w:val="fr-CA"/>
              </w:rPr>
            </w:pPr>
            <w:hyperlink r:id="rId30" w:history="1">
              <w:r w:rsidR="001232B0" w:rsidRPr="001232B0">
                <w:rPr>
                  <w:rStyle w:val="Hyperlink"/>
                  <w:sz w:val="20"/>
                  <w:lang w:val="fr-CA"/>
                </w:rPr>
                <w:t>2016 FCA 28</w:t>
              </w:r>
            </w:hyperlink>
          </w:p>
          <w:p w:rsidR="001232B0" w:rsidRPr="001232B0" w:rsidRDefault="001232B0" w:rsidP="001232B0">
            <w:pPr>
              <w:jc w:val="both"/>
              <w:rPr>
                <w:sz w:val="20"/>
                <w:lang w:val="fr-CA"/>
              </w:rPr>
            </w:pPr>
          </w:p>
        </w:tc>
        <w:tc>
          <w:tcPr>
            <w:tcW w:w="243" w:type="pct"/>
          </w:tcPr>
          <w:p w:rsidR="001232B0" w:rsidRPr="001232B0" w:rsidRDefault="001232B0" w:rsidP="001232B0">
            <w:pPr>
              <w:jc w:val="both"/>
              <w:rPr>
                <w:sz w:val="20"/>
                <w:lang w:val="fr-CA"/>
              </w:rPr>
            </w:pPr>
          </w:p>
        </w:tc>
        <w:tc>
          <w:tcPr>
            <w:tcW w:w="2330" w:type="pct"/>
          </w:tcPr>
          <w:p w:rsidR="001232B0" w:rsidRPr="001232B0" w:rsidRDefault="001232B0" w:rsidP="001232B0">
            <w:pPr>
              <w:jc w:val="both"/>
              <w:rPr>
                <w:sz w:val="20"/>
                <w:lang w:val="fr-CA"/>
              </w:rPr>
            </w:pPr>
            <w:r w:rsidRPr="001232B0">
              <w:rPr>
                <w:sz w:val="20"/>
                <w:lang w:val="fr-CA"/>
              </w:rPr>
              <w:t>Arrêt accueillant en partie l’appel et l’appel incident</w:t>
            </w:r>
          </w:p>
          <w:p w:rsidR="001232B0" w:rsidRPr="001232B0" w:rsidRDefault="001232B0" w:rsidP="001232B0">
            <w:pPr>
              <w:jc w:val="both"/>
              <w:rPr>
                <w:sz w:val="20"/>
                <w:lang w:val="fr-CA"/>
              </w:rPr>
            </w:pPr>
          </w:p>
        </w:tc>
      </w:tr>
      <w:tr w:rsidR="001232B0" w:rsidRPr="001232B0" w:rsidTr="00EB2E70">
        <w:tc>
          <w:tcPr>
            <w:tcW w:w="2427" w:type="pct"/>
            <w:gridSpan w:val="2"/>
          </w:tcPr>
          <w:p w:rsidR="001232B0" w:rsidRPr="001232B0" w:rsidRDefault="001232B0" w:rsidP="001232B0">
            <w:pPr>
              <w:jc w:val="both"/>
              <w:rPr>
                <w:sz w:val="20"/>
                <w:lang w:val="fr-CA"/>
              </w:rPr>
            </w:pPr>
            <w:r w:rsidRPr="001232B0">
              <w:rPr>
                <w:sz w:val="20"/>
                <w:lang w:val="fr-CA"/>
              </w:rPr>
              <w:t>29 mars 2016</w:t>
            </w:r>
          </w:p>
          <w:p w:rsidR="001232B0" w:rsidRPr="001232B0" w:rsidRDefault="001232B0" w:rsidP="001232B0">
            <w:pPr>
              <w:jc w:val="both"/>
              <w:rPr>
                <w:sz w:val="20"/>
                <w:lang w:val="fr-CA"/>
              </w:rPr>
            </w:pPr>
            <w:r w:rsidRPr="001232B0">
              <w:rPr>
                <w:sz w:val="20"/>
                <w:lang w:val="fr-CA"/>
              </w:rPr>
              <w:t>Cour suprême du Canada</w:t>
            </w:r>
          </w:p>
        </w:tc>
        <w:tc>
          <w:tcPr>
            <w:tcW w:w="243" w:type="pct"/>
          </w:tcPr>
          <w:p w:rsidR="001232B0" w:rsidRPr="001232B0" w:rsidRDefault="001232B0" w:rsidP="001232B0">
            <w:pPr>
              <w:jc w:val="both"/>
              <w:rPr>
                <w:sz w:val="20"/>
                <w:lang w:val="fr-CA"/>
              </w:rPr>
            </w:pPr>
          </w:p>
        </w:tc>
        <w:tc>
          <w:tcPr>
            <w:tcW w:w="2330" w:type="pct"/>
          </w:tcPr>
          <w:p w:rsidR="001232B0" w:rsidRPr="001232B0" w:rsidRDefault="001232B0" w:rsidP="001232B0">
            <w:pPr>
              <w:jc w:val="both"/>
              <w:rPr>
                <w:sz w:val="20"/>
                <w:lang w:val="fr-CA"/>
              </w:rPr>
            </w:pPr>
            <w:r w:rsidRPr="001232B0">
              <w:rPr>
                <w:sz w:val="20"/>
                <w:lang w:val="fr-CA"/>
              </w:rPr>
              <w:t>Dépôt de la demande d’autorisation d’appel</w:t>
            </w:r>
          </w:p>
          <w:p w:rsidR="001232B0" w:rsidRPr="001232B0" w:rsidRDefault="001232B0" w:rsidP="001232B0">
            <w:pPr>
              <w:jc w:val="both"/>
              <w:rPr>
                <w:sz w:val="20"/>
                <w:lang w:val="fr-CA"/>
              </w:rPr>
            </w:pPr>
          </w:p>
        </w:tc>
      </w:tr>
    </w:tbl>
    <w:p w:rsidR="001232B0" w:rsidRPr="000C12FA" w:rsidRDefault="001232B0" w:rsidP="000C12FA">
      <w:pPr>
        <w:jc w:val="both"/>
        <w:rPr>
          <w:sz w:val="20"/>
          <w:lang w:val="fr-CA"/>
        </w:rPr>
      </w:pPr>
    </w:p>
    <w:p w:rsidR="001232B0" w:rsidRPr="000C12FA" w:rsidRDefault="001232B0" w:rsidP="000C12F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C12FA" w:rsidRPr="000C12FA" w:rsidTr="00EB2E70">
        <w:tc>
          <w:tcPr>
            <w:tcW w:w="543" w:type="pct"/>
          </w:tcPr>
          <w:p w:rsidR="000C12FA" w:rsidRPr="000C12FA" w:rsidRDefault="000C12FA" w:rsidP="000C12FA">
            <w:pPr>
              <w:jc w:val="both"/>
              <w:rPr>
                <w:sz w:val="20"/>
              </w:rPr>
            </w:pPr>
            <w:r w:rsidRPr="000C12FA">
              <w:rPr>
                <w:rStyle w:val="SCCFileNumberChar"/>
                <w:sz w:val="20"/>
                <w:szCs w:val="20"/>
              </w:rPr>
              <w:t>36920</w:t>
            </w:r>
          </w:p>
        </w:tc>
        <w:tc>
          <w:tcPr>
            <w:tcW w:w="4457" w:type="pct"/>
          </w:tcPr>
          <w:p w:rsidR="000C12FA" w:rsidRPr="000C12FA" w:rsidRDefault="000C12FA" w:rsidP="000C12FA">
            <w:pPr>
              <w:pStyle w:val="SCCLsocParty"/>
              <w:jc w:val="both"/>
              <w:rPr>
                <w:b/>
                <w:sz w:val="20"/>
                <w:szCs w:val="20"/>
              </w:rPr>
            </w:pPr>
            <w:r w:rsidRPr="000C12FA">
              <w:rPr>
                <w:b/>
                <w:sz w:val="20"/>
                <w:szCs w:val="20"/>
              </w:rPr>
              <w:t xml:space="preserve">James D. Hole, Jack Henry Hole, Harry Bruce Hole, Hole Engineering Ltd., </w:t>
            </w:r>
            <w:proofErr w:type="spellStart"/>
            <w:r w:rsidRPr="000C12FA">
              <w:rPr>
                <w:b/>
                <w:sz w:val="20"/>
                <w:szCs w:val="20"/>
              </w:rPr>
              <w:t>Kessa</w:t>
            </w:r>
            <w:proofErr w:type="spellEnd"/>
            <w:r w:rsidRPr="000C12FA">
              <w:rPr>
                <w:b/>
                <w:sz w:val="20"/>
                <w:szCs w:val="20"/>
              </w:rPr>
              <w:t xml:space="preserve"> Holdings Ltd., and </w:t>
            </w:r>
            <w:proofErr w:type="spellStart"/>
            <w:r w:rsidRPr="000C12FA">
              <w:rPr>
                <w:b/>
                <w:sz w:val="20"/>
                <w:szCs w:val="20"/>
              </w:rPr>
              <w:t>Eloh</w:t>
            </w:r>
            <w:proofErr w:type="spellEnd"/>
            <w:r w:rsidRPr="000C12FA">
              <w:rPr>
                <w:b/>
                <w:sz w:val="20"/>
                <w:szCs w:val="20"/>
              </w:rPr>
              <w:t xml:space="preserve"> </w:t>
            </w:r>
            <w:proofErr w:type="spellStart"/>
            <w:r w:rsidRPr="000C12FA">
              <w:rPr>
                <w:b/>
                <w:sz w:val="20"/>
                <w:szCs w:val="20"/>
              </w:rPr>
              <w:t>Enterprises</w:t>
            </w:r>
            <w:proofErr w:type="spellEnd"/>
            <w:r w:rsidRPr="000C12FA">
              <w:rPr>
                <w:b/>
                <w:sz w:val="20"/>
                <w:szCs w:val="20"/>
              </w:rPr>
              <w:t xml:space="preserve"> Ltd. v. James F. Hole, Hole Consultants Ltd.</w:t>
            </w:r>
          </w:p>
          <w:p w:rsidR="000C12FA" w:rsidRPr="000C12FA" w:rsidRDefault="000C12FA" w:rsidP="000C12FA">
            <w:pPr>
              <w:jc w:val="both"/>
              <w:rPr>
                <w:sz w:val="20"/>
              </w:rPr>
            </w:pPr>
            <w:r w:rsidRPr="000C12FA">
              <w:rPr>
                <w:sz w:val="20"/>
              </w:rPr>
              <w:t>(Alta.) (Civil) (By Leave)</w:t>
            </w:r>
          </w:p>
        </w:tc>
      </w:tr>
      <w:tr w:rsidR="000C12FA" w:rsidRPr="000C12FA" w:rsidTr="00EB2E70">
        <w:tc>
          <w:tcPr>
            <w:tcW w:w="5000" w:type="pct"/>
            <w:gridSpan w:val="2"/>
          </w:tcPr>
          <w:p w:rsidR="000C12FA" w:rsidRPr="000C12FA" w:rsidRDefault="000C12FA" w:rsidP="000C12FA">
            <w:pPr>
              <w:jc w:val="both"/>
              <w:rPr>
                <w:bCs/>
                <w:sz w:val="20"/>
              </w:rPr>
            </w:pPr>
            <w:r w:rsidRPr="000C12FA">
              <w:rPr>
                <w:sz w:val="20"/>
              </w:rPr>
              <w:t xml:space="preserve">Contracts – Interpretation – Parties executing Letter of Understanding which fixed portion of respondents’ profit payable on unspecified date and dependent on success and financial stability of applicants’ business – Applicants denying document was intended to create legal relations – </w:t>
            </w:r>
            <w:r w:rsidRPr="000C12FA">
              <w:rPr>
                <w:bCs/>
                <w:sz w:val="20"/>
              </w:rPr>
              <w:t xml:space="preserve">When determining whether the parties to an alleged contract had the requisite intention to create legal relations, can the courts consider evidence of post-contractual conduct or is that evidence completely irrelevant and inadmissible as not forming part of the “surrounding circumstances”? </w:t>
            </w:r>
            <w:r w:rsidRPr="000C12FA">
              <w:rPr>
                <w:sz w:val="20"/>
              </w:rPr>
              <w:t xml:space="preserve">– </w:t>
            </w:r>
            <w:r w:rsidRPr="000C12FA">
              <w:rPr>
                <w:bCs/>
                <w:sz w:val="20"/>
              </w:rPr>
              <w:t xml:space="preserve">What distinguishes terms that are uncertain from terms that are merely ambiguous? – Can the doctrine of </w:t>
            </w:r>
            <w:r w:rsidRPr="000C12FA">
              <w:rPr>
                <w:bCs/>
                <w:i/>
                <w:iCs/>
                <w:sz w:val="20"/>
              </w:rPr>
              <w:t xml:space="preserve">contra </w:t>
            </w:r>
            <w:proofErr w:type="spellStart"/>
            <w:r w:rsidRPr="000C12FA">
              <w:rPr>
                <w:bCs/>
                <w:i/>
                <w:iCs/>
                <w:sz w:val="20"/>
              </w:rPr>
              <w:t>proferentum</w:t>
            </w:r>
            <w:proofErr w:type="spellEnd"/>
            <w:r w:rsidRPr="000C12FA">
              <w:rPr>
                <w:bCs/>
                <w:i/>
                <w:iCs/>
                <w:sz w:val="20"/>
              </w:rPr>
              <w:t xml:space="preserve"> </w:t>
            </w:r>
            <w:r w:rsidRPr="000C12FA">
              <w:rPr>
                <w:bCs/>
                <w:sz w:val="20"/>
              </w:rPr>
              <w:t>be applied to terms that are uncertain so as to make an agreement that is unenforceable for lack of certainty, enforceable?</w:t>
            </w:r>
          </w:p>
        </w:tc>
      </w:tr>
      <w:tr w:rsidR="000C12FA" w:rsidRPr="000C12FA" w:rsidTr="00EB2E70">
        <w:tc>
          <w:tcPr>
            <w:tcW w:w="5000" w:type="pct"/>
            <w:gridSpan w:val="2"/>
          </w:tcPr>
          <w:p w:rsidR="000C12FA" w:rsidRPr="000C12FA" w:rsidRDefault="000C12FA" w:rsidP="000C12FA">
            <w:pPr>
              <w:jc w:val="both"/>
              <w:rPr>
                <w:sz w:val="20"/>
              </w:rPr>
            </w:pPr>
          </w:p>
        </w:tc>
      </w:tr>
      <w:tr w:rsidR="000C12FA" w:rsidRPr="000C12FA" w:rsidTr="00EB2E70">
        <w:tc>
          <w:tcPr>
            <w:tcW w:w="5000" w:type="pct"/>
            <w:gridSpan w:val="2"/>
          </w:tcPr>
          <w:p w:rsidR="000C12FA" w:rsidRPr="000C12FA" w:rsidRDefault="000C12FA" w:rsidP="000C12FA">
            <w:pPr>
              <w:jc w:val="both"/>
              <w:rPr>
                <w:sz w:val="20"/>
              </w:rPr>
            </w:pPr>
            <w:r w:rsidRPr="000C12FA">
              <w:rPr>
                <w:sz w:val="20"/>
              </w:rPr>
              <w:t xml:space="preserve">The applicants and respondents carried out construction projects as a joint venture.  In 1993, the applicants wanted the individual respondent to retire from the business and began drafting an agreement to solidify transition. Profits from a major ongoing project became a contentious issue in the process. The respondents insisted on being paid $1.6M. The applicants, whose business was not financially stable at the time, insisted on a sum of $600,000, the amount ultimately reflected in the transition agreement. Shortly before the transition agreement was finalized and executed, the applicants provided the respondents with the Letter of Understanding and Obligation for Payment of One Million Dollars (LOU). Pursuant to the LOU, the corporate respondent’s share of the profits was fixed at $1.6M, $600,000 of which was to be paid by the applicants’ successor companies and $1M at an unspecified later date, depending on the “success and financial stability” of the applicants’ business. </w:t>
            </w:r>
          </w:p>
          <w:p w:rsidR="000C12FA" w:rsidRPr="000C12FA" w:rsidRDefault="000C12FA" w:rsidP="000C12FA">
            <w:pPr>
              <w:jc w:val="both"/>
              <w:rPr>
                <w:sz w:val="20"/>
              </w:rPr>
            </w:pPr>
          </w:p>
          <w:p w:rsidR="000C12FA" w:rsidRPr="000C12FA" w:rsidRDefault="000C12FA" w:rsidP="000C12FA">
            <w:pPr>
              <w:jc w:val="both"/>
              <w:rPr>
                <w:sz w:val="20"/>
              </w:rPr>
            </w:pPr>
            <w:r w:rsidRPr="000C12FA">
              <w:rPr>
                <w:sz w:val="20"/>
              </w:rPr>
              <w:t>Shortly thereafter, the parties had a disagreement, and the respondents did not receive any financial information regarding the applicants’ successor companies for several years. In 2000, the respondents requested payment of the $1M obligation pursuant to the LOU. The applicants took the position that their only legal obligations were contained in the transition agreement, which they had fulfilled. The respondents commenced an action against the applicants claiming breach of contract.</w:t>
            </w:r>
          </w:p>
          <w:p w:rsidR="000C12FA" w:rsidRPr="000C12FA" w:rsidRDefault="000C12FA" w:rsidP="000C12FA">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0C12FA" w:rsidRPr="000C12FA" w:rsidTr="00EB2E70">
              <w:tc>
                <w:tcPr>
                  <w:tcW w:w="2367" w:type="pct"/>
                </w:tcPr>
                <w:p w:rsidR="000C12FA" w:rsidRPr="000C12FA" w:rsidRDefault="000C12FA" w:rsidP="000C12FA">
                  <w:pPr>
                    <w:jc w:val="both"/>
                    <w:rPr>
                      <w:sz w:val="20"/>
                    </w:rPr>
                  </w:pPr>
                  <w:r w:rsidRPr="000C12FA">
                    <w:rPr>
                      <w:sz w:val="20"/>
                    </w:rPr>
                    <w:t>March 24, 2014</w:t>
                  </w:r>
                </w:p>
                <w:p w:rsidR="000C12FA" w:rsidRPr="000C12FA" w:rsidRDefault="000C12FA" w:rsidP="000C12FA">
                  <w:pPr>
                    <w:jc w:val="both"/>
                    <w:rPr>
                      <w:sz w:val="20"/>
                    </w:rPr>
                  </w:pPr>
                  <w:r w:rsidRPr="000C12FA">
                    <w:rPr>
                      <w:sz w:val="20"/>
                    </w:rPr>
                    <w:t>Court of Queen’s Bench of Alberta</w:t>
                  </w:r>
                </w:p>
                <w:p w:rsidR="000C12FA" w:rsidRPr="000C12FA" w:rsidRDefault="000C12FA" w:rsidP="000C12FA">
                  <w:pPr>
                    <w:jc w:val="both"/>
                    <w:rPr>
                      <w:sz w:val="20"/>
                    </w:rPr>
                  </w:pPr>
                  <w:r w:rsidRPr="000C12FA">
                    <w:rPr>
                      <w:sz w:val="20"/>
                    </w:rPr>
                    <w:t>(Shelley J.)</w:t>
                  </w:r>
                </w:p>
                <w:p w:rsidR="000C12FA" w:rsidRPr="000C12FA" w:rsidRDefault="00B621BC" w:rsidP="000C12FA">
                  <w:pPr>
                    <w:jc w:val="both"/>
                    <w:rPr>
                      <w:sz w:val="20"/>
                    </w:rPr>
                  </w:pPr>
                  <w:hyperlink r:id="rId31" w:history="1">
                    <w:r w:rsidR="000C12FA" w:rsidRPr="000C12FA">
                      <w:rPr>
                        <w:rStyle w:val="Hyperlink"/>
                        <w:sz w:val="20"/>
                      </w:rPr>
                      <w:t>2014 ABQB 170</w:t>
                    </w:r>
                  </w:hyperlink>
                </w:p>
                <w:p w:rsidR="000C12FA" w:rsidRPr="000C12FA" w:rsidRDefault="000C12FA" w:rsidP="000C12FA">
                  <w:pPr>
                    <w:jc w:val="both"/>
                    <w:rPr>
                      <w:sz w:val="20"/>
                    </w:rPr>
                  </w:pPr>
                </w:p>
              </w:tc>
              <w:tc>
                <w:tcPr>
                  <w:tcW w:w="267" w:type="pct"/>
                </w:tcPr>
                <w:p w:rsidR="000C12FA" w:rsidRPr="000C12FA" w:rsidRDefault="000C12FA" w:rsidP="000C12FA">
                  <w:pPr>
                    <w:jc w:val="both"/>
                    <w:rPr>
                      <w:sz w:val="20"/>
                    </w:rPr>
                  </w:pPr>
                </w:p>
              </w:tc>
              <w:tc>
                <w:tcPr>
                  <w:tcW w:w="2366" w:type="pct"/>
                </w:tcPr>
                <w:p w:rsidR="000C12FA" w:rsidRPr="000C12FA" w:rsidRDefault="000C12FA" w:rsidP="000C12FA">
                  <w:pPr>
                    <w:jc w:val="both"/>
                    <w:rPr>
                      <w:sz w:val="20"/>
                    </w:rPr>
                  </w:pPr>
                  <w:r w:rsidRPr="000C12FA">
                    <w:rPr>
                      <w:sz w:val="20"/>
                    </w:rPr>
                    <w:t xml:space="preserve">Action dismissed </w:t>
                  </w:r>
                </w:p>
                <w:p w:rsidR="000C12FA" w:rsidRPr="000C12FA" w:rsidRDefault="000C12FA" w:rsidP="000C12FA">
                  <w:pPr>
                    <w:jc w:val="both"/>
                    <w:rPr>
                      <w:sz w:val="20"/>
                    </w:rPr>
                  </w:pPr>
                </w:p>
              </w:tc>
            </w:tr>
            <w:tr w:rsidR="000C12FA" w:rsidRPr="000C12FA" w:rsidTr="00EB2E70">
              <w:tc>
                <w:tcPr>
                  <w:tcW w:w="2367" w:type="pct"/>
                </w:tcPr>
                <w:p w:rsidR="000C12FA" w:rsidRPr="000C12FA" w:rsidRDefault="000C12FA" w:rsidP="000C12FA">
                  <w:pPr>
                    <w:jc w:val="both"/>
                    <w:rPr>
                      <w:sz w:val="20"/>
                    </w:rPr>
                  </w:pPr>
                  <w:r w:rsidRPr="000C12FA">
                    <w:rPr>
                      <w:sz w:val="20"/>
                    </w:rPr>
                    <w:t>February 8, 2016</w:t>
                  </w:r>
                </w:p>
                <w:p w:rsidR="000C12FA" w:rsidRPr="000C12FA" w:rsidRDefault="000C12FA" w:rsidP="000C12FA">
                  <w:pPr>
                    <w:jc w:val="both"/>
                    <w:rPr>
                      <w:sz w:val="20"/>
                    </w:rPr>
                  </w:pPr>
                  <w:r w:rsidRPr="000C12FA">
                    <w:rPr>
                      <w:sz w:val="20"/>
                    </w:rPr>
                    <w:t>Court of Appeal of Alberta (Edmonton)</w:t>
                  </w:r>
                </w:p>
                <w:p w:rsidR="000C12FA" w:rsidRPr="000C12FA" w:rsidRDefault="000C12FA" w:rsidP="000C12FA">
                  <w:pPr>
                    <w:jc w:val="both"/>
                    <w:rPr>
                      <w:sz w:val="20"/>
                    </w:rPr>
                  </w:pPr>
                  <w:r w:rsidRPr="000C12FA">
                    <w:rPr>
                      <w:sz w:val="20"/>
                    </w:rPr>
                    <w:t>(Berger, McDonald and Schutz JJ.A.)</w:t>
                  </w:r>
                </w:p>
                <w:p w:rsidR="000C12FA" w:rsidRPr="000C12FA" w:rsidRDefault="00B621BC" w:rsidP="000C12FA">
                  <w:pPr>
                    <w:jc w:val="both"/>
                    <w:rPr>
                      <w:bCs/>
                      <w:sz w:val="20"/>
                    </w:rPr>
                  </w:pPr>
                  <w:hyperlink r:id="rId32" w:history="1">
                    <w:r w:rsidR="000C12FA" w:rsidRPr="000C12FA">
                      <w:rPr>
                        <w:rStyle w:val="Hyperlink"/>
                        <w:sz w:val="20"/>
                      </w:rPr>
                      <w:t>2016 ABCA 34</w:t>
                    </w:r>
                  </w:hyperlink>
                </w:p>
                <w:p w:rsidR="000C12FA" w:rsidRPr="000C12FA" w:rsidRDefault="000C12FA" w:rsidP="000C12FA">
                  <w:pPr>
                    <w:jc w:val="both"/>
                    <w:rPr>
                      <w:sz w:val="20"/>
                    </w:rPr>
                  </w:pPr>
                </w:p>
              </w:tc>
              <w:tc>
                <w:tcPr>
                  <w:tcW w:w="267" w:type="pct"/>
                </w:tcPr>
                <w:p w:rsidR="000C12FA" w:rsidRPr="000C12FA" w:rsidRDefault="000C12FA" w:rsidP="000C12FA">
                  <w:pPr>
                    <w:jc w:val="both"/>
                    <w:rPr>
                      <w:sz w:val="20"/>
                    </w:rPr>
                  </w:pPr>
                </w:p>
              </w:tc>
              <w:tc>
                <w:tcPr>
                  <w:tcW w:w="2366" w:type="pct"/>
                </w:tcPr>
                <w:p w:rsidR="000C12FA" w:rsidRPr="000C12FA" w:rsidRDefault="000C12FA" w:rsidP="000C12FA">
                  <w:pPr>
                    <w:jc w:val="both"/>
                    <w:rPr>
                      <w:sz w:val="20"/>
                    </w:rPr>
                  </w:pPr>
                  <w:r w:rsidRPr="000C12FA">
                    <w:rPr>
                      <w:sz w:val="20"/>
                    </w:rPr>
                    <w:t xml:space="preserve">Appeal allowed </w:t>
                  </w:r>
                </w:p>
                <w:p w:rsidR="000C12FA" w:rsidRPr="000C12FA" w:rsidRDefault="000C12FA" w:rsidP="000C12FA">
                  <w:pPr>
                    <w:jc w:val="both"/>
                    <w:rPr>
                      <w:sz w:val="20"/>
                    </w:rPr>
                  </w:pPr>
                </w:p>
              </w:tc>
            </w:tr>
            <w:tr w:rsidR="000C12FA" w:rsidRPr="000C12FA" w:rsidTr="00EB2E70">
              <w:tc>
                <w:tcPr>
                  <w:tcW w:w="2367" w:type="pct"/>
                </w:tcPr>
                <w:p w:rsidR="000C12FA" w:rsidRPr="000C12FA" w:rsidRDefault="000C12FA" w:rsidP="000C12FA">
                  <w:pPr>
                    <w:jc w:val="both"/>
                    <w:rPr>
                      <w:sz w:val="20"/>
                    </w:rPr>
                  </w:pPr>
                  <w:r w:rsidRPr="000C12FA">
                    <w:rPr>
                      <w:sz w:val="20"/>
                    </w:rPr>
                    <w:t>April 1, 2016</w:t>
                  </w:r>
                </w:p>
                <w:p w:rsidR="000C12FA" w:rsidRPr="000C12FA" w:rsidRDefault="000C12FA" w:rsidP="000C12FA">
                  <w:pPr>
                    <w:jc w:val="both"/>
                    <w:rPr>
                      <w:sz w:val="20"/>
                    </w:rPr>
                  </w:pPr>
                  <w:r w:rsidRPr="000C12FA">
                    <w:rPr>
                      <w:sz w:val="20"/>
                    </w:rPr>
                    <w:t>Supreme Court of Canada</w:t>
                  </w:r>
                </w:p>
              </w:tc>
              <w:tc>
                <w:tcPr>
                  <w:tcW w:w="267" w:type="pct"/>
                </w:tcPr>
                <w:p w:rsidR="000C12FA" w:rsidRPr="000C12FA" w:rsidRDefault="000C12FA" w:rsidP="000C12FA">
                  <w:pPr>
                    <w:jc w:val="both"/>
                    <w:rPr>
                      <w:sz w:val="20"/>
                    </w:rPr>
                  </w:pPr>
                </w:p>
              </w:tc>
              <w:tc>
                <w:tcPr>
                  <w:tcW w:w="2366" w:type="pct"/>
                </w:tcPr>
                <w:p w:rsidR="000C12FA" w:rsidRPr="000C12FA" w:rsidRDefault="000C12FA" w:rsidP="000C12FA">
                  <w:pPr>
                    <w:jc w:val="both"/>
                    <w:rPr>
                      <w:sz w:val="20"/>
                    </w:rPr>
                  </w:pPr>
                  <w:r w:rsidRPr="000C12FA">
                    <w:rPr>
                      <w:sz w:val="20"/>
                    </w:rPr>
                    <w:t>Application for leave to appeal filed</w:t>
                  </w:r>
                </w:p>
              </w:tc>
            </w:tr>
          </w:tbl>
          <w:p w:rsidR="000C12FA" w:rsidRPr="000C12FA" w:rsidRDefault="000C12FA" w:rsidP="000C12FA">
            <w:pPr>
              <w:jc w:val="both"/>
              <w:rPr>
                <w:sz w:val="20"/>
              </w:rPr>
            </w:pPr>
          </w:p>
        </w:tc>
      </w:tr>
    </w:tbl>
    <w:p w:rsidR="000C12FA" w:rsidRDefault="000C12FA" w:rsidP="000C12FA">
      <w:pPr>
        <w:jc w:val="both"/>
        <w:rPr>
          <w:sz w:val="20"/>
        </w:rPr>
      </w:pPr>
    </w:p>
    <w:p w:rsidR="000C12FA" w:rsidRPr="000C12FA" w:rsidRDefault="000C12FA" w:rsidP="000C12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C12FA" w:rsidRPr="000C12FA" w:rsidTr="00EB2E70">
        <w:tc>
          <w:tcPr>
            <w:tcW w:w="543" w:type="pct"/>
          </w:tcPr>
          <w:p w:rsidR="000C12FA" w:rsidRPr="000C12FA" w:rsidRDefault="000C12FA" w:rsidP="000C12FA">
            <w:pPr>
              <w:jc w:val="both"/>
              <w:rPr>
                <w:sz w:val="20"/>
                <w:lang w:val="fr-CA"/>
              </w:rPr>
            </w:pPr>
            <w:r w:rsidRPr="000C12FA">
              <w:rPr>
                <w:rStyle w:val="SCCFileNumberChar"/>
                <w:sz w:val="20"/>
                <w:szCs w:val="20"/>
                <w:lang w:val="fr-CA"/>
              </w:rPr>
              <w:t>36920</w:t>
            </w:r>
          </w:p>
        </w:tc>
        <w:tc>
          <w:tcPr>
            <w:tcW w:w="4457" w:type="pct"/>
          </w:tcPr>
          <w:p w:rsidR="000C12FA" w:rsidRPr="000C12FA" w:rsidRDefault="000C12FA" w:rsidP="000C12FA">
            <w:pPr>
              <w:pStyle w:val="SCCLsocParty"/>
              <w:jc w:val="both"/>
              <w:rPr>
                <w:b/>
                <w:sz w:val="20"/>
                <w:szCs w:val="20"/>
                <w:lang w:val="en-US"/>
              </w:rPr>
            </w:pPr>
            <w:r w:rsidRPr="000C12FA">
              <w:rPr>
                <w:b/>
                <w:sz w:val="20"/>
                <w:szCs w:val="20"/>
                <w:lang w:val="en-US"/>
              </w:rPr>
              <w:t xml:space="preserve">James D. Hole, Jack Henry Hole, Harry Bruce Hole, Hole Engineering Ltd., </w:t>
            </w:r>
            <w:proofErr w:type="spellStart"/>
            <w:r w:rsidRPr="000C12FA">
              <w:rPr>
                <w:b/>
                <w:sz w:val="20"/>
                <w:szCs w:val="20"/>
                <w:lang w:val="en-US"/>
              </w:rPr>
              <w:t>Kessa</w:t>
            </w:r>
            <w:proofErr w:type="spellEnd"/>
            <w:r w:rsidRPr="000C12FA">
              <w:rPr>
                <w:b/>
                <w:sz w:val="20"/>
                <w:szCs w:val="20"/>
                <w:lang w:val="en-US"/>
              </w:rPr>
              <w:t xml:space="preserve"> Holdings Ltd., et Eloh Enterprises Ltd. c. James F. Hole, Hole Consultants Ltd.</w:t>
            </w:r>
          </w:p>
          <w:p w:rsidR="000C12FA" w:rsidRPr="000C12FA" w:rsidRDefault="000C12FA" w:rsidP="000C12FA">
            <w:pPr>
              <w:jc w:val="both"/>
              <w:rPr>
                <w:sz w:val="20"/>
                <w:lang w:val="fr-CA"/>
              </w:rPr>
            </w:pPr>
            <w:r w:rsidRPr="000C12FA">
              <w:rPr>
                <w:sz w:val="20"/>
                <w:lang w:val="fr-CA"/>
              </w:rPr>
              <w:t>(Alb.) (Civile) (Sur autorisation)</w:t>
            </w:r>
          </w:p>
        </w:tc>
      </w:tr>
      <w:tr w:rsidR="000C12FA" w:rsidRPr="000C12FA" w:rsidTr="00EB2E70">
        <w:tc>
          <w:tcPr>
            <w:tcW w:w="5000" w:type="pct"/>
            <w:gridSpan w:val="2"/>
          </w:tcPr>
          <w:p w:rsidR="000C12FA" w:rsidRPr="000C12FA" w:rsidRDefault="000C12FA" w:rsidP="000C12FA">
            <w:pPr>
              <w:jc w:val="both"/>
              <w:rPr>
                <w:bCs/>
                <w:sz w:val="20"/>
                <w:lang w:val="fr-CA"/>
              </w:rPr>
            </w:pPr>
            <w:r w:rsidRPr="000C12FA">
              <w:rPr>
                <w:sz w:val="20"/>
                <w:lang w:val="fr-CA"/>
              </w:rPr>
              <w:t>Contrats – Interprétation – Les parties ont signé une lettre d’entente qui fixait la partie du bénéfice que les intimés toucheraient à une date indéterminée et qui dépendait du succès et de la stabilité financière de l’entreprise des demandeurs – Les demandeurs nient que le document était censé créer des relations juridiques – Lorsqu’il s’agit de déterminer si les parties à un contrat présumé avaient l’intention voulue pour créer des relations juridiques, les tribunaux peuvent-ils examiner des éléments de preuve de conduite postérieure au contrat ou bien est-ce que ces éléments de preuve sont complètement dénués de pertinence et inadmissibles, puisqu’ils ne font pas partie des « circonstances »</w:t>
            </w:r>
            <w:r w:rsidRPr="000C12FA">
              <w:rPr>
                <w:bCs/>
                <w:sz w:val="20"/>
                <w:lang w:val="fr-CA"/>
              </w:rPr>
              <w:t xml:space="preserve">? </w:t>
            </w:r>
            <w:r w:rsidRPr="000C12FA">
              <w:rPr>
                <w:sz w:val="20"/>
                <w:lang w:val="fr-CA"/>
              </w:rPr>
              <w:t>– En quoi des dispositions incertaines se distinguent-elles de dispositions qui ne sont qu’ambiguës</w:t>
            </w:r>
            <w:r w:rsidRPr="000C12FA">
              <w:rPr>
                <w:bCs/>
                <w:sz w:val="20"/>
                <w:lang w:val="fr-CA"/>
              </w:rPr>
              <w:t xml:space="preserve">? – La doctrine </w:t>
            </w:r>
            <w:r w:rsidRPr="000C12FA">
              <w:rPr>
                <w:bCs/>
                <w:i/>
                <w:iCs/>
                <w:sz w:val="20"/>
                <w:lang w:val="fr-CA"/>
              </w:rPr>
              <w:t xml:space="preserve">contra proferentem </w:t>
            </w:r>
            <w:r w:rsidRPr="000C12FA">
              <w:rPr>
                <w:bCs/>
                <w:sz w:val="20"/>
                <w:lang w:val="fr-CA"/>
              </w:rPr>
              <w:t>peut-elle être appliquée aux dispositions qui sont incertaines pour rendre exécutoire un contrat qui ne le serait pas pour cause d’incertitude?</w:t>
            </w:r>
          </w:p>
        </w:tc>
      </w:tr>
      <w:tr w:rsidR="000C12FA" w:rsidRPr="000C12FA" w:rsidTr="00EB2E70">
        <w:tc>
          <w:tcPr>
            <w:tcW w:w="5000" w:type="pct"/>
            <w:gridSpan w:val="2"/>
          </w:tcPr>
          <w:p w:rsidR="000C12FA" w:rsidRPr="000C12FA" w:rsidRDefault="000C12FA" w:rsidP="000C12FA">
            <w:pPr>
              <w:jc w:val="both"/>
              <w:rPr>
                <w:sz w:val="20"/>
                <w:lang w:val="fr-CA"/>
              </w:rPr>
            </w:pPr>
          </w:p>
        </w:tc>
      </w:tr>
      <w:tr w:rsidR="000C12FA" w:rsidRPr="000C12FA" w:rsidTr="00EB2E70">
        <w:tc>
          <w:tcPr>
            <w:tcW w:w="5000" w:type="pct"/>
            <w:gridSpan w:val="2"/>
          </w:tcPr>
          <w:p w:rsidR="000C12FA" w:rsidRPr="000C12FA" w:rsidRDefault="000C12FA" w:rsidP="000C12FA">
            <w:pPr>
              <w:jc w:val="both"/>
              <w:rPr>
                <w:sz w:val="20"/>
                <w:lang w:val="fr-CA"/>
              </w:rPr>
            </w:pPr>
            <w:r w:rsidRPr="000C12FA">
              <w:rPr>
                <w:sz w:val="20"/>
                <w:lang w:val="fr-CA"/>
              </w:rPr>
              <w:t>Les demandeurs et les intimés exécutaient des projets de construction en tant que coentreprise. En 1993, les demandeurs souhaitaient que l’intimé non constitué en personne morale se retire de l’entreprise et ils ont commencé à rédiger un contrat pour consolider la transition. Les bénéfices d’un projet d’envergure en cours sont devenus une question litigieuse dans le processus. Les intimés insistaient pour se faire payer la somme de 1,6 million de dollars. Les demandeurs, dont l’entreprise n’était pas financièrement stable à l’époque, ont insisté sur une somme de 600 000 $, le montant qui a fini par être stipulé dans le contrat de transition. Peu de temps avant que le contrat de transition soit finalisé et signé, les demandeurs ont fourni aux intimés la [</w:t>
            </w:r>
            <w:r w:rsidRPr="000C12FA">
              <w:rPr>
                <w:smallCaps/>
                <w:sz w:val="20"/>
                <w:lang w:val="fr-CA"/>
              </w:rPr>
              <w:t>traduction</w:t>
            </w:r>
            <w:r w:rsidRPr="000C12FA">
              <w:rPr>
                <w:sz w:val="20"/>
                <w:lang w:val="fr-CA"/>
              </w:rPr>
              <w:t>] Lettre d’entente et obligation de paiement d’un million de dollars. En vertu de la lettre d’entente, la part des bénéfices des personnes morales intimées était fixée à 1,6 million de dollars, dont 600 000 $ devaient être versés par les sociétés qui remplaçaient les demanderesses, et un million de dollars devaient être versés à une date ultérieure indéterminée, selon [</w:t>
            </w:r>
            <w:r w:rsidRPr="000C12FA">
              <w:rPr>
                <w:smallCaps/>
                <w:sz w:val="20"/>
                <w:lang w:val="fr-CA"/>
              </w:rPr>
              <w:t>traduction</w:t>
            </w:r>
            <w:r w:rsidRPr="000C12FA">
              <w:rPr>
                <w:sz w:val="20"/>
                <w:lang w:val="fr-CA"/>
              </w:rPr>
              <w:t xml:space="preserve">] « le succès et la stabilité financière » de l’entreprise des demandeurs. </w:t>
            </w:r>
          </w:p>
          <w:p w:rsidR="000C12FA" w:rsidRPr="000C12FA" w:rsidRDefault="000C12FA" w:rsidP="000C12FA">
            <w:pPr>
              <w:jc w:val="both"/>
              <w:rPr>
                <w:sz w:val="20"/>
                <w:lang w:val="fr-CA"/>
              </w:rPr>
            </w:pPr>
          </w:p>
          <w:p w:rsidR="000C12FA" w:rsidRPr="000C12FA" w:rsidRDefault="000C12FA" w:rsidP="000C12FA">
            <w:pPr>
              <w:jc w:val="both"/>
              <w:rPr>
                <w:sz w:val="20"/>
                <w:lang w:val="fr-CA"/>
              </w:rPr>
            </w:pPr>
            <w:r w:rsidRPr="000C12FA">
              <w:rPr>
                <w:sz w:val="20"/>
                <w:lang w:val="fr-CA"/>
              </w:rPr>
              <w:t xml:space="preserve">Peu de temps après, il y a eu un désaccord entre les parties et les intimés n’ont pas reçu d’information financière sur les sociétés remplaçantes des demandeurs pendant plusieurs années. En 2000, les intimés ont demandé le paiement de l’obligation d’un million de dollars en application de la lettre d’entente. Les demandeurs ont fait valoir que leurs seules obligations juridiques étaient stipulées dans le contrat de transition et qu’ils avaient exécuté leurs obligations. Les intimés ont intenté une action contre les demandeurs, alléguant une violation de contrat.  </w:t>
            </w:r>
          </w:p>
          <w:p w:rsidR="000C12FA" w:rsidRPr="000C12FA" w:rsidRDefault="000C12FA" w:rsidP="000C12FA">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0C12FA" w:rsidRPr="000C12FA" w:rsidTr="00EB2E70">
              <w:tc>
                <w:tcPr>
                  <w:tcW w:w="2367" w:type="pct"/>
                </w:tcPr>
                <w:p w:rsidR="000C12FA" w:rsidRPr="000C12FA" w:rsidRDefault="000C12FA" w:rsidP="000C12FA">
                  <w:pPr>
                    <w:jc w:val="both"/>
                    <w:rPr>
                      <w:sz w:val="20"/>
                      <w:lang w:val="fr-CA"/>
                    </w:rPr>
                  </w:pPr>
                  <w:r w:rsidRPr="000C12FA">
                    <w:rPr>
                      <w:sz w:val="20"/>
                      <w:lang w:val="fr-CA"/>
                    </w:rPr>
                    <w:t>24 mars 2014</w:t>
                  </w:r>
                </w:p>
                <w:p w:rsidR="000C12FA" w:rsidRPr="000C12FA" w:rsidRDefault="000C12FA" w:rsidP="000C12FA">
                  <w:pPr>
                    <w:jc w:val="both"/>
                    <w:rPr>
                      <w:sz w:val="20"/>
                      <w:lang w:val="fr-CA"/>
                    </w:rPr>
                  </w:pPr>
                  <w:r w:rsidRPr="000C12FA">
                    <w:rPr>
                      <w:sz w:val="20"/>
                      <w:lang w:val="fr-CA"/>
                    </w:rPr>
                    <w:t xml:space="preserve">Cour du Banc de la Reine de l’Alberta </w:t>
                  </w:r>
                </w:p>
                <w:p w:rsidR="000C12FA" w:rsidRPr="000C12FA" w:rsidRDefault="000C12FA" w:rsidP="000C12FA">
                  <w:pPr>
                    <w:jc w:val="both"/>
                    <w:rPr>
                      <w:sz w:val="20"/>
                      <w:lang w:val="fr-CA"/>
                    </w:rPr>
                  </w:pPr>
                  <w:r w:rsidRPr="000C12FA">
                    <w:rPr>
                      <w:sz w:val="20"/>
                      <w:lang w:val="fr-CA"/>
                    </w:rPr>
                    <w:lastRenderedPageBreak/>
                    <w:t>(Juge Shelley)</w:t>
                  </w:r>
                </w:p>
                <w:p w:rsidR="000C12FA" w:rsidRPr="000C12FA" w:rsidRDefault="00B621BC" w:rsidP="000C12FA">
                  <w:pPr>
                    <w:jc w:val="both"/>
                    <w:rPr>
                      <w:sz w:val="20"/>
                      <w:lang w:val="fr-CA"/>
                    </w:rPr>
                  </w:pPr>
                  <w:hyperlink r:id="rId33" w:history="1">
                    <w:r w:rsidR="000C12FA" w:rsidRPr="000C12FA">
                      <w:rPr>
                        <w:rStyle w:val="Hyperlink"/>
                        <w:sz w:val="20"/>
                        <w:lang w:val="fr-CA"/>
                      </w:rPr>
                      <w:t>2014 ABQB 170</w:t>
                    </w:r>
                  </w:hyperlink>
                </w:p>
                <w:p w:rsidR="000C12FA" w:rsidRPr="000C12FA" w:rsidRDefault="000C12FA" w:rsidP="000C12FA">
                  <w:pPr>
                    <w:jc w:val="both"/>
                    <w:rPr>
                      <w:sz w:val="20"/>
                      <w:lang w:val="fr-CA"/>
                    </w:rPr>
                  </w:pPr>
                </w:p>
              </w:tc>
              <w:tc>
                <w:tcPr>
                  <w:tcW w:w="267" w:type="pct"/>
                </w:tcPr>
                <w:p w:rsidR="000C12FA" w:rsidRPr="000C12FA" w:rsidRDefault="000C12FA" w:rsidP="000C12FA">
                  <w:pPr>
                    <w:jc w:val="both"/>
                    <w:rPr>
                      <w:sz w:val="20"/>
                      <w:lang w:val="fr-CA"/>
                    </w:rPr>
                  </w:pPr>
                </w:p>
              </w:tc>
              <w:tc>
                <w:tcPr>
                  <w:tcW w:w="2366" w:type="pct"/>
                </w:tcPr>
                <w:p w:rsidR="000C12FA" w:rsidRPr="000C12FA" w:rsidRDefault="000C12FA" w:rsidP="000C12FA">
                  <w:pPr>
                    <w:jc w:val="both"/>
                    <w:rPr>
                      <w:sz w:val="20"/>
                      <w:lang w:val="fr-CA"/>
                    </w:rPr>
                  </w:pPr>
                  <w:r w:rsidRPr="000C12FA">
                    <w:rPr>
                      <w:sz w:val="20"/>
                      <w:lang w:val="fr-CA"/>
                    </w:rPr>
                    <w:t>Rejet de l’action</w:t>
                  </w:r>
                </w:p>
                <w:p w:rsidR="000C12FA" w:rsidRPr="000C12FA" w:rsidRDefault="000C12FA" w:rsidP="000C12FA">
                  <w:pPr>
                    <w:jc w:val="both"/>
                    <w:rPr>
                      <w:sz w:val="20"/>
                      <w:lang w:val="fr-CA"/>
                    </w:rPr>
                  </w:pPr>
                </w:p>
              </w:tc>
            </w:tr>
            <w:tr w:rsidR="000C12FA" w:rsidRPr="000C12FA" w:rsidTr="00EB2E70">
              <w:tc>
                <w:tcPr>
                  <w:tcW w:w="2367" w:type="pct"/>
                </w:tcPr>
                <w:p w:rsidR="000C12FA" w:rsidRPr="000C12FA" w:rsidRDefault="000C12FA" w:rsidP="000C12FA">
                  <w:pPr>
                    <w:jc w:val="both"/>
                    <w:rPr>
                      <w:sz w:val="20"/>
                      <w:lang w:val="fr-CA"/>
                    </w:rPr>
                  </w:pPr>
                  <w:r w:rsidRPr="000C12FA">
                    <w:rPr>
                      <w:sz w:val="20"/>
                      <w:lang w:val="fr-CA"/>
                    </w:rPr>
                    <w:t>8 février 2016</w:t>
                  </w:r>
                </w:p>
                <w:p w:rsidR="000C12FA" w:rsidRPr="000C12FA" w:rsidRDefault="000C12FA" w:rsidP="000C12FA">
                  <w:pPr>
                    <w:jc w:val="both"/>
                    <w:rPr>
                      <w:sz w:val="20"/>
                      <w:lang w:val="fr-CA"/>
                    </w:rPr>
                  </w:pPr>
                  <w:r w:rsidRPr="000C12FA">
                    <w:rPr>
                      <w:sz w:val="20"/>
                      <w:lang w:val="fr-CA"/>
                    </w:rPr>
                    <w:t>Cour d’appel de l’Alberta (Edmonton)</w:t>
                  </w:r>
                </w:p>
                <w:p w:rsidR="000C12FA" w:rsidRPr="000C12FA" w:rsidRDefault="000C12FA" w:rsidP="000C12FA">
                  <w:pPr>
                    <w:jc w:val="both"/>
                    <w:rPr>
                      <w:sz w:val="20"/>
                      <w:lang w:val="fr-CA"/>
                    </w:rPr>
                  </w:pPr>
                  <w:r w:rsidRPr="000C12FA">
                    <w:rPr>
                      <w:sz w:val="20"/>
                      <w:lang w:val="fr-CA"/>
                    </w:rPr>
                    <w:t>(Juges Berger, McDonald et Schutz)</w:t>
                  </w:r>
                </w:p>
                <w:p w:rsidR="000C12FA" w:rsidRPr="000C12FA" w:rsidRDefault="00B621BC" w:rsidP="000C12FA">
                  <w:pPr>
                    <w:jc w:val="both"/>
                    <w:rPr>
                      <w:bCs/>
                      <w:sz w:val="20"/>
                      <w:lang w:val="fr-CA"/>
                    </w:rPr>
                  </w:pPr>
                  <w:hyperlink r:id="rId34" w:history="1">
                    <w:r w:rsidR="000C12FA" w:rsidRPr="000C12FA">
                      <w:rPr>
                        <w:rStyle w:val="Hyperlink"/>
                        <w:sz w:val="20"/>
                        <w:lang w:val="fr-CA"/>
                      </w:rPr>
                      <w:t>2016 ABCA 34</w:t>
                    </w:r>
                  </w:hyperlink>
                </w:p>
                <w:p w:rsidR="000C12FA" w:rsidRPr="000C12FA" w:rsidRDefault="000C12FA" w:rsidP="000C12FA">
                  <w:pPr>
                    <w:jc w:val="both"/>
                    <w:rPr>
                      <w:sz w:val="20"/>
                      <w:lang w:val="fr-CA"/>
                    </w:rPr>
                  </w:pPr>
                </w:p>
              </w:tc>
              <w:tc>
                <w:tcPr>
                  <w:tcW w:w="267" w:type="pct"/>
                </w:tcPr>
                <w:p w:rsidR="000C12FA" w:rsidRPr="000C12FA" w:rsidRDefault="000C12FA" w:rsidP="000C12FA">
                  <w:pPr>
                    <w:jc w:val="both"/>
                    <w:rPr>
                      <w:sz w:val="20"/>
                      <w:lang w:val="fr-CA"/>
                    </w:rPr>
                  </w:pPr>
                </w:p>
              </w:tc>
              <w:tc>
                <w:tcPr>
                  <w:tcW w:w="2366" w:type="pct"/>
                </w:tcPr>
                <w:p w:rsidR="000C12FA" w:rsidRPr="000C12FA" w:rsidRDefault="000C12FA" w:rsidP="000C12FA">
                  <w:pPr>
                    <w:jc w:val="both"/>
                    <w:rPr>
                      <w:sz w:val="20"/>
                      <w:lang w:val="fr-CA"/>
                    </w:rPr>
                  </w:pPr>
                  <w:r w:rsidRPr="000C12FA">
                    <w:rPr>
                      <w:sz w:val="20"/>
                      <w:lang w:val="fr-CA"/>
                    </w:rPr>
                    <w:t>Arrêt accueillant l’appel</w:t>
                  </w:r>
                </w:p>
                <w:p w:rsidR="000C12FA" w:rsidRPr="000C12FA" w:rsidRDefault="000C12FA" w:rsidP="000C12FA">
                  <w:pPr>
                    <w:jc w:val="both"/>
                    <w:rPr>
                      <w:sz w:val="20"/>
                      <w:lang w:val="fr-CA"/>
                    </w:rPr>
                  </w:pPr>
                </w:p>
              </w:tc>
            </w:tr>
            <w:tr w:rsidR="000C12FA" w:rsidRPr="000C12FA" w:rsidTr="00EB2E70">
              <w:tc>
                <w:tcPr>
                  <w:tcW w:w="2367" w:type="pct"/>
                </w:tcPr>
                <w:p w:rsidR="000C12FA" w:rsidRPr="000C12FA" w:rsidRDefault="000C12FA" w:rsidP="000C12FA">
                  <w:pPr>
                    <w:jc w:val="both"/>
                    <w:rPr>
                      <w:sz w:val="20"/>
                      <w:lang w:val="fr-CA"/>
                    </w:rPr>
                  </w:pPr>
                  <w:r w:rsidRPr="000C12FA">
                    <w:rPr>
                      <w:sz w:val="20"/>
                      <w:lang w:val="fr-CA"/>
                    </w:rPr>
                    <w:t>1</w:t>
                  </w:r>
                  <w:r w:rsidRPr="000C12FA">
                    <w:rPr>
                      <w:sz w:val="20"/>
                      <w:vertAlign w:val="superscript"/>
                      <w:lang w:val="fr-CA"/>
                    </w:rPr>
                    <w:t>er</w:t>
                  </w:r>
                  <w:r w:rsidRPr="000C12FA">
                    <w:rPr>
                      <w:sz w:val="20"/>
                      <w:lang w:val="fr-CA"/>
                    </w:rPr>
                    <w:t xml:space="preserve"> avril 2016</w:t>
                  </w:r>
                </w:p>
                <w:p w:rsidR="000C12FA" w:rsidRPr="000C12FA" w:rsidRDefault="000C12FA" w:rsidP="000C12FA">
                  <w:pPr>
                    <w:jc w:val="both"/>
                    <w:rPr>
                      <w:sz w:val="20"/>
                      <w:lang w:val="fr-CA"/>
                    </w:rPr>
                  </w:pPr>
                  <w:r w:rsidRPr="000C12FA">
                    <w:rPr>
                      <w:sz w:val="20"/>
                      <w:lang w:val="fr-CA"/>
                    </w:rPr>
                    <w:t>Cour suprême du Canada</w:t>
                  </w:r>
                </w:p>
              </w:tc>
              <w:tc>
                <w:tcPr>
                  <w:tcW w:w="267" w:type="pct"/>
                </w:tcPr>
                <w:p w:rsidR="000C12FA" w:rsidRPr="000C12FA" w:rsidRDefault="000C12FA" w:rsidP="000C12FA">
                  <w:pPr>
                    <w:jc w:val="both"/>
                    <w:rPr>
                      <w:sz w:val="20"/>
                      <w:lang w:val="fr-CA"/>
                    </w:rPr>
                  </w:pPr>
                </w:p>
              </w:tc>
              <w:tc>
                <w:tcPr>
                  <w:tcW w:w="2366" w:type="pct"/>
                </w:tcPr>
                <w:p w:rsidR="000C12FA" w:rsidRPr="000C12FA" w:rsidRDefault="000C12FA" w:rsidP="000C12FA">
                  <w:pPr>
                    <w:jc w:val="both"/>
                    <w:rPr>
                      <w:sz w:val="20"/>
                      <w:lang w:val="fr-CA"/>
                    </w:rPr>
                  </w:pPr>
                  <w:r w:rsidRPr="000C12FA">
                    <w:rPr>
                      <w:sz w:val="20"/>
                      <w:lang w:val="fr-CA"/>
                    </w:rPr>
                    <w:t>Dépôt de la demande d’autorisation d’appel</w:t>
                  </w:r>
                </w:p>
              </w:tc>
            </w:tr>
          </w:tbl>
          <w:p w:rsidR="000C12FA" w:rsidRPr="000C12FA" w:rsidRDefault="000C12FA" w:rsidP="000C12FA">
            <w:pPr>
              <w:jc w:val="both"/>
              <w:rPr>
                <w:sz w:val="20"/>
                <w:lang w:val="fr-CA"/>
              </w:rPr>
            </w:pPr>
          </w:p>
        </w:tc>
      </w:tr>
    </w:tbl>
    <w:p w:rsidR="000C12FA" w:rsidRPr="00D15B3E" w:rsidRDefault="000C12FA" w:rsidP="00D15B3E">
      <w:pPr>
        <w:jc w:val="both"/>
        <w:rPr>
          <w:sz w:val="20"/>
          <w:lang w:val="fr-CA"/>
        </w:rPr>
      </w:pPr>
    </w:p>
    <w:p w:rsidR="00921EA7" w:rsidRPr="00D15B3E" w:rsidRDefault="00921EA7" w:rsidP="00D15B3E">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5B3E" w:rsidRPr="00D15B3E" w:rsidTr="00EB2E70">
        <w:tc>
          <w:tcPr>
            <w:tcW w:w="543" w:type="pct"/>
          </w:tcPr>
          <w:p w:rsidR="00D15B3E" w:rsidRPr="00D15B3E" w:rsidRDefault="00D15B3E" w:rsidP="00D15B3E">
            <w:pPr>
              <w:jc w:val="both"/>
              <w:rPr>
                <w:sz w:val="20"/>
              </w:rPr>
            </w:pPr>
            <w:r w:rsidRPr="00D15B3E">
              <w:rPr>
                <w:rStyle w:val="SCCFileNumberChar"/>
                <w:sz w:val="20"/>
                <w:szCs w:val="20"/>
              </w:rPr>
              <w:t>36927</w:t>
            </w:r>
          </w:p>
        </w:tc>
        <w:tc>
          <w:tcPr>
            <w:tcW w:w="4457" w:type="pct"/>
            <w:gridSpan w:val="3"/>
          </w:tcPr>
          <w:p w:rsidR="00D15B3E" w:rsidRPr="00D15B3E" w:rsidRDefault="00D15B3E" w:rsidP="00D15B3E">
            <w:pPr>
              <w:pStyle w:val="SCCLsocParty"/>
              <w:jc w:val="both"/>
              <w:rPr>
                <w:b/>
                <w:sz w:val="20"/>
                <w:szCs w:val="20"/>
              </w:rPr>
            </w:pPr>
            <w:r w:rsidRPr="00D15B3E">
              <w:rPr>
                <w:b/>
                <w:sz w:val="20"/>
                <w:szCs w:val="20"/>
              </w:rPr>
              <w:t>Raymond Turmel v. Her Majesty the Queen</w:t>
            </w:r>
          </w:p>
          <w:p w:rsidR="00D15B3E" w:rsidRPr="00D15B3E" w:rsidRDefault="00D15B3E" w:rsidP="00D15B3E">
            <w:pPr>
              <w:jc w:val="both"/>
              <w:rPr>
                <w:sz w:val="20"/>
              </w:rPr>
            </w:pPr>
            <w:r w:rsidRPr="00D15B3E">
              <w:rPr>
                <w:sz w:val="20"/>
              </w:rPr>
              <w:t>(FC) (Civil) (By Leave)</w:t>
            </w:r>
          </w:p>
        </w:tc>
      </w:tr>
      <w:tr w:rsidR="00D15B3E" w:rsidRPr="00D15B3E" w:rsidTr="00EB2E70">
        <w:tc>
          <w:tcPr>
            <w:tcW w:w="5000" w:type="pct"/>
            <w:gridSpan w:val="4"/>
          </w:tcPr>
          <w:p w:rsidR="00D15B3E" w:rsidRPr="00D15B3E" w:rsidRDefault="00D15B3E" w:rsidP="00D15B3E">
            <w:pPr>
              <w:jc w:val="both"/>
              <w:rPr>
                <w:sz w:val="20"/>
              </w:rPr>
            </w:pPr>
            <w:r w:rsidRPr="00D15B3E">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D15B3E">
              <w:rPr>
                <w:i/>
                <w:sz w:val="20"/>
              </w:rPr>
              <w:t>Controlled Drugs and Substances Act</w:t>
            </w:r>
            <w:r w:rsidRPr="00D15B3E">
              <w:rPr>
                <w:sz w:val="20"/>
              </w:rPr>
              <w:t>, S.C. 1996, c. 19.</w:t>
            </w:r>
          </w:p>
        </w:tc>
      </w:tr>
      <w:tr w:rsidR="00D15B3E" w:rsidRPr="00D15B3E" w:rsidTr="00EB2E70">
        <w:tc>
          <w:tcPr>
            <w:tcW w:w="5000" w:type="pct"/>
            <w:gridSpan w:val="4"/>
          </w:tcPr>
          <w:p w:rsidR="00D15B3E" w:rsidRPr="00D15B3E" w:rsidRDefault="00D15B3E" w:rsidP="00D15B3E">
            <w:pPr>
              <w:jc w:val="both"/>
              <w:rPr>
                <w:sz w:val="20"/>
              </w:rPr>
            </w:pPr>
          </w:p>
        </w:tc>
      </w:tr>
      <w:tr w:rsidR="00D15B3E" w:rsidRPr="00D15B3E" w:rsidTr="00EB2E70">
        <w:tc>
          <w:tcPr>
            <w:tcW w:w="5000" w:type="pct"/>
            <w:gridSpan w:val="4"/>
          </w:tcPr>
          <w:p w:rsidR="00D15B3E" w:rsidRPr="00D15B3E" w:rsidRDefault="00D15B3E" w:rsidP="00D15B3E">
            <w:pPr>
              <w:jc w:val="both"/>
              <w:rPr>
                <w:sz w:val="20"/>
              </w:rPr>
            </w:pPr>
            <w:r w:rsidRPr="00D15B3E">
              <w:rPr>
                <w:sz w:val="20"/>
              </w:rPr>
              <w:t xml:space="preserve">Since February 2014, approximately 300 self-represented plaintiffs, including the applicant, have filed identical claims seeking declarations that the </w:t>
            </w:r>
            <w:r w:rsidRPr="00D15B3E">
              <w:rPr>
                <w:i/>
                <w:sz w:val="20"/>
              </w:rPr>
              <w:t>Marijuana Medical Access Regulations (“MMAR”)</w:t>
            </w:r>
            <w:r w:rsidRPr="00D15B3E">
              <w:rPr>
                <w:sz w:val="20"/>
              </w:rPr>
              <w:t>, S.O.R./2001-227, which were repealed on March 31, 2014 and the</w:t>
            </w:r>
            <w:r w:rsidRPr="00D15B3E">
              <w:rPr>
                <w:i/>
                <w:sz w:val="20"/>
              </w:rPr>
              <w:t xml:space="preserve"> Marijuana for Medical Purposes Regulations</w:t>
            </w:r>
            <w:r w:rsidRPr="00D15B3E">
              <w:rPr>
                <w:sz w:val="20"/>
              </w:rPr>
              <w:t xml:space="preserve">, S.O.R./2013-119, which succeeded the </w:t>
            </w:r>
            <w:r w:rsidRPr="00D15B3E">
              <w:rPr>
                <w:i/>
                <w:sz w:val="20"/>
              </w:rPr>
              <w:t>MMAR</w:t>
            </w:r>
            <w:r w:rsidRPr="00D15B3E">
              <w:rPr>
                <w:sz w:val="20"/>
              </w:rPr>
              <w:t xml:space="preserve"> are unconstitutional. In the course of their actions, twenty-six plaintiffs, including the applicant, brought motions for interim constitutional exemptions from the </w:t>
            </w:r>
            <w:r w:rsidRPr="00D15B3E">
              <w:rPr>
                <w:i/>
                <w:sz w:val="20"/>
              </w:rPr>
              <w:t>Controlled Drugs and Substances Act</w:t>
            </w:r>
            <w:r w:rsidRPr="00D15B3E">
              <w:rPr>
                <w:sz w:val="20"/>
              </w:rPr>
              <w:t xml:space="preserve"> </w:t>
            </w:r>
            <w:r w:rsidRPr="00D15B3E">
              <w:rPr>
                <w:i/>
                <w:sz w:val="20"/>
              </w:rPr>
              <w:t>(“CDSA”)</w:t>
            </w:r>
            <w:r w:rsidRPr="00D15B3E">
              <w:rPr>
                <w:sz w:val="20"/>
              </w:rPr>
              <w:t xml:space="preserve"> for the personal use of marijuana pending trial of their actions.</w:t>
            </w:r>
          </w:p>
        </w:tc>
      </w:tr>
      <w:tr w:rsidR="00D15B3E" w:rsidRPr="00D15B3E" w:rsidTr="00EB2E70">
        <w:tc>
          <w:tcPr>
            <w:tcW w:w="5000" w:type="pct"/>
            <w:gridSpan w:val="4"/>
          </w:tcPr>
          <w:p w:rsidR="00D15B3E" w:rsidRPr="00D15B3E" w:rsidRDefault="00D15B3E" w:rsidP="00D15B3E">
            <w:pPr>
              <w:jc w:val="both"/>
              <w:rPr>
                <w:sz w:val="20"/>
              </w:rPr>
            </w:pPr>
          </w:p>
        </w:tc>
      </w:tr>
      <w:tr w:rsidR="00D15B3E" w:rsidRPr="00D15B3E" w:rsidTr="00EB2E70">
        <w:tc>
          <w:tcPr>
            <w:tcW w:w="2427" w:type="pct"/>
            <w:gridSpan w:val="2"/>
          </w:tcPr>
          <w:p w:rsidR="00D15B3E" w:rsidRPr="00D15B3E" w:rsidRDefault="00D15B3E" w:rsidP="00D15B3E">
            <w:pPr>
              <w:jc w:val="both"/>
              <w:rPr>
                <w:sz w:val="20"/>
              </w:rPr>
            </w:pPr>
            <w:r w:rsidRPr="00D15B3E">
              <w:rPr>
                <w:sz w:val="20"/>
              </w:rPr>
              <w:t>May 7, 2014</w:t>
            </w:r>
          </w:p>
          <w:p w:rsidR="00D15B3E" w:rsidRPr="00D15B3E" w:rsidRDefault="00D15B3E" w:rsidP="00D15B3E">
            <w:pPr>
              <w:jc w:val="both"/>
              <w:rPr>
                <w:sz w:val="20"/>
              </w:rPr>
            </w:pPr>
            <w:r w:rsidRPr="00D15B3E">
              <w:rPr>
                <w:sz w:val="20"/>
              </w:rPr>
              <w:t>Federal Court</w:t>
            </w:r>
          </w:p>
          <w:p w:rsidR="00D15B3E" w:rsidRPr="00D15B3E" w:rsidRDefault="00D15B3E" w:rsidP="00D15B3E">
            <w:pPr>
              <w:jc w:val="both"/>
              <w:rPr>
                <w:sz w:val="20"/>
              </w:rPr>
            </w:pPr>
            <w:r w:rsidRPr="00D15B3E">
              <w:rPr>
                <w:sz w:val="20"/>
              </w:rPr>
              <w:t>(Phelan J.)</w:t>
            </w:r>
          </w:p>
        </w:tc>
        <w:tc>
          <w:tcPr>
            <w:tcW w:w="243" w:type="pct"/>
          </w:tcPr>
          <w:p w:rsidR="00D15B3E" w:rsidRPr="00D15B3E" w:rsidRDefault="00D15B3E" w:rsidP="00D15B3E">
            <w:pPr>
              <w:jc w:val="both"/>
              <w:rPr>
                <w:sz w:val="20"/>
              </w:rPr>
            </w:pPr>
          </w:p>
        </w:tc>
        <w:tc>
          <w:tcPr>
            <w:tcW w:w="2330" w:type="pct"/>
          </w:tcPr>
          <w:p w:rsidR="00D15B3E" w:rsidRPr="00D15B3E" w:rsidRDefault="00D15B3E" w:rsidP="00D15B3E">
            <w:pPr>
              <w:jc w:val="both"/>
              <w:rPr>
                <w:sz w:val="20"/>
              </w:rPr>
            </w:pPr>
            <w:r w:rsidRPr="00D15B3E">
              <w:rPr>
                <w:sz w:val="20"/>
              </w:rPr>
              <w:t xml:space="preserve">Motion for interim constitutional exemptions from provisions of </w:t>
            </w:r>
            <w:r w:rsidRPr="00D15B3E">
              <w:rPr>
                <w:i/>
                <w:sz w:val="20"/>
              </w:rPr>
              <w:t>Controlled Drugs and Substances Act</w:t>
            </w:r>
            <w:r w:rsidRPr="00D15B3E">
              <w:rPr>
                <w:sz w:val="20"/>
              </w:rPr>
              <w:t xml:space="preserve"> dismissed</w:t>
            </w:r>
          </w:p>
          <w:p w:rsidR="00D15B3E" w:rsidRPr="00D15B3E" w:rsidRDefault="00D15B3E" w:rsidP="00D15B3E">
            <w:pPr>
              <w:jc w:val="both"/>
              <w:rPr>
                <w:sz w:val="20"/>
              </w:rPr>
            </w:pPr>
          </w:p>
        </w:tc>
      </w:tr>
      <w:tr w:rsidR="00D15B3E" w:rsidRPr="00D15B3E" w:rsidTr="00EB2E70">
        <w:tc>
          <w:tcPr>
            <w:tcW w:w="2427" w:type="pct"/>
            <w:gridSpan w:val="2"/>
          </w:tcPr>
          <w:p w:rsidR="00D15B3E" w:rsidRPr="00D15B3E" w:rsidRDefault="00D15B3E" w:rsidP="00D15B3E">
            <w:pPr>
              <w:jc w:val="both"/>
              <w:rPr>
                <w:sz w:val="20"/>
              </w:rPr>
            </w:pPr>
            <w:r w:rsidRPr="00D15B3E">
              <w:rPr>
                <w:sz w:val="20"/>
              </w:rPr>
              <w:t>January 13, 2016</w:t>
            </w:r>
          </w:p>
          <w:p w:rsidR="00D15B3E" w:rsidRPr="00D15B3E" w:rsidRDefault="00D15B3E" w:rsidP="00D15B3E">
            <w:pPr>
              <w:jc w:val="both"/>
              <w:rPr>
                <w:sz w:val="20"/>
              </w:rPr>
            </w:pPr>
            <w:r w:rsidRPr="00D15B3E">
              <w:rPr>
                <w:sz w:val="20"/>
              </w:rPr>
              <w:t>Federal Court of Appeal</w:t>
            </w:r>
          </w:p>
          <w:p w:rsidR="00D15B3E" w:rsidRPr="00D15B3E" w:rsidRDefault="00D15B3E" w:rsidP="00D15B3E">
            <w:pPr>
              <w:jc w:val="both"/>
              <w:rPr>
                <w:sz w:val="20"/>
                <w:lang w:eastAsia="en-CA"/>
              </w:rPr>
            </w:pPr>
            <w:r w:rsidRPr="00D15B3E">
              <w:rPr>
                <w:sz w:val="20"/>
                <w:lang w:eastAsia="en-CA"/>
              </w:rPr>
              <w:t>(Pelletier, Stratas and Gleason JJ.A.)</w:t>
            </w:r>
          </w:p>
          <w:p w:rsidR="00D15B3E" w:rsidRPr="00D15B3E" w:rsidRDefault="00B621BC" w:rsidP="00D15B3E">
            <w:pPr>
              <w:jc w:val="both"/>
              <w:rPr>
                <w:sz w:val="20"/>
                <w:lang w:eastAsia="en-CA"/>
              </w:rPr>
            </w:pPr>
            <w:hyperlink r:id="rId35" w:history="1">
              <w:r w:rsidR="00D15B3E" w:rsidRPr="00D15B3E">
                <w:rPr>
                  <w:color w:val="0000FF" w:themeColor="hyperlink"/>
                  <w:sz w:val="20"/>
                  <w:u w:val="single"/>
                  <w:lang w:eastAsia="en-CA"/>
                </w:rPr>
                <w:t>2016 FCA 9</w:t>
              </w:r>
            </w:hyperlink>
          </w:p>
          <w:p w:rsidR="00D15B3E" w:rsidRPr="00D15B3E" w:rsidRDefault="00D15B3E" w:rsidP="00D15B3E">
            <w:pPr>
              <w:jc w:val="both"/>
              <w:rPr>
                <w:sz w:val="20"/>
              </w:rPr>
            </w:pPr>
          </w:p>
        </w:tc>
        <w:tc>
          <w:tcPr>
            <w:tcW w:w="243" w:type="pct"/>
          </w:tcPr>
          <w:p w:rsidR="00D15B3E" w:rsidRPr="00D15B3E" w:rsidRDefault="00D15B3E" w:rsidP="00D15B3E">
            <w:pPr>
              <w:jc w:val="both"/>
              <w:rPr>
                <w:sz w:val="20"/>
              </w:rPr>
            </w:pPr>
          </w:p>
        </w:tc>
        <w:tc>
          <w:tcPr>
            <w:tcW w:w="2330" w:type="pct"/>
          </w:tcPr>
          <w:p w:rsidR="00D15B3E" w:rsidRPr="00D15B3E" w:rsidRDefault="00D15B3E" w:rsidP="00D15B3E">
            <w:pPr>
              <w:jc w:val="both"/>
              <w:rPr>
                <w:sz w:val="20"/>
              </w:rPr>
            </w:pPr>
            <w:r w:rsidRPr="00D15B3E">
              <w:rPr>
                <w:sz w:val="20"/>
              </w:rPr>
              <w:t>Appeal dismissed</w:t>
            </w:r>
          </w:p>
          <w:p w:rsidR="00D15B3E" w:rsidRPr="00D15B3E" w:rsidRDefault="00D15B3E" w:rsidP="00D15B3E">
            <w:pPr>
              <w:jc w:val="both"/>
              <w:rPr>
                <w:sz w:val="20"/>
              </w:rPr>
            </w:pPr>
          </w:p>
        </w:tc>
      </w:tr>
      <w:tr w:rsidR="00D15B3E" w:rsidRPr="00D15B3E" w:rsidTr="00EB2E70">
        <w:tc>
          <w:tcPr>
            <w:tcW w:w="2427" w:type="pct"/>
            <w:gridSpan w:val="2"/>
          </w:tcPr>
          <w:p w:rsidR="00D15B3E" w:rsidRPr="00D15B3E" w:rsidRDefault="00D15B3E" w:rsidP="00D15B3E">
            <w:pPr>
              <w:jc w:val="both"/>
              <w:rPr>
                <w:sz w:val="20"/>
              </w:rPr>
            </w:pPr>
            <w:r w:rsidRPr="00D15B3E">
              <w:rPr>
                <w:sz w:val="20"/>
              </w:rPr>
              <w:t>March 10, 2016</w:t>
            </w:r>
          </w:p>
          <w:p w:rsidR="00D15B3E" w:rsidRPr="00D15B3E" w:rsidRDefault="00D15B3E" w:rsidP="00D15B3E">
            <w:pPr>
              <w:jc w:val="both"/>
              <w:rPr>
                <w:sz w:val="20"/>
              </w:rPr>
            </w:pPr>
            <w:r w:rsidRPr="00D15B3E">
              <w:rPr>
                <w:sz w:val="20"/>
              </w:rPr>
              <w:t>Supreme Court of Canada</w:t>
            </w:r>
          </w:p>
        </w:tc>
        <w:tc>
          <w:tcPr>
            <w:tcW w:w="243" w:type="pct"/>
          </w:tcPr>
          <w:p w:rsidR="00D15B3E" w:rsidRPr="00D15B3E" w:rsidRDefault="00D15B3E" w:rsidP="00D15B3E">
            <w:pPr>
              <w:jc w:val="both"/>
              <w:rPr>
                <w:sz w:val="20"/>
              </w:rPr>
            </w:pPr>
          </w:p>
        </w:tc>
        <w:tc>
          <w:tcPr>
            <w:tcW w:w="2330" w:type="pct"/>
          </w:tcPr>
          <w:p w:rsidR="00D15B3E" w:rsidRPr="00D15B3E" w:rsidRDefault="00D15B3E" w:rsidP="00D15B3E">
            <w:pPr>
              <w:jc w:val="both"/>
              <w:rPr>
                <w:sz w:val="20"/>
              </w:rPr>
            </w:pPr>
            <w:r w:rsidRPr="00D15B3E">
              <w:rPr>
                <w:sz w:val="20"/>
              </w:rPr>
              <w:t>Motion to extend time to serve and file application for leave to appeal and application for leave to appeal filed</w:t>
            </w:r>
          </w:p>
        </w:tc>
      </w:tr>
    </w:tbl>
    <w:p w:rsidR="00D15B3E" w:rsidRDefault="00D15B3E" w:rsidP="00D15B3E">
      <w:pPr>
        <w:jc w:val="both"/>
        <w:rPr>
          <w:sz w:val="20"/>
        </w:rPr>
      </w:pPr>
    </w:p>
    <w:p w:rsidR="00D15B3E" w:rsidRPr="00D15B3E" w:rsidRDefault="00D15B3E" w:rsidP="00D15B3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5B3E" w:rsidRPr="00D15B3E" w:rsidTr="00EB2E70">
        <w:tc>
          <w:tcPr>
            <w:tcW w:w="543" w:type="pct"/>
          </w:tcPr>
          <w:p w:rsidR="00D15B3E" w:rsidRPr="00D15B3E" w:rsidRDefault="00D15B3E" w:rsidP="00D15B3E">
            <w:pPr>
              <w:jc w:val="both"/>
              <w:rPr>
                <w:sz w:val="20"/>
                <w:lang w:val="fr-CA"/>
              </w:rPr>
            </w:pPr>
            <w:r w:rsidRPr="00D15B3E">
              <w:rPr>
                <w:rStyle w:val="SCCFileNumberChar"/>
                <w:sz w:val="20"/>
                <w:szCs w:val="20"/>
                <w:lang w:val="fr-CA"/>
              </w:rPr>
              <w:t>36927</w:t>
            </w:r>
          </w:p>
        </w:tc>
        <w:tc>
          <w:tcPr>
            <w:tcW w:w="4457" w:type="pct"/>
            <w:gridSpan w:val="3"/>
          </w:tcPr>
          <w:p w:rsidR="00D15B3E" w:rsidRPr="00D15B3E" w:rsidRDefault="00D15B3E" w:rsidP="00D15B3E">
            <w:pPr>
              <w:pStyle w:val="SCCLsocParty"/>
              <w:jc w:val="both"/>
              <w:rPr>
                <w:b/>
                <w:sz w:val="20"/>
                <w:szCs w:val="20"/>
              </w:rPr>
            </w:pPr>
            <w:r w:rsidRPr="00D15B3E">
              <w:rPr>
                <w:b/>
                <w:sz w:val="20"/>
                <w:szCs w:val="20"/>
              </w:rPr>
              <w:t>Raymond Turmel c. Sa Majesté la Reine</w:t>
            </w:r>
          </w:p>
          <w:p w:rsidR="00D15B3E" w:rsidRPr="00D15B3E" w:rsidRDefault="00D15B3E" w:rsidP="00D15B3E">
            <w:pPr>
              <w:jc w:val="both"/>
              <w:rPr>
                <w:sz w:val="20"/>
                <w:lang w:val="fr-CA"/>
              </w:rPr>
            </w:pPr>
            <w:r w:rsidRPr="00D15B3E">
              <w:rPr>
                <w:sz w:val="20"/>
                <w:lang w:val="fr-CA"/>
              </w:rPr>
              <w:t>(CF) (Civile) (Sur autorisation)</w:t>
            </w:r>
          </w:p>
        </w:tc>
      </w:tr>
      <w:tr w:rsidR="00D15B3E" w:rsidRPr="00D15B3E" w:rsidTr="00EB2E70">
        <w:tc>
          <w:tcPr>
            <w:tcW w:w="5000" w:type="pct"/>
            <w:gridSpan w:val="4"/>
          </w:tcPr>
          <w:p w:rsidR="00D15B3E" w:rsidRPr="00D15B3E" w:rsidRDefault="00D15B3E" w:rsidP="00D15B3E">
            <w:pPr>
              <w:jc w:val="both"/>
              <w:rPr>
                <w:sz w:val="20"/>
                <w:lang w:val="fr-CA"/>
              </w:rPr>
            </w:pPr>
            <w:r w:rsidRPr="00D15B3E">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D15B3E">
              <w:rPr>
                <w:i/>
                <w:sz w:val="20"/>
                <w:lang w:val="fr-CA"/>
              </w:rPr>
              <w:t>Loi réglementant certaines drogues et autres substances</w:t>
            </w:r>
            <w:r w:rsidRPr="00D15B3E">
              <w:rPr>
                <w:sz w:val="20"/>
                <w:lang w:val="fr-CA"/>
              </w:rPr>
              <w:t>, L.C., 1996, ch. 19.</w:t>
            </w:r>
          </w:p>
        </w:tc>
      </w:tr>
      <w:tr w:rsidR="00D15B3E" w:rsidRPr="00D15B3E" w:rsidTr="00EB2E70">
        <w:tc>
          <w:tcPr>
            <w:tcW w:w="5000" w:type="pct"/>
            <w:gridSpan w:val="4"/>
          </w:tcPr>
          <w:p w:rsidR="00D15B3E" w:rsidRPr="00D15B3E" w:rsidRDefault="00D15B3E" w:rsidP="00D15B3E">
            <w:pPr>
              <w:jc w:val="both"/>
              <w:rPr>
                <w:sz w:val="20"/>
                <w:lang w:val="fr-CA"/>
              </w:rPr>
            </w:pPr>
          </w:p>
        </w:tc>
      </w:tr>
      <w:tr w:rsidR="00D15B3E" w:rsidRPr="00D15B3E" w:rsidTr="00EB2E70">
        <w:tc>
          <w:tcPr>
            <w:tcW w:w="5000" w:type="pct"/>
            <w:gridSpan w:val="4"/>
          </w:tcPr>
          <w:p w:rsidR="00D15B3E" w:rsidRPr="00D15B3E" w:rsidRDefault="00D15B3E" w:rsidP="00D15B3E">
            <w:pPr>
              <w:jc w:val="both"/>
              <w:rPr>
                <w:sz w:val="20"/>
                <w:lang w:val="fr-CA"/>
              </w:rPr>
            </w:pPr>
            <w:r w:rsidRPr="00D15B3E">
              <w:rPr>
                <w:sz w:val="20"/>
                <w:lang w:val="fr-CA"/>
              </w:rPr>
              <w:t xml:space="preserve">Depuis février 2014, environ 300 plaideurs non représentés, y compris le demandeur, ont déposé des demandes identiques sollicitant des jugements qui déclarent inconstitutionnels le </w:t>
            </w:r>
            <w:r w:rsidRPr="00D15B3E">
              <w:rPr>
                <w:i/>
                <w:sz w:val="20"/>
                <w:lang w:val="fr-CA"/>
              </w:rPr>
              <w:t xml:space="preserve">Règlement sur l’accès à la marihuana à des </w:t>
            </w:r>
            <w:r w:rsidRPr="00D15B3E">
              <w:rPr>
                <w:i/>
                <w:sz w:val="20"/>
                <w:lang w:val="fr-CA"/>
              </w:rPr>
              <w:lastRenderedPageBreak/>
              <w:t>fins médicales (« RAMFM »)</w:t>
            </w:r>
            <w:r w:rsidRPr="00D15B3E">
              <w:rPr>
                <w:sz w:val="20"/>
                <w:lang w:val="fr-CA"/>
              </w:rPr>
              <w:t xml:space="preserve">, D.O.R.S./2001-227, abrogé le 31 mars 2014 et le </w:t>
            </w:r>
            <w:r w:rsidRPr="00D15B3E">
              <w:rPr>
                <w:i/>
                <w:sz w:val="20"/>
                <w:lang w:val="fr-CA"/>
              </w:rPr>
              <w:t>Règlement sur la marihuana à des fins médicales</w:t>
            </w:r>
            <w:r w:rsidRPr="00D15B3E">
              <w:rPr>
                <w:sz w:val="20"/>
                <w:lang w:val="fr-CA"/>
              </w:rPr>
              <w:t xml:space="preserve">, D.O.R.S./2013-119, qui a remplacé le </w:t>
            </w:r>
            <w:r w:rsidRPr="00D15B3E">
              <w:rPr>
                <w:i/>
                <w:sz w:val="20"/>
                <w:lang w:val="fr-CA"/>
              </w:rPr>
              <w:t>RAMFM</w:t>
            </w:r>
            <w:r w:rsidRPr="00D15B3E">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D15B3E">
              <w:rPr>
                <w:i/>
                <w:sz w:val="20"/>
                <w:lang w:val="fr-CA"/>
              </w:rPr>
              <w:t>Loi réglementant certaines drogues et autres substances (« LRCDAS »)</w:t>
            </w:r>
            <w:r w:rsidRPr="00D15B3E">
              <w:rPr>
                <w:sz w:val="20"/>
                <w:lang w:val="fr-CA"/>
              </w:rPr>
              <w:t xml:space="preserve"> pour l’utilisation personnelle de la marihuana en attendant que leurs actions soient instruites.</w:t>
            </w:r>
          </w:p>
        </w:tc>
      </w:tr>
      <w:tr w:rsidR="00D15B3E" w:rsidRPr="00D15B3E" w:rsidTr="00EB2E70">
        <w:tc>
          <w:tcPr>
            <w:tcW w:w="5000" w:type="pct"/>
            <w:gridSpan w:val="4"/>
          </w:tcPr>
          <w:p w:rsidR="00D15B3E" w:rsidRPr="00D15B3E" w:rsidRDefault="00D15B3E" w:rsidP="00D15B3E">
            <w:pPr>
              <w:jc w:val="both"/>
              <w:rPr>
                <w:sz w:val="20"/>
                <w:lang w:val="fr-CA"/>
              </w:rPr>
            </w:pPr>
          </w:p>
        </w:tc>
      </w:tr>
      <w:tr w:rsidR="00D15B3E" w:rsidRPr="00D15B3E" w:rsidTr="00EB2E70">
        <w:tc>
          <w:tcPr>
            <w:tcW w:w="2427" w:type="pct"/>
            <w:gridSpan w:val="2"/>
          </w:tcPr>
          <w:p w:rsidR="00D15B3E" w:rsidRPr="00D15B3E" w:rsidRDefault="00D15B3E" w:rsidP="00D15B3E">
            <w:pPr>
              <w:jc w:val="both"/>
              <w:rPr>
                <w:sz w:val="20"/>
                <w:lang w:val="fr-CA"/>
              </w:rPr>
            </w:pPr>
            <w:r w:rsidRPr="00D15B3E">
              <w:rPr>
                <w:sz w:val="20"/>
                <w:lang w:val="fr-CA"/>
              </w:rPr>
              <w:t>7 mai 2014</w:t>
            </w:r>
          </w:p>
          <w:p w:rsidR="00D15B3E" w:rsidRPr="00D15B3E" w:rsidRDefault="00D15B3E" w:rsidP="00D15B3E">
            <w:pPr>
              <w:jc w:val="both"/>
              <w:rPr>
                <w:sz w:val="20"/>
                <w:lang w:val="fr-CA"/>
              </w:rPr>
            </w:pPr>
            <w:r w:rsidRPr="00D15B3E">
              <w:rPr>
                <w:sz w:val="20"/>
                <w:lang w:val="fr-CA"/>
              </w:rPr>
              <w:t xml:space="preserve">Cour fédérale </w:t>
            </w:r>
          </w:p>
          <w:p w:rsidR="00D15B3E" w:rsidRPr="00D15B3E" w:rsidRDefault="00D15B3E" w:rsidP="00D15B3E">
            <w:pPr>
              <w:jc w:val="both"/>
              <w:rPr>
                <w:sz w:val="20"/>
                <w:lang w:val="fr-CA"/>
              </w:rPr>
            </w:pPr>
            <w:r w:rsidRPr="00D15B3E">
              <w:rPr>
                <w:sz w:val="20"/>
                <w:lang w:val="fr-CA"/>
              </w:rPr>
              <w:t>(Juge Phelan)</w:t>
            </w:r>
          </w:p>
        </w:tc>
        <w:tc>
          <w:tcPr>
            <w:tcW w:w="243" w:type="pct"/>
          </w:tcPr>
          <w:p w:rsidR="00D15B3E" w:rsidRPr="00D15B3E" w:rsidRDefault="00D15B3E" w:rsidP="00D15B3E">
            <w:pPr>
              <w:jc w:val="both"/>
              <w:rPr>
                <w:sz w:val="20"/>
                <w:lang w:val="fr-CA"/>
              </w:rPr>
            </w:pPr>
          </w:p>
        </w:tc>
        <w:tc>
          <w:tcPr>
            <w:tcW w:w="2330" w:type="pct"/>
          </w:tcPr>
          <w:p w:rsidR="00D15B3E" w:rsidRPr="00D15B3E" w:rsidRDefault="00D15B3E" w:rsidP="00D15B3E">
            <w:pPr>
              <w:jc w:val="both"/>
              <w:rPr>
                <w:sz w:val="20"/>
                <w:lang w:val="fr-CA"/>
              </w:rPr>
            </w:pPr>
            <w:r w:rsidRPr="00D15B3E">
              <w:rPr>
                <w:sz w:val="20"/>
                <w:lang w:val="fr-CA"/>
              </w:rPr>
              <w:t xml:space="preserve">Rejet de la requête en exemption constitutionnelle visant à écarter temporairement l’application de la </w:t>
            </w:r>
            <w:r w:rsidRPr="00D15B3E">
              <w:rPr>
                <w:i/>
                <w:sz w:val="20"/>
                <w:lang w:val="fr-CA"/>
              </w:rPr>
              <w:t>Loi réglementant certaines drogues et autres substances</w:t>
            </w:r>
          </w:p>
          <w:p w:rsidR="00D15B3E" w:rsidRPr="00D15B3E" w:rsidRDefault="00D15B3E" w:rsidP="00D15B3E">
            <w:pPr>
              <w:jc w:val="both"/>
              <w:rPr>
                <w:sz w:val="20"/>
                <w:lang w:val="fr-CA"/>
              </w:rPr>
            </w:pPr>
          </w:p>
        </w:tc>
      </w:tr>
      <w:tr w:rsidR="00D15B3E" w:rsidRPr="00D15B3E" w:rsidTr="00EB2E70">
        <w:tc>
          <w:tcPr>
            <w:tcW w:w="2427" w:type="pct"/>
            <w:gridSpan w:val="2"/>
          </w:tcPr>
          <w:p w:rsidR="00D15B3E" w:rsidRPr="00D15B3E" w:rsidRDefault="00D15B3E" w:rsidP="00D15B3E">
            <w:pPr>
              <w:jc w:val="both"/>
              <w:rPr>
                <w:sz w:val="20"/>
                <w:lang w:val="fr-CA"/>
              </w:rPr>
            </w:pPr>
            <w:r w:rsidRPr="00D15B3E">
              <w:rPr>
                <w:sz w:val="20"/>
                <w:lang w:val="fr-CA"/>
              </w:rPr>
              <w:t>13 janvier 2016</w:t>
            </w:r>
          </w:p>
          <w:p w:rsidR="00D15B3E" w:rsidRPr="00D15B3E" w:rsidRDefault="00D15B3E" w:rsidP="00D15B3E">
            <w:pPr>
              <w:jc w:val="both"/>
              <w:rPr>
                <w:sz w:val="20"/>
                <w:lang w:val="fr-CA"/>
              </w:rPr>
            </w:pPr>
            <w:r w:rsidRPr="00D15B3E">
              <w:rPr>
                <w:sz w:val="20"/>
                <w:lang w:val="fr-CA"/>
              </w:rPr>
              <w:t xml:space="preserve">Cour d’appel fédérale </w:t>
            </w:r>
          </w:p>
          <w:p w:rsidR="00D15B3E" w:rsidRPr="00D15B3E" w:rsidRDefault="00D15B3E" w:rsidP="00D15B3E">
            <w:pPr>
              <w:jc w:val="both"/>
              <w:rPr>
                <w:sz w:val="20"/>
                <w:lang w:val="fr-CA" w:eastAsia="en-CA"/>
              </w:rPr>
            </w:pPr>
            <w:r w:rsidRPr="00D15B3E">
              <w:rPr>
                <w:sz w:val="20"/>
                <w:lang w:val="fr-CA" w:eastAsia="en-CA"/>
              </w:rPr>
              <w:t>(Juges Pelletier, Stratas et Gleason)</w:t>
            </w:r>
          </w:p>
          <w:p w:rsidR="00D15B3E" w:rsidRPr="00D15B3E" w:rsidRDefault="00B621BC" w:rsidP="00D15B3E">
            <w:pPr>
              <w:jc w:val="both"/>
              <w:rPr>
                <w:sz w:val="20"/>
                <w:lang w:val="fr-CA" w:eastAsia="en-CA"/>
              </w:rPr>
            </w:pPr>
            <w:hyperlink r:id="rId36" w:history="1">
              <w:r w:rsidR="00D15B3E" w:rsidRPr="00D15B3E">
                <w:rPr>
                  <w:color w:val="0000FF" w:themeColor="hyperlink"/>
                  <w:sz w:val="20"/>
                  <w:u w:val="single"/>
                  <w:lang w:val="fr-CA" w:eastAsia="en-CA"/>
                </w:rPr>
                <w:t>2016 FCA 9</w:t>
              </w:r>
            </w:hyperlink>
          </w:p>
          <w:p w:rsidR="00D15B3E" w:rsidRPr="00D15B3E" w:rsidRDefault="00D15B3E" w:rsidP="00D15B3E">
            <w:pPr>
              <w:jc w:val="both"/>
              <w:rPr>
                <w:sz w:val="20"/>
                <w:lang w:val="fr-CA"/>
              </w:rPr>
            </w:pPr>
          </w:p>
        </w:tc>
        <w:tc>
          <w:tcPr>
            <w:tcW w:w="243" w:type="pct"/>
          </w:tcPr>
          <w:p w:rsidR="00D15B3E" w:rsidRPr="00D15B3E" w:rsidRDefault="00D15B3E" w:rsidP="00D15B3E">
            <w:pPr>
              <w:jc w:val="both"/>
              <w:rPr>
                <w:sz w:val="20"/>
                <w:lang w:val="fr-CA"/>
              </w:rPr>
            </w:pPr>
          </w:p>
        </w:tc>
        <w:tc>
          <w:tcPr>
            <w:tcW w:w="2330" w:type="pct"/>
          </w:tcPr>
          <w:p w:rsidR="00D15B3E" w:rsidRPr="00D15B3E" w:rsidRDefault="00D15B3E" w:rsidP="00D15B3E">
            <w:pPr>
              <w:jc w:val="both"/>
              <w:rPr>
                <w:sz w:val="20"/>
                <w:lang w:val="fr-CA"/>
              </w:rPr>
            </w:pPr>
            <w:r w:rsidRPr="00D15B3E">
              <w:rPr>
                <w:sz w:val="20"/>
                <w:lang w:val="fr-CA"/>
              </w:rPr>
              <w:t>Rejet de l’appel</w:t>
            </w:r>
          </w:p>
          <w:p w:rsidR="00D15B3E" w:rsidRPr="00D15B3E" w:rsidRDefault="00D15B3E" w:rsidP="00D15B3E">
            <w:pPr>
              <w:jc w:val="both"/>
              <w:rPr>
                <w:sz w:val="20"/>
                <w:lang w:val="fr-CA"/>
              </w:rPr>
            </w:pPr>
          </w:p>
        </w:tc>
      </w:tr>
      <w:tr w:rsidR="00D15B3E" w:rsidRPr="00D15B3E" w:rsidTr="00EB2E70">
        <w:tc>
          <w:tcPr>
            <w:tcW w:w="2427" w:type="pct"/>
            <w:gridSpan w:val="2"/>
          </w:tcPr>
          <w:p w:rsidR="00D15B3E" w:rsidRPr="00D15B3E" w:rsidRDefault="00D15B3E" w:rsidP="00D15B3E">
            <w:pPr>
              <w:jc w:val="both"/>
              <w:rPr>
                <w:sz w:val="20"/>
                <w:lang w:val="fr-CA"/>
              </w:rPr>
            </w:pPr>
            <w:r w:rsidRPr="00D15B3E">
              <w:rPr>
                <w:sz w:val="20"/>
                <w:lang w:val="fr-CA"/>
              </w:rPr>
              <w:t>10 mars 2016</w:t>
            </w:r>
          </w:p>
          <w:p w:rsidR="00D15B3E" w:rsidRPr="00D15B3E" w:rsidRDefault="00D15B3E" w:rsidP="00D15B3E">
            <w:pPr>
              <w:jc w:val="both"/>
              <w:rPr>
                <w:sz w:val="20"/>
                <w:lang w:val="fr-CA"/>
              </w:rPr>
            </w:pPr>
            <w:r w:rsidRPr="00D15B3E">
              <w:rPr>
                <w:sz w:val="20"/>
                <w:lang w:val="fr-CA"/>
              </w:rPr>
              <w:t>Cour suprême du Canada</w:t>
            </w:r>
          </w:p>
          <w:p w:rsidR="00D15B3E" w:rsidRPr="00D15B3E" w:rsidRDefault="00D15B3E" w:rsidP="00D15B3E">
            <w:pPr>
              <w:jc w:val="both"/>
              <w:rPr>
                <w:sz w:val="20"/>
                <w:lang w:val="fr-CA"/>
              </w:rPr>
            </w:pPr>
          </w:p>
        </w:tc>
        <w:tc>
          <w:tcPr>
            <w:tcW w:w="243" w:type="pct"/>
          </w:tcPr>
          <w:p w:rsidR="00D15B3E" w:rsidRPr="00D15B3E" w:rsidRDefault="00D15B3E" w:rsidP="00D15B3E">
            <w:pPr>
              <w:jc w:val="both"/>
              <w:rPr>
                <w:sz w:val="20"/>
                <w:lang w:val="fr-CA"/>
              </w:rPr>
            </w:pPr>
          </w:p>
        </w:tc>
        <w:tc>
          <w:tcPr>
            <w:tcW w:w="2330" w:type="pct"/>
          </w:tcPr>
          <w:p w:rsidR="00D15B3E" w:rsidRPr="00D15B3E" w:rsidRDefault="00D15B3E" w:rsidP="00D15B3E">
            <w:pPr>
              <w:jc w:val="both"/>
              <w:rPr>
                <w:sz w:val="20"/>
                <w:lang w:val="fr-CA"/>
              </w:rPr>
            </w:pPr>
            <w:r w:rsidRPr="00D15B3E">
              <w:rPr>
                <w:sz w:val="20"/>
                <w:lang w:val="fr-CA"/>
              </w:rPr>
              <w:t xml:space="preserve">Dépôt de la requête en prorogation du délai de signification et de dépôt de la demande d’autorisation d’appel et de la demande d’autorisation d’appel </w:t>
            </w:r>
          </w:p>
        </w:tc>
      </w:tr>
    </w:tbl>
    <w:p w:rsidR="00D15B3E" w:rsidRPr="00D2681A" w:rsidRDefault="00D15B3E" w:rsidP="00D2681A">
      <w:pPr>
        <w:jc w:val="both"/>
        <w:rPr>
          <w:sz w:val="20"/>
          <w:lang w:val="fr-CA"/>
        </w:rPr>
      </w:pPr>
    </w:p>
    <w:p w:rsidR="001232B0" w:rsidRPr="00D2681A" w:rsidRDefault="001232B0" w:rsidP="00D2681A">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681A" w:rsidRPr="00D2681A" w:rsidTr="00EB2E70">
        <w:tc>
          <w:tcPr>
            <w:tcW w:w="543" w:type="pct"/>
          </w:tcPr>
          <w:p w:rsidR="00D2681A" w:rsidRPr="00D2681A" w:rsidRDefault="00D2681A" w:rsidP="00D2681A">
            <w:pPr>
              <w:jc w:val="both"/>
              <w:rPr>
                <w:sz w:val="20"/>
              </w:rPr>
            </w:pPr>
            <w:r w:rsidRPr="00D2681A">
              <w:rPr>
                <w:rStyle w:val="SCCFileNumberChar"/>
                <w:sz w:val="20"/>
                <w:szCs w:val="20"/>
              </w:rPr>
              <w:t>36928</w:t>
            </w:r>
          </w:p>
        </w:tc>
        <w:tc>
          <w:tcPr>
            <w:tcW w:w="4457" w:type="pct"/>
            <w:gridSpan w:val="3"/>
          </w:tcPr>
          <w:p w:rsidR="00D2681A" w:rsidRPr="00D2681A" w:rsidRDefault="00D2681A" w:rsidP="00D2681A">
            <w:pPr>
              <w:pStyle w:val="SCCLsocParty"/>
              <w:jc w:val="both"/>
              <w:rPr>
                <w:b/>
                <w:sz w:val="20"/>
                <w:szCs w:val="20"/>
              </w:rPr>
            </w:pPr>
            <w:r w:rsidRPr="00D2681A">
              <w:rPr>
                <w:b/>
                <w:sz w:val="20"/>
                <w:szCs w:val="20"/>
              </w:rPr>
              <w:t>Robert Roy v. Her Majesty the Queen</w:t>
            </w:r>
          </w:p>
          <w:p w:rsidR="00D2681A" w:rsidRPr="00D2681A" w:rsidRDefault="00D2681A" w:rsidP="00D2681A">
            <w:pPr>
              <w:jc w:val="both"/>
              <w:rPr>
                <w:sz w:val="20"/>
              </w:rPr>
            </w:pPr>
            <w:r w:rsidRPr="00D2681A">
              <w:rPr>
                <w:sz w:val="20"/>
              </w:rPr>
              <w:t>(FC) (Civil) (By Leave)</w:t>
            </w:r>
          </w:p>
        </w:tc>
      </w:tr>
      <w:tr w:rsidR="00D2681A" w:rsidRPr="00D2681A" w:rsidTr="00EB2E70">
        <w:tc>
          <w:tcPr>
            <w:tcW w:w="5000" w:type="pct"/>
            <w:gridSpan w:val="4"/>
          </w:tcPr>
          <w:p w:rsidR="00D2681A" w:rsidRPr="00D2681A" w:rsidRDefault="00D2681A" w:rsidP="00D2681A">
            <w:pPr>
              <w:jc w:val="both"/>
              <w:rPr>
                <w:sz w:val="20"/>
              </w:rPr>
            </w:pPr>
            <w:r w:rsidRPr="00D2681A">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D2681A">
              <w:rPr>
                <w:i/>
                <w:sz w:val="20"/>
              </w:rPr>
              <w:t>Controlled Drugs and Substances Act</w:t>
            </w:r>
            <w:r w:rsidRPr="00D2681A">
              <w:rPr>
                <w:sz w:val="20"/>
              </w:rPr>
              <w:t>, S.C. 1996, c. 19.</w:t>
            </w:r>
          </w:p>
        </w:tc>
      </w:tr>
      <w:tr w:rsidR="00D2681A" w:rsidRPr="00D2681A" w:rsidTr="00EB2E70">
        <w:tc>
          <w:tcPr>
            <w:tcW w:w="5000" w:type="pct"/>
            <w:gridSpan w:val="4"/>
          </w:tcPr>
          <w:p w:rsidR="00D2681A" w:rsidRPr="00D2681A" w:rsidRDefault="00D2681A" w:rsidP="00D2681A">
            <w:pPr>
              <w:jc w:val="both"/>
              <w:rPr>
                <w:sz w:val="20"/>
              </w:rPr>
            </w:pPr>
          </w:p>
        </w:tc>
      </w:tr>
      <w:tr w:rsidR="00D2681A" w:rsidRPr="00D2681A" w:rsidTr="00EB2E70">
        <w:tc>
          <w:tcPr>
            <w:tcW w:w="5000" w:type="pct"/>
            <w:gridSpan w:val="4"/>
          </w:tcPr>
          <w:p w:rsidR="00D2681A" w:rsidRPr="00D2681A" w:rsidRDefault="00D2681A" w:rsidP="00D2681A">
            <w:pPr>
              <w:jc w:val="both"/>
              <w:rPr>
                <w:sz w:val="20"/>
              </w:rPr>
            </w:pPr>
            <w:r w:rsidRPr="00D2681A">
              <w:rPr>
                <w:sz w:val="20"/>
              </w:rPr>
              <w:t xml:space="preserve">Since February 2014, approximately 300 self-represented plaintiffs, including the applicant, have filed identical claims seeking declarations that the </w:t>
            </w:r>
            <w:r w:rsidRPr="00D2681A">
              <w:rPr>
                <w:i/>
                <w:sz w:val="20"/>
              </w:rPr>
              <w:t>Marijuana Medical Access Regulations (“MMAR”)</w:t>
            </w:r>
            <w:r w:rsidRPr="00D2681A">
              <w:rPr>
                <w:sz w:val="20"/>
              </w:rPr>
              <w:t>, S.O.R./2001-227, which were repealed on March 31, 2014 and the</w:t>
            </w:r>
            <w:r w:rsidRPr="00D2681A">
              <w:rPr>
                <w:i/>
                <w:sz w:val="20"/>
              </w:rPr>
              <w:t xml:space="preserve"> Marijuana for Medical Purposes Regulations</w:t>
            </w:r>
            <w:r w:rsidRPr="00D2681A">
              <w:rPr>
                <w:sz w:val="20"/>
              </w:rPr>
              <w:t xml:space="preserve">, S.O.R./2013-119, which succeeded the </w:t>
            </w:r>
            <w:r w:rsidRPr="00D2681A">
              <w:rPr>
                <w:i/>
                <w:sz w:val="20"/>
              </w:rPr>
              <w:t>MMAR</w:t>
            </w:r>
            <w:r w:rsidRPr="00D2681A">
              <w:rPr>
                <w:sz w:val="20"/>
              </w:rPr>
              <w:t xml:space="preserve"> are unconstitutional. In the course of their actions, twenty-six plaintiffs, including the applicant, brought motions for interim constitutional exemptions from the </w:t>
            </w:r>
            <w:r w:rsidRPr="00D2681A">
              <w:rPr>
                <w:i/>
                <w:sz w:val="20"/>
              </w:rPr>
              <w:t>Controlled Drugs and Substances Act</w:t>
            </w:r>
            <w:r w:rsidRPr="00D2681A">
              <w:rPr>
                <w:sz w:val="20"/>
              </w:rPr>
              <w:t xml:space="preserve"> </w:t>
            </w:r>
            <w:r w:rsidRPr="00D2681A">
              <w:rPr>
                <w:i/>
                <w:sz w:val="20"/>
              </w:rPr>
              <w:t>(“CDSA”)</w:t>
            </w:r>
            <w:r w:rsidRPr="00D2681A">
              <w:rPr>
                <w:sz w:val="20"/>
              </w:rPr>
              <w:t xml:space="preserve"> for the personal use of marijuana pending trial of their actions.</w:t>
            </w:r>
          </w:p>
        </w:tc>
      </w:tr>
      <w:tr w:rsidR="00D2681A" w:rsidRPr="00D2681A" w:rsidTr="00EB2E70">
        <w:tc>
          <w:tcPr>
            <w:tcW w:w="5000" w:type="pct"/>
            <w:gridSpan w:val="4"/>
          </w:tcPr>
          <w:p w:rsidR="00D2681A" w:rsidRPr="00D2681A" w:rsidRDefault="00D2681A" w:rsidP="00D2681A">
            <w:pPr>
              <w:jc w:val="both"/>
              <w:rPr>
                <w:sz w:val="20"/>
              </w:rPr>
            </w:pPr>
          </w:p>
        </w:tc>
      </w:tr>
      <w:tr w:rsidR="00D2681A" w:rsidRPr="00D2681A" w:rsidTr="00EB2E70">
        <w:tc>
          <w:tcPr>
            <w:tcW w:w="2427" w:type="pct"/>
            <w:gridSpan w:val="2"/>
          </w:tcPr>
          <w:p w:rsidR="00D2681A" w:rsidRPr="00D2681A" w:rsidRDefault="00D2681A" w:rsidP="00D2681A">
            <w:pPr>
              <w:jc w:val="both"/>
              <w:rPr>
                <w:sz w:val="20"/>
              </w:rPr>
            </w:pPr>
            <w:r w:rsidRPr="00D2681A">
              <w:rPr>
                <w:sz w:val="20"/>
              </w:rPr>
              <w:t>May 7, 2014</w:t>
            </w:r>
          </w:p>
          <w:p w:rsidR="00D2681A" w:rsidRPr="00D2681A" w:rsidRDefault="00D2681A" w:rsidP="00D2681A">
            <w:pPr>
              <w:jc w:val="both"/>
              <w:rPr>
                <w:sz w:val="20"/>
              </w:rPr>
            </w:pPr>
            <w:r w:rsidRPr="00D2681A">
              <w:rPr>
                <w:sz w:val="20"/>
              </w:rPr>
              <w:t>Federal Court</w:t>
            </w:r>
          </w:p>
          <w:p w:rsidR="00D2681A" w:rsidRPr="00D2681A" w:rsidRDefault="00D2681A" w:rsidP="00D2681A">
            <w:pPr>
              <w:jc w:val="both"/>
              <w:rPr>
                <w:sz w:val="20"/>
              </w:rPr>
            </w:pPr>
            <w:r w:rsidRPr="00D2681A">
              <w:rPr>
                <w:sz w:val="20"/>
              </w:rPr>
              <w:t>(Phelan J.)</w:t>
            </w:r>
          </w:p>
          <w:p w:rsidR="00D2681A" w:rsidRPr="00D2681A" w:rsidRDefault="00D2681A" w:rsidP="00D2681A">
            <w:pPr>
              <w:jc w:val="both"/>
              <w:rPr>
                <w:sz w:val="20"/>
              </w:rPr>
            </w:pPr>
          </w:p>
        </w:tc>
        <w:tc>
          <w:tcPr>
            <w:tcW w:w="243" w:type="pct"/>
          </w:tcPr>
          <w:p w:rsidR="00D2681A" w:rsidRPr="00D2681A" w:rsidRDefault="00D2681A" w:rsidP="00D2681A">
            <w:pPr>
              <w:jc w:val="both"/>
              <w:rPr>
                <w:sz w:val="20"/>
              </w:rPr>
            </w:pPr>
          </w:p>
        </w:tc>
        <w:tc>
          <w:tcPr>
            <w:tcW w:w="2330" w:type="pct"/>
          </w:tcPr>
          <w:p w:rsidR="00D2681A" w:rsidRPr="00D2681A" w:rsidRDefault="00D2681A" w:rsidP="00D2681A">
            <w:pPr>
              <w:jc w:val="both"/>
              <w:rPr>
                <w:sz w:val="20"/>
              </w:rPr>
            </w:pPr>
            <w:r w:rsidRPr="00D2681A">
              <w:rPr>
                <w:sz w:val="20"/>
              </w:rPr>
              <w:t xml:space="preserve">Motion for interim constitutional exemptions from provisions of </w:t>
            </w:r>
            <w:r w:rsidRPr="00D2681A">
              <w:rPr>
                <w:i/>
                <w:sz w:val="20"/>
              </w:rPr>
              <w:t>Controlled Drugs and Substances Act</w:t>
            </w:r>
            <w:r w:rsidRPr="00D2681A">
              <w:rPr>
                <w:sz w:val="20"/>
              </w:rPr>
              <w:t xml:space="preserve"> dismissed</w:t>
            </w:r>
          </w:p>
          <w:p w:rsidR="00D2681A" w:rsidRPr="00D2681A" w:rsidRDefault="00D2681A" w:rsidP="00D2681A">
            <w:pPr>
              <w:jc w:val="both"/>
              <w:rPr>
                <w:sz w:val="20"/>
              </w:rPr>
            </w:pPr>
          </w:p>
        </w:tc>
      </w:tr>
      <w:tr w:rsidR="00D2681A" w:rsidRPr="00D2681A" w:rsidTr="00EB2E70">
        <w:tc>
          <w:tcPr>
            <w:tcW w:w="2427" w:type="pct"/>
            <w:gridSpan w:val="2"/>
          </w:tcPr>
          <w:p w:rsidR="00D2681A" w:rsidRPr="00D2681A" w:rsidRDefault="00D2681A" w:rsidP="00D2681A">
            <w:pPr>
              <w:jc w:val="both"/>
              <w:rPr>
                <w:sz w:val="20"/>
              </w:rPr>
            </w:pPr>
            <w:r w:rsidRPr="00D2681A">
              <w:rPr>
                <w:sz w:val="20"/>
              </w:rPr>
              <w:t>January 13, 2016</w:t>
            </w:r>
          </w:p>
          <w:p w:rsidR="00D2681A" w:rsidRPr="00D2681A" w:rsidRDefault="00D2681A" w:rsidP="00D2681A">
            <w:pPr>
              <w:jc w:val="both"/>
              <w:rPr>
                <w:sz w:val="20"/>
              </w:rPr>
            </w:pPr>
            <w:r w:rsidRPr="00D2681A">
              <w:rPr>
                <w:sz w:val="20"/>
              </w:rPr>
              <w:t>Federal Court of Appeal</w:t>
            </w:r>
          </w:p>
          <w:p w:rsidR="00D2681A" w:rsidRPr="00D2681A" w:rsidRDefault="00D2681A" w:rsidP="00D2681A">
            <w:pPr>
              <w:jc w:val="both"/>
              <w:rPr>
                <w:sz w:val="20"/>
              </w:rPr>
            </w:pPr>
            <w:r w:rsidRPr="00D2681A">
              <w:rPr>
                <w:sz w:val="20"/>
              </w:rPr>
              <w:t>(Pelletier, Stratas and Gleason JJ.A.)</w:t>
            </w:r>
          </w:p>
          <w:p w:rsidR="00D2681A" w:rsidRPr="00D2681A" w:rsidRDefault="00B621BC" w:rsidP="00D2681A">
            <w:pPr>
              <w:jc w:val="both"/>
              <w:rPr>
                <w:sz w:val="20"/>
                <w:lang w:eastAsia="en-CA"/>
              </w:rPr>
            </w:pPr>
            <w:hyperlink r:id="rId37" w:history="1">
              <w:r w:rsidR="00D2681A" w:rsidRPr="00D2681A">
                <w:rPr>
                  <w:color w:val="0000FF" w:themeColor="hyperlink"/>
                  <w:sz w:val="20"/>
                  <w:u w:val="single"/>
                  <w:lang w:eastAsia="en-CA"/>
                </w:rPr>
                <w:t>2016 FCA 9</w:t>
              </w:r>
            </w:hyperlink>
          </w:p>
          <w:p w:rsidR="00D2681A" w:rsidRPr="00D2681A" w:rsidRDefault="00D2681A" w:rsidP="00D2681A">
            <w:pPr>
              <w:jc w:val="both"/>
              <w:rPr>
                <w:sz w:val="20"/>
              </w:rPr>
            </w:pPr>
          </w:p>
        </w:tc>
        <w:tc>
          <w:tcPr>
            <w:tcW w:w="243" w:type="pct"/>
          </w:tcPr>
          <w:p w:rsidR="00D2681A" w:rsidRPr="00D2681A" w:rsidRDefault="00D2681A" w:rsidP="00D2681A">
            <w:pPr>
              <w:jc w:val="both"/>
              <w:rPr>
                <w:sz w:val="20"/>
              </w:rPr>
            </w:pPr>
          </w:p>
        </w:tc>
        <w:tc>
          <w:tcPr>
            <w:tcW w:w="2330" w:type="pct"/>
          </w:tcPr>
          <w:p w:rsidR="00D2681A" w:rsidRPr="00D2681A" w:rsidRDefault="00D2681A" w:rsidP="00D2681A">
            <w:pPr>
              <w:jc w:val="both"/>
              <w:rPr>
                <w:sz w:val="20"/>
              </w:rPr>
            </w:pPr>
            <w:r w:rsidRPr="00D2681A">
              <w:rPr>
                <w:sz w:val="20"/>
              </w:rPr>
              <w:t>Appeal dismissed</w:t>
            </w:r>
          </w:p>
          <w:p w:rsidR="00D2681A" w:rsidRPr="00D2681A" w:rsidRDefault="00D2681A" w:rsidP="00D2681A">
            <w:pPr>
              <w:jc w:val="both"/>
              <w:rPr>
                <w:sz w:val="20"/>
              </w:rPr>
            </w:pPr>
          </w:p>
        </w:tc>
      </w:tr>
      <w:tr w:rsidR="00D2681A" w:rsidRPr="00D2681A" w:rsidTr="00EB2E70">
        <w:tc>
          <w:tcPr>
            <w:tcW w:w="2427" w:type="pct"/>
            <w:gridSpan w:val="2"/>
          </w:tcPr>
          <w:p w:rsidR="00D2681A" w:rsidRPr="00D2681A" w:rsidRDefault="00D2681A" w:rsidP="00D2681A">
            <w:pPr>
              <w:jc w:val="both"/>
              <w:rPr>
                <w:sz w:val="20"/>
              </w:rPr>
            </w:pPr>
            <w:r w:rsidRPr="00D2681A">
              <w:rPr>
                <w:sz w:val="20"/>
              </w:rPr>
              <w:t>March 15, 2016</w:t>
            </w:r>
          </w:p>
          <w:p w:rsidR="00D2681A" w:rsidRPr="00D2681A" w:rsidRDefault="00D2681A" w:rsidP="00D2681A">
            <w:pPr>
              <w:jc w:val="both"/>
              <w:rPr>
                <w:sz w:val="20"/>
              </w:rPr>
            </w:pPr>
            <w:r w:rsidRPr="00D2681A">
              <w:rPr>
                <w:sz w:val="20"/>
              </w:rPr>
              <w:t>Supreme Court of Canada</w:t>
            </w:r>
          </w:p>
        </w:tc>
        <w:tc>
          <w:tcPr>
            <w:tcW w:w="243" w:type="pct"/>
          </w:tcPr>
          <w:p w:rsidR="00D2681A" w:rsidRPr="00D2681A" w:rsidRDefault="00D2681A" w:rsidP="00D2681A">
            <w:pPr>
              <w:jc w:val="both"/>
              <w:rPr>
                <w:sz w:val="20"/>
              </w:rPr>
            </w:pPr>
          </w:p>
        </w:tc>
        <w:tc>
          <w:tcPr>
            <w:tcW w:w="2330" w:type="pct"/>
          </w:tcPr>
          <w:p w:rsidR="00D2681A" w:rsidRPr="00D2681A" w:rsidRDefault="00D2681A" w:rsidP="00D2681A">
            <w:pPr>
              <w:jc w:val="both"/>
              <w:rPr>
                <w:sz w:val="20"/>
              </w:rPr>
            </w:pPr>
            <w:r w:rsidRPr="00D2681A">
              <w:rPr>
                <w:sz w:val="20"/>
              </w:rPr>
              <w:t>Motion to extend time to serve and file application for leave to appeal and application for leave to appeal filed</w:t>
            </w:r>
          </w:p>
        </w:tc>
      </w:tr>
    </w:tbl>
    <w:p w:rsidR="00D2681A" w:rsidRDefault="00D2681A" w:rsidP="00D2681A">
      <w:pPr>
        <w:jc w:val="both"/>
        <w:rPr>
          <w:sz w:val="20"/>
        </w:rPr>
      </w:pPr>
    </w:p>
    <w:p w:rsidR="00D2681A" w:rsidRPr="00D2681A" w:rsidRDefault="00D2681A" w:rsidP="00D268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681A" w:rsidRPr="00D2681A" w:rsidTr="00EB2E70">
        <w:tc>
          <w:tcPr>
            <w:tcW w:w="543" w:type="pct"/>
          </w:tcPr>
          <w:p w:rsidR="00D2681A" w:rsidRPr="00D2681A" w:rsidRDefault="00D2681A" w:rsidP="00D2681A">
            <w:pPr>
              <w:jc w:val="both"/>
              <w:rPr>
                <w:sz w:val="20"/>
                <w:lang w:val="fr-CA"/>
              </w:rPr>
            </w:pPr>
            <w:r w:rsidRPr="00D2681A">
              <w:rPr>
                <w:rStyle w:val="SCCFileNumberChar"/>
                <w:sz w:val="20"/>
                <w:szCs w:val="20"/>
                <w:lang w:val="fr-CA"/>
              </w:rPr>
              <w:t>36928</w:t>
            </w:r>
          </w:p>
        </w:tc>
        <w:tc>
          <w:tcPr>
            <w:tcW w:w="4457" w:type="pct"/>
            <w:gridSpan w:val="3"/>
          </w:tcPr>
          <w:p w:rsidR="00D2681A" w:rsidRPr="00D2681A" w:rsidRDefault="00D2681A" w:rsidP="00D2681A">
            <w:pPr>
              <w:pStyle w:val="SCCLsocParty"/>
              <w:jc w:val="both"/>
              <w:rPr>
                <w:b/>
                <w:sz w:val="20"/>
                <w:szCs w:val="20"/>
              </w:rPr>
            </w:pPr>
            <w:r w:rsidRPr="00D2681A">
              <w:rPr>
                <w:b/>
                <w:sz w:val="20"/>
                <w:szCs w:val="20"/>
              </w:rPr>
              <w:t>Robert Roy c. Sa Majesté la Reine</w:t>
            </w:r>
          </w:p>
          <w:p w:rsidR="00D2681A" w:rsidRPr="00D2681A" w:rsidRDefault="00D2681A" w:rsidP="00D2681A">
            <w:pPr>
              <w:jc w:val="both"/>
              <w:rPr>
                <w:sz w:val="20"/>
                <w:lang w:val="fr-CA"/>
              </w:rPr>
            </w:pPr>
            <w:r w:rsidRPr="00D2681A">
              <w:rPr>
                <w:sz w:val="20"/>
                <w:lang w:val="fr-CA"/>
              </w:rPr>
              <w:t>(CF) (Civile) (Sur autorisation)</w:t>
            </w:r>
          </w:p>
        </w:tc>
      </w:tr>
      <w:tr w:rsidR="00D2681A" w:rsidRPr="00D2681A" w:rsidTr="00EB2E70">
        <w:tc>
          <w:tcPr>
            <w:tcW w:w="5000" w:type="pct"/>
            <w:gridSpan w:val="4"/>
          </w:tcPr>
          <w:p w:rsidR="00D2681A" w:rsidRPr="00D2681A" w:rsidRDefault="00D2681A" w:rsidP="00D2681A">
            <w:pPr>
              <w:jc w:val="both"/>
              <w:rPr>
                <w:sz w:val="20"/>
                <w:lang w:val="fr-CA"/>
              </w:rPr>
            </w:pPr>
            <w:r w:rsidRPr="00D2681A">
              <w:rPr>
                <w:sz w:val="20"/>
                <w:lang w:val="fr-CA"/>
              </w:rPr>
              <w:lastRenderedPageBreak/>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D2681A">
              <w:rPr>
                <w:i/>
                <w:sz w:val="20"/>
                <w:lang w:val="fr-CA"/>
              </w:rPr>
              <w:t>Loi réglementant certaines drogues et autres substances</w:t>
            </w:r>
            <w:r w:rsidRPr="00D2681A">
              <w:rPr>
                <w:sz w:val="20"/>
                <w:lang w:val="fr-CA"/>
              </w:rPr>
              <w:t>, L.C., 1996, ch. 19.</w:t>
            </w:r>
          </w:p>
        </w:tc>
      </w:tr>
      <w:tr w:rsidR="00D2681A" w:rsidRPr="00D2681A" w:rsidTr="00EB2E70">
        <w:tc>
          <w:tcPr>
            <w:tcW w:w="5000" w:type="pct"/>
            <w:gridSpan w:val="4"/>
          </w:tcPr>
          <w:p w:rsidR="00D2681A" w:rsidRPr="00D2681A" w:rsidRDefault="00D2681A" w:rsidP="00D2681A">
            <w:pPr>
              <w:jc w:val="both"/>
              <w:rPr>
                <w:sz w:val="20"/>
                <w:lang w:val="fr-CA"/>
              </w:rPr>
            </w:pPr>
          </w:p>
        </w:tc>
      </w:tr>
      <w:tr w:rsidR="00D2681A" w:rsidRPr="00D2681A" w:rsidTr="00EB2E70">
        <w:tc>
          <w:tcPr>
            <w:tcW w:w="5000" w:type="pct"/>
            <w:gridSpan w:val="4"/>
          </w:tcPr>
          <w:p w:rsidR="00D2681A" w:rsidRPr="00D2681A" w:rsidRDefault="00D2681A" w:rsidP="00D2681A">
            <w:pPr>
              <w:jc w:val="both"/>
              <w:rPr>
                <w:sz w:val="20"/>
                <w:lang w:val="fr-CA"/>
              </w:rPr>
            </w:pPr>
            <w:r w:rsidRPr="00D2681A">
              <w:rPr>
                <w:sz w:val="20"/>
                <w:lang w:val="fr-CA"/>
              </w:rPr>
              <w:t xml:space="preserve">Depuis février 2014, environ 300 plaideurs non représentés, y compris le demandeur, ont déposé des demandes identiques sollicitant des jugements qui déclarent inconstitutionnels le </w:t>
            </w:r>
            <w:r w:rsidRPr="00D2681A">
              <w:rPr>
                <w:i/>
                <w:sz w:val="20"/>
                <w:lang w:val="fr-CA"/>
              </w:rPr>
              <w:t>Règlement sur l’accès à la marihuana à des fins médicales (« RAMFM »)</w:t>
            </w:r>
            <w:r w:rsidRPr="00D2681A">
              <w:rPr>
                <w:sz w:val="20"/>
                <w:lang w:val="fr-CA"/>
              </w:rPr>
              <w:t xml:space="preserve">, D.O.R.S./2001-227, abrogé le 31 mars 2014 et le </w:t>
            </w:r>
            <w:r w:rsidRPr="00D2681A">
              <w:rPr>
                <w:i/>
                <w:sz w:val="20"/>
                <w:lang w:val="fr-CA"/>
              </w:rPr>
              <w:t>Règlement sur la marihuana à des fins médicales</w:t>
            </w:r>
            <w:r w:rsidRPr="00D2681A">
              <w:rPr>
                <w:sz w:val="20"/>
                <w:lang w:val="fr-CA"/>
              </w:rPr>
              <w:t xml:space="preserve">, D.O.R.S./2013-119, qui a remplacé le </w:t>
            </w:r>
            <w:r w:rsidRPr="00D2681A">
              <w:rPr>
                <w:i/>
                <w:sz w:val="20"/>
                <w:lang w:val="fr-CA"/>
              </w:rPr>
              <w:t>RAMFM</w:t>
            </w:r>
            <w:r w:rsidRPr="00D2681A">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D2681A">
              <w:rPr>
                <w:i/>
                <w:sz w:val="20"/>
                <w:lang w:val="fr-CA"/>
              </w:rPr>
              <w:t>Loi réglementant certaines drogues et autres substances («</w:t>
            </w:r>
            <w:r w:rsidRPr="00D2681A">
              <w:rPr>
                <w:sz w:val="20"/>
                <w:lang w:val="fr-CA"/>
              </w:rPr>
              <w:t> </w:t>
            </w:r>
            <w:r w:rsidRPr="00D2681A">
              <w:rPr>
                <w:i/>
                <w:sz w:val="20"/>
                <w:lang w:val="fr-CA"/>
              </w:rPr>
              <w:t>LRCDAS »)</w:t>
            </w:r>
            <w:r w:rsidRPr="00D2681A">
              <w:rPr>
                <w:sz w:val="20"/>
                <w:lang w:val="fr-CA"/>
              </w:rPr>
              <w:t xml:space="preserve"> pour l’utilisation personnelle de la marihuana en attendant que leurs actions soient instruites.</w:t>
            </w:r>
          </w:p>
        </w:tc>
      </w:tr>
      <w:tr w:rsidR="00D2681A" w:rsidRPr="00D2681A" w:rsidTr="00EB2E70">
        <w:tc>
          <w:tcPr>
            <w:tcW w:w="5000" w:type="pct"/>
            <w:gridSpan w:val="4"/>
          </w:tcPr>
          <w:p w:rsidR="00D2681A" w:rsidRPr="00D2681A" w:rsidRDefault="00D2681A" w:rsidP="00D2681A">
            <w:pPr>
              <w:jc w:val="both"/>
              <w:rPr>
                <w:sz w:val="20"/>
                <w:lang w:val="fr-CA"/>
              </w:rPr>
            </w:pPr>
          </w:p>
        </w:tc>
      </w:tr>
      <w:tr w:rsidR="00D2681A" w:rsidRPr="00D2681A" w:rsidTr="00EB2E70">
        <w:tc>
          <w:tcPr>
            <w:tcW w:w="2427" w:type="pct"/>
            <w:gridSpan w:val="2"/>
          </w:tcPr>
          <w:p w:rsidR="00D2681A" w:rsidRPr="00D2681A" w:rsidRDefault="00D2681A" w:rsidP="00D2681A">
            <w:pPr>
              <w:jc w:val="both"/>
              <w:rPr>
                <w:sz w:val="20"/>
                <w:lang w:val="fr-CA"/>
              </w:rPr>
            </w:pPr>
            <w:r w:rsidRPr="00D2681A">
              <w:rPr>
                <w:sz w:val="20"/>
                <w:lang w:val="fr-CA"/>
              </w:rPr>
              <w:t>7 mai 2014</w:t>
            </w:r>
          </w:p>
          <w:p w:rsidR="00D2681A" w:rsidRPr="00D2681A" w:rsidRDefault="00D2681A" w:rsidP="00D2681A">
            <w:pPr>
              <w:jc w:val="both"/>
              <w:rPr>
                <w:sz w:val="20"/>
                <w:lang w:val="fr-CA"/>
              </w:rPr>
            </w:pPr>
            <w:r w:rsidRPr="00D2681A">
              <w:rPr>
                <w:sz w:val="20"/>
                <w:lang w:val="fr-CA"/>
              </w:rPr>
              <w:t xml:space="preserve">Cour fédérale </w:t>
            </w:r>
          </w:p>
          <w:p w:rsidR="00D2681A" w:rsidRPr="00D2681A" w:rsidRDefault="00D2681A" w:rsidP="00D2681A">
            <w:pPr>
              <w:jc w:val="both"/>
              <w:rPr>
                <w:sz w:val="20"/>
                <w:lang w:val="fr-CA"/>
              </w:rPr>
            </w:pPr>
            <w:r w:rsidRPr="00D2681A">
              <w:rPr>
                <w:sz w:val="20"/>
                <w:lang w:val="fr-CA"/>
              </w:rPr>
              <w:t>(Juge Phelan)</w:t>
            </w:r>
          </w:p>
        </w:tc>
        <w:tc>
          <w:tcPr>
            <w:tcW w:w="243" w:type="pct"/>
          </w:tcPr>
          <w:p w:rsidR="00D2681A" w:rsidRPr="00D2681A" w:rsidRDefault="00D2681A" w:rsidP="00D2681A">
            <w:pPr>
              <w:jc w:val="both"/>
              <w:rPr>
                <w:sz w:val="20"/>
                <w:lang w:val="fr-CA"/>
              </w:rPr>
            </w:pPr>
          </w:p>
        </w:tc>
        <w:tc>
          <w:tcPr>
            <w:tcW w:w="2330" w:type="pct"/>
          </w:tcPr>
          <w:p w:rsidR="00D2681A" w:rsidRPr="00D2681A" w:rsidRDefault="00D2681A" w:rsidP="00D2681A">
            <w:pPr>
              <w:jc w:val="both"/>
              <w:rPr>
                <w:sz w:val="20"/>
                <w:lang w:val="fr-CA"/>
              </w:rPr>
            </w:pPr>
            <w:r w:rsidRPr="00D2681A">
              <w:rPr>
                <w:sz w:val="20"/>
                <w:lang w:val="fr-CA"/>
              </w:rPr>
              <w:t xml:space="preserve">Rejet de la requête en exemption constitutionnelle visant à écarter temporairement l’application de la </w:t>
            </w:r>
            <w:r w:rsidRPr="00D2681A">
              <w:rPr>
                <w:i/>
                <w:sz w:val="20"/>
                <w:lang w:val="fr-CA"/>
              </w:rPr>
              <w:t>Loi réglementant certaines drogues et autres substances</w:t>
            </w:r>
          </w:p>
          <w:p w:rsidR="00D2681A" w:rsidRPr="00D2681A" w:rsidRDefault="00D2681A" w:rsidP="00D2681A">
            <w:pPr>
              <w:jc w:val="both"/>
              <w:rPr>
                <w:sz w:val="20"/>
                <w:lang w:val="fr-CA"/>
              </w:rPr>
            </w:pPr>
          </w:p>
        </w:tc>
      </w:tr>
      <w:tr w:rsidR="00D2681A" w:rsidRPr="00D2681A" w:rsidTr="00EB2E70">
        <w:tc>
          <w:tcPr>
            <w:tcW w:w="2427" w:type="pct"/>
            <w:gridSpan w:val="2"/>
          </w:tcPr>
          <w:p w:rsidR="00D2681A" w:rsidRPr="00D2681A" w:rsidRDefault="00D2681A" w:rsidP="00D2681A">
            <w:pPr>
              <w:jc w:val="both"/>
              <w:rPr>
                <w:sz w:val="20"/>
                <w:lang w:val="fr-CA"/>
              </w:rPr>
            </w:pPr>
            <w:r w:rsidRPr="00D2681A">
              <w:rPr>
                <w:sz w:val="20"/>
                <w:lang w:val="fr-CA"/>
              </w:rPr>
              <w:t>13 janvier 2016</w:t>
            </w:r>
          </w:p>
          <w:p w:rsidR="00D2681A" w:rsidRPr="00D2681A" w:rsidRDefault="00D2681A" w:rsidP="00D2681A">
            <w:pPr>
              <w:jc w:val="both"/>
              <w:rPr>
                <w:sz w:val="20"/>
                <w:lang w:val="fr-CA"/>
              </w:rPr>
            </w:pPr>
            <w:r w:rsidRPr="00D2681A">
              <w:rPr>
                <w:sz w:val="20"/>
                <w:lang w:val="fr-CA"/>
              </w:rPr>
              <w:t xml:space="preserve">Cour d’appel fédérale </w:t>
            </w:r>
          </w:p>
          <w:p w:rsidR="00D2681A" w:rsidRPr="00D2681A" w:rsidRDefault="00D2681A" w:rsidP="00D2681A">
            <w:pPr>
              <w:jc w:val="both"/>
              <w:rPr>
                <w:sz w:val="20"/>
                <w:lang w:val="fr-CA" w:eastAsia="en-CA"/>
              </w:rPr>
            </w:pPr>
            <w:r w:rsidRPr="00D2681A">
              <w:rPr>
                <w:sz w:val="20"/>
                <w:lang w:val="fr-CA" w:eastAsia="en-CA"/>
              </w:rPr>
              <w:t>(Juges Pelletier, Stratas et Gleason)</w:t>
            </w:r>
          </w:p>
          <w:p w:rsidR="00D2681A" w:rsidRPr="00D2681A" w:rsidRDefault="00B621BC" w:rsidP="00D2681A">
            <w:pPr>
              <w:jc w:val="both"/>
              <w:rPr>
                <w:sz w:val="20"/>
                <w:lang w:val="fr-CA" w:eastAsia="en-CA"/>
              </w:rPr>
            </w:pPr>
            <w:hyperlink r:id="rId38" w:history="1">
              <w:r w:rsidR="00D2681A" w:rsidRPr="00D2681A">
                <w:rPr>
                  <w:color w:val="0000FF" w:themeColor="hyperlink"/>
                  <w:sz w:val="20"/>
                  <w:u w:val="single"/>
                  <w:lang w:val="fr-CA" w:eastAsia="en-CA"/>
                </w:rPr>
                <w:t>2016 FCA 9</w:t>
              </w:r>
            </w:hyperlink>
          </w:p>
          <w:p w:rsidR="00D2681A" w:rsidRPr="00D2681A" w:rsidRDefault="00D2681A" w:rsidP="00D2681A">
            <w:pPr>
              <w:jc w:val="both"/>
              <w:rPr>
                <w:sz w:val="20"/>
                <w:lang w:val="fr-CA"/>
              </w:rPr>
            </w:pPr>
          </w:p>
        </w:tc>
        <w:tc>
          <w:tcPr>
            <w:tcW w:w="243" w:type="pct"/>
          </w:tcPr>
          <w:p w:rsidR="00D2681A" w:rsidRPr="00D2681A" w:rsidRDefault="00D2681A" w:rsidP="00D2681A">
            <w:pPr>
              <w:jc w:val="both"/>
              <w:rPr>
                <w:sz w:val="20"/>
                <w:lang w:val="fr-CA"/>
              </w:rPr>
            </w:pPr>
          </w:p>
        </w:tc>
        <w:tc>
          <w:tcPr>
            <w:tcW w:w="2330" w:type="pct"/>
          </w:tcPr>
          <w:p w:rsidR="00D2681A" w:rsidRPr="00D2681A" w:rsidRDefault="00D2681A" w:rsidP="00D2681A">
            <w:pPr>
              <w:jc w:val="both"/>
              <w:rPr>
                <w:sz w:val="20"/>
                <w:lang w:val="fr-CA"/>
              </w:rPr>
            </w:pPr>
            <w:r w:rsidRPr="00D2681A">
              <w:rPr>
                <w:sz w:val="20"/>
                <w:lang w:val="fr-CA"/>
              </w:rPr>
              <w:t>Rejet de l’appel</w:t>
            </w:r>
          </w:p>
          <w:p w:rsidR="00D2681A" w:rsidRPr="00D2681A" w:rsidRDefault="00D2681A" w:rsidP="00D2681A">
            <w:pPr>
              <w:jc w:val="both"/>
              <w:rPr>
                <w:sz w:val="20"/>
                <w:lang w:val="fr-CA"/>
              </w:rPr>
            </w:pPr>
          </w:p>
        </w:tc>
      </w:tr>
      <w:tr w:rsidR="00D2681A" w:rsidRPr="00D2681A" w:rsidTr="00EB2E70">
        <w:tc>
          <w:tcPr>
            <w:tcW w:w="2427" w:type="pct"/>
            <w:gridSpan w:val="2"/>
          </w:tcPr>
          <w:p w:rsidR="00D2681A" w:rsidRPr="00D2681A" w:rsidRDefault="00D2681A" w:rsidP="00D2681A">
            <w:pPr>
              <w:jc w:val="both"/>
              <w:rPr>
                <w:sz w:val="20"/>
                <w:lang w:val="fr-CA"/>
              </w:rPr>
            </w:pPr>
            <w:r w:rsidRPr="00D2681A">
              <w:rPr>
                <w:sz w:val="20"/>
                <w:lang w:val="fr-CA"/>
              </w:rPr>
              <w:t>15 mars 2016</w:t>
            </w:r>
          </w:p>
          <w:p w:rsidR="00D2681A" w:rsidRPr="00D2681A" w:rsidRDefault="00D2681A" w:rsidP="00D2681A">
            <w:pPr>
              <w:jc w:val="both"/>
              <w:rPr>
                <w:sz w:val="20"/>
                <w:lang w:val="fr-CA"/>
              </w:rPr>
            </w:pPr>
            <w:r w:rsidRPr="00D2681A">
              <w:rPr>
                <w:sz w:val="20"/>
                <w:lang w:val="fr-CA"/>
              </w:rPr>
              <w:t>Cour suprême du Canada</w:t>
            </w:r>
          </w:p>
          <w:p w:rsidR="00D2681A" w:rsidRPr="00D2681A" w:rsidRDefault="00D2681A" w:rsidP="00D2681A">
            <w:pPr>
              <w:jc w:val="both"/>
              <w:rPr>
                <w:sz w:val="20"/>
                <w:lang w:val="fr-CA"/>
              </w:rPr>
            </w:pPr>
          </w:p>
        </w:tc>
        <w:tc>
          <w:tcPr>
            <w:tcW w:w="243" w:type="pct"/>
          </w:tcPr>
          <w:p w:rsidR="00D2681A" w:rsidRPr="00D2681A" w:rsidRDefault="00D2681A" w:rsidP="00D2681A">
            <w:pPr>
              <w:jc w:val="both"/>
              <w:rPr>
                <w:sz w:val="20"/>
                <w:lang w:val="fr-CA"/>
              </w:rPr>
            </w:pPr>
          </w:p>
        </w:tc>
        <w:tc>
          <w:tcPr>
            <w:tcW w:w="2330" w:type="pct"/>
          </w:tcPr>
          <w:p w:rsidR="00D2681A" w:rsidRPr="00D2681A" w:rsidRDefault="00D2681A" w:rsidP="00D2681A">
            <w:pPr>
              <w:jc w:val="both"/>
              <w:rPr>
                <w:sz w:val="20"/>
                <w:lang w:val="fr-CA"/>
              </w:rPr>
            </w:pPr>
            <w:r w:rsidRPr="00D2681A">
              <w:rPr>
                <w:sz w:val="20"/>
                <w:lang w:val="fr-CA"/>
              </w:rPr>
              <w:t>Dépôt de la requête en prorogation du délai de signification et de dépôt de la demande d’autorisation d’appel et de la demande d’autorisation d’appel</w:t>
            </w:r>
          </w:p>
        </w:tc>
      </w:tr>
    </w:tbl>
    <w:p w:rsidR="00D2681A" w:rsidRPr="00D2681A" w:rsidRDefault="00D2681A" w:rsidP="00D2681A">
      <w:pPr>
        <w:jc w:val="both"/>
        <w:rPr>
          <w:sz w:val="20"/>
          <w:lang w:val="fr-CA"/>
        </w:rPr>
      </w:pPr>
    </w:p>
    <w:p w:rsidR="00D15B3E" w:rsidRPr="00EB2E70" w:rsidRDefault="00D15B3E" w:rsidP="00EB2E7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E70" w:rsidRPr="00EB2E70" w:rsidTr="00EB2E70">
        <w:tc>
          <w:tcPr>
            <w:tcW w:w="543" w:type="pct"/>
          </w:tcPr>
          <w:p w:rsidR="00EB2E70" w:rsidRPr="00EB2E70" w:rsidRDefault="00EB2E70" w:rsidP="00EB2E70">
            <w:pPr>
              <w:jc w:val="both"/>
              <w:rPr>
                <w:sz w:val="20"/>
              </w:rPr>
            </w:pPr>
            <w:r w:rsidRPr="00EB2E70">
              <w:rPr>
                <w:rStyle w:val="SCCFileNumberChar"/>
                <w:sz w:val="20"/>
                <w:szCs w:val="20"/>
              </w:rPr>
              <w:t>36929</w:t>
            </w:r>
          </w:p>
        </w:tc>
        <w:tc>
          <w:tcPr>
            <w:tcW w:w="4457" w:type="pct"/>
            <w:gridSpan w:val="3"/>
          </w:tcPr>
          <w:p w:rsidR="00EB2E70" w:rsidRPr="00EB2E70" w:rsidRDefault="00EB2E70" w:rsidP="00EB2E70">
            <w:pPr>
              <w:pStyle w:val="SCCLsocParty"/>
              <w:jc w:val="both"/>
              <w:rPr>
                <w:b/>
                <w:sz w:val="20"/>
                <w:szCs w:val="20"/>
              </w:rPr>
            </w:pPr>
            <w:r w:rsidRPr="00EB2E70">
              <w:rPr>
                <w:b/>
                <w:sz w:val="20"/>
                <w:szCs w:val="20"/>
              </w:rPr>
              <w:t>Stephen Patrick Burrows v. Her Majesty the Queen</w:t>
            </w:r>
          </w:p>
          <w:p w:rsidR="00EB2E70" w:rsidRPr="00EB2E70" w:rsidRDefault="00EB2E70" w:rsidP="00EB2E70">
            <w:pPr>
              <w:jc w:val="both"/>
              <w:rPr>
                <w:sz w:val="20"/>
              </w:rPr>
            </w:pPr>
            <w:r w:rsidRPr="00EB2E70">
              <w:rPr>
                <w:sz w:val="20"/>
              </w:rPr>
              <w:t>(FC) (Civil) (By Leave)</w:t>
            </w:r>
          </w:p>
        </w:tc>
      </w:tr>
      <w:tr w:rsidR="00EB2E70" w:rsidRPr="00EB2E70" w:rsidTr="00EB2E70">
        <w:tc>
          <w:tcPr>
            <w:tcW w:w="5000" w:type="pct"/>
            <w:gridSpan w:val="4"/>
          </w:tcPr>
          <w:p w:rsidR="00EB2E70" w:rsidRPr="00EB2E70" w:rsidRDefault="00EB2E70" w:rsidP="00EB2E70">
            <w:pPr>
              <w:jc w:val="both"/>
              <w:rPr>
                <w:sz w:val="20"/>
              </w:rPr>
            </w:pPr>
            <w:r w:rsidRPr="00EB2E70">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B2E70">
              <w:rPr>
                <w:i/>
                <w:sz w:val="20"/>
              </w:rPr>
              <w:t>Controlled Drugs and Substances Act</w:t>
            </w:r>
            <w:r w:rsidRPr="00EB2E70">
              <w:rPr>
                <w:sz w:val="20"/>
              </w:rPr>
              <w:t>, S.C. 1996, c. 19.</w:t>
            </w:r>
          </w:p>
        </w:tc>
      </w:tr>
      <w:tr w:rsidR="00EB2E70" w:rsidRPr="00EB2E70" w:rsidTr="00EB2E70">
        <w:tc>
          <w:tcPr>
            <w:tcW w:w="5000" w:type="pct"/>
            <w:gridSpan w:val="4"/>
          </w:tcPr>
          <w:p w:rsidR="00EB2E70" w:rsidRPr="00EB2E70" w:rsidRDefault="00EB2E70" w:rsidP="00EB2E70">
            <w:pPr>
              <w:jc w:val="both"/>
              <w:rPr>
                <w:sz w:val="20"/>
              </w:rPr>
            </w:pPr>
          </w:p>
        </w:tc>
      </w:tr>
      <w:tr w:rsidR="00EB2E70" w:rsidRPr="00EB2E70" w:rsidTr="00EB2E70">
        <w:tc>
          <w:tcPr>
            <w:tcW w:w="5000" w:type="pct"/>
            <w:gridSpan w:val="4"/>
          </w:tcPr>
          <w:p w:rsidR="00EB2E70" w:rsidRPr="00EB2E70" w:rsidRDefault="00EB2E70" w:rsidP="00EB2E70">
            <w:pPr>
              <w:jc w:val="both"/>
              <w:rPr>
                <w:sz w:val="20"/>
              </w:rPr>
            </w:pPr>
            <w:r w:rsidRPr="00EB2E70">
              <w:rPr>
                <w:sz w:val="20"/>
              </w:rPr>
              <w:t xml:space="preserve">Since February 2014, approximately 300 self-represented plaintiffs, including the applicant, have filed identical claims seeking declarations that the </w:t>
            </w:r>
            <w:r w:rsidRPr="00EB2E70">
              <w:rPr>
                <w:i/>
                <w:sz w:val="20"/>
              </w:rPr>
              <w:t>Marijuana Medical Access Regulations (“MMAR”)</w:t>
            </w:r>
            <w:r w:rsidRPr="00EB2E70">
              <w:rPr>
                <w:sz w:val="20"/>
              </w:rPr>
              <w:t>, S.O.R./2001-227, which were repealed on March 31, 2014 and the</w:t>
            </w:r>
            <w:r w:rsidRPr="00EB2E70">
              <w:rPr>
                <w:i/>
                <w:sz w:val="20"/>
              </w:rPr>
              <w:t xml:space="preserve"> Marijuana for Medical Purposes Regulations</w:t>
            </w:r>
            <w:r w:rsidRPr="00EB2E70">
              <w:rPr>
                <w:sz w:val="20"/>
              </w:rPr>
              <w:t xml:space="preserve">, S.O.R./2013-119, which succeeded the </w:t>
            </w:r>
            <w:r w:rsidRPr="00EB2E70">
              <w:rPr>
                <w:i/>
                <w:sz w:val="20"/>
              </w:rPr>
              <w:t>MMAR</w:t>
            </w:r>
            <w:r w:rsidRPr="00EB2E70">
              <w:rPr>
                <w:sz w:val="20"/>
              </w:rPr>
              <w:t xml:space="preserve"> are unconstitutional. In the course of their actions, twenty-six plaintiffs, including the applicant, brought motions for interim constitutional exemptions from the </w:t>
            </w:r>
            <w:r w:rsidRPr="00EB2E70">
              <w:rPr>
                <w:i/>
                <w:sz w:val="20"/>
              </w:rPr>
              <w:t>Controlled Drugs and Substances Act</w:t>
            </w:r>
            <w:r w:rsidRPr="00EB2E70">
              <w:rPr>
                <w:sz w:val="20"/>
              </w:rPr>
              <w:t xml:space="preserve"> </w:t>
            </w:r>
            <w:r w:rsidRPr="00EB2E70">
              <w:rPr>
                <w:i/>
                <w:sz w:val="20"/>
              </w:rPr>
              <w:t>(“CDSA”)</w:t>
            </w:r>
            <w:r w:rsidRPr="00EB2E70">
              <w:rPr>
                <w:sz w:val="20"/>
              </w:rPr>
              <w:t xml:space="preserve"> for the personal use of marijuana pending trial of their actions.</w:t>
            </w:r>
          </w:p>
        </w:tc>
      </w:tr>
      <w:tr w:rsidR="00EB2E70" w:rsidRPr="00EB2E70" w:rsidTr="00EB2E70">
        <w:tc>
          <w:tcPr>
            <w:tcW w:w="5000" w:type="pct"/>
            <w:gridSpan w:val="4"/>
          </w:tcPr>
          <w:p w:rsidR="00EB2E70" w:rsidRPr="00EB2E70" w:rsidRDefault="00EB2E70" w:rsidP="00EB2E70">
            <w:pPr>
              <w:jc w:val="both"/>
              <w:rPr>
                <w:sz w:val="20"/>
              </w:rPr>
            </w:pPr>
          </w:p>
        </w:tc>
      </w:tr>
      <w:tr w:rsidR="00EB2E70" w:rsidRPr="00EB2E70" w:rsidTr="00EB2E70">
        <w:tc>
          <w:tcPr>
            <w:tcW w:w="2427" w:type="pct"/>
            <w:gridSpan w:val="2"/>
          </w:tcPr>
          <w:p w:rsidR="00EB2E70" w:rsidRPr="00EB2E70" w:rsidRDefault="00EB2E70" w:rsidP="00EB2E70">
            <w:pPr>
              <w:jc w:val="both"/>
              <w:rPr>
                <w:sz w:val="20"/>
              </w:rPr>
            </w:pPr>
            <w:r w:rsidRPr="00EB2E70">
              <w:rPr>
                <w:sz w:val="20"/>
              </w:rPr>
              <w:t>May 7, 2014</w:t>
            </w:r>
          </w:p>
          <w:p w:rsidR="00EB2E70" w:rsidRPr="00EB2E70" w:rsidRDefault="00EB2E70" w:rsidP="00EB2E70">
            <w:pPr>
              <w:jc w:val="both"/>
              <w:rPr>
                <w:sz w:val="20"/>
              </w:rPr>
            </w:pPr>
            <w:r w:rsidRPr="00EB2E70">
              <w:rPr>
                <w:sz w:val="20"/>
              </w:rPr>
              <w:t>Federal Court</w:t>
            </w:r>
          </w:p>
          <w:p w:rsidR="00EB2E70" w:rsidRPr="00EB2E70" w:rsidRDefault="00EB2E70" w:rsidP="00EB2E70">
            <w:pPr>
              <w:jc w:val="both"/>
              <w:rPr>
                <w:sz w:val="20"/>
              </w:rPr>
            </w:pPr>
            <w:r w:rsidRPr="00EB2E70">
              <w:rPr>
                <w:sz w:val="20"/>
              </w:rPr>
              <w:t>(Phelan J.)</w:t>
            </w:r>
          </w:p>
          <w:p w:rsidR="00EB2E70" w:rsidRPr="00EB2E70" w:rsidRDefault="00EB2E70" w:rsidP="00EB2E70">
            <w:pPr>
              <w:jc w:val="both"/>
              <w:rPr>
                <w:sz w:val="20"/>
              </w:rPr>
            </w:pPr>
          </w:p>
        </w:tc>
        <w:tc>
          <w:tcPr>
            <w:tcW w:w="243" w:type="pct"/>
          </w:tcPr>
          <w:p w:rsidR="00EB2E70" w:rsidRPr="00EB2E70" w:rsidRDefault="00EB2E70" w:rsidP="00EB2E70">
            <w:pPr>
              <w:jc w:val="both"/>
              <w:rPr>
                <w:sz w:val="20"/>
              </w:rPr>
            </w:pPr>
          </w:p>
        </w:tc>
        <w:tc>
          <w:tcPr>
            <w:tcW w:w="2330" w:type="pct"/>
          </w:tcPr>
          <w:p w:rsidR="00EB2E70" w:rsidRPr="00EB2E70" w:rsidRDefault="00EB2E70" w:rsidP="00EB2E70">
            <w:pPr>
              <w:jc w:val="both"/>
              <w:rPr>
                <w:sz w:val="20"/>
              </w:rPr>
            </w:pPr>
            <w:r w:rsidRPr="00EB2E70">
              <w:rPr>
                <w:sz w:val="20"/>
              </w:rPr>
              <w:t xml:space="preserve">Motion for interim constitutional exemptions from provisions of </w:t>
            </w:r>
            <w:r w:rsidRPr="00EB2E70">
              <w:rPr>
                <w:i/>
                <w:sz w:val="20"/>
              </w:rPr>
              <w:t>Controlled Drugs and Substances Act</w:t>
            </w:r>
            <w:r w:rsidRPr="00EB2E70">
              <w:rPr>
                <w:sz w:val="20"/>
              </w:rPr>
              <w:t xml:space="preserve"> dismissed</w:t>
            </w:r>
          </w:p>
          <w:p w:rsidR="00EB2E70" w:rsidRPr="00EB2E70" w:rsidRDefault="00EB2E70" w:rsidP="00EB2E70">
            <w:pPr>
              <w:jc w:val="both"/>
              <w:rPr>
                <w:sz w:val="20"/>
              </w:rPr>
            </w:pPr>
          </w:p>
        </w:tc>
      </w:tr>
      <w:tr w:rsidR="00EB2E70" w:rsidRPr="00EB2E70" w:rsidTr="00EB2E70">
        <w:tc>
          <w:tcPr>
            <w:tcW w:w="2427" w:type="pct"/>
            <w:gridSpan w:val="2"/>
          </w:tcPr>
          <w:p w:rsidR="00EB2E70" w:rsidRPr="00EB2E70" w:rsidRDefault="00EB2E70" w:rsidP="00EB2E70">
            <w:pPr>
              <w:jc w:val="both"/>
              <w:rPr>
                <w:sz w:val="20"/>
              </w:rPr>
            </w:pPr>
            <w:r w:rsidRPr="00EB2E70">
              <w:rPr>
                <w:sz w:val="20"/>
              </w:rPr>
              <w:t>January 13, 2016</w:t>
            </w:r>
          </w:p>
          <w:p w:rsidR="00EB2E70" w:rsidRPr="00EB2E70" w:rsidRDefault="00EB2E70" w:rsidP="00EB2E70">
            <w:pPr>
              <w:jc w:val="both"/>
              <w:rPr>
                <w:sz w:val="20"/>
              </w:rPr>
            </w:pPr>
            <w:r w:rsidRPr="00EB2E70">
              <w:rPr>
                <w:sz w:val="20"/>
              </w:rPr>
              <w:t>Federal Court of Appeal</w:t>
            </w:r>
          </w:p>
          <w:p w:rsidR="00EB2E70" w:rsidRPr="00EB2E70" w:rsidRDefault="00EB2E70" w:rsidP="00EB2E70">
            <w:pPr>
              <w:jc w:val="both"/>
              <w:rPr>
                <w:sz w:val="20"/>
              </w:rPr>
            </w:pPr>
            <w:r w:rsidRPr="00EB2E70">
              <w:rPr>
                <w:sz w:val="20"/>
              </w:rPr>
              <w:t>(Pelletier, Stratas and Gleason JJ.A.)</w:t>
            </w:r>
          </w:p>
          <w:p w:rsidR="00EB2E70" w:rsidRPr="00EB2E70" w:rsidRDefault="00B621BC" w:rsidP="00EB2E70">
            <w:pPr>
              <w:jc w:val="both"/>
              <w:rPr>
                <w:sz w:val="20"/>
              </w:rPr>
            </w:pPr>
            <w:hyperlink r:id="rId39" w:history="1">
              <w:hyperlink r:id="rId40" w:history="1">
                <w:r w:rsidR="00EB2E70" w:rsidRPr="00EB2E70">
                  <w:rPr>
                    <w:rStyle w:val="Hyperlink"/>
                    <w:sz w:val="20"/>
                    <w:lang w:eastAsia="en-CA"/>
                  </w:rPr>
                  <w:t>2016 FCA 9</w:t>
                </w:r>
              </w:hyperlink>
            </w:hyperlink>
          </w:p>
          <w:p w:rsidR="00EB2E70" w:rsidRPr="00EB2E70" w:rsidRDefault="00EB2E70" w:rsidP="00EB2E70">
            <w:pPr>
              <w:jc w:val="both"/>
              <w:rPr>
                <w:sz w:val="20"/>
              </w:rPr>
            </w:pPr>
          </w:p>
        </w:tc>
        <w:tc>
          <w:tcPr>
            <w:tcW w:w="243" w:type="pct"/>
          </w:tcPr>
          <w:p w:rsidR="00EB2E70" w:rsidRPr="00EB2E70" w:rsidRDefault="00EB2E70" w:rsidP="00EB2E70">
            <w:pPr>
              <w:jc w:val="both"/>
              <w:rPr>
                <w:sz w:val="20"/>
              </w:rPr>
            </w:pPr>
          </w:p>
        </w:tc>
        <w:tc>
          <w:tcPr>
            <w:tcW w:w="2330" w:type="pct"/>
          </w:tcPr>
          <w:p w:rsidR="00EB2E70" w:rsidRPr="00EB2E70" w:rsidRDefault="00EB2E70" w:rsidP="00EB2E70">
            <w:pPr>
              <w:jc w:val="both"/>
              <w:rPr>
                <w:sz w:val="20"/>
              </w:rPr>
            </w:pPr>
            <w:r w:rsidRPr="00EB2E70">
              <w:rPr>
                <w:sz w:val="20"/>
              </w:rPr>
              <w:t>Appeal dismissed</w:t>
            </w:r>
          </w:p>
          <w:p w:rsidR="00EB2E70" w:rsidRPr="00EB2E70" w:rsidRDefault="00EB2E70" w:rsidP="00EB2E70">
            <w:pPr>
              <w:jc w:val="both"/>
              <w:rPr>
                <w:sz w:val="20"/>
              </w:rPr>
            </w:pPr>
          </w:p>
        </w:tc>
      </w:tr>
      <w:tr w:rsidR="00EB2E70" w:rsidRPr="00EB2E70" w:rsidTr="00EB2E70">
        <w:tc>
          <w:tcPr>
            <w:tcW w:w="2427" w:type="pct"/>
            <w:gridSpan w:val="2"/>
          </w:tcPr>
          <w:p w:rsidR="00EB2E70" w:rsidRPr="00EB2E70" w:rsidRDefault="00EB2E70" w:rsidP="00EB2E70">
            <w:pPr>
              <w:jc w:val="both"/>
              <w:rPr>
                <w:sz w:val="20"/>
              </w:rPr>
            </w:pPr>
            <w:r w:rsidRPr="00EB2E70">
              <w:rPr>
                <w:sz w:val="20"/>
              </w:rPr>
              <w:t>March 15, 2016</w:t>
            </w:r>
          </w:p>
          <w:p w:rsidR="00EB2E70" w:rsidRPr="00EB2E70" w:rsidRDefault="00EB2E70" w:rsidP="00DE7D82">
            <w:pPr>
              <w:jc w:val="both"/>
              <w:rPr>
                <w:sz w:val="20"/>
              </w:rPr>
            </w:pPr>
            <w:r w:rsidRPr="00EB2E70">
              <w:rPr>
                <w:sz w:val="20"/>
              </w:rPr>
              <w:t>Supreme Court of Canada</w:t>
            </w:r>
          </w:p>
        </w:tc>
        <w:tc>
          <w:tcPr>
            <w:tcW w:w="243" w:type="pct"/>
          </w:tcPr>
          <w:p w:rsidR="00EB2E70" w:rsidRPr="00EB2E70" w:rsidRDefault="00EB2E70" w:rsidP="00EB2E70">
            <w:pPr>
              <w:jc w:val="both"/>
              <w:rPr>
                <w:sz w:val="20"/>
              </w:rPr>
            </w:pPr>
          </w:p>
        </w:tc>
        <w:tc>
          <w:tcPr>
            <w:tcW w:w="2330" w:type="pct"/>
          </w:tcPr>
          <w:p w:rsidR="00EB2E70" w:rsidRPr="00EB2E70" w:rsidRDefault="00EB2E70" w:rsidP="00DE7D82">
            <w:pPr>
              <w:jc w:val="both"/>
              <w:rPr>
                <w:sz w:val="20"/>
              </w:rPr>
            </w:pPr>
            <w:r w:rsidRPr="00EB2E70">
              <w:rPr>
                <w:sz w:val="20"/>
              </w:rPr>
              <w:t>Motion to extend time to serve and file application for leave to appeal and application for leave to appeal filed</w:t>
            </w:r>
          </w:p>
        </w:tc>
      </w:tr>
    </w:tbl>
    <w:p w:rsidR="00EB2E70" w:rsidRDefault="00EB2E70" w:rsidP="00EB2E70">
      <w:pPr>
        <w:jc w:val="both"/>
        <w:rPr>
          <w:sz w:val="20"/>
        </w:rPr>
      </w:pPr>
    </w:p>
    <w:p w:rsidR="00DE7D82" w:rsidRPr="00EB2E70" w:rsidRDefault="00DE7D82" w:rsidP="00EB2E7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E70" w:rsidRPr="00EB2E70" w:rsidTr="00EB2E70">
        <w:tc>
          <w:tcPr>
            <w:tcW w:w="543" w:type="pct"/>
          </w:tcPr>
          <w:p w:rsidR="00EB2E70" w:rsidRPr="00EB2E70" w:rsidRDefault="00EB2E70" w:rsidP="00EB2E70">
            <w:pPr>
              <w:jc w:val="both"/>
              <w:rPr>
                <w:sz w:val="20"/>
                <w:lang w:val="fr-CA"/>
              </w:rPr>
            </w:pPr>
            <w:r w:rsidRPr="00EB2E70">
              <w:rPr>
                <w:rStyle w:val="SCCFileNumberChar"/>
                <w:sz w:val="20"/>
                <w:szCs w:val="20"/>
                <w:lang w:val="fr-CA"/>
              </w:rPr>
              <w:t>36929</w:t>
            </w:r>
          </w:p>
        </w:tc>
        <w:tc>
          <w:tcPr>
            <w:tcW w:w="4457" w:type="pct"/>
            <w:gridSpan w:val="3"/>
          </w:tcPr>
          <w:p w:rsidR="00EB2E70" w:rsidRPr="00DE7D82" w:rsidRDefault="00EB2E70" w:rsidP="00EB2E70">
            <w:pPr>
              <w:pStyle w:val="SCCLsocParty"/>
              <w:jc w:val="both"/>
              <w:rPr>
                <w:b/>
                <w:sz w:val="20"/>
                <w:szCs w:val="20"/>
              </w:rPr>
            </w:pPr>
            <w:r w:rsidRPr="00DE7D82">
              <w:rPr>
                <w:b/>
                <w:sz w:val="20"/>
                <w:szCs w:val="20"/>
              </w:rPr>
              <w:t>Stephen Patrick Burrows c. Sa Majesté la Reine</w:t>
            </w:r>
          </w:p>
          <w:p w:rsidR="00EB2E70" w:rsidRPr="00EB2E70" w:rsidRDefault="00EB2E70" w:rsidP="00EB2E70">
            <w:pPr>
              <w:jc w:val="both"/>
              <w:rPr>
                <w:sz w:val="20"/>
                <w:lang w:val="fr-CA"/>
              </w:rPr>
            </w:pPr>
            <w:r w:rsidRPr="00EB2E70">
              <w:rPr>
                <w:sz w:val="20"/>
                <w:lang w:val="fr-CA"/>
              </w:rPr>
              <w:t>(CF) (Civile) (Sur autorisation)</w:t>
            </w:r>
          </w:p>
        </w:tc>
      </w:tr>
      <w:tr w:rsidR="00EB2E70" w:rsidRPr="00EB2E70" w:rsidTr="00EB2E70">
        <w:tc>
          <w:tcPr>
            <w:tcW w:w="5000" w:type="pct"/>
            <w:gridSpan w:val="4"/>
          </w:tcPr>
          <w:p w:rsidR="00EB2E70" w:rsidRPr="00EB2E70" w:rsidRDefault="00EB2E70" w:rsidP="00EB2E70">
            <w:pPr>
              <w:jc w:val="both"/>
              <w:rPr>
                <w:sz w:val="20"/>
                <w:lang w:val="fr-CA"/>
              </w:rPr>
            </w:pPr>
            <w:r w:rsidRPr="00EB2E70">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B2E70">
              <w:rPr>
                <w:i/>
                <w:sz w:val="20"/>
                <w:lang w:val="fr-CA"/>
              </w:rPr>
              <w:t>Loi réglementant certaines drogues et autres substances</w:t>
            </w:r>
            <w:r w:rsidRPr="00EB2E70">
              <w:rPr>
                <w:sz w:val="20"/>
                <w:lang w:val="fr-CA"/>
              </w:rPr>
              <w:t>, L.C., 1996, ch. 19.</w:t>
            </w:r>
          </w:p>
        </w:tc>
      </w:tr>
      <w:tr w:rsidR="00EB2E70" w:rsidRPr="00EB2E70" w:rsidTr="00EB2E70">
        <w:tc>
          <w:tcPr>
            <w:tcW w:w="5000" w:type="pct"/>
            <w:gridSpan w:val="4"/>
          </w:tcPr>
          <w:p w:rsidR="00EB2E70" w:rsidRPr="00EB2E70" w:rsidRDefault="00EB2E70" w:rsidP="00EB2E70">
            <w:pPr>
              <w:jc w:val="both"/>
              <w:rPr>
                <w:sz w:val="20"/>
                <w:lang w:val="fr-CA"/>
              </w:rPr>
            </w:pPr>
          </w:p>
        </w:tc>
      </w:tr>
      <w:tr w:rsidR="00EB2E70" w:rsidRPr="00EB2E70" w:rsidTr="00EB2E70">
        <w:tc>
          <w:tcPr>
            <w:tcW w:w="5000" w:type="pct"/>
            <w:gridSpan w:val="4"/>
          </w:tcPr>
          <w:p w:rsidR="00EB2E70" w:rsidRPr="00EB2E70" w:rsidRDefault="00EB2E70" w:rsidP="00EB2E70">
            <w:pPr>
              <w:jc w:val="both"/>
              <w:rPr>
                <w:sz w:val="20"/>
                <w:lang w:val="fr-CA"/>
              </w:rPr>
            </w:pPr>
            <w:r w:rsidRPr="00EB2E70">
              <w:rPr>
                <w:sz w:val="20"/>
                <w:lang w:val="fr-CA"/>
              </w:rPr>
              <w:t xml:space="preserve">Depuis février 2014, environ 300 plaideurs non représentés, y compris le demandeur, ont déposé des demandes identiques sollicitant des jugements qui déclarent inconstitutionnels le </w:t>
            </w:r>
            <w:r w:rsidRPr="00EB2E70">
              <w:rPr>
                <w:i/>
                <w:sz w:val="20"/>
                <w:lang w:val="fr-CA"/>
              </w:rPr>
              <w:t>Règlement sur l’accès à la marihuana à des fins médicales (« RAMFM »)</w:t>
            </w:r>
            <w:r w:rsidRPr="00EB2E70">
              <w:rPr>
                <w:sz w:val="20"/>
                <w:lang w:val="fr-CA"/>
              </w:rPr>
              <w:t xml:space="preserve">, D.O.R.S./2001-227, abrogé le 31 mars 2014 et le </w:t>
            </w:r>
            <w:r w:rsidRPr="00EB2E70">
              <w:rPr>
                <w:i/>
                <w:sz w:val="20"/>
                <w:lang w:val="fr-CA"/>
              </w:rPr>
              <w:t>Règlement sur la marihuana à des fins médicales</w:t>
            </w:r>
            <w:r w:rsidRPr="00EB2E70">
              <w:rPr>
                <w:sz w:val="20"/>
                <w:lang w:val="fr-CA"/>
              </w:rPr>
              <w:t xml:space="preserve">, D.O.R.S./2013-119, qui a remplacé le </w:t>
            </w:r>
            <w:r w:rsidRPr="00EB2E70">
              <w:rPr>
                <w:i/>
                <w:sz w:val="20"/>
                <w:lang w:val="fr-CA"/>
              </w:rPr>
              <w:t>RAMFM</w:t>
            </w:r>
            <w:r w:rsidRPr="00EB2E70">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B2E70">
              <w:rPr>
                <w:i/>
                <w:sz w:val="20"/>
                <w:lang w:val="fr-CA"/>
              </w:rPr>
              <w:t>Loi réglementant certaines drogues et autres substances (« LRCDAS »)</w:t>
            </w:r>
            <w:r w:rsidRPr="00EB2E70">
              <w:rPr>
                <w:sz w:val="20"/>
                <w:lang w:val="fr-CA"/>
              </w:rPr>
              <w:t xml:space="preserve"> pour l’utilisation personnelle de la marihuana en attendant que leurs actions soient instruites.</w:t>
            </w:r>
          </w:p>
        </w:tc>
      </w:tr>
      <w:tr w:rsidR="00EB2E70" w:rsidRPr="00EB2E70" w:rsidTr="00EB2E70">
        <w:tc>
          <w:tcPr>
            <w:tcW w:w="5000" w:type="pct"/>
            <w:gridSpan w:val="4"/>
          </w:tcPr>
          <w:p w:rsidR="00EB2E70" w:rsidRPr="00EB2E70" w:rsidRDefault="00EB2E70" w:rsidP="00EB2E70">
            <w:pPr>
              <w:jc w:val="both"/>
              <w:rPr>
                <w:sz w:val="20"/>
                <w:lang w:val="fr-CA"/>
              </w:rPr>
            </w:pPr>
          </w:p>
        </w:tc>
      </w:tr>
      <w:tr w:rsidR="00EB2E70" w:rsidRPr="00EB2E70" w:rsidTr="00EB2E70">
        <w:tc>
          <w:tcPr>
            <w:tcW w:w="2427" w:type="pct"/>
            <w:gridSpan w:val="2"/>
          </w:tcPr>
          <w:p w:rsidR="00EB2E70" w:rsidRPr="00EB2E70" w:rsidRDefault="00EB2E70" w:rsidP="00EB2E70">
            <w:pPr>
              <w:jc w:val="both"/>
              <w:rPr>
                <w:sz w:val="20"/>
                <w:lang w:val="fr-CA"/>
              </w:rPr>
            </w:pPr>
            <w:r w:rsidRPr="00EB2E70">
              <w:rPr>
                <w:sz w:val="20"/>
                <w:lang w:val="fr-CA"/>
              </w:rPr>
              <w:t>7 mai 2014</w:t>
            </w:r>
          </w:p>
          <w:p w:rsidR="00EB2E70" w:rsidRPr="00EB2E70" w:rsidRDefault="00EB2E70" w:rsidP="00EB2E70">
            <w:pPr>
              <w:jc w:val="both"/>
              <w:rPr>
                <w:sz w:val="20"/>
                <w:lang w:val="fr-CA"/>
              </w:rPr>
            </w:pPr>
            <w:r w:rsidRPr="00EB2E70">
              <w:rPr>
                <w:sz w:val="20"/>
                <w:lang w:val="fr-CA"/>
              </w:rPr>
              <w:t xml:space="preserve">Cour fédérale </w:t>
            </w:r>
          </w:p>
          <w:p w:rsidR="00EB2E70" w:rsidRPr="00EB2E70" w:rsidRDefault="00EB2E70" w:rsidP="00EB2E70">
            <w:pPr>
              <w:jc w:val="both"/>
              <w:rPr>
                <w:sz w:val="20"/>
                <w:lang w:val="fr-CA"/>
              </w:rPr>
            </w:pPr>
            <w:r w:rsidRPr="00EB2E70">
              <w:rPr>
                <w:sz w:val="20"/>
                <w:lang w:val="fr-CA"/>
              </w:rPr>
              <w:t>(Juge Phelan)</w:t>
            </w:r>
          </w:p>
        </w:tc>
        <w:tc>
          <w:tcPr>
            <w:tcW w:w="243" w:type="pct"/>
          </w:tcPr>
          <w:p w:rsidR="00EB2E70" w:rsidRPr="00EB2E70" w:rsidRDefault="00EB2E70" w:rsidP="00EB2E70">
            <w:pPr>
              <w:jc w:val="both"/>
              <w:rPr>
                <w:sz w:val="20"/>
                <w:lang w:val="fr-CA"/>
              </w:rPr>
            </w:pPr>
          </w:p>
        </w:tc>
        <w:tc>
          <w:tcPr>
            <w:tcW w:w="2330" w:type="pct"/>
          </w:tcPr>
          <w:p w:rsidR="00EB2E70" w:rsidRPr="00EB2E70" w:rsidRDefault="00EB2E70" w:rsidP="00EB2E70">
            <w:pPr>
              <w:jc w:val="both"/>
              <w:rPr>
                <w:sz w:val="20"/>
                <w:lang w:val="fr-CA"/>
              </w:rPr>
            </w:pPr>
            <w:r w:rsidRPr="00EB2E70">
              <w:rPr>
                <w:sz w:val="20"/>
                <w:lang w:val="fr-CA"/>
              </w:rPr>
              <w:t xml:space="preserve">Rejet de la requête en exemption constitutionnelle visant à écarter temporairement l’application de la </w:t>
            </w:r>
            <w:r w:rsidRPr="00EB2E70">
              <w:rPr>
                <w:i/>
                <w:sz w:val="20"/>
                <w:lang w:val="fr-CA"/>
              </w:rPr>
              <w:t>Loi réglementant certaines drogues et autres substances</w:t>
            </w:r>
          </w:p>
          <w:p w:rsidR="00EB2E70" w:rsidRPr="00EB2E70" w:rsidRDefault="00EB2E70" w:rsidP="00EB2E70">
            <w:pPr>
              <w:jc w:val="both"/>
              <w:rPr>
                <w:sz w:val="20"/>
                <w:lang w:val="fr-CA"/>
              </w:rPr>
            </w:pPr>
          </w:p>
        </w:tc>
      </w:tr>
      <w:tr w:rsidR="00EB2E70" w:rsidRPr="00EB2E70" w:rsidTr="00EB2E70">
        <w:tc>
          <w:tcPr>
            <w:tcW w:w="2427" w:type="pct"/>
            <w:gridSpan w:val="2"/>
          </w:tcPr>
          <w:p w:rsidR="00EB2E70" w:rsidRPr="00EB2E70" w:rsidRDefault="00EB2E70" w:rsidP="00EB2E70">
            <w:pPr>
              <w:jc w:val="both"/>
              <w:rPr>
                <w:sz w:val="20"/>
                <w:lang w:val="fr-CA"/>
              </w:rPr>
            </w:pPr>
            <w:r w:rsidRPr="00EB2E70">
              <w:rPr>
                <w:sz w:val="20"/>
                <w:lang w:val="fr-CA"/>
              </w:rPr>
              <w:t>13 janvier 2016</w:t>
            </w:r>
          </w:p>
          <w:p w:rsidR="00EB2E70" w:rsidRPr="00EB2E70" w:rsidRDefault="00EB2E70" w:rsidP="00EB2E70">
            <w:pPr>
              <w:jc w:val="both"/>
              <w:rPr>
                <w:sz w:val="20"/>
                <w:lang w:val="fr-CA"/>
              </w:rPr>
            </w:pPr>
            <w:r w:rsidRPr="00EB2E70">
              <w:rPr>
                <w:sz w:val="20"/>
                <w:lang w:val="fr-CA"/>
              </w:rPr>
              <w:t xml:space="preserve">Cour d’appel fédérale </w:t>
            </w:r>
          </w:p>
          <w:p w:rsidR="00EB2E70" w:rsidRPr="00EB2E70" w:rsidRDefault="00EB2E70" w:rsidP="00EB2E70">
            <w:pPr>
              <w:jc w:val="both"/>
              <w:rPr>
                <w:sz w:val="20"/>
                <w:lang w:val="fr-CA" w:eastAsia="en-CA"/>
              </w:rPr>
            </w:pPr>
            <w:r w:rsidRPr="00EB2E70">
              <w:rPr>
                <w:sz w:val="20"/>
                <w:lang w:val="fr-CA" w:eastAsia="en-CA"/>
              </w:rPr>
              <w:t>(Juges Pelletier, Stratas et Gleason)</w:t>
            </w:r>
          </w:p>
          <w:p w:rsidR="00EB2E70" w:rsidRPr="00EB2E70" w:rsidRDefault="00B621BC" w:rsidP="00EB2E70">
            <w:pPr>
              <w:jc w:val="both"/>
              <w:rPr>
                <w:sz w:val="20"/>
                <w:lang w:val="fr-CA" w:eastAsia="en-CA"/>
              </w:rPr>
            </w:pPr>
            <w:hyperlink r:id="rId41" w:history="1">
              <w:r w:rsidR="00EB2E70" w:rsidRPr="00EB2E70">
                <w:rPr>
                  <w:color w:val="0000FF" w:themeColor="hyperlink"/>
                  <w:sz w:val="20"/>
                  <w:u w:val="single"/>
                  <w:lang w:val="fr-CA" w:eastAsia="en-CA"/>
                </w:rPr>
                <w:t>2016 FCA 9</w:t>
              </w:r>
            </w:hyperlink>
          </w:p>
          <w:p w:rsidR="00EB2E70" w:rsidRPr="00EB2E70" w:rsidRDefault="00EB2E70" w:rsidP="00EB2E70">
            <w:pPr>
              <w:jc w:val="both"/>
              <w:rPr>
                <w:sz w:val="20"/>
                <w:lang w:val="fr-CA"/>
              </w:rPr>
            </w:pPr>
          </w:p>
        </w:tc>
        <w:tc>
          <w:tcPr>
            <w:tcW w:w="243" w:type="pct"/>
          </w:tcPr>
          <w:p w:rsidR="00EB2E70" w:rsidRPr="00EB2E70" w:rsidRDefault="00EB2E70" w:rsidP="00EB2E70">
            <w:pPr>
              <w:jc w:val="both"/>
              <w:rPr>
                <w:sz w:val="20"/>
                <w:lang w:val="fr-CA"/>
              </w:rPr>
            </w:pPr>
          </w:p>
        </w:tc>
        <w:tc>
          <w:tcPr>
            <w:tcW w:w="2330" w:type="pct"/>
          </w:tcPr>
          <w:p w:rsidR="00EB2E70" w:rsidRPr="00EB2E70" w:rsidRDefault="00EB2E70" w:rsidP="00EB2E70">
            <w:pPr>
              <w:jc w:val="both"/>
              <w:rPr>
                <w:sz w:val="20"/>
                <w:lang w:val="fr-CA"/>
              </w:rPr>
            </w:pPr>
            <w:r w:rsidRPr="00EB2E70">
              <w:rPr>
                <w:sz w:val="20"/>
                <w:lang w:val="fr-CA"/>
              </w:rPr>
              <w:t>Rejet de l’appel</w:t>
            </w:r>
          </w:p>
          <w:p w:rsidR="00EB2E70" w:rsidRPr="00EB2E70" w:rsidRDefault="00EB2E70" w:rsidP="00EB2E70">
            <w:pPr>
              <w:jc w:val="both"/>
              <w:rPr>
                <w:sz w:val="20"/>
                <w:lang w:val="fr-CA"/>
              </w:rPr>
            </w:pPr>
          </w:p>
        </w:tc>
      </w:tr>
      <w:tr w:rsidR="00EB2E70" w:rsidRPr="00EB2E70" w:rsidTr="00EB2E70">
        <w:tc>
          <w:tcPr>
            <w:tcW w:w="2427" w:type="pct"/>
            <w:gridSpan w:val="2"/>
          </w:tcPr>
          <w:p w:rsidR="00EB2E70" w:rsidRPr="00EB2E70" w:rsidRDefault="00EB2E70" w:rsidP="00EB2E70">
            <w:pPr>
              <w:jc w:val="both"/>
              <w:rPr>
                <w:sz w:val="20"/>
                <w:lang w:val="fr-CA"/>
              </w:rPr>
            </w:pPr>
            <w:r w:rsidRPr="00EB2E70">
              <w:rPr>
                <w:sz w:val="20"/>
                <w:lang w:val="fr-CA"/>
              </w:rPr>
              <w:t>15 mars 2016</w:t>
            </w:r>
          </w:p>
          <w:p w:rsidR="00EB2E70" w:rsidRPr="00EB2E70" w:rsidRDefault="00EB2E70" w:rsidP="00EB2E70">
            <w:pPr>
              <w:jc w:val="both"/>
              <w:rPr>
                <w:sz w:val="20"/>
                <w:lang w:val="fr-CA"/>
              </w:rPr>
            </w:pPr>
            <w:r w:rsidRPr="00EB2E70">
              <w:rPr>
                <w:sz w:val="20"/>
                <w:lang w:val="fr-CA"/>
              </w:rPr>
              <w:t>Cour suprême du Canada</w:t>
            </w:r>
          </w:p>
          <w:p w:rsidR="00EB2E70" w:rsidRPr="00EB2E70" w:rsidRDefault="00EB2E70" w:rsidP="00EB2E70">
            <w:pPr>
              <w:jc w:val="both"/>
              <w:rPr>
                <w:sz w:val="20"/>
                <w:lang w:val="fr-CA"/>
              </w:rPr>
            </w:pPr>
          </w:p>
        </w:tc>
        <w:tc>
          <w:tcPr>
            <w:tcW w:w="243" w:type="pct"/>
          </w:tcPr>
          <w:p w:rsidR="00EB2E70" w:rsidRPr="00EB2E70" w:rsidRDefault="00EB2E70" w:rsidP="00EB2E70">
            <w:pPr>
              <w:jc w:val="both"/>
              <w:rPr>
                <w:sz w:val="20"/>
                <w:lang w:val="fr-CA"/>
              </w:rPr>
            </w:pPr>
          </w:p>
        </w:tc>
        <w:tc>
          <w:tcPr>
            <w:tcW w:w="2330" w:type="pct"/>
          </w:tcPr>
          <w:p w:rsidR="00EB2E70" w:rsidRPr="00EB2E70" w:rsidRDefault="00EB2E70" w:rsidP="00DE7D82">
            <w:pPr>
              <w:jc w:val="both"/>
              <w:rPr>
                <w:sz w:val="20"/>
                <w:lang w:val="fr-CA"/>
              </w:rPr>
            </w:pPr>
            <w:r w:rsidRPr="00EB2E70">
              <w:rPr>
                <w:sz w:val="20"/>
                <w:lang w:val="fr-CA"/>
              </w:rPr>
              <w:t>Dépôt de la requête en prorogation du délai de signification et de dépôt de la demande d’autorisation d’appel et de la demande d’autorisation d’appel</w:t>
            </w:r>
          </w:p>
        </w:tc>
      </w:tr>
    </w:tbl>
    <w:p w:rsidR="00EB2E70" w:rsidRPr="00EB2E70" w:rsidRDefault="00EB2E70" w:rsidP="00EB2E70">
      <w:pPr>
        <w:jc w:val="both"/>
        <w:rPr>
          <w:sz w:val="20"/>
          <w:lang w:val="fr-CA"/>
        </w:rPr>
      </w:pPr>
    </w:p>
    <w:p w:rsidR="00D15B3E" w:rsidRDefault="00D15B3E" w:rsidP="009A5F3F">
      <w:pPr>
        <w:widowControl w:val="0"/>
        <w:autoSpaceDE w:val="0"/>
        <w:autoSpaceDN w:val="0"/>
        <w:adjustRightInd w:val="0"/>
        <w:ind w:left="360" w:hanging="360"/>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5D06" w:rsidRPr="003D5D06" w:rsidTr="00B621BC">
        <w:tc>
          <w:tcPr>
            <w:tcW w:w="543" w:type="pct"/>
          </w:tcPr>
          <w:p w:rsidR="003D5D06" w:rsidRPr="003D5D06" w:rsidRDefault="003D5D06" w:rsidP="003D5D06">
            <w:pPr>
              <w:jc w:val="both"/>
              <w:rPr>
                <w:sz w:val="20"/>
              </w:rPr>
            </w:pPr>
            <w:r w:rsidRPr="003D5D06">
              <w:rPr>
                <w:rStyle w:val="SCCFileNumberChar"/>
                <w:sz w:val="20"/>
                <w:szCs w:val="20"/>
              </w:rPr>
              <w:t>36930</w:t>
            </w:r>
          </w:p>
        </w:tc>
        <w:tc>
          <w:tcPr>
            <w:tcW w:w="4457" w:type="pct"/>
            <w:gridSpan w:val="3"/>
          </w:tcPr>
          <w:p w:rsidR="003D5D06" w:rsidRPr="003D5D06" w:rsidRDefault="003D5D06" w:rsidP="003D5D06">
            <w:pPr>
              <w:pStyle w:val="SCCLsocParty"/>
              <w:jc w:val="both"/>
              <w:rPr>
                <w:b/>
                <w:sz w:val="20"/>
                <w:szCs w:val="20"/>
              </w:rPr>
            </w:pPr>
            <w:r w:rsidRPr="003D5D06">
              <w:rPr>
                <w:b/>
                <w:sz w:val="20"/>
                <w:szCs w:val="20"/>
              </w:rPr>
              <w:t>Cheryle M. Hawkins v. Her Majesty the Queen</w:t>
            </w:r>
          </w:p>
          <w:p w:rsidR="003D5D06" w:rsidRPr="003D5D06" w:rsidRDefault="003D5D06" w:rsidP="003D5D06">
            <w:pPr>
              <w:jc w:val="both"/>
              <w:rPr>
                <w:sz w:val="20"/>
              </w:rPr>
            </w:pPr>
            <w:r w:rsidRPr="003D5D06">
              <w:rPr>
                <w:sz w:val="20"/>
              </w:rPr>
              <w:t>(FC) (Civil) (By Leave)</w:t>
            </w:r>
          </w:p>
        </w:tc>
      </w:tr>
      <w:tr w:rsidR="003D5D06" w:rsidRPr="003D5D06" w:rsidTr="00B621BC">
        <w:tc>
          <w:tcPr>
            <w:tcW w:w="5000" w:type="pct"/>
            <w:gridSpan w:val="4"/>
          </w:tcPr>
          <w:p w:rsidR="003D5D06" w:rsidRPr="003D5D06" w:rsidRDefault="003D5D06" w:rsidP="003D5D06">
            <w:pPr>
              <w:jc w:val="both"/>
              <w:rPr>
                <w:sz w:val="20"/>
              </w:rPr>
            </w:pPr>
            <w:r w:rsidRPr="003D5D06">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3D5D06">
              <w:rPr>
                <w:i/>
                <w:sz w:val="20"/>
              </w:rPr>
              <w:t>Controlled Drugs and Substances Act</w:t>
            </w:r>
            <w:r w:rsidRPr="003D5D06">
              <w:rPr>
                <w:sz w:val="20"/>
              </w:rPr>
              <w:t>, S.C. 1996, c. 19.</w:t>
            </w:r>
          </w:p>
        </w:tc>
      </w:tr>
      <w:tr w:rsidR="003D5D06" w:rsidRPr="003D5D06" w:rsidTr="00B621BC">
        <w:tc>
          <w:tcPr>
            <w:tcW w:w="5000" w:type="pct"/>
            <w:gridSpan w:val="4"/>
          </w:tcPr>
          <w:p w:rsidR="003D5D06" w:rsidRPr="003D5D06" w:rsidRDefault="003D5D06" w:rsidP="003D5D06">
            <w:pPr>
              <w:jc w:val="both"/>
              <w:rPr>
                <w:sz w:val="20"/>
              </w:rPr>
            </w:pPr>
          </w:p>
        </w:tc>
      </w:tr>
      <w:tr w:rsidR="003D5D06" w:rsidRPr="003D5D06" w:rsidTr="00B621BC">
        <w:tc>
          <w:tcPr>
            <w:tcW w:w="5000" w:type="pct"/>
            <w:gridSpan w:val="4"/>
          </w:tcPr>
          <w:p w:rsidR="003D5D06" w:rsidRPr="003D5D06" w:rsidRDefault="003D5D06" w:rsidP="003D5D06">
            <w:pPr>
              <w:jc w:val="both"/>
              <w:rPr>
                <w:sz w:val="20"/>
              </w:rPr>
            </w:pPr>
            <w:r w:rsidRPr="003D5D06">
              <w:rPr>
                <w:sz w:val="20"/>
              </w:rPr>
              <w:t xml:space="preserve">Since February 2014, approximately 300 self-represented plaintiffs, including the applicant, have filed identical claims seeking declarations that the </w:t>
            </w:r>
            <w:r w:rsidRPr="003D5D06">
              <w:rPr>
                <w:i/>
                <w:sz w:val="20"/>
              </w:rPr>
              <w:t>Marijuana Medical Access Regulations (“MMAR”)</w:t>
            </w:r>
            <w:r w:rsidRPr="003D5D06">
              <w:rPr>
                <w:sz w:val="20"/>
              </w:rPr>
              <w:t>, S.O.R./2001-227, which were repealed on March 31, 2014 and the</w:t>
            </w:r>
            <w:r w:rsidRPr="003D5D06">
              <w:rPr>
                <w:i/>
                <w:sz w:val="20"/>
              </w:rPr>
              <w:t xml:space="preserve"> Marijuana for Medical Purposes Regulations</w:t>
            </w:r>
            <w:r w:rsidRPr="003D5D06">
              <w:rPr>
                <w:sz w:val="20"/>
              </w:rPr>
              <w:t xml:space="preserve">, S.O.R./2013-119, which succeeded the </w:t>
            </w:r>
            <w:r w:rsidRPr="003D5D06">
              <w:rPr>
                <w:i/>
                <w:sz w:val="20"/>
              </w:rPr>
              <w:t>MMAR</w:t>
            </w:r>
            <w:r w:rsidRPr="003D5D06">
              <w:rPr>
                <w:sz w:val="20"/>
              </w:rPr>
              <w:t xml:space="preserve"> are unconstitutional. In the course of their actions, twenty-six plaintiffs, including the applicant, brought motions for interim constitutional exemptions from the </w:t>
            </w:r>
            <w:r w:rsidRPr="003D5D06">
              <w:rPr>
                <w:i/>
                <w:sz w:val="20"/>
              </w:rPr>
              <w:t>Controlled Drugs and Substances Act</w:t>
            </w:r>
            <w:r w:rsidRPr="003D5D06">
              <w:rPr>
                <w:sz w:val="20"/>
              </w:rPr>
              <w:t xml:space="preserve"> </w:t>
            </w:r>
            <w:r w:rsidRPr="003D5D06">
              <w:rPr>
                <w:i/>
                <w:sz w:val="20"/>
              </w:rPr>
              <w:t>(“CDSA”)</w:t>
            </w:r>
            <w:r w:rsidRPr="003D5D06">
              <w:rPr>
                <w:sz w:val="20"/>
              </w:rPr>
              <w:t xml:space="preserve"> for the personal use of marijuana pending trial of their actions.</w:t>
            </w:r>
          </w:p>
        </w:tc>
      </w:tr>
      <w:tr w:rsidR="003D5D06" w:rsidRPr="003D5D06" w:rsidTr="00B621BC">
        <w:tc>
          <w:tcPr>
            <w:tcW w:w="5000" w:type="pct"/>
            <w:gridSpan w:val="4"/>
          </w:tcPr>
          <w:p w:rsidR="003D5D06" w:rsidRPr="003D5D06" w:rsidRDefault="003D5D06" w:rsidP="003D5D06">
            <w:pPr>
              <w:jc w:val="both"/>
              <w:rPr>
                <w:sz w:val="20"/>
              </w:rPr>
            </w:pPr>
          </w:p>
        </w:tc>
      </w:tr>
      <w:tr w:rsidR="003D5D06" w:rsidRPr="003D5D06" w:rsidTr="00B621BC">
        <w:tc>
          <w:tcPr>
            <w:tcW w:w="2427" w:type="pct"/>
            <w:gridSpan w:val="2"/>
          </w:tcPr>
          <w:p w:rsidR="003D5D06" w:rsidRPr="003D5D06" w:rsidRDefault="003D5D06" w:rsidP="003D5D06">
            <w:pPr>
              <w:jc w:val="both"/>
              <w:rPr>
                <w:sz w:val="20"/>
              </w:rPr>
            </w:pPr>
            <w:r w:rsidRPr="003D5D06">
              <w:rPr>
                <w:sz w:val="20"/>
              </w:rPr>
              <w:t>May 7, 2014</w:t>
            </w:r>
          </w:p>
          <w:p w:rsidR="003D5D06" w:rsidRPr="003D5D06" w:rsidRDefault="003D5D06" w:rsidP="003D5D06">
            <w:pPr>
              <w:jc w:val="both"/>
              <w:rPr>
                <w:sz w:val="20"/>
              </w:rPr>
            </w:pPr>
            <w:r w:rsidRPr="003D5D06">
              <w:rPr>
                <w:sz w:val="20"/>
              </w:rPr>
              <w:t>Federal Court</w:t>
            </w:r>
          </w:p>
          <w:p w:rsidR="003D5D06" w:rsidRPr="003D5D06" w:rsidRDefault="003D5D06" w:rsidP="003D5D06">
            <w:pPr>
              <w:jc w:val="both"/>
              <w:rPr>
                <w:sz w:val="20"/>
              </w:rPr>
            </w:pPr>
            <w:r w:rsidRPr="003D5D06">
              <w:rPr>
                <w:sz w:val="20"/>
              </w:rPr>
              <w:t>(Phelan J.)</w:t>
            </w:r>
          </w:p>
          <w:p w:rsidR="003D5D06" w:rsidRPr="003D5D06" w:rsidRDefault="003D5D06" w:rsidP="003D5D06">
            <w:pPr>
              <w:jc w:val="both"/>
              <w:rPr>
                <w:sz w:val="20"/>
              </w:rPr>
            </w:pPr>
          </w:p>
        </w:tc>
        <w:tc>
          <w:tcPr>
            <w:tcW w:w="243" w:type="pct"/>
          </w:tcPr>
          <w:p w:rsidR="003D5D06" w:rsidRPr="003D5D06" w:rsidRDefault="003D5D06" w:rsidP="003D5D06">
            <w:pPr>
              <w:jc w:val="both"/>
              <w:rPr>
                <w:sz w:val="20"/>
              </w:rPr>
            </w:pPr>
          </w:p>
        </w:tc>
        <w:tc>
          <w:tcPr>
            <w:tcW w:w="2330" w:type="pct"/>
          </w:tcPr>
          <w:p w:rsidR="003D5D06" w:rsidRPr="003D5D06" w:rsidRDefault="003D5D06" w:rsidP="003D5D06">
            <w:pPr>
              <w:jc w:val="both"/>
              <w:rPr>
                <w:sz w:val="20"/>
              </w:rPr>
            </w:pPr>
            <w:r w:rsidRPr="003D5D06">
              <w:rPr>
                <w:sz w:val="20"/>
              </w:rPr>
              <w:t xml:space="preserve">Motion for interim constitutional exemptions from provisions of </w:t>
            </w:r>
            <w:r w:rsidRPr="003D5D06">
              <w:rPr>
                <w:i/>
                <w:sz w:val="20"/>
              </w:rPr>
              <w:t>Controlled Drugs and Substances Act</w:t>
            </w:r>
            <w:r w:rsidRPr="003D5D06">
              <w:rPr>
                <w:sz w:val="20"/>
              </w:rPr>
              <w:t xml:space="preserve"> dismissed</w:t>
            </w:r>
          </w:p>
          <w:p w:rsidR="003D5D06" w:rsidRPr="003D5D06" w:rsidRDefault="003D5D06" w:rsidP="003D5D06">
            <w:pPr>
              <w:jc w:val="both"/>
              <w:rPr>
                <w:sz w:val="20"/>
              </w:rPr>
            </w:pPr>
          </w:p>
        </w:tc>
      </w:tr>
      <w:tr w:rsidR="003D5D06" w:rsidRPr="003D5D06" w:rsidTr="00B621BC">
        <w:tc>
          <w:tcPr>
            <w:tcW w:w="2427" w:type="pct"/>
            <w:gridSpan w:val="2"/>
          </w:tcPr>
          <w:p w:rsidR="003D5D06" w:rsidRPr="003D5D06" w:rsidRDefault="003D5D06" w:rsidP="003D5D06">
            <w:pPr>
              <w:jc w:val="both"/>
              <w:rPr>
                <w:sz w:val="20"/>
              </w:rPr>
            </w:pPr>
            <w:r w:rsidRPr="003D5D06">
              <w:rPr>
                <w:sz w:val="20"/>
              </w:rPr>
              <w:t>January 13, 2016</w:t>
            </w:r>
          </w:p>
          <w:p w:rsidR="003D5D06" w:rsidRPr="003D5D06" w:rsidRDefault="003D5D06" w:rsidP="003D5D06">
            <w:pPr>
              <w:jc w:val="both"/>
              <w:rPr>
                <w:sz w:val="20"/>
              </w:rPr>
            </w:pPr>
            <w:r w:rsidRPr="003D5D06">
              <w:rPr>
                <w:sz w:val="20"/>
              </w:rPr>
              <w:t>Federal Court of Appeal</w:t>
            </w:r>
          </w:p>
          <w:p w:rsidR="003D5D06" w:rsidRPr="003D5D06" w:rsidRDefault="003D5D06" w:rsidP="003D5D06">
            <w:pPr>
              <w:jc w:val="both"/>
              <w:rPr>
                <w:sz w:val="20"/>
              </w:rPr>
            </w:pPr>
            <w:r w:rsidRPr="003D5D06">
              <w:rPr>
                <w:sz w:val="20"/>
              </w:rPr>
              <w:t>(Pelletier, Stratas and Gleason JJ.A.)</w:t>
            </w:r>
          </w:p>
          <w:p w:rsidR="003D5D06" w:rsidRPr="003D5D06" w:rsidRDefault="00B621BC" w:rsidP="003D5D06">
            <w:pPr>
              <w:jc w:val="both"/>
              <w:rPr>
                <w:sz w:val="20"/>
                <w:lang w:eastAsia="en-CA"/>
              </w:rPr>
            </w:pPr>
            <w:hyperlink r:id="rId42" w:history="1">
              <w:r w:rsidR="003D5D06" w:rsidRPr="003D5D06">
                <w:rPr>
                  <w:color w:val="0000FF" w:themeColor="hyperlink"/>
                  <w:sz w:val="20"/>
                  <w:u w:val="single"/>
                  <w:lang w:eastAsia="en-CA"/>
                </w:rPr>
                <w:t>2016 FCA 9</w:t>
              </w:r>
            </w:hyperlink>
          </w:p>
          <w:p w:rsidR="003D5D06" w:rsidRPr="003D5D06" w:rsidRDefault="003D5D06" w:rsidP="003D5D06">
            <w:pPr>
              <w:jc w:val="both"/>
              <w:rPr>
                <w:sz w:val="20"/>
              </w:rPr>
            </w:pPr>
          </w:p>
        </w:tc>
        <w:tc>
          <w:tcPr>
            <w:tcW w:w="243" w:type="pct"/>
          </w:tcPr>
          <w:p w:rsidR="003D5D06" w:rsidRPr="003D5D06" w:rsidRDefault="003D5D06" w:rsidP="003D5D06">
            <w:pPr>
              <w:jc w:val="both"/>
              <w:rPr>
                <w:sz w:val="20"/>
              </w:rPr>
            </w:pPr>
          </w:p>
        </w:tc>
        <w:tc>
          <w:tcPr>
            <w:tcW w:w="2330" w:type="pct"/>
          </w:tcPr>
          <w:p w:rsidR="003D5D06" w:rsidRPr="003D5D06" w:rsidRDefault="003D5D06" w:rsidP="003D5D06">
            <w:pPr>
              <w:jc w:val="both"/>
              <w:rPr>
                <w:sz w:val="20"/>
              </w:rPr>
            </w:pPr>
            <w:r w:rsidRPr="003D5D06">
              <w:rPr>
                <w:sz w:val="20"/>
              </w:rPr>
              <w:t>Appeal dismissed</w:t>
            </w:r>
          </w:p>
          <w:p w:rsidR="003D5D06" w:rsidRPr="003D5D06" w:rsidRDefault="003D5D06" w:rsidP="003D5D06">
            <w:pPr>
              <w:jc w:val="both"/>
              <w:rPr>
                <w:sz w:val="20"/>
              </w:rPr>
            </w:pPr>
          </w:p>
        </w:tc>
      </w:tr>
      <w:tr w:rsidR="003D5D06" w:rsidRPr="003D5D06" w:rsidTr="00B621BC">
        <w:tc>
          <w:tcPr>
            <w:tcW w:w="2427" w:type="pct"/>
            <w:gridSpan w:val="2"/>
          </w:tcPr>
          <w:p w:rsidR="003D5D06" w:rsidRPr="003D5D06" w:rsidRDefault="003D5D06" w:rsidP="003D5D06">
            <w:pPr>
              <w:jc w:val="both"/>
              <w:rPr>
                <w:sz w:val="20"/>
              </w:rPr>
            </w:pPr>
            <w:r w:rsidRPr="003D5D06">
              <w:rPr>
                <w:sz w:val="20"/>
              </w:rPr>
              <w:t>March 15, 2016</w:t>
            </w:r>
          </w:p>
          <w:p w:rsidR="003D5D06" w:rsidRPr="003D5D06" w:rsidRDefault="003D5D06" w:rsidP="003D5D06">
            <w:pPr>
              <w:jc w:val="both"/>
              <w:rPr>
                <w:sz w:val="20"/>
              </w:rPr>
            </w:pPr>
            <w:r w:rsidRPr="003D5D06">
              <w:rPr>
                <w:sz w:val="20"/>
              </w:rPr>
              <w:t>Supreme Court of Canada</w:t>
            </w:r>
          </w:p>
        </w:tc>
        <w:tc>
          <w:tcPr>
            <w:tcW w:w="243" w:type="pct"/>
          </w:tcPr>
          <w:p w:rsidR="003D5D06" w:rsidRPr="003D5D06" w:rsidRDefault="003D5D06" w:rsidP="003D5D06">
            <w:pPr>
              <w:jc w:val="both"/>
              <w:rPr>
                <w:sz w:val="20"/>
              </w:rPr>
            </w:pPr>
          </w:p>
        </w:tc>
        <w:tc>
          <w:tcPr>
            <w:tcW w:w="2330" w:type="pct"/>
          </w:tcPr>
          <w:p w:rsidR="003D5D06" w:rsidRPr="003D5D06" w:rsidRDefault="003D5D06" w:rsidP="003D5D06">
            <w:pPr>
              <w:jc w:val="both"/>
              <w:rPr>
                <w:sz w:val="20"/>
              </w:rPr>
            </w:pPr>
            <w:r w:rsidRPr="003D5D06">
              <w:rPr>
                <w:sz w:val="20"/>
              </w:rPr>
              <w:t>Motion to extend time to serve and file application for leave to appeal and application for leave to appeal filed</w:t>
            </w:r>
          </w:p>
        </w:tc>
      </w:tr>
    </w:tbl>
    <w:p w:rsidR="003D5D06" w:rsidRDefault="003D5D06" w:rsidP="003D5D06">
      <w:pPr>
        <w:jc w:val="both"/>
        <w:rPr>
          <w:sz w:val="20"/>
        </w:rPr>
      </w:pPr>
    </w:p>
    <w:p w:rsidR="003D5D06" w:rsidRPr="003D5D06" w:rsidRDefault="003D5D06" w:rsidP="003D5D0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5D06" w:rsidRPr="003D5D06" w:rsidTr="00B621BC">
        <w:tc>
          <w:tcPr>
            <w:tcW w:w="543" w:type="pct"/>
          </w:tcPr>
          <w:p w:rsidR="003D5D06" w:rsidRPr="003D5D06" w:rsidRDefault="003D5D06" w:rsidP="003D5D06">
            <w:pPr>
              <w:jc w:val="both"/>
              <w:rPr>
                <w:sz w:val="20"/>
                <w:lang w:val="fr-CA"/>
              </w:rPr>
            </w:pPr>
            <w:r w:rsidRPr="003D5D06">
              <w:rPr>
                <w:rStyle w:val="SCCFileNumberChar"/>
                <w:sz w:val="20"/>
                <w:szCs w:val="20"/>
                <w:lang w:val="fr-CA"/>
              </w:rPr>
              <w:t>36930</w:t>
            </w:r>
          </w:p>
        </w:tc>
        <w:tc>
          <w:tcPr>
            <w:tcW w:w="4457" w:type="pct"/>
            <w:gridSpan w:val="3"/>
          </w:tcPr>
          <w:p w:rsidR="003D5D06" w:rsidRPr="003D5D06" w:rsidRDefault="003D5D06" w:rsidP="003D5D06">
            <w:pPr>
              <w:pStyle w:val="SCCLsocParty"/>
              <w:jc w:val="both"/>
              <w:rPr>
                <w:b/>
                <w:sz w:val="20"/>
                <w:szCs w:val="20"/>
              </w:rPr>
            </w:pPr>
            <w:r w:rsidRPr="003D5D06">
              <w:rPr>
                <w:b/>
                <w:sz w:val="20"/>
                <w:szCs w:val="20"/>
              </w:rPr>
              <w:t>Cheryle M. Hawkins c. Sa Majesté la Reine</w:t>
            </w:r>
          </w:p>
          <w:p w:rsidR="003D5D06" w:rsidRPr="003D5D06" w:rsidRDefault="003D5D06" w:rsidP="003D5D06">
            <w:pPr>
              <w:jc w:val="both"/>
              <w:rPr>
                <w:sz w:val="20"/>
                <w:lang w:val="fr-CA"/>
              </w:rPr>
            </w:pPr>
            <w:r w:rsidRPr="003D5D06">
              <w:rPr>
                <w:sz w:val="20"/>
                <w:lang w:val="fr-CA"/>
              </w:rPr>
              <w:t>(CF) (Civile) (Sur autorisation)</w:t>
            </w:r>
          </w:p>
        </w:tc>
      </w:tr>
      <w:tr w:rsidR="003D5D06" w:rsidRPr="003D5D06" w:rsidTr="00B621BC">
        <w:tc>
          <w:tcPr>
            <w:tcW w:w="5000" w:type="pct"/>
            <w:gridSpan w:val="4"/>
          </w:tcPr>
          <w:p w:rsidR="003D5D06" w:rsidRPr="003D5D06" w:rsidRDefault="003D5D06" w:rsidP="003D5D06">
            <w:pPr>
              <w:jc w:val="both"/>
              <w:rPr>
                <w:sz w:val="20"/>
                <w:lang w:val="fr-CA"/>
              </w:rPr>
            </w:pPr>
            <w:r w:rsidRPr="003D5D06">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3D5D06">
              <w:rPr>
                <w:i/>
                <w:sz w:val="20"/>
                <w:lang w:val="fr-CA"/>
              </w:rPr>
              <w:t>Loi réglementant certaines drogues et autres substances</w:t>
            </w:r>
            <w:r w:rsidRPr="003D5D06">
              <w:rPr>
                <w:sz w:val="20"/>
                <w:lang w:val="fr-CA"/>
              </w:rPr>
              <w:t>, L.C., 1996, ch. 19.</w:t>
            </w:r>
          </w:p>
        </w:tc>
      </w:tr>
      <w:tr w:rsidR="003D5D06" w:rsidRPr="003D5D06" w:rsidTr="00B621BC">
        <w:tc>
          <w:tcPr>
            <w:tcW w:w="5000" w:type="pct"/>
            <w:gridSpan w:val="4"/>
          </w:tcPr>
          <w:p w:rsidR="003D5D06" w:rsidRPr="003D5D06" w:rsidRDefault="003D5D06" w:rsidP="003D5D06">
            <w:pPr>
              <w:jc w:val="both"/>
              <w:rPr>
                <w:sz w:val="20"/>
                <w:lang w:val="fr-CA"/>
              </w:rPr>
            </w:pPr>
          </w:p>
        </w:tc>
      </w:tr>
      <w:tr w:rsidR="003D5D06" w:rsidRPr="003D5D06" w:rsidTr="00B621BC">
        <w:tc>
          <w:tcPr>
            <w:tcW w:w="5000" w:type="pct"/>
            <w:gridSpan w:val="4"/>
          </w:tcPr>
          <w:p w:rsidR="003D5D06" w:rsidRPr="003D5D06" w:rsidRDefault="003D5D06" w:rsidP="003D5D06">
            <w:pPr>
              <w:jc w:val="both"/>
              <w:rPr>
                <w:sz w:val="20"/>
                <w:lang w:val="fr-CA"/>
              </w:rPr>
            </w:pPr>
            <w:r w:rsidRPr="003D5D06">
              <w:rPr>
                <w:sz w:val="20"/>
                <w:lang w:val="fr-CA"/>
              </w:rPr>
              <w:t xml:space="preserve">Depuis février 2014, environ 300 plaideurs non représentés, y compris la demanderesse, ont déposé des demandes identiques sollicitant des jugements qui déclarent inconstitutionnels le </w:t>
            </w:r>
            <w:r w:rsidRPr="003D5D06">
              <w:rPr>
                <w:i/>
                <w:sz w:val="20"/>
                <w:lang w:val="fr-CA"/>
              </w:rPr>
              <w:t>Règlement sur l’accès à la marihuana à des fins médicales (« RAMFM »)</w:t>
            </w:r>
            <w:r w:rsidRPr="003D5D06">
              <w:rPr>
                <w:sz w:val="20"/>
                <w:lang w:val="fr-CA"/>
              </w:rPr>
              <w:t xml:space="preserve">, D.O.R.S./2001-227, abrogé le 31 mars 2014 et le </w:t>
            </w:r>
            <w:r w:rsidRPr="003D5D06">
              <w:rPr>
                <w:i/>
                <w:sz w:val="20"/>
                <w:lang w:val="fr-CA"/>
              </w:rPr>
              <w:t>Règlement sur la marihuana à des fins médicales</w:t>
            </w:r>
            <w:r w:rsidRPr="003D5D06">
              <w:rPr>
                <w:sz w:val="20"/>
                <w:lang w:val="fr-CA"/>
              </w:rPr>
              <w:t xml:space="preserve">, D.O.R.S./2013-119, qui a remplacé le </w:t>
            </w:r>
            <w:r w:rsidRPr="003D5D06">
              <w:rPr>
                <w:i/>
                <w:sz w:val="20"/>
                <w:lang w:val="fr-CA"/>
              </w:rPr>
              <w:t>RAMFM</w:t>
            </w:r>
            <w:r w:rsidRPr="003D5D06">
              <w:rPr>
                <w:sz w:val="20"/>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3D5D06">
              <w:rPr>
                <w:i/>
                <w:sz w:val="20"/>
                <w:lang w:val="fr-CA"/>
              </w:rPr>
              <w:t>Loi réglementant certaines drogues et autres substances (« LRCDAS »)</w:t>
            </w:r>
            <w:r w:rsidRPr="003D5D06">
              <w:rPr>
                <w:sz w:val="20"/>
                <w:lang w:val="fr-CA"/>
              </w:rPr>
              <w:t xml:space="preserve"> pour l’utilisation personnelle de la marihuana en attendant que leurs actions soient instruites.</w:t>
            </w:r>
          </w:p>
        </w:tc>
      </w:tr>
      <w:tr w:rsidR="003D5D06" w:rsidRPr="003D5D06" w:rsidTr="00B621BC">
        <w:tc>
          <w:tcPr>
            <w:tcW w:w="5000" w:type="pct"/>
            <w:gridSpan w:val="4"/>
          </w:tcPr>
          <w:p w:rsidR="003D5D06" w:rsidRPr="003D5D06" w:rsidRDefault="003D5D06" w:rsidP="003D5D06">
            <w:pPr>
              <w:jc w:val="both"/>
              <w:rPr>
                <w:sz w:val="20"/>
                <w:lang w:val="fr-CA"/>
              </w:rPr>
            </w:pPr>
          </w:p>
        </w:tc>
      </w:tr>
      <w:tr w:rsidR="003D5D06" w:rsidRPr="003D5D06" w:rsidTr="00B621BC">
        <w:tc>
          <w:tcPr>
            <w:tcW w:w="2427" w:type="pct"/>
            <w:gridSpan w:val="2"/>
          </w:tcPr>
          <w:p w:rsidR="003D5D06" w:rsidRPr="003D5D06" w:rsidRDefault="003D5D06" w:rsidP="003D5D06">
            <w:pPr>
              <w:jc w:val="both"/>
              <w:rPr>
                <w:sz w:val="20"/>
                <w:lang w:val="fr-CA"/>
              </w:rPr>
            </w:pPr>
            <w:r w:rsidRPr="003D5D06">
              <w:rPr>
                <w:sz w:val="20"/>
                <w:lang w:val="fr-CA"/>
              </w:rPr>
              <w:t>7 mai 2014</w:t>
            </w:r>
          </w:p>
          <w:p w:rsidR="003D5D06" w:rsidRPr="003D5D06" w:rsidRDefault="003D5D06" w:rsidP="003D5D06">
            <w:pPr>
              <w:jc w:val="both"/>
              <w:rPr>
                <w:sz w:val="20"/>
                <w:lang w:val="fr-CA"/>
              </w:rPr>
            </w:pPr>
            <w:r w:rsidRPr="003D5D06">
              <w:rPr>
                <w:sz w:val="20"/>
                <w:lang w:val="fr-CA"/>
              </w:rPr>
              <w:t xml:space="preserve">Cour fédérale </w:t>
            </w:r>
          </w:p>
          <w:p w:rsidR="003D5D06" w:rsidRPr="003D5D06" w:rsidRDefault="003D5D06" w:rsidP="003D5D06">
            <w:pPr>
              <w:jc w:val="both"/>
              <w:rPr>
                <w:sz w:val="20"/>
                <w:lang w:val="fr-CA"/>
              </w:rPr>
            </w:pPr>
            <w:r w:rsidRPr="003D5D06">
              <w:rPr>
                <w:sz w:val="20"/>
                <w:lang w:val="fr-CA"/>
              </w:rPr>
              <w:t>(Juge Phelan)</w:t>
            </w:r>
          </w:p>
        </w:tc>
        <w:tc>
          <w:tcPr>
            <w:tcW w:w="243" w:type="pct"/>
          </w:tcPr>
          <w:p w:rsidR="003D5D06" w:rsidRPr="003D5D06" w:rsidRDefault="003D5D06" w:rsidP="003D5D06">
            <w:pPr>
              <w:jc w:val="both"/>
              <w:rPr>
                <w:sz w:val="20"/>
                <w:lang w:val="fr-CA"/>
              </w:rPr>
            </w:pPr>
          </w:p>
        </w:tc>
        <w:tc>
          <w:tcPr>
            <w:tcW w:w="2330" w:type="pct"/>
          </w:tcPr>
          <w:p w:rsidR="003D5D06" w:rsidRPr="003D5D06" w:rsidRDefault="003D5D06" w:rsidP="003D5D06">
            <w:pPr>
              <w:jc w:val="both"/>
              <w:rPr>
                <w:sz w:val="20"/>
                <w:lang w:val="fr-CA"/>
              </w:rPr>
            </w:pPr>
            <w:r w:rsidRPr="003D5D06">
              <w:rPr>
                <w:sz w:val="20"/>
                <w:lang w:val="fr-CA"/>
              </w:rPr>
              <w:t xml:space="preserve">Rejet de la requête en exemption constitutionnelle visant à écarter temporairement l’application de la </w:t>
            </w:r>
            <w:r w:rsidRPr="003D5D06">
              <w:rPr>
                <w:i/>
                <w:sz w:val="20"/>
                <w:lang w:val="fr-CA"/>
              </w:rPr>
              <w:t>Loi réglementant certaines drogues et autres substances</w:t>
            </w:r>
          </w:p>
          <w:p w:rsidR="003D5D06" w:rsidRPr="003D5D06" w:rsidRDefault="003D5D06" w:rsidP="003D5D06">
            <w:pPr>
              <w:jc w:val="both"/>
              <w:rPr>
                <w:sz w:val="20"/>
                <w:lang w:val="fr-CA"/>
              </w:rPr>
            </w:pPr>
          </w:p>
        </w:tc>
      </w:tr>
      <w:tr w:rsidR="003D5D06" w:rsidRPr="003D5D06" w:rsidTr="00B621BC">
        <w:tc>
          <w:tcPr>
            <w:tcW w:w="2427" w:type="pct"/>
            <w:gridSpan w:val="2"/>
          </w:tcPr>
          <w:p w:rsidR="003D5D06" w:rsidRPr="003D5D06" w:rsidRDefault="003D5D06" w:rsidP="003D5D06">
            <w:pPr>
              <w:jc w:val="both"/>
              <w:rPr>
                <w:sz w:val="20"/>
                <w:lang w:val="fr-CA"/>
              </w:rPr>
            </w:pPr>
            <w:r w:rsidRPr="003D5D06">
              <w:rPr>
                <w:sz w:val="20"/>
                <w:lang w:val="fr-CA"/>
              </w:rPr>
              <w:t>13 janvier 2016</w:t>
            </w:r>
          </w:p>
          <w:p w:rsidR="003D5D06" w:rsidRPr="003D5D06" w:rsidRDefault="003D5D06" w:rsidP="003D5D06">
            <w:pPr>
              <w:jc w:val="both"/>
              <w:rPr>
                <w:sz w:val="20"/>
                <w:lang w:val="fr-CA"/>
              </w:rPr>
            </w:pPr>
            <w:r w:rsidRPr="003D5D06">
              <w:rPr>
                <w:sz w:val="20"/>
                <w:lang w:val="fr-CA"/>
              </w:rPr>
              <w:t xml:space="preserve">Cour d’appel fédérale </w:t>
            </w:r>
          </w:p>
          <w:p w:rsidR="003D5D06" w:rsidRPr="003D5D06" w:rsidRDefault="003D5D06" w:rsidP="003D5D06">
            <w:pPr>
              <w:jc w:val="both"/>
              <w:rPr>
                <w:sz w:val="20"/>
                <w:lang w:val="fr-CA" w:eastAsia="en-CA"/>
              </w:rPr>
            </w:pPr>
            <w:r w:rsidRPr="003D5D06">
              <w:rPr>
                <w:sz w:val="20"/>
                <w:lang w:val="fr-CA" w:eastAsia="en-CA"/>
              </w:rPr>
              <w:t>(Juges Pelletier, Stratas et Gleason)</w:t>
            </w:r>
          </w:p>
          <w:p w:rsidR="003D5D06" w:rsidRPr="003D5D06" w:rsidRDefault="00B621BC" w:rsidP="003D5D06">
            <w:pPr>
              <w:jc w:val="both"/>
              <w:rPr>
                <w:sz w:val="20"/>
                <w:lang w:val="fr-CA" w:eastAsia="en-CA"/>
              </w:rPr>
            </w:pPr>
            <w:hyperlink r:id="rId43" w:history="1">
              <w:r w:rsidR="003D5D06" w:rsidRPr="003D5D06">
                <w:rPr>
                  <w:color w:val="0000FF" w:themeColor="hyperlink"/>
                  <w:sz w:val="20"/>
                  <w:u w:val="single"/>
                  <w:lang w:val="fr-CA" w:eastAsia="en-CA"/>
                </w:rPr>
                <w:t>2016 FCA 9</w:t>
              </w:r>
            </w:hyperlink>
          </w:p>
          <w:p w:rsidR="003D5D06" w:rsidRPr="003D5D06" w:rsidRDefault="003D5D06" w:rsidP="003D5D06">
            <w:pPr>
              <w:jc w:val="both"/>
              <w:rPr>
                <w:sz w:val="20"/>
                <w:lang w:val="fr-CA"/>
              </w:rPr>
            </w:pPr>
          </w:p>
        </w:tc>
        <w:tc>
          <w:tcPr>
            <w:tcW w:w="243" w:type="pct"/>
          </w:tcPr>
          <w:p w:rsidR="003D5D06" w:rsidRPr="003D5D06" w:rsidRDefault="003D5D06" w:rsidP="003D5D06">
            <w:pPr>
              <w:jc w:val="both"/>
              <w:rPr>
                <w:sz w:val="20"/>
                <w:lang w:val="fr-CA"/>
              </w:rPr>
            </w:pPr>
          </w:p>
        </w:tc>
        <w:tc>
          <w:tcPr>
            <w:tcW w:w="2330" w:type="pct"/>
          </w:tcPr>
          <w:p w:rsidR="003D5D06" w:rsidRPr="003D5D06" w:rsidRDefault="003D5D06" w:rsidP="003D5D06">
            <w:pPr>
              <w:jc w:val="both"/>
              <w:rPr>
                <w:sz w:val="20"/>
                <w:lang w:val="fr-CA"/>
              </w:rPr>
            </w:pPr>
            <w:r w:rsidRPr="003D5D06">
              <w:rPr>
                <w:sz w:val="20"/>
                <w:lang w:val="fr-CA"/>
              </w:rPr>
              <w:t>Rejet de l’appel</w:t>
            </w:r>
          </w:p>
          <w:p w:rsidR="003D5D06" w:rsidRPr="003D5D06" w:rsidRDefault="003D5D06" w:rsidP="003D5D06">
            <w:pPr>
              <w:jc w:val="both"/>
              <w:rPr>
                <w:sz w:val="20"/>
                <w:lang w:val="fr-CA"/>
              </w:rPr>
            </w:pPr>
          </w:p>
        </w:tc>
      </w:tr>
      <w:tr w:rsidR="003D5D06" w:rsidRPr="003D5D06" w:rsidTr="00B621BC">
        <w:tc>
          <w:tcPr>
            <w:tcW w:w="2427" w:type="pct"/>
            <w:gridSpan w:val="2"/>
          </w:tcPr>
          <w:p w:rsidR="003D5D06" w:rsidRPr="003D5D06" w:rsidRDefault="003D5D06" w:rsidP="003D5D06">
            <w:pPr>
              <w:jc w:val="both"/>
              <w:rPr>
                <w:sz w:val="20"/>
                <w:lang w:val="fr-CA"/>
              </w:rPr>
            </w:pPr>
            <w:r w:rsidRPr="003D5D06">
              <w:rPr>
                <w:sz w:val="20"/>
                <w:lang w:val="fr-CA"/>
              </w:rPr>
              <w:t>15 mars 2016</w:t>
            </w:r>
          </w:p>
          <w:p w:rsidR="003D5D06" w:rsidRPr="003D5D06" w:rsidRDefault="003D5D06" w:rsidP="00FD0111">
            <w:pPr>
              <w:jc w:val="both"/>
              <w:rPr>
                <w:sz w:val="20"/>
                <w:lang w:val="fr-CA"/>
              </w:rPr>
            </w:pPr>
            <w:r w:rsidRPr="003D5D06">
              <w:rPr>
                <w:sz w:val="20"/>
                <w:lang w:val="fr-CA"/>
              </w:rPr>
              <w:t>Cour suprême du Canada</w:t>
            </w:r>
          </w:p>
        </w:tc>
        <w:tc>
          <w:tcPr>
            <w:tcW w:w="243" w:type="pct"/>
          </w:tcPr>
          <w:p w:rsidR="003D5D06" w:rsidRPr="003D5D06" w:rsidRDefault="003D5D06" w:rsidP="003D5D06">
            <w:pPr>
              <w:jc w:val="both"/>
              <w:rPr>
                <w:sz w:val="20"/>
                <w:lang w:val="fr-CA"/>
              </w:rPr>
            </w:pPr>
          </w:p>
        </w:tc>
        <w:tc>
          <w:tcPr>
            <w:tcW w:w="2330" w:type="pct"/>
          </w:tcPr>
          <w:p w:rsidR="003D5D06" w:rsidRPr="003D5D06" w:rsidRDefault="003D5D06" w:rsidP="003D5D06">
            <w:pPr>
              <w:jc w:val="both"/>
              <w:rPr>
                <w:sz w:val="20"/>
                <w:lang w:val="fr-CA"/>
              </w:rPr>
            </w:pPr>
            <w:r w:rsidRPr="003D5D06">
              <w:rPr>
                <w:sz w:val="20"/>
                <w:lang w:val="fr-CA"/>
              </w:rPr>
              <w:t xml:space="preserve">Dépôt de la requête en prorogation du délai de signification et de dépôt de la demande d’autorisation d’appel et de la demande d’autorisation d’appel </w:t>
            </w:r>
          </w:p>
        </w:tc>
      </w:tr>
    </w:tbl>
    <w:p w:rsidR="003D5D06" w:rsidRPr="003652AF" w:rsidRDefault="003D5D06" w:rsidP="003652AF">
      <w:pPr>
        <w:jc w:val="both"/>
        <w:rPr>
          <w:sz w:val="20"/>
          <w:lang w:val="fr-CA"/>
        </w:rPr>
      </w:pPr>
    </w:p>
    <w:p w:rsidR="00D15B3E" w:rsidRPr="003652AF" w:rsidRDefault="00D15B3E" w:rsidP="003652AF">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600" w:firstRow="0" w:lastRow="0" w:firstColumn="0" w:lastColumn="0" w:noHBand="1" w:noVBand="1"/>
      </w:tblPr>
      <w:tblGrid>
        <w:gridCol w:w="1006"/>
        <w:gridCol w:w="3493"/>
        <w:gridCol w:w="451"/>
        <w:gridCol w:w="4320"/>
      </w:tblGrid>
      <w:tr w:rsidR="003652AF" w:rsidRPr="003652AF" w:rsidTr="00B621BC">
        <w:tc>
          <w:tcPr>
            <w:tcW w:w="543" w:type="pct"/>
          </w:tcPr>
          <w:p w:rsidR="003652AF" w:rsidRPr="003652AF" w:rsidRDefault="003652AF" w:rsidP="003652AF">
            <w:pPr>
              <w:jc w:val="both"/>
              <w:rPr>
                <w:sz w:val="20"/>
              </w:rPr>
            </w:pPr>
            <w:r w:rsidRPr="003652AF">
              <w:rPr>
                <w:rStyle w:val="SCCFileNumberChar"/>
                <w:sz w:val="20"/>
                <w:szCs w:val="20"/>
              </w:rPr>
              <w:t>36937</w:t>
            </w:r>
          </w:p>
        </w:tc>
        <w:tc>
          <w:tcPr>
            <w:tcW w:w="4457" w:type="pct"/>
            <w:gridSpan w:val="3"/>
          </w:tcPr>
          <w:p w:rsidR="003652AF" w:rsidRPr="003652AF" w:rsidRDefault="003652AF" w:rsidP="003652AF">
            <w:pPr>
              <w:pStyle w:val="SCCLsocParty"/>
              <w:jc w:val="both"/>
              <w:rPr>
                <w:b/>
                <w:sz w:val="20"/>
                <w:szCs w:val="20"/>
              </w:rPr>
            </w:pPr>
            <w:r w:rsidRPr="003652AF">
              <w:rPr>
                <w:b/>
                <w:sz w:val="20"/>
                <w:szCs w:val="20"/>
              </w:rPr>
              <w:t>John Turmel v. Her Majesty the Queen</w:t>
            </w:r>
          </w:p>
          <w:p w:rsidR="003652AF" w:rsidRPr="003652AF" w:rsidRDefault="003652AF" w:rsidP="003652AF">
            <w:pPr>
              <w:jc w:val="both"/>
              <w:rPr>
                <w:sz w:val="20"/>
              </w:rPr>
            </w:pPr>
            <w:r w:rsidRPr="003652AF">
              <w:rPr>
                <w:sz w:val="20"/>
              </w:rPr>
              <w:t>(FC) (Civil) (By Leave)</w:t>
            </w:r>
          </w:p>
        </w:tc>
      </w:tr>
      <w:tr w:rsidR="003652AF" w:rsidRPr="003652AF" w:rsidTr="00B621BC">
        <w:tc>
          <w:tcPr>
            <w:tcW w:w="5000" w:type="pct"/>
            <w:gridSpan w:val="4"/>
          </w:tcPr>
          <w:p w:rsidR="003652AF" w:rsidRPr="003652AF" w:rsidRDefault="003652AF" w:rsidP="003652AF">
            <w:pPr>
              <w:jc w:val="both"/>
              <w:rPr>
                <w:sz w:val="20"/>
              </w:rPr>
            </w:pPr>
            <w:r w:rsidRPr="003652AF">
              <w:rPr>
                <w:sz w:val="20"/>
              </w:rPr>
              <w:t xml:space="preserve">Constitutional law – Constitutional proceedings – Appeals and judicial review – Civil procedure – Self represented litigants challenging constitutionality of medical marijuana regulations and seeking interim exemption from criminal </w:t>
            </w:r>
            <w:r w:rsidRPr="003652AF">
              <w:rPr>
                <w:sz w:val="20"/>
              </w:rPr>
              <w:lastRenderedPageBreak/>
              <w:t xml:space="preserve">law pending trial – Whether the applicants proved sufficient medical need to warrant exemption from marijuana prohibitions pending action for repeal – </w:t>
            </w:r>
            <w:r w:rsidRPr="003652AF">
              <w:rPr>
                <w:i/>
                <w:sz w:val="20"/>
              </w:rPr>
              <w:t>Controlled Drugs and Substances Act</w:t>
            </w:r>
            <w:r w:rsidRPr="003652AF">
              <w:rPr>
                <w:sz w:val="20"/>
              </w:rPr>
              <w:t>, S.C. 1996, c. 19.</w:t>
            </w:r>
          </w:p>
        </w:tc>
      </w:tr>
      <w:tr w:rsidR="003652AF" w:rsidRPr="003652AF" w:rsidTr="00B621BC">
        <w:tc>
          <w:tcPr>
            <w:tcW w:w="5000" w:type="pct"/>
            <w:gridSpan w:val="4"/>
          </w:tcPr>
          <w:p w:rsidR="003652AF" w:rsidRPr="003652AF" w:rsidRDefault="003652AF" w:rsidP="003652AF">
            <w:pPr>
              <w:jc w:val="both"/>
              <w:rPr>
                <w:sz w:val="20"/>
              </w:rPr>
            </w:pPr>
          </w:p>
        </w:tc>
      </w:tr>
      <w:tr w:rsidR="003652AF" w:rsidRPr="003652AF" w:rsidTr="00B621BC">
        <w:tc>
          <w:tcPr>
            <w:tcW w:w="5000" w:type="pct"/>
            <w:gridSpan w:val="4"/>
          </w:tcPr>
          <w:p w:rsidR="003652AF" w:rsidRPr="003652AF" w:rsidRDefault="003652AF" w:rsidP="003652AF">
            <w:pPr>
              <w:jc w:val="both"/>
              <w:rPr>
                <w:sz w:val="20"/>
              </w:rPr>
            </w:pPr>
            <w:r w:rsidRPr="003652AF">
              <w:rPr>
                <w:sz w:val="20"/>
              </w:rPr>
              <w:t xml:space="preserve">Since February 2014, approximately 300 self-represented plaintiffs, including the applicant, have filed identical claims seeking declarations that the </w:t>
            </w:r>
            <w:r w:rsidRPr="003652AF">
              <w:rPr>
                <w:i/>
                <w:sz w:val="20"/>
              </w:rPr>
              <w:t>Marijuana Medical Access Regulations</w:t>
            </w:r>
            <w:r w:rsidRPr="003652AF">
              <w:rPr>
                <w:sz w:val="20"/>
              </w:rPr>
              <w:t xml:space="preserve"> (“</w:t>
            </w:r>
            <w:r w:rsidRPr="003652AF">
              <w:rPr>
                <w:i/>
                <w:sz w:val="20"/>
              </w:rPr>
              <w:t>MMAR</w:t>
            </w:r>
            <w:r w:rsidRPr="003652AF">
              <w:rPr>
                <w:sz w:val="20"/>
              </w:rPr>
              <w:t xml:space="preserve">”), S.O.R./2001-227, which were repealed on March 31, 2014 and the marijuana for medical purposes regulations, S.O.R./2013-119, which succeeded the </w:t>
            </w:r>
            <w:r w:rsidRPr="003652AF">
              <w:rPr>
                <w:i/>
                <w:sz w:val="20"/>
              </w:rPr>
              <w:t>MMAR</w:t>
            </w:r>
            <w:r w:rsidRPr="003652AF">
              <w:rPr>
                <w:sz w:val="20"/>
              </w:rPr>
              <w:t xml:space="preserve"> are unconstitutional. In the course of their actions, twenty-six plaintiffs, including the applicant, brought motions for interim constitutional exemptions from the </w:t>
            </w:r>
            <w:r w:rsidRPr="003652AF">
              <w:rPr>
                <w:i/>
                <w:sz w:val="20"/>
              </w:rPr>
              <w:t>Controlled Drugs and Substances Act</w:t>
            </w:r>
            <w:r w:rsidRPr="003652AF">
              <w:rPr>
                <w:sz w:val="20"/>
              </w:rPr>
              <w:t xml:space="preserve">. </w:t>
            </w:r>
            <w:r w:rsidRPr="003652AF">
              <w:rPr>
                <w:i/>
                <w:sz w:val="20"/>
              </w:rPr>
              <w:t>(“CDSA</w:t>
            </w:r>
            <w:r w:rsidRPr="003652AF">
              <w:rPr>
                <w:sz w:val="20"/>
              </w:rPr>
              <w:t>”) for the personal use of marijuana pending trial of their actions.</w:t>
            </w:r>
          </w:p>
        </w:tc>
      </w:tr>
      <w:tr w:rsidR="003652AF" w:rsidRPr="003652AF" w:rsidTr="00B621BC">
        <w:tc>
          <w:tcPr>
            <w:tcW w:w="5000" w:type="pct"/>
            <w:gridSpan w:val="4"/>
          </w:tcPr>
          <w:p w:rsidR="003652AF" w:rsidRPr="003652AF" w:rsidRDefault="003652AF" w:rsidP="003652AF">
            <w:pPr>
              <w:jc w:val="both"/>
              <w:rPr>
                <w:sz w:val="20"/>
              </w:rPr>
            </w:pPr>
          </w:p>
        </w:tc>
      </w:tr>
      <w:tr w:rsidR="003652AF" w:rsidRPr="003652AF" w:rsidTr="00B621BC">
        <w:tc>
          <w:tcPr>
            <w:tcW w:w="2427" w:type="pct"/>
            <w:gridSpan w:val="2"/>
          </w:tcPr>
          <w:p w:rsidR="003652AF" w:rsidRPr="003652AF" w:rsidRDefault="003652AF" w:rsidP="003652AF">
            <w:pPr>
              <w:jc w:val="both"/>
              <w:rPr>
                <w:sz w:val="20"/>
              </w:rPr>
            </w:pPr>
            <w:r w:rsidRPr="003652AF">
              <w:rPr>
                <w:sz w:val="20"/>
              </w:rPr>
              <w:t>May 7, 2014</w:t>
            </w:r>
          </w:p>
          <w:p w:rsidR="003652AF" w:rsidRPr="003652AF" w:rsidRDefault="003652AF" w:rsidP="003652AF">
            <w:pPr>
              <w:jc w:val="both"/>
              <w:rPr>
                <w:sz w:val="20"/>
              </w:rPr>
            </w:pPr>
            <w:r w:rsidRPr="003652AF">
              <w:rPr>
                <w:sz w:val="20"/>
              </w:rPr>
              <w:t>Federal Court</w:t>
            </w:r>
          </w:p>
          <w:p w:rsidR="003652AF" w:rsidRPr="003652AF" w:rsidRDefault="003652AF" w:rsidP="003652AF">
            <w:pPr>
              <w:jc w:val="both"/>
              <w:rPr>
                <w:sz w:val="20"/>
              </w:rPr>
            </w:pPr>
            <w:r w:rsidRPr="003652AF">
              <w:rPr>
                <w:sz w:val="20"/>
              </w:rPr>
              <w:t>(Phelan J.)</w:t>
            </w:r>
          </w:p>
          <w:p w:rsidR="003652AF" w:rsidRPr="003652AF" w:rsidRDefault="003652AF" w:rsidP="003652AF">
            <w:pPr>
              <w:jc w:val="both"/>
              <w:rPr>
                <w:sz w:val="20"/>
              </w:rPr>
            </w:pPr>
          </w:p>
        </w:tc>
        <w:tc>
          <w:tcPr>
            <w:tcW w:w="243" w:type="pct"/>
          </w:tcPr>
          <w:p w:rsidR="003652AF" w:rsidRPr="003652AF" w:rsidRDefault="003652AF" w:rsidP="003652AF">
            <w:pPr>
              <w:jc w:val="both"/>
              <w:rPr>
                <w:sz w:val="20"/>
              </w:rPr>
            </w:pPr>
          </w:p>
        </w:tc>
        <w:tc>
          <w:tcPr>
            <w:tcW w:w="2330" w:type="pct"/>
          </w:tcPr>
          <w:p w:rsidR="003652AF" w:rsidRPr="003652AF" w:rsidRDefault="003652AF" w:rsidP="003652AF">
            <w:pPr>
              <w:jc w:val="both"/>
              <w:rPr>
                <w:sz w:val="20"/>
              </w:rPr>
            </w:pPr>
            <w:r w:rsidRPr="003652AF">
              <w:rPr>
                <w:sz w:val="20"/>
              </w:rPr>
              <w:t xml:space="preserve">Motion for interim constitutional exemptions from provisions of </w:t>
            </w:r>
            <w:r w:rsidRPr="003652AF">
              <w:rPr>
                <w:i/>
                <w:sz w:val="20"/>
              </w:rPr>
              <w:t>Controlled Drugs and Substances Act</w:t>
            </w:r>
            <w:r w:rsidRPr="003652AF">
              <w:rPr>
                <w:sz w:val="20"/>
              </w:rPr>
              <w:t xml:space="preserve"> dismissed</w:t>
            </w:r>
          </w:p>
          <w:p w:rsidR="003652AF" w:rsidRPr="003652AF" w:rsidRDefault="003652AF" w:rsidP="003652AF">
            <w:pPr>
              <w:jc w:val="both"/>
              <w:rPr>
                <w:sz w:val="20"/>
              </w:rPr>
            </w:pPr>
          </w:p>
        </w:tc>
      </w:tr>
      <w:tr w:rsidR="003652AF" w:rsidRPr="003652AF" w:rsidTr="00B621BC">
        <w:tc>
          <w:tcPr>
            <w:tcW w:w="2427" w:type="pct"/>
            <w:gridSpan w:val="2"/>
          </w:tcPr>
          <w:p w:rsidR="003652AF" w:rsidRPr="003652AF" w:rsidRDefault="003652AF" w:rsidP="003652AF">
            <w:pPr>
              <w:jc w:val="both"/>
              <w:rPr>
                <w:sz w:val="20"/>
              </w:rPr>
            </w:pPr>
            <w:r w:rsidRPr="003652AF">
              <w:rPr>
                <w:sz w:val="20"/>
              </w:rPr>
              <w:t>January 13, 2016</w:t>
            </w:r>
          </w:p>
          <w:p w:rsidR="003652AF" w:rsidRPr="003652AF" w:rsidRDefault="003652AF" w:rsidP="003652AF">
            <w:pPr>
              <w:jc w:val="both"/>
              <w:rPr>
                <w:sz w:val="20"/>
              </w:rPr>
            </w:pPr>
            <w:r w:rsidRPr="003652AF">
              <w:rPr>
                <w:sz w:val="20"/>
              </w:rPr>
              <w:t>Federal Court of Appeal</w:t>
            </w:r>
          </w:p>
          <w:p w:rsidR="003652AF" w:rsidRPr="003652AF" w:rsidRDefault="003652AF" w:rsidP="003652AF">
            <w:pPr>
              <w:jc w:val="both"/>
              <w:rPr>
                <w:sz w:val="20"/>
              </w:rPr>
            </w:pPr>
            <w:r w:rsidRPr="003652AF">
              <w:rPr>
                <w:sz w:val="20"/>
              </w:rPr>
              <w:t>(Pelletier, Stratas and Gleason JJ.A.)</w:t>
            </w:r>
          </w:p>
          <w:p w:rsidR="003652AF" w:rsidRPr="003652AF" w:rsidRDefault="00B621BC" w:rsidP="003652AF">
            <w:pPr>
              <w:jc w:val="both"/>
              <w:rPr>
                <w:sz w:val="20"/>
                <w:lang w:eastAsia="en-CA"/>
              </w:rPr>
            </w:pPr>
            <w:hyperlink r:id="rId44" w:history="1">
              <w:r w:rsidR="003652AF" w:rsidRPr="003652AF">
                <w:rPr>
                  <w:color w:val="0000FF" w:themeColor="hyperlink"/>
                  <w:sz w:val="20"/>
                  <w:u w:val="single"/>
                  <w:lang w:eastAsia="en-CA"/>
                </w:rPr>
                <w:t>2016 FCA 9</w:t>
              </w:r>
            </w:hyperlink>
          </w:p>
          <w:p w:rsidR="003652AF" w:rsidRPr="003652AF" w:rsidRDefault="003652AF" w:rsidP="003652AF">
            <w:pPr>
              <w:jc w:val="both"/>
              <w:rPr>
                <w:sz w:val="20"/>
              </w:rPr>
            </w:pPr>
          </w:p>
        </w:tc>
        <w:tc>
          <w:tcPr>
            <w:tcW w:w="243" w:type="pct"/>
          </w:tcPr>
          <w:p w:rsidR="003652AF" w:rsidRPr="003652AF" w:rsidRDefault="003652AF" w:rsidP="003652AF">
            <w:pPr>
              <w:jc w:val="both"/>
              <w:rPr>
                <w:sz w:val="20"/>
              </w:rPr>
            </w:pPr>
          </w:p>
        </w:tc>
        <w:tc>
          <w:tcPr>
            <w:tcW w:w="2330" w:type="pct"/>
          </w:tcPr>
          <w:p w:rsidR="003652AF" w:rsidRPr="003652AF" w:rsidRDefault="003652AF" w:rsidP="003652AF">
            <w:pPr>
              <w:jc w:val="both"/>
              <w:rPr>
                <w:sz w:val="20"/>
              </w:rPr>
            </w:pPr>
            <w:r w:rsidRPr="003652AF">
              <w:rPr>
                <w:sz w:val="20"/>
              </w:rPr>
              <w:t>Appeal dismissed</w:t>
            </w:r>
          </w:p>
          <w:p w:rsidR="003652AF" w:rsidRPr="003652AF" w:rsidRDefault="003652AF" w:rsidP="003652AF">
            <w:pPr>
              <w:jc w:val="both"/>
              <w:rPr>
                <w:sz w:val="20"/>
              </w:rPr>
            </w:pPr>
          </w:p>
        </w:tc>
      </w:tr>
      <w:tr w:rsidR="003652AF" w:rsidRPr="003652AF" w:rsidTr="00B621BC">
        <w:tc>
          <w:tcPr>
            <w:tcW w:w="2427" w:type="pct"/>
            <w:gridSpan w:val="2"/>
          </w:tcPr>
          <w:p w:rsidR="003652AF" w:rsidRPr="003652AF" w:rsidRDefault="003652AF" w:rsidP="003652AF">
            <w:pPr>
              <w:jc w:val="both"/>
              <w:rPr>
                <w:sz w:val="20"/>
              </w:rPr>
            </w:pPr>
            <w:r w:rsidRPr="003652AF">
              <w:rPr>
                <w:sz w:val="20"/>
              </w:rPr>
              <w:t>March 15, 2016</w:t>
            </w:r>
          </w:p>
          <w:p w:rsidR="003652AF" w:rsidRPr="003652AF" w:rsidRDefault="003652AF" w:rsidP="003652AF">
            <w:pPr>
              <w:jc w:val="both"/>
              <w:rPr>
                <w:sz w:val="20"/>
              </w:rPr>
            </w:pPr>
            <w:r w:rsidRPr="003652AF">
              <w:rPr>
                <w:sz w:val="20"/>
              </w:rPr>
              <w:t>Supreme Court of Canada</w:t>
            </w:r>
          </w:p>
        </w:tc>
        <w:tc>
          <w:tcPr>
            <w:tcW w:w="243" w:type="pct"/>
          </w:tcPr>
          <w:p w:rsidR="003652AF" w:rsidRPr="003652AF" w:rsidRDefault="003652AF" w:rsidP="003652AF">
            <w:pPr>
              <w:jc w:val="both"/>
              <w:rPr>
                <w:sz w:val="20"/>
              </w:rPr>
            </w:pPr>
          </w:p>
        </w:tc>
        <w:tc>
          <w:tcPr>
            <w:tcW w:w="2330" w:type="pct"/>
          </w:tcPr>
          <w:p w:rsidR="003652AF" w:rsidRPr="003652AF" w:rsidRDefault="003652AF" w:rsidP="003652AF">
            <w:pPr>
              <w:jc w:val="both"/>
              <w:rPr>
                <w:sz w:val="20"/>
              </w:rPr>
            </w:pPr>
            <w:r w:rsidRPr="003652AF">
              <w:rPr>
                <w:sz w:val="20"/>
              </w:rPr>
              <w:t>Motion to extend time to serve and file application for leave to appeal and application for leave to appeal filed</w:t>
            </w:r>
          </w:p>
        </w:tc>
      </w:tr>
    </w:tbl>
    <w:p w:rsidR="003652AF" w:rsidRDefault="003652AF" w:rsidP="003652AF">
      <w:pPr>
        <w:jc w:val="both"/>
        <w:rPr>
          <w:sz w:val="20"/>
        </w:rPr>
      </w:pPr>
    </w:p>
    <w:p w:rsidR="003652AF" w:rsidRPr="003652AF" w:rsidRDefault="003652AF" w:rsidP="00365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52AF" w:rsidRPr="003652AF" w:rsidTr="00B621BC">
        <w:tc>
          <w:tcPr>
            <w:tcW w:w="543" w:type="pct"/>
          </w:tcPr>
          <w:p w:rsidR="003652AF" w:rsidRPr="003652AF" w:rsidRDefault="003652AF" w:rsidP="003652AF">
            <w:pPr>
              <w:jc w:val="both"/>
              <w:rPr>
                <w:sz w:val="20"/>
                <w:lang w:val="fr-CA"/>
              </w:rPr>
            </w:pPr>
            <w:r w:rsidRPr="003652AF">
              <w:rPr>
                <w:rStyle w:val="SCCFileNumberChar"/>
                <w:sz w:val="20"/>
                <w:szCs w:val="20"/>
                <w:lang w:val="fr-CA"/>
              </w:rPr>
              <w:t>36937</w:t>
            </w:r>
          </w:p>
        </w:tc>
        <w:tc>
          <w:tcPr>
            <w:tcW w:w="4457" w:type="pct"/>
            <w:gridSpan w:val="3"/>
          </w:tcPr>
          <w:p w:rsidR="003652AF" w:rsidRPr="003652AF" w:rsidRDefault="003652AF" w:rsidP="003652AF">
            <w:pPr>
              <w:pStyle w:val="SCCLsocParty"/>
              <w:jc w:val="both"/>
              <w:rPr>
                <w:b/>
                <w:sz w:val="20"/>
                <w:szCs w:val="20"/>
              </w:rPr>
            </w:pPr>
            <w:r w:rsidRPr="003652AF">
              <w:rPr>
                <w:b/>
                <w:sz w:val="20"/>
                <w:szCs w:val="20"/>
              </w:rPr>
              <w:t>John Turmel c. Sa Majesté la Reine</w:t>
            </w:r>
          </w:p>
          <w:p w:rsidR="003652AF" w:rsidRPr="003652AF" w:rsidRDefault="003652AF" w:rsidP="003652AF">
            <w:pPr>
              <w:jc w:val="both"/>
              <w:rPr>
                <w:sz w:val="20"/>
                <w:lang w:val="fr-CA"/>
              </w:rPr>
            </w:pPr>
            <w:r w:rsidRPr="003652AF">
              <w:rPr>
                <w:sz w:val="20"/>
                <w:lang w:val="fr-CA"/>
              </w:rPr>
              <w:t>(CF) (Civile) (Sur autorisation)</w:t>
            </w:r>
          </w:p>
        </w:tc>
      </w:tr>
      <w:tr w:rsidR="003652AF" w:rsidRPr="003652AF" w:rsidTr="00B621BC">
        <w:tc>
          <w:tcPr>
            <w:tcW w:w="5000" w:type="pct"/>
            <w:gridSpan w:val="4"/>
          </w:tcPr>
          <w:p w:rsidR="003652AF" w:rsidRPr="003652AF" w:rsidRDefault="003652AF" w:rsidP="003652AF">
            <w:pPr>
              <w:jc w:val="both"/>
              <w:rPr>
                <w:sz w:val="20"/>
                <w:lang w:val="fr-CA"/>
              </w:rPr>
            </w:pPr>
            <w:r w:rsidRPr="003652AF">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3652AF">
              <w:rPr>
                <w:i/>
                <w:sz w:val="20"/>
                <w:lang w:val="fr-CA"/>
              </w:rPr>
              <w:t>Loi réglementant certaines drogues et autres substances</w:t>
            </w:r>
            <w:r w:rsidRPr="003652AF">
              <w:rPr>
                <w:sz w:val="20"/>
                <w:lang w:val="fr-CA"/>
              </w:rPr>
              <w:t>, L.C., 1996, ch. 19.</w:t>
            </w:r>
          </w:p>
        </w:tc>
      </w:tr>
      <w:tr w:rsidR="003652AF" w:rsidRPr="003652AF" w:rsidTr="00B621BC">
        <w:tc>
          <w:tcPr>
            <w:tcW w:w="5000" w:type="pct"/>
            <w:gridSpan w:val="4"/>
          </w:tcPr>
          <w:p w:rsidR="003652AF" w:rsidRPr="003652AF" w:rsidRDefault="003652AF" w:rsidP="003652AF">
            <w:pPr>
              <w:jc w:val="both"/>
              <w:rPr>
                <w:sz w:val="20"/>
                <w:lang w:val="fr-CA"/>
              </w:rPr>
            </w:pPr>
          </w:p>
        </w:tc>
      </w:tr>
      <w:tr w:rsidR="003652AF" w:rsidRPr="003652AF" w:rsidTr="00B621BC">
        <w:tc>
          <w:tcPr>
            <w:tcW w:w="5000" w:type="pct"/>
            <w:gridSpan w:val="4"/>
          </w:tcPr>
          <w:p w:rsidR="003652AF" w:rsidRPr="003652AF" w:rsidRDefault="003652AF" w:rsidP="003652AF">
            <w:pPr>
              <w:jc w:val="both"/>
              <w:rPr>
                <w:sz w:val="20"/>
                <w:lang w:val="fr-CA"/>
              </w:rPr>
            </w:pPr>
            <w:r w:rsidRPr="003652AF">
              <w:rPr>
                <w:sz w:val="20"/>
                <w:lang w:val="fr-CA"/>
              </w:rPr>
              <w:t xml:space="preserve">Depuis février 2014, environ 300 plaideurs non représentés, y compris le demandeur, ont déposé des demandes identiques sollicitant des jugements qui déclarent inconstitutionnels le </w:t>
            </w:r>
            <w:r w:rsidRPr="003652AF">
              <w:rPr>
                <w:i/>
                <w:sz w:val="20"/>
                <w:lang w:val="fr-CA"/>
              </w:rPr>
              <w:t>Règlement sur l’accès à la marihuana à des fins médicales (« RAMFM »)</w:t>
            </w:r>
            <w:r w:rsidRPr="003652AF">
              <w:rPr>
                <w:sz w:val="20"/>
                <w:lang w:val="fr-CA"/>
              </w:rPr>
              <w:t xml:space="preserve">, D.O.R.S./2001-227, abrogé le 31 mars 2014 et le </w:t>
            </w:r>
            <w:r w:rsidRPr="003652AF">
              <w:rPr>
                <w:i/>
                <w:sz w:val="20"/>
                <w:lang w:val="fr-CA"/>
              </w:rPr>
              <w:t>Règlement sur la marihuana à des fins médicales</w:t>
            </w:r>
            <w:r w:rsidRPr="003652AF">
              <w:rPr>
                <w:sz w:val="20"/>
                <w:lang w:val="fr-CA"/>
              </w:rPr>
              <w:t xml:space="preserve">, D.O.R.S./2013-119, qui a remplacé le </w:t>
            </w:r>
            <w:r w:rsidRPr="003652AF">
              <w:rPr>
                <w:i/>
                <w:sz w:val="20"/>
                <w:lang w:val="fr-CA"/>
              </w:rPr>
              <w:t>RAMFM</w:t>
            </w:r>
            <w:r w:rsidRPr="003652AF">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3652AF">
              <w:rPr>
                <w:i/>
                <w:sz w:val="20"/>
                <w:lang w:val="fr-CA"/>
              </w:rPr>
              <w:t>Loi réglementant certaines drogues et autres substances («</w:t>
            </w:r>
            <w:r w:rsidRPr="003652AF">
              <w:rPr>
                <w:sz w:val="20"/>
                <w:lang w:val="fr-CA"/>
              </w:rPr>
              <w:t> </w:t>
            </w:r>
            <w:r w:rsidRPr="003652AF">
              <w:rPr>
                <w:i/>
                <w:sz w:val="20"/>
                <w:lang w:val="fr-CA"/>
              </w:rPr>
              <w:t>LRCDAS »)</w:t>
            </w:r>
            <w:r w:rsidRPr="003652AF">
              <w:rPr>
                <w:sz w:val="20"/>
                <w:lang w:val="fr-CA"/>
              </w:rPr>
              <w:t xml:space="preserve"> pour l’utilisation personnelle de la marihuana en attendant que leurs actions soient instruites.</w:t>
            </w:r>
          </w:p>
        </w:tc>
      </w:tr>
      <w:tr w:rsidR="003652AF" w:rsidRPr="003652AF" w:rsidTr="00B621BC">
        <w:tc>
          <w:tcPr>
            <w:tcW w:w="5000" w:type="pct"/>
            <w:gridSpan w:val="4"/>
          </w:tcPr>
          <w:p w:rsidR="003652AF" w:rsidRPr="003652AF" w:rsidRDefault="003652AF" w:rsidP="003652AF">
            <w:pPr>
              <w:jc w:val="both"/>
              <w:rPr>
                <w:sz w:val="20"/>
                <w:lang w:val="fr-CA"/>
              </w:rPr>
            </w:pPr>
          </w:p>
        </w:tc>
      </w:tr>
      <w:tr w:rsidR="003652AF" w:rsidRPr="003652AF" w:rsidTr="00B621BC">
        <w:tc>
          <w:tcPr>
            <w:tcW w:w="2427" w:type="pct"/>
            <w:gridSpan w:val="2"/>
          </w:tcPr>
          <w:p w:rsidR="003652AF" w:rsidRPr="003652AF" w:rsidRDefault="003652AF" w:rsidP="003652AF">
            <w:pPr>
              <w:jc w:val="both"/>
              <w:rPr>
                <w:sz w:val="20"/>
                <w:lang w:val="fr-CA"/>
              </w:rPr>
            </w:pPr>
            <w:r w:rsidRPr="003652AF">
              <w:rPr>
                <w:sz w:val="20"/>
                <w:lang w:val="fr-CA"/>
              </w:rPr>
              <w:t>7 mai 2014</w:t>
            </w:r>
          </w:p>
          <w:p w:rsidR="003652AF" w:rsidRPr="003652AF" w:rsidRDefault="003652AF" w:rsidP="003652AF">
            <w:pPr>
              <w:jc w:val="both"/>
              <w:rPr>
                <w:sz w:val="20"/>
                <w:lang w:val="fr-CA"/>
              </w:rPr>
            </w:pPr>
            <w:r w:rsidRPr="003652AF">
              <w:rPr>
                <w:sz w:val="20"/>
                <w:lang w:val="fr-CA"/>
              </w:rPr>
              <w:t xml:space="preserve">Cour fédérale </w:t>
            </w:r>
          </w:p>
          <w:p w:rsidR="003652AF" w:rsidRPr="003652AF" w:rsidRDefault="003652AF" w:rsidP="003652AF">
            <w:pPr>
              <w:jc w:val="both"/>
              <w:rPr>
                <w:sz w:val="20"/>
                <w:lang w:val="fr-CA"/>
              </w:rPr>
            </w:pPr>
            <w:r w:rsidRPr="003652AF">
              <w:rPr>
                <w:sz w:val="20"/>
                <w:lang w:val="fr-CA"/>
              </w:rPr>
              <w:t>(Juge Phelan)</w:t>
            </w:r>
          </w:p>
        </w:tc>
        <w:tc>
          <w:tcPr>
            <w:tcW w:w="243" w:type="pct"/>
          </w:tcPr>
          <w:p w:rsidR="003652AF" w:rsidRPr="003652AF" w:rsidRDefault="003652AF" w:rsidP="003652AF">
            <w:pPr>
              <w:jc w:val="both"/>
              <w:rPr>
                <w:sz w:val="20"/>
                <w:lang w:val="fr-CA"/>
              </w:rPr>
            </w:pPr>
          </w:p>
        </w:tc>
        <w:tc>
          <w:tcPr>
            <w:tcW w:w="2330" w:type="pct"/>
          </w:tcPr>
          <w:p w:rsidR="003652AF" w:rsidRPr="003652AF" w:rsidRDefault="003652AF" w:rsidP="003652AF">
            <w:pPr>
              <w:jc w:val="both"/>
              <w:rPr>
                <w:sz w:val="20"/>
                <w:lang w:val="fr-CA"/>
              </w:rPr>
            </w:pPr>
            <w:r w:rsidRPr="003652AF">
              <w:rPr>
                <w:sz w:val="20"/>
                <w:lang w:val="fr-CA"/>
              </w:rPr>
              <w:t xml:space="preserve">Rejet de la requête en exemption constitutionnelle visant à écarter temporairement l’application de la </w:t>
            </w:r>
            <w:r w:rsidRPr="003652AF">
              <w:rPr>
                <w:i/>
                <w:sz w:val="20"/>
                <w:lang w:val="fr-CA"/>
              </w:rPr>
              <w:t>Loi réglementant certaines drogues et autres substances</w:t>
            </w:r>
          </w:p>
          <w:p w:rsidR="003652AF" w:rsidRPr="003652AF" w:rsidRDefault="003652AF" w:rsidP="003652AF">
            <w:pPr>
              <w:jc w:val="both"/>
              <w:rPr>
                <w:sz w:val="20"/>
                <w:lang w:val="fr-CA"/>
              </w:rPr>
            </w:pPr>
          </w:p>
        </w:tc>
      </w:tr>
      <w:tr w:rsidR="003652AF" w:rsidRPr="003652AF" w:rsidTr="00B621BC">
        <w:tc>
          <w:tcPr>
            <w:tcW w:w="2427" w:type="pct"/>
            <w:gridSpan w:val="2"/>
          </w:tcPr>
          <w:p w:rsidR="003652AF" w:rsidRPr="003652AF" w:rsidRDefault="003652AF" w:rsidP="003652AF">
            <w:pPr>
              <w:jc w:val="both"/>
              <w:rPr>
                <w:sz w:val="20"/>
                <w:lang w:val="fr-CA"/>
              </w:rPr>
            </w:pPr>
            <w:r w:rsidRPr="003652AF">
              <w:rPr>
                <w:sz w:val="20"/>
                <w:lang w:val="fr-CA"/>
              </w:rPr>
              <w:t>13 janvier 2016</w:t>
            </w:r>
          </w:p>
          <w:p w:rsidR="003652AF" w:rsidRPr="003652AF" w:rsidRDefault="003652AF" w:rsidP="003652AF">
            <w:pPr>
              <w:jc w:val="both"/>
              <w:rPr>
                <w:sz w:val="20"/>
                <w:lang w:val="fr-CA"/>
              </w:rPr>
            </w:pPr>
            <w:r w:rsidRPr="003652AF">
              <w:rPr>
                <w:sz w:val="20"/>
                <w:lang w:val="fr-CA"/>
              </w:rPr>
              <w:t xml:space="preserve">Cour d’appel fédérale </w:t>
            </w:r>
          </w:p>
          <w:p w:rsidR="003652AF" w:rsidRPr="003652AF" w:rsidRDefault="003652AF" w:rsidP="003652AF">
            <w:pPr>
              <w:jc w:val="both"/>
              <w:rPr>
                <w:sz w:val="20"/>
                <w:lang w:val="fr-CA" w:eastAsia="en-CA"/>
              </w:rPr>
            </w:pPr>
            <w:r w:rsidRPr="003652AF">
              <w:rPr>
                <w:sz w:val="20"/>
                <w:lang w:val="fr-CA" w:eastAsia="en-CA"/>
              </w:rPr>
              <w:t>(Juges Pelletier, Stratas et Gleason)</w:t>
            </w:r>
          </w:p>
          <w:p w:rsidR="003652AF" w:rsidRPr="003652AF" w:rsidRDefault="00B621BC" w:rsidP="003652AF">
            <w:pPr>
              <w:jc w:val="both"/>
              <w:rPr>
                <w:sz w:val="20"/>
                <w:lang w:val="fr-CA" w:eastAsia="en-CA"/>
              </w:rPr>
            </w:pPr>
            <w:hyperlink r:id="rId45" w:history="1">
              <w:r w:rsidR="003652AF" w:rsidRPr="003652AF">
                <w:rPr>
                  <w:color w:val="0000FF" w:themeColor="hyperlink"/>
                  <w:sz w:val="20"/>
                  <w:u w:val="single"/>
                  <w:lang w:val="fr-CA" w:eastAsia="en-CA"/>
                </w:rPr>
                <w:t>2016 FCA 9</w:t>
              </w:r>
            </w:hyperlink>
          </w:p>
          <w:p w:rsidR="003652AF" w:rsidRPr="003652AF" w:rsidRDefault="003652AF" w:rsidP="003652AF">
            <w:pPr>
              <w:jc w:val="both"/>
              <w:rPr>
                <w:sz w:val="20"/>
                <w:lang w:val="fr-CA"/>
              </w:rPr>
            </w:pPr>
          </w:p>
        </w:tc>
        <w:tc>
          <w:tcPr>
            <w:tcW w:w="243" w:type="pct"/>
          </w:tcPr>
          <w:p w:rsidR="003652AF" w:rsidRPr="003652AF" w:rsidRDefault="003652AF" w:rsidP="003652AF">
            <w:pPr>
              <w:jc w:val="both"/>
              <w:rPr>
                <w:sz w:val="20"/>
                <w:lang w:val="fr-CA"/>
              </w:rPr>
            </w:pPr>
          </w:p>
        </w:tc>
        <w:tc>
          <w:tcPr>
            <w:tcW w:w="2330" w:type="pct"/>
          </w:tcPr>
          <w:p w:rsidR="003652AF" w:rsidRPr="003652AF" w:rsidRDefault="003652AF" w:rsidP="003652AF">
            <w:pPr>
              <w:jc w:val="both"/>
              <w:rPr>
                <w:sz w:val="20"/>
                <w:lang w:val="fr-CA"/>
              </w:rPr>
            </w:pPr>
            <w:r w:rsidRPr="003652AF">
              <w:rPr>
                <w:sz w:val="20"/>
                <w:lang w:val="fr-CA"/>
              </w:rPr>
              <w:t>Rejet de l’appel</w:t>
            </w:r>
          </w:p>
          <w:p w:rsidR="003652AF" w:rsidRPr="003652AF" w:rsidRDefault="003652AF" w:rsidP="003652AF">
            <w:pPr>
              <w:jc w:val="both"/>
              <w:rPr>
                <w:sz w:val="20"/>
                <w:lang w:val="fr-CA"/>
              </w:rPr>
            </w:pPr>
          </w:p>
        </w:tc>
      </w:tr>
      <w:tr w:rsidR="003652AF" w:rsidRPr="003652AF" w:rsidTr="00B621BC">
        <w:tc>
          <w:tcPr>
            <w:tcW w:w="2427" w:type="pct"/>
            <w:gridSpan w:val="2"/>
          </w:tcPr>
          <w:p w:rsidR="003652AF" w:rsidRPr="003652AF" w:rsidRDefault="003652AF" w:rsidP="003652AF">
            <w:pPr>
              <w:jc w:val="both"/>
              <w:rPr>
                <w:sz w:val="20"/>
                <w:lang w:val="fr-CA"/>
              </w:rPr>
            </w:pPr>
            <w:r w:rsidRPr="003652AF">
              <w:rPr>
                <w:sz w:val="20"/>
                <w:lang w:val="fr-CA"/>
              </w:rPr>
              <w:lastRenderedPageBreak/>
              <w:t>15 mars 2016</w:t>
            </w:r>
          </w:p>
          <w:p w:rsidR="003652AF" w:rsidRPr="003652AF" w:rsidRDefault="003652AF" w:rsidP="003652AF">
            <w:pPr>
              <w:jc w:val="both"/>
              <w:rPr>
                <w:sz w:val="20"/>
                <w:lang w:val="fr-CA"/>
              </w:rPr>
            </w:pPr>
            <w:r w:rsidRPr="003652AF">
              <w:rPr>
                <w:sz w:val="20"/>
                <w:lang w:val="fr-CA"/>
              </w:rPr>
              <w:t>Cour suprême du Canada</w:t>
            </w:r>
          </w:p>
          <w:p w:rsidR="003652AF" w:rsidRPr="003652AF" w:rsidRDefault="003652AF" w:rsidP="003652AF">
            <w:pPr>
              <w:jc w:val="both"/>
              <w:rPr>
                <w:sz w:val="20"/>
                <w:lang w:val="fr-CA"/>
              </w:rPr>
            </w:pPr>
          </w:p>
        </w:tc>
        <w:tc>
          <w:tcPr>
            <w:tcW w:w="243" w:type="pct"/>
          </w:tcPr>
          <w:p w:rsidR="003652AF" w:rsidRPr="003652AF" w:rsidRDefault="003652AF" w:rsidP="003652AF">
            <w:pPr>
              <w:jc w:val="both"/>
              <w:rPr>
                <w:sz w:val="20"/>
                <w:lang w:val="fr-CA"/>
              </w:rPr>
            </w:pPr>
          </w:p>
        </w:tc>
        <w:tc>
          <w:tcPr>
            <w:tcW w:w="2330" w:type="pct"/>
          </w:tcPr>
          <w:p w:rsidR="003652AF" w:rsidRPr="003652AF" w:rsidRDefault="003652AF" w:rsidP="003652AF">
            <w:pPr>
              <w:jc w:val="both"/>
              <w:rPr>
                <w:sz w:val="20"/>
                <w:lang w:val="fr-CA"/>
              </w:rPr>
            </w:pPr>
            <w:r w:rsidRPr="003652AF">
              <w:rPr>
                <w:sz w:val="20"/>
                <w:lang w:val="fr-CA"/>
              </w:rPr>
              <w:t xml:space="preserve">Dépôt de la requête en prorogation du délai de signification et de dépôt de la demande d’autorisation d’appel et de la demande d’autorisation d’appel </w:t>
            </w:r>
          </w:p>
        </w:tc>
      </w:tr>
    </w:tbl>
    <w:p w:rsidR="003652AF" w:rsidRPr="00885ECF" w:rsidRDefault="003652AF" w:rsidP="00885ECF">
      <w:pPr>
        <w:jc w:val="both"/>
        <w:rPr>
          <w:sz w:val="20"/>
          <w:lang w:val="fr-CA"/>
        </w:rPr>
      </w:pPr>
    </w:p>
    <w:p w:rsidR="00D15B3E" w:rsidRPr="00885ECF" w:rsidRDefault="00D15B3E" w:rsidP="00885ECF">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5ECF" w:rsidRPr="00885ECF" w:rsidTr="00B621BC">
        <w:tc>
          <w:tcPr>
            <w:tcW w:w="543" w:type="pct"/>
          </w:tcPr>
          <w:p w:rsidR="00885ECF" w:rsidRPr="00885ECF" w:rsidRDefault="00885ECF" w:rsidP="00885ECF">
            <w:pPr>
              <w:jc w:val="both"/>
              <w:rPr>
                <w:sz w:val="20"/>
              </w:rPr>
            </w:pPr>
            <w:r w:rsidRPr="00885ECF">
              <w:rPr>
                <w:rStyle w:val="SCCFileNumberChar"/>
                <w:sz w:val="20"/>
                <w:szCs w:val="20"/>
              </w:rPr>
              <w:t>36938</w:t>
            </w:r>
          </w:p>
        </w:tc>
        <w:tc>
          <w:tcPr>
            <w:tcW w:w="4457" w:type="pct"/>
            <w:gridSpan w:val="3"/>
          </w:tcPr>
          <w:p w:rsidR="00885ECF" w:rsidRPr="00885ECF" w:rsidRDefault="00885ECF" w:rsidP="00885ECF">
            <w:pPr>
              <w:pStyle w:val="SCCLsocParty"/>
              <w:jc w:val="both"/>
              <w:rPr>
                <w:b/>
                <w:sz w:val="20"/>
                <w:szCs w:val="20"/>
              </w:rPr>
            </w:pPr>
            <w:r w:rsidRPr="00885ECF">
              <w:rPr>
                <w:b/>
                <w:sz w:val="20"/>
                <w:szCs w:val="20"/>
              </w:rPr>
              <w:t>Terrance Parker v. Her Majesty the Queen</w:t>
            </w:r>
          </w:p>
          <w:p w:rsidR="00885ECF" w:rsidRPr="00885ECF" w:rsidRDefault="00885ECF" w:rsidP="00885ECF">
            <w:pPr>
              <w:jc w:val="both"/>
              <w:rPr>
                <w:sz w:val="20"/>
              </w:rPr>
            </w:pPr>
            <w:r w:rsidRPr="00885ECF">
              <w:rPr>
                <w:sz w:val="20"/>
              </w:rPr>
              <w:t>(FC) (Civil) (By Leave)</w:t>
            </w:r>
          </w:p>
        </w:tc>
      </w:tr>
      <w:tr w:rsidR="00885ECF" w:rsidRPr="00885ECF" w:rsidTr="00B621BC">
        <w:tc>
          <w:tcPr>
            <w:tcW w:w="5000" w:type="pct"/>
            <w:gridSpan w:val="4"/>
          </w:tcPr>
          <w:p w:rsidR="00885ECF" w:rsidRPr="00885ECF" w:rsidRDefault="00885ECF" w:rsidP="00885ECF">
            <w:pPr>
              <w:jc w:val="both"/>
              <w:rPr>
                <w:sz w:val="20"/>
              </w:rPr>
            </w:pPr>
            <w:r w:rsidRPr="00885ECF">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885ECF">
              <w:rPr>
                <w:i/>
                <w:sz w:val="20"/>
              </w:rPr>
              <w:t>Controlled Drugs and Substances Act</w:t>
            </w:r>
            <w:r w:rsidRPr="00885ECF">
              <w:rPr>
                <w:sz w:val="20"/>
              </w:rPr>
              <w:t>, S.C. 1996, c. 19.</w:t>
            </w:r>
          </w:p>
        </w:tc>
      </w:tr>
      <w:tr w:rsidR="00885ECF" w:rsidRPr="00885ECF" w:rsidTr="00B621BC">
        <w:tc>
          <w:tcPr>
            <w:tcW w:w="5000" w:type="pct"/>
            <w:gridSpan w:val="4"/>
          </w:tcPr>
          <w:p w:rsidR="00885ECF" w:rsidRPr="00885ECF" w:rsidRDefault="00885ECF" w:rsidP="00885ECF">
            <w:pPr>
              <w:jc w:val="both"/>
              <w:rPr>
                <w:sz w:val="20"/>
              </w:rPr>
            </w:pPr>
          </w:p>
        </w:tc>
      </w:tr>
      <w:tr w:rsidR="00885ECF" w:rsidRPr="00885ECF" w:rsidTr="00B621BC">
        <w:tc>
          <w:tcPr>
            <w:tcW w:w="5000" w:type="pct"/>
            <w:gridSpan w:val="4"/>
          </w:tcPr>
          <w:p w:rsidR="00885ECF" w:rsidRPr="00885ECF" w:rsidRDefault="00885ECF" w:rsidP="00885ECF">
            <w:pPr>
              <w:jc w:val="both"/>
              <w:rPr>
                <w:sz w:val="20"/>
              </w:rPr>
            </w:pPr>
            <w:r w:rsidRPr="00885ECF">
              <w:rPr>
                <w:sz w:val="20"/>
              </w:rPr>
              <w:t xml:space="preserve">Since February 2014, approximately 300 self-represented plaintiffs, including the applicant, have filed identical claims seeking declarations that the </w:t>
            </w:r>
            <w:r w:rsidRPr="00885ECF">
              <w:rPr>
                <w:i/>
                <w:sz w:val="20"/>
              </w:rPr>
              <w:t>Marijuana Medical Access Regulations (“MMAR”)</w:t>
            </w:r>
            <w:r w:rsidRPr="00885ECF">
              <w:rPr>
                <w:sz w:val="20"/>
              </w:rPr>
              <w:t>, S.O.R./2001-227, which were repealed on March 31, 2014 and the</w:t>
            </w:r>
            <w:r w:rsidRPr="00885ECF">
              <w:rPr>
                <w:i/>
                <w:sz w:val="20"/>
              </w:rPr>
              <w:t xml:space="preserve"> Marijuana for Medical Purposes Regulations</w:t>
            </w:r>
            <w:r w:rsidRPr="00885ECF">
              <w:rPr>
                <w:sz w:val="20"/>
              </w:rPr>
              <w:t xml:space="preserve">, S.O.R./2013-119, which succeeded the </w:t>
            </w:r>
            <w:r w:rsidRPr="00885ECF">
              <w:rPr>
                <w:i/>
                <w:sz w:val="20"/>
              </w:rPr>
              <w:t xml:space="preserve">MMRA </w:t>
            </w:r>
            <w:r w:rsidRPr="00885ECF">
              <w:rPr>
                <w:sz w:val="20"/>
              </w:rPr>
              <w:t xml:space="preserve">are unconstitutional. In the course of their actions, twenty-six plaintiffs, including the applicant, brought motions for interim constitutional exemptions from the </w:t>
            </w:r>
            <w:r w:rsidRPr="00885ECF">
              <w:rPr>
                <w:i/>
                <w:sz w:val="20"/>
              </w:rPr>
              <w:t>Controlled Drugs and Substances Act</w:t>
            </w:r>
            <w:r w:rsidRPr="00885ECF">
              <w:rPr>
                <w:sz w:val="20"/>
              </w:rPr>
              <w:t xml:space="preserve"> </w:t>
            </w:r>
            <w:r w:rsidRPr="00885ECF">
              <w:rPr>
                <w:i/>
                <w:sz w:val="20"/>
              </w:rPr>
              <w:t>(“CDSA”)</w:t>
            </w:r>
            <w:r w:rsidRPr="00885ECF">
              <w:rPr>
                <w:sz w:val="20"/>
              </w:rPr>
              <w:t xml:space="preserve"> for the personal use of marijuana pending trial of their actions.</w:t>
            </w:r>
          </w:p>
        </w:tc>
      </w:tr>
      <w:tr w:rsidR="00885ECF" w:rsidRPr="00885ECF" w:rsidTr="00B621BC">
        <w:tc>
          <w:tcPr>
            <w:tcW w:w="5000" w:type="pct"/>
            <w:gridSpan w:val="4"/>
          </w:tcPr>
          <w:p w:rsidR="00885ECF" w:rsidRPr="00885ECF" w:rsidRDefault="00885ECF" w:rsidP="00885ECF">
            <w:pPr>
              <w:jc w:val="both"/>
              <w:rPr>
                <w:sz w:val="20"/>
              </w:rPr>
            </w:pPr>
          </w:p>
        </w:tc>
      </w:tr>
      <w:tr w:rsidR="00885ECF" w:rsidRPr="00885ECF" w:rsidTr="00B621BC">
        <w:tc>
          <w:tcPr>
            <w:tcW w:w="2427" w:type="pct"/>
            <w:gridSpan w:val="2"/>
          </w:tcPr>
          <w:p w:rsidR="00885ECF" w:rsidRPr="00885ECF" w:rsidRDefault="00885ECF" w:rsidP="00885ECF">
            <w:pPr>
              <w:jc w:val="both"/>
              <w:rPr>
                <w:sz w:val="20"/>
              </w:rPr>
            </w:pPr>
            <w:r w:rsidRPr="00885ECF">
              <w:rPr>
                <w:sz w:val="20"/>
              </w:rPr>
              <w:t>May 7, 2014</w:t>
            </w:r>
          </w:p>
          <w:p w:rsidR="00885ECF" w:rsidRPr="00885ECF" w:rsidRDefault="00885ECF" w:rsidP="00885ECF">
            <w:pPr>
              <w:jc w:val="both"/>
              <w:rPr>
                <w:sz w:val="20"/>
              </w:rPr>
            </w:pPr>
            <w:r w:rsidRPr="00885ECF">
              <w:rPr>
                <w:sz w:val="20"/>
              </w:rPr>
              <w:t>Federal Court</w:t>
            </w:r>
          </w:p>
          <w:p w:rsidR="00885ECF" w:rsidRPr="00885ECF" w:rsidRDefault="00885ECF" w:rsidP="00885ECF">
            <w:pPr>
              <w:jc w:val="both"/>
              <w:rPr>
                <w:sz w:val="20"/>
              </w:rPr>
            </w:pPr>
            <w:r w:rsidRPr="00885ECF">
              <w:rPr>
                <w:sz w:val="20"/>
              </w:rPr>
              <w:t>(Phelan J.)</w:t>
            </w:r>
          </w:p>
          <w:p w:rsidR="00885ECF" w:rsidRPr="00885ECF" w:rsidRDefault="00885ECF" w:rsidP="00885ECF">
            <w:pPr>
              <w:jc w:val="both"/>
              <w:rPr>
                <w:sz w:val="20"/>
              </w:rPr>
            </w:pPr>
          </w:p>
        </w:tc>
        <w:tc>
          <w:tcPr>
            <w:tcW w:w="243" w:type="pct"/>
          </w:tcPr>
          <w:p w:rsidR="00885ECF" w:rsidRPr="00885ECF" w:rsidRDefault="00885ECF" w:rsidP="00885ECF">
            <w:pPr>
              <w:jc w:val="both"/>
              <w:rPr>
                <w:sz w:val="20"/>
              </w:rPr>
            </w:pPr>
          </w:p>
        </w:tc>
        <w:tc>
          <w:tcPr>
            <w:tcW w:w="2330" w:type="pct"/>
          </w:tcPr>
          <w:p w:rsidR="00885ECF" w:rsidRPr="00885ECF" w:rsidRDefault="00885ECF" w:rsidP="00885ECF">
            <w:pPr>
              <w:jc w:val="both"/>
              <w:rPr>
                <w:sz w:val="20"/>
              </w:rPr>
            </w:pPr>
            <w:r w:rsidRPr="00885ECF">
              <w:rPr>
                <w:sz w:val="20"/>
              </w:rPr>
              <w:t xml:space="preserve">Motion for interim constitutional exemptions from provisions of </w:t>
            </w:r>
            <w:r w:rsidRPr="00885ECF">
              <w:rPr>
                <w:i/>
                <w:sz w:val="20"/>
              </w:rPr>
              <w:t>Controlled Drugs and Substances Act</w:t>
            </w:r>
            <w:r w:rsidRPr="00885ECF">
              <w:rPr>
                <w:sz w:val="20"/>
              </w:rPr>
              <w:t xml:space="preserve"> dismissed</w:t>
            </w:r>
          </w:p>
          <w:p w:rsidR="00885ECF" w:rsidRPr="00885ECF" w:rsidRDefault="00885ECF" w:rsidP="00885ECF">
            <w:pPr>
              <w:jc w:val="both"/>
              <w:rPr>
                <w:sz w:val="20"/>
              </w:rPr>
            </w:pPr>
          </w:p>
        </w:tc>
      </w:tr>
      <w:tr w:rsidR="00885ECF" w:rsidRPr="00885ECF" w:rsidTr="00B621BC">
        <w:tc>
          <w:tcPr>
            <w:tcW w:w="2427" w:type="pct"/>
            <w:gridSpan w:val="2"/>
          </w:tcPr>
          <w:p w:rsidR="00885ECF" w:rsidRPr="00885ECF" w:rsidRDefault="00885ECF" w:rsidP="00885ECF">
            <w:pPr>
              <w:jc w:val="both"/>
              <w:rPr>
                <w:sz w:val="20"/>
              </w:rPr>
            </w:pPr>
            <w:r w:rsidRPr="00885ECF">
              <w:rPr>
                <w:sz w:val="20"/>
              </w:rPr>
              <w:t>January 13, 2016</w:t>
            </w:r>
          </w:p>
          <w:p w:rsidR="00885ECF" w:rsidRPr="00885ECF" w:rsidRDefault="00885ECF" w:rsidP="00885ECF">
            <w:pPr>
              <w:jc w:val="both"/>
              <w:rPr>
                <w:sz w:val="20"/>
              </w:rPr>
            </w:pPr>
            <w:r w:rsidRPr="00885ECF">
              <w:rPr>
                <w:sz w:val="20"/>
              </w:rPr>
              <w:t>Federal Court of Appeal</w:t>
            </w:r>
          </w:p>
          <w:p w:rsidR="00885ECF" w:rsidRPr="00885ECF" w:rsidRDefault="00885ECF" w:rsidP="00885ECF">
            <w:pPr>
              <w:jc w:val="both"/>
              <w:rPr>
                <w:sz w:val="20"/>
              </w:rPr>
            </w:pPr>
            <w:r w:rsidRPr="00885ECF">
              <w:rPr>
                <w:sz w:val="20"/>
              </w:rPr>
              <w:t>(Pelletier, Stratas and Gleason JJ.A.)</w:t>
            </w:r>
          </w:p>
          <w:p w:rsidR="00885ECF" w:rsidRPr="00885ECF" w:rsidRDefault="00B621BC" w:rsidP="00885ECF">
            <w:pPr>
              <w:jc w:val="both"/>
              <w:rPr>
                <w:sz w:val="20"/>
                <w:lang w:eastAsia="en-CA"/>
              </w:rPr>
            </w:pPr>
            <w:hyperlink r:id="rId46" w:history="1">
              <w:r w:rsidR="00885ECF" w:rsidRPr="00885ECF">
                <w:rPr>
                  <w:color w:val="0000FF" w:themeColor="hyperlink"/>
                  <w:sz w:val="20"/>
                  <w:u w:val="single"/>
                  <w:lang w:eastAsia="en-CA"/>
                </w:rPr>
                <w:t>2016 FCA 9</w:t>
              </w:r>
            </w:hyperlink>
          </w:p>
          <w:p w:rsidR="00885ECF" w:rsidRPr="00885ECF" w:rsidRDefault="00885ECF" w:rsidP="00885ECF">
            <w:pPr>
              <w:jc w:val="both"/>
              <w:rPr>
                <w:sz w:val="20"/>
              </w:rPr>
            </w:pPr>
          </w:p>
        </w:tc>
        <w:tc>
          <w:tcPr>
            <w:tcW w:w="243" w:type="pct"/>
          </w:tcPr>
          <w:p w:rsidR="00885ECF" w:rsidRPr="00885ECF" w:rsidRDefault="00885ECF" w:rsidP="00885ECF">
            <w:pPr>
              <w:jc w:val="both"/>
              <w:rPr>
                <w:sz w:val="20"/>
              </w:rPr>
            </w:pPr>
          </w:p>
        </w:tc>
        <w:tc>
          <w:tcPr>
            <w:tcW w:w="2330" w:type="pct"/>
          </w:tcPr>
          <w:p w:rsidR="00885ECF" w:rsidRPr="00885ECF" w:rsidRDefault="00885ECF" w:rsidP="00885ECF">
            <w:pPr>
              <w:jc w:val="both"/>
              <w:rPr>
                <w:sz w:val="20"/>
              </w:rPr>
            </w:pPr>
            <w:r w:rsidRPr="00885ECF">
              <w:rPr>
                <w:sz w:val="20"/>
              </w:rPr>
              <w:t>Appeal dismissed</w:t>
            </w:r>
          </w:p>
          <w:p w:rsidR="00885ECF" w:rsidRPr="00885ECF" w:rsidRDefault="00885ECF" w:rsidP="00885ECF">
            <w:pPr>
              <w:jc w:val="both"/>
              <w:rPr>
                <w:sz w:val="20"/>
              </w:rPr>
            </w:pPr>
          </w:p>
        </w:tc>
      </w:tr>
      <w:tr w:rsidR="00885ECF" w:rsidRPr="00885ECF" w:rsidTr="00B621BC">
        <w:tc>
          <w:tcPr>
            <w:tcW w:w="2427" w:type="pct"/>
            <w:gridSpan w:val="2"/>
          </w:tcPr>
          <w:p w:rsidR="00885ECF" w:rsidRPr="00885ECF" w:rsidRDefault="00885ECF" w:rsidP="00885ECF">
            <w:pPr>
              <w:jc w:val="both"/>
              <w:rPr>
                <w:sz w:val="20"/>
              </w:rPr>
            </w:pPr>
            <w:r w:rsidRPr="00885ECF">
              <w:rPr>
                <w:sz w:val="20"/>
              </w:rPr>
              <w:t>March 15, 2016</w:t>
            </w:r>
          </w:p>
          <w:p w:rsidR="00885ECF" w:rsidRPr="00885ECF" w:rsidRDefault="00885ECF" w:rsidP="00885ECF">
            <w:pPr>
              <w:jc w:val="both"/>
              <w:rPr>
                <w:sz w:val="20"/>
              </w:rPr>
            </w:pPr>
            <w:r w:rsidRPr="00885ECF">
              <w:rPr>
                <w:sz w:val="20"/>
              </w:rPr>
              <w:t>Supreme Court of Canada</w:t>
            </w:r>
          </w:p>
        </w:tc>
        <w:tc>
          <w:tcPr>
            <w:tcW w:w="243" w:type="pct"/>
          </w:tcPr>
          <w:p w:rsidR="00885ECF" w:rsidRPr="00885ECF" w:rsidRDefault="00885ECF" w:rsidP="00885ECF">
            <w:pPr>
              <w:jc w:val="both"/>
              <w:rPr>
                <w:sz w:val="20"/>
              </w:rPr>
            </w:pPr>
          </w:p>
        </w:tc>
        <w:tc>
          <w:tcPr>
            <w:tcW w:w="2330" w:type="pct"/>
          </w:tcPr>
          <w:p w:rsidR="00885ECF" w:rsidRPr="00885ECF" w:rsidRDefault="00885ECF" w:rsidP="00885ECF">
            <w:pPr>
              <w:jc w:val="both"/>
              <w:rPr>
                <w:sz w:val="20"/>
              </w:rPr>
            </w:pPr>
            <w:r w:rsidRPr="00885ECF">
              <w:rPr>
                <w:sz w:val="20"/>
              </w:rPr>
              <w:t>Motion to extend time to serve and file application for leave to appeal and application for leave to appeal filed</w:t>
            </w:r>
          </w:p>
        </w:tc>
      </w:tr>
    </w:tbl>
    <w:p w:rsidR="00885ECF" w:rsidRDefault="00885ECF" w:rsidP="00885ECF">
      <w:pPr>
        <w:jc w:val="both"/>
        <w:rPr>
          <w:sz w:val="20"/>
        </w:rPr>
      </w:pPr>
    </w:p>
    <w:p w:rsidR="00885ECF" w:rsidRPr="00885ECF" w:rsidRDefault="00885ECF" w:rsidP="00885E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5ECF" w:rsidRPr="00885ECF" w:rsidTr="00B621BC">
        <w:tc>
          <w:tcPr>
            <w:tcW w:w="543" w:type="pct"/>
          </w:tcPr>
          <w:p w:rsidR="00885ECF" w:rsidRPr="00885ECF" w:rsidRDefault="00885ECF" w:rsidP="00885ECF">
            <w:pPr>
              <w:jc w:val="both"/>
              <w:rPr>
                <w:sz w:val="20"/>
                <w:lang w:val="fr-CA"/>
              </w:rPr>
            </w:pPr>
            <w:r w:rsidRPr="00885ECF">
              <w:rPr>
                <w:rStyle w:val="SCCFileNumberChar"/>
                <w:sz w:val="20"/>
                <w:szCs w:val="20"/>
                <w:lang w:val="fr-CA"/>
              </w:rPr>
              <w:t>36938</w:t>
            </w:r>
          </w:p>
        </w:tc>
        <w:tc>
          <w:tcPr>
            <w:tcW w:w="4457" w:type="pct"/>
            <w:gridSpan w:val="3"/>
          </w:tcPr>
          <w:p w:rsidR="00885ECF" w:rsidRPr="00885ECF" w:rsidRDefault="00885ECF" w:rsidP="00885ECF">
            <w:pPr>
              <w:pStyle w:val="SCCLsocParty"/>
              <w:jc w:val="both"/>
              <w:rPr>
                <w:b/>
                <w:sz w:val="20"/>
                <w:szCs w:val="20"/>
              </w:rPr>
            </w:pPr>
            <w:r w:rsidRPr="00885ECF">
              <w:rPr>
                <w:b/>
                <w:sz w:val="20"/>
                <w:szCs w:val="20"/>
              </w:rPr>
              <w:t>Terrance Parker c. Sa Majesté la Reine</w:t>
            </w:r>
          </w:p>
          <w:p w:rsidR="00885ECF" w:rsidRPr="00885ECF" w:rsidRDefault="00885ECF" w:rsidP="00885ECF">
            <w:pPr>
              <w:jc w:val="both"/>
              <w:rPr>
                <w:sz w:val="20"/>
                <w:lang w:val="fr-CA"/>
              </w:rPr>
            </w:pPr>
            <w:r w:rsidRPr="00885ECF">
              <w:rPr>
                <w:sz w:val="20"/>
                <w:lang w:val="fr-CA"/>
              </w:rPr>
              <w:t>(CF) (Civile) (Sur autorisation)</w:t>
            </w:r>
          </w:p>
        </w:tc>
      </w:tr>
      <w:tr w:rsidR="00885ECF" w:rsidRPr="00885ECF" w:rsidTr="00B621BC">
        <w:tc>
          <w:tcPr>
            <w:tcW w:w="5000" w:type="pct"/>
            <w:gridSpan w:val="4"/>
          </w:tcPr>
          <w:p w:rsidR="00885ECF" w:rsidRPr="00885ECF" w:rsidRDefault="00885ECF" w:rsidP="00885ECF">
            <w:pPr>
              <w:jc w:val="both"/>
              <w:rPr>
                <w:sz w:val="20"/>
                <w:lang w:val="fr-CA"/>
              </w:rPr>
            </w:pPr>
            <w:r w:rsidRPr="00885ECF">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885ECF">
              <w:rPr>
                <w:i/>
                <w:sz w:val="20"/>
                <w:lang w:val="fr-CA"/>
              </w:rPr>
              <w:t>Loi réglementant certaines drogues et autres substances</w:t>
            </w:r>
            <w:r w:rsidRPr="00885ECF">
              <w:rPr>
                <w:sz w:val="20"/>
                <w:lang w:val="fr-CA"/>
              </w:rPr>
              <w:t>, L.C., 1996, ch. 19.</w:t>
            </w:r>
          </w:p>
        </w:tc>
      </w:tr>
      <w:tr w:rsidR="00885ECF" w:rsidRPr="00885ECF" w:rsidTr="00B621BC">
        <w:tc>
          <w:tcPr>
            <w:tcW w:w="5000" w:type="pct"/>
            <w:gridSpan w:val="4"/>
          </w:tcPr>
          <w:p w:rsidR="00885ECF" w:rsidRPr="00885ECF" w:rsidRDefault="00885ECF" w:rsidP="00885ECF">
            <w:pPr>
              <w:jc w:val="both"/>
              <w:rPr>
                <w:sz w:val="20"/>
                <w:lang w:val="fr-CA"/>
              </w:rPr>
            </w:pPr>
          </w:p>
        </w:tc>
      </w:tr>
      <w:tr w:rsidR="00885ECF" w:rsidRPr="00885ECF" w:rsidTr="00B621BC">
        <w:tc>
          <w:tcPr>
            <w:tcW w:w="5000" w:type="pct"/>
            <w:gridSpan w:val="4"/>
          </w:tcPr>
          <w:p w:rsidR="00885ECF" w:rsidRPr="00885ECF" w:rsidRDefault="00885ECF" w:rsidP="00885ECF">
            <w:pPr>
              <w:jc w:val="both"/>
              <w:rPr>
                <w:sz w:val="20"/>
                <w:lang w:val="fr-CA"/>
              </w:rPr>
            </w:pPr>
            <w:r w:rsidRPr="00885ECF">
              <w:rPr>
                <w:sz w:val="20"/>
                <w:lang w:val="fr-CA"/>
              </w:rPr>
              <w:t xml:space="preserve">Depuis février 2014, environ 300 plaideurs non représentés, y compris le demandeur, ont déposé des demandes identiques sollicitant des jugements qui déclarent inconstitutionnels le </w:t>
            </w:r>
            <w:r w:rsidRPr="00885ECF">
              <w:rPr>
                <w:i/>
                <w:sz w:val="20"/>
                <w:lang w:val="fr-CA"/>
              </w:rPr>
              <w:t>Règlement sur l’accès à la marihuana à des fins médicales (« RAMFM »)</w:t>
            </w:r>
            <w:r w:rsidRPr="00885ECF">
              <w:rPr>
                <w:sz w:val="20"/>
                <w:lang w:val="fr-CA"/>
              </w:rPr>
              <w:t xml:space="preserve">, D.O.R.S./2001-227, abrogé le 31 mars 2014 et le </w:t>
            </w:r>
            <w:r w:rsidRPr="00885ECF">
              <w:rPr>
                <w:i/>
                <w:sz w:val="20"/>
                <w:lang w:val="fr-CA"/>
              </w:rPr>
              <w:t>Règlement sur la marihuana à des fins médicales</w:t>
            </w:r>
            <w:r w:rsidRPr="00885ECF">
              <w:rPr>
                <w:sz w:val="20"/>
                <w:lang w:val="fr-CA"/>
              </w:rPr>
              <w:t xml:space="preserve">, D.O.R.S./2013-119, qui a remplacé le </w:t>
            </w:r>
            <w:r w:rsidRPr="00885ECF">
              <w:rPr>
                <w:i/>
                <w:sz w:val="20"/>
                <w:lang w:val="fr-CA"/>
              </w:rPr>
              <w:t>RAMFM</w:t>
            </w:r>
            <w:r w:rsidRPr="00885ECF">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885ECF">
              <w:rPr>
                <w:i/>
                <w:sz w:val="20"/>
                <w:lang w:val="fr-CA"/>
              </w:rPr>
              <w:t>Loi réglementant certaines drogues et autres substances (« LRCDAS »)</w:t>
            </w:r>
            <w:r w:rsidRPr="00885ECF">
              <w:rPr>
                <w:sz w:val="20"/>
                <w:lang w:val="fr-CA"/>
              </w:rPr>
              <w:t xml:space="preserve"> pour l’utilisation personnelle de la marihuana en attendant que leurs actions soient instruites.</w:t>
            </w:r>
          </w:p>
        </w:tc>
      </w:tr>
      <w:tr w:rsidR="00885ECF" w:rsidRPr="00885ECF" w:rsidTr="00B621BC">
        <w:tc>
          <w:tcPr>
            <w:tcW w:w="5000" w:type="pct"/>
            <w:gridSpan w:val="4"/>
          </w:tcPr>
          <w:p w:rsidR="00885ECF" w:rsidRPr="00885ECF" w:rsidRDefault="00885ECF" w:rsidP="00885ECF">
            <w:pPr>
              <w:jc w:val="both"/>
              <w:rPr>
                <w:sz w:val="20"/>
                <w:lang w:val="fr-CA"/>
              </w:rPr>
            </w:pPr>
          </w:p>
        </w:tc>
      </w:tr>
      <w:tr w:rsidR="00885ECF" w:rsidRPr="00885ECF" w:rsidTr="00B621BC">
        <w:tc>
          <w:tcPr>
            <w:tcW w:w="2427" w:type="pct"/>
            <w:gridSpan w:val="2"/>
          </w:tcPr>
          <w:p w:rsidR="00885ECF" w:rsidRPr="00885ECF" w:rsidRDefault="00885ECF" w:rsidP="00885ECF">
            <w:pPr>
              <w:jc w:val="both"/>
              <w:rPr>
                <w:sz w:val="20"/>
                <w:lang w:val="fr-CA"/>
              </w:rPr>
            </w:pPr>
            <w:r w:rsidRPr="00885ECF">
              <w:rPr>
                <w:sz w:val="20"/>
                <w:lang w:val="fr-CA"/>
              </w:rPr>
              <w:lastRenderedPageBreak/>
              <w:t>7 mai 2014</w:t>
            </w:r>
          </w:p>
          <w:p w:rsidR="00885ECF" w:rsidRPr="00885ECF" w:rsidRDefault="00885ECF" w:rsidP="00885ECF">
            <w:pPr>
              <w:jc w:val="both"/>
              <w:rPr>
                <w:sz w:val="20"/>
                <w:lang w:val="fr-CA"/>
              </w:rPr>
            </w:pPr>
            <w:r w:rsidRPr="00885ECF">
              <w:rPr>
                <w:sz w:val="20"/>
                <w:lang w:val="fr-CA"/>
              </w:rPr>
              <w:t xml:space="preserve">Cour fédérale </w:t>
            </w:r>
          </w:p>
          <w:p w:rsidR="00885ECF" w:rsidRPr="00885ECF" w:rsidRDefault="00885ECF" w:rsidP="00885ECF">
            <w:pPr>
              <w:jc w:val="both"/>
              <w:rPr>
                <w:sz w:val="20"/>
                <w:lang w:val="fr-CA"/>
              </w:rPr>
            </w:pPr>
            <w:r w:rsidRPr="00885ECF">
              <w:rPr>
                <w:sz w:val="20"/>
                <w:lang w:val="fr-CA"/>
              </w:rPr>
              <w:t>(Juge Phelan)</w:t>
            </w:r>
          </w:p>
        </w:tc>
        <w:tc>
          <w:tcPr>
            <w:tcW w:w="243" w:type="pct"/>
          </w:tcPr>
          <w:p w:rsidR="00885ECF" w:rsidRPr="00885ECF" w:rsidRDefault="00885ECF" w:rsidP="00885ECF">
            <w:pPr>
              <w:jc w:val="both"/>
              <w:rPr>
                <w:sz w:val="20"/>
                <w:lang w:val="fr-CA"/>
              </w:rPr>
            </w:pPr>
          </w:p>
        </w:tc>
        <w:tc>
          <w:tcPr>
            <w:tcW w:w="2330" w:type="pct"/>
          </w:tcPr>
          <w:p w:rsidR="00885ECF" w:rsidRPr="00885ECF" w:rsidRDefault="00885ECF" w:rsidP="00885ECF">
            <w:pPr>
              <w:jc w:val="both"/>
              <w:rPr>
                <w:sz w:val="20"/>
                <w:lang w:val="fr-CA"/>
              </w:rPr>
            </w:pPr>
            <w:r w:rsidRPr="00885ECF">
              <w:rPr>
                <w:sz w:val="20"/>
                <w:lang w:val="fr-CA"/>
              </w:rPr>
              <w:t xml:space="preserve">Rejet de la requête en exemption constitutionnelle visant à écarter temporairement l’application de la </w:t>
            </w:r>
            <w:r w:rsidRPr="00885ECF">
              <w:rPr>
                <w:i/>
                <w:sz w:val="20"/>
                <w:lang w:val="fr-CA"/>
              </w:rPr>
              <w:t>Loi réglementant certaines drogues et autres substances</w:t>
            </w:r>
          </w:p>
          <w:p w:rsidR="00885ECF" w:rsidRPr="00885ECF" w:rsidRDefault="00885ECF" w:rsidP="00885ECF">
            <w:pPr>
              <w:jc w:val="both"/>
              <w:rPr>
                <w:sz w:val="20"/>
                <w:lang w:val="fr-CA"/>
              </w:rPr>
            </w:pPr>
          </w:p>
        </w:tc>
      </w:tr>
      <w:tr w:rsidR="00885ECF" w:rsidRPr="00885ECF" w:rsidTr="00B621BC">
        <w:tc>
          <w:tcPr>
            <w:tcW w:w="2427" w:type="pct"/>
            <w:gridSpan w:val="2"/>
          </w:tcPr>
          <w:p w:rsidR="00885ECF" w:rsidRPr="00885ECF" w:rsidRDefault="00885ECF" w:rsidP="00885ECF">
            <w:pPr>
              <w:jc w:val="both"/>
              <w:rPr>
                <w:sz w:val="20"/>
                <w:lang w:val="fr-CA"/>
              </w:rPr>
            </w:pPr>
            <w:r w:rsidRPr="00885ECF">
              <w:rPr>
                <w:sz w:val="20"/>
                <w:lang w:val="fr-CA"/>
              </w:rPr>
              <w:t>13 janvier 2016</w:t>
            </w:r>
          </w:p>
          <w:p w:rsidR="00885ECF" w:rsidRPr="00885ECF" w:rsidRDefault="00885ECF" w:rsidP="00885ECF">
            <w:pPr>
              <w:jc w:val="both"/>
              <w:rPr>
                <w:sz w:val="20"/>
                <w:lang w:val="fr-CA"/>
              </w:rPr>
            </w:pPr>
            <w:r w:rsidRPr="00885ECF">
              <w:rPr>
                <w:sz w:val="20"/>
                <w:lang w:val="fr-CA"/>
              </w:rPr>
              <w:t xml:space="preserve">Cour d’appel fédérale </w:t>
            </w:r>
          </w:p>
          <w:p w:rsidR="00885ECF" w:rsidRPr="00885ECF" w:rsidRDefault="00885ECF" w:rsidP="00885ECF">
            <w:pPr>
              <w:jc w:val="both"/>
              <w:rPr>
                <w:sz w:val="20"/>
                <w:lang w:val="fr-CA" w:eastAsia="en-CA"/>
              </w:rPr>
            </w:pPr>
            <w:r w:rsidRPr="00885ECF">
              <w:rPr>
                <w:sz w:val="20"/>
                <w:lang w:val="fr-CA" w:eastAsia="en-CA"/>
              </w:rPr>
              <w:t>(Juges Pelletier, Stratas et Gleason)</w:t>
            </w:r>
          </w:p>
          <w:p w:rsidR="00885ECF" w:rsidRPr="00885ECF" w:rsidRDefault="00B621BC" w:rsidP="00885ECF">
            <w:pPr>
              <w:jc w:val="both"/>
              <w:rPr>
                <w:sz w:val="20"/>
                <w:lang w:val="fr-CA" w:eastAsia="en-CA"/>
              </w:rPr>
            </w:pPr>
            <w:hyperlink r:id="rId47" w:history="1">
              <w:r w:rsidR="00885ECF" w:rsidRPr="00885ECF">
                <w:rPr>
                  <w:color w:val="0000FF" w:themeColor="hyperlink"/>
                  <w:sz w:val="20"/>
                  <w:u w:val="single"/>
                  <w:lang w:val="fr-CA" w:eastAsia="en-CA"/>
                </w:rPr>
                <w:t>2016 FCA 9</w:t>
              </w:r>
            </w:hyperlink>
          </w:p>
          <w:p w:rsidR="00885ECF" w:rsidRPr="00885ECF" w:rsidRDefault="00885ECF" w:rsidP="00885ECF">
            <w:pPr>
              <w:jc w:val="both"/>
              <w:rPr>
                <w:sz w:val="20"/>
                <w:lang w:val="fr-CA"/>
              </w:rPr>
            </w:pPr>
          </w:p>
        </w:tc>
        <w:tc>
          <w:tcPr>
            <w:tcW w:w="243" w:type="pct"/>
          </w:tcPr>
          <w:p w:rsidR="00885ECF" w:rsidRPr="00885ECF" w:rsidRDefault="00885ECF" w:rsidP="00885ECF">
            <w:pPr>
              <w:jc w:val="both"/>
              <w:rPr>
                <w:sz w:val="20"/>
                <w:lang w:val="fr-CA"/>
              </w:rPr>
            </w:pPr>
          </w:p>
        </w:tc>
        <w:tc>
          <w:tcPr>
            <w:tcW w:w="2330" w:type="pct"/>
          </w:tcPr>
          <w:p w:rsidR="00885ECF" w:rsidRPr="00885ECF" w:rsidRDefault="00885ECF" w:rsidP="00885ECF">
            <w:pPr>
              <w:jc w:val="both"/>
              <w:rPr>
                <w:sz w:val="20"/>
                <w:lang w:val="fr-CA"/>
              </w:rPr>
            </w:pPr>
            <w:r w:rsidRPr="00885ECF">
              <w:rPr>
                <w:sz w:val="20"/>
                <w:lang w:val="fr-CA"/>
              </w:rPr>
              <w:t>Rejet de l’appel</w:t>
            </w:r>
          </w:p>
          <w:p w:rsidR="00885ECF" w:rsidRPr="00885ECF" w:rsidRDefault="00885ECF" w:rsidP="00885ECF">
            <w:pPr>
              <w:jc w:val="both"/>
              <w:rPr>
                <w:sz w:val="20"/>
                <w:lang w:val="fr-CA"/>
              </w:rPr>
            </w:pPr>
          </w:p>
        </w:tc>
      </w:tr>
      <w:tr w:rsidR="00885ECF" w:rsidRPr="00885ECF" w:rsidTr="00B621BC">
        <w:tc>
          <w:tcPr>
            <w:tcW w:w="2427" w:type="pct"/>
            <w:gridSpan w:val="2"/>
          </w:tcPr>
          <w:p w:rsidR="00885ECF" w:rsidRPr="00885ECF" w:rsidRDefault="00885ECF" w:rsidP="00885ECF">
            <w:pPr>
              <w:jc w:val="both"/>
              <w:rPr>
                <w:sz w:val="20"/>
                <w:lang w:val="fr-CA"/>
              </w:rPr>
            </w:pPr>
            <w:r w:rsidRPr="00885ECF">
              <w:rPr>
                <w:sz w:val="20"/>
                <w:lang w:val="fr-CA"/>
              </w:rPr>
              <w:t>15 mars 2016</w:t>
            </w:r>
          </w:p>
          <w:p w:rsidR="00885ECF" w:rsidRPr="00885ECF" w:rsidRDefault="00885ECF" w:rsidP="00885ECF">
            <w:pPr>
              <w:jc w:val="both"/>
              <w:rPr>
                <w:sz w:val="20"/>
                <w:lang w:val="fr-CA"/>
              </w:rPr>
            </w:pPr>
            <w:r w:rsidRPr="00885ECF">
              <w:rPr>
                <w:sz w:val="20"/>
                <w:lang w:val="fr-CA"/>
              </w:rPr>
              <w:t>Cour suprême du Canada</w:t>
            </w:r>
          </w:p>
          <w:p w:rsidR="00885ECF" w:rsidRPr="00885ECF" w:rsidRDefault="00885ECF" w:rsidP="00885ECF">
            <w:pPr>
              <w:jc w:val="both"/>
              <w:rPr>
                <w:sz w:val="20"/>
                <w:lang w:val="fr-CA"/>
              </w:rPr>
            </w:pPr>
          </w:p>
        </w:tc>
        <w:tc>
          <w:tcPr>
            <w:tcW w:w="243" w:type="pct"/>
          </w:tcPr>
          <w:p w:rsidR="00885ECF" w:rsidRPr="00885ECF" w:rsidRDefault="00885ECF" w:rsidP="00885ECF">
            <w:pPr>
              <w:jc w:val="both"/>
              <w:rPr>
                <w:sz w:val="20"/>
                <w:lang w:val="fr-CA"/>
              </w:rPr>
            </w:pPr>
          </w:p>
        </w:tc>
        <w:tc>
          <w:tcPr>
            <w:tcW w:w="2330" w:type="pct"/>
          </w:tcPr>
          <w:p w:rsidR="00885ECF" w:rsidRPr="00885ECF" w:rsidRDefault="00885ECF" w:rsidP="00885ECF">
            <w:pPr>
              <w:jc w:val="both"/>
              <w:rPr>
                <w:sz w:val="20"/>
                <w:lang w:val="fr-CA"/>
              </w:rPr>
            </w:pPr>
            <w:r w:rsidRPr="00885ECF">
              <w:rPr>
                <w:sz w:val="20"/>
                <w:lang w:val="fr-CA"/>
              </w:rPr>
              <w:t xml:space="preserve">Dépôt de la requête en prorogation du délai de signification et de dépôt de la demande d’autorisation d’appel et de la demande d’autorisation d’appel </w:t>
            </w:r>
          </w:p>
        </w:tc>
      </w:tr>
    </w:tbl>
    <w:p w:rsidR="00885ECF" w:rsidRPr="00676C7D" w:rsidRDefault="00885ECF" w:rsidP="00676C7D">
      <w:pPr>
        <w:jc w:val="both"/>
        <w:rPr>
          <w:sz w:val="20"/>
          <w:lang w:val="fr-CA"/>
        </w:rPr>
      </w:pPr>
    </w:p>
    <w:p w:rsidR="00D15B3E" w:rsidRPr="00676C7D" w:rsidRDefault="00D15B3E" w:rsidP="00676C7D">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76C7D" w:rsidRPr="00676C7D" w:rsidTr="00B621BC">
        <w:tc>
          <w:tcPr>
            <w:tcW w:w="543" w:type="pct"/>
          </w:tcPr>
          <w:p w:rsidR="00676C7D" w:rsidRPr="00676C7D" w:rsidRDefault="00676C7D" w:rsidP="00676C7D">
            <w:pPr>
              <w:jc w:val="both"/>
              <w:rPr>
                <w:sz w:val="20"/>
              </w:rPr>
            </w:pPr>
            <w:r w:rsidRPr="00676C7D">
              <w:rPr>
                <w:rStyle w:val="SCCFileNumberChar"/>
                <w:sz w:val="20"/>
                <w:szCs w:val="20"/>
              </w:rPr>
              <w:t>36939</w:t>
            </w:r>
          </w:p>
        </w:tc>
        <w:tc>
          <w:tcPr>
            <w:tcW w:w="4457" w:type="pct"/>
            <w:gridSpan w:val="3"/>
          </w:tcPr>
          <w:p w:rsidR="00676C7D" w:rsidRPr="00676C7D" w:rsidRDefault="00676C7D" w:rsidP="00676C7D">
            <w:pPr>
              <w:pStyle w:val="SCCLsocParty"/>
              <w:jc w:val="both"/>
              <w:rPr>
                <w:b/>
                <w:sz w:val="20"/>
                <w:szCs w:val="20"/>
              </w:rPr>
            </w:pPr>
            <w:r w:rsidRPr="00676C7D">
              <w:rPr>
                <w:b/>
                <w:sz w:val="20"/>
                <w:szCs w:val="20"/>
              </w:rPr>
              <w:t>Arthur Jackes v. Her Majesty the Queen</w:t>
            </w:r>
          </w:p>
          <w:p w:rsidR="00676C7D" w:rsidRPr="00676C7D" w:rsidRDefault="00676C7D" w:rsidP="00676C7D">
            <w:pPr>
              <w:jc w:val="both"/>
              <w:rPr>
                <w:sz w:val="20"/>
              </w:rPr>
            </w:pPr>
            <w:r w:rsidRPr="00676C7D">
              <w:rPr>
                <w:sz w:val="20"/>
              </w:rPr>
              <w:t>(FC) (Civil) (By Leave)</w:t>
            </w:r>
          </w:p>
        </w:tc>
      </w:tr>
      <w:tr w:rsidR="00676C7D" w:rsidRPr="00676C7D" w:rsidTr="00B621BC">
        <w:tc>
          <w:tcPr>
            <w:tcW w:w="5000" w:type="pct"/>
            <w:gridSpan w:val="4"/>
          </w:tcPr>
          <w:p w:rsidR="00676C7D" w:rsidRPr="00676C7D" w:rsidRDefault="00676C7D" w:rsidP="00676C7D">
            <w:pPr>
              <w:jc w:val="both"/>
              <w:rPr>
                <w:sz w:val="20"/>
              </w:rPr>
            </w:pPr>
            <w:r w:rsidRPr="00676C7D">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676C7D">
              <w:rPr>
                <w:i/>
                <w:sz w:val="20"/>
              </w:rPr>
              <w:t>Controlled Drugs and Substances Act</w:t>
            </w:r>
            <w:r w:rsidRPr="00676C7D">
              <w:rPr>
                <w:sz w:val="20"/>
              </w:rPr>
              <w:t>, S.C. 1996, c. 19.</w:t>
            </w:r>
          </w:p>
        </w:tc>
      </w:tr>
      <w:tr w:rsidR="00676C7D" w:rsidRPr="00676C7D" w:rsidTr="00B621BC">
        <w:tc>
          <w:tcPr>
            <w:tcW w:w="5000" w:type="pct"/>
            <w:gridSpan w:val="4"/>
          </w:tcPr>
          <w:p w:rsidR="00676C7D" w:rsidRPr="00676C7D" w:rsidRDefault="00676C7D" w:rsidP="00676C7D">
            <w:pPr>
              <w:jc w:val="both"/>
              <w:rPr>
                <w:sz w:val="20"/>
              </w:rPr>
            </w:pPr>
          </w:p>
        </w:tc>
      </w:tr>
      <w:tr w:rsidR="00676C7D" w:rsidRPr="00676C7D" w:rsidTr="00B621BC">
        <w:tc>
          <w:tcPr>
            <w:tcW w:w="5000" w:type="pct"/>
            <w:gridSpan w:val="4"/>
          </w:tcPr>
          <w:p w:rsidR="00676C7D" w:rsidRPr="00676C7D" w:rsidRDefault="00676C7D" w:rsidP="00676C7D">
            <w:pPr>
              <w:jc w:val="both"/>
              <w:rPr>
                <w:sz w:val="20"/>
              </w:rPr>
            </w:pPr>
            <w:r w:rsidRPr="00676C7D">
              <w:rPr>
                <w:sz w:val="20"/>
              </w:rPr>
              <w:t xml:space="preserve">Since February 2014, approximately 300 self-represented plaintiffs, including the applicant, have filed identical claims seeking declarations that the </w:t>
            </w:r>
            <w:r w:rsidRPr="00676C7D">
              <w:rPr>
                <w:i/>
                <w:sz w:val="20"/>
              </w:rPr>
              <w:t>Marijuana Medical Access Regulations (“MMAR”)</w:t>
            </w:r>
            <w:r w:rsidRPr="00676C7D">
              <w:rPr>
                <w:sz w:val="20"/>
              </w:rPr>
              <w:t>, S.O.R./2001-227, which were repealed on March 31, 2014 and the</w:t>
            </w:r>
            <w:r w:rsidRPr="00676C7D">
              <w:rPr>
                <w:i/>
                <w:sz w:val="20"/>
              </w:rPr>
              <w:t xml:space="preserve"> Marijuana for Medical Purposes Regulations</w:t>
            </w:r>
            <w:r w:rsidRPr="00676C7D">
              <w:rPr>
                <w:sz w:val="20"/>
              </w:rPr>
              <w:t xml:space="preserve">, S.O.R./2013-119, which succeeded the </w:t>
            </w:r>
            <w:r w:rsidRPr="00676C7D">
              <w:rPr>
                <w:i/>
                <w:sz w:val="20"/>
              </w:rPr>
              <w:t>MMAR</w:t>
            </w:r>
            <w:r w:rsidRPr="00676C7D">
              <w:rPr>
                <w:sz w:val="20"/>
              </w:rPr>
              <w:t xml:space="preserve"> are unconstitutional. In the course of their actions, twenty-six plaintiffs, including the applicant, brought motions for interim constitutional exemptions from the </w:t>
            </w:r>
            <w:r w:rsidRPr="00676C7D">
              <w:rPr>
                <w:i/>
                <w:sz w:val="20"/>
              </w:rPr>
              <w:t>Controlled Drugs and Substances Act</w:t>
            </w:r>
            <w:r w:rsidRPr="00676C7D">
              <w:rPr>
                <w:sz w:val="20"/>
              </w:rPr>
              <w:t xml:space="preserve"> </w:t>
            </w:r>
            <w:r w:rsidRPr="00676C7D">
              <w:rPr>
                <w:i/>
                <w:sz w:val="20"/>
              </w:rPr>
              <w:t>(“CDSA”)</w:t>
            </w:r>
            <w:r w:rsidRPr="00676C7D">
              <w:rPr>
                <w:sz w:val="20"/>
              </w:rPr>
              <w:t xml:space="preserve"> for the personal use of marijuana pending trial of their actions.</w:t>
            </w:r>
          </w:p>
        </w:tc>
      </w:tr>
      <w:tr w:rsidR="00676C7D" w:rsidRPr="00676C7D" w:rsidTr="00B621BC">
        <w:tc>
          <w:tcPr>
            <w:tcW w:w="5000" w:type="pct"/>
            <w:gridSpan w:val="4"/>
          </w:tcPr>
          <w:p w:rsidR="00676C7D" w:rsidRPr="00676C7D" w:rsidRDefault="00676C7D" w:rsidP="00676C7D">
            <w:pPr>
              <w:jc w:val="both"/>
              <w:rPr>
                <w:sz w:val="20"/>
              </w:rPr>
            </w:pPr>
          </w:p>
        </w:tc>
      </w:tr>
      <w:tr w:rsidR="00676C7D" w:rsidRPr="00676C7D" w:rsidTr="00B621BC">
        <w:tc>
          <w:tcPr>
            <w:tcW w:w="2427" w:type="pct"/>
            <w:gridSpan w:val="2"/>
          </w:tcPr>
          <w:p w:rsidR="00676C7D" w:rsidRPr="00676C7D" w:rsidRDefault="00676C7D" w:rsidP="00676C7D">
            <w:pPr>
              <w:jc w:val="both"/>
              <w:rPr>
                <w:sz w:val="20"/>
              </w:rPr>
            </w:pPr>
            <w:r w:rsidRPr="00676C7D">
              <w:rPr>
                <w:sz w:val="20"/>
              </w:rPr>
              <w:t>May 7, 2014</w:t>
            </w:r>
          </w:p>
          <w:p w:rsidR="00676C7D" w:rsidRPr="00676C7D" w:rsidRDefault="00676C7D" w:rsidP="00676C7D">
            <w:pPr>
              <w:jc w:val="both"/>
              <w:rPr>
                <w:sz w:val="20"/>
              </w:rPr>
            </w:pPr>
            <w:r w:rsidRPr="00676C7D">
              <w:rPr>
                <w:sz w:val="20"/>
              </w:rPr>
              <w:t>Federal Court</w:t>
            </w:r>
          </w:p>
          <w:p w:rsidR="00676C7D" w:rsidRPr="00676C7D" w:rsidRDefault="00676C7D" w:rsidP="00676C7D">
            <w:pPr>
              <w:jc w:val="both"/>
              <w:rPr>
                <w:sz w:val="20"/>
              </w:rPr>
            </w:pPr>
            <w:r w:rsidRPr="00676C7D">
              <w:rPr>
                <w:sz w:val="20"/>
              </w:rPr>
              <w:t>(Phelan J.)</w:t>
            </w:r>
          </w:p>
        </w:tc>
        <w:tc>
          <w:tcPr>
            <w:tcW w:w="243" w:type="pct"/>
          </w:tcPr>
          <w:p w:rsidR="00676C7D" w:rsidRPr="00676C7D" w:rsidRDefault="00676C7D" w:rsidP="00676C7D">
            <w:pPr>
              <w:jc w:val="both"/>
              <w:rPr>
                <w:sz w:val="20"/>
              </w:rPr>
            </w:pPr>
          </w:p>
        </w:tc>
        <w:tc>
          <w:tcPr>
            <w:tcW w:w="2330" w:type="pct"/>
          </w:tcPr>
          <w:p w:rsidR="00676C7D" w:rsidRPr="00676C7D" w:rsidRDefault="00676C7D" w:rsidP="00676C7D">
            <w:pPr>
              <w:jc w:val="both"/>
              <w:rPr>
                <w:sz w:val="20"/>
              </w:rPr>
            </w:pPr>
            <w:r w:rsidRPr="00676C7D">
              <w:rPr>
                <w:sz w:val="20"/>
              </w:rPr>
              <w:t xml:space="preserve">Motion for interim constitutional exemptions from provisions of </w:t>
            </w:r>
            <w:r w:rsidRPr="00676C7D">
              <w:rPr>
                <w:i/>
                <w:sz w:val="20"/>
              </w:rPr>
              <w:t>Controlled Drugs and Substances Act</w:t>
            </w:r>
            <w:r w:rsidRPr="00676C7D">
              <w:rPr>
                <w:sz w:val="20"/>
              </w:rPr>
              <w:t xml:space="preserve"> dismissed</w:t>
            </w:r>
          </w:p>
          <w:p w:rsidR="00676C7D" w:rsidRPr="00676C7D" w:rsidRDefault="00676C7D" w:rsidP="00676C7D">
            <w:pPr>
              <w:jc w:val="both"/>
              <w:rPr>
                <w:sz w:val="20"/>
              </w:rPr>
            </w:pPr>
          </w:p>
        </w:tc>
      </w:tr>
      <w:tr w:rsidR="00676C7D" w:rsidRPr="00676C7D" w:rsidTr="00B621BC">
        <w:tc>
          <w:tcPr>
            <w:tcW w:w="2427" w:type="pct"/>
            <w:gridSpan w:val="2"/>
          </w:tcPr>
          <w:p w:rsidR="00676C7D" w:rsidRPr="00676C7D" w:rsidRDefault="00676C7D" w:rsidP="00676C7D">
            <w:pPr>
              <w:jc w:val="both"/>
              <w:rPr>
                <w:sz w:val="20"/>
              </w:rPr>
            </w:pPr>
            <w:r w:rsidRPr="00676C7D">
              <w:rPr>
                <w:sz w:val="20"/>
              </w:rPr>
              <w:t>January 13, 2016</w:t>
            </w:r>
          </w:p>
          <w:p w:rsidR="00676C7D" w:rsidRPr="00676C7D" w:rsidRDefault="00676C7D" w:rsidP="00676C7D">
            <w:pPr>
              <w:jc w:val="both"/>
              <w:rPr>
                <w:sz w:val="20"/>
              </w:rPr>
            </w:pPr>
            <w:r w:rsidRPr="00676C7D">
              <w:rPr>
                <w:sz w:val="20"/>
              </w:rPr>
              <w:t>Federal Court of Appeal</w:t>
            </w:r>
          </w:p>
          <w:p w:rsidR="00676C7D" w:rsidRPr="00676C7D" w:rsidRDefault="00676C7D" w:rsidP="00676C7D">
            <w:pPr>
              <w:jc w:val="both"/>
              <w:rPr>
                <w:sz w:val="20"/>
              </w:rPr>
            </w:pPr>
            <w:r w:rsidRPr="00676C7D">
              <w:rPr>
                <w:sz w:val="20"/>
              </w:rPr>
              <w:t>(Pelletier, Stratas and Gleason JJ.A.)</w:t>
            </w:r>
          </w:p>
          <w:p w:rsidR="00676C7D" w:rsidRPr="00676C7D" w:rsidRDefault="00676C7D" w:rsidP="00676C7D">
            <w:pPr>
              <w:jc w:val="both"/>
              <w:rPr>
                <w:sz w:val="20"/>
                <w:lang w:eastAsia="en-CA"/>
              </w:rPr>
            </w:pPr>
            <w:hyperlink r:id="rId48" w:history="1">
              <w:r w:rsidRPr="00676C7D">
                <w:rPr>
                  <w:color w:val="0000FF" w:themeColor="hyperlink"/>
                  <w:sz w:val="20"/>
                  <w:u w:val="single"/>
                  <w:lang w:eastAsia="en-CA"/>
                </w:rPr>
                <w:t>2016 FCA 9</w:t>
              </w:r>
            </w:hyperlink>
          </w:p>
          <w:p w:rsidR="00676C7D" w:rsidRPr="00676C7D" w:rsidRDefault="00676C7D" w:rsidP="00676C7D">
            <w:pPr>
              <w:jc w:val="both"/>
              <w:rPr>
                <w:sz w:val="20"/>
              </w:rPr>
            </w:pPr>
          </w:p>
        </w:tc>
        <w:tc>
          <w:tcPr>
            <w:tcW w:w="243" w:type="pct"/>
          </w:tcPr>
          <w:p w:rsidR="00676C7D" w:rsidRPr="00676C7D" w:rsidRDefault="00676C7D" w:rsidP="00676C7D">
            <w:pPr>
              <w:jc w:val="both"/>
              <w:rPr>
                <w:sz w:val="20"/>
              </w:rPr>
            </w:pPr>
          </w:p>
        </w:tc>
        <w:tc>
          <w:tcPr>
            <w:tcW w:w="2330" w:type="pct"/>
          </w:tcPr>
          <w:p w:rsidR="00676C7D" w:rsidRPr="00676C7D" w:rsidRDefault="00676C7D" w:rsidP="00676C7D">
            <w:pPr>
              <w:jc w:val="both"/>
              <w:rPr>
                <w:sz w:val="20"/>
              </w:rPr>
            </w:pPr>
            <w:r w:rsidRPr="00676C7D">
              <w:rPr>
                <w:sz w:val="20"/>
              </w:rPr>
              <w:t>Appeal dismissed</w:t>
            </w:r>
          </w:p>
          <w:p w:rsidR="00676C7D" w:rsidRPr="00676C7D" w:rsidRDefault="00676C7D" w:rsidP="00676C7D">
            <w:pPr>
              <w:jc w:val="both"/>
              <w:rPr>
                <w:sz w:val="20"/>
              </w:rPr>
            </w:pPr>
          </w:p>
        </w:tc>
      </w:tr>
      <w:tr w:rsidR="00676C7D" w:rsidRPr="00676C7D" w:rsidTr="00B621BC">
        <w:tc>
          <w:tcPr>
            <w:tcW w:w="2427" w:type="pct"/>
            <w:gridSpan w:val="2"/>
          </w:tcPr>
          <w:p w:rsidR="00676C7D" w:rsidRPr="00676C7D" w:rsidRDefault="00676C7D" w:rsidP="00676C7D">
            <w:pPr>
              <w:jc w:val="both"/>
              <w:rPr>
                <w:sz w:val="20"/>
              </w:rPr>
            </w:pPr>
            <w:r w:rsidRPr="00676C7D">
              <w:rPr>
                <w:sz w:val="20"/>
              </w:rPr>
              <w:t>March 15, 2016</w:t>
            </w:r>
          </w:p>
          <w:p w:rsidR="00676C7D" w:rsidRPr="00676C7D" w:rsidRDefault="00676C7D" w:rsidP="00676C7D">
            <w:pPr>
              <w:jc w:val="both"/>
              <w:rPr>
                <w:sz w:val="20"/>
              </w:rPr>
            </w:pPr>
            <w:r w:rsidRPr="00676C7D">
              <w:rPr>
                <w:sz w:val="20"/>
              </w:rPr>
              <w:t>Supreme Court of Canada</w:t>
            </w:r>
          </w:p>
        </w:tc>
        <w:tc>
          <w:tcPr>
            <w:tcW w:w="243" w:type="pct"/>
          </w:tcPr>
          <w:p w:rsidR="00676C7D" w:rsidRPr="00676C7D" w:rsidRDefault="00676C7D" w:rsidP="00676C7D">
            <w:pPr>
              <w:jc w:val="both"/>
              <w:rPr>
                <w:sz w:val="20"/>
              </w:rPr>
            </w:pPr>
          </w:p>
        </w:tc>
        <w:tc>
          <w:tcPr>
            <w:tcW w:w="2330" w:type="pct"/>
          </w:tcPr>
          <w:p w:rsidR="00676C7D" w:rsidRPr="00676C7D" w:rsidRDefault="00676C7D" w:rsidP="00676C7D">
            <w:pPr>
              <w:jc w:val="both"/>
              <w:rPr>
                <w:sz w:val="20"/>
              </w:rPr>
            </w:pPr>
            <w:r w:rsidRPr="00676C7D">
              <w:rPr>
                <w:sz w:val="20"/>
              </w:rPr>
              <w:t>Motion to extend time to serve and file application for leave to appeal and application for leave to appeal filed</w:t>
            </w:r>
          </w:p>
        </w:tc>
      </w:tr>
    </w:tbl>
    <w:p w:rsidR="00676C7D" w:rsidRDefault="00676C7D" w:rsidP="00676C7D">
      <w:pPr>
        <w:jc w:val="both"/>
        <w:rPr>
          <w:sz w:val="20"/>
        </w:rPr>
      </w:pPr>
    </w:p>
    <w:p w:rsidR="00676C7D" w:rsidRPr="00676C7D" w:rsidRDefault="00676C7D" w:rsidP="00676C7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76C7D" w:rsidRPr="00676C7D" w:rsidTr="00B621BC">
        <w:tc>
          <w:tcPr>
            <w:tcW w:w="543" w:type="pct"/>
          </w:tcPr>
          <w:p w:rsidR="00676C7D" w:rsidRPr="00676C7D" w:rsidRDefault="00676C7D" w:rsidP="00B621BC">
            <w:pPr>
              <w:jc w:val="both"/>
              <w:rPr>
                <w:sz w:val="20"/>
                <w:lang w:val="fr-CA"/>
              </w:rPr>
            </w:pPr>
            <w:r w:rsidRPr="00676C7D">
              <w:rPr>
                <w:rStyle w:val="SCCFileNumberChar"/>
                <w:sz w:val="20"/>
                <w:szCs w:val="20"/>
                <w:lang w:val="fr-CA"/>
              </w:rPr>
              <w:t>369</w:t>
            </w:r>
            <w:r w:rsidR="00B621BC">
              <w:rPr>
                <w:rStyle w:val="SCCFileNumberChar"/>
                <w:sz w:val="20"/>
                <w:szCs w:val="20"/>
                <w:lang w:val="fr-CA"/>
              </w:rPr>
              <w:t>39</w:t>
            </w:r>
          </w:p>
        </w:tc>
        <w:tc>
          <w:tcPr>
            <w:tcW w:w="4457" w:type="pct"/>
            <w:gridSpan w:val="3"/>
          </w:tcPr>
          <w:p w:rsidR="00676C7D" w:rsidRPr="00676C7D" w:rsidRDefault="00676C7D" w:rsidP="00676C7D">
            <w:pPr>
              <w:pStyle w:val="SCCLsocParty"/>
              <w:jc w:val="both"/>
              <w:rPr>
                <w:b/>
                <w:sz w:val="20"/>
                <w:szCs w:val="20"/>
              </w:rPr>
            </w:pPr>
            <w:r w:rsidRPr="00676C7D">
              <w:rPr>
                <w:b/>
                <w:sz w:val="20"/>
                <w:szCs w:val="20"/>
              </w:rPr>
              <w:t>Arthur Jackes c. Sa Majesté la Reine</w:t>
            </w:r>
          </w:p>
          <w:p w:rsidR="00676C7D" w:rsidRPr="00676C7D" w:rsidRDefault="00676C7D" w:rsidP="00676C7D">
            <w:pPr>
              <w:jc w:val="both"/>
              <w:rPr>
                <w:sz w:val="20"/>
                <w:lang w:val="fr-CA"/>
              </w:rPr>
            </w:pPr>
            <w:r w:rsidRPr="00676C7D">
              <w:rPr>
                <w:sz w:val="20"/>
                <w:lang w:val="fr-CA"/>
              </w:rPr>
              <w:t>(CF) (Civile) (Sur autorisation)</w:t>
            </w:r>
          </w:p>
        </w:tc>
      </w:tr>
      <w:tr w:rsidR="00676C7D" w:rsidRPr="00676C7D" w:rsidTr="00B621BC">
        <w:tc>
          <w:tcPr>
            <w:tcW w:w="5000" w:type="pct"/>
            <w:gridSpan w:val="4"/>
          </w:tcPr>
          <w:p w:rsidR="00676C7D" w:rsidRPr="00676C7D" w:rsidRDefault="00676C7D" w:rsidP="00676C7D">
            <w:pPr>
              <w:jc w:val="both"/>
              <w:rPr>
                <w:sz w:val="20"/>
                <w:lang w:val="fr-CA"/>
              </w:rPr>
            </w:pPr>
            <w:r w:rsidRPr="00676C7D">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676C7D">
              <w:rPr>
                <w:i/>
                <w:sz w:val="20"/>
                <w:lang w:val="fr-CA"/>
              </w:rPr>
              <w:t>Loi réglementant certaines drogues et autres substances</w:t>
            </w:r>
            <w:r w:rsidRPr="00676C7D">
              <w:rPr>
                <w:sz w:val="20"/>
                <w:lang w:val="fr-CA"/>
              </w:rPr>
              <w:t>, L.C., 1996, ch. 19.</w:t>
            </w:r>
          </w:p>
        </w:tc>
      </w:tr>
      <w:tr w:rsidR="00676C7D" w:rsidRPr="00676C7D" w:rsidTr="00B621BC">
        <w:tc>
          <w:tcPr>
            <w:tcW w:w="5000" w:type="pct"/>
            <w:gridSpan w:val="4"/>
          </w:tcPr>
          <w:p w:rsidR="00676C7D" w:rsidRPr="00676C7D" w:rsidRDefault="00676C7D" w:rsidP="00676C7D">
            <w:pPr>
              <w:jc w:val="both"/>
              <w:rPr>
                <w:sz w:val="20"/>
                <w:lang w:val="fr-CA"/>
              </w:rPr>
            </w:pPr>
          </w:p>
        </w:tc>
      </w:tr>
      <w:tr w:rsidR="00676C7D" w:rsidRPr="00676C7D" w:rsidTr="00B621BC">
        <w:tc>
          <w:tcPr>
            <w:tcW w:w="5000" w:type="pct"/>
            <w:gridSpan w:val="4"/>
          </w:tcPr>
          <w:p w:rsidR="00676C7D" w:rsidRPr="00676C7D" w:rsidRDefault="00676C7D" w:rsidP="00676C7D">
            <w:pPr>
              <w:jc w:val="both"/>
              <w:rPr>
                <w:sz w:val="20"/>
                <w:lang w:val="fr-CA"/>
              </w:rPr>
            </w:pPr>
            <w:r w:rsidRPr="00676C7D">
              <w:rPr>
                <w:sz w:val="20"/>
                <w:lang w:val="fr-CA"/>
              </w:rPr>
              <w:lastRenderedPageBreak/>
              <w:t xml:space="preserve">Depuis février 2014, environ 300 plaideurs non représentés, y compris le demandeur, ont déposé des demandes identiques sollicitant des jugements qui déclarent inconstitutionnels le </w:t>
            </w:r>
            <w:r w:rsidRPr="00676C7D">
              <w:rPr>
                <w:i/>
                <w:sz w:val="20"/>
                <w:lang w:val="fr-CA"/>
              </w:rPr>
              <w:t>Règlement sur l’accès à la marihuana à des fins médicales (« RAMFM »)</w:t>
            </w:r>
            <w:r w:rsidRPr="00676C7D">
              <w:rPr>
                <w:sz w:val="20"/>
                <w:lang w:val="fr-CA"/>
              </w:rPr>
              <w:t xml:space="preserve">, D.O.R.S./2001-227, abrogé le 31 mars 2014 et le </w:t>
            </w:r>
            <w:r w:rsidRPr="00676C7D">
              <w:rPr>
                <w:i/>
                <w:sz w:val="20"/>
                <w:lang w:val="fr-CA"/>
              </w:rPr>
              <w:t>Règlement sur la marihuana à des fins médicales</w:t>
            </w:r>
            <w:r w:rsidRPr="00676C7D">
              <w:rPr>
                <w:sz w:val="20"/>
                <w:lang w:val="fr-CA"/>
              </w:rPr>
              <w:t xml:space="preserve">, D.O.R.S./2013-119, qui a remplacé le </w:t>
            </w:r>
            <w:r w:rsidRPr="00676C7D">
              <w:rPr>
                <w:i/>
                <w:sz w:val="20"/>
                <w:lang w:val="fr-CA"/>
              </w:rPr>
              <w:t>RAMFM</w:t>
            </w:r>
            <w:r w:rsidRPr="00676C7D">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676C7D">
              <w:rPr>
                <w:i/>
                <w:sz w:val="20"/>
                <w:lang w:val="fr-CA"/>
              </w:rPr>
              <w:t>Loi réglementant certaines drogues et autres substances («</w:t>
            </w:r>
            <w:r w:rsidRPr="00676C7D">
              <w:rPr>
                <w:sz w:val="20"/>
                <w:lang w:val="fr-CA"/>
              </w:rPr>
              <w:t> </w:t>
            </w:r>
            <w:r w:rsidRPr="00676C7D">
              <w:rPr>
                <w:i/>
                <w:sz w:val="20"/>
                <w:lang w:val="fr-CA"/>
              </w:rPr>
              <w:t>LRCDAS »)</w:t>
            </w:r>
            <w:r w:rsidRPr="00676C7D">
              <w:rPr>
                <w:sz w:val="20"/>
                <w:lang w:val="fr-CA"/>
              </w:rPr>
              <w:t xml:space="preserve"> pour l’utilisation personnelle de la marihuana en attendant que leurs actions soient instruites.</w:t>
            </w:r>
          </w:p>
        </w:tc>
      </w:tr>
      <w:tr w:rsidR="00676C7D" w:rsidRPr="00676C7D" w:rsidTr="00B621BC">
        <w:tc>
          <w:tcPr>
            <w:tcW w:w="5000" w:type="pct"/>
            <w:gridSpan w:val="4"/>
          </w:tcPr>
          <w:p w:rsidR="00676C7D" w:rsidRPr="00676C7D" w:rsidRDefault="00676C7D" w:rsidP="00676C7D">
            <w:pPr>
              <w:jc w:val="both"/>
              <w:rPr>
                <w:sz w:val="20"/>
                <w:lang w:val="fr-CA"/>
              </w:rPr>
            </w:pPr>
          </w:p>
        </w:tc>
      </w:tr>
      <w:tr w:rsidR="00676C7D" w:rsidRPr="00676C7D" w:rsidTr="00B621BC">
        <w:tc>
          <w:tcPr>
            <w:tcW w:w="2427" w:type="pct"/>
            <w:gridSpan w:val="2"/>
          </w:tcPr>
          <w:p w:rsidR="00676C7D" w:rsidRPr="00676C7D" w:rsidRDefault="00676C7D" w:rsidP="00676C7D">
            <w:pPr>
              <w:jc w:val="both"/>
              <w:rPr>
                <w:sz w:val="20"/>
                <w:lang w:val="fr-CA"/>
              </w:rPr>
            </w:pPr>
            <w:r w:rsidRPr="00676C7D">
              <w:rPr>
                <w:sz w:val="20"/>
                <w:lang w:val="fr-CA"/>
              </w:rPr>
              <w:t>7 mai 2014</w:t>
            </w:r>
          </w:p>
          <w:p w:rsidR="00676C7D" w:rsidRPr="00676C7D" w:rsidRDefault="00676C7D" w:rsidP="00676C7D">
            <w:pPr>
              <w:jc w:val="both"/>
              <w:rPr>
                <w:sz w:val="20"/>
                <w:lang w:val="fr-CA"/>
              </w:rPr>
            </w:pPr>
            <w:r w:rsidRPr="00676C7D">
              <w:rPr>
                <w:sz w:val="20"/>
                <w:lang w:val="fr-CA"/>
              </w:rPr>
              <w:t xml:space="preserve">Cour fédérale </w:t>
            </w:r>
          </w:p>
          <w:p w:rsidR="00676C7D" w:rsidRPr="00676C7D" w:rsidRDefault="00676C7D" w:rsidP="00676C7D">
            <w:pPr>
              <w:jc w:val="both"/>
              <w:rPr>
                <w:sz w:val="20"/>
                <w:lang w:val="fr-CA"/>
              </w:rPr>
            </w:pPr>
            <w:r w:rsidRPr="00676C7D">
              <w:rPr>
                <w:sz w:val="20"/>
                <w:lang w:val="fr-CA"/>
              </w:rPr>
              <w:t>(Juge Phelan)</w:t>
            </w:r>
          </w:p>
        </w:tc>
        <w:tc>
          <w:tcPr>
            <w:tcW w:w="243" w:type="pct"/>
          </w:tcPr>
          <w:p w:rsidR="00676C7D" w:rsidRPr="00676C7D" w:rsidRDefault="00676C7D" w:rsidP="00676C7D">
            <w:pPr>
              <w:jc w:val="both"/>
              <w:rPr>
                <w:sz w:val="20"/>
                <w:lang w:val="fr-CA"/>
              </w:rPr>
            </w:pPr>
          </w:p>
        </w:tc>
        <w:tc>
          <w:tcPr>
            <w:tcW w:w="2330" w:type="pct"/>
          </w:tcPr>
          <w:p w:rsidR="00676C7D" w:rsidRPr="00676C7D" w:rsidRDefault="00676C7D" w:rsidP="00676C7D">
            <w:pPr>
              <w:jc w:val="both"/>
              <w:rPr>
                <w:sz w:val="20"/>
                <w:lang w:val="fr-CA"/>
              </w:rPr>
            </w:pPr>
            <w:r w:rsidRPr="00676C7D">
              <w:rPr>
                <w:sz w:val="20"/>
                <w:lang w:val="fr-CA"/>
              </w:rPr>
              <w:t xml:space="preserve">Rejet de la requête en exemption constitutionnelle visant à écarter temporairement l’application de la </w:t>
            </w:r>
            <w:r w:rsidRPr="00676C7D">
              <w:rPr>
                <w:i/>
                <w:sz w:val="20"/>
                <w:lang w:val="fr-CA"/>
              </w:rPr>
              <w:t>Loi réglementant certaines drogues et autres substances</w:t>
            </w:r>
          </w:p>
          <w:p w:rsidR="00676C7D" w:rsidRPr="00676C7D" w:rsidRDefault="00676C7D" w:rsidP="00676C7D">
            <w:pPr>
              <w:jc w:val="both"/>
              <w:rPr>
                <w:sz w:val="20"/>
                <w:lang w:val="fr-CA"/>
              </w:rPr>
            </w:pPr>
          </w:p>
        </w:tc>
      </w:tr>
      <w:tr w:rsidR="00676C7D" w:rsidRPr="00676C7D" w:rsidTr="00B621BC">
        <w:tc>
          <w:tcPr>
            <w:tcW w:w="2427" w:type="pct"/>
            <w:gridSpan w:val="2"/>
          </w:tcPr>
          <w:p w:rsidR="00676C7D" w:rsidRPr="00676C7D" w:rsidRDefault="00676C7D" w:rsidP="00676C7D">
            <w:pPr>
              <w:jc w:val="both"/>
              <w:rPr>
                <w:sz w:val="20"/>
                <w:lang w:val="fr-CA"/>
              </w:rPr>
            </w:pPr>
            <w:r w:rsidRPr="00676C7D">
              <w:rPr>
                <w:sz w:val="20"/>
                <w:lang w:val="fr-CA"/>
              </w:rPr>
              <w:t>13 janvier 2016</w:t>
            </w:r>
          </w:p>
          <w:p w:rsidR="00676C7D" w:rsidRPr="00676C7D" w:rsidRDefault="00676C7D" w:rsidP="00676C7D">
            <w:pPr>
              <w:jc w:val="both"/>
              <w:rPr>
                <w:sz w:val="20"/>
                <w:lang w:val="fr-CA"/>
              </w:rPr>
            </w:pPr>
            <w:r w:rsidRPr="00676C7D">
              <w:rPr>
                <w:sz w:val="20"/>
                <w:lang w:val="fr-CA"/>
              </w:rPr>
              <w:t xml:space="preserve">Cour d’appel fédérale </w:t>
            </w:r>
          </w:p>
          <w:p w:rsidR="00676C7D" w:rsidRPr="00676C7D" w:rsidRDefault="00676C7D" w:rsidP="00676C7D">
            <w:pPr>
              <w:jc w:val="both"/>
              <w:rPr>
                <w:sz w:val="20"/>
                <w:lang w:val="fr-CA" w:eastAsia="en-CA"/>
              </w:rPr>
            </w:pPr>
            <w:r w:rsidRPr="00676C7D">
              <w:rPr>
                <w:sz w:val="20"/>
                <w:lang w:val="fr-CA" w:eastAsia="en-CA"/>
              </w:rPr>
              <w:t>(Juges Pelletier, Stratas et Gleason)</w:t>
            </w:r>
          </w:p>
          <w:p w:rsidR="00676C7D" w:rsidRPr="00676C7D" w:rsidRDefault="00676C7D" w:rsidP="00676C7D">
            <w:pPr>
              <w:jc w:val="both"/>
              <w:rPr>
                <w:sz w:val="20"/>
                <w:lang w:val="fr-CA" w:eastAsia="en-CA"/>
              </w:rPr>
            </w:pPr>
            <w:hyperlink r:id="rId49" w:history="1">
              <w:r w:rsidRPr="00676C7D">
                <w:rPr>
                  <w:color w:val="0000FF" w:themeColor="hyperlink"/>
                  <w:sz w:val="20"/>
                  <w:u w:val="single"/>
                  <w:lang w:val="fr-CA" w:eastAsia="en-CA"/>
                </w:rPr>
                <w:t>2016 FCA 9</w:t>
              </w:r>
            </w:hyperlink>
          </w:p>
          <w:p w:rsidR="00676C7D" w:rsidRPr="00676C7D" w:rsidRDefault="00676C7D" w:rsidP="00676C7D">
            <w:pPr>
              <w:jc w:val="both"/>
              <w:rPr>
                <w:sz w:val="20"/>
                <w:lang w:val="fr-CA"/>
              </w:rPr>
            </w:pPr>
          </w:p>
        </w:tc>
        <w:tc>
          <w:tcPr>
            <w:tcW w:w="243" w:type="pct"/>
          </w:tcPr>
          <w:p w:rsidR="00676C7D" w:rsidRPr="00676C7D" w:rsidRDefault="00676C7D" w:rsidP="00676C7D">
            <w:pPr>
              <w:jc w:val="both"/>
              <w:rPr>
                <w:sz w:val="20"/>
                <w:lang w:val="fr-CA"/>
              </w:rPr>
            </w:pPr>
          </w:p>
        </w:tc>
        <w:tc>
          <w:tcPr>
            <w:tcW w:w="2330" w:type="pct"/>
          </w:tcPr>
          <w:p w:rsidR="00676C7D" w:rsidRPr="00676C7D" w:rsidRDefault="00676C7D" w:rsidP="00676C7D">
            <w:pPr>
              <w:jc w:val="both"/>
              <w:rPr>
                <w:sz w:val="20"/>
                <w:lang w:val="fr-CA"/>
              </w:rPr>
            </w:pPr>
            <w:r w:rsidRPr="00676C7D">
              <w:rPr>
                <w:sz w:val="20"/>
                <w:lang w:val="fr-CA"/>
              </w:rPr>
              <w:t>Rejet de l’appel</w:t>
            </w:r>
          </w:p>
          <w:p w:rsidR="00676C7D" w:rsidRPr="00676C7D" w:rsidRDefault="00676C7D" w:rsidP="00676C7D">
            <w:pPr>
              <w:jc w:val="both"/>
              <w:rPr>
                <w:sz w:val="20"/>
                <w:lang w:val="fr-CA"/>
              </w:rPr>
            </w:pPr>
          </w:p>
        </w:tc>
      </w:tr>
      <w:tr w:rsidR="00676C7D" w:rsidRPr="00676C7D" w:rsidTr="00B621BC">
        <w:tc>
          <w:tcPr>
            <w:tcW w:w="2427" w:type="pct"/>
            <w:gridSpan w:val="2"/>
          </w:tcPr>
          <w:p w:rsidR="00676C7D" w:rsidRPr="00676C7D" w:rsidRDefault="00676C7D" w:rsidP="00676C7D">
            <w:pPr>
              <w:jc w:val="both"/>
              <w:rPr>
                <w:sz w:val="20"/>
                <w:lang w:val="fr-CA"/>
              </w:rPr>
            </w:pPr>
            <w:r w:rsidRPr="00676C7D">
              <w:rPr>
                <w:sz w:val="20"/>
                <w:lang w:val="fr-CA"/>
              </w:rPr>
              <w:t>15 mars 2016</w:t>
            </w:r>
          </w:p>
          <w:p w:rsidR="00676C7D" w:rsidRPr="00676C7D" w:rsidRDefault="00676C7D" w:rsidP="00676C7D">
            <w:pPr>
              <w:jc w:val="both"/>
              <w:rPr>
                <w:sz w:val="20"/>
                <w:lang w:val="fr-CA"/>
              </w:rPr>
            </w:pPr>
            <w:r w:rsidRPr="00676C7D">
              <w:rPr>
                <w:sz w:val="20"/>
                <w:lang w:val="fr-CA"/>
              </w:rPr>
              <w:t>Cour suprême du Canada</w:t>
            </w:r>
          </w:p>
        </w:tc>
        <w:tc>
          <w:tcPr>
            <w:tcW w:w="243" w:type="pct"/>
          </w:tcPr>
          <w:p w:rsidR="00676C7D" w:rsidRPr="00676C7D" w:rsidRDefault="00676C7D" w:rsidP="00676C7D">
            <w:pPr>
              <w:jc w:val="both"/>
              <w:rPr>
                <w:sz w:val="20"/>
                <w:lang w:val="fr-CA"/>
              </w:rPr>
            </w:pPr>
          </w:p>
        </w:tc>
        <w:tc>
          <w:tcPr>
            <w:tcW w:w="2330" w:type="pct"/>
          </w:tcPr>
          <w:p w:rsidR="00676C7D" w:rsidRPr="00676C7D" w:rsidRDefault="00676C7D" w:rsidP="00676C7D">
            <w:pPr>
              <w:jc w:val="both"/>
              <w:rPr>
                <w:sz w:val="20"/>
                <w:lang w:val="fr-CA"/>
              </w:rPr>
            </w:pPr>
            <w:r w:rsidRPr="00676C7D">
              <w:rPr>
                <w:sz w:val="20"/>
                <w:lang w:val="fr-CA"/>
              </w:rPr>
              <w:t xml:space="preserve">Dépôt de la requête en prorogation du délai de signification et de dépôt de la demande d’autorisation d’appel et de la demande d’autorisation d’appel </w:t>
            </w:r>
          </w:p>
        </w:tc>
      </w:tr>
    </w:tbl>
    <w:p w:rsidR="00676C7D" w:rsidRPr="00E56229" w:rsidRDefault="00676C7D" w:rsidP="00E56229">
      <w:pPr>
        <w:jc w:val="both"/>
        <w:rPr>
          <w:sz w:val="20"/>
          <w:lang w:val="fr-CA"/>
        </w:rPr>
      </w:pPr>
    </w:p>
    <w:p w:rsidR="00D15B3E" w:rsidRPr="00E56229" w:rsidRDefault="00D15B3E" w:rsidP="00E56229">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E56229" w:rsidRPr="00E56229" w:rsidTr="006378AA">
        <w:tc>
          <w:tcPr>
            <w:tcW w:w="537" w:type="pct"/>
          </w:tcPr>
          <w:p w:rsidR="00E56229" w:rsidRPr="00E56229" w:rsidRDefault="00E56229" w:rsidP="00E56229">
            <w:pPr>
              <w:jc w:val="both"/>
              <w:rPr>
                <w:sz w:val="20"/>
              </w:rPr>
            </w:pPr>
            <w:r w:rsidRPr="00E56229">
              <w:rPr>
                <w:rStyle w:val="SCCFileNumberChar"/>
                <w:sz w:val="20"/>
                <w:szCs w:val="20"/>
              </w:rPr>
              <w:t>36940</w:t>
            </w:r>
          </w:p>
        </w:tc>
        <w:tc>
          <w:tcPr>
            <w:tcW w:w="4463" w:type="pct"/>
            <w:gridSpan w:val="3"/>
          </w:tcPr>
          <w:p w:rsidR="00E56229" w:rsidRPr="00E56229" w:rsidRDefault="00E56229" w:rsidP="00E56229">
            <w:pPr>
              <w:pStyle w:val="SCCLsocParty"/>
              <w:jc w:val="both"/>
              <w:rPr>
                <w:b/>
                <w:sz w:val="20"/>
                <w:szCs w:val="20"/>
              </w:rPr>
            </w:pPr>
            <w:r w:rsidRPr="00E56229">
              <w:rPr>
                <w:b/>
                <w:sz w:val="20"/>
                <w:szCs w:val="20"/>
              </w:rPr>
              <w:t>Elsie Gear v. Her Majesty the Queen</w:t>
            </w:r>
          </w:p>
          <w:p w:rsidR="00E56229" w:rsidRPr="00E56229" w:rsidRDefault="00E56229" w:rsidP="00E56229">
            <w:pPr>
              <w:jc w:val="both"/>
              <w:rPr>
                <w:sz w:val="20"/>
              </w:rPr>
            </w:pPr>
            <w:r w:rsidRPr="00E56229">
              <w:rPr>
                <w:sz w:val="20"/>
              </w:rPr>
              <w:t>(FC) (Civil) (By Leave)</w:t>
            </w:r>
          </w:p>
        </w:tc>
      </w:tr>
      <w:tr w:rsidR="00E56229" w:rsidRPr="00E56229" w:rsidTr="006378AA">
        <w:tc>
          <w:tcPr>
            <w:tcW w:w="5000" w:type="pct"/>
            <w:gridSpan w:val="4"/>
          </w:tcPr>
          <w:p w:rsidR="00E56229" w:rsidRPr="00E56229" w:rsidRDefault="00E56229" w:rsidP="00E56229">
            <w:pPr>
              <w:jc w:val="both"/>
              <w:rPr>
                <w:sz w:val="20"/>
              </w:rPr>
            </w:pPr>
            <w:r w:rsidRPr="00E56229">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56229">
              <w:rPr>
                <w:i/>
                <w:sz w:val="20"/>
              </w:rPr>
              <w:t>Controlled Drugs and Substances Act</w:t>
            </w:r>
            <w:r w:rsidRPr="00E56229">
              <w:rPr>
                <w:sz w:val="20"/>
              </w:rPr>
              <w:t>, S.C. 1996, c. 19.</w:t>
            </w:r>
          </w:p>
        </w:tc>
      </w:tr>
      <w:tr w:rsidR="00E56229" w:rsidRPr="00E56229" w:rsidTr="006378AA">
        <w:tc>
          <w:tcPr>
            <w:tcW w:w="5000" w:type="pct"/>
            <w:gridSpan w:val="4"/>
          </w:tcPr>
          <w:p w:rsidR="00E56229" w:rsidRPr="00E56229" w:rsidRDefault="00E56229" w:rsidP="00E56229">
            <w:pPr>
              <w:jc w:val="both"/>
              <w:rPr>
                <w:sz w:val="20"/>
              </w:rPr>
            </w:pPr>
          </w:p>
        </w:tc>
      </w:tr>
      <w:tr w:rsidR="00E56229" w:rsidRPr="00E56229" w:rsidTr="006378AA">
        <w:tc>
          <w:tcPr>
            <w:tcW w:w="5000" w:type="pct"/>
            <w:gridSpan w:val="4"/>
          </w:tcPr>
          <w:p w:rsidR="00E56229" w:rsidRPr="00E56229" w:rsidRDefault="00E56229" w:rsidP="00E56229">
            <w:pPr>
              <w:jc w:val="both"/>
              <w:rPr>
                <w:sz w:val="20"/>
              </w:rPr>
            </w:pPr>
            <w:r w:rsidRPr="00E56229">
              <w:rPr>
                <w:sz w:val="20"/>
              </w:rPr>
              <w:t xml:space="preserve">Since February 2014, approximately 300 self-represented plaintiffs, including the applicant, have filed identical claims seeking declarations that the </w:t>
            </w:r>
            <w:r w:rsidRPr="00E56229">
              <w:rPr>
                <w:i/>
                <w:sz w:val="20"/>
              </w:rPr>
              <w:t>marijuana medical access regulations (“MMAR”)</w:t>
            </w:r>
            <w:r w:rsidRPr="00E56229">
              <w:rPr>
                <w:sz w:val="20"/>
              </w:rPr>
              <w:t>, S.O.R./2001-227, which were repealed on March 31, 2014 and the</w:t>
            </w:r>
            <w:r w:rsidRPr="00E56229">
              <w:rPr>
                <w:i/>
                <w:sz w:val="20"/>
              </w:rPr>
              <w:t xml:space="preserve"> marijuana for medical purposes regulations</w:t>
            </w:r>
            <w:r w:rsidRPr="00E56229">
              <w:rPr>
                <w:sz w:val="20"/>
              </w:rPr>
              <w:t xml:space="preserve">, S.O.R./2013-119, which succeeded the </w:t>
            </w:r>
            <w:r w:rsidRPr="00E56229">
              <w:rPr>
                <w:i/>
                <w:sz w:val="20"/>
              </w:rPr>
              <w:t xml:space="preserve">MMRA </w:t>
            </w:r>
            <w:r w:rsidRPr="00E56229">
              <w:rPr>
                <w:sz w:val="20"/>
              </w:rPr>
              <w:t xml:space="preserve">are unconstitutional. In the course of their actions, twenty-six plaintiffs, including the applicant, brought motions for interim constitutional exemptions from the </w:t>
            </w:r>
            <w:r w:rsidRPr="00E56229">
              <w:rPr>
                <w:i/>
                <w:sz w:val="20"/>
              </w:rPr>
              <w:t>controlled drugs and substances act</w:t>
            </w:r>
            <w:r w:rsidRPr="00E56229">
              <w:rPr>
                <w:sz w:val="20"/>
              </w:rPr>
              <w:t xml:space="preserve"> </w:t>
            </w:r>
            <w:r w:rsidRPr="00E56229">
              <w:rPr>
                <w:i/>
                <w:sz w:val="20"/>
              </w:rPr>
              <w:t>(“CDSA”)</w:t>
            </w:r>
            <w:r w:rsidRPr="00E56229">
              <w:rPr>
                <w:sz w:val="20"/>
              </w:rPr>
              <w:t xml:space="preserve"> for the personal use of marijuana pending trial of their actions.</w:t>
            </w:r>
          </w:p>
        </w:tc>
      </w:tr>
      <w:tr w:rsidR="00E56229" w:rsidRPr="00E56229" w:rsidTr="006378AA">
        <w:tc>
          <w:tcPr>
            <w:tcW w:w="5000" w:type="pct"/>
            <w:gridSpan w:val="4"/>
          </w:tcPr>
          <w:p w:rsidR="00E56229" w:rsidRPr="00E56229" w:rsidRDefault="00E56229" w:rsidP="00E56229">
            <w:pPr>
              <w:jc w:val="both"/>
              <w:rPr>
                <w:sz w:val="20"/>
              </w:rPr>
            </w:pPr>
          </w:p>
        </w:tc>
      </w:tr>
      <w:tr w:rsidR="00E56229" w:rsidRPr="00E56229" w:rsidTr="006378AA">
        <w:tc>
          <w:tcPr>
            <w:tcW w:w="2403" w:type="pct"/>
            <w:gridSpan w:val="2"/>
          </w:tcPr>
          <w:p w:rsidR="00E56229" w:rsidRPr="00E56229" w:rsidRDefault="00E56229" w:rsidP="00E56229">
            <w:pPr>
              <w:jc w:val="both"/>
              <w:rPr>
                <w:sz w:val="20"/>
              </w:rPr>
            </w:pPr>
            <w:r w:rsidRPr="00E56229">
              <w:rPr>
                <w:sz w:val="20"/>
              </w:rPr>
              <w:t>May 7, 2015</w:t>
            </w:r>
          </w:p>
          <w:p w:rsidR="00E56229" w:rsidRPr="00E56229" w:rsidRDefault="00E56229" w:rsidP="00E56229">
            <w:pPr>
              <w:jc w:val="both"/>
              <w:rPr>
                <w:sz w:val="20"/>
              </w:rPr>
            </w:pPr>
            <w:r w:rsidRPr="00E56229">
              <w:rPr>
                <w:sz w:val="20"/>
              </w:rPr>
              <w:t>Federal Court</w:t>
            </w:r>
          </w:p>
          <w:p w:rsidR="00E56229" w:rsidRPr="00E56229" w:rsidRDefault="00E56229" w:rsidP="00E56229">
            <w:pPr>
              <w:jc w:val="both"/>
              <w:rPr>
                <w:sz w:val="20"/>
              </w:rPr>
            </w:pPr>
            <w:r w:rsidRPr="00E56229">
              <w:rPr>
                <w:sz w:val="20"/>
              </w:rPr>
              <w:t>(Phelan J.)</w:t>
            </w:r>
          </w:p>
          <w:p w:rsidR="00E56229" w:rsidRPr="00E56229" w:rsidRDefault="00E56229" w:rsidP="00E56229">
            <w:pPr>
              <w:jc w:val="both"/>
              <w:rPr>
                <w:sz w:val="20"/>
              </w:rPr>
            </w:pPr>
          </w:p>
        </w:tc>
        <w:tc>
          <w:tcPr>
            <w:tcW w:w="241" w:type="pct"/>
          </w:tcPr>
          <w:p w:rsidR="00E56229" w:rsidRPr="00E56229" w:rsidRDefault="00E56229" w:rsidP="00E56229">
            <w:pPr>
              <w:jc w:val="both"/>
              <w:rPr>
                <w:sz w:val="20"/>
              </w:rPr>
            </w:pPr>
          </w:p>
        </w:tc>
        <w:tc>
          <w:tcPr>
            <w:tcW w:w="2356" w:type="pct"/>
          </w:tcPr>
          <w:p w:rsidR="00E56229" w:rsidRPr="00E56229" w:rsidRDefault="00E56229" w:rsidP="00E56229">
            <w:pPr>
              <w:jc w:val="both"/>
              <w:rPr>
                <w:sz w:val="20"/>
              </w:rPr>
            </w:pPr>
            <w:r w:rsidRPr="00E56229">
              <w:rPr>
                <w:sz w:val="20"/>
              </w:rPr>
              <w:t xml:space="preserve">Motion for interim constitutional exemptions from provisions of </w:t>
            </w:r>
            <w:r w:rsidRPr="00E56229">
              <w:rPr>
                <w:i/>
                <w:sz w:val="20"/>
              </w:rPr>
              <w:t>Controlled Drugs and Substances Act</w:t>
            </w:r>
            <w:r w:rsidRPr="00E56229">
              <w:rPr>
                <w:sz w:val="20"/>
              </w:rPr>
              <w:t xml:space="preserve"> dismissed</w:t>
            </w:r>
          </w:p>
          <w:p w:rsidR="00E56229" w:rsidRPr="00E56229" w:rsidRDefault="00E56229" w:rsidP="00E56229">
            <w:pPr>
              <w:jc w:val="both"/>
              <w:rPr>
                <w:sz w:val="20"/>
              </w:rPr>
            </w:pPr>
          </w:p>
        </w:tc>
      </w:tr>
      <w:tr w:rsidR="00E56229" w:rsidRPr="00E56229" w:rsidTr="006378AA">
        <w:tc>
          <w:tcPr>
            <w:tcW w:w="2403" w:type="pct"/>
            <w:gridSpan w:val="2"/>
          </w:tcPr>
          <w:p w:rsidR="00E56229" w:rsidRPr="00E56229" w:rsidRDefault="00E56229" w:rsidP="00E56229">
            <w:pPr>
              <w:jc w:val="both"/>
              <w:rPr>
                <w:sz w:val="20"/>
              </w:rPr>
            </w:pPr>
            <w:r w:rsidRPr="00E56229">
              <w:rPr>
                <w:sz w:val="20"/>
              </w:rPr>
              <w:t>January 13, 2016</w:t>
            </w:r>
          </w:p>
          <w:p w:rsidR="00E56229" w:rsidRPr="00E56229" w:rsidRDefault="00E56229" w:rsidP="00E56229">
            <w:pPr>
              <w:jc w:val="both"/>
              <w:rPr>
                <w:sz w:val="20"/>
              </w:rPr>
            </w:pPr>
            <w:r w:rsidRPr="00E56229">
              <w:rPr>
                <w:sz w:val="20"/>
              </w:rPr>
              <w:t>Federal Court of Appeal</w:t>
            </w:r>
          </w:p>
          <w:p w:rsidR="00E56229" w:rsidRPr="00E56229" w:rsidRDefault="00E56229" w:rsidP="00E56229">
            <w:pPr>
              <w:jc w:val="both"/>
              <w:rPr>
                <w:sz w:val="20"/>
              </w:rPr>
            </w:pPr>
            <w:r w:rsidRPr="00E56229">
              <w:rPr>
                <w:sz w:val="20"/>
              </w:rPr>
              <w:t>(Pelletier, Stratas and Gleason JJ.A.)</w:t>
            </w:r>
          </w:p>
          <w:p w:rsidR="00E56229" w:rsidRPr="00E56229" w:rsidRDefault="00E56229" w:rsidP="00E56229">
            <w:pPr>
              <w:jc w:val="both"/>
              <w:rPr>
                <w:sz w:val="20"/>
                <w:lang w:eastAsia="en-CA"/>
              </w:rPr>
            </w:pPr>
            <w:hyperlink r:id="rId50" w:history="1">
              <w:r w:rsidRPr="00E56229">
                <w:rPr>
                  <w:color w:val="0000FF" w:themeColor="hyperlink"/>
                  <w:sz w:val="20"/>
                  <w:u w:val="single"/>
                  <w:lang w:eastAsia="en-CA"/>
                </w:rPr>
                <w:t>2016 FCA 9</w:t>
              </w:r>
            </w:hyperlink>
          </w:p>
          <w:p w:rsidR="00E56229" w:rsidRPr="00E56229" w:rsidRDefault="00E56229" w:rsidP="00E56229">
            <w:pPr>
              <w:jc w:val="both"/>
              <w:rPr>
                <w:sz w:val="20"/>
              </w:rPr>
            </w:pPr>
          </w:p>
        </w:tc>
        <w:tc>
          <w:tcPr>
            <w:tcW w:w="241" w:type="pct"/>
          </w:tcPr>
          <w:p w:rsidR="00E56229" w:rsidRPr="00E56229" w:rsidRDefault="00E56229" w:rsidP="00E56229">
            <w:pPr>
              <w:jc w:val="both"/>
              <w:rPr>
                <w:sz w:val="20"/>
              </w:rPr>
            </w:pPr>
          </w:p>
        </w:tc>
        <w:tc>
          <w:tcPr>
            <w:tcW w:w="2356" w:type="pct"/>
          </w:tcPr>
          <w:p w:rsidR="00E56229" w:rsidRPr="00E56229" w:rsidRDefault="00E56229" w:rsidP="00E56229">
            <w:pPr>
              <w:jc w:val="both"/>
              <w:rPr>
                <w:sz w:val="20"/>
              </w:rPr>
            </w:pPr>
            <w:r w:rsidRPr="00E56229">
              <w:rPr>
                <w:sz w:val="20"/>
              </w:rPr>
              <w:t>Appeal dismissed</w:t>
            </w:r>
          </w:p>
          <w:p w:rsidR="00E56229" w:rsidRPr="00E56229" w:rsidRDefault="00E56229" w:rsidP="00E56229">
            <w:pPr>
              <w:jc w:val="both"/>
              <w:rPr>
                <w:sz w:val="20"/>
              </w:rPr>
            </w:pPr>
          </w:p>
        </w:tc>
      </w:tr>
      <w:tr w:rsidR="00E56229" w:rsidRPr="00E56229" w:rsidTr="006378AA">
        <w:tc>
          <w:tcPr>
            <w:tcW w:w="2403" w:type="pct"/>
            <w:gridSpan w:val="2"/>
          </w:tcPr>
          <w:p w:rsidR="00E56229" w:rsidRPr="00E56229" w:rsidRDefault="00E56229" w:rsidP="00E56229">
            <w:pPr>
              <w:jc w:val="both"/>
              <w:rPr>
                <w:sz w:val="20"/>
              </w:rPr>
            </w:pPr>
            <w:r w:rsidRPr="00E56229">
              <w:rPr>
                <w:sz w:val="20"/>
              </w:rPr>
              <w:t>March 29, 2016</w:t>
            </w:r>
          </w:p>
          <w:p w:rsidR="00E56229" w:rsidRPr="00E56229" w:rsidRDefault="00E56229" w:rsidP="00E56229">
            <w:pPr>
              <w:jc w:val="both"/>
              <w:rPr>
                <w:sz w:val="20"/>
              </w:rPr>
            </w:pPr>
            <w:r w:rsidRPr="00E56229">
              <w:rPr>
                <w:sz w:val="20"/>
              </w:rPr>
              <w:t>Supreme Court of Canada</w:t>
            </w:r>
          </w:p>
        </w:tc>
        <w:tc>
          <w:tcPr>
            <w:tcW w:w="241" w:type="pct"/>
          </w:tcPr>
          <w:p w:rsidR="00E56229" w:rsidRPr="00E56229" w:rsidRDefault="00E56229" w:rsidP="00E56229">
            <w:pPr>
              <w:jc w:val="both"/>
              <w:rPr>
                <w:sz w:val="20"/>
              </w:rPr>
            </w:pPr>
          </w:p>
        </w:tc>
        <w:tc>
          <w:tcPr>
            <w:tcW w:w="2356" w:type="pct"/>
          </w:tcPr>
          <w:p w:rsidR="00E56229" w:rsidRPr="00E56229" w:rsidRDefault="00E56229" w:rsidP="00E56229">
            <w:pPr>
              <w:jc w:val="both"/>
              <w:rPr>
                <w:sz w:val="20"/>
              </w:rPr>
            </w:pPr>
            <w:r w:rsidRPr="00E56229">
              <w:rPr>
                <w:sz w:val="20"/>
              </w:rPr>
              <w:t>Motion to extend time to serve and file application for leave to appeal and application for leave to appeal filed</w:t>
            </w:r>
          </w:p>
        </w:tc>
      </w:tr>
    </w:tbl>
    <w:p w:rsidR="00E56229" w:rsidRDefault="00E56229" w:rsidP="00E56229">
      <w:pPr>
        <w:jc w:val="both"/>
        <w:rPr>
          <w:sz w:val="20"/>
        </w:rPr>
      </w:pPr>
    </w:p>
    <w:p w:rsidR="00E56229" w:rsidRPr="00E56229" w:rsidRDefault="00E56229" w:rsidP="00E5622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56229" w:rsidRPr="00E56229" w:rsidTr="00E95A6A">
        <w:tc>
          <w:tcPr>
            <w:tcW w:w="543" w:type="pct"/>
          </w:tcPr>
          <w:p w:rsidR="00E56229" w:rsidRPr="00E56229" w:rsidRDefault="00E56229" w:rsidP="00E56229">
            <w:pPr>
              <w:jc w:val="both"/>
              <w:rPr>
                <w:sz w:val="20"/>
                <w:lang w:val="fr-CA"/>
              </w:rPr>
            </w:pPr>
            <w:r w:rsidRPr="00E56229">
              <w:rPr>
                <w:rStyle w:val="SCCFileNumberChar"/>
                <w:sz w:val="20"/>
                <w:szCs w:val="20"/>
                <w:lang w:val="fr-CA"/>
              </w:rPr>
              <w:t>36940</w:t>
            </w:r>
          </w:p>
        </w:tc>
        <w:tc>
          <w:tcPr>
            <w:tcW w:w="4457" w:type="pct"/>
            <w:gridSpan w:val="3"/>
          </w:tcPr>
          <w:p w:rsidR="00E56229" w:rsidRPr="00E56229" w:rsidRDefault="00E56229" w:rsidP="00E56229">
            <w:pPr>
              <w:pStyle w:val="SCCLsocParty"/>
              <w:jc w:val="both"/>
              <w:rPr>
                <w:b/>
                <w:sz w:val="20"/>
                <w:szCs w:val="20"/>
              </w:rPr>
            </w:pPr>
            <w:r w:rsidRPr="00E56229">
              <w:rPr>
                <w:b/>
                <w:sz w:val="20"/>
                <w:szCs w:val="20"/>
              </w:rPr>
              <w:t>Elsie Gear c. Sa Majesté la Reine</w:t>
            </w:r>
          </w:p>
          <w:p w:rsidR="00E56229" w:rsidRPr="00E56229" w:rsidRDefault="00E56229" w:rsidP="00E56229">
            <w:pPr>
              <w:jc w:val="both"/>
              <w:rPr>
                <w:sz w:val="20"/>
                <w:lang w:val="fr-CA"/>
              </w:rPr>
            </w:pPr>
            <w:r w:rsidRPr="00E56229">
              <w:rPr>
                <w:sz w:val="20"/>
                <w:lang w:val="fr-CA"/>
              </w:rPr>
              <w:lastRenderedPageBreak/>
              <w:t>(CF) (Civile) (Sur autorisation)</w:t>
            </w:r>
          </w:p>
        </w:tc>
      </w:tr>
      <w:tr w:rsidR="00E56229" w:rsidRPr="00E56229" w:rsidTr="00E95A6A">
        <w:tc>
          <w:tcPr>
            <w:tcW w:w="5000" w:type="pct"/>
            <w:gridSpan w:val="4"/>
          </w:tcPr>
          <w:p w:rsidR="00E56229" w:rsidRPr="00E56229" w:rsidRDefault="00E56229" w:rsidP="00E56229">
            <w:pPr>
              <w:jc w:val="both"/>
              <w:rPr>
                <w:sz w:val="20"/>
                <w:lang w:val="fr-CA"/>
              </w:rPr>
            </w:pPr>
            <w:r w:rsidRPr="00E56229">
              <w:rPr>
                <w:sz w:val="20"/>
                <w:lang w:val="fr-CA"/>
              </w:rPr>
              <w:lastRenderedPageBreak/>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56229">
              <w:rPr>
                <w:i/>
                <w:sz w:val="20"/>
                <w:lang w:val="fr-CA"/>
              </w:rPr>
              <w:t>Loi réglementant certaines drogues et autres substances</w:t>
            </w:r>
            <w:r w:rsidRPr="00E56229">
              <w:rPr>
                <w:sz w:val="20"/>
                <w:lang w:val="fr-CA"/>
              </w:rPr>
              <w:t>, L.C., 1996, ch. 19.</w:t>
            </w:r>
          </w:p>
        </w:tc>
      </w:tr>
      <w:tr w:rsidR="00E56229" w:rsidRPr="00E56229" w:rsidTr="00E95A6A">
        <w:tc>
          <w:tcPr>
            <w:tcW w:w="5000" w:type="pct"/>
            <w:gridSpan w:val="4"/>
          </w:tcPr>
          <w:p w:rsidR="00E56229" w:rsidRPr="00E56229" w:rsidRDefault="00E56229" w:rsidP="00E56229">
            <w:pPr>
              <w:jc w:val="both"/>
              <w:rPr>
                <w:sz w:val="20"/>
                <w:lang w:val="fr-CA"/>
              </w:rPr>
            </w:pPr>
          </w:p>
        </w:tc>
      </w:tr>
      <w:tr w:rsidR="00E56229" w:rsidRPr="00E56229" w:rsidTr="00E95A6A">
        <w:tc>
          <w:tcPr>
            <w:tcW w:w="5000" w:type="pct"/>
            <w:gridSpan w:val="4"/>
          </w:tcPr>
          <w:p w:rsidR="00E56229" w:rsidRPr="00E56229" w:rsidRDefault="00E56229" w:rsidP="00E56229">
            <w:pPr>
              <w:jc w:val="both"/>
              <w:rPr>
                <w:sz w:val="20"/>
                <w:lang w:val="fr-CA"/>
              </w:rPr>
            </w:pPr>
            <w:r w:rsidRPr="00E56229">
              <w:rPr>
                <w:sz w:val="20"/>
                <w:lang w:val="fr-CA"/>
              </w:rPr>
              <w:t xml:space="preserve">Depuis février 2014, environ 300 plaideurs non représentés, y compris la demanderesse, ont déposé des demandes identiques sollicitant des jugements qui déclarent inconstitutionnels le </w:t>
            </w:r>
            <w:r w:rsidRPr="00E56229">
              <w:rPr>
                <w:i/>
                <w:sz w:val="20"/>
                <w:lang w:val="fr-CA"/>
              </w:rPr>
              <w:t>Règlement sur l’accès à la marihuana à des fins médicales (« RAMFM »)</w:t>
            </w:r>
            <w:r w:rsidRPr="00E56229">
              <w:rPr>
                <w:sz w:val="20"/>
                <w:lang w:val="fr-CA"/>
              </w:rPr>
              <w:t xml:space="preserve">, D.O.R.S./2001-227, abrogé le 31 mars 2014 et le </w:t>
            </w:r>
            <w:r w:rsidRPr="00E56229">
              <w:rPr>
                <w:i/>
                <w:sz w:val="20"/>
                <w:lang w:val="fr-CA"/>
              </w:rPr>
              <w:t>Règlement sur la marihuana à des fins médicales</w:t>
            </w:r>
            <w:r w:rsidRPr="00E56229">
              <w:rPr>
                <w:sz w:val="20"/>
                <w:lang w:val="fr-CA"/>
              </w:rPr>
              <w:t xml:space="preserve">, D.O.R.S./2013-119, qui a remplacé le </w:t>
            </w:r>
            <w:r w:rsidRPr="00E56229">
              <w:rPr>
                <w:i/>
                <w:sz w:val="20"/>
                <w:lang w:val="fr-CA"/>
              </w:rPr>
              <w:t>RAMFM</w:t>
            </w:r>
            <w:r w:rsidRPr="00E56229">
              <w:rPr>
                <w:sz w:val="20"/>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E56229">
              <w:rPr>
                <w:i/>
                <w:sz w:val="20"/>
                <w:lang w:val="fr-CA"/>
              </w:rPr>
              <w:t>Loi réglementant certaines drogues et autres substances («</w:t>
            </w:r>
            <w:r w:rsidRPr="00E56229">
              <w:rPr>
                <w:sz w:val="20"/>
                <w:lang w:val="fr-CA"/>
              </w:rPr>
              <w:t> </w:t>
            </w:r>
            <w:r w:rsidRPr="00E56229">
              <w:rPr>
                <w:i/>
                <w:sz w:val="20"/>
                <w:lang w:val="fr-CA"/>
              </w:rPr>
              <w:t>LRCDAS »)</w:t>
            </w:r>
            <w:r w:rsidRPr="00E56229">
              <w:rPr>
                <w:sz w:val="20"/>
                <w:lang w:val="fr-CA"/>
              </w:rPr>
              <w:t xml:space="preserve"> pour l’utilisation personnelle de la marihuana en attendant que leurs actions soient instruites.</w:t>
            </w:r>
          </w:p>
        </w:tc>
      </w:tr>
      <w:tr w:rsidR="00E56229" w:rsidRPr="00E56229" w:rsidTr="00E95A6A">
        <w:tc>
          <w:tcPr>
            <w:tcW w:w="5000" w:type="pct"/>
            <w:gridSpan w:val="4"/>
          </w:tcPr>
          <w:p w:rsidR="00E56229" w:rsidRPr="00E56229" w:rsidRDefault="00E56229" w:rsidP="00E56229">
            <w:pPr>
              <w:jc w:val="both"/>
              <w:rPr>
                <w:sz w:val="20"/>
                <w:lang w:val="fr-CA"/>
              </w:rPr>
            </w:pPr>
          </w:p>
        </w:tc>
      </w:tr>
      <w:tr w:rsidR="00E56229" w:rsidRPr="00E56229" w:rsidTr="00E95A6A">
        <w:tc>
          <w:tcPr>
            <w:tcW w:w="2427" w:type="pct"/>
            <w:gridSpan w:val="2"/>
          </w:tcPr>
          <w:p w:rsidR="00E56229" w:rsidRPr="00E56229" w:rsidRDefault="00E56229" w:rsidP="00E56229">
            <w:pPr>
              <w:jc w:val="both"/>
              <w:rPr>
                <w:sz w:val="20"/>
                <w:lang w:val="fr-CA"/>
              </w:rPr>
            </w:pPr>
            <w:r w:rsidRPr="00E56229">
              <w:rPr>
                <w:sz w:val="20"/>
                <w:lang w:val="fr-CA"/>
              </w:rPr>
              <w:t>7 mai 2014</w:t>
            </w:r>
          </w:p>
          <w:p w:rsidR="00E56229" w:rsidRPr="00E56229" w:rsidRDefault="00E56229" w:rsidP="00E56229">
            <w:pPr>
              <w:jc w:val="both"/>
              <w:rPr>
                <w:sz w:val="20"/>
                <w:lang w:val="fr-CA"/>
              </w:rPr>
            </w:pPr>
            <w:r w:rsidRPr="00E56229">
              <w:rPr>
                <w:sz w:val="20"/>
                <w:lang w:val="fr-CA"/>
              </w:rPr>
              <w:t xml:space="preserve">Cour fédérale </w:t>
            </w:r>
          </w:p>
          <w:p w:rsidR="00E56229" w:rsidRPr="00E56229" w:rsidRDefault="00E56229" w:rsidP="00E56229">
            <w:pPr>
              <w:jc w:val="both"/>
              <w:rPr>
                <w:sz w:val="20"/>
                <w:lang w:val="fr-CA"/>
              </w:rPr>
            </w:pPr>
            <w:r w:rsidRPr="00E56229">
              <w:rPr>
                <w:sz w:val="20"/>
                <w:lang w:val="fr-CA"/>
              </w:rPr>
              <w:t>(Juge Phelan)</w:t>
            </w:r>
          </w:p>
        </w:tc>
        <w:tc>
          <w:tcPr>
            <w:tcW w:w="243" w:type="pct"/>
          </w:tcPr>
          <w:p w:rsidR="00E56229" w:rsidRPr="00E56229" w:rsidRDefault="00E56229" w:rsidP="00E56229">
            <w:pPr>
              <w:jc w:val="both"/>
              <w:rPr>
                <w:sz w:val="20"/>
                <w:lang w:val="fr-CA"/>
              </w:rPr>
            </w:pPr>
          </w:p>
        </w:tc>
        <w:tc>
          <w:tcPr>
            <w:tcW w:w="2330" w:type="pct"/>
          </w:tcPr>
          <w:p w:rsidR="00E56229" w:rsidRPr="00E56229" w:rsidRDefault="00E56229" w:rsidP="00E56229">
            <w:pPr>
              <w:jc w:val="both"/>
              <w:rPr>
                <w:sz w:val="20"/>
                <w:lang w:val="fr-CA"/>
              </w:rPr>
            </w:pPr>
            <w:r w:rsidRPr="00E56229">
              <w:rPr>
                <w:sz w:val="20"/>
                <w:lang w:val="fr-CA"/>
              </w:rPr>
              <w:t xml:space="preserve">Rejet de la requête en exemption constitutionnelle visant à écarter temporairement l’application de la </w:t>
            </w:r>
            <w:r w:rsidRPr="00E56229">
              <w:rPr>
                <w:i/>
                <w:sz w:val="20"/>
                <w:lang w:val="fr-CA"/>
              </w:rPr>
              <w:t>Loi réglementant certaines drogues et autres substances</w:t>
            </w:r>
          </w:p>
          <w:p w:rsidR="00E56229" w:rsidRPr="00E56229" w:rsidRDefault="00E56229" w:rsidP="00E56229">
            <w:pPr>
              <w:jc w:val="both"/>
              <w:rPr>
                <w:sz w:val="20"/>
                <w:lang w:val="fr-CA"/>
              </w:rPr>
            </w:pPr>
          </w:p>
        </w:tc>
      </w:tr>
      <w:tr w:rsidR="00E56229" w:rsidRPr="00E56229" w:rsidTr="00E95A6A">
        <w:tc>
          <w:tcPr>
            <w:tcW w:w="2427" w:type="pct"/>
            <w:gridSpan w:val="2"/>
          </w:tcPr>
          <w:p w:rsidR="00E56229" w:rsidRPr="00E56229" w:rsidRDefault="00E56229" w:rsidP="00E56229">
            <w:pPr>
              <w:jc w:val="both"/>
              <w:rPr>
                <w:sz w:val="20"/>
                <w:lang w:val="fr-CA"/>
              </w:rPr>
            </w:pPr>
            <w:r w:rsidRPr="00E56229">
              <w:rPr>
                <w:sz w:val="20"/>
                <w:lang w:val="fr-CA"/>
              </w:rPr>
              <w:t>13 janvier 2016</w:t>
            </w:r>
          </w:p>
          <w:p w:rsidR="00E56229" w:rsidRPr="00E56229" w:rsidRDefault="00E56229" w:rsidP="00E56229">
            <w:pPr>
              <w:jc w:val="both"/>
              <w:rPr>
                <w:sz w:val="20"/>
                <w:lang w:val="fr-CA"/>
              </w:rPr>
            </w:pPr>
            <w:r w:rsidRPr="00E56229">
              <w:rPr>
                <w:sz w:val="20"/>
                <w:lang w:val="fr-CA"/>
              </w:rPr>
              <w:t xml:space="preserve">Cour d’appel fédérale </w:t>
            </w:r>
          </w:p>
          <w:p w:rsidR="00E56229" w:rsidRPr="00E56229" w:rsidRDefault="00E56229" w:rsidP="00E56229">
            <w:pPr>
              <w:jc w:val="both"/>
              <w:rPr>
                <w:sz w:val="20"/>
                <w:lang w:val="fr-CA" w:eastAsia="en-CA"/>
              </w:rPr>
            </w:pPr>
            <w:r w:rsidRPr="00E56229">
              <w:rPr>
                <w:sz w:val="20"/>
                <w:lang w:val="fr-CA" w:eastAsia="en-CA"/>
              </w:rPr>
              <w:t>(Juges Pelletier, Stratas et Gleason)</w:t>
            </w:r>
          </w:p>
          <w:p w:rsidR="00E56229" w:rsidRPr="00E56229" w:rsidRDefault="00E56229" w:rsidP="00E56229">
            <w:pPr>
              <w:jc w:val="both"/>
              <w:rPr>
                <w:sz w:val="20"/>
                <w:lang w:val="fr-CA" w:eastAsia="en-CA"/>
              </w:rPr>
            </w:pPr>
            <w:hyperlink r:id="rId51" w:history="1">
              <w:r w:rsidRPr="00E56229">
                <w:rPr>
                  <w:color w:val="0000FF" w:themeColor="hyperlink"/>
                  <w:sz w:val="20"/>
                  <w:u w:val="single"/>
                  <w:lang w:val="fr-CA" w:eastAsia="en-CA"/>
                </w:rPr>
                <w:t>2016 FCA 9</w:t>
              </w:r>
            </w:hyperlink>
          </w:p>
          <w:p w:rsidR="00E56229" w:rsidRPr="00E56229" w:rsidRDefault="00E56229" w:rsidP="00E56229">
            <w:pPr>
              <w:jc w:val="both"/>
              <w:rPr>
                <w:sz w:val="20"/>
                <w:lang w:val="fr-CA"/>
              </w:rPr>
            </w:pPr>
          </w:p>
        </w:tc>
        <w:tc>
          <w:tcPr>
            <w:tcW w:w="243" w:type="pct"/>
          </w:tcPr>
          <w:p w:rsidR="00E56229" w:rsidRPr="00E56229" w:rsidRDefault="00E56229" w:rsidP="00E56229">
            <w:pPr>
              <w:jc w:val="both"/>
              <w:rPr>
                <w:sz w:val="20"/>
                <w:lang w:val="fr-CA"/>
              </w:rPr>
            </w:pPr>
          </w:p>
        </w:tc>
        <w:tc>
          <w:tcPr>
            <w:tcW w:w="2330" w:type="pct"/>
          </w:tcPr>
          <w:p w:rsidR="00E56229" w:rsidRPr="00E56229" w:rsidRDefault="00E56229" w:rsidP="00E56229">
            <w:pPr>
              <w:jc w:val="both"/>
              <w:rPr>
                <w:sz w:val="20"/>
                <w:lang w:val="fr-CA"/>
              </w:rPr>
            </w:pPr>
            <w:r w:rsidRPr="00E56229">
              <w:rPr>
                <w:sz w:val="20"/>
                <w:lang w:val="fr-CA"/>
              </w:rPr>
              <w:t>Rejet de l’appel</w:t>
            </w:r>
          </w:p>
          <w:p w:rsidR="00E56229" w:rsidRPr="00E56229" w:rsidRDefault="00E56229" w:rsidP="00E56229">
            <w:pPr>
              <w:jc w:val="both"/>
              <w:rPr>
                <w:sz w:val="20"/>
                <w:lang w:val="fr-CA"/>
              </w:rPr>
            </w:pPr>
          </w:p>
        </w:tc>
      </w:tr>
      <w:tr w:rsidR="00E56229" w:rsidRPr="00E56229" w:rsidTr="00E95A6A">
        <w:tc>
          <w:tcPr>
            <w:tcW w:w="2427" w:type="pct"/>
            <w:gridSpan w:val="2"/>
          </w:tcPr>
          <w:p w:rsidR="00E56229" w:rsidRPr="00E56229" w:rsidRDefault="00E56229" w:rsidP="00E56229">
            <w:pPr>
              <w:jc w:val="both"/>
              <w:rPr>
                <w:sz w:val="20"/>
                <w:lang w:val="fr-CA"/>
              </w:rPr>
            </w:pPr>
            <w:r w:rsidRPr="00E56229">
              <w:rPr>
                <w:sz w:val="20"/>
                <w:lang w:val="fr-CA"/>
              </w:rPr>
              <w:t>29 mars 2016</w:t>
            </w:r>
          </w:p>
          <w:p w:rsidR="00E56229" w:rsidRPr="00E56229" w:rsidRDefault="00E56229" w:rsidP="00E56229">
            <w:pPr>
              <w:jc w:val="both"/>
              <w:rPr>
                <w:sz w:val="20"/>
                <w:lang w:val="fr-CA"/>
              </w:rPr>
            </w:pPr>
            <w:r w:rsidRPr="00E56229">
              <w:rPr>
                <w:sz w:val="20"/>
                <w:lang w:val="fr-CA"/>
              </w:rPr>
              <w:t>Cour suprême du Canada</w:t>
            </w:r>
          </w:p>
        </w:tc>
        <w:tc>
          <w:tcPr>
            <w:tcW w:w="243" w:type="pct"/>
          </w:tcPr>
          <w:p w:rsidR="00E56229" w:rsidRPr="00E56229" w:rsidRDefault="00E56229" w:rsidP="00E56229">
            <w:pPr>
              <w:jc w:val="both"/>
              <w:rPr>
                <w:sz w:val="20"/>
                <w:lang w:val="fr-CA"/>
              </w:rPr>
            </w:pPr>
          </w:p>
        </w:tc>
        <w:tc>
          <w:tcPr>
            <w:tcW w:w="2330" w:type="pct"/>
          </w:tcPr>
          <w:p w:rsidR="00E56229" w:rsidRPr="00E56229" w:rsidRDefault="00E56229" w:rsidP="00E56229">
            <w:pPr>
              <w:jc w:val="both"/>
              <w:rPr>
                <w:sz w:val="20"/>
                <w:lang w:val="fr-CA"/>
              </w:rPr>
            </w:pPr>
            <w:r w:rsidRPr="00E56229">
              <w:rPr>
                <w:sz w:val="20"/>
                <w:lang w:val="fr-CA"/>
              </w:rPr>
              <w:t xml:space="preserve">Dépôt de la requête en prorogation du délai de signification et de dépôt de la demande d’autorisation d’appel et de la demande d’autorisation d’appel </w:t>
            </w:r>
          </w:p>
        </w:tc>
      </w:tr>
    </w:tbl>
    <w:p w:rsidR="00E56229" w:rsidRPr="00192DCB" w:rsidRDefault="00E56229" w:rsidP="00192DCB">
      <w:pPr>
        <w:jc w:val="both"/>
        <w:rPr>
          <w:sz w:val="20"/>
          <w:lang w:val="fr-CA"/>
        </w:rPr>
      </w:pPr>
    </w:p>
    <w:p w:rsidR="00D15B3E" w:rsidRPr="00192DCB" w:rsidRDefault="00D15B3E" w:rsidP="00192DC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2DCB" w:rsidRPr="00192DCB" w:rsidTr="00E95A6A">
        <w:tc>
          <w:tcPr>
            <w:tcW w:w="543" w:type="pct"/>
          </w:tcPr>
          <w:p w:rsidR="00192DCB" w:rsidRPr="00192DCB" w:rsidRDefault="00192DCB" w:rsidP="00192DCB">
            <w:pPr>
              <w:jc w:val="both"/>
              <w:rPr>
                <w:sz w:val="20"/>
              </w:rPr>
            </w:pPr>
            <w:r w:rsidRPr="00192DCB">
              <w:rPr>
                <w:rStyle w:val="SCCFileNumberChar"/>
                <w:sz w:val="20"/>
                <w:szCs w:val="20"/>
              </w:rPr>
              <w:t>36941</w:t>
            </w:r>
          </w:p>
        </w:tc>
        <w:tc>
          <w:tcPr>
            <w:tcW w:w="4457" w:type="pct"/>
            <w:gridSpan w:val="3"/>
          </w:tcPr>
          <w:p w:rsidR="00192DCB" w:rsidRPr="00192DCB" w:rsidRDefault="00192DCB" w:rsidP="00192DCB">
            <w:pPr>
              <w:pStyle w:val="SCCLsocParty"/>
              <w:jc w:val="both"/>
              <w:rPr>
                <w:b/>
                <w:sz w:val="20"/>
                <w:szCs w:val="20"/>
              </w:rPr>
            </w:pPr>
            <w:r w:rsidRPr="00192DCB">
              <w:rPr>
                <w:b/>
                <w:sz w:val="20"/>
                <w:szCs w:val="20"/>
              </w:rPr>
              <w:t>Heidi Chartrand v. Her Majesty the Queen</w:t>
            </w:r>
          </w:p>
          <w:p w:rsidR="00192DCB" w:rsidRPr="00192DCB" w:rsidRDefault="00192DCB" w:rsidP="00192DCB">
            <w:pPr>
              <w:jc w:val="both"/>
              <w:rPr>
                <w:sz w:val="20"/>
              </w:rPr>
            </w:pPr>
            <w:r w:rsidRPr="00192DCB">
              <w:rPr>
                <w:sz w:val="20"/>
              </w:rPr>
              <w:t>(FC) (Civil) (By Leave)</w:t>
            </w:r>
          </w:p>
        </w:tc>
      </w:tr>
      <w:tr w:rsidR="00192DCB" w:rsidRPr="00192DCB" w:rsidTr="00E95A6A">
        <w:tc>
          <w:tcPr>
            <w:tcW w:w="5000" w:type="pct"/>
            <w:gridSpan w:val="4"/>
          </w:tcPr>
          <w:p w:rsidR="00192DCB" w:rsidRPr="00192DCB" w:rsidRDefault="00192DCB" w:rsidP="00192DCB">
            <w:pPr>
              <w:jc w:val="both"/>
              <w:rPr>
                <w:sz w:val="20"/>
              </w:rPr>
            </w:pPr>
            <w:r w:rsidRPr="00192DCB">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192DCB">
              <w:rPr>
                <w:i/>
                <w:sz w:val="20"/>
              </w:rPr>
              <w:t>Controlled Drugs and Substances Act</w:t>
            </w:r>
            <w:r w:rsidRPr="00192DCB">
              <w:rPr>
                <w:sz w:val="20"/>
              </w:rPr>
              <w:t>, S.C. 1996, c. 19.</w:t>
            </w:r>
          </w:p>
        </w:tc>
      </w:tr>
      <w:tr w:rsidR="00192DCB" w:rsidRPr="00192DCB" w:rsidTr="00E95A6A">
        <w:tc>
          <w:tcPr>
            <w:tcW w:w="5000" w:type="pct"/>
            <w:gridSpan w:val="4"/>
          </w:tcPr>
          <w:p w:rsidR="00192DCB" w:rsidRPr="00192DCB" w:rsidRDefault="00192DCB" w:rsidP="00192DCB">
            <w:pPr>
              <w:jc w:val="both"/>
              <w:rPr>
                <w:sz w:val="20"/>
              </w:rPr>
            </w:pPr>
          </w:p>
        </w:tc>
      </w:tr>
      <w:tr w:rsidR="00192DCB" w:rsidRPr="00192DCB" w:rsidTr="00E95A6A">
        <w:tc>
          <w:tcPr>
            <w:tcW w:w="5000" w:type="pct"/>
            <w:gridSpan w:val="4"/>
          </w:tcPr>
          <w:p w:rsidR="00192DCB" w:rsidRPr="00192DCB" w:rsidRDefault="00192DCB" w:rsidP="00192DCB">
            <w:pPr>
              <w:jc w:val="both"/>
              <w:rPr>
                <w:sz w:val="20"/>
              </w:rPr>
            </w:pPr>
            <w:r w:rsidRPr="00192DCB">
              <w:rPr>
                <w:sz w:val="20"/>
              </w:rPr>
              <w:t xml:space="preserve">Since February 2014, approximately 300 self-represented plaintiffs, including the applicant, have filed identical claims seeking declarations that the </w:t>
            </w:r>
            <w:r w:rsidRPr="00192DCB">
              <w:rPr>
                <w:i/>
                <w:sz w:val="20"/>
              </w:rPr>
              <w:t>Marijuana Medical Access Regulations (“MMAR”)</w:t>
            </w:r>
            <w:r w:rsidRPr="00192DCB">
              <w:rPr>
                <w:sz w:val="20"/>
              </w:rPr>
              <w:t>, S.O.R./2001-227, which were repealed on March 31, 2014 and the</w:t>
            </w:r>
            <w:r w:rsidRPr="00192DCB">
              <w:rPr>
                <w:i/>
                <w:sz w:val="20"/>
              </w:rPr>
              <w:t xml:space="preserve"> Marijuana for Medical Purposes Regulations</w:t>
            </w:r>
            <w:r w:rsidRPr="00192DCB">
              <w:rPr>
                <w:sz w:val="20"/>
              </w:rPr>
              <w:t xml:space="preserve">, S.O.R./2013-119, which succeeded the </w:t>
            </w:r>
            <w:r w:rsidRPr="00192DCB">
              <w:rPr>
                <w:i/>
                <w:sz w:val="20"/>
              </w:rPr>
              <w:t>MMAR</w:t>
            </w:r>
            <w:r w:rsidRPr="00192DCB">
              <w:rPr>
                <w:sz w:val="20"/>
              </w:rPr>
              <w:t xml:space="preserve"> are unconstitutional. In the course of their actions, twenty-six plaintiffs, including the applicant, brought motions for interim constitutional exemptions from the </w:t>
            </w:r>
            <w:r w:rsidRPr="00192DCB">
              <w:rPr>
                <w:i/>
                <w:sz w:val="20"/>
              </w:rPr>
              <w:t>Controlled Drugs and Substances Act</w:t>
            </w:r>
            <w:r w:rsidRPr="00192DCB">
              <w:rPr>
                <w:sz w:val="20"/>
              </w:rPr>
              <w:t xml:space="preserve"> </w:t>
            </w:r>
            <w:r w:rsidRPr="00192DCB">
              <w:rPr>
                <w:i/>
                <w:sz w:val="20"/>
              </w:rPr>
              <w:t>(“CDSA”)</w:t>
            </w:r>
            <w:r w:rsidRPr="00192DCB">
              <w:rPr>
                <w:sz w:val="20"/>
              </w:rPr>
              <w:t xml:space="preserve"> for the personal use of marijuana pending trial of their actions.</w:t>
            </w:r>
          </w:p>
        </w:tc>
      </w:tr>
      <w:tr w:rsidR="00192DCB" w:rsidRPr="00192DCB" w:rsidTr="00E95A6A">
        <w:tc>
          <w:tcPr>
            <w:tcW w:w="5000" w:type="pct"/>
            <w:gridSpan w:val="4"/>
          </w:tcPr>
          <w:p w:rsidR="00192DCB" w:rsidRPr="00192DCB" w:rsidRDefault="00192DCB" w:rsidP="00192DCB">
            <w:pPr>
              <w:jc w:val="both"/>
              <w:rPr>
                <w:sz w:val="20"/>
              </w:rPr>
            </w:pPr>
          </w:p>
        </w:tc>
      </w:tr>
      <w:tr w:rsidR="00192DCB" w:rsidRPr="00192DCB" w:rsidTr="00E95A6A">
        <w:tc>
          <w:tcPr>
            <w:tcW w:w="2427" w:type="pct"/>
            <w:gridSpan w:val="2"/>
          </w:tcPr>
          <w:p w:rsidR="00192DCB" w:rsidRPr="00192DCB" w:rsidRDefault="00192DCB" w:rsidP="00192DCB">
            <w:pPr>
              <w:jc w:val="both"/>
              <w:rPr>
                <w:sz w:val="20"/>
              </w:rPr>
            </w:pPr>
            <w:r w:rsidRPr="00192DCB">
              <w:rPr>
                <w:sz w:val="20"/>
              </w:rPr>
              <w:t>May 7, 2014</w:t>
            </w:r>
          </w:p>
          <w:p w:rsidR="00192DCB" w:rsidRPr="00192DCB" w:rsidRDefault="00192DCB" w:rsidP="00192DCB">
            <w:pPr>
              <w:jc w:val="both"/>
              <w:rPr>
                <w:sz w:val="20"/>
              </w:rPr>
            </w:pPr>
            <w:r w:rsidRPr="00192DCB">
              <w:rPr>
                <w:sz w:val="20"/>
              </w:rPr>
              <w:t>Federal Court</w:t>
            </w:r>
          </w:p>
          <w:p w:rsidR="00192DCB" w:rsidRPr="00192DCB" w:rsidRDefault="00192DCB" w:rsidP="00192DCB">
            <w:pPr>
              <w:jc w:val="both"/>
              <w:rPr>
                <w:sz w:val="20"/>
              </w:rPr>
            </w:pPr>
            <w:r w:rsidRPr="00192DCB">
              <w:rPr>
                <w:sz w:val="20"/>
              </w:rPr>
              <w:t>(Phelan J.)</w:t>
            </w:r>
          </w:p>
          <w:p w:rsidR="00192DCB" w:rsidRPr="00192DCB" w:rsidRDefault="00192DCB" w:rsidP="00192DCB">
            <w:pPr>
              <w:jc w:val="both"/>
              <w:rPr>
                <w:sz w:val="20"/>
              </w:rPr>
            </w:pPr>
          </w:p>
        </w:tc>
        <w:tc>
          <w:tcPr>
            <w:tcW w:w="243" w:type="pct"/>
          </w:tcPr>
          <w:p w:rsidR="00192DCB" w:rsidRPr="00192DCB" w:rsidRDefault="00192DCB" w:rsidP="00192DCB">
            <w:pPr>
              <w:jc w:val="both"/>
              <w:rPr>
                <w:sz w:val="20"/>
              </w:rPr>
            </w:pPr>
          </w:p>
        </w:tc>
        <w:tc>
          <w:tcPr>
            <w:tcW w:w="2330" w:type="pct"/>
          </w:tcPr>
          <w:p w:rsidR="00192DCB" w:rsidRPr="00192DCB" w:rsidRDefault="00192DCB" w:rsidP="00192DCB">
            <w:pPr>
              <w:jc w:val="both"/>
              <w:rPr>
                <w:sz w:val="20"/>
              </w:rPr>
            </w:pPr>
            <w:r w:rsidRPr="00192DCB">
              <w:rPr>
                <w:sz w:val="20"/>
              </w:rPr>
              <w:t xml:space="preserve">Motion for interim constitutional exemptions from provisions of </w:t>
            </w:r>
            <w:r w:rsidRPr="00192DCB">
              <w:rPr>
                <w:i/>
                <w:sz w:val="20"/>
              </w:rPr>
              <w:t>Controlled Drugs and Substances Act</w:t>
            </w:r>
            <w:r w:rsidRPr="00192DCB">
              <w:rPr>
                <w:sz w:val="20"/>
              </w:rPr>
              <w:t xml:space="preserve"> dismissed</w:t>
            </w:r>
          </w:p>
          <w:p w:rsidR="00192DCB" w:rsidRPr="00192DCB" w:rsidRDefault="00192DCB" w:rsidP="00192DCB">
            <w:pPr>
              <w:jc w:val="both"/>
              <w:rPr>
                <w:sz w:val="20"/>
              </w:rPr>
            </w:pPr>
          </w:p>
        </w:tc>
      </w:tr>
      <w:tr w:rsidR="00192DCB" w:rsidRPr="00192DCB" w:rsidTr="00E95A6A">
        <w:tc>
          <w:tcPr>
            <w:tcW w:w="2427" w:type="pct"/>
            <w:gridSpan w:val="2"/>
          </w:tcPr>
          <w:p w:rsidR="00192DCB" w:rsidRPr="00192DCB" w:rsidRDefault="00192DCB" w:rsidP="00192DCB">
            <w:pPr>
              <w:jc w:val="both"/>
              <w:rPr>
                <w:sz w:val="20"/>
              </w:rPr>
            </w:pPr>
            <w:r w:rsidRPr="00192DCB">
              <w:rPr>
                <w:sz w:val="20"/>
              </w:rPr>
              <w:lastRenderedPageBreak/>
              <w:t>January 13, 2016</w:t>
            </w:r>
          </w:p>
          <w:p w:rsidR="00192DCB" w:rsidRPr="00192DCB" w:rsidRDefault="00192DCB" w:rsidP="00192DCB">
            <w:pPr>
              <w:jc w:val="both"/>
              <w:rPr>
                <w:sz w:val="20"/>
              </w:rPr>
            </w:pPr>
            <w:r w:rsidRPr="00192DCB">
              <w:rPr>
                <w:sz w:val="20"/>
              </w:rPr>
              <w:t>Federal Court of Appeal</w:t>
            </w:r>
          </w:p>
          <w:p w:rsidR="00192DCB" w:rsidRPr="00192DCB" w:rsidRDefault="00192DCB" w:rsidP="00192DCB">
            <w:pPr>
              <w:jc w:val="both"/>
              <w:rPr>
                <w:sz w:val="20"/>
              </w:rPr>
            </w:pPr>
            <w:r w:rsidRPr="00192DCB">
              <w:rPr>
                <w:sz w:val="20"/>
              </w:rPr>
              <w:t>(Pelletier, Stratas and Gleason JJ.A.)</w:t>
            </w:r>
          </w:p>
          <w:p w:rsidR="00192DCB" w:rsidRPr="00192DCB" w:rsidRDefault="00192DCB" w:rsidP="00192DCB">
            <w:pPr>
              <w:jc w:val="both"/>
              <w:rPr>
                <w:sz w:val="20"/>
                <w:lang w:eastAsia="en-CA"/>
              </w:rPr>
            </w:pPr>
            <w:hyperlink r:id="rId52" w:history="1">
              <w:r w:rsidRPr="00192DCB">
                <w:rPr>
                  <w:color w:val="0000FF" w:themeColor="hyperlink"/>
                  <w:sz w:val="20"/>
                  <w:u w:val="single"/>
                  <w:lang w:eastAsia="en-CA"/>
                </w:rPr>
                <w:t>2016 FCA 9</w:t>
              </w:r>
            </w:hyperlink>
          </w:p>
          <w:p w:rsidR="00192DCB" w:rsidRPr="00192DCB" w:rsidRDefault="00192DCB" w:rsidP="00192DCB">
            <w:pPr>
              <w:jc w:val="both"/>
              <w:rPr>
                <w:sz w:val="20"/>
              </w:rPr>
            </w:pPr>
          </w:p>
        </w:tc>
        <w:tc>
          <w:tcPr>
            <w:tcW w:w="243" w:type="pct"/>
          </w:tcPr>
          <w:p w:rsidR="00192DCB" w:rsidRPr="00192DCB" w:rsidRDefault="00192DCB" w:rsidP="00192DCB">
            <w:pPr>
              <w:jc w:val="both"/>
              <w:rPr>
                <w:sz w:val="20"/>
              </w:rPr>
            </w:pPr>
          </w:p>
        </w:tc>
        <w:tc>
          <w:tcPr>
            <w:tcW w:w="2330" w:type="pct"/>
          </w:tcPr>
          <w:p w:rsidR="00192DCB" w:rsidRPr="00192DCB" w:rsidRDefault="00192DCB" w:rsidP="00192DCB">
            <w:pPr>
              <w:jc w:val="both"/>
              <w:rPr>
                <w:sz w:val="20"/>
              </w:rPr>
            </w:pPr>
            <w:r w:rsidRPr="00192DCB">
              <w:rPr>
                <w:sz w:val="20"/>
              </w:rPr>
              <w:t>Appeal dismissed</w:t>
            </w:r>
          </w:p>
          <w:p w:rsidR="00192DCB" w:rsidRPr="00192DCB" w:rsidRDefault="00192DCB" w:rsidP="00192DCB">
            <w:pPr>
              <w:jc w:val="both"/>
              <w:rPr>
                <w:sz w:val="20"/>
              </w:rPr>
            </w:pPr>
          </w:p>
        </w:tc>
      </w:tr>
      <w:tr w:rsidR="00192DCB" w:rsidRPr="00192DCB" w:rsidTr="00E95A6A">
        <w:tc>
          <w:tcPr>
            <w:tcW w:w="2427" w:type="pct"/>
            <w:gridSpan w:val="2"/>
          </w:tcPr>
          <w:p w:rsidR="00192DCB" w:rsidRPr="00192DCB" w:rsidRDefault="00192DCB" w:rsidP="00192DCB">
            <w:pPr>
              <w:jc w:val="both"/>
              <w:rPr>
                <w:sz w:val="20"/>
              </w:rPr>
            </w:pPr>
            <w:r w:rsidRPr="00192DCB">
              <w:rPr>
                <w:sz w:val="20"/>
              </w:rPr>
              <w:t>March 29, 2016</w:t>
            </w:r>
          </w:p>
          <w:p w:rsidR="00192DCB" w:rsidRPr="00192DCB" w:rsidRDefault="00192DCB" w:rsidP="00192DCB">
            <w:pPr>
              <w:jc w:val="both"/>
              <w:rPr>
                <w:sz w:val="20"/>
              </w:rPr>
            </w:pPr>
            <w:r w:rsidRPr="00192DCB">
              <w:rPr>
                <w:sz w:val="20"/>
              </w:rPr>
              <w:t>Supreme Court of Canada</w:t>
            </w:r>
          </w:p>
        </w:tc>
        <w:tc>
          <w:tcPr>
            <w:tcW w:w="243" w:type="pct"/>
          </w:tcPr>
          <w:p w:rsidR="00192DCB" w:rsidRPr="00192DCB" w:rsidRDefault="00192DCB" w:rsidP="00192DCB">
            <w:pPr>
              <w:jc w:val="both"/>
              <w:rPr>
                <w:sz w:val="20"/>
              </w:rPr>
            </w:pPr>
          </w:p>
        </w:tc>
        <w:tc>
          <w:tcPr>
            <w:tcW w:w="2330" w:type="pct"/>
          </w:tcPr>
          <w:p w:rsidR="00192DCB" w:rsidRPr="00192DCB" w:rsidRDefault="00192DCB" w:rsidP="00192DCB">
            <w:pPr>
              <w:jc w:val="both"/>
              <w:rPr>
                <w:sz w:val="20"/>
              </w:rPr>
            </w:pPr>
            <w:r w:rsidRPr="00192DCB">
              <w:rPr>
                <w:sz w:val="20"/>
              </w:rPr>
              <w:t>Motion to extend to serve and file application for leave to appeal and application for leave to appeal filed</w:t>
            </w:r>
          </w:p>
        </w:tc>
      </w:tr>
    </w:tbl>
    <w:p w:rsidR="00192DCB" w:rsidRDefault="00192DCB" w:rsidP="00192DCB">
      <w:pPr>
        <w:jc w:val="both"/>
        <w:rPr>
          <w:sz w:val="20"/>
        </w:rPr>
      </w:pPr>
    </w:p>
    <w:p w:rsidR="00192DCB" w:rsidRPr="00192DCB" w:rsidRDefault="00192DCB" w:rsidP="00192DC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2DCB" w:rsidRPr="00192DCB" w:rsidTr="00E95A6A">
        <w:tc>
          <w:tcPr>
            <w:tcW w:w="543" w:type="pct"/>
          </w:tcPr>
          <w:p w:rsidR="00192DCB" w:rsidRPr="00192DCB" w:rsidRDefault="00192DCB" w:rsidP="00192DCB">
            <w:pPr>
              <w:jc w:val="both"/>
              <w:rPr>
                <w:sz w:val="20"/>
                <w:lang w:val="fr-CA"/>
              </w:rPr>
            </w:pPr>
            <w:r w:rsidRPr="00192DCB">
              <w:rPr>
                <w:rStyle w:val="SCCFileNumberChar"/>
                <w:sz w:val="20"/>
                <w:szCs w:val="20"/>
                <w:lang w:val="fr-CA"/>
              </w:rPr>
              <w:t>36941</w:t>
            </w:r>
          </w:p>
        </w:tc>
        <w:tc>
          <w:tcPr>
            <w:tcW w:w="4457" w:type="pct"/>
            <w:gridSpan w:val="3"/>
          </w:tcPr>
          <w:p w:rsidR="00192DCB" w:rsidRPr="00192DCB" w:rsidRDefault="00192DCB" w:rsidP="00192DCB">
            <w:pPr>
              <w:pStyle w:val="SCCLsocParty"/>
              <w:jc w:val="both"/>
              <w:rPr>
                <w:b/>
                <w:sz w:val="20"/>
                <w:szCs w:val="20"/>
              </w:rPr>
            </w:pPr>
            <w:r w:rsidRPr="00192DCB">
              <w:rPr>
                <w:b/>
                <w:sz w:val="20"/>
                <w:szCs w:val="20"/>
              </w:rPr>
              <w:t>Heidi Chartrand c. Sa Majesté la Reine</w:t>
            </w:r>
          </w:p>
          <w:p w:rsidR="00192DCB" w:rsidRPr="00192DCB" w:rsidRDefault="00192DCB" w:rsidP="00192DCB">
            <w:pPr>
              <w:jc w:val="both"/>
              <w:rPr>
                <w:sz w:val="20"/>
                <w:lang w:val="fr-CA"/>
              </w:rPr>
            </w:pPr>
            <w:r w:rsidRPr="00192DCB">
              <w:rPr>
                <w:sz w:val="20"/>
                <w:lang w:val="fr-CA"/>
              </w:rPr>
              <w:t>(CF) (Civile) (Sur autorisation)</w:t>
            </w:r>
          </w:p>
        </w:tc>
      </w:tr>
      <w:tr w:rsidR="00192DCB" w:rsidRPr="00192DCB" w:rsidTr="00E95A6A">
        <w:tc>
          <w:tcPr>
            <w:tcW w:w="5000" w:type="pct"/>
            <w:gridSpan w:val="4"/>
          </w:tcPr>
          <w:p w:rsidR="00192DCB" w:rsidRPr="00192DCB" w:rsidRDefault="00192DCB" w:rsidP="00192DCB">
            <w:pPr>
              <w:jc w:val="both"/>
              <w:rPr>
                <w:sz w:val="20"/>
                <w:lang w:val="fr-CA"/>
              </w:rPr>
            </w:pPr>
            <w:r w:rsidRPr="00192DCB">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192DCB">
              <w:rPr>
                <w:i/>
                <w:sz w:val="20"/>
                <w:lang w:val="fr-CA"/>
              </w:rPr>
              <w:t>Loi réglementant certaines drogues et autres substances</w:t>
            </w:r>
            <w:r w:rsidRPr="00192DCB">
              <w:rPr>
                <w:sz w:val="20"/>
                <w:lang w:val="fr-CA"/>
              </w:rPr>
              <w:t>, L.C., 1996, ch. 19.</w:t>
            </w:r>
          </w:p>
        </w:tc>
      </w:tr>
      <w:tr w:rsidR="00192DCB" w:rsidRPr="00192DCB" w:rsidTr="00E95A6A">
        <w:tc>
          <w:tcPr>
            <w:tcW w:w="5000" w:type="pct"/>
            <w:gridSpan w:val="4"/>
          </w:tcPr>
          <w:p w:rsidR="00192DCB" w:rsidRPr="00192DCB" w:rsidRDefault="00192DCB" w:rsidP="00192DCB">
            <w:pPr>
              <w:jc w:val="both"/>
              <w:rPr>
                <w:sz w:val="20"/>
                <w:lang w:val="fr-CA"/>
              </w:rPr>
            </w:pPr>
          </w:p>
        </w:tc>
      </w:tr>
      <w:tr w:rsidR="00192DCB" w:rsidRPr="00192DCB" w:rsidTr="00E95A6A">
        <w:tc>
          <w:tcPr>
            <w:tcW w:w="5000" w:type="pct"/>
            <w:gridSpan w:val="4"/>
          </w:tcPr>
          <w:p w:rsidR="00192DCB" w:rsidRPr="00192DCB" w:rsidRDefault="00192DCB" w:rsidP="00192DCB">
            <w:pPr>
              <w:jc w:val="both"/>
              <w:rPr>
                <w:sz w:val="20"/>
                <w:lang w:val="fr-CA"/>
              </w:rPr>
            </w:pPr>
            <w:r w:rsidRPr="00192DCB">
              <w:rPr>
                <w:sz w:val="20"/>
                <w:lang w:val="fr-CA"/>
              </w:rPr>
              <w:t xml:space="preserve">Depuis février 2014, environ 300 plaideurs non représentés, y compris la demanderesse, ont déposé des demandes identiques sollicitant des jugements qui déclarent inconstitutionnels le </w:t>
            </w:r>
            <w:r w:rsidRPr="00192DCB">
              <w:rPr>
                <w:i/>
                <w:sz w:val="20"/>
                <w:lang w:val="fr-CA"/>
              </w:rPr>
              <w:t>Règlement sur l’accès à la marihuana à des fins médicales (« RAMFM »)</w:t>
            </w:r>
            <w:r w:rsidRPr="00192DCB">
              <w:rPr>
                <w:sz w:val="20"/>
                <w:lang w:val="fr-CA"/>
              </w:rPr>
              <w:t xml:space="preserve">, D.O.R.S./2001-227, abrogé le 31 mars 2014 et le </w:t>
            </w:r>
            <w:r w:rsidRPr="00192DCB">
              <w:rPr>
                <w:i/>
                <w:sz w:val="20"/>
                <w:lang w:val="fr-CA"/>
              </w:rPr>
              <w:t>Règlement sur la marihuana à des fins médicales</w:t>
            </w:r>
            <w:r w:rsidRPr="00192DCB">
              <w:rPr>
                <w:sz w:val="20"/>
                <w:lang w:val="fr-CA"/>
              </w:rPr>
              <w:t xml:space="preserve">, D.O.R.S./2013-119, qui a remplacé le </w:t>
            </w:r>
            <w:r w:rsidRPr="00192DCB">
              <w:rPr>
                <w:i/>
                <w:sz w:val="20"/>
                <w:lang w:val="fr-CA"/>
              </w:rPr>
              <w:t>RAMFM</w:t>
            </w:r>
            <w:r w:rsidRPr="00192DCB">
              <w:rPr>
                <w:sz w:val="20"/>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192DCB">
              <w:rPr>
                <w:i/>
                <w:sz w:val="20"/>
                <w:lang w:val="fr-CA"/>
              </w:rPr>
              <w:t xml:space="preserve">Loi réglementant certaines drogues et autres substances </w:t>
            </w:r>
            <w:r w:rsidRPr="00192DCB">
              <w:rPr>
                <w:sz w:val="20"/>
                <w:lang w:val="fr-CA"/>
              </w:rPr>
              <w:t>(« </w:t>
            </w:r>
            <w:r w:rsidRPr="00192DCB">
              <w:rPr>
                <w:i/>
                <w:sz w:val="20"/>
                <w:lang w:val="fr-CA"/>
              </w:rPr>
              <w:t>LRCDAS »)</w:t>
            </w:r>
            <w:r w:rsidRPr="00192DCB">
              <w:rPr>
                <w:sz w:val="20"/>
                <w:lang w:val="fr-CA"/>
              </w:rPr>
              <w:t xml:space="preserve"> pour l’utilisation personnelle de la marihuana en attendant que leurs actions soient instruites.</w:t>
            </w:r>
          </w:p>
        </w:tc>
      </w:tr>
      <w:tr w:rsidR="00192DCB" w:rsidRPr="00192DCB" w:rsidTr="00E95A6A">
        <w:tc>
          <w:tcPr>
            <w:tcW w:w="5000" w:type="pct"/>
            <w:gridSpan w:val="4"/>
          </w:tcPr>
          <w:p w:rsidR="00192DCB" w:rsidRPr="00192DCB" w:rsidRDefault="00192DCB" w:rsidP="00192DCB">
            <w:pPr>
              <w:jc w:val="both"/>
              <w:rPr>
                <w:sz w:val="20"/>
                <w:lang w:val="fr-CA"/>
              </w:rPr>
            </w:pPr>
          </w:p>
        </w:tc>
      </w:tr>
      <w:tr w:rsidR="00192DCB" w:rsidRPr="00192DCB" w:rsidTr="00E95A6A">
        <w:tc>
          <w:tcPr>
            <w:tcW w:w="2427" w:type="pct"/>
            <w:gridSpan w:val="2"/>
          </w:tcPr>
          <w:p w:rsidR="00192DCB" w:rsidRPr="00192DCB" w:rsidRDefault="00192DCB" w:rsidP="00192DCB">
            <w:pPr>
              <w:jc w:val="both"/>
              <w:rPr>
                <w:sz w:val="20"/>
                <w:lang w:val="fr-CA"/>
              </w:rPr>
            </w:pPr>
            <w:r w:rsidRPr="00192DCB">
              <w:rPr>
                <w:sz w:val="20"/>
                <w:lang w:val="fr-CA"/>
              </w:rPr>
              <w:t>7 mai 2014</w:t>
            </w:r>
          </w:p>
          <w:p w:rsidR="00192DCB" w:rsidRPr="00192DCB" w:rsidRDefault="00192DCB" w:rsidP="00192DCB">
            <w:pPr>
              <w:jc w:val="both"/>
              <w:rPr>
                <w:sz w:val="20"/>
                <w:lang w:val="fr-CA"/>
              </w:rPr>
            </w:pPr>
            <w:r w:rsidRPr="00192DCB">
              <w:rPr>
                <w:sz w:val="20"/>
                <w:lang w:val="fr-CA"/>
              </w:rPr>
              <w:t xml:space="preserve">Cour fédérale </w:t>
            </w:r>
          </w:p>
          <w:p w:rsidR="00192DCB" w:rsidRPr="00192DCB" w:rsidRDefault="00192DCB" w:rsidP="00192DCB">
            <w:pPr>
              <w:jc w:val="both"/>
              <w:rPr>
                <w:sz w:val="20"/>
                <w:lang w:val="fr-CA"/>
              </w:rPr>
            </w:pPr>
            <w:r w:rsidRPr="00192DCB">
              <w:rPr>
                <w:sz w:val="20"/>
                <w:lang w:val="fr-CA"/>
              </w:rPr>
              <w:t>(Juge Phelan)</w:t>
            </w:r>
          </w:p>
        </w:tc>
        <w:tc>
          <w:tcPr>
            <w:tcW w:w="243" w:type="pct"/>
          </w:tcPr>
          <w:p w:rsidR="00192DCB" w:rsidRPr="00192DCB" w:rsidRDefault="00192DCB" w:rsidP="00192DCB">
            <w:pPr>
              <w:jc w:val="both"/>
              <w:rPr>
                <w:sz w:val="20"/>
                <w:lang w:val="fr-CA"/>
              </w:rPr>
            </w:pPr>
          </w:p>
        </w:tc>
        <w:tc>
          <w:tcPr>
            <w:tcW w:w="2330" w:type="pct"/>
          </w:tcPr>
          <w:p w:rsidR="00192DCB" w:rsidRPr="00192DCB" w:rsidRDefault="00192DCB" w:rsidP="00192DCB">
            <w:pPr>
              <w:jc w:val="both"/>
              <w:rPr>
                <w:sz w:val="20"/>
                <w:lang w:val="fr-CA"/>
              </w:rPr>
            </w:pPr>
            <w:r w:rsidRPr="00192DCB">
              <w:rPr>
                <w:sz w:val="20"/>
                <w:lang w:val="fr-CA"/>
              </w:rPr>
              <w:t xml:space="preserve">Rejet de la requête en exemption constitutionnelle visant à écarter temporairement l’application de la </w:t>
            </w:r>
            <w:r w:rsidRPr="00192DCB">
              <w:rPr>
                <w:i/>
                <w:sz w:val="20"/>
                <w:lang w:val="fr-CA"/>
              </w:rPr>
              <w:t>Loi réglementant certaines drogues et autres substances</w:t>
            </w:r>
          </w:p>
          <w:p w:rsidR="00192DCB" w:rsidRPr="00192DCB" w:rsidRDefault="00192DCB" w:rsidP="00192DCB">
            <w:pPr>
              <w:jc w:val="both"/>
              <w:rPr>
                <w:sz w:val="20"/>
                <w:lang w:val="fr-CA"/>
              </w:rPr>
            </w:pPr>
          </w:p>
        </w:tc>
      </w:tr>
      <w:tr w:rsidR="00192DCB" w:rsidRPr="00192DCB" w:rsidTr="00E95A6A">
        <w:tc>
          <w:tcPr>
            <w:tcW w:w="2427" w:type="pct"/>
            <w:gridSpan w:val="2"/>
          </w:tcPr>
          <w:p w:rsidR="00192DCB" w:rsidRPr="00192DCB" w:rsidRDefault="00192DCB" w:rsidP="00192DCB">
            <w:pPr>
              <w:jc w:val="both"/>
              <w:rPr>
                <w:sz w:val="20"/>
                <w:lang w:val="fr-CA"/>
              </w:rPr>
            </w:pPr>
            <w:r w:rsidRPr="00192DCB">
              <w:rPr>
                <w:sz w:val="20"/>
                <w:lang w:val="fr-CA"/>
              </w:rPr>
              <w:t>13 janvier 2016</w:t>
            </w:r>
          </w:p>
          <w:p w:rsidR="00192DCB" w:rsidRPr="00192DCB" w:rsidRDefault="00192DCB" w:rsidP="00192DCB">
            <w:pPr>
              <w:jc w:val="both"/>
              <w:rPr>
                <w:sz w:val="20"/>
                <w:lang w:val="fr-CA"/>
              </w:rPr>
            </w:pPr>
            <w:r w:rsidRPr="00192DCB">
              <w:rPr>
                <w:sz w:val="20"/>
                <w:lang w:val="fr-CA"/>
              </w:rPr>
              <w:t xml:space="preserve">Cour d’appel fédérale </w:t>
            </w:r>
          </w:p>
          <w:p w:rsidR="00192DCB" w:rsidRPr="00192DCB" w:rsidRDefault="00192DCB" w:rsidP="00192DCB">
            <w:pPr>
              <w:jc w:val="both"/>
              <w:rPr>
                <w:sz w:val="20"/>
                <w:lang w:val="fr-CA" w:eastAsia="en-CA"/>
              </w:rPr>
            </w:pPr>
            <w:r w:rsidRPr="00192DCB">
              <w:rPr>
                <w:sz w:val="20"/>
                <w:lang w:val="fr-CA" w:eastAsia="en-CA"/>
              </w:rPr>
              <w:t>(Juges Pelletier, Stratas et Gleason)</w:t>
            </w:r>
          </w:p>
          <w:p w:rsidR="00192DCB" w:rsidRPr="00192DCB" w:rsidRDefault="00192DCB" w:rsidP="00192DCB">
            <w:pPr>
              <w:jc w:val="both"/>
              <w:rPr>
                <w:sz w:val="20"/>
                <w:lang w:val="fr-CA" w:eastAsia="en-CA"/>
              </w:rPr>
            </w:pPr>
            <w:hyperlink r:id="rId53" w:history="1">
              <w:r w:rsidRPr="00192DCB">
                <w:rPr>
                  <w:color w:val="0000FF" w:themeColor="hyperlink"/>
                  <w:sz w:val="20"/>
                  <w:u w:val="single"/>
                  <w:lang w:val="fr-CA" w:eastAsia="en-CA"/>
                </w:rPr>
                <w:t>2016 FCA 9</w:t>
              </w:r>
            </w:hyperlink>
          </w:p>
          <w:p w:rsidR="00192DCB" w:rsidRPr="00192DCB" w:rsidRDefault="00192DCB" w:rsidP="00192DCB">
            <w:pPr>
              <w:jc w:val="both"/>
              <w:rPr>
                <w:sz w:val="20"/>
                <w:lang w:val="fr-CA"/>
              </w:rPr>
            </w:pPr>
          </w:p>
        </w:tc>
        <w:tc>
          <w:tcPr>
            <w:tcW w:w="243" w:type="pct"/>
          </w:tcPr>
          <w:p w:rsidR="00192DCB" w:rsidRPr="00192DCB" w:rsidRDefault="00192DCB" w:rsidP="00192DCB">
            <w:pPr>
              <w:jc w:val="both"/>
              <w:rPr>
                <w:sz w:val="20"/>
                <w:lang w:val="fr-CA"/>
              </w:rPr>
            </w:pPr>
          </w:p>
        </w:tc>
        <w:tc>
          <w:tcPr>
            <w:tcW w:w="2330" w:type="pct"/>
          </w:tcPr>
          <w:p w:rsidR="00192DCB" w:rsidRPr="00192DCB" w:rsidRDefault="00192DCB" w:rsidP="00192DCB">
            <w:pPr>
              <w:jc w:val="both"/>
              <w:rPr>
                <w:sz w:val="20"/>
                <w:lang w:val="fr-CA"/>
              </w:rPr>
            </w:pPr>
            <w:r w:rsidRPr="00192DCB">
              <w:rPr>
                <w:sz w:val="20"/>
                <w:lang w:val="fr-CA"/>
              </w:rPr>
              <w:t>Rejet de l’appel</w:t>
            </w:r>
          </w:p>
        </w:tc>
      </w:tr>
      <w:tr w:rsidR="00192DCB" w:rsidRPr="00192DCB" w:rsidTr="00E95A6A">
        <w:tc>
          <w:tcPr>
            <w:tcW w:w="2427" w:type="pct"/>
            <w:gridSpan w:val="2"/>
          </w:tcPr>
          <w:p w:rsidR="00192DCB" w:rsidRPr="00192DCB" w:rsidRDefault="00192DCB" w:rsidP="00192DCB">
            <w:pPr>
              <w:jc w:val="both"/>
              <w:rPr>
                <w:sz w:val="20"/>
                <w:lang w:val="fr-CA"/>
              </w:rPr>
            </w:pPr>
            <w:r w:rsidRPr="00192DCB">
              <w:rPr>
                <w:sz w:val="20"/>
                <w:lang w:val="fr-CA"/>
              </w:rPr>
              <w:t>29 mars 2016</w:t>
            </w:r>
          </w:p>
          <w:p w:rsidR="00192DCB" w:rsidRPr="00192DCB" w:rsidRDefault="00192DCB" w:rsidP="00192DCB">
            <w:pPr>
              <w:jc w:val="both"/>
              <w:rPr>
                <w:sz w:val="20"/>
                <w:lang w:val="fr-CA"/>
              </w:rPr>
            </w:pPr>
            <w:r w:rsidRPr="00192DCB">
              <w:rPr>
                <w:sz w:val="20"/>
                <w:lang w:val="fr-CA"/>
              </w:rPr>
              <w:t>Cour suprême du Canada</w:t>
            </w:r>
          </w:p>
        </w:tc>
        <w:tc>
          <w:tcPr>
            <w:tcW w:w="243" w:type="pct"/>
          </w:tcPr>
          <w:p w:rsidR="00192DCB" w:rsidRPr="00192DCB" w:rsidRDefault="00192DCB" w:rsidP="00192DCB">
            <w:pPr>
              <w:jc w:val="both"/>
              <w:rPr>
                <w:sz w:val="20"/>
                <w:lang w:val="fr-CA"/>
              </w:rPr>
            </w:pPr>
          </w:p>
        </w:tc>
        <w:tc>
          <w:tcPr>
            <w:tcW w:w="2330" w:type="pct"/>
          </w:tcPr>
          <w:p w:rsidR="00192DCB" w:rsidRPr="00192DCB" w:rsidRDefault="00192DCB" w:rsidP="00192DCB">
            <w:pPr>
              <w:jc w:val="both"/>
              <w:rPr>
                <w:sz w:val="20"/>
                <w:lang w:val="fr-CA"/>
              </w:rPr>
            </w:pPr>
            <w:r w:rsidRPr="00192DCB">
              <w:rPr>
                <w:sz w:val="20"/>
                <w:lang w:val="fr-CA"/>
              </w:rPr>
              <w:t xml:space="preserve">Dépôt de la requête en prorogation du délai de signification et de dépôt de la demande d’autorisation d’appel et de la demande d’autorisation d’appel </w:t>
            </w:r>
          </w:p>
        </w:tc>
      </w:tr>
    </w:tbl>
    <w:p w:rsidR="00192DCB" w:rsidRPr="00192DCB" w:rsidRDefault="00192DCB" w:rsidP="00192DCB">
      <w:pPr>
        <w:jc w:val="both"/>
        <w:rPr>
          <w:sz w:val="20"/>
          <w:lang w:val="fr-CA"/>
        </w:rPr>
      </w:pPr>
    </w:p>
    <w:p w:rsidR="00D15B3E" w:rsidRPr="00BF553C" w:rsidRDefault="00D15B3E" w:rsidP="00BF553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553C" w:rsidRPr="00BF553C" w:rsidTr="00E95A6A">
        <w:tc>
          <w:tcPr>
            <w:tcW w:w="543" w:type="pct"/>
          </w:tcPr>
          <w:p w:rsidR="00BF553C" w:rsidRPr="00BF553C" w:rsidRDefault="00BF553C" w:rsidP="00BF553C">
            <w:pPr>
              <w:jc w:val="both"/>
              <w:rPr>
                <w:sz w:val="20"/>
              </w:rPr>
            </w:pPr>
            <w:r w:rsidRPr="00BF553C">
              <w:rPr>
                <w:rStyle w:val="SCCFileNumberChar"/>
                <w:sz w:val="20"/>
                <w:szCs w:val="20"/>
              </w:rPr>
              <w:t>36991</w:t>
            </w:r>
          </w:p>
        </w:tc>
        <w:tc>
          <w:tcPr>
            <w:tcW w:w="4457" w:type="pct"/>
            <w:gridSpan w:val="3"/>
          </w:tcPr>
          <w:p w:rsidR="00BF553C" w:rsidRPr="00BF553C" w:rsidRDefault="00BF553C" w:rsidP="00BF553C">
            <w:pPr>
              <w:pStyle w:val="SCCLsocParty"/>
              <w:jc w:val="both"/>
              <w:rPr>
                <w:b/>
                <w:sz w:val="20"/>
                <w:szCs w:val="20"/>
              </w:rPr>
            </w:pPr>
            <w:r w:rsidRPr="00BF553C">
              <w:rPr>
                <w:b/>
                <w:sz w:val="20"/>
                <w:szCs w:val="20"/>
              </w:rPr>
              <w:t>Beverly Sharon Misener v. Her Majesty the Queen</w:t>
            </w:r>
          </w:p>
          <w:p w:rsidR="00BF553C" w:rsidRPr="00BF553C" w:rsidRDefault="00BF553C" w:rsidP="00BF553C">
            <w:pPr>
              <w:jc w:val="both"/>
              <w:rPr>
                <w:sz w:val="20"/>
              </w:rPr>
            </w:pPr>
            <w:r w:rsidRPr="00BF553C">
              <w:rPr>
                <w:sz w:val="20"/>
              </w:rPr>
              <w:t>(FC) (Civil) (By Leave)</w:t>
            </w:r>
          </w:p>
        </w:tc>
      </w:tr>
      <w:tr w:rsidR="00BF553C" w:rsidRPr="00BF553C" w:rsidTr="00E95A6A">
        <w:tc>
          <w:tcPr>
            <w:tcW w:w="5000" w:type="pct"/>
            <w:gridSpan w:val="4"/>
          </w:tcPr>
          <w:p w:rsidR="00BF553C" w:rsidRPr="00BF553C" w:rsidRDefault="00BF553C" w:rsidP="00BF553C">
            <w:pPr>
              <w:jc w:val="both"/>
              <w:rPr>
                <w:sz w:val="20"/>
              </w:rPr>
            </w:pPr>
            <w:r w:rsidRPr="00BF553C">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BF553C">
              <w:rPr>
                <w:i/>
                <w:sz w:val="20"/>
              </w:rPr>
              <w:t>Controlled Drugs and Substances Act</w:t>
            </w:r>
            <w:r w:rsidRPr="00BF553C">
              <w:rPr>
                <w:sz w:val="20"/>
              </w:rPr>
              <w:t>, S.C. 1996, c. 19.</w:t>
            </w:r>
          </w:p>
        </w:tc>
      </w:tr>
      <w:tr w:rsidR="00BF553C" w:rsidRPr="00BF553C" w:rsidTr="00E95A6A">
        <w:tc>
          <w:tcPr>
            <w:tcW w:w="5000" w:type="pct"/>
            <w:gridSpan w:val="4"/>
          </w:tcPr>
          <w:p w:rsidR="00BF553C" w:rsidRPr="00BF553C" w:rsidRDefault="00BF553C" w:rsidP="00BF553C">
            <w:pPr>
              <w:jc w:val="both"/>
              <w:rPr>
                <w:sz w:val="20"/>
              </w:rPr>
            </w:pPr>
          </w:p>
        </w:tc>
      </w:tr>
      <w:tr w:rsidR="00BF553C" w:rsidRPr="00BF553C" w:rsidTr="00E95A6A">
        <w:tc>
          <w:tcPr>
            <w:tcW w:w="5000" w:type="pct"/>
            <w:gridSpan w:val="4"/>
          </w:tcPr>
          <w:p w:rsidR="00BF553C" w:rsidRPr="00BF553C" w:rsidRDefault="00BF553C" w:rsidP="00BF553C">
            <w:pPr>
              <w:jc w:val="both"/>
              <w:rPr>
                <w:sz w:val="20"/>
              </w:rPr>
            </w:pPr>
            <w:r w:rsidRPr="00BF553C">
              <w:rPr>
                <w:sz w:val="20"/>
              </w:rPr>
              <w:t xml:space="preserve">Since February 2014, approximately 300 self-represented plaintiffs, including the applicant, have filed identical claims seeking declarations that the </w:t>
            </w:r>
            <w:r w:rsidRPr="00BF553C">
              <w:rPr>
                <w:i/>
                <w:sz w:val="20"/>
              </w:rPr>
              <w:t>Marijuana Medical Access Regulations (“MMAR”)</w:t>
            </w:r>
            <w:r w:rsidRPr="00BF553C">
              <w:rPr>
                <w:sz w:val="20"/>
              </w:rPr>
              <w:t xml:space="preserve">, S.O.R./2001-227, which </w:t>
            </w:r>
            <w:r w:rsidRPr="00BF553C">
              <w:rPr>
                <w:sz w:val="20"/>
              </w:rPr>
              <w:lastRenderedPageBreak/>
              <w:t>were repealed on March 31, 2014 and the</w:t>
            </w:r>
            <w:r w:rsidRPr="00BF553C">
              <w:rPr>
                <w:i/>
                <w:sz w:val="20"/>
              </w:rPr>
              <w:t xml:space="preserve"> Marijuana for Medical Purposes Regulations</w:t>
            </w:r>
            <w:r w:rsidRPr="00BF553C">
              <w:rPr>
                <w:sz w:val="20"/>
              </w:rPr>
              <w:t xml:space="preserve">, S.O.R./2013-119, which succeeded the </w:t>
            </w:r>
            <w:r w:rsidRPr="00BF553C">
              <w:rPr>
                <w:i/>
                <w:sz w:val="20"/>
              </w:rPr>
              <w:t>MMAR</w:t>
            </w:r>
            <w:r w:rsidRPr="00BF553C">
              <w:rPr>
                <w:sz w:val="20"/>
              </w:rPr>
              <w:t xml:space="preserve"> are unconstitutional. In the course of their actions, twenty-six plaintiffs, including the applicant, brought motions for interim constitutional exemptions from the </w:t>
            </w:r>
            <w:r w:rsidRPr="00BF553C">
              <w:rPr>
                <w:i/>
                <w:sz w:val="20"/>
              </w:rPr>
              <w:t>Controlled Drugs and Substances Act</w:t>
            </w:r>
            <w:r w:rsidRPr="00BF553C">
              <w:rPr>
                <w:sz w:val="20"/>
              </w:rPr>
              <w:t xml:space="preserve"> </w:t>
            </w:r>
            <w:r w:rsidRPr="00BF553C">
              <w:rPr>
                <w:i/>
                <w:sz w:val="20"/>
              </w:rPr>
              <w:t>(“CDSA”)</w:t>
            </w:r>
            <w:r w:rsidRPr="00BF553C">
              <w:rPr>
                <w:sz w:val="20"/>
              </w:rPr>
              <w:t xml:space="preserve"> for the personal use of marijuana pending trial of their actions.</w:t>
            </w:r>
          </w:p>
        </w:tc>
      </w:tr>
      <w:tr w:rsidR="00BF553C" w:rsidRPr="00BF553C" w:rsidTr="00E95A6A">
        <w:tc>
          <w:tcPr>
            <w:tcW w:w="5000" w:type="pct"/>
            <w:gridSpan w:val="4"/>
          </w:tcPr>
          <w:p w:rsidR="00BF553C" w:rsidRPr="00BF553C" w:rsidRDefault="00BF553C" w:rsidP="00BF553C">
            <w:pPr>
              <w:jc w:val="both"/>
              <w:rPr>
                <w:sz w:val="20"/>
              </w:rPr>
            </w:pPr>
          </w:p>
        </w:tc>
      </w:tr>
      <w:tr w:rsidR="00BF553C" w:rsidRPr="00BF553C" w:rsidTr="00E95A6A">
        <w:tc>
          <w:tcPr>
            <w:tcW w:w="2427" w:type="pct"/>
            <w:gridSpan w:val="2"/>
          </w:tcPr>
          <w:p w:rsidR="00BF553C" w:rsidRPr="00BF553C" w:rsidRDefault="00BF553C" w:rsidP="00BF553C">
            <w:pPr>
              <w:jc w:val="both"/>
              <w:rPr>
                <w:sz w:val="20"/>
              </w:rPr>
            </w:pPr>
            <w:r w:rsidRPr="00BF553C">
              <w:rPr>
                <w:sz w:val="20"/>
              </w:rPr>
              <w:t>May 7, 2014</w:t>
            </w:r>
          </w:p>
          <w:p w:rsidR="00BF553C" w:rsidRPr="00BF553C" w:rsidRDefault="00BF553C" w:rsidP="00BF553C">
            <w:pPr>
              <w:jc w:val="both"/>
              <w:rPr>
                <w:sz w:val="20"/>
              </w:rPr>
            </w:pPr>
            <w:r w:rsidRPr="00BF553C">
              <w:rPr>
                <w:sz w:val="20"/>
              </w:rPr>
              <w:t>Federal Court</w:t>
            </w:r>
          </w:p>
          <w:p w:rsidR="00BF553C" w:rsidRPr="00BF553C" w:rsidRDefault="00BF553C" w:rsidP="00BF553C">
            <w:pPr>
              <w:jc w:val="both"/>
              <w:rPr>
                <w:sz w:val="20"/>
              </w:rPr>
            </w:pPr>
            <w:r w:rsidRPr="00BF553C">
              <w:rPr>
                <w:sz w:val="20"/>
              </w:rPr>
              <w:t>(Phelan J.)</w:t>
            </w:r>
          </w:p>
          <w:p w:rsidR="00BF553C" w:rsidRPr="00BF553C" w:rsidRDefault="00BF553C" w:rsidP="00BF553C">
            <w:pPr>
              <w:jc w:val="both"/>
              <w:rPr>
                <w:sz w:val="20"/>
              </w:rPr>
            </w:pPr>
          </w:p>
        </w:tc>
        <w:tc>
          <w:tcPr>
            <w:tcW w:w="243" w:type="pct"/>
          </w:tcPr>
          <w:p w:rsidR="00BF553C" w:rsidRPr="00BF553C" w:rsidRDefault="00BF553C" w:rsidP="00BF553C">
            <w:pPr>
              <w:jc w:val="both"/>
              <w:rPr>
                <w:sz w:val="20"/>
              </w:rPr>
            </w:pPr>
          </w:p>
        </w:tc>
        <w:tc>
          <w:tcPr>
            <w:tcW w:w="2330" w:type="pct"/>
          </w:tcPr>
          <w:p w:rsidR="00BF553C" w:rsidRPr="00BF553C" w:rsidRDefault="00BF553C" w:rsidP="00BF553C">
            <w:pPr>
              <w:jc w:val="both"/>
              <w:rPr>
                <w:sz w:val="20"/>
              </w:rPr>
            </w:pPr>
            <w:r w:rsidRPr="00BF553C">
              <w:rPr>
                <w:sz w:val="20"/>
              </w:rPr>
              <w:t xml:space="preserve">Motion for interim constitutional exemptions from provisions of </w:t>
            </w:r>
            <w:r w:rsidRPr="00BF553C">
              <w:rPr>
                <w:i/>
                <w:sz w:val="20"/>
              </w:rPr>
              <w:t>Controlled Drugs and Substances Act</w:t>
            </w:r>
            <w:r w:rsidRPr="00BF553C">
              <w:rPr>
                <w:sz w:val="20"/>
              </w:rPr>
              <w:t xml:space="preserve"> dismissed</w:t>
            </w:r>
          </w:p>
          <w:p w:rsidR="00BF553C" w:rsidRPr="00BF553C" w:rsidRDefault="00BF553C" w:rsidP="00BF553C">
            <w:pPr>
              <w:jc w:val="both"/>
              <w:rPr>
                <w:sz w:val="20"/>
              </w:rPr>
            </w:pPr>
          </w:p>
        </w:tc>
      </w:tr>
      <w:tr w:rsidR="00BF553C" w:rsidRPr="00BF553C" w:rsidTr="00E95A6A">
        <w:tc>
          <w:tcPr>
            <w:tcW w:w="2427" w:type="pct"/>
            <w:gridSpan w:val="2"/>
          </w:tcPr>
          <w:p w:rsidR="00BF553C" w:rsidRPr="00BF553C" w:rsidRDefault="00BF553C" w:rsidP="00BF553C">
            <w:pPr>
              <w:jc w:val="both"/>
              <w:rPr>
                <w:sz w:val="20"/>
              </w:rPr>
            </w:pPr>
            <w:r w:rsidRPr="00BF553C">
              <w:rPr>
                <w:sz w:val="20"/>
              </w:rPr>
              <w:t>January 13, 2016</w:t>
            </w:r>
          </w:p>
          <w:p w:rsidR="00BF553C" w:rsidRPr="00BF553C" w:rsidRDefault="00BF553C" w:rsidP="00BF553C">
            <w:pPr>
              <w:jc w:val="both"/>
              <w:rPr>
                <w:sz w:val="20"/>
              </w:rPr>
            </w:pPr>
            <w:r w:rsidRPr="00BF553C">
              <w:rPr>
                <w:sz w:val="20"/>
              </w:rPr>
              <w:t>Federal Court of Appeal</w:t>
            </w:r>
          </w:p>
          <w:p w:rsidR="00BF553C" w:rsidRPr="00BF553C" w:rsidRDefault="00BF553C" w:rsidP="00BF553C">
            <w:pPr>
              <w:jc w:val="both"/>
              <w:rPr>
                <w:sz w:val="20"/>
              </w:rPr>
            </w:pPr>
            <w:r w:rsidRPr="00BF553C">
              <w:rPr>
                <w:sz w:val="20"/>
              </w:rPr>
              <w:t>(Pelletier, Stratas and Gleason JJ.A.)</w:t>
            </w:r>
          </w:p>
          <w:p w:rsidR="00BF553C" w:rsidRPr="00BF553C" w:rsidRDefault="00BF553C" w:rsidP="00BF553C">
            <w:pPr>
              <w:jc w:val="both"/>
              <w:rPr>
                <w:sz w:val="20"/>
                <w:lang w:eastAsia="en-CA"/>
              </w:rPr>
            </w:pPr>
            <w:hyperlink r:id="rId54" w:history="1">
              <w:r w:rsidRPr="00BF553C">
                <w:rPr>
                  <w:color w:val="0000FF" w:themeColor="hyperlink"/>
                  <w:sz w:val="20"/>
                  <w:u w:val="single"/>
                  <w:lang w:eastAsia="en-CA"/>
                </w:rPr>
                <w:t>2016 FCA 9</w:t>
              </w:r>
            </w:hyperlink>
          </w:p>
          <w:p w:rsidR="00BF553C" w:rsidRPr="00BF553C" w:rsidRDefault="00BF553C" w:rsidP="00BF553C">
            <w:pPr>
              <w:jc w:val="both"/>
              <w:rPr>
                <w:sz w:val="20"/>
              </w:rPr>
            </w:pPr>
          </w:p>
        </w:tc>
        <w:tc>
          <w:tcPr>
            <w:tcW w:w="243" w:type="pct"/>
          </w:tcPr>
          <w:p w:rsidR="00BF553C" w:rsidRPr="00BF553C" w:rsidRDefault="00BF553C" w:rsidP="00BF553C">
            <w:pPr>
              <w:jc w:val="both"/>
              <w:rPr>
                <w:sz w:val="20"/>
              </w:rPr>
            </w:pPr>
          </w:p>
        </w:tc>
        <w:tc>
          <w:tcPr>
            <w:tcW w:w="2330" w:type="pct"/>
          </w:tcPr>
          <w:p w:rsidR="00BF553C" w:rsidRPr="00BF553C" w:rsidRDefault="00BF553C" w:rsidP="00BF553C">
            <w:pPr>
              <w:jc w:val="both"/>
              <w:rPr>
                <w:sz w:val="20"/>
              </w:rPr>
            </w:pPr>
            <w:r w:rsidRPr="00BF553C">
              <w:rPr>
                <w:sz w:val="20"/>
              </w:rPr>
              <w:t>Appeal dismissed</w:t>
            </w:r>
          </w:p>
          <w:p w:rsidR="00BF553C" w:rsidRPr="00BF553C" w:rsidRDefault="00BF553C" w:rsidP="00BF553C">
            <w:pPr>
              <w:jc w:val="both"/>
              <w:rPr>
                <w:sz w:val="20"/>
              </w:rPr>
            </w:pPr>
          </w:p>
        </w:tc>
      </w:tr>
      <w:tr w:rsidR="00BF553C" w:rsidRPr="00BF553C" w:rsidTr="00E95A6A">
        <w:tc>
          <w:tcPr>
            <w:tcW w:w="2427" w:type="pct"/>
            <w:gridSpan w:val="2"/>
          </w:tcPr>
          <w:p w:rsidR="00BF553C" w:rsidRPr="00BF553C" w:rsidRDefault="00BF553C" w:rsidP="00BF553C">
            <w:pPr>
              <w:jc w:val="both"/>
              <w:rPr>
                <w:sz w:val="20"/>
              </w:rPr>
            </w:pPr>
            <w:r w:rsidRPr="00BF553C">
              <w:rPr>
                <w:sz w:val="20"/>
              </w:rPr>
              <w:t>April 14, 2016</w:t>
            </w:r>
          </w:p>
          <w:p w:rsidR="00BF553C" w:rsidRPr="00BF553C" w:rsidRDefault="00BF553C" w:rsidP="00BF553C">
            <w:pPr>
              <w:jc w:val="both"/>
              <w:rPr>
                <w:sz w:val="20"/>
              </w:rPr>
            </w:pPr>
            <w:r w:rsidRPr="00BF553C">
              <w:rPr>
                <w:sz w:val="20"/>
              </w:rPr>
              <w:t>Supreme Court of Canada</w:t>
            </w:r>
          </w:p>
        </w:tc>
        <w:tc>
          <w:tcPr>
            <w:tcW w:w="243" w:type="pct"/>
          </w:tcPr>
          <w:p w:rsidR="00BF553C" w:rsidRPr="00BF553C" w:rsidRDefault="00BF553C" w:rsidP="00BF553C">
            <w:pPr>
              <w:jc w:val="both"/>
              <w:rPr>
                <w:sz w:val="20"/>
              </w:rPr>
            </w:pPr>
          </w:p>
        </w:tc>
        <w:tc>
          <w:tcPr>
            <w:tcW w:w="2330" w:type="pct"/>
          </w:tcPr>
          <w:p w:rsidR="00BF553C" w:rsidRPr="00BF553C" w:rsidRDefault="00BF553C" w:rsidP="00BF553C">
            <w:pPr>
              <w:jc w:val="both"/>
              <w:rPr>
                <w:sz w:val="20"/>
              </w:rPr>
            </w:pPr>
            <w:r w:rsidRPr="00BF553C">
              <w:rPr>
                <w:sz w:val="20"/>
              </w:rPr>
              <w:t>Motion to extend time to serve and file application for leave to appeal and application for leave to appeal filed</w:t>
            </w:r>
          </w:p>
        </w:tc>
      </w:tr>
    </w:tbl>
    <w:p w:rsidR="00BF553C" w:rsidRDefault="00BF553C" w:rsidP="00BF553C">
      <w:pPr>
        <w:jc w:val="both"/>
        <w:rPr>
          <w:sz w:val="20"/>
        </w:rPr>
      </w:pPr>
    </w:p>
    <w:p w:rsidR="00BF553C" w:rsidRPr="00BF553C" w:rsidRDefault="00BF553C" w:rsidP="00BF55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553C" w:rsidRPr="00BF553C" w:rsidTr="00E95A6A">
        <w:tc>
          <w:tcPr>
            <w:tcW w:w="543" w:type="pct"/>
          </w:tcPr>
          <w:p w:rsidR="00BF553C" w:rsidRPr="00BF553C" w:rsidRDefault="00BF553C" w:rsidP="00BF553C">
            <w:pPr>
              <w:jc w:val="both"/>
              <w:rPr>
                <w:sz w:val="20"/>
                <w:lang w:val="fr-CA"/>
              </w:rPr>
            </w:pPr>
            <w:r w:rsidRPr="00BF553C">
              <w:rPr>
                <w:rStyle w:val="SCCFileNumberChar"/>
                <w:sz w:val="20"/>
                <w:szCs w:val="20"/>
                <w:lang w:val="fr-CA"/>
              </w:rPr>
              <w:t>36991</w:t>
            </w:r>
          </w:p>
        </w:tc>
        <w:tc>
          <w:tcPr>
            <w:tcW w:w="4457" w:type="pct"/>
            <w:gridSpan w:val="3"/>
          </w:tcPr>
          <w:p w:rsidR="00BF553C" w:rsidRPr="00BF553C" w:rsidRDefault="00BF553C" w:rsidP="00BF553C">
            <w:pPr>
              <w:pStyle w:val="SCCLsocParty"/>
              <w:jc w:val="both"/>
              <w:rPr>
                <w:b/>
                <w:sz w:val="20"/>
                <w:szCs w:val="20"/>
              </w:rPr>
            </w:pPr>
            <w:r w:rsidRPr="00BF553C">
              <w:rPr>
                <w:b/>
                <w:sz w:val="20"/>
                <w:szCs w:val="20"/>
              </w:rPr>
              <w:t>Beverly Sharon Misener c. Sa Majesté la Reine</w:t>
            </w:r>
          </w:p>
          <w:p w:rsidR="00BF553C" w:rsidRPr="00BF553C" w:rsidRDefault="00BF553C" w:rsidP="00BF553C">
            <w:pPr>
              <w:jc w:val="both"/>
              <w:rPr>
                <w:sz w:val="20"/>
                <w:lang w:val="fr-CA"/>
              </w:rPr>
            </w:pPr>
            <w:r w:rsidRPr="00BF553C">
              <w:rPr>
                <w:sz w:val="20"/>
                <w:lang w:val="fr-CA"/>
              </w:rPr>
              <w:t>(CF) (Civile) (Sur autorisation)</w:t>
            </w:r>
          </w:p>
        </w:tc>
      </w:tr>
      <w:tr w:rsidR="00BF553C" w:rsidRPr="00BF553C" w:rsidTr="00E95A6A">
        <w:tc>
          <w:tcPr>
            <w:tcW w:w="5000" w:type="pct"/>
            <w:gridSpan w:val="4"/>
          </w:tcPr>
          <w:p w:rsidR="00BF553C" w:rsidRPr="00BF553C" w:rsidRDefault="00BF553C" w:rsidP="00BF553C">
            <w:pPr>
              <w:jc w:val="both"/>
              <w:rPr>
                <w:sz w:val="20"/>
                <w:lang w:val="fr-CA"/>
              </w:rPr>
            </w:pPr>
            <w:r w:rsidRPr="00BF553C">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BF553C">
              <w:rPr>
                <w:i/>
                <w:sz w:val="20"/>
                <w:lang w:val="fr-CA"/>
              </w:rPr>
              <w:t>Loi réglementant certaines drogues et autres substances</w:t>
            </w:r>
            <w:r w:rsidRPr="00BF553C">
              <w:rPr>
                <w:sz w:val="20"/>
                <w:lang w:val="fr-CA"/>
              </w:rPr>
              <w:t>, L.C., 1996, ch. 19.</w:t>
            </w:r>
          </w:p>
        </w:tc>
      </w:tr>
      <w:tr w:rsidR="00BF553C" w:rsidRPr="00BF553C" w:rsidTr="00E95A6A">
        <w:tc>
          <w:tcPr>
            <w:tcW w:w="5000" w:type="pct"/>
            <w:gridSpan w:val="4"/>
          </w:tcPr>
          <w:p w:rsidR="00BF553C" w:rsidRPr="00BF553C" w:rsidRDefault="00BF553C" w:rsidP="00BF553C">
            <w:pPr>
              <w:jc w:val="both"/>
              <w:rPr>
                <w:sz w:val="20"/>
                <w:lang w:val="fr-CA"/>
              </w:rPr>
            </w:pPr>
          </w:p>
        </w:tc>
      </w:tr>
      <w:tr w:rsidR="00BF553C" w:rsidRPr="00BF553C" w:rsidTr="00E95A6A">
        <w:tc>
          <w:tcPr>
            <w:tcW w:w="5000" w:type="pct"/>
            <w:gridSpan w:val="4"/>
          </w:tcPr>
          <w:p w:rsidR="00BF553C" w:rsidRPr="00BF553C" w:rsidRDefault="00BF553C" w:rsidP="00BF553C">
            <w:pPr>
              <w:jc w:val="both"/>
              <w:rPr>
                <w:sz w:val="20"/>
                <w:lang w:val="fr-CA"/>
              </w:rPr>
            </w:pPr>
            <w:r w:rsidRPr="00BF553C">
              <w:rPr>
                <w:sz w:val="20"/>
                <w:lang w:val="fr-CA"/>
              </w:rPr>
              <w:t xml:space="preserve">Depuis février 2014, environ 300 plaideurs non représentés, y compris la demanderesse, ont déposé des demandes identiques sollicitant des jugements qui déclarent inconstitutionnels le </w:t>
            </w:r>
            <w:r w:rsidRPr="00BF553C">
              <w:rPr>
                <w:i/>
                <w:sz w:val="20"/>
                <w:lang w:val="fr-CA"/>
              </w:rPr>
              <w:t>Règlement sur l’accès à la marihuana à des fins médicales (« RAMFM »)</w:t>
            </w:r>
            <w:r w:rsidRPr="00BF553C">
              <w:rPr>
                <w:sz w:val="20"/>
                <w:lang w:val="fr-CA"/>
              </w:rPr>
              <w:t xml:space="preserve">, D.O.R.S./2001-227, abrogé le 31 mars 2014 et le </w:t>
            </w:r>
            <w:r w:rsidRPr="00BF553C">
              <w:rPr>
                <w:i/>
                <w:sz w:val="20"/>
                <w:lang w:val="fr-CA"/>
              </w:rPr>
              <w:t>Règlement sur la marihuana à des fins médicales</w:t>
            </w:r>
            <w:r w:rsidRPr="00BF553C">
              <w:rPr>
                <w:sz w:val="20"/>
                <w:lang w:val="fr-CA"/>
              </w:rPr>
              <w:t xml:space="preserve">, D.O.R.S./2013-119, qui a remplacé le </w:t>
            </w:r>
            <w:r w:rsidRPr="00BF553C">
              <w:rPr>
                <w:i/>
                <w:sz w:val="20"/>
                <w:lang w:val="fr-CA"/>
              </w:rPr>
              <w:t>RAMFM</w:t>
            </w:r>
            <w:r w:rsidRPr="00BF553C">
              <w:rPr>
                <w:sz w:val="20"/>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BF553C">
              <w:rPr>
                <w:i/>
                <w:sz w:val="20"/>
                <w:lang w:val="fr-CA"/>
              </w:rPr>
              <w:t>Loi réglementant certaines drogues et autres substances («</w:t>
            </w:r>
            <w:r w:rsidRPr="00BF553C">
              <w:rPr>
                <w:sz w:val="20"/>
                <w:lang w:val="fr-CA"/>
              </w:rPr>
              <w:t> </w:t>
            </w:r>
            <w:r w:rsidRPr="00BF553C">
              <w:rPr>
                <w:i/>
                <w:sz w:val="20"/>
                <w:lang w:val="fr-CA"/>
              </w:rPr>
              <w:t>LRCDAS »)</w:t>
            </w:r>
            <w:r w:rsidRPr="00BF553C">
              <w:rPr>
                <w:sz w:val="20"/>
                <w:lang w:val="fr-CA"/>
              </w:rPr>
              <w:t xml:space="preserve"> pour l’utilisation personnelle de la marihuana en attendant que leurs actions soient instruites.</w:t>
            </w:r>
          </w:p>
        </w:tc>
      </w:tr>
      <w:tr w:rsidR="00BF553C" w:rsidRPr="00BF553C" w:rsidTr="00E95A6A">
        <w:tc>
          <w:tcPr>
            <w:tcW w:w="5000" w:type="pct"/>
            <w:gridSpan w:val="4"/>
          </w:tcPr>
          <w:p w:rsidR="00BF553C" w:rsidRPr="00BF553C" w:rsidRDefault="00BF553C" w:rsidP="00BF553C">
            <w:pPr>
              <w:jc w:val="both"/>
              <w:rPr>
                <w:sz w:val="20"/>
                <w:lang w:val="fr-CA"/>
              </w:rPr>
            </w:pPr>
          </w:p>
        </w:tc>
      </w:tr>
      <w:tr w:rsidR="00BF553C" w:rsidRPr="00BF553C" w:rsidTr="00E95A6A">
        <w:tc>
          <w:tcPr>
            <w:tcW w:w="2427" w:type="pct"/>
            <w:gridSpan w:val="2"/>
          </w:tcPr>
          <w:p w:rsidR="00BF553C" w:rsidRPr="00BF553C" w:rsidRDefault="00BF553C" w:rsidP="00BF553C">
            <w:pPr>
              <w:jc w:val="both"/>
              <w:rPr>
                <w:sz w:val="20"/>
                <w:lang w:val="fr-CA"/>
              </w:rPr>
            </w:pPr>
            <w:r w:rsidRPr="00BF553C">
              <w:rPr>
                <w:sz w:val="20"/>
                <w:lang w:val="fr-CA"/>
              </w:rPr>
              <w:t>7 mai 2014</w:t>
            </w:r>
          </w:p>
          <w:p w:rsidR="00BF553C" w:rsidRPr="00BF553C" w:rsidRDefault="00BF553C" w:rsidP="00BF553C">
            <w:pPr>
              <w:jc w:val="both"/>
              <w:rPr>
                <w:sz w:val="20"/>
                <w:lang w:val="fr-CA"/>
              </w:rPr>
            </w:pPr>
            <w:r w:rsidRPr="00BF553C">
              <w:rPr>
                <w:sz w:val="20"/>
                <w:lang w:val="fr-CA"/>
              </w:rPr>
              <w:t xml:space="preserve">Cour fédérale </w:t>
            </w:r>
          </w:p>
          <w:p w:rsidR="00BF553C" w:rsidRPr="00BF553C" w:rsidRDefault="00BF553C" w:rsidP="00BF553C">
            <w:pPr>
              <w:jc w:val="both"/>
              <w:rPr>
                <w:sz w:val="20"/>
                <w:lang w:val="fr-CA"/>
              </w:rPr>
            </w:pPr>
            <w:r w:rsidRPr="00BF553C">
              <w:rPr>
                <w:sz w:val="20"/>
                <w:lang w:val="fr-CA"/>
              </w:rPr>
              <w:t>(Juge Phelan)</w:t>
            </w:r>
          </w:p>
        </w:tc>
        <w:tc>
          <w:tcPr>
            <w:tcW w:w="243" w:type="pct"/>
          </w:tcPr>
          <w:p w:rsidR="00BF553C" w:rsidRPr="00BF553C" w:rsidRDefault="00BF553C" w:rsidP="00BF553C">
            <w:pPr>
              <w:jc w:val="both"/>
              <w:rPr>
                <w:sz w:val="20"/>
                <w:lang w:val="fr-CA"/>
              </w:rPr>
            </w:pPr>
          </w:p>
        </w:tc>
        <w:tc>
          <w:tcPr>
            <w:tcW w:w="2330" w:type="pct"/>
          </w:tcPr>
          <w:p w:rsidR="00BF553C" w:rsidRPr="00BF553C" w:rsidRDefault="00BF553C" w:rsidP="00BF553C">
            <w:pPr>
              <w:jc w:val="both"/>
              <w:rPr>
                <w:sz w:val="20"/>
                <w:lang w:val="fr-CA"/>
              </w:rPr>
            </w:pPr>
            <w:r w:rsidRPr="00BF553C">
              <w:rPr>
                <w:sz w:val="20"/>
                <w:lang w:val="fr-CA"/>
              </w:rPr>
              <w:t xml:space="preserve">Rejet de la requête en exemption constitutionnelle visant à écarter temporairement l’application de la </w:t>
            </w:r>
            <w:r w:rsidRPr="00BF553C">
              <w:rPr>
                <w:i/>
                <w:sz w:val="20"/>
                <w:lang w:val="fr-CA"/>
              </w:rPr>
              <w:t>Loi réglementant certaines drogues et autres substances</w:t>
            </w:r>
          </w:p>
          <w:p w:rsidR="00BF553C" w:rsidRPr="00BF553C" w:rsidRDefault="00BF553C" w:rsidP="00BF553C">
            <w:pPr>
              <w:jc w:val="both"/>
              <w:rPr>
                <w:sz w:val="20"/>
                <w:lang w:val="fr-CA"/>
              </w:rPr>
            </w:pPr>
          </w:p>
        </w:tc>
      </w:tr>
      <w:tr w:rsidR="00BF553C" w:rsidRPr="00BF553C" w:rsidTr="00E95A6A">
        <w:tc>
          <w:tcPr>
            <w:tcW w:w="2427" w:type="pct"/>
            <w:gridSpan w:val="2"/>
          </w:tcPr>
          <w:p w:rsidR="00BF553C" w:rsidRPr="00BF553C" w:rsidRDefault="00BF553C" w:rsidP="00BF553C">
            <w:pPr>
              <w:jc w:val="both"/>
              <w:rPr>
                <w:sz w:val="20"/>
                <w:lang w:val="fr-CA"/>
              </w:rPr>
            </w:pPr>
            <w:r w:rsidRPr="00BF553C">
              <w:rPr>
                <w:sz w:val="20"/>
                <w:lang w:val="fr-CA"/>
              </w:rPr>
              <w:t>13 janvier 2016</w:t>
            </w:r>
          </w:p>
          <w:p w:rsidR="00BF553C" w:rsidRPr="00BF553C" w:rsidRDefault="00BF553C" w:rsidP="00BF553C">
            <w:pPr>
              <w:jc w:val="both"/>
              <w:rPr>
                <w:sz w:val="20"/>
                <w:lang w:val="fr-CA"/>
              </w:rPr>
            </w:pPr>
            <w:r w:rsidRPr="00BF553C">
              <w:rPr>
                <w:sz w:val="20"/>
                <w:lang w:val="fr-CA"/>
              </w:rPr>
              <w:t xml:space="preserve">Cour d’appel fédérale </w:t>
            </w:r>
          </w:p>
          <w:p w:rsidR="00BF553C" w:rsidRPr="00BF553C" w:rsidRDefault="00BF553C" w:rsidP="00BF553C">
            <w:pPr>
              <w:jc w:val="both"/>
              <w:rPr>
                <w:sz w:val="20"/>
                <w:lang w:val="fr-CA" w:eastAsia="en-CA"/>
              </w:rPr>
            </w:pPr>
            <w:r w:rsidRPr="00BF553C">
              <w:rPr>
                <w:sz w:val="20"/>
                <w:lang w:val="fr-CA" w:eastAsia="en-CA"/>
              </w:rPr>
              <w:t>(Juges Pelletier, Stratas et Gleason)</w:t>
            </w:r>
          </w:p>
          <w:p w:rsidR="00BF553C" w:rsidRPr="00BF553C" w:rsidRDefault="00BF553C" w:rsidP="00BF553C">
            <w:pPr>
              <w:jc w:val="both"/>
              <w:rPr>
                <w:sz w:val="20"/>
                <w:lang w:val="fr-CA" w:eastAsia="en-CA"/>
              </w:rPr>
            </w:pPr>
            <w:hyperlink r:id="rId55" w:history="1">
              <w:r w:rsidRPr="00BF553C">
                <w:rPr>
                  <w:color w:val="0000FF" w:themeColor="hyperlink"/>
                  <w:sz w:val="20"/>
                  <w:u w:val="single"/>
                  <w:lang w:val="fr-CA" w:eastAsia="en-CA"/>
                </w:rPr>
                <w:t>2016 FCA 9</w:t>
              </w:r>
            </w:hyperlink>
          </w:p>
          <w:p w:rsidR="00BF553C" w:rsidRPr="00BF553C" w:rsidRDefault="00BF553C" w:rsidP="00BF553C">
            <w:pPr>
              <w:jc w:val="both"/>
              <w:rPr>
                <w:sz w:val="20"/>
                <w:lang w:val="fr-CA"/>
              </w:rPr>
            </w:pPr>
          </w:p>
        </w:tc>
        <w:tc>
          <w:tcPr>
            <w:tcW w:w="243" w:type="pct"/>
          </w:tcPr>
          <w:p w:rsidR="00BF553C" w:rsidRPr="00BF553C" w:rsidRDefault="00BF553C" w:rsidP="00BF553C">
            <w:pPr>
              <w:jc w:val="both"/>
              <w:rPr>
                <w:sz w:val="20"/>
                <w:lang w:val="fr-CA"/>
              </w:rPr>
            </w:pPr>
          </w:p>
        </w:tc>
        <w:tc>
          <w:tcPr>
            <w:tcW w:w="2330" w:type="pct"/>
          </w:tcPr>
          <w:p w:rsidR="00BF553C" w:rsidRPr="00BF553C" w:rsidRDefault="00BF553C" w:rsidP="00BF553C">
            <w:pPr>
              <w:jc w:val="both"/>
              <w:rPr>
                <w:sz w:val="20"/>
                <w:lang w:val="fr-CA"/>
              </w:rPr>
            </w:pPr>
            <w:r w:rsidRPr="00BF553C">
              <w:rPr>
                <w:sz w:val="20"/>
                <w:lang w:val="fr-CA"/>
              </w:rPr>
              <w:t>Rejet de l’appel</w:t>
            </w:r>
          </w:p>
          <w:p w:rsidR="00BF553C" w:rsidRPr="00BF553C" w:rsidRDefault="00BF553C" w:rsidP="00BF553C">
            <w:pPr>
              <w:jc w:val="both"/>
              <w:rPr>
                <w:sz w:val="20"/>
                <w:lang w:val="fr-CA"/>
              </w:rPr>
            </w:pPr>
          </w:p>
        </w:tc>
      </w:tr>
      <w:tr w:rsidR="00BF553C" w:rsidRPr="00BF553C" w:rsidTr="00E95A6A">
        <w:tc>
          <w:tcPr>
            <w:tcW w:w="2427" w:type="pct"/>
            <w:gridSpan w:val="2"/>
          </w:tcPr>
          <w:p w:rsidR="00BF553C" w:rsidRPr="00BF553C" w:rsidRDefault="00BF553C" w:rsidP="00BF553C">
            <w:pPr>
              <w:jc w:val="both"/>
              <w:rPr>
                <w:sz w:val="20"/>
                <w:lang w:val="fr-CA"/>
              </w:rPr>
            </w:pPr>
            <w:r w:rsidRPr="00BF553C">
              <w:rPr>
                <w:sz w:val="20"/>
                <w:lang w:val="fr-CA"/>
              </w:rPr>
              <w:t>14 avril 2016</w:t>
            </w:r>
          </w:p>
          <w:p w:rsidR="00BF553C" w:rsidRPr="00BF553C" w:rsidRDefault="00BF553C" w:rsidP="00BF553C">
            <w:pPr>
              <w:jc w:val="both"/>
              <w:rPr>
                <w:sz w:val="20"/>
                <w:lang w:val="fr-CA"/>
              </w:rPr>
            </w:pPr>
            <w:r w:rsidRPr="00BF553C">
              <w:rPr>
                <w:sz w:val="20"/>
                <w:lang w:val="fr-CA"/>
              </w:rPr>
              <w:t>Cour suprême du Canada</w:t>
            </w:r>
          </w:p>
          <w:p w:rsidR="00BF553C" w:rsidRPr="00BF553C" w:rsidRDefault="00BF553C" w:rsidP="00BF553C">
            <w:pPr>
              <w:jc w:val="both"/>
              <w:rPr>
                <w:sz w:val="20"/>
                <w:lang w:val="fr-CA"/>
              </w:rPr>
            </w:pPr>
          </w:p>
        </w:tc>
        <w:tc>
          <w:tcPr>
            <w:tcW w:w="243" w:type="pct"/>
          </w:tcPr>
          <w:p w:rsidR="00BF553C" w:rsidRPr="00BF553C" w:rsidRDefault="00BF553C" w:rsidP="00BF553C">
            <w:pPr>
              <w:jc w:val="both"/>
              <w:rPr>
                <w:sz w:val="20"/>
                <w:lang w:val="fr-CA"/>
              </w:rPr>
            </w:pPr>
          </w:p>
        </w:tc>
        <w:tc>
          <w:tcPr>
            <w:tcW w:w="2330" w:type="pct"/>
          </w:tcPr>
          <w:p w:rsidR="00BF553C" w:rsidRPr="00BF553C" w:rsidRDefault="00BF553C" w:rsidP="00BF553C">
            <w:pPr>
              <w:jc w:val="both"/>
              <w:rPr>
                <w:sz w:val="20"/>
                <w:lang w:val="fr-CA"/>
              </w:rPr>
            </w:pPr>
            <w:r w:rsidRPr="00BF553C">
              <w:rPr>
                <w:sz w:val="20"/>
                <w:lang w:val="fr-CA"/>
              </w:rPr>
              <w:t xml:space="preserve">Dépôt de la requête en prorogation du délai de signification et de dépôt de la demande d’autorisation d’appel et de la demande d’autorisation d’appel </w:t>
            </w:r>
          </w:p>
        </w:tc>
      </w:tr>
    </w:tbl>
    <w:p w:rsidR="00BF553C" w:rsidRPr="00BF553C" w:rsidRDefault="00BF553C" w:rsidP="00BF553C">
      <w:pPr>
        <w:jc w:val="both"/>
        <w:rPr>
          <w:sz w:val="20"/>
          <w:lang w:val="fr-CA"/>
        </w:rPr>
      </w:pPr>
    </w:p>
    <w:p w:rsidR="00D15B3E" w:rsidRPr="0025709B" w:rsidRDefault="00D15B3E" w:rsidP="0025709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709B" w:rsidRPr="0025709B" w:rsidTr="00E95A6A">
        <w:tc>
          <w:tcPr>
            <w:tcW w:w="543" w:type="pct"/>
          </w:tcPr>
          <w:p w:rsidR="0025709B" w:rsidRPr="0025709B" w:rsidRDefault="0025709B" w:rsidP="0025709B">
            <w:pPr>
              <w:jc w:val="both"/>
              <w:rPr>
                <w:sz w:val="20"/>
                <w:lang w:val="en-CA"/>
              </w:rPr>
            </w:pPr>
            <w:r w:rsidRPr="0025709B">
              <w:rPr>
                <w:rStyle w:val="SCCFileNumberChar"/>
                <w:sz w:val="20"/>
                <w:szCs w:val="20"/>
              </w:rPr>
              <w:lastRenderedPageBreak/>
              <w:t>36951</w:t>
            </w:r>
          </w:p>
        </w:tc>
        <w:tc>
          <w:tcPr>
            <w:tcW w:w="4457" w:type="pct"/>
            <w:gridSpan w:val="3"/>
          </w:tcPr>
          <w:p w:rsidR="0025709B" w:rsidRPr="0025709B" w:rsidRDefault="0025709B" w:rsidP="0025709B">
            <w:pPr>
              <w:pStyle w:val="SCCLsocParty"/>
              <w:jc w:val="both"/>
              <w:rPr>
                <w:b/>
                <w:sz w:val="20"/>
                <w:szCs w:val="20"/>
                <w:lang w:val="en-CA"/>
              </w:rPr>
            </w:pPr>
            <w:r w:rsidRPr="0025709B">
              <w:rPr>
                <w:b/>
                <w:sz w:val="20"/>
                <w:szCs w:val="20"/>
                <w:lang w:val="en-CA"/>
              </w:rPr>
              <w:t>Pierre Mailloux v. Jean-Claude Fortin, in his capacity as assistant syndic of the Collège des médecins du Québec</w:t>
            </w:r>
          </w:p>
          <w:p w:rsidR="0025709B" w:rsidRPr="0025709B" w:rsidRDefault="0025709B" w:rsidP="0025709B">
            <w:pPr>
              <w:jc w:val="both"/>
              <w:rPr>
                <w:sz w:val="20"/>
                <w:lang w:val="en-CA"/>
              </w:rPr>
            </w:pPr>
            <w:r w:rsidRPr="0025709B">
              <w:rPr>
                <w:sz w:val="20"/>
                <w:lang w:val="en-CA"/>
              </w:rPr>
              <w:t>(Que.) (Civil) (By Leave)</w:t>
            </w:r>
          </w:p>
        </w:tc>
      </w:tr>
      <w:tr w:rsidR="0025709B" w:rsidRPr="0025709B" w:rsidTr="00E95A6A">
        <w:tc>
          <w:tcPr>
            <w:tcW w:w="5000" w:type="pct"/>
            <w:gridSpan w:val="4"/>
          </w:tcPr>
          <w:p w:rsidR="0025709B" w:rsidRPr="0025709B" w:rsidRDefault="0025709B" w:rsidP="0025709B">
            <w:pPr>
              <w:jc w:val="both"/>
              <w:rPr>
                <w:sz w:val="20"/>
                <w:lang w:val="en-CA"/>
              </w:rPr>
            </w:pPr>
            <w:r w:rsidRPr="0025709B">
              <w:rPr>
                <w:sz w:val="20"/>
                <w:lang w:val="en-CA"/>
              </w:rPr>
              <w:t>Law of professions – Discipline – Whether, in disciplinary law, courts are appropriate forum for generating and developing medical standards and managing scientific progress through arguments in support of decision or penalty imposed on professional.</w:t>
            </w:r>
          </w:p>
        </w:tc>
      </w:tr>
      <w:tr w:rsidR="0025709B" w:rsidRPr="0025709B" w:rsidTr="00E95A6A">
        <w:tc>
          <w:tcPr>
            <w:tcW w:w="5000" w:type="pct"/>
            <w:gridSpan w:val="4"/>
          </w:tcPr>
          <w:p w:rsidR="0025709B" w:rsidRPr="0025709B" w:rsidRDefault="0025709B" w:rsidP="0025709B">
            <w:pPr>
              <w:jc w:val="both"/>
              <w:rPr>
                <w:sz w:val="20"/>
                <w:lang w:val="en-CA"/>
              </w:rPr>
            </w:pPr>
          </w:p>
        </w:tc>
      </w:tr>
      <w:tr w:rsidR="0025709B" w:rsidRPr="0025709B" w:rsidTr="00E95A6A">
        <w:tc>
          <w:tcPr>
            <w:tcW w:w="5000" w:type="pct"/>
            <w:gridSpan w:val="4"/>
          </w:tcPr>
          <w:p w:rsidR="0025709B" w:rsidRPr="0025709B" w:rsidRDefault="0025709B" w:rsidP="0025709B">
            <w:pPr>
              <w:jc w:val="both"/>
              <w:rPr>
                <w:sz w:val="20"/>
                <w:lang w:val="en-CA"/>
              </w:rPr>
            </w:pPr>
            <w:r w:rsidRPr="0025709B">
              <w:rPr>
                <w:sz w:val="20"/>
                <w:lang w:val="en-CA"/>
              </w:rPr>
              <w:t xml:space="preserve">The disciplinary council of the Collège des médecins du Québec convicted the applicant of various offences in connection with four complaints laid against him by the syndic of his professional order between 1999 and 2008. The complaint in issue alleged, </w:t>
            </w:r>
            <w:r w:rsidRPr="0025709B">
              <w:rPr>
                <w:i/>
                <w:sz w:val="20"/>
                <w:lang w:val="en-CA"/>
              </w:rPr>
              <w:t>inter alia</w:t>
            </w:r>
            <w:r w:rsidRPr="0025709B">
              <w:rPr>
                <w:sz w:val="20"/>
                <w:lang w:val="en-CA"/>
              </w:rPr>
              <w:t>, that the applicant had made unsuitable diagnoses of psychotic disorders, childhood schizophrenia and childhood psychosis in children and had prescribed neuroleptic drugs for them in high doses or in combination (counts 1 to 10), had acted similarly with adult patients (counts 11, 12 and 14) and had claimed professional fees for services whose cost had to be paid by a third party (counts 13 and 14). The disciplinary council imposed on him a temporary striking off the roll for one year on several counts, to be served concurrently, a total of $6,000 in fines, a permanent restriction on the right to practise child and adolescent psychiatry and a permanent restriction on the right to prescribe neuroleptic drugs to adults in high doses and in combination. The</w:t>
            </w:r>
            <w:bookmarkStart w:id="1" w:name="_Ref438215156"/>
            <w:bookmarkEnd w:id="1"/>
            <w:r w:rsidRPr="0025709B">
              <w:rPr>
                <w:sz w:val="20"/>
                <w:lang w:val="en-CA"/>
              </w:rPr>
              <w:t xml:space="preserve"> Professions Tribunal dismissed the appeal brought by the applicant, who applied for judicial review.</w:t>
            </w:r>
          </w:p>
          <w:p w:rsidR="0025709B" w:rsidRPr="0025709B" w:rsidRDefault="0025709B" w:rsidP="0025709B">
            <w:pPr>
              <w:jc w:val="both"/>
              <w:rPr>
                <w:sz w:val="20"/>
                <w:lang w:val="en-CA"/>
              </w:rPr>
            </w:pPr>
          </w:p>
        </w:tc>
      </w:tr>
      <w:tr w:rsidR="0025709B" w:rsidRPr="0025709B" w:rsidTr="00E95A6A">
        <w:tc>
          <w:tcPr>
            <w:tcW w:w="2427" w:type="pct"/>
            <w:gridSpan w:val="2"/>
          </w:tcPr>
          <w:p w:rsidR="0025709B" w:rsidRPr="0025709B" w:rsidRDefault="0025709B" w:rsidP="0025709B">
            <w:pPr>
              <w:jc w:val="both"/>
              <w:rPr>
                <w:sz w:val="20"/>
                <w:lang w:val="en-CA"/>
              </w:rPr>
            </w:pPr>
            <w:r w:rsidRPr="0025709B">
              <w:rPr>
                <w:sz w:val="20"/>
                <w:lang w:val="en-CA"/>
              </w:rPr>
              <w:t>April 15, 2014</w:t>
            </w:r>
          </w:p>
          <w:p w:rsidR="0025709B" w:rsidRPr="0025709B" w:rsidRDefault="0025709B" w:rsidP="0025709B">
            <w:pPr>
              <w:jc w:val="both"/>
              <w:rPr>
                <w:sz w:val="20"/>
                <w:lang w:val="en-CA"/>
              </w:rPr>
            </w:pPr>
            <w:r w:rsidRPr="0025709B">
              <w:rPr>
                <w:sz w:val="20"/>
                <w:lang w:val="en-CA"/>
              </w:rPr>
              <w:t>Quebec Superior Court</w:t>
            </w:r>
          </w:p>
          <w:p w:rsidR="0025709B" w:rsidRPr="0025709B" w:rsidRDefault="0025709B" w:rsidP="0025709B">
            <w:pPr>
              <w:jc w:val="both"/>
              <w:rPr>
                <w:sz w:val="20"/>
                <w:lang w:val="en-CA"/>
              </w:rPr>
            </w:pPr>
            <w:r w:rsidRPr="0025709B">
              <w:rPr>
                <w:sz w:val="20"/>
                <w:lang w:val="en-CA"/>
              </w:rPr>
              <w:t>(Bolduc J.)</w:t>
            </w:r>
          </w:p>
          <w:p w:rsidR="0025709B" w:rsidRPr="0025709B" w:rsidRDefault="0025709B" w:rsidP="0025709B">
            <w:pPr>
              <w:jc w:val="both"/>
              <w:rPr>
                <w:sz w:val="20"/>
                <w:lang w:val="en-CA"/>
              </w:rPr>
            </w:pPr>
            <w:r w:rsidRPr="0025709B">
              <w:rPr>
                <w:sz w:val="20"/>
                <w:lang w:val="en-CA"/>
              </w:rPr>
              <w:t>No. 400-17-003129-133</w:t>
            </w:r>
          </w:p>
          <w:p w:rsidR="0025709B" w:rsidRPr="0025709B" w:rsidRDefault="0025709B" w:rsidP="0025709B">
            <w:pPr>
              <w:jc w:val="both"/>
              <w:rPr>
                <w:sz w:val="20"/>
                <w:lang w:val="en-CA"/>
              </w:rPr>
            </w:pPr>
            <w:hyperlink r:id="rId56" w:history="1">
              <w:r w:rsidRPr="0025709B">
                <w:rPr>
                  <w:rStyle w:val="Hyperlink"/>
                  <w:sz w:val="20"/>
                  <w:lang w:val="en-CA"/>
                </w:rPr>
                <w:t>2014 QCCS 1594</w:t>
              </w:r>
            </w:hyperlink>
          </w:p>
          <w:p w:rsidR="0025709B" w:rsidRPr="0025709B" w:rsidRDefault="0025709B" w:rsidP="0025709B">
            <w:pPr>
              <w:jc w:val="both"/>
              <w:rPr>
                <w:sz w:val="20"/>
                <w:lang w:val="en-CA"/>
              </w:rPr>
            </w:pPr>
          </w:p>
        </w:tc>
        <w:tc>
          <w:tcPr>
            <w:tcW w:w="243" w:type="pct"/>
          </w:tcPr>
          <w:p w:rsidR="0025709B" w:rsidRPr="0025709B" w:rsidRDefault="0025709B" w:rsidP="0025709B">
            <w:pPr>
              <w:jc w:val="both"/>
              <w:rPr>
                <w:sz w:val="20"/>
                <w:lang w:val="en-CA"/>
              </w:rPr>
            </w:pPr>
          </w:p>
        </w:tc>
        <w:tc>
          <w:tcPr>
            <w:tcW w:w="2330" w:type="pct"/>
          </w:tcPr>
          <w:p w:rsidR="0025709B" w:rsidRPr="0025709B" w:rsidRDefault="0025709B" w:rsidP="0025709B">
            <w:pPr>
              <w:jc w:val="both"/>
              <w:rPr>
                <w:sz w:val="20"/>
                <w:lang w:val="en-CA"/>
              </w:rPr>
            </w:pPr>
            <w:r w:rsidRPr="0025709B">
              <w:rPr>
                <w:sz w:val="20"/>
                <w:lang w:val="en-CA"/>
              </w:rPr>
              <w:t>Motion for judicial review dismissed</w:t>
            </w:r>
          </w:p>
        </w:tc>
      </w:tr>
      <w:tr w:rsidR="0025709B" w:rsidRPr="0025709B" w:rsidTr="00E95A6A">
        <w:tc>
          <w:tcPr>
            <w:tcW w:w="2427" w:type="pct"/>
            <w:gridSpan w:val="2"/>
          </w:tcPr>
          <w:p w:rsidR="0025709B" w:rsidRPr="0025709B" w:rsidRDefault="0025709B" w:rsidP="0025709B">
            <w:pPr>
              <w:jc w:val="both"/>
              <w:rPr>
                <w:sz w:val="20"/>
                <w:lang w:val="en-CA"/>
              </w:rPr>
            </w:pPr>
            <w:r w:rsidRPr="0025709B">
              <w:rPr>
                <w:sz w:val="20"/>
                <w:lang w:val="en-CA"/>
              </w:rPr>
              <w:t>January 22, 2016</w:t>
            </w:r>
          </w:p>
          <w:p w:rsidR="0025709B" w:rsidRPr="0025709B" w:rsidRDefault="0025709B" w:rsidP="0025709B">
            <w:pPr>
              <w:jc w:val="both"/>
              <w:rPr>
                <w:sz w:val="20"/>
                <w:lang w:val="en-CA"/>
              </w:rPr>
            </w:pPr>
            <w:r w:rsidRPr="0025709B">
              <w:rPr>
                <w:sz w:val="20"/>
                <w:lang w:val="en-CA"/>
              </w:rPr>
              <w:t>Quebec Court of Appeal (Québec)</w:t>
            </w:r>
          </w:p>
          <w:p w:rsidR="0025709B" w:rsidRPr="0025709B" w:rsidRDefault="0025709B" w:rsidP="0025709B">
            <w:pPr>
              <w:jc w:val="both"/>
              <w:rPr>
                <w:sz w:val="20"/>
                <w:lang w:val="en-CA"/>
              </w:rPr>
            </w:pPr>
            <w:r w:rsidRPr="0025709B">
              <w:rPr>
                <w:sz w:val="20"/>
                <w:lang w:val="en-CA"/>
              </w:rPr>
              <w:t>(Giroux, Bélanger and Gagnon JJ.A.)</w:t>
            </w:r>
          </w:p>
          <w:p w:rsidR="0025709B" w:rsidRPr="0025709B" w:rsidRDefault="0025709B" w:rsidP="0025709B">
            <w:pPr>
              <w:jc w:val="both"/>
              <w:rPr>
                <w:sz w:val="20"/>
                <w:lang w:val="en-CA"/>
              </w:rPr>
            </w:pPr>
            <w:r w:rsidRPr="0025709B">
              <w:rPr>
                <w:sz w:val="20"/>
                <w:lang w:val="en-CA"/>
              </w:rPr>
              <w:t xml:space="preserve">No. </w:t>
            </w:r>
            <w:bookmarkStart w:id="2" w:name="NoDossier"/>
            <w:r w:rsidRPr="0025709B">
              <w:rPr>
                <w:sz w:val="20"/>
                <w:lang w:val="en-CA"/>
              </w:rPr>
              <w:t>200-09-008341-148</w:t>
            </w:r>
            <w:bookmarkEnd w:id="2"/>
          </w:p>
          <w:p w:rsidR="0025709B" w:rsidRPr="0025709B" w:rsidRDefault="0025709B" w:rsidP="0025709B">
            <w:pPr>
              <w:jc w:val="both"/>
              <w:rPr>
                <w:sz w:val="20"/>
                <w:lang w:val="en-CA"/>
              </w:rPr>
            </w:pPr>
            <w:hyperlink r:id="rId57" w:history="1">
              <w:r w:rsidRPr="0025709B">
                <w:rPr>
                  <w:rStyle w:val="Hyperlink"/>
                  <w:sz w:val="20"/>
                  <w:lang w:val="en-CA"/>
                </w:rPr>
                <w:t>2016 QCCA 62</w:t>
              </w:r>
            </w:hyperlink>
          </w:p>
          <w:p w:rsidR="0025709B" w:rsidRPr="0025709B" w:rsidRDefault="0025709B" w:rsidP="0025709B">
            <w:pPr>
              <w:jc w:val="both"/>
              <w:rPr>
                <w:sz w:val="20"/>
                <w:lang w:val="en-CA"/>
              </w:rPr>
            </w:pPr>
          </w:p>
        </w:tc>
        <w:tc>
          <w:tcPr>
            <w:tcW w:w="243" w:type="pct"/>
          </w:tcPr>
          <w:p w:rsidR="0025709B" w:rsidRPr="0025709B" w:rsidRDefault="0025709B" w:rsidP="0025709B">
            <w:pPr>
              <w:jc w:val="both"/>
              <w:rPr>
                <w:sz w:val="20"/>
                <w:lang w:val="en-CA"/>
              </w:rPr>
            </w:pPr>
          </w:p>
        </w:tc>
        <w:tc>
          <w:tcPr>
            <w:tcW w:w="2330" w:type="pct"/>
          </w:tcPr>
          <w:p w:rsidR="0025709B" w:rsidRPr="0025709B" w:rsidRDefault="0025709B" w:rsidP="0025709B">
            <w:pPr>
              <w:jc w:val="both"/>
              <w:rPr>
                <w:sz w:val="20"/>
                <w:lang w:val="en-CA"/>
              </w:rPr>
            </w:pPr>
            <w:r w:rsidRPr="0025709B">
              <w:rPr>
                <w:sz w:val="20"/>
                <w:lang w:val="en-CA"/>
              </w:rPr>
              <w:t>Appeal allowed in part, but only as regards penalty</w:t>
            </w:r>
          </w:p>
          <w:p w:rsidR="0025709B" w:rsidRPr="0025709B" w:rsidRDefault="0025709B" w:rsidP="0025709B">
            <w:pPr>
              <w:jc w:val="both"/>
              <w:rPr>
                <w:sz w:val="20"/>
                <w:lang w:val="en-CA"/>
              </w:rPr>
            </w:pPr>
          </w:p>
        </w:tc>
      </w:tr>
      <w:tr w:rsidR="0025709B" w:rsidRPr="0025709B" w:rsidTr="00E95A6A">
        <w:tc>
          <w:tcPr>
            <w:tcW w:w="2427" w:type="pct"/>
            <w:gridSpan w:val="2"/>
          </w:tcPr>
          <w:p w:rsidR="0025709B" w:rsidRPr="0025709B" w:rsidRDefault="0025709B" w:rsidP="0025709B">
            <w:pPr>
              <w:jc w:val="both"/>
              <w:rPr>
                <w:sz w:val="20"/>
                <w:lang w:val="en-CA"/>
              </w:rPr>
            </w:pPr>
            <w:r w:rsidRPr="0025709B">
              <w:rPr>
                <w:sz w:val="20"/>
                <w:lang w:val="en-CA"/>
              </w:rPr>
              <w:t>March 22, 2016</w:t>
            </w:r>
          </w:p>
          <w:p w:rsidR="0025709B" w:rsidRPr="0025709B" w:rsidRDefault="0025709B" w:rsidP="0025709B">
            <w:pPr>
              <w:jc w:val="both"/>
              <w:rPr>
                <w:sz w:val="20"/>
                <w:lang w:val="en-CA"/>
              </w:rPr>
            </w:pPr>
            <w:r w:rsidRPr="0025709B">
              <w:rPr>
                <w:sz w:val="20"/>
                <w:lang w:val="en-CA"/>
              </w:rPr>
              <w:t>Supreme Court of Canada</w:t>
            </w:r>
          </w:p>
        </w:tc>
        <w:tc>
          <w:tcPr>
            <w:tcW w:w="243" w:type="pct"/>
          </w:tcPr>
          <w:p w:rsidR="0025709B" w:rsidRPr="0025709B" w:rsidRDefault="0025709B" w:rsidP="0025709B">
            <w:pPr>
              <w:jc w:val="both"/>
              <w:rPr>
                <w:sz w:val="20"/>
                <w:lang w:val="en-CA"/>
              </w:rPr>
            </w:pPr>
          </w:p>
        </w:tc>
        <w:tc>
          <w:tcPr>
            <w:tcW w:w="2330" w:type="pct"/>
          </w:tcPr>
          <w:p w:rsidR="0025709B" w:rsidRPr="0025709B" w:rsidRDefault="0025709B" w:rsidP="0025709B">
            <w:pPr>
              <w:jc w:val="both"/>
              <w:rPr>
                <w:sz w:val="20"/>
                <w:lang w:val="en-CA"/>
              </w:rPr>
            </w:pPr>
            <w:r w:rsidRPr="0025709B">
              <w:rPr>
                <w:sz w:val="20"/>
                <w:lang w:val="en-CA"/>
              </w:rPr>
              <w:t>Application for leave to appeal filed</w:t>
            </w:r>
          </w:p>
          <w:p w:rsidR="0025709B" w:rsidRPr="0025709B" w:rsidRDefault="0025709B" w:rsidP="0025709B">
            <w:pPr>
              <w:jc w:val="both"/>
              <w:rPr>
                <w:sz w:val="20"/>
                <w:lang w:val="en-CA"/>
              </w:rPr>
            </w:pPr>
          </w:p>
        </w:tc>
      </w:tr>
    </w:tbl>
    <w:p w:rsidR="0025709B" w:rsidRPr="0025709B" w:rsidRDefault="0025709B" w:rsidP="0025709B">
      <w:pPr>
        <w:jc w:val="both"/>
        <w:rPr>
          <w:sz w:val="20"/>
          <w:lang w:val="en-CA"/>
        </w:rPr>
      </w:pPr>
    </w:p>
    <w:p w:rsidR="0025709B" w:rsidRPr="0025709B" w:rsidRDefault="0025709B" w:rsidP="0025709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5709B" w:rsidRPr="0025709B" w:rsidTr="00E95A6A">
        <w:tc>
          <w:tcPr>
            <w:tcW w:w="543" w:type="pct"/>
          </w:tcPr>
          <w:p w:rsidR="0025709B" w:rsidRPr="0025709B" w:rsidRDefault="0025709B" w:rsidP="0025709B">
            <w:pPr>
              <w:jc w:val="both"/>
              <w:rPr>
                <w:sz w:val="20"/>
              </w:rPr>
            </w:pPr>
            <w:r w:rsidRPr="0025709B">
              <w:rPr>
                <w:rStyle w:val="SCCFileNumberChar"/>
                <w:sz w:val="20"/>
                <w:szCs w:val="20"/>
              </w:rPr>
              <w:t>36951</w:t>
            </w:r>
          </w:p>
        </w:tc>
        <w:tc>
          <w:tcPr>
            <w:tcW w:w="4457" w:type="pct"/>
            <w:gridSpan w:val="3"/>
          </w:tcPr>
          <w:p w:rsidR="0025709B" w:rsidRPr="0025709B" w:rsidRDefault="0025709B" w:rsidP="0025709B">
            <w:pPr>
              <w:pStyle w:val="SCCLsocParty"/>
              <w:jc w:val="both"/>
              <w:rPr>
                <w:b/>
                <w:sz w:val="20"/>
                <w:szCs w:val="20"/>
              </w:rPr>
            </w:pPr>
            <w:r w:rsidRPr="0025709B">
              <w:rPr>
                <w:b/>
                <w:sz w:val="20"/>
                <w:szCs w:val="20"/>
              </w:rPr>
              <w:t>Pierre Mailloux c. Jean-Claude Fortin, ès qualités de syndic adjoint du Collège des médecins du Québec</w:t>
            </w:r>
          </w:p>
          <w:p w:rsidR="0025709B" w:rsidRPr="0025709B" w:rsidRDefault="0025709B" w:rsidP="0025709B">
            <w:pPr>
              <w:jc w:val="both"/>
              <w:rPr>
                <w:sz w:val="20"/>
              </w:rPr>
            </w:pPr>
            <w:r w:rsidRPr="0025709B">
              <w:rPr>
                <w:sz w:val="20"/>
              </w:rPr>
              <w:t>(Qc) (Civile) (Autorisation)</w:t>
            </w:r>
          </w:p>
        </w:tc>
      </w:tr>
      <w:tr w:rsidR="0025709B" w:rsidRPr="0025709B" w:rsidTr="00E95A6A">
        <w:tc>
          <w:tcPr>
            <w:tcW w:w="5000" w:type="pct"/>
            <w:gridSpan w:val="4"/>
          </w:tcPr>
          <w:p w:rsidR="0025709B" w:rsidRPr="0025709B" w:rsidRDefault="0025709B" w:rsidP="0025709B">
            <w:pPr>
              <w:jc w:val="both"/>
              <w:rPr>
                <w:sz w:val="20"/>
              </w:rPr>
            </w:pPr>
            <w:r w:rsidRPr="0025709B">
              <w:rPr>
                <w:sz w:val="20"/>
                <w:lang w:val="fr-FR"/>
              </w:rPr>
              <w:t xml:space="preserve">Droit des professions – Discipline – Est-ce qu’en droit disciplinaire, les tribunaux sont le forum approprié pour générer et élaborer des normes médicales et gérer l’avancée scientifique par les arguments au soutien d’une décision ou d’une sanction imposée </w:t>
            </w:r>
            <w:r w:rsidRPr="0025709B">
              <w:rPr>
                <w:sz w:val="20"/>
              </w:rPr>
              <w:t>à</w:t>
            </w:r>
            <w:r w:rsidRPr="0025709B">
              <w:rPr>
                <w:sz w:val="20"/>
                <w:lang w:val="fr-FR"/>
              </w:rPr>
              <w:t xml:space="preserve"> un professionnel?</w:t>
            </w:r>
          </w:p>
        </w:tc>
      </w:tr>
      <w:tr w:rsidR="0025709B" w:rsidRPr="0025709B" w:rsidTr="00E95A6A">
        <w:tc>
          <w:tcPr>
            <w:tcW w:w="5000" w:type="pct"/>
            <w:gridSpan w:val="4"/>
          </w:tcPr>
          <w:p w:rsidR="0025709B" w:rsidRPr="0025709B" w:rsidRDefault="0025709B" w:rsidP="0025709B">
            <w:pPr>
              <w:jc w:val="both"/>
              <w:rPr>
                <w:sz w:val="20"/>
              </w:rPr>
            </w:pPr>
          </w:p>
        </w:tc>
      </w:tr>
      <w:tr w:rsidR="0025709B" w:rsidRPr="0025709B" w:rsidTr="00E95A6A">
        <w:tc>
          <w:tcPr>
            <w:tcW w:w="5000" w:type="pct"/>
            <w:gridSpan w:val="4"/>
          </w:tcPr>
          <w:p w:rsidR="0025709B" w:rsidRPr="0025709B" w:rsidRDefault="0025709B" w:rsidP="0025709B">
            <w:pPr>
              <w:jc w:val="both"/>
              <w:rPr>
                <w:sz w:val="20"/>
              </w:rPr>
            </w:pPr>
            <w:r w:rsidRPr="0025709B">
              <w:rPr>
                <w:sz w:val="20"/>
              </w:rPr>
              <w:t xml:space="preserve">Le Conseil de discipline du Collège des médecins du Québec a déclaré le demandeur coupable de diverses infractions en lien avec quatre plaintes qui ont été portées contre le demandeur par le syndic de son ordre professionnel entre 1999 et 2008. Dans le cadre de la plainte en cause, on reprochait notamment au demandeur d’avoir posé des diagnostics intempestifs de troubles psychotiques, schizophrénie infantile et psychose infantile chez des enfants et de leur avoir prescrit des neuroleptiques à fortes doses ou de façon concomitante (chefs 1 à 10), d’avoir posé des gestes similaires à l’égard de patients adultes (chefs 11, 12 et 14) et d’avoir réclamé des honoraires professionnels pour des services dont le coût devait être payé par un tiers (chefs 13 et 14). Le Conseil de discipline lui a imposé une radiation temporaire pour une période d’un an sur plusieurs chefs à être purgée de façon concurrente, des amendes totalisant 6 000 $, une limitation permanente du droit d’exercer la psychiatrie auprès des enfants et des adolescents, </w:t>
            </w:r>
            <w:r w:rsidRPr="0025709B">
              <w:rPr>
                <w:sz w:val="20"/>
              </w:rPr>
              <w:lastRenderedPageBreak/>
              <w:t>ainsi qu’une limitation permanente du droit de prescrire à des adultes des neuroleptiques à fortes doses et en combinaison. Le Tribunal des professions a rejeté l’appel du demandeur, lequel s’est pourvu en révision judiciaire.</w:t>
            </w:r>
          </w:p>
          <w:p w:rsidR="0025709B" w:rsidRPr="0025709B" w:rsidRDefault="0025709B" w:rsidP="0025709B">
            <w:pPr>
              <w:jc w:val="both"/>
              <w:rPr>
                <w:sz w:val="20"/>
              </w:rPr>
            </w:pPr>
          </w:p>
        </w:tc>
      </w:tr>
      <w:tr w:rsidR="0025709B" w:rsidRPr="0025709B" w:rsidTr="00E95A6A">
        <w:tc>
          <w:tcPr>
            <w:tcW w:w="2427" w:type="pct"/>
            <w:gridSpan w:val="2"/>
          </w:tcPr>
          <w:p w:rsidR="0025709B" w:rsidRPr="0025709B" w:rsidRDefault="0025709B" w:rsidP="0025709B">
            <w:pPr>
              <w:jc w:val="both"/>
              <w:rPr>
                <w:sz w:val="20"/>
              </w:rPr>
            </w:pPr>
            <w:r w:rsidRPr="0025709B">
              <w:rPr>
                <w:sz w:val="20"/>
              </w:rPr>
              <w:lastRenderedPageBreak/>
              <w:t>Le 15 avril 2014</w:t>
            </w:r>
          </w:p>
          <w:p w:rsidR="0025709B" w:rsidRPr="0025709B" w:rsidRDefault="0025709B" w:rsidP="0025709B">
            <w:pPr>
              <w:jc w:val="both"/>
              <w:rPr>
                <w:sz w:val="20"/>
              </w:rPr>
            </w:pPr>
            <w:r w:rsidRPr="0025709B">
              <w:rPr>
                <w:sz w:val="20"/>
              </w:rPr>
              <w:t>Cour supérieure du Québec</w:t>
            </w:r>
          </w:p>
          <w:p w:rsidR="0025709B" w:rsidRPr="0025709B" w:rsidRDefault="0025709B" w:rsidP="0025709B">
            <w:pPr>
              <w:jc w:val="both"/>
              <w:rPr>
                <w:sz w:val="20"/>
              </w:rPr>
            </w:pPr>
            <w:r w:rsidRPr="0025709B">
              <w:rPr>
                <w:sz w:val="20"/>
              </w:rPr>
              <w:t>(Le juge Bolduc)</w:t>
            </w:r>
          </w:p>
          <w:p w:rsidR="0025709B" w:rsidRPr="0025709B" w:rsidRDefault="0025709B" w:rsidP="0025709B">
            <w:pPr>
              <w:jc w:val="both"/>
              <w:rPr>
                <w:sz w:val="20"/>
              </w:rPr>
            </w:pPr>
            <w:r w:rsidRPr="0025709B">
              <w:rPr>
                <w:sz w:val="20"/>
              </w:rPr>
              <w:t>No. 400-17-003129-133</w:t>
            </w:r>
          </w:p>
          <w:p w:rsidR="0025709B" w:rsidRPr="0025709B" w:rsidRDefault="0025709B" w:rsidP="0025709B">
            <w:pPr>
              <w:jc w:val="both"/>
              <w:rPr>
                <w:sz w:val="20"/>
              </w:rPr>
            </w:pPr>
            <w:hyperlink r:id="rId58" w:history="1">
              <w:r w:rsidRPr="0025709B">
                <w:rPr>
                  <w:rStyle w:val="Hyperlink"/>
                  <w:sz w:val="20"/>
                </w:rPr>
                <w:t>2014 QCCS 1594</w:t>
              </w:r>
            </w:hyperlink>
          </w:p>
          <w:p w:rsidR="0025709B" w:rsidRPr="0025709B" w:rsidRDefault="0025709B" w:rsidP="0025709B">
            <w:pPr>
              <w:jc w:val="both"/>
              <w:rPr>
                <w:sz w:val="20"/>
              </w:rPr>
            </w:pPr>
          </w:p>
        </w:tc>
        <w:tc>
          <w:tcPr>
            <w:tcW w:w="243" w:type="pct"/>
          </w:tcPr>
          <w:p w:rsidR="0025709B" w:rsidRPr="0025709B" w:rsidRDefault="0025709B" w:rsidP="0025709B">
            <w:pPr>
              <w:jc w:val="both"/>
              <w:rPr>
                <w:sz w:val="20"/>
              </w:rPr>
            </w:pPr>
          </w:p>
        </w:tc>
        <w:tc>
          <w:tcPr>
            <w:tcW w:w="2330" w:type="pct"/>
          </w:tcPr>
          <w:p w:rsidR="0025709B" w:rsidRPr="0025709B" w:rsidRDefault="0025709B" w:rsidP="0025709B">
            <w:pPr>
              <w:jc w:val="both"/>
              <w:rPr>
                <w:sz w:val="20"/>
              </w:rPr>
            </w:pPr>
            <w:r w:rsidRPr="0025709B">
              <w:rPr>
                <w:sz w:val="20"/>
              </w:rPr>
              <w:t>Requête en révision judiciaire rejetée.</w:t>
            </w:r>
          </w:p>
        </w:tc>
      </w:tr>
      <w:tr w:rsidR="0025709B" w:rsidRPr="0025709B" w:rsidTr="00E95A6A">
        <w:tc>
          <w:tcPr>
            <w:tcW w:w="2427" w:type="pct"/>
            <w:gridSpan w:val="2"/>
          </w:tcPr>
          <w:p w:rsidR="0025709B" w:rsidRPr="0025709B" w:rsidRDefault="0025709B" w:rsidP="0025709B">
            <w:pPr>
              <w:jc w:val="both"/>
              <w:rPr>
                <w:sz w:val="20"/>
              </w:rPr>
            </w:pPr>
            <w:r w:rsidRPr="0025709B">
              <w:rPr>
                <w:sz w:val="20"/>
              </w:rPr>
              <w:t>Le 22 janvier 2016</w:t>
            </w:r>
          </w:p>
          <w:p w:rsidR="0025709B" w:rsidRPr="0025709B" w:rsidRDefault="0025709B" w:rsidP="0025709B">
            <w:pPr>
              <w:jc w:val="both"/>
              <w:rPr>
                <w:sz w:val="20"/>
              </w:rPr>
            </w:pPr>
            <w:r w:rsidRPr="0025709B">
              <w:rPr>
                <w:sz w:val="20"/>
              </w:rPr>
              <w:t>Cour d’appel du Québec (Québec)</w:t>
            </w:r>
          </w:p>
          <w:p w:rsidR="0025709B" w:rsidRPr="0025709B" w:rsidRDefault="0025709B" w:rsidP="0025709B">
            <w:pPr>
              <w:jc w:val="both"/>
              <w:rPr>
                <w:sz w:val="20"/>
              </w:rPr>
            </w:pPr>
            <w:r w:rsidRPr="0025709B">
              <w:rPr>
                <w:sz w:val="20"/>
              </w:rPr>
              <w:t>(Les juges Giroux, Bélanger et Gagnon)</w:t>
            </w:r>
          </w:p>
          <w:p w:rsidR="0025709B" w:rsidRPr="0025709B" w:rsidRDefault="0025709B" w:rsidP="0025709B">
            <w:pPr>
              <w:jc w:val="both"/>
              <w:rPr>
                <w:sz w:val="20"/>
              </w:rPr>
            </w:pPr>
            <w:r w:rsidRPr="0025709B">
              <w:rPr>
                <w:sz w:val="20"/>
              </w:rPr>
              <w:t>No. 200-09-008341-148</w:t>
            </w:r>
          </w:p>
          <w:p w:rsidR="0025709B" w:rsidRPr="0025709B" w:rsidRDefault="0025709B" w:rsidP="0025709B">
            <w:pPr>
              <w:jc w:val="both"/>
              <w:rPr>
                <w:sz w:val="20"/>
              </w:rPr>
            </w:pPr>
            <w:hyperlink r:id="rId59" w:history="1">
              <w:r w:rsidRPr="0025709B">
                <w:rPr>
                  <w:rStyle w:val="Hyperlink"/>
                  <w:sz w:val="20"/>
                </w:rPr>
                <w:t>2016 QCCA 62</w:t>
              </w:r>
            </w:hyperlink>
          </w:p>
          <w:p w:rsidR="0025709B" w:rsidRPr="0025709B" w:rsidRDefault="0025709B" w:rsidP="0025709B">
            <w:pPr>
              <w:jc w:val="both"/>
              <w:rPr>
                <w:sz w:val="20"/>
                <w:lang w:val="fr-FR"/>
              </w:rPr>
            </w:pPr>
          </w:p>
        </w:tc>
        <w:tc>
          <w:tcPr>
            <w:tcW w:w="243" w:type="pct"/>
          </w:tcPr>
          <w:p w:rsidR="0025709B" w:rsidRPr="0025709B" w:rsidRDefault="0025709B" w:rsidP="0025709B">
            <w:pPr>
              <w:jc w:val="both"/>
              <w:rPr>
                <w:sz w:val="20"/>
                <w:lang w:val="fr-FR"/>
              </w:rPr>
            </w:pPr>
          </w:p>
        </w:tc>
        <w:tc>
          <w:tcPr>
            <w:tcW w:w="2330" w:type="pct"/>
          </w:tcPr>
          <w:p w:rsidR="0025709B" w:rsidRPr="0025709B" w:rsidRDefault="0025709B" w:rsidP="0025709B">
            <w:pPr>
              <w:jc w:val="both"/>
              <w:rPr>
                <w:sz w:val="20"/>
              </w:rPr>
            </w:pPr>
            <w:r w:rsidRPr="0025709B">
              <w:rPr>
                <w:sz w:val="20"/>
              </w:rPr>
              <w:t>Appel accueilli en partie, mais seulement quant à la sanction.</w:t>
            </w:r>
          </w:p>
          <w:p w:rsidR="0025709B" w:rsidRPr="0025709B" w:rsidRDefault="0025709B" w:rsidP="0025709B">
            <w:pPr>
              <w:jc w:val="both"/>
              <w:rPr>
                <w:sz w:val="20"/>
              </w:rPr>
            </w:pPr>
          </w:p>
        </w:tc>
      </w:tr>
      <w:tr w:rsidR="0025709B" w:rsidRPr="0025709B" w:rsidTr="00E95A6A">
        <w:tc>
          <w:tcPr>
            <w:tcW w:w="2427" w:type="pct"/>
            <w:gridSpan w:val="2"/>
          </w:tcPr>
          <w:p w:rsidR="0025709B" w:rsidRPr="0025709B" w:rsidRDefault="0025709B" w:rsidP="0025709B">
            <w:pPr>
              <w:jc w:val="both"/>
              <w:rPr>
                <w:sz w:val="20"/>
              </w:rPr>
            </w:pPr>
            <w:r w:rsidRPr="0025709B">
              <w:rPr>
                <w:sz w:val="20"/>
              </w:rPr>
              <w:t>Le 22 mars 2016</w:t>
            </w:r>
          </w:p>
          <w:p w:rsidR="0025709B" w:rsidRPr="0025709B" w:rsidRDefault="0025709B" w:rsidP="0025709B">
            <w:pPr>
              <w:jc w:val="both"/>
              <w:rPr>
                <w:sz w:val="20"/>
              </w:rPr>
            </w:pPr>
            <w:r w:rsidRPr="0025709B">
              <w:rPr>
                <w:sz w:val="20"/>
              </w:rPr>
              <w:t>Cour suprême du Canada</w:t>
            </w:r>
          </w:p>
        </w:tc>
        <w:tc>
          <w:tcPr>
            <w:tcW w:w="243" w:type="pct"/>
          </w:tcPr>
          <w:p w:rsidR="0025709B" w:rsidRPr="0025709B" w:rsidRDefault="0025709B" w:rsidP="0025709B">
            <w:pPr>
              <w:jc w:val="both"/>
              <w:rPr>
                <w:sz w:val="20"/>
                <w:lang w:val="fr-FR"/>
              </w:rPr>
            </w:pPr>
          </w:p>
        </w:tc>
        <w:tc>
          <w:tcPr>
            <w:tcW w:w="2330" w:type="pct"/>
          </w:tcPr>
          <w:p w:rsidR="0025709B" w:rsidRPr="0025709B" w:rsidRDefault="0025709B" w:rsidP="0025709B">
            <w:pPr>
              <w:jc w:val="both"/>
              <w:rPr>
                <w:sz w:val="20"/>
              </w:rPr>
            </w:pPr>
            <w:r w:rsidRPr="0025709B">
              <w:rPr>
                <w:sz w:val="20"/>
              </w:rPr>
              <w:t>Demande d'autorisation d'appel déposée.</w:t>
            </w:r>
          </w:p>
          <w:p w:rsidR="0025709B" w:rsidRPr="0025709B" w:rsidRDefault="0025709B" w:rsidP="0025709B">
            <w:pPr>
              <w:jc w:val="both"/>
              <w:rPr>
                <w:sz w:val="20"/>
              </w:rPr>
            </w:pPr>
          </w:p>
        </w:tc>
      </w:tr>
    </w:tbl>
    <w:p w:rsidR="0025709B" w:rsidRPr="0025709B" w:rsidRDefault="0025709B" w:rsidP="0025709B">
      <w:pPr>
        <w:jc w:val="both"/>
        <w:rPr>
          <w:sz w:val="20"/>
        </w:rPr>
      </w:pPr>
    </w:p>
    <w:p w:rsidR="00D15B3E" w:rsidRPr="002E1D16" w:rsidRDefault="00D15B3E" w:rsidP="002E1D16">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1D16" w:rsidRPr="002E1D16" w:rsidTr="00E95A6A">
        <w:tc>
          <w:tcPr>
            <w:tcW w:w="543" w:type="pct"/>
          </w:tcPr>
          <w:p w:rsidR="002E1D16" w:rsidRPr="002E1D16" w:rsidRDefault="002E1D16" w:rsidP="002E1D16">
            <w:pPr>
              <w:jc w:val="both"/>
              <w:rPr>
                <w:sz w:val="20"/>
                <w:lang w:val="en-CA"/>
              </w:rPr>
            </w:pPr>
            <w:r w:rsidRPr="002E1D16">
              <w:rPr>
                <w:rStyle w:val="SCCFileNumberChar"/>
                <w:sz w:val="20"/>
                <w:szCs w:val="20"/>
              </w:rPr>
              <w:t>36953</w:t>
            </w:r>
          </w:p>
        </w:tc>
        <w:tc>
          <w:tcPr>
            <w:tcW w:w="4457" w:type="pct"/>
            <w:gridSpan w:val="3"/>
          </w:tcPr>
          <w:p w:rsidR="002E1D16" w:rsidRPr="002E1D16" w:rsidRDefault="002E1D16" w:rsidP="002E1D16">
            <w:pPr>
              <w:pStyle w:val="SCCLsocParty"/>
              <w:jc w:val="both"/>
              <w:rPr>
                <w:b/>
                <w:sz w:val="20"/>
                <w:szCs w:val="20"/>
                <w:lang w:val="en-CA"/>
              </w:rPr>
            </w:pPr>
            <w:r w:rsidRPr="002E1D16">
              <w:rPr>
                <w:b/>
                <w:sz w:val="20"/>
                <w:szCs w:val="20"/>
                <w:lang w:val="en-CA"/>
              </w:rPr>
              <w:t>Pierre Mailloux v. Mario Deschênes, in his capacity as assistant syndic of the Collège des médecins du Québec</w:t>
            </w:r>
          </w:p>
          <w:p w:rsidR="002E1D16" w:rsidRPr="002E1D16" w:rsidRDefault="002E1D16" w:rsidP="002E1D16">
            <w:pPr>
              <w:jc w:val="both"/>
              <w:rPr>
                <w:sz w:val="20"/>
                <w:lang w:val="en-CA"/>
              </w:rPr>
            </w:pPr>
            <w:r w:rsidRPr="002E1D16">
              <w:rPr>
                <w:sz w:val="20"/>
                <w:lang w:val="en-CA"/>
              </w:rPr>
              <w:t>(Que.) (Civil) (By Leave)</w:t>
            </w:r>
          </w:p>
        </w:tc>
      </w:tr>
      <w:tr w:rsidR="002E1D16" w:rsidRPr="002E1D16" w:rsidTr="00E95A6A">
        <w:tc>
          <w:tcPr>
            <w:tcW w:w="5000" w:type="pct"/>
            <w:gridSpan w:val="4"/>
          </w:tcPr>
          <w:p w:rsidR="002E1D16" w:rsidRPr="002E1D16" w:rsidRDefault="002E1D16" w:rsidP="002E1D16">
            <w:pPr>
              <w:jc w:val="both"/>
              <w:rPr>
                <w:sz w:val="20"/>
                <w:lang w:val="en-CA"/>
              </w:rPr>
            </w:pPr>
            <w:r w:rsidRPr="002E1D16">
              <w:rPr>
                <w:sz w:val="20"/>
                <w:lang w:val="en-CA"/>
              </w:rPr>
              <w:t>Law of professions – Discipline – Whether, in disciplinary law, courts are appropriate forum for generating and developing medical standards and managing scientific progress through arguments in support of decision or penalty imposed on professional.</w:t>
            </w:r>
          </w:p>
        </w:tc>
      </w:tr>
      <w:tr w:rsidR="002E1D16" w:rsidRPr="002E1D16" w:rsidTr="00E95A6A">
        <w:tc>
          <w:tcPr>
            <w:tcW w:w="5000" w:type="pct"/>
            <w:gridSpan w:val="4"/>
          </w:tcPr>
          <w:p w:rsidR="002E1D16" w:rsidRPr="002E1D16" w:rsidRDefault="002E1D16" w:rsidP="002E1D16">
            <w:pPr>
              <w:jc w:val="both"/>
              <w:rPr>
                <w:sz w:val="20"/>
                <w:lang w:val="en-CA"/>
              </w:rPr>
            </w:pPr>
          </w:p>
        </w:tc>
      </w:tr>
      <w:tr w:rsidR="002E1D16" w:rsidRPr="002E1D16" w:rsidTr="00E95A6A">
        <w:tc>
          <w:tcPr>
            <w:tcW w:w="5000" w:type="pct"/>
            <w:gridSpan w:val="4"/>
          </w:tcPr>
          <w:p w:rsidR="002E1D16" w:rsidRPr="002E1D16" w:rsidRDefault="002E1D16" w:rsidP="002E1D16">
            <w:pPr>
              <w:jc w:val="both"/>
              <w:rPr>
                <w:sz w:val="20"/>
                <w:lang w:val="en-CA"/>
              </w:rPr>
            </w:pPr>
            <w:r w:rsidRPr="002E1D16">
              <w:rPr>
                <w:sz w:val="20"/>
                <w:lang w:val="en-CA"/>
              </w:rPr>
              <w:t xml:space="preserve">The disciplinary council of the Collège des médecins du Québec convicted the applicant of various offences in connection with four complaints laid against him by the syndic of his professional order between 1999 and 2008. The complaint in issue alleged, </w:t>
            </w:r>
            <w:r w:rsidRPr="002E1D16">
              <w:rPr>
                <w:i/>
                <w:sz w:val="20"/>
                <w:lang w:val="en-CA"/>
              </w:rPr>
              <w:t>inter alia</w:t>
            </w:r>
            <w:r w:rsidRPr="002E1D16">
              <w:rPr>
                <w:sz w:val="20"/>
                <w:lang w:val="en-CA"/>
              </w:rPr>
              <w:t>, that the applicant had prescribed excessive doses of neuroleptic drugs, improperly assessed a patient’s psychiatric condition and prescribed combinations of neuroleptic drugs (counts 1 to 5). It also alleged that he had made comments unbecoming of a physician on the radio, denigrated a member of another professional order and failed to adequately maintain a patient’s record, thereby hindering the syndic’s work (counts 6 to 12). The disciplinary council imposed on him a temporary striking off the roll for two years and a total of $33,000 in fines and made an order restricting his right to prescribe neuroleptic drugs in doses exceeding the manufacturers’ recommended doses and his right to prescribe several neuroleptic drugs at a time, in combination, [</w:t>
            </w:r>
            <w:r w:rsidRPr="002E1D16">
              <w:rPr>
                <w:smallCaps/>
                <w:sz w:val="20"/>
                <w:lang w:val="en-CA"/>
              </w:rPr>
              <w:t>translation</w:t>
            </w:r>
            <w:r w:rsidRPr="002E1D16">
              <w:rPr>
                <w:sz w:val="20"/>
                <w:lang w:val="en-CA"/>
              </w:rPr>
              <w:t xml:space="preserve">] “. . . as long as the Collège des médecins does not recommend prescribing megadoses of neuroleptic </w:t>
            </w:r>
            <w:proofErr w:type="gramStart"/>
            <w:r w:rsidRPr="002E1D16">
              <w:rPr>
                <w:sz w:val="20"/>
                <w:lang w:val="en-CA"/>
              </w:rPr>
              <w:t>drugs .</w:t>
            </w:r>
            <w:proofErr w:type="gramEnd"/>
            <w:r w:rsidRPr="002E1D16">
              <w:rPr>
                <w:sz w:val="20"/>
                <w:lang w:val="en-CA"/>
              </w:rPr>
              <w:t> . . to adults in the treatment of schizophrenia”. The Professions Tribunal dismissed the appeal brought by the applicant, who applied for judicial review.</w:t>
            </w:r>
          </w:p>
          <w:p w:rsidR="002E1D16" w:rsidRPr="002E1D16" w:rsidRDefault="002E1D16" w:rsidP="002E1D16">
            <w:pPr>
              <w:jc w:val="both"/>
              <w:rPr>
                <w:sz w:val="20"/>
                <w:lang w:val="en-CA"/>
              </w:rPr>
            </w:pPr>
          </w:p>
        </w:tc>
      </w:tr>
      <w:tr w:rsidR="002E1D16" w:rsidRPr="002E1D16" w:rsidTr="00E95A6A">
        <w:tc>
          <w:tcPr>
            <w:tcW w:w="2427" w:type="pct"/>
            <w:gridSpan w:val="2"/>
          </w:tcPr>
          <w:p w:rsidR="002E1D16" w:rsidRPr="002E1D16" w:rsidRDefault="002E1D16" w:rsidP="002E1D16">
            <w:pPr>
              <w:jc w:val="both"/>
              <w:rPr>
                <w:sz w:val="20"/>
                <w:lang w:val="en-CA"/>
              </w:rPr>
            </w:pPr>
            <w:r w:rsidRPr="002E1D16">
              <w:rPr>
                <w:sz w:val="20"/>
                <w:lang w:val="en-CA"/>
              </w:rPr>
              <w:t>May 24, 2013</w:t>
            </w:r>
          </w:p>
          <w:p w:rsidR="002E1D16" w:rsidRPr="002E1D16" w:rsidRDefault="002E1D16" w:rsidP="002E1D16">
            <w:pPr>
              <w:jc w:val="both"/>
              <w:rPr>
                <w:sz w:val="20"/>
                <w:lang w:val="en-CA"/>
              </w:rPr>
            </w:pPr>
            <w:r w:rsidRPr="002E1D16">
              <w:rPr>
                <w:sz w:val="20"/>
                <w:lang w:val="en-CA"/>
              </w:rPr>
              <w:t>Quebec Superior Court</w:t>
            </w:r>
          </w:p>
          <w:p w:rsidR="002E1D16" w:rsidRPr="002E1D16" w:rsidRDefault="002E1D16" w:rsidP="002E1D16">
            <w:pPr>
              <w:jc w:val="both"/>
              <w:rPr>
                <w:sz w:val="20"/>
                <w:lang w:val="en-CA"/>
              </w:rPr>
            </w:pPr>
            <w:r w:rsidRPr="002E1D16">
              <w:rPr>
                <w:sz w:val="20"/>
                <w:lang w:val="en-CA"/>
              </w:rPr>
              <w:t>(Jacques J.)</w:t>
            </w:r>
          </w:p>
          <w:p w:rsidR="002E1D16" w:rsidRPr="002E1D16" w:rsidRDefault="002E1D16" w:rsidP="002E1D16">
            <w:pPr>
              <w:jc w:val="both"/>
              <w:rPr>
                <w:sz w:val="20"/>
                <w:lang w:val="en-CA"/>
              </w:rPr>
            </w:pPr>
            <w:r w:rsidRPr="002E1D16">
              <w:rPr>
                <w:sz w:val="20"/>
                <w:lang w:val="en-CA"/>
              </w:rPr>
              <w:t>No. 400-17-002925-127</w:t>
            </w:r>
          </w:p>
          <w:p w:rsidR="002E1D16" w:rsidRPr="002E1D16" w:rsidRDefault="002E1D16" w:rsidP="002E1D16">
            <w:pPr>
              <w:jc w:val="both"/>
              <w:rPr>
                <w:sz w:val="20"/>
                <w:lang w:val="en-CA"/>
              </w:rPr>
            </w:pPr>
            <w:hyperlink r:id="rId60" w:history="1">
              <w:r w:rsidRPr="002E1D16">
                <w:rPr>
                  <w:rStyle w:val="Hyperlink"/>
                  <w:sz w:val="20"/>
                  <w:lang w:val="en-CA"/>
                </w:rPr>
                <w:t>2013 QCCS 2375</w:t>
              </w:r>
            </w:hyperlink>
          </w:p>
          <w:p w:rsidR="002E1D16" w:rsidRPr="002E1D16" w:rsidRDefault="002E1D16" w:rsidP="002E1D16">
            <w:pPr>
              <w:jc w:val="both"/>
              <w:rPr>
                <w:sz w:val="20"/>
                <w:lang w:val="en-CA"/>
              </w:rPr>
            </w:pPr>
          </w:p>
        </w:tc>
        <w:tc>
          <w:tcPr>
            <w:tcW w:w="243" w:type="pct"/>
          </w:tcPr>
          <w:p w:rsidR="002E1D16" w:rsidRPr="002E1D16" w:rsidRDefault="002E1D16" w:rsidP="002E1D16">
            <w:pPr>
              <w:jc w:val="both"/>
              <w:rPr>
                <w:sz w:val="20"/>
                <w:lang w:val="en-CA"/>
              </w:rPr>
            </w:pPr>
          </w:p>
        </w:tc>
        <w:tc>
          <w:tcPr>
            <w:tcW w:w="2330" w:type="pct"/>
          </w:tcPr>
          <w:p w:rsidR="002E1D16" w:rsidRPr="002E1D16" w:rsidRDefault="002E1D16" w:rsidP="002E1D16">
            <w:pPr>
              <w:jc w:val="both"/>
              <w:rPr>
                <w:sz w:val="20"/>
                <w:lang w:val="en-CA"/>
              </w:rPr>
            </w:pPr>
            <w:r w:rsidRPr="002E1D16">
              <w:rPr>
                <w:sz w:val="20"/>
                <w:lang w:val="en-CA"/>
              </w:rPr>
              <w:t>Motion for judicial review dismissed</w:t>
            </w:r>
          </w:p>
          <w:p w:rsidR="002E1D16" w:rsidRPr="002E1D16" w:rsidRDefault="002E1D16" w:rsidP="002E1D16">
            <w:pPr>
              <w:jc w:val="both"/>
              <w:rPr>
                <w:sz w:val="20"/>
                <w:lang w:val="en-CA"/>
              </w:rPr>
            </w:pPr>
          </w:p>
          <w:p w:rsidR="002E1D16" w:rsidRPr="002E1D16" w:rsidRDefault="002E1D16" w:rsidP="002E1D16">
            <w:pPr>
              <w:jc w:val="both"/>
              <w:rPr>
                <w:sz w:val="20"/>
                <w:lang w:val="en-CA"/>
              </w:rPr>
            </w:pPr>
          </w:p>
        </w:tc>
      </w:tr>
      <w:tr w:rsidR="002E1D16" w:rsidRPr="002E1D16" w:rsidTr="00E95A6A">
        <w:tc>
          <w:tcPr>
            <w:tcW w:w="2427" w:type="pct"/>
            <w:gridSpan w:val="2"/>
          </w:tcPr>
          <w:p w:rsidR="002E1D16" w:rsidRPr="002E1D16" w:rsidRDefault="002E1D16" w:rsidP="002E1D16">
            <w:pPr>
              <w:jc w:val="both"/>
              <w:rPr>
                <w:sz w:val="20"/>
                <w:lang w:val="en-CA"/>
              </w:rPr>
            </w:pPr>
            <w:r w:rsidRPr="002E1D16">
              <w:rPr>
                <w:sz w:val="20"/>
                <w:lang w:val="en-CA"/>
              </w:rPr>
              <w:t>October 6, 2015</w:t>
            </w:r>
          </w:p>
          <w:p w:rsidR="002E1D16" w:rsidRPr="002E1D16" w:rsidRDefault="002E1D16" w:rsidP="002E1D16">
            <w:pPr>
              <w:jc w:val="both"/>
              <w:rPr>
                <w:sz w:val="20"/>
                <w:lang w:val="en-CA"/>
              </w:rPr>
            </w:pPr>
            <w:r w:rsidRPr="002E1D16">
              <w:rPr>
                <w:sz w:val="20"/>
                <w:lang w:val="en-CA"/>
              </w:rPr>
              <w:t>Quebec Court of Appeal (Québec)</w:t>
            </w:r>
          </w:p>
          <w:p w:rsidR="002E1D16" w:rsidRPr="002E1D16" w:rsidRDefault="002E1D16" w:rsidP="002E1D16">
            <w:pPr>
              <w:jc w:val="both"/>
              <w:rPr>
                <w:sz w:val="20"/>
                <w:lang w:val="en-CA"/>
              </w:rPr>
            </w:pPr>
            <w:r w:rsidRPr="002E1D16">
              <w:rPr>
                <w:sz w:val="20"/>
                <w:lang w:val="en-CA"/>
              </w:rPr>
              <w:t>(Giroux, Bélanger and Gagnon JJ.A.)</w:t>
            </w:r>
          </w:p>
          <w:p w:rsidR="002E1D16" w:rsidRPr="002E1D16" w:rsidRDefault="002E1D16" w:rsidP="002E1D16">
            <w:pPr>
              <w:jc w:val="both"/>
              <w:rPr>
                <w:sz w:val="20"/>
                <w:lang w:val="en-CA"/>
              </w:rPr>
            </w:pPr>
            <w:r w:rsidRPr="002E1D16">
              <w:rPr>
                <w:sz w:val="20"/>
                <w:lang w:val="en-CA"/>
              </w:rPr>
              <w:t>No. 200-09-008102-136</w:t>
            </w:r>
          </w:p>
          <w:p w:rsidR="002E1D16" w:rsidRPr="002E1D16" w:rsidRDefault="002E1D16" w:rsidP="002E1D16">
            <w:pPr>
              <w:jc w:val="both"/>
              <w:rPr>
                <w:sz w:val="20"/>
                <w:lang w:val="en-CA"/>
              </w:rPr>
            </w:pPr>
            <w:hyperlink r:id="rId61" w:history="1">
              <w:r w:rsidRPr="002E1D16">
                <w:rPr>
                  <w:rStyle w:val="Hyperlink"/>
                  <w:sz w:val="20"/>
                  <w:lang w:val="en-CA"/>
                </w:rPr>
                <w:t>2015 QCCA 1619</w:t>
              </w:r>
            </w:hyperlink>
          </w:p>
          <w:p w:rsidR="002E1D16" w:rsidRPr="002E1D16" w:rsidRDefault="002E1D16" w:rsidP="002E1D16">
            <w:pPr>
              <w:jc w:val="both"/>
              <w:rPr>
                <w:sz w:val="20"/>
                <w:lang w:val="en-CA"/>
              </w:rPr>
            </w:pPr>
          </w:p>
        </w:tc>
        <w:tc>
          <w:tcPr>
            <w:tcW w:w="243" w:type="pct"/>
          </w:tcPr>
          <w:p w:rsidR="002E1D16" w:rsidRPr="002E1D16" w:rsidRDefault="002E1D16" w:rsidP="002E1D16">
            <w:pPr>
              <w:jc w:val="both"/>
              <w:rPr>
                <w:sz w:val="20"/>
                <w:lang w:val="en-CA"/>
              </w:rPr>
            </w:pPr>
          </w:p>
        </w:tc>
        <w:tc>
          <w:tcPr>
            <w:tcW w:w="2330" w:type="pct"/>
          </w:tcPr>
          <w:p w:rsidR="002E1D16" w:rsidRPr="002E1D16" w:rsidRDefault="002E1D16" w:rsidP="002E1D16">
            <w:pPr>
              <w:jc w:val="both"/>
              <w:rPr>
                <w:sz w:val="20"/>
                <w:lang w:val="en-CA"/>
              </w:rPr>
            </w:pPr>
            <w:r w:rsidRPr="002E1D16">
              <w:rPr>
                <w:sz w:val="20"/>
                <w:lang w:val="en-CA"/>
              </w:rPr>
              <w:t>Appeal allowed in part, but only as regards penalty</w:t>
            </w:r>
          </w:p>
          <w:p w:rsidR="002E1D16" w:rsidRPr="002E1D16" w:rsidRDefault="002E1D16" w:rsidP="002E1D16">
            <w:pPr>
              <w:jc w:val="both"/>
              <w:rPr>
                <w:sz w:val="20"/>
                <w:lang w:val="en-CA"/>
              </w:rPr>
            </w:pPr>
          </w:p>
          <w:p w:rsidR="002E1D16" w:rsidRPr="002E1D16" w:rsidRDefault="002E1D16" w:rsidP="002E1D16">
            <w:pPr>
              <w:jc w:val="both"/>
              <w:rPr>
                <w:sz w:val="20"/>
                <w:lang w:val="en-CA"/>
              </w:rPr>
            </w:pPr>
          </w:p>
        </w:tc>
      </w:tr>
      <w:tr w:rsidR="002E1D16" w:rsidRPr="002E1D16" w:rsidTr="00E95A6A">
        <w:tc>
          <w:tcPr>
            <w:tcW w:w="2427" w:type="pct"/>
            <w:gridSpan w:val="2"/>
          </w:tcPr>
          <w:p w:rsidR="002E1D16" w:rsidRPr="002E1D16" w:rsidRDefault="002E1D16" w:rsidP="002E1D16">
            <w:pPr>
              <w:jc w:val="both"/>
              <w:rPr>
                <w:sz w:val="20"/>
                <w:lang w:val="en-CA"/>
              </w:rPr>
            </w:pPr>
            <w:r w:rsidRPr="002E1D16">
              <w:rPr>
                <w:sz w:val="20"/>
                <w:lang w:val="en-CA"/>
              </w:rPr>
              <w:lastRenderedPageBreak/>
              <w:t>March 22, 2016</w:t>
            </w:r>
          </w:p>
          <w:p w:rsidR="002E1D16" w:rsidRPr="002E1D16" w:rsidRDefault="002E1D16" w:rsidP="002E1D16">
            <w:pPr>
              <w:jc w:val="both"/>
              <w:rPr>
                <w:sz w:val="20"/>
                <w:lang w:val="en-CA"/>
              </w:rPr>
            </w:pPr>
            <w:r w:rsidRPr="002E1D16">
              <w:rPr>
                <w:sz w:val="20"/>
                <w:lang w:val="en-CA"/>
              </w:rPr>
              <w:t>Supreme Court of Canada</w:t>
            </w:r>
          </w:p>
        </w:tc>
        <w:tc>
          <w:tcPr>
            <w:tcW w:w="243" w:type="pct"/>
          </w:tcPr>
          <w:p w:rsidR="002E1D16" w:rsidRPr="002E1D16" w:rsidRDefault="002E1D16" w:rsidP="002E1D16">
            <w:pPr>
              <w:jc w:val="both"/>
              <w:rPr>
                <w:sz w:val="20"/>
                <w:lang w:val="en-CA"/>
              </w:rPr>
            </w:pPr>
          </w:p>
        </w:tc>
        <w:tc>
          <w:tcPr>
            <w:tcW w:w="2330" w:type="pct"/>
          </w:tcPr>
          <w:p w:rsidR="002E1D16" w:rsidRPr="002E1D16" w:rsidRDefault="002E1D16" w:rsidP="002E1D16">
            <w:pPr>
              <w:jc w:val="both"/>
              <w:rPr>
                <w:sz w:val="20"/>
                <w:lang w:val="en-CA"/>
              </w:rPr>
            </w:pPr>
            <w:r w:rsidRPr="002E1D16">
              <w:rPr>
                <w:sz w:val="20"/>
                <w:lang w:val="en-CA"/>
              </w:rPr>
              <w:t>Motion to extend time to serve and file leave application and application for leave to appeal filed</w:t>
            </w:r>
          </w:p>
        </w:tc>
      </w:tr>
    </w:tbl>
    <w:p w:rsidR="002E1D16" w:rsidRDefault="002E1D16" w:rsidP="002E1D16">
      <w:pPr>
        <w:jc w:val="both"/>
        <w:rPr>
          <w:sz w:val="20"/>
          <w:lang w:val="en-CA"/>
        </w:rPr>
      </w:pPr>
    </w:p>
    <w:p w:rsidR="002E1D16" w:rsidRPr="002E1D16" w:rsidRDefault="002E1D16" w:rsidP="002E1D1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1D16" w:rsidRPr="002E1D16" w:rsidTr="00E95A6A">
        <w:tc>
          <w:tcPr>
            <w:tcW w:w="543" w:type="pct"/>
          </w:tcPr>
          <w:p w:rsidR="002E1D16" w:rsidRPr="002E1D16" w:rsidRDefault="002E1D16" w:rsidP="002E1D16">
            <w:pPr>
              <w:jc w:val="both"/>
              <w:rPr>
                <w:sz w:val="20"/>
              </w:rPr>
            </w:pPr>
            <w:r w:rsidRPr="002E1D16">
              <w:rPr>
                <w:rStyle w:val="SCCFileNumberChar"/>
                <w:sz w:val="20"/>
                <w:szCs w:val="20"/>
              </w:rPr>
              <w:t>36953</w:t>
            </w:r>
          </w:p>
        </w:tc>
        <w:tc>
          <w:tcPr>
            <w:tcW w:w="4457" w:type="pct"/>
            <w:gridSpan w:val="3"/>
          </w:tcPr>
          <w:p w:rsidR="002E1D16" w:rsidRPr="002E1D16" w:rsidRDefault="002E1D16" w:rsidP="002E1D16">
            <w:pPr>
              <w:pStyle w:val="SCCLsocParty"/>
              <w:jc w:val="both"/>
              <w:rPr>
                <w:b/>
                <w:sz w:val="20"/>
                <w:szCs w:val="20"/>
              </w:rPr>
            </w:pPr>
            <w:r w:rsidRPr="002E1D16">
              <w:rPr>
                <w:b/>
                <w:sz w:val="20"/>
                <w:szCs w:val="20"/>
              </w:rPr>
              <w:t xml:space="preserve">Pierre Mailloux c. Mario </w:t>
            </w:r>
            <w:proofErr w:type="spellStart"/>
            <w:r w:rsidRPr="002E1D16">
              <w:rPr>
                <w:b/>
                <w:sz w:val="20"/>
                <w:szCs w:val="20"/>
              </w:rPr>
              <w:t>Deschênes</w:t>
            </w:r>
            <w:proofErr w:type="spellEnd"/>
            <w:r w:rsidRPr="002E1D16">
              <w:rPr>
                <w:b/>
                <w:sz w:val="20"/>
                <w:szCs w:val="20"/>
              </w:rPr>
              <w:t>, ès qualités de syndic adjoint du Collège des médecins du Québec</w:t>
            </w:r>
          </w:p>
          <w:p w:rsidR="002E1D16" w:rsidRPr="002E1D16" w:rsidRDefault="002E1D16" w:rsidP="002E1D16">
            <w:pPr>
              <w:jc w:val="both"/>
              <w:rPr>
                <w:sz w:val="20"/>
              </w:rPr>
            </w:pPr>
            <w:r w:rsidRPr="002E1D16">
              <w:rPr>
                <w:sz w:val="20"/>
              </w:rPr>
              <w:t>(Qc) (Civile) (Autorisation)</w:t>
            </w:r>
          </w:p>
        </w:tc>
      </w:tr>
      <w:tr w:rsidR="002E1D16" w:rsidRPr="002E1D16" w:rsidTr="00E95A6A">
        <w:tc>
          <w:tcPr>
            <w:tcW w:w="5000" w:type="pct"/>
            <w:gridSpan w:val="4"/>
          </w:tcPr>
          <w:p w:rsidR="002E1D16" w:rsidRPr="002E1D16" w:rsidRDefault="002E1D16" w:rsidP="002E1D16">
            <w:pPr>
              <w:jc w:val="both"/>
              <w:rPr>
                <w:sz w:val="20"/>
              </w:rPr>
            </w:pPr>
            <w:r w:rsidRPr="002E1D16">
              <w:rPr>
                <w:sz w:val="20"/>
                <w:lang w:val="fr-FR"/>
              </w:rPr>
              <w:t xml:space="preserve">Droit des professions – Discipline – Est-ce qu’en droit disciplinaire, les tribunaux sont le forum approprié pour générer et élaborer des normes médicales et gérer l’avancée scientifique par les arguments au soutien d’une décision ou d’une sanction imposée </w:t>
            </w:r>
            <w:r w:rsidRPr="002E1D16">
              <w:rPr>
                <w:sz w:val="20"/>
              </w:rPr>
              <w:t>à</w:t>
            </w:r>
            <w:r w:rsidRPr="002E1D16">
              <w:rPr>
                <w:sz w:val="20"/>
                <w:lang w:val="fr-FR"/>
              </w:rPr>
              <w:t xml:space="preserve"> un professionnel?</w:t>
            </w:r>
          </w:p>
        </w:tc>
      </w:tr>
      <w:tr w:rsidR="002E1D16" w:rsidRPr="002E1D16" w:rsidTr="00E95A6A">
        <w:tc>
          <w:tcPr>
            <w:tcW w:w="5000" w:type="pct"/>
            <w:gridSpan w:val="4"/>
          </w:tcPr>
          <w:p w:rsidR="002E1D16" w:rsidRPr="002E1D16" w:rsidRDefault="002E1D16" w:rsidP="002E1D16">
            <w:pPr>
              <w:jc w:val="both"/>
              <w:rPr>
                <w:sz w:val="20"/>
              </w:rPr>
            </w:pPr>
          </w:p>
        </w:tc>
      </w:tr>
      <w:tr w:rsidR="002E1D16" w:rsidRPr="002E1D16" w:rsidTr="00E95A6A">
        <w:tc>
          <w:tcPr>
            <w:tcW w:w="5000" w:type="pct"/>
            <w:gridSpan w:val="4"/>
          </w:tcPr>
          <w:p w:rsidR="002E1D16" w:rsidRPr="002E1D16" w:rsidRDefault="002E1D16" w:rsidP="002E1D16">
            <w:pPr>
              <w:jc w:val="both"/>
              <w:rPr>
                <w:sz w:val="20"/>
              </w:rPr>
            </w:pPr>
            <w:r w:rsidRPr="002E1D16">
              <w:rPr>
                <w:sz w:val="20"/>
              </w:rPr>
              <w:t xml:space="preserve">Le Conseil de discipline du Collège des médecins du Québec a déclaré le demandeur coupable de diverses infractions en lien avec quatre plaintes qui ont été portées contre le demandeur par le syndic de son ordre professionnel entre 1999 et 2008. Dans le cadre de la plainte en cause, on reprochait notamment au demandeur d’avoir prescrit des doses excessives de neuroleptiques, d’avoir fait une évaluation inadéquate de la condition psychiatrique d’un patient et d’avoir prescrit des combinaisons de neuroleptiques (chefs 1 à 5). On lui reprochait également le fait d’avoir tenu des propos indignes d’un médecin sur les ondes radio, d’avoir dénigré un membre d’un autre ordre professionnel et d’avoir fait défaut de maintenir adéquatement le dossier d’un patient, entravant ainsi le travail du syndic (chefs 6 à 12). Le Conseil de discipline lui a imposé une radiation temporaire pour une période de deux ans ainsi qu’à un total de 33 000 $ en amendes, de même qu’une ordonnance limitant le droit de l’appelant de prescrire des neuroleptiques dépassant les doses maximales recommandées par les fabricants ainsi que le droit de prescrire de façon concomitante plusieurs neuroleptiques à la fois, et ce, « […] tant et aussi longtemps que le Collège des médecins ne recommandera pas le recours à la prescription de </w:t>
            </w:r>
            <w:proofErr w:type="spellStart"/>
            <w:r w:rsidRPr="002E1D16">
              <w:rPr>
                <w:sz w:val="20"/>
              </w:rPr>
              <w:t>mégadoses</w:t>
            </w:r>
            <w:proofErr w:type="spellEnd"/>
            <w:r w:rsidRPr="002E1D16">
              <w:rPr>
                <w:sz w:val="20"/>
              </w:rPr>
              <w:t xml:space="preserve"> de </w:t>
            </w:r>
            <w:proofErr w:type="spellStart"/>
            <w:r w:rsidRPr="002E1D16">
              <w:rPr>
                <w:sz w:val="20"/>
              </w:rPr>
              <w:t>neuroleptiques</w:t>
            </w:r>
            <w:proofErr w:type="spellEnd"/>
            <w:r w:rsidRPr="002E1D16">
              <w:rPr>
                <w:sz w:val="20"/>
              </w:rPr>
              <w:t xml:space="preserve"> […] aux adultes dans le traitement de la schizophrénie ». Le Tribunal des professions a rejeté l’appel du demandeur, lequel s’est pourvu en révision judiciaire.</w:t>
            </w:r>
          </w:p>
          <w:p w:rsidR="002E1D16" w:rsidRPr="002E1D16" w:rsidRDefault="002E1D16" w:rsidP="002E1D16">
            <w:pPr>
              <w:jc w:val="both"/>
              <w:rPr>
                <w:sz w:val="20"/>
              </w:rPr>
            </w:pPr>
          </w:p>
        </w:tc>
      </w:tr>
      <w:tr w:rsidR="002E1D16" w:rsidRPr="002E1D16" w:rsidTr="00E95A6A">
        <w:tc>
          <w:tcPr>
            <w:tcW w:w="2427" w:type="pct"/>
            <w:gridSpan w:val="2"/>
          </w:tcPr>
          <w:p w:rsidR="002E1D16" w:rsidRPr="002E1D16" w:rsidRDefault="002E1D16" w:rsidP="002E1D16">
            <w:pPr>
              <w:jc w:val="both"/>
              <w:rPr>
                <w:sz w:val="20"/>
              </w:rPr>
            </w:pPr>
            <w:r w:rsidRPr="002E1D16">
              <w:rPr>
                <w:sz w:val="20"/>
              </w:rPr>
              <w:t>Le 24 mai 2013</w:t>
            </w:r>
          </w:p>
          <w:p w:rsidR="002E1D16" w:rsidRPr="002E1D16" w:rsidRDefault="002E1D16" w:rsidP="002E1D16">
            <w:pPr>
              <w:jc w:val="both"/>
              <w:rPr>
                <w:sz w:val="20"/>
              </w:rPr>
            </w:pPr>
            <w:r w:rsidRPr="002E1D16">
              <w:rPr>
                <w:sz w:val="20"/>
              </w:rPr>
              <w:t>Cour supérieure du Québec</w:t>
            </w:r>
          </w:p>
          <w:p w:rsidR="002E1D16" w:rsidRPr="002E1D16" w:rsidRDefault="002E1D16" w:rsidP="002E1D16">
            <w:pPr>
              <w:jc w:val="both"/>
              <w:rPr>
                <w:sz w:val="20"/>
              </w:rPr>
            </w:pPr>
            <w:r w:rsidRPr="002E1D16">
              <w:rPr>
                <w:sz w:val="20"/>
              </w:rPr>
              <w:t>(Le juge Jacques)</w:t>
            </w:r>
          </w:p>
          <w:p w:rsidR="002E1D16" w:rsidRPr="002E1D16" w:rsidRDefault="002E1D16" w:rsidP="002E1D16">
            <w:pPr>
              <w:jc w:val="both"/>
              <w:rPr>
                <w:sz w:val="20"/>
              </w:rPr>
            </w:pPr>
            <w:r w:rsidRPr="002E1D16">
              <w:rPr>
                <w:sz w:val="20"/>
              </w:rPr>
              <w:t>No. 400-17-002925-127</w:t>
            </w:r>
          </w:p>
          <w:p w:rsidR="002E1D16" w:rsidRPr="002E1D16" w:rsidRDefault="002E1D16" w:rsidP="002E1D16">
            <w:pPr>
              <w:jc w:val="both"/>
              <w:rPr>
                <w:sz w:val="20"/>
              </w:rPr>
            </w:pPr>
            <w:hyperlink r:id="rId62" w:history="1">
              <w:r w:rsidRPr="002E1D16">
                <w:rPr>
                  <w:rStyle w:val="Hyperlink"/>
                  <w:sz w:val="20"/>
                </w:rPr>
                <w:t>2013 QCCS 2375</w:t>
              </w:r>
            </w:hyperlink>
          </w:p>
          <w:p w:rsidR="002E1D16" w:rsidRPr="002E1D16" w:rsidRDefault="002E1D16" w:rsidP="002E1D16">
            <w:pPr>
              <w:jc w:val="both"/>
              <w:rPr>
                <w:sz w:val="20"/>
              </w:rPr>
            </w:pPr>
          </w:p>
        </w:tc>
        <w:tc>
          <w:tcPr>
            <w:tcW w:w="243" w:type="pct"/>
          </w:tcPr>
          <w:p w:rsidR="002E1D16" w:rsidRPr="002E1D16" w:rsidRDefault="002E1D16" w:rsidP="002E1D16">
            <w:pPr>
              <w:jc w:val="both"/>
              <w:rPr>
                <w:sz w:val="20"/>
              </w:rPr>
            </w:pPr>
          </w:p>
        </w:tc>
        <w:tc>
          <w:tcPr>
            <w:tcW w:w="2330" w:type="pct"/>
          </w:tcPr>
          <w:p w:rsidR="002E1D16" w:rsidRPr="002E1D16" w:rsidRDefault="002E1D16" w:rsidP="002E1D16">
            <w:pPr>
              <w:jc w:val="both"/>
              <w:rPr>
                <w:sz w:val="20"/>
              </w:rPr>
            </w:pPr>
            <w:r w:rsidRPr="002E1D16">
              <w:rPr>
                <w:sz w:val="20"/>
              </w:rPr>
              <w:t>Requête en révision judiciaire rejetée.</w:t>
            </w:r>
          </w:p>
          <w:p w:rsidR="002E1D16" w:rsidRPr="002E1D16" w:rsidRDefault="002E1D16" w:rsidP="002E1D16">
            <w:pPr>
              <w:jc w:val="both"/>
              <w:rPr>
                <w:sz w:val="20"/>
              </w:rPr>
            </w:pPr>
          </w:p>
          <w:p w:rsidR="002E1D16" w:rsidRPr="002E1D16" w:rsidRDefault="002E1D16" w:rsidP="002E1D16">
            <w:pPr>
              <w:jc w:val="both"/>
              <w:rPr>
                <w:sz w:val="20"/>
              </w:rPr>
            </w:pPr>
          </w:p>
        </w:tc>
      </w:tr>
      <w:tr w:rsidR="002E1D16" w:rsidRPr="002E1D16" w:rsidTr="00E95A6A">
        <w:tc>
          <w:tcPr>
            <w:tcW w:w="2427" w:type="pct"/>
            <w:gridSpan w:val="2"/>
          </w:tcPr>
          <w:p w:rsidR="002E1D16" w:rsidRPr="002E1D16" w:rsidRDefault="002E1D16" w:rsidP="002E1D16">
            <w:pPr>
              <w:jc w:val="both"/>
              <w:rPr>
                <w:sz w:val="20"/>
              </w:rPr>
            </w:pPr>
            <w:r w:rsidRPr="002E1D16">
              <w:rPr>
                <w:sz w:val="20"/>
              </w:rPr>
              <w:t>Le 6 octobre 2015</w:t>
            </w:r>
          </w:p>
          <w:p w:rsidR="002E1D16" w:rsidRPr="002E1D16" w:rsidRDefault="002E1D16" w:rsidP="002E1D16">
            <w:pPr>
              <w:jc w:val="both"/>
              <w:rPr>
                <w:sz w:val="20"/>
              </w:rPr>
            </w:pPr>
            <w:r w:rsidRPr="002E1D16">
              <w:rPr>
                <w:sz w:val="20"/>
              </w:rPr>
              <w:t>Cour d’appel du Québec (Québec)</w:t>
            </w:r>
          </w:p>
          <w:p w:rsidR="002E1D16" w:rsidRPr="002E1D16" w:rsidRDefault="002E1D16" w:rsidP="002E1D16">
            <w:pPr>
              <w:jc w:val="both"/>
              <w:rPr>
                <w:sz w:val="20"/>
              </w:rPr>
            </w:pPr>
            <w:r w:rsidRPr="002E1D16">
              <w:rPr>
                <w:sz w:val="20"/>
              </w:rPr>
              <w:t>(Les juges Giroux, Bélanger et Gagnon)</w:t>
            </w:r>
          </w:p>
          <w:p w:rsidR="002E1D16" w:rsidRPr="002E1D16" w:rsidRDefault="002E1D16" w:rsidP="002E1D16">
            <w:pPr>
              <w:jc w:val="both"/>
              <w:rPr>
                <w:sz w:val="20"/>
              </w:rPr>
            </w:pPr>
            <w:r w:rsidRPr="002E1D16">
              <w:rPr>
                <w:sz w:val="20"/>
              </w:rPr>
              <w:t>No. 200-09-008102-136</w:t>
            </w:r>
          </w:p>
          <w:p w:rsidR="002E1D16" w:rsidRPr="002E1D16" w:rsidRDefault="002E1D16" w:rsidP="002E1D16">
            <w:pPr>
              <w:jc w:val="both"/>
              <w:rPr>
                <w:sz w:val="20"/>
              </w:rPr>
            </w:pPr>
            <w:hyperlink r:id="rId63" w:history="1">
              <w:r w:rsidRPr="002E1D16">
                <w:rPr>
                  <w:rStyle w:val="Hyperlink"/>
                  <w:sz w:val="20"/>
                </w:rPr>
                <w:t>2015 QCCA 1619</w:t>
              </w:r>
            </w:hyperlink>
          </w:p>
          <w:p w:rsidR="002E1D16" w:rsidRPr="002E1D16" w:rsidRDefault="002E1D16" w:rsidP="002E1D16">
            <w:pPr>
              <w:jc w:val="both"/>
              <w:rPr>
                <w:sz w:val="20"/>
                <w:lang w:val="fr-FR"/>
              </w:rPr>
            </w:pPr>
          </w:p>
        </w:tc>
        <w:tc>
          <w:tcPr>
            <w:tcW w:w="243" w:type="pct"/>
          </w:tcPr>
          <w:p w:rsidR="002E1D16" w:rsidRPr="002E1D16" w:rsidRDefault="002E1D16" w:rsidP="002E1D16">
            <w:pPr>
              <w:jc w:val="both"/>
              <w:rPr>
                <w:sz w:val="20"/>
                <w:lang w:val="fr-FR"/>
              </w:rPr>
            </w:pPr>
          </w:p>
        </w:tc>
        <w:tc>
          <w:tcPr>
            <w:tcW w:w="2330" w:type="pct"/>
          </w:tcPr>
          <w:p w:rsidR="002E1D16" w:rsidRPr="002E1D16" w:rsidRDefault="002E1D16" w:rsidP="002E1D16">
            <w:pPr>
              <w:jc w:val="both"/>
              <w:rPr>
                <w:sz w:val="20"/>
              </w:rPr>
            </w:pPr>
            <w:r w:rsidRPr="002E1D16">
              <w:rPr>
                <w:sz w:val="20"/>
              </w:rPr>
              <w:t>Appel accueilli en partie, mais seulement quant à la sanction.</w:t>
            </w:r>
          </w:p>
          <w:p w:rsidR="002E1D16" w:rsidRPr="002E1D16" w:rsidRDefault="002E1D16" w:rsidP="002E1D16">
            <w:pPr>
              <w:jc w:val="both"/>
              <w:rPr>
                <w:sz w:val="20"/>
              </w:rPr>
            </w:pPr>
          </w:p>
          <w:p w:rsidR="002E1D16" w:rsidRPr="002E1D16" w:rsidRDefault="002E1D16" w:rsidP="002E1D16">
            <w:pPr>
              <w:jc w:val="both"/>
              <w:rPr>
                <w:sz w:val="20"/>
              </w:rPr>
            </w:pPr>
          </w:p>
        </w:tc>
      </w:tr>
      <w:tr w:rsidR="002E1D16" w:rsidRPr="002E1D16" w:rsidTr="00E95A6A">
        <w:tc>
          <w:tcPr>
            <w:tcW w:w="2427" w:type="pct"/>
            <w:gridSpan w:val="2"/>
          </w:tcPr>
          <w:p w:rsidR="002E1D16" w:rsidRPr="002E1D16" w:rsidRDefault="002E1D16" w:rsidP="002E1D16">
            <w:pPr>
              <w:jc w:val="both"/>
              <w:rPr>
                <w:sz w:val="20"/>
              </w:rPr>
            </w:pPr>
            <w:r w:rsidRPr="002E1D16">
              <w:rPr>
                <w:sz w:val="20"/>
              </w:rPr>
              <w:t>Le 22 mars 2016</w:t>
            </w:r>
          </w:p>
          <w:p w:rsidR="002E1D16" w:rsidRPr="002E1D16" w:rsidRDefault="002E1D16" w:rsidP="002E1D16">
            <w:pPr>
              <w:jc w:val="both"/>
              <w:rPr>
                <w:sz w:val="20"/>
              </w:rPr>
            </w:pPr>
            <w:r w:rsidRPr="002E1D16">
              <w:rPr>
                <w:sz w:val="20"/>
              </w:rPr>
              <w:t>Cour suprême du Canada</w:t>
            </w:r>
          </w:p>
          <w:p w:rsidR="002E1D16" w:rsidRPr="002E1D16" w:rsidRDefault="002E1D16" w:rsidP="002E1D16">
            <w:pPr>
              <w:jc w:val="both"/>
              <w:rPr>
                <w:sz w:val="20"/>
              </w:rPr>
            </w:pPr>
          </w:p>
        </w:tc>
        <w:tc>
          <w:tcPr>
            <w:tcW w:w="243" w:type="pct"/>
          </w:tcPr>
          <w:p w:rsidR="002E1D16" w:rsidRPr="002E1D16" w:rsidRDefault="002E1D16" w:rsidP="002E1D16">
            <w:pPr>
              <w:jc w:val="both"/>
              <w:rPr>
                <w:sz w:val="20"/>
                <w:lang w:val="fr-FR"/>
              </w:rPr>
            </w:pPr>
          </w:p>
        </w:tc>
        <w:tc>
          <w:tcPr>
            <w:tcW w:w="2330" w:type="pct"/>
          </w:tcPr>
          <w:p w:rsidR="002E1D16" w:rsidRPr="002E1D16" w:rsidRDefault="002E1D16" w:rsidP="002E1D16">
            <w:pPr>
              <w:jc w:val="both"/>
              <w:rPr>
                <w:sz w:val="20"/>
              </w:rPr>
            </w:pPr>
            <w:r w:rsidRPr="002E1D16">
              <w:rPr>
                <w:sz w:val="20"/>
              </w:rPr>
              <w:t xml:space="preserve">Requête en prorogation du délai pour signifier et déposer demande d’autorisation et </w:t>
            </w:r>
            <w:proofErr w:type="spellStart"/>
            <w:r w:rsidRPr="002E1D16">
              <w:rPr>
                <w:sz w:val="20"/>
              </w:rPr>
              <w:t>demande</w:t>
            </w:r>
            <w:proofErr w:type="spellEnd"/>
            <w:r w:rsidRPr="002E1D16">
              <w:rPr>
                <w:sz w:val="20"/>
              </w:rPr>
              <w:t xml:space="preserve"> </w:t>
            </w:r>
            <w:proofErr w:type="spellStart"/>
            <w:r w:rsidRPr="002E1D16">
              <w:rPr>
                <w:sz w:val="20"/>
              </w:rPr>
              <w:t>d’autorisation</w:t>
            </w:r>
            <w:proofErr w:type="spellEnd"/>
            <w:r w:rsidRPr="002E1D16">
              <w:rPr>
                <w:sz w:val="20"/>
              </w:rPr>
              <w:t xml:space="preserve"> </w:t>
            </w:r>
            <w:proofErr w:type="spellStart"/>
            <w:r w:rsidRPr="002E1D16">
              <w:rPr>
                <w:sz w:val="20"/>
              </w:rPr>
              <w:t>d’appel</w:t>
            </w:r>
            <w:proofErr w:type="spellEnd"/>
            <w:r w:rsidRPr="002E1D16">
              <w:rPr>
                <w:sz w:val="20"/>
              </w:rPr>
              <w:t xml:space="preserve"> </w:t>
            </w:r>
            <w:proofErr w:type="spellStart"/>
            <w:r w:rsidRPr="002E1D16">
              <w:rPr>
                <w:sz w:val="20"/>
              </w:rPr>
              <w:t>déposées</w:t>
            </w:r>
            <w:proofErr w:type="spellEnd"/>
            <w:r w:rsidRPr="002E1D16">
              <w:rPr>
                <w:sz w:val="20"/>
              </w:rPr>
              <w:t>.</w:t>
            </w:r>
          </w:p>
        </w:tc>
      </w:tr>
    </w:tbl>
    <w:p w:rsidR="002E1D16" w:rsidRPr="00CB72B0" w:rsidRDefault="002E1D16" w:rsidP="00CB72B0">
      <w:pPr>
        <w:jc w:val="both"/>
        <w:rPr>
          <w:sz w:val="20"/>
        </w:rPr>
      </w:pPr>
    </w:p>
    <w:p w:rsidR="00D15B3E" w:rsidRPr="00CB72B0" w:rsidRDefault="00D15B3E" w:rsidP="00CB72B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72B0" w:rsidRPr="00CB72B0" w:rsidTr="00E95A6A">
        <w:tc>
          <w:tcPr>
            <w:tcW w:w="543" w:type="pct"/>
          </w:tcPr>
          <w:p w:rsidR="00CB72B0" w:rsidRPr="00CB72B0" w:rsidRDefault="00CB72B0" w:rsidP="00CB72B0">
            <w:pPr>
              <w:jc w:val="both"/>
              <w:rPr>
                <w:sz w:val="20"/>
              </w:rPr>
            </w:pPr>
            <w:r w:rsidRPr="00CB72B0">
              <w:rPr>
                <w:rStyle w:val="SCCFileNumberChar"/>
                <w:sz w:val="20"/>
                <w:szCs w:val="20"/>
              </w:rPr>
              <w:t>36887</w:t>
            </w:r>
          </w:p>
        </w:tc>
        <w:tc>
          <w:tcPr>
            <w:tcW w:w="4457" w:type="pct"/>
            <w:gridSpan w:val="3"/>
          </w:tcPr>
          <w:p w:rsidR="00CB72B0" w:rsidRPr="00CB72B0" w:rsidRDefault="00CB72B0" w:rsidP="00CB72B0">
            <w:pPr>
              <w:pStyle w:val="SCCLsocParty"/>
              <w:jc w:val="both"/>
              <w:rPr>
                <w:b/>
                <w:sz w:val="20"/>
                <w:szCs w:val="20"/>
              </w:rPr>
            </w:pPr>
            <w:proofErr w:type="spellStart"/>
            <w:r w:rsidRPr="00CB72B0">
              <w:rPr>
                <w:b/>
                <w:sz w:val="20"/>
                <w:szCs w:val="20"/>
              </w:rPr>
              <w:t>Suhaag</w:t>
            </w:r>
            <w:proofErr w:type="spellEnd"/>
            <w:r w:rsidRPr="00CB72B0">
              <w:rPr>
                <w:b/>
                <w:sz w:val="20"/>
                <w:szCs w:val="20"/>
              </w:rPr>
              <w:t xml:space="preserve"> </w:t>
            </w:r>
            <w:proofErr w:type="spellStart"/>
            <w:r w:rsidRPr="00CB72B0">
              <w:rPr>
                <w:b/>
                <w:sz w:val="20"/>
                <w:szCs w:val="20"/>
              </w:rPr>
              <w:t>Jewellers</w:t>
            </w:r>
            <w:proofErr w:type="spellEnd"/>
            <w:r w:rsidRPr="00CB72B0">
              <w:rPr>
                <w:b/>
                <w:sz w:val="20"/>
                <w:szCs w:val="20"/>
              </w:rPr>
              <w:t xml:space="preserve"> Ltd. v. Alarm Factory Inc. carrying on business as AFC Advance Integration</w:t>
            </w:r>
          </w:p>
          <w:p w:rsidR="00CB72B0" w:rsidRPr="00CB72B0" w:rsidRDefault="00CB72B0" w:rsidP="00CB72B0">
            <w:pPr>
              <w:jc w:val="both"/>
              <w:rPr>
                <w:sz w:val="20"/>
              </w:rPr>
            </w:pPr>
            <w:r w:rsidRPr="00CB72B0">
              <w:rPr>
                <w:sz w:val="20"/>
              </w:rPr>
              <w:t>(Ont.) (Civil) (By Leave)</w:t>
            </w:r>
          </w:p>
        </w:tc>
      </w:tr>
      <w:tr w:rsidR="00CB72B0" w:rsidRPr="00CB72B0" w:rsidTr="003E65DA">
        <w:tc>
          <w:tcPr>
            <w:tcW w:w="5000" w:type="pct"/>
            <w:gridSpan w:val="4"/>
          </w:tcPr>
          <w:p w:rsidR="00CB72B0" w:rsidRPr="00CB72B0" w:rsidRDefault="00CB72B0" w:rsidP="00CB72B0">
            <w:pPr>
              <w:jc w:val="both"/>
              <w:rPr>
                <w:sz w:val="20"/>
              </w:rPr>
            </w:pPr>
            <w:r w:rsidRPr="00CB72B0">
              <w:rPr>
                <w:sz w:val="20"/>
              </w:rPr>
              <w:t>Contracts – Commercial contracts – Limitation of liability clause – Whether a distinction should be drawn between full exculpatory clauses and limited liability clauses – Whether it is against public policy for a contract to contain a clause absolving a party from its contractual obligations or any tort that such party may commit – Whether special provisions apply when a party is illiterate in the language of the contract – Whether a duty of good faith in contract creates a duty of disclosure for any party proffering an exculpatory or limitation of liability clause – Whether it is against public policy to have an exemption clause in a contract where deficient service will put others in danger?</w:t>
            </w:r>
          </w:p>
        </w:tc>
      </w:tr>
      <w:tr w:rsidR="00CB72B0" w:rsidRPr="00CB72B0" w:rsidTr="003E65DA">
        <w:tc>
          <w:tcPr>
            <w:tcW w:w="5000" w:type="pct"/>
            <w:gridSpan w:val="4"/>
          </w:tcPr>
          <w:p w:rsidR="00CB72B0" w:rsidRPr="00CB72B0" w:rsidRDefault="00CB72B0" w:rsidP="00CB72B0">
            <w:pPr>
              <w:jc w:val="both"/>
              <w:rPr>
                <w:sz w:val="20"/>
              </w:rPr>
            </w:pPr>
          </w:p>
        </w:tc>
      </w:tr>
      <w:tr w:rsidR="00CB72B0" w:rsidRPr="00CB72B0" w:rsidTr="003E65DA">
        <w:tc>
          <w:tcPr>
            <w:tcW w:w="5000" w:type="pct"/>
            <w:gridSpan w:val="4"/>
          </w:tcPr>
          <w:p w:rsidR="00CB72B0" w:rsidRPr="00CB72B0" w:rsidRDefault="00CB72B0" w:rsidP="00CB72B0">
            <w:pPr>
              <w:jc w:val="both"/>
              <w:rPr>
                <w:sz w:val="20"/>
              </w:rPr>
            </w:pPr>
            <w:proofErr w:type="spellStart"/>
            <w:r w:rsidRPr="00CB72B0">
              <w:rPr>
                <w:sz w:val="20"/>
              </w:rPr>
              <w:lastRenderedPageBreak/>
              <w:t>Suhaag</w:t>
            </w:r>
            <w:proofErr w:type="spellEnd"/>
            <w:r w:rsidRPr="00CB72B0">
              <w:rPr>
                <w:sz w:val="20"/>
              </w:rPr>
              <w:t xml:space="preserve"> </w:t>
            </w:r>
            <w:proofErr w:type="spellStart"/>
            <w:r w:rsidRPr="00CB72B0">
              <w:rPr>
                <w:sz w:val="20"/>
              </w:rPr>
              <w:t>Jewellers</w:t>
            </w:r>
            <w:proofErr w:type="spellEnd"/>
            <w:r w:rsidRPr="00CB72B0">
              <w:rPr>
                <w:sz w:val="20"/>
              </w:rPr>
              <w:t xml:space="preserve"> Ltd., a jewellery store, executed a contract with Alarm Factory Inc., for installation, servicing and monitoring of security systems. The contract contains a limitation of liability and indemnification clause. </w:t>
            </w:r>
            <w:proofErr w:type="spellStart"/>
            <w:r w:rsidRPr="00CB72B0">
              <w:rPr>
                <w:sz w:val="20"/>
              </w:rPr>
              <w:t>Suhaag</w:t>
            </w:r>
            <w:proofErr w:type="spellEnd"/>
            <w:r w:rsidRPr="00CB72B0">
              <w:rPr>
                <w:sz w:val="20"/>
              </w:rPr>
              <w:t xml:space="preserve"> </w:t>
            </w:r>
            <w:proofErr w:type="spellStart"/>
            <w:r w:rsidRPr="00CB72B0">
              <w:rPr>
                <w:sz w:val="20"/>
              </w:rPr>
              <w:t>Jewellers</w:t>
            </w:r>
            <w:proofErr w:type="spellEnd"/>
            <w:r w:rsidRPr="00CB72B0">
              <w:rPr>
                <w:sz w:val="20"/>
              </w:rPr>
              <w:t xml:space="preserve"> Ltd. filed a statement of claim alleging a theft of jewellery on or about August 28, 2012, and that the security and alarm monitoring service failed. It seeks damages from Alarm Factory Inc. in tort and for breach of contract. Alarm Factory Inc. moved for summary judgment, relying on the limitation and indemnification clause.</w:t>
            </w:r>
          </w:p>
          <w:p w:rsidR="00CB72B0" w:rsidRPr="00CB72B0" w:rsidRDefault="00CB72B0" w:rsidP="00CB72B0">
            <w:pPr>
              <w:jc w:val="both"/>
              <w:rPr>
                <w:sz w:val="20"/>
              </w:rPr>
            </w:pPr>
            <w:r w:rsidRPr="00CB72B0">
              <w:rPr>
                <w:sz w:val="20"/>
              </w:rPr>
              <w:t xml:space="preserve">  </w:t>
            </w:r>
          </w:p>
        </w:tc>
      </w:tr>
      <w:tr w:rsidR="00CB72B0" w:rsidRPr="00CB72B0" w:rsidTr="003E65DA">
        <w:tc>
          <w:tcPr>
            <w:tcW w:w="2427" w:type="pct"/>
            <w:gridSpan w:val="2"/>
          </w:tcPr>
          <w:p w:rsidR="00CB72B0" w:rsidRPr="00CB72B0" w:rsidRDefault="00CB72B0" w:rsidP="00CB72B0">
            <w:pPr>
              <w:jc w:val="both"/>
              <w:rPr>
                <w:sz w:val="20"/>
              </w:rPr>
            </w:pPr>
            <w:r w:rsidRPr="00CB72B0">
              <w:rPr>
                <w:sz w:val="20"/>
              </w:rPr>
              <w:t>June 4, 2015</w:t>
            </w:r>
          </w:p>
          <w:p w:rsidR="00CB72B0" w:rsidRPr="00CB72B0" w:rsidRDefault="00CB72B0" w:rsidP="00CB72B0">
            <w:pPr>
              <w:jc w:val="both"/>
              <w:rPr>
                <w:sz w:val="20"/>
              </w:rPr>
            </w:pPr>
            <w:r w:rsidRPr="00CB72B0">
              <w:rPr>
                <w:sz w:val="20"/>
              </w:rPr>
              <w:t>Ontario Superior Court of Justice</w:t>
            </w:r>
          </w:p>
          <w:p w:rsidR="00CB72B0" w:rsidRPr="00CB72B0" w:rsidRDefault="00CB72B0" w:rsidP="00CB72B0">
            <w:pPr>
              <w:jc w:val="both"/>
              <w:rPr>
                <w:sz w:val="20"/>
              </w:rPr>
            </w:pPr>
            <w:r w:rsidRPr="00CB72B0">
              <w:rPr>
                <w:sz w:val="20"/>
              </w:rPr>
              <w:t xml:space="preserve">(Diamond J.) </w:t>
            </w:r>
          </w:p>
          <w:p w:rsidR="00CB72B0" w:rsidRPr="00CB72B0" w:rsidRDefault="00CB72B0" w:rsidP="00CB72B0">
            <w:pPr>
              <w:jc w:val="both"/>
              <w:rPr>
                <w:sz w:val="20"/>
              </w:rPr>
            </w:pPr>
            <w:hyperlink r:id="rId64" w:history="1">
              <w:r w:rsidRPr="00CB72B0">
                <w:rPr>
                  <w:rStyle w:val="Hyperlink"/>
                  <w:sz w:val="20"/>
                </w:rPr>
                <w:t>2015 ONCA 3542</w:t>
              </w:r>
            </w:hyperlink>
          </w:p>
          <w:p w:rsidR="00CB72B0" w:rsidRPr="00CB72B0" w:rsidRDefault="00CB72B0" w:rsidP="00CB72B0">
            <w:pPr>
              <w:jc w:val="both"/>
              <w:rPr>
                <w:sz w:val="20"/>
              </w:rPr>
            </w:pPr>
          </w:p>
        </w:tc>
        <w:tc>
          <w:tcPr>
            <w:tcW w:w="243" w:type="pct"/>
          </w:tcPr>
          <w:p w:rsidR="00CB72B0" w:rsidRPr="00CB72B0" w:rsidRDefault="00CB72B0" w:rsidP="00CB72B0">
            <w:pPr>
              <w:jc w:val="both"/>
              <w:rPr>
                <w:sz w:val="20"/>
              </w:rPr>
            </w:pPr>
          </w:p>
        </w:tc>
        <w:tc>
          <w:tcPr>
            <w:tcW w:w="2330" w:type="pct"/>
          </w:tcPr>
          <w:p w:rsidR="00CB72B0" w:rsidRPr="00CB72B0" w:rsidRDefault="00CB72B0" w:rsidP="00CB72B0">
            <w:pPr>
              <w:jc w:val="both"/>
              <w:rPr>
                <w:sz w:val="20"/>
              </w:rPr>
            </w:pPr>
            <w:r w:rsidRPr="00CB72B0">
              <w:rPr>
                <w:sz w:val="20"/>
              </w:rPr>
              <w:t xml:space="preserve">Motion for summary judgment dismissing claim granted </w:t>
            </w:r>
          </w:p>
          <w:p w:rsidR="00CB72B0" w:rsidRPr="00CB72B0" w:rsidRDefault="00CB72B0" w:rsidP="00CB72B0">
            <w:pPr>
              <w:jc w:val="both"/>
              <w:rPr>
                <w:sz w:val="20"/>
              </w:rPr>
            </w:pPr>
          </w:p>
        </w:tc>
      </w:tr>
      <w:tr w:rsidR="00CB72B0" w:rsidRPr="00CB72B0" w:rsidTr="003E65DA">
        <w:tc>
          <w:tcPr>
            <w:tcW w:w="2427" w:type="pct"/>
            <w:gridSpan w:val="2"/>
          </w:tcPr>
          <w:p w:rsidR="00CB72B0" w:rsidRPr="00CB72B0" w:rsidRDefault="00CB72B0" w:rsidP="00CB72B0">
            <w:pPr>
              <w:jc w:val="both"/>
              <w:rPr>
                <w:sz w:val="20"/>
              </w:rPr>
            </w:pPr>
            <w:r w:rsidRPr="00CB72B0">
              <w:rPr>
                <w:sz w:val="20"/>
              </w:rPr>
              <w:t>January 8, 2016</w:t>
            </w:r>
          </w:p>
          <w:p w:rsidR="00CB72B0" w:rsidRPr="00CB72B0" w:rsidRDefault="00CB72B0" w:rsidP="00CB72B0">
            <w:pPr>
              <w:jc w:val="both"/>
              <w:rPr>
                <w:sz w:val="20"/>
              </w:rPr>
            </w:pPr>
            <w:r w:rsidRPr="00CB72B0">
              <w:rPr>
                <w:sz w:val="20"/>
              </w:rPr>
              <w:t>Court of Appeal for Ontario</w:t>
            </w:r>
          </w:p>
          <w:p w:rsidR="00CB72B0" w:rsidRPr="00CB72B0" w:rsidRDefault="00CB72B0" w:rsidP="00CB72B0">
            <w:pPr>
              <w:jc w:val="both"/>
              <w:rPr>
                <w:sz w:val="20"/>
              </w:rPr>
            </w:pPr>
            <w:r w:rsidRPr="00CB72B0">
              <w:rPr>
                <w:sz w:val="20"/>
              </w:rPr>
              <w:t>(</w:t>
            </w:r>
            <w:proofErr w:type="spellStart"/>
            <w:r w:rsidRPr="00CB72B0">
              <w:rPr>
                <w:sz w:val="20"/>
              </w:rPr>
              <w:t>Juriansz</w:t>
            </w:r>
            <w:proofErr w:type="spellEnd"/>
            <w:r w:rsidRPr="00CB72B0">
              <w:rPr>
                <w:sz w:val="20"/>
              </w:rPr>
              <w:t>, Hourigan, Brown JJ.A.)</w:t>
            </w:r>
          </w:p>
          <w:p w:rsidR="00CB72B0" w:rsidRPr="00CB72B0" w:rsidRDefault="00CB72B0" w:rsidP="00CB72B0">
            <w:pPr>
              <w:jc w:val="both"/>
              <w:rPr>
                <w:sz w:val="20"/>
              </w:rPr>
            </w:pPr>
            <w:r w:rsidRPr="00CB72B0">
              <w:rPr>
                <w:sz w:val="20"/>
              </w:rPr>
              <w:t xml:space="preserve">C60662; </w:t>
            </w:r>
            <w:hyperlink r:id="rId65" w:history="1">
              <w:r w:rsidRPr="00CB72B0">
                <w:rPr>
                  <w:rStyle w:val="Hyperlink"/>
                  <w:sz w:val="20"/>
                </w:rPr>
                <w:t>2016 ONCA 33</w:t>
              </w:r>
            </w:hyperlink>
          </w:p>
          <w:p w:rsidR="00CB72B0" w:rsidRPr="00CB72B0" w:rsidRDefault="00CB72B0" w:rsidP="00CB72B0">
            <w:pPr>
              <w:jc w:val="both"/>
              <w:rPr>
                <w:sz w:val="20"/>
              </w:rPr>
            </w:pPr>
          </w:p>
        </w:tc>
        <w:tc>
          <w:tcPr>
            <w:tcW w:w="243" w:type="pct"/>
          </w:tcPr>
          <w:p w:rsidR="00CB72B0" w:rsidRPr="00CB72B0" w:rsidRDefault="00CB72B0" w:rsidP="00CB72B0">
            <w:pPr>
              <w:jc w:val="both"/>
              <w:rPr>
                <w:sz w:val="20"/>
              </w:rPr>
            </w:pPr>
          </w:p>
        </w:tc>
        <w:tc>
          <w:tcPr>
            <w:tcW w:w="2330" w:type="pct"/>
          </w:tcPr>
          <w:p w:rsidR="00CB72B0" w:rsidRPr="00CB72B0" w:rsidRDefault="00CB72B0" w:rsidP="00CB72B0">
            <w:pPr>
              <w:jc w:val="both"/>
              <w:rPr>
                <w:sz w:val="20"/>
              </w:rPr>
            </w:pPr>
            <w:r w:rsidRPr="00CB72B0">
              <w:rPr>
                <w:sz w:val="20"/>
              </w:rPr>
              <w:t>Appeal dismissed</w:t>
            </w:r>
          </w:p>
          <w:p w:rsidR="00CB72B0" w:rsidRPr="00CB72B0" w:rsidRDefault="00CB72B0" w:rsidP="00CB72B0">
            <w:pPr>
              <w:jc w:val="both"/>
              <w:rPr>
                <w:sz w:val="20"/>
              </w:rPr>
            </w:pPr>
          </w:p>
        </w:tc>
      </w:tr>
      <w:tr w:rsidR="00CB72B0" w:rsidRPr="00CB72B0" w:rsidTr="003E65DA">
        <w:tc>
          <w:tcPr>
            <w:tcW w:w="2427" w:type="pct"/>
            <w:gridSpan w:val="2"/>
          </w:tcPr>
          <w:p w:rsidR="00CB72B0" w:rsidRPr="00CB72B0" w:rsidRDefault="00CB72B0" w:rsidP="00CB72B0">
            <w:pPr>
              <w:jc w:val="both"/>
              <w:rPr>
                <w:sz w:val="20"/>
              </w:rPr>
            </w:pPr>
            <w:r w:rsidRPr="00CB72B0">
              <w:rPr>
                <w:sz w:val="20"/>
              </w:rPr>
              <w:t>March 8, 2016</w:t>
            </w:r>
          </w:p>
          <w:p w:rsidR="00CB72B0" w:rsidRPr="00CB72B0" w:rsidRDefault="00CB72B0" w:rsidP="00CB72B0">
            <w:pPr>
              <w:jc w:val="both"/>
              <w:rPr>
                <w:sz w:val="20"/>
              </w:rPr>
            </w:pPr>
            <w:r w:rsidRPr="00CB72B0">
              <w:rPr>
                <w:sz w:val="20"/>
              </w:rPr>
              <w:t>Supreme Court of Canada</w:t>
            </w:r>
          </w:p>
        </w:tc>
        <w:tc>
          <w:tcPr>
            <w:tcW w:w="243" w:type="pct"/>
          </w:tcPr>
          <w:p w:rsidR="00CB72B0" w:rsidRPr="00CB72B0" w:rsidRDefault="00CB72B0" w:rsidP="00CB72B0">
            <w:pPr>
              <w:jc w:val="both"/>
              <w:rPr>
                <w:sz w:val="20"/>
              </w:rPr>
            </w:pPr>
          </w:p>
        </w:tc>
        <w:tc>
          <w:tcPr>
            <w:tcW w:w="2330" w:type="pct"/>
          </w:tcPr>
          <w:p w:rsidR="00CB72B0" w:rsidRPr="00CB72B0" w:rsidRDefault="00CB72B0" w:rsidP="00CB72B0">
            <w:pPr>
              <w:jc w:val="both"/>
              <w:rPr>
                <w:sz w:val="20"/>
              </w:rPr>
            </w:pPr>
            <w:r w:rsidRPr="00CB72B0">
              <w:rPr>
                <w:sz w:val="20"/>
              </w:rPr>
              <w:t>Application for leave to appeal filed</w:t>
            </w:r>
          </w:p>
        </w:tc>
      </w:tr>
    </w:tbl>
    <w:p w:rsidR="00CB72B0" w:rsidRDefault="00CB72B0" w:rsidP="00CB72B0">
      <w:pPr>
        <w:jc w:val="both"/>
        <w:rPr>
          <w:sz w:val="20"/>
        </w:rPr>
      </w:pPr>
    </w:p>
    <w:p w:rsidR="00CB72B0" w:rsidRPr="00CB72B0" w:rsidRDefault="00CB72B0" w:rsidP="00CB7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72B0" w:rsidRPr="00CB72B0" w:rsidTr="00E95A6A">
        <w:tc>
          <w:tcPr>
            <w:tcW w:w="543" w:type="pct"/>
          </w:tcPr>
          <w:p w:rsidR="00CB72B0" w:rsidRPr="00CB72B0" w:rsidRDefault="00CB72B0" w:rsidP="00CB72B0">
            <w:pPr>
              <w:jc w:val="both"/>
              <w:rPr>
                <w:sz w:val="20"/>
                <w:lang w:val="fr-CA"/>
              </w:rPr>
            </w:pPr>
            <w:r w:rsidRPr="00CB72B0">
              <w:rPr>
                <w:rStyle w:val="SCCFileNumberChar"/>
                <w:sz w:val="20"/>
                <w:szCs w:val="20"/>
                <w:lang w:val="fr-CA"/>
              </w:rPr>
              <w:t>36887</w:t>
            </w:r>
          </w:p>
        </w:tc>
        <w:tc>
          <w:tcPr>
            <w:tcW w:w="4457" w:type="pct"/>
            <w:gridSpan w:val="3"/>
          </w:tcPr>
          <w:p w:rsidR="00CB72B0" w:rsidRPr="00CB72B0" w:rsidRDefault="00CB72B0" w:rsidP="00CB72B0">
            <w:pPr>
              <w:pStyle w:val="SCCLsocParty"/>
              <w:jc w:val="both"/>
              <w:rPr>
                <w:b/>
                <w:sz w:val="20"/>
                <w:szCs w:val="20"/>
              </w:rPr>
            </w:pPr>
            <w:r w:rsidRPr="00CB72B0">
              <w:rPr>
                <w:b/>
                <w:sz w:val="20"/>
                <w:szCs w:val="20"/>
              </w:rPr>
              <w:t>Suhaag Jewellers Ltd. c. Alarm Factory Inc. faisant affaire sous le nom d’AFC Advance Integration</w:t>
            </w:r>
          </w:p>
          <w:p w:rsidR="00CB72B0" w:rsidRPr="00CB72B0" w:rsidRDefault="00CB72B0" w:rsidP="00CB72B0">
            <w:pPr>
              <w:jc w:val="both"/>
              <w:rPr>
                <w:sz w:val="20"/>
                <w:lang w:val="fr-CA"/>
              </w:rPr>
            </w:pPr>
            <w:r w:rsidRPr="00CB72B0">
              <w:rPr>
                <w:sz w:val="20"/>
                <w:lang w:val="fr-CA"/>
              </w:rPr>
              <w:t>(Ont.) (Civile) (Sur autorisation)</w:t>
            </w:r>
          </w:p>
        </w:tc>
      </w:tr>
      <w:tr w:rsidR="00CB72B0" w:rsidRPr="00CB72B0" w:rsidTr="003E65DA">
        <w:tc>
          <w:tcPr>
            <w:tcW w:w="5000" w:type="pct"/>
            <w:gridSpan w:val="4"/>
          </w:tcPr>
          <w:p w:rsidR="00CB72B0" w:rsidRPr="00CB72B0" w:rsidRDefault="00CB72B0" w:rsidP="00CB72B0">
            <w:pPr>
              <w:jc w:val="both"/>
              <w:rPr>
                <w:sz w:val="20"/>
                <w:lang w:val="fr-CA"/>
              </w:rPr>
            </w:pPr>
            <w:r w:rsidRPr="00CB72B0">
              <w:rPr>
                <w:sz w:val="20"/>
                <w:lang w:val="fr-CA"/>
              </w:rPr>
              <w:t>Contrats – Contrats commerciaux – Clause de limitation de la responsabilité – Faut-il faire une distinction entre les clauses d’exclusion complète et les clauses de limitation de la responsabilité? – Est-il contraire à l’ordre public qu’un contrat renferme une clause qui décharge une partie de ses obligations contractuelles ou de tout délit civil que cette partie est susceptible de commettre? – Des dispositions particulières s’appliquent-elles lorsqu’une partie est illettrée dans la langue du contrat? – Une obligation d’agir de bonne foi en matière contractuelle crée-t-elle l’obligation de communiquer lorsqu’une partie stipule une clause d’exclusion ou de limitation de la responsabilité? – Est-il contraire à l’ordre public de prévoir une clause exonératrice dans un contrat où un service déficient mettra les autres en danger?</w:t>
            </w:r>
          </w:p>
        </w:tc>
      </w:tr>
      <w:tr w:rsidR="00CB72B0" w:rsidRPr="00CB72B0" w:rsidTr="003E65DA">
        <w:tc>
          <w:tcPr>
            <w:tcW w:w="5000" w:type="pct"/>
            <w:gridSpan w:val="4"/>
          </w:tcPr>
          <w:p w:rsidR="00CB72B0" w:rsidRPr="00CB72B0" w:rsidRDefault="00CB72B0" w:rsidP="00CB72B0">
            <w:pPr>
              <w:jc w:val="both"/>
              <w:rPr>
                <w:sz w:val="20"/>
                <w:lang w:val="fr-CA"/>
              </w:rPr>
            </w:pPr>
          </w:p>
        </w:tc>
      </w:tr>
      <w:tr w:rsidR="00CB72B0" w:rsidRPr="00CB72B0" w:rsidTr="003E65DA">
        <w:tc>
          <w:tcPr>
            <w:tcW w:w="5000" w:type="pct"/>
            <w:gridSpan w:val="4"/>
          </w:tcPr>
          <w:p w:rsidR="00CB72B0" w:rsidRPr="00CB72B0" w:rsidRDefault="00CB72B0" w:rsidP="00CB72B0">
            <w:pPr>
              <w:jc w:val="both"/>
              <w:rPr>
                <w:sz w:val="20"/>
                <w:lang w:val="fr-CA"/>
              </w:rPr>
            </w:pPr>
            <w:r w:rsidRPr="00CB72B0">
              <w:rPr>
                <w:sz w:val="20"/>
                <w:lang w:val="fr-CA"/>
              </w:rPr>
              <w:t>Suhaag Jewellers Ltd., une bijouterie, a conclu un contrat avec Alarm Factory Inc., pour l’installation, l’entretien et la surveillance de systèmes de sécurité. Le contrat renferme une clause de limitation de la responsabilité et d’indemnisation. Suhaag Jewellers Ltd. a déposé une déclaration dans laquelle elle allègue que des bijoux auraient été volés le 28 août 2012 ou vers cette date et que le service de sécurité et de surveillance d’alarme avait fait défaut. Elle réclame des dommages-intérêts d’Alarm Factory Inc. en matière délictuelle et pour violation de contrat. Alarm Factory Inc. a présenté une motion en jugement sommaire, s’appuyant sur la clause de limitation et d’indemnisation.</w:t>
            </w:r>
          </w:p>
          <w:p w:rsidR="00CB72B0" w:rsidRPr="00CB72B0" w:rsidRDefault="00CB72B0" w:rsidP="00CB72B0">
            <w:pPr>
              <w:jc w:val="both"/>
              <w:rPr>
                <w:sz w:val="20"/>
                <w:lang w:val="fr-CA"/>
              </w:rPr>
            </w:pPr>
            <w:r w:rsidRPr="00CB72B0">
              <w:rPr>
                <w:sz w:val="20"/>
                <w:lang w:val="fr-CA"/>
              </w:rPr>
              <w:t xml:space="preserve">  </w:t>
            </w:r>
          </w:p>
        </w:tc>
      </w:tr>
      <w:tr w:rsidR="00CB72B0" w:rsidRPr="00CB72B0" w:rsidTr="003E65DA">
        <w:tc>
          <w:tcPr>
            <w:tcW w:w="2427" w:type="pct"/>
            <w:gridSpan w:val="2"/>
          </w:tcPr>
          <w:p w:rsidR="00CB72B0" w:rsidRPr="00CB72B0" w:rsidRDefault="00CB72B0" w:rsidP="00CB72B0">
            <w:pPr>
              <w:jc w:val="both"/>
              <w:rPr>
                <w:sz w:val="20"/>
                <w:lang w:val="fr-CA"/>
              </w:rPr>
            </w:pPr>
            <w:r w:rsidRPr="00CB72B0">
              <w:rPr>
                <w:sz w:val="20"/>
                <w:lang w:val="fr-CA"/>
              </w:rPr>
              <w:t>4 juin 2015</w:t>
            </w:r>
          </w:p>
          <w:p w:rsidR="00CB72B0" w:rsidRPr="00CB72B0" w:rsidRDefault="00CB72B0" w:rsidP="00CB72B0">
            <w:pPr>
              <w:jc w:val="both"/>
              <w:rPr>
                <w:sz w:val="20"/>
                <w:lang w:val="fr-CA"/>
              </w:rPr>
            </w:pPr>
            <w:r w:rsidRPr="00CB72B0">
              <w:rPr>
                <w:sz w:val="20"/>
                <w:lang w:val="fr-CA"/>
              </w:rPr>
              <w:t>Cour supérieure de justice de l’Ontario</w:t>
            </w:r>
          </w:p>
          <w:p w:rsidR="00CB72B0" w:rsidRPr="00CB72B0" w:rsidRDefault="00CB72B0" w:rsidP="00CB72B0">
            <w:pPr>
              <w:jc w:val="both"/>
              <w:rPr>
                <w:sz w:val="20"/>
                <w:lang w:val="fr-CA"/>
              </w:rPr>
            </w:pPr>
            <w:r w:rsidRPr="00CB72B0">
              <w:rPr>
                <w:sz w:val="20"/>
                <w:lang w:val="fr-CA"/>
              </w:rPr>
              <w:t xml:space="preserve">(Juge Diamond) </w:t>
            </w:r>
          </w:p>
          <w:p w:rsidR="00CB72B0" w:rsidRPr="00CB72B0" w:rsidRDefault="00CB72B0" w:rsidP="00CB72B0">
            <w:pPr>
              <w:jc w:val="both"/>
              <w:rPr>
                <w:sz w:val="20"/>
                <w:lang w:val="fr-CA"/>
              </w:rPr>
            </w:pPr>
            <w:hyperlink r:id="rId66" w:history="1">
              <w:r w:rsidRPr="00CB72B0">
                <w:rPr>
                  <w:rStyle w:val="Hyperlink"/>
                  <w:sz w:val="20"/>
                  <w:lang w:val="fr-CA"/>
                </w:rPr>
                <w:t>2015 ONCA 3542</w:t>
              </w:r>
            </w:hyperlink>
          </w:p>
          <w:p w:rsidR="00CB72B0" w:rsidRPr="00CB72B0" w:rsidRDefault="00CB72B0" w:rsidP="00CB72B0">
            <w:pPr>
              <w:jc w:val="both"/>
              <w:rPr>
                <w:sz w:val="20"/>
                <w:lang w:val="fr-CA"/>
              </w:rPr>
            </w:pPr>
          </w:p>
        </w:tc>
        <w:tc>
          <w:tcPr>
            <w:tcW w:w="243" w:type="pct"/>
          </w:tcPr>
          <w:p w:rsidR="00CB72B0" w:rsidRPr="00CB72B0" w:rsidRDefault="00CB72B0" w:rsidP="00CB72B0">
            <w:pPr>
              <w:jc w:val="both"/>
              <w:rPr>
                <w:sz w:val="20"/>
                <w:lang w:val="fr-CA"/>
              </w:rPr>
            </w:pPr>
          </w:p>
        </w:tc>
        <w:tc>
          <w:tcPr>
            <w:tcW w:w="2330" w:type="pct"/>
          </w:tcPr>
          <w:p w:rsidR="00CB72B0" w:rsidRPr="00CB72B0" w:rsidRDefault="00CB72B0" w:rsidP="00CB72B0">
            <w:pPr>
              <w:jc w:val="both"/>
              <w:rPr>
                <w:sz w:val="20"/>
                <w:lang w:val="fr-CA"/>
              </w:rPr>
            </w:pPr>
            <w:r w:rsidRPr="00CB72B0">
              <w:rPr>
                <w:sz w:val="20"/>
                <w:lang w:val="fr-CA"/>
              </w:rPr>
              <w:t>Jugement accueillant la motion en jugement sommaire rejetant la demande</w:t>
            </w:r>
          </w:p>
          <w:p w:rsidR="00CB72B0" w:rsidRPr="00CB72B0" w:rsidRDefault="00CB72B0" w:rsidP="00CB72B0">
            <w:pPr>
              <w:jc w:val="both"/>
              <w:rPr>
                <w:sz w:val="20"/>
                <w:lang w:val="fr-CA"/>
              </w:rPr>
            </w:pPr>
          </w:p>
        </w:tc>
      </w:tr>
      <w:tr w:rsidR="00CB72B0" w:rsidRPr="00CB72B0" w:rsidTr="003E65DA">
        <w:tc>
          <w:tcPr>
            <w:tcW w:w="2427" w:type="pct"/>
            <w:gridSpan w:val="2"/>
          </w:tcPr>
          <w:p w:rsidR="00CB72B0" w:rsidRPr="00CB72B0" w:rsidRDefault="00CB72B0" w:rsidP="00CB72B0">
            <w:pPr>
              <w:jc w:val="both"/>
              <w:rPr>
                <w:sz w:val="20"/>
                <w:lang w:val="fr-CA"/>
              </w:rPr>
            </w:pPr>
            <w:r w:rsidRPr="00CB72B0">
              <w:rPr>
                <w:sz w:val="20"/>
                <w:lang w:val="fr-CA"/>
              </w:rPr>
              <w:t>8 janvier 2016</w:t>
            </w:r>
          </w:p>
          <w:p w:rsidR="00CB72B0" w:rsidRPr="00CB72B0" w:rsidRDefault="00CB72B0" w:rsidP="00CB72B0">
            <w:pPr>
              <w:jc w:val="both"/>
              <w:rPr>
                <w:sz w:val="20"/>
                <w:lang w:val="fr-CA"/>
              </w:rPr>
            </w:pPr>
            <w:r w:rsidRPr="00CB72B0">
              <w:rPr>
                <w:sz w:val="20"/>
                <w:lang w:val="fr-CA"/>
              </w:rPr>
              <w:t xml:space="preserve">Cour d’appel de l’Ontario </w:t>
            </w:r>
          </w:p>
          <w:p w:rsidR="00CB72B0" w:rsidRPr="00CB72B0" w:rsidRDefault="00CB72B0" w:rsidP="00CB72B0">
            <w:pPr>
              <w:jc w:val="both"/>
              <w:rPr>
                <w:sz w:val="20"/>
                <w:lang w:val="fr-CA"/>
              </w:rPr>
            </w:pPr>
            <w:r w:rsidRPr="00CB72B0">
              <w:rPr>
                <w:sz w:val="20"/>
                <w:lang w:val="fr-CA"/>
              </w:rPr>
              <w:t>(Jugea Juriansz, Hourigan et Brown)</w:t>
            </w:r>
          </w:p>
          <w:p w:rsidR="00CB72B0" w:rsidRPr="00CB72B0" w:rsidRDefault="00CB72B0" w:rsidP="00CB72B0">
            <w:pPr>
              <w:jc w:val="both"/>
              <w:rPr>
                <w:sz w:val="20"/>
                <w:lang w:val="fr-CA"/>
              </w:rPr>
            </w:pPr>
            <w:r w:rsidRPr="00CB72B0">
              <w:rPr>
                <w:sz w:val="20"/>
                <w:lang w:val="fr-CA"/>
              </w:rPr>
              <w:t xml:space="preserve">C60662; </w:t>
            </w:r>
            <w:hyperlink r:id="rId67" w:history="1">
              <w:r w:rsidRPr="00CB72B0">
                <w:rPr>
                  <w:rStyle w:val="Hyperlink"/>
                  <w:sz w:val="20"/>
                  <w:lang w:val="fr-CA"/>
                </w:rPr>
                <w:t>2016 ONCA 33</w:t>
              </w:r>
            </w:hyperlink>
          </w:p>
          <w:p w:rsidR="00CB72B0" w:rsidRPr="00CB72B0" w:rsidRDefault="00CB72B0" w:rsidP="00CB72B0">
            <w:pPr>
              <w:jc w:val="both"/>
              <w:rPr>
                <w:sz w:val="20"/>
                <w:lang w:val="fr-CA"/>
              </w:rPr>
            </w:pPr>
          </w:p>
        </w:tc>
        <w:tc>
          <w:tcPr>
            <w:tcW w:w="243" w:type="pct"/>
          </w:tcPr>
          <w:p w:rsidR="00CB72B0" w:rsidRPr="00CB72B0" w:rsidRDefault="00CB72B0" w:rsidP="00CB72B0">
            <w:pPr>
              <w:jc w:val="both"/>
              <w:rPr>
                <w:sz w:val="20"/>
                <w:lang w:val="fr-CA"/>
              </w:rPr>
            </w:pPr>
          </w:p>
        </w:tc>
        <w:tc>
          <w:tcPr>
            <w:tcW w:w="2330" w:type="pct"/>
          </w:tcPr>
          <w:p w:rsidR="00CB72B0" w:rsidRPr="00CB72B0" w:rsidRDefault="00CB72B0" w:rsidP="00CB72B0">
            <w:pPr>
              <w:jc w:val="both"/>
              <w:rPr>
                <w:sz w:val="20"/>
                <w:lang w:val="fr-CA"/>
              </w:rPr>
            </w:pPr>
            <w:r w:rsidRPr="00CB72B0">
              <w:rPr>
                <w:sz w:val="20"/>
                <w:lang w:val="fr-CA"/>
              </w:rPr>
              <w:t>Rejet de l’appel</w:t>
            </w:r>
          </w:p>
          <w:p w:rsidR="00CB72B0" w:rsidRPr="00CB72B0" w:rsidRDefault="00CB72B0" w:rsidP="00CB72B0">
            <w:pPr>
              <w:jc w:val="both"/>
              <w:rPr>
                <w:sz w:val="20"/>
                <w:lang w:val="fr-CA"/>
              </w:rPr>
            </w:pPr>
          </w:p>
        </w:tc>
      </w:tr>
      <w:tr w:rsidR="00CB72B0" w:rsidRPr="00CB72B0" w:rsidTr="003E65DA">
        <w:tc>
          <w:tcPr>
            <w:tcW w:w="2427" w:type="pct"/>
            <w:gridSpan w:val="2"/>
          </w:tcPr>
          <w:p w:rsidR="00CB72B0" w:rsidRPr="00CB72B0" w:rsidRDefault="00CB72B0" w:rsidP="00CB72B0">
            <w:pPr>
              <w:jc w:val="both"/>
              <w:rPr>
                <w:sz w:val="20"/>
                <w:lang w:val="fr-CA"/>
              </w:rPr>
            </w:pPr>
            <w:r w:rsidRPr="00CB72B0">
              <w:rPr>
                <w:sz w:val="20"/>
                <w:lang w:val="fr-CA"/>
              </w:rPr>
              <w:t>8 mars 2016</w:t>
            </w:r>
          </w:p>
          <w:p w:rsidR="00CB72B0" w:rsidRPr="00CB72B0" w:rsidRDefault="00CB72B0" w:rsidP="00CB72B0">
            <w:pPr>
              <w:jc w:val="both"/>
              <w:rPr>
                <w:sz w:val="20"/>
                <w:lang w:val="fr-CA"/>
              </w:rPr>
            </w:pPr>
            <w:r w:rsidRPr="00CB72B0">
              <w:rPr>
                <w:sz w:val="20"/>
                <w:lang w:val="fr-CA"/>
              </w:rPr>
              <w:t>Cour suprême du Canada</w:t>
            </w:r>
          </w:p>
        </w:tc>
        <w:tc>
          <w:tcPr>
            <w:tcW w:w="243" w:type="pct"/>
          </w:tcPr>
          <w:p w:rsidR="00CB72B0" w:rsidRPr="00CB72B0" w:rsidRDefault="00CB72B0" w:rsidP="00CB72B0">
            <w:pPr>
              <w:jc w:val="both"/>
              <w:rPr>
                <w:sz w:val="20"/>
                <w:lang w:val="fr-CA"/>
              </w:rPr>
            </w:pPr>
          </w:p>
        </w:tc>
        <w:tc>
          <w:tcPr>
            <w:tcW w:w="2330" w:type="pct"/>
          </w:tcPr>
          <w:p w:rsidR="00CB72B0" w:rsidRPr="00CB72B0" w:rsidRDefault="00CB72B0" w:rsidP="00CB72B0">
            <w:pPr>
              <w:jc w:val="both"/>
              <w:rPr>
                <w:sz w:val="20"/>
                <w:lang w:val="fr-CA"/>
              </w:rPr>
            </w:pPr>
            <w:r w:rsidRPr="00CB72B0">
              <w:rPr>
                <w:sz w:val="20"/>
                <w:lang w:val="fr-CA"/>
              </w:rPr>
              <w:t>Dépôt de la demande d’autorisation d’appel</w:t>
            </w:r>
          </w:p>
        </w:tc>
      </w:tr>
    </w:tbl>
    <w:p w:rsidR="00CB72B0" w:rsidRPr="00CB72B0" w:rsidRDefault="00CB72B0" w:rsidP="00CB72B0">
      <w:pPr>
        <w:jc w:val="both"/>
        <w:rPr>
          <w:sz w:val="20"/>
          <w:lang w:val="fr-CA"/>
        </w:rPr>
      </w:pPr>
    </w:p>
    <w:p w:rsidR="00E56229" w:rsidRPr="00CB72B0" w:rsidRDefault="00E56229" w:rsidP="00CB72B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72B0" w:rsidRPr="00CB72B0" w:rsidTr="00141164">
        <w:tc>
          <w:tcPr>
            <w:tcW w:w="543" w:type="pct"/>
          </w:tcPr>
          <w:p w:rsidR="00CB72B0" w:rsidRPr="00CB72B0" w:rsidRDefault="00CB72B0" w:rsidP="00CB72B0">
            <w:pPr>
              <w:jc w:val="both"/>
              <w:rPr>
                <w:sz w:val="20"/>
              </w:rPr>
            </w:pPr>
            <w:r w:rsidRPr="00CB72B0">
              <w:rPr>
                <w:rStyle w:val="SCCFileNumberChar"/>
                <w:sz w:val="20"/>
                <w:szCs w:val="20"/>
              </w:rPr>
              <w:t>36889</w:t>
            </w:r>
          </w:p>
        </w:tc>
        <w:tc>
          <w:tcPr>
            <w:tcW w:w="4457" w:type="pct"/>
            <w:gridSpan w:val="3"/>
          </w:tcPr>
          <w:p w:rsidR="00CB72B0" w:rsidRPr="00CB72B0" w:rsidRDefault="00CB72B0" w:rsidP="00CB72B0">
            <w:pPr>
              <w:pStyle w:val="SCCLsocParty"/>
              <w:jc w:val="both"/>
              <w:rPr>
                <w:b/>
                <w:sz w:val="20"/>
                <w:szCs w:val="20"/>
              </w:rPr>
            </w:pPr>
            <w:r w:rsidRPr="00CB72B0">
              <w:rPr>
                <w:b/>
                <w:sz w:val="20"/>
                <w:szCs w:val="20"/>
              </w:rPr>
              <w:t xml:space="preserve">Nick Mancuso, The Results Company Inc., David Rowland, Life Choice Ltd. (amalgamated from, rolled into, and continuing on business for, and from, E.D. Modern Design Ltd. and E.G.D. Modern Design Ltd.) and Dr. </w:t>
            </w:r>
            <w:proofErr w:type="spellStart"/>
            <w:r w:rsidRPr="00CB72B0">
              <w:rPr>
                <w:b/>
                <w:sz w:val="20"/>
                <w:szCs w:val="20"/>
              </w:rPr>
              <w:t>Eldon</w:t>
            </w:r>
            <w:proofErr w:type="spellEnd"/>
            <w:r w:rsidRPr="00CB72B0">
              <w:rPr>
                <w:b/>
                <w:sz w:val="20"/>
                <w:szCs w:val="20"/>
              </w:rPr>
              <w:t xml:space="preserve"> Dahl, and </w:t>
            </w:r>
            <w:proofErr w:type="spellStart"/>
            <w:r w:rsidRPr="00CB72B0">
              <w:rPr>
                <w:b/>
                <w:sz w:val="20"/>
                <w:szCs w:val="20"/>
              </w:rPr>
              <w:t>Agnesa</w:t>
            </w:r>
            <w:proofErr w:type="spellEnd"/>
            <w:r w:rsidRPr="00CB72B0">
              <w:rPr>
                <w:b/>
                <w:sz w:val="20"/>
                <w:szCs w:val="20"/>
              </w:rPr>
              <w:t xml:space="preserve"> Dahl v. Minister of National Health and Welfare, Attorney General of Canada, Minister of Public Safety and Emergency Preparedness, Royal Canadian Mounted Police, and Her Majesty the Queen in Right of Canada</w:t>
            </w:r>
          </w:p>
          <w:p w:rsidR="00CB72B0" w:rsidRPr="00CB72B0" w:rsidRDefault="00CB72B0" w:rsidP="00CB72B0">
            <w:pPr>
              <w:jc w:val="both"/>
              <w:rPr>
                <w:sz w:val="20"/>
              </w:rPr>
            </w:pPr>
            <w:r w:rsidRPr="00CB72B0">
              <w:rPr>
                <w:sz w:val="20"/>
              </w:rPr>
              <w:t>(FC) (Civil) (By Leave)</w:t>
            </w:r>
          </w:p>
        </w:tc>
      </w:tr>
      <w:tr w:rsidR="00CB72B0" w:rsidRPr="00CB72B0" w:rsidTr="00141164">
        <w:tc>
          <w:tcPr>
            <w:tcW w:w="5000" w:type="pct"/>
            <w:gridSpan w:val="4"/>
          </w:tcPr>
          <w:p w:rsidR="00CB72B0" w:rsidRPr="00CB72B0" w:rsidRDefault="00CB72B0" w:rsidP="00CB72B0">
            <w:pPr>
              <w:jc w:val="both"/>
              <w:rPr>
                <w:sz w:val="20"/>
              </w:rPr>
            </w:pPr>
            <w:r w:rsidRPr="00CB72B0">
              <w:rPr>
                <w:i/>
                <w:sz w:val="20"/>
              </w:rPr>
              <w:t>Charter of Rights</w:t>
            </w:r>
            <w:r w:rsidRPr="00CB72B0">
              <w:rPr>
                <w:sz w:val="20"/>
              </w:rPr>
              <w:t xml:space="preserve"> – Alleged violations of ss. 2(a), 2(b), 7, 9 and 15 of the </w:t>
            </w:r>
            <w:r w:rsidRPr="00CB72B0">
              <w:rPr>
                <w:i/>
                <w:sz w:val="20"/>
              </w:rPr>
              <w:t>Charter</w:t>
            </w:r>
            <w:r w:rsidRPr="00CB72B0">
              <w:rPr>
                <w:sz w:val="20"/>
              </w:rPr>
              <w:t xml:space="preserve"> – Civil Procedure – Pleadings – Motion to strike – Constitutional law – Division of powers – Does a Judge, sitting on a motion to strike, have the jurisdiction to make findings of fact – Does a Judge sitting on a motion to strike have jurisdiction to “strike the entirety of the claim”, with leave to amend, and not allow to proceed the factual assertions and legal remedy </w:t>
            </w:r>
            <w:r w:rsidRPr="00CB72B0">
              <w:rPr>
                <w:i/>
                <w:sz w:val="20"/>
              </w:rPr>
              <w:t>not</w:t>
            </w:r>
            <w:r w:rsidRPr="00CB72B0">
              <w:rPr>
                <w:sz w:val="20"/>
              </w:rPr>
              <w:t xml:space="preserve"> struck – Can an action for Declaratory relief proceed without a “cause of action” for damages – Does a guilty plea in Provincial Court, under a statute where its constitutionality has not been determined, bar a subsequent Superior Court action attacking the constitutionality of the legislation, based on a “collateral attack/abuse of process” pursuant to </w:t>
            </w:r>
            <w:r w:rsidRPr="00CB72B0">
              <w:rPr>
                <w:i/>
                <w:sz w:val="20"/>
              </w:rPr>
              <w:t>Toronto (City) v. C.U.P.E., Local 79</w:t>
            </w:r>
            <w:r w:rsidRPr="00CB72B0">
              <w:rPr>
                <w:sz w:val="20"/>
              </w:rPr>
              <w:t>, [2003] 3 S.C.R. 77, 2003 SCC 63.</w:t>
            </w:r>
          </w:p>
        </w:tc>
      </w:tr>
      <w:tr w:rsidR="00CB72B0" w:rsidRPr="00CB72B0" w:rsidTr="00141164">
        <w:tc>
          <w:tcPr>
            <w:tcW w:w="5000" w:type="pct"/>
            <w:gridSpan w:val="4"/>
          </w:tcPr>
          <w:p w:rsidR="00CB72B0" w:rsidRPr="00CB72B0" w:rsidRDefault="00CB72B0" w:rsidP="00CB72B0">
            <w:pPr>
              <w:jc w:val="both"/>
              <w:rPr>
                <w:sz w:val="20"/>
              </w:rPr>
            </w:pPr>
          </w:p>
        </w:tc>
      </w:tr>
      <w:tr w:rsidR="00CB72B0" w:rsidRPr="00CB72B0" w:rsidTr="00141164">
        <w:tc>
          <w:tcPr>
            <w:tcW w:w="5000" w:type="pct"/>
            <w:gridSpan w:val="4"/>
          </w:tcPr>
          <w:p w:rsidR="00CB72B0" w:rsidRPr="00CB72B0" w:rsidRDefault="00CB72B0" w:rsidP="00CB72B0">
            <w:pPr>
              <w:jc w:val="both"/>
              <w:rPr>
                <w:sz w:val="20"/>
              </w:rPr>
            </w:pPr>
            <w:r w:rsidRPr="00CB72B0">
              <w:rPr>
                <w:sz w:val="20"/>
              </w:rPr>
              <w:t xml:space="preserve">The applicants are individual and corporate consumers, distributors and producers of certain health products (the “Products”) in Canada. The Products are regulated as “drugs” as defined by s. 2 under the </w:t>
            </w:r>
            <w:r w:rsidRPr="00CB72B0">
              <w:rPr>
                <w:i/>
                <w:sz w:val="20"/>
              </w:rPr>
              <w:t>Food and Drugs Act</w:t>
            </w:r>
            <w:r w:rsidRPr="00CB72B0">
              <w:rPr>
                <w:sz w:val="20"/>
              </w:rPr>
              <w:t>, R.S.C., 1985, c. F-27 (the “</w:t>
            </w:r>
            <w:r w:rsidRPr="00CB72B0">
              <w:rPr>
                <w:i/>
                <w:sz w:val="20"/>
              </w:rPr>
              <w:t>Act</w:t>
            </w:r>
            <w:r w:rsidRPr="00CB72B0">
              <w:rPr>
                <w:sz w:val="20"/>
              </w:rPr>
              <w:t xml:space="preserve">”) and the </w:t>
            </w:r>
            <w:r w:rsidRPr="00CB72B0">
              <w:rPr>
                <w:i/>
                <w:sz w:val="20"/>
              </w:rPr>
              <w:t>Natural Health Products Regulations</w:t>
            </w:r>
            <w:r w:rsidRPr="00CB72B0">
              <w:rPr>
                <w:sz w:val="20"/>
              </w:rPr>
              <w:t>, SOR 2003-196 (the “</w:t>
            </w:r>
            <w:r w:rsidRPr="00CB72B0">
              <w:rPr>
                <w:i/>
                <w:sz w:val="20"/>
              </w:rPr>
              <w:t>Regulations</w:t>
            </w:r>
            <w:r w:rsidRPr="00CB72B0">
              <w:rPr>
                <w:sz w:val="20"/>
              </w:rPr>
              <w:t xml:space="preserve">”). The applicants brought an action challenging Parliament’s constitutional authority to regulate the production and sale of natural health products, including vitamins and dietary and nutritional food supplements. Alternatively, they challenged the statutory authority for the </w:t>
            </w:r>
            <w:r w:rsidRPr="00CB72B0">
              <w:rPr>
                <w:i/>
                <w:sz w:val="20"/>
              </w:rPr>
              <w:t>Regulations</w:t>
            </w:r>
            <w:r w:rsidRPr="00CB72B0">
              <w:rPr>
                <w:sz w:val="20"/>
              </w:rPr>
              <w:t xml:space="preserve">, pleading </w:t>
            </w:r>
            <w:r w:rsidRPr="00CB72B0">
              <w:rPr>
                <w:i/>
                <w:sz w:val="20"/>
              </w:rPr>
              <w:t>Charter</w:t>
            </w:r>
            <w:r w:rsidRPr="00CB72B0">
              <w:rPr>
                <w:sz w:val="20"/>
              </w:rPr>
              <w:t xml:space="preserve"> breaches and tortious conduct by government officials in administering and enforcing the regulatory scheme. Their statement of claim sought, </w:t>
            </w:r>
            <w:r w:rsidRPr="00CB72B0">
              <w:rPr>
                <w:i/>
                <w:sz w:val="20"/>
              </w:rPr>
              <w:t>inter alia</w:t>
            </w:r>
            <w:r w:rsidRPr="00CB72B0">
              <w:rPr>
                <w:sz w:val="20"/>
              </w:rPr>
              <w:t xml:space="preserve">, damages, declarations of invalidity and a stay of enforcement of provisions of the </w:t>
            </w:r>
            <w:r w:rsidRPr="00CB72B0">
              <w:rPr>
                <w:i/>
                <w:sz w:val="20"/>
              </w:rPr>
              <w:t>Act</w:t>
            </w:r>
            <w:r w:rsidRPr="00CB72B0">
              <w:rPr>
                <w:sz w:val="20"/>
              </w:rPr>
              <w:t xml:space="preserve"> and </w:t>
            </w:r>
            <w:r w:rsidRPr="00CB72B0">
              <w:rPr>
                <w:i/>
                <w:sz w:val="20"/>
              </w:rPr>
              <w:t>Regulations</w:t>
            </w:r>
            <w:r w:rsidRPr="00CB72B0">
              <w:rPr>
                <w:sz w:val="20"/>
              </w:rPr>
              <w:t>.</w:t>
            </w:r>
          </w:p>
          <w:p w:rsidR="00CB72B0" w:rsidRPr="00CB72B0" w:rsidRDefault="00CB72B0" w:rsidP="00CB72B0">
            <w:pPr>
              <w:jc w:val="both"/>
              <w:rPr>
                <w:sz w:val="20"/>
              </w:rPr>
            </w:pPr>
          </w:p>
          <w:p w:rsidR="00CB72B0" w:rsidRPr="00CB72B0" w:rsidRDefault="00CB72B0" w:rsidP="00CB72B0">
            <w:pPr>
              <w:jc w:val="both"/>
              <w:rPr>
                <w:sz w:val="20"/>
              </w:rPr>
            </w:pPr>
            <w:r w:rsidRPr="00CB72B0">
              <w:rPr>
                <w:sz w:val="20"/>
              </w:rPr>
              <w:t>The respondents brought a motion to strike the statement of claim in its entirety or paragraphs amounting to the bulk of the claim, and brought a motion to remove all defendants but Her Majesty the Queen in Right of Canada. The Federal Court struck the Claim “in accordance with these reasons”, granted leave to amend the Claim within 30 days, and struck the other defendants. The applicants appealed the decision, arguing that the Judge had erred in striking parts of the Claim and that those parts which had not been struck should be allowed to proceed. The respondents cross-appealed on the issue of whether the whole Claim had been struck. The Federal Court of Appeal interpreted the lower court decision as striking the entire statement of claim and dismissed the appeal.</w:t>
            </w:r>
          </w:p>
        </w:tc>
      </w:tr>
      <w:tr w:rsidR="00CB72B0" w:rsidRPr="00CB72B0" w:rsidTr="00141164">
        <w:tc>
          <w:tcPr>
            <w:tcW w:w="5000" w:type="pct"/>
            <w:gridSpan w:val="4"/>
          </w:tcPr>
          <w:p w:rsidR="00CB72B0" w:rsidRPr="00CB72B0" w:rsidRDefault="00CB72B0" w:rsidP="00CB72B0">
            <w:pPr>
              <w:jc w:val="both"/>
              <w:rPr>
                <w:sz w:val="20"/>
              </w:rPr>
            </w:pPr>
          </w:p>
        </w:tc>
      </w:tr>
      <w:tr w:rsidR="00CB72B0" w:rsidRPr="00CB72B0" w:rsidTr="00141164">
        <w:tc>
          <w:tcPr>
            <w:tcW w:w="2427" w:type="pct"/>
            <w:gridSpan w:val="2"/>
          </w:tcPr>
          <w:p w:rsidR="00CB72B0" w:rsidRPr="00CB72B0" w:rsidRDefault="00CB72B0" w:rsidP="00CB72B0">
            <w:pPr>
              <w:jc w:val="both"/>
              <w:rPr>
                <w:sz w:val="20"/>
              </w:rPr>
            </w:pPr>
            <w:r w:rsidRPr="00CB72B0">
              <w:rPr>
                <w:sz w:val="20"/>
              </w:rPr>
              <w:t>July 16, 2014</w:t>
            </w:r>
          </w:p>
          <w:p w:rsidR="00CB72B0" w:rsidRPr="00CB72B0" w:rsidRDefault="00CB72B0" w:rsidP="00CB72B0">
            <w:pPr>
              <w:jc w:val="both"/>
              <w:rPr>
                <w:sz w:val="20"/>
              </w:rPr>
            </w:pPr>
            <w:r w:rsidRPr="00CB72B0">
              <w:rPr>
                <w:sz w:val="20"/>
              </w:rPr>
              <w:t>Federal Court</w:t>
            </w:r>
          </w:p>
          <w:p w:rsidR="00CB72B0" w:rsidRPr="00CB72B0" w:rsidRDefault="00CB72B0" w:rsidP="00CB72B0">
            <w:pPr>
              <w:jc w:val="both"/>
              <w:rPr>
                <w:sz w:val="20"/>
              </w:rPr>
            </w:pPr>
            <w:r w:rsidRPr="00CB72B0">
              <w:rPr>
                <w:sz w:val="20"/>
              </w:rPr>
              <w:t>(Russell J.)</w:t>
            </w:r>
          </w:p>
          <w:p w:rsidR="00CB72B0" w:rsidRPr="00CB72B0" w:rsidRDefault="00CB72B0" w:rsidP="00CB72B0">
            <w:pPr>
              <w:jc w:val="both"/>
              <w:rPr>
                <w:sz w:val="20"/>
              </w:rPr>
            </w:pPr>
            <w:hyperlink r:id="rId68" w:history="1">
              <w:r w:rsidRPr="00CB72B0">
                <w:rPr>
                  <w:rStyle w:val="Hyperlink"/>
                  <w:sz w:val="20"/>
                </w:rPr>
                <w:t>2014 FC 708</w:t>
              </w:r>
            </w:hyperlink>
          </w:p>
          <w:p w:rsidR="00CB72B0" w:rsidRPr="00CB72B0" w:rsidRDefault="00CB72B0" w:rsidP="00CB72B0">
            <w:pPr>
              <w:jc w:val="both"/>
              <w:rPr>
                <w:sz w:val="20"/>
              </w:rPr>
            </w:pPr>
          </w:p>
        </w:tc>
        <w:tc>
          <w:tcPr>
            <w:tcW w:w="243" w:type="pct"/>
          </w:tcPr>
          <w:p w:rsidR="00CB72B0" w:rsidRPr="00CB72B0" w:rsidRDefault="00CB72B0" w:rsidP="00CB72B0">
            <w:pPr>
              <w:jc w:val="both"/>
              <w:rPr>
                <w:sz w:val="20"/>
              </w:rPr>
            </w:pPr>
          </w:p>
        </w:tc>
        <w:tc>
          <w:tcPr>
            <w:tcW w:w="2330" w:type="pct"/>
          </w:tcPr>
          <w:p w:rsidR="00CB72B0" w:rsidRPr="00CB72B0" w:rsidRDefault="00CB72B0" w:rsidP="00CB72B0">
            <w:pPr>
              <w:jc w:val="both"/>
              <w:rPr>
                <w:sz w:val="20"/>
              </w:rPr>
            </w:pPr>
            <w:r w:rsidRPr="00CB72B0">
              <w:rPr>
                <w:sz w:val="20"/>
              </w:rPr>
              <w:t>Applicants’ Claim struck in accordance with reasons with leave to amend; All defendants struck except Her Majesty the Queen in Right of Canada; Motion for stay dismissed</w:t>
            </w:r>
          </w:p>
        </w:tc>
      </w:tr>
      <w:tr w:rsidR="00CB72B0" w:rsidRPr="00CB72B0" w:rsidTr="00141164">
        <w:tc>
          <w:tcPr>
            <w:tcW w:w="2427" w:type="pct"/>
            <w:gridSpan w:val="2"/>
          </w:tcPr>
          <w:p w:rsidR="00CB72B0" w:rsidRPr="00CB72B0" w:rsidRDefault="00CB72B0" w:rsidP="00CB72B0">
            <w:pPr>
              <w:jc w:val="both"/>
              <w:rPr>
                <w:sz w:val="20"/>
              </w:rPr>
            </w:pPr>
            <w:r w:rsidRPr="00CB72B0">
              <w:rPr>
                <w:sz w:val="20"/>
              </w:rPr>
              <w:t>October 27, 2015</w:t>
            </w:r>
          </w:p>
          <w:p w:rsidR="00CB72B0" w:rsidRPr="00CB72B0" w:rsidRDefault="00CB72B0" w:rsidP="00CB72B0">
            <w:pPr>
              <w:jc w:val="both"/>
              <w:rPr>
                <w:sz w:val="20"/>
              </w:rPr>
            </w:pPr>
            <w:r w:rsidRPr="00CB72B0">
              <w:rPr>
                <w:sz w:val="20"/>
              </w:rPr>
              <w:t>Federal Court of Appeal</w:t>
            </w:r>
          </w:p>
          <w:p w:rsidR="00CB72B0" w:rsidRPr="00CB72B0" w:rsidRDefault="00CB72B0" w:rsidP="00CB72B0">
            <w:pPr>
              <w:jc w:val="both"/>
              <w:rPr>
                <w:sz w:val="20"/>
              </w:rPr>
            </w:pPr>
            <w:r w:rsidRPr="00CB72B0">
              <w:rPr>
                <w:sz w:val="20"/>
              </w:rPr>
              <w:t>(Stratas, Rennie and Gleason JJ.A)</w:t>
            </w:r>
          </w:p>
          <w:p w:rsidR="00CB72B0" w:rsidRPr="00CB72B0" w:rsidRDefault="00CB72B0" w:rsidP="00CB72B0">
            <w:pPr>
              <w:jc w:val="both"/>
              <w:rPr>
                <w:sz w:val="20"/>
              </w:rPr>
            </w:pPr>
            <w:hyperlink r:id="rId69" w:history="1">
              <w:r w:rsidRPr="00CB72B0">
                <w:rPr>
                  <w:rStyle w:val="Hyperlink"/>
                  <w:sz w:val="20"/>
                </w:rPr>
                <w:t>2015 FCA 227</w:t>
              </w:r>
            </w:hyperlink>
            <w:r w:rsidRPr="00CB72B0">
              <w:rPr>
                <w:sz w:val="20"/>
              </w:rPr>
              <w:t>; A-365-14</w:t>
            </w:r>
          </w:p>
          <w:p w:rsidR="00CB72B0" w:rsidRPr="00CB72B0" w:rsidRDefault="00CB72B0" w:rsidP="00CB72B0">
            <w:pPr>
              <w:jc w:val="both"/>
              <w:rPr>
                <w:sz w:val="20"/>
              </w:rPr>
            </w:pPr>
          </w:p>
        </w:tc>
        <w:tc>
          <w:tcPr>
            <w:tcW w:w="243" w:type="pct"/>
          </w:tcPr>
          <w:p w:rsidR="00CB72B0" w:rsidRPr="00CB72B0" w:rsidRDefault="00CB72B0" w:rsidP="00CB72B0">
            <w:pPr>
              <w:jc w:val="both"/>
              <w:rPr>
                <w:sz w:val="20"/>
              </w:rPr>
            </w:pPr>
          </w:p>
        </w:tc>
        <w:tc>
          <w:tcPr>
            <w:tcW w:w="2330" w:type="pct"/>
          </w:tcPr>
          <w:p w:rsidR="00CB72B0" w:rsidRPr="00CB72B0" w:rsidRDefault="00CB72B0" w:rsidP="00CB72B0">
            <w:pPr>
              <w:jc w:val="both"/>
              <w:rPr>
                <w:sz w:val="20"/>
              </w:rPr>
            </w:pPr>
            <w:r w:rsidRPr="00CB72B0">
              <w:rPr>
                <w:sz w:val="20"/>
              </w:rPr>
              <w:t>Appeal and cross-appeal dismissed</w:t>
            </w:r>
          </w:p>
          <w:p w:rsidR="00CB72B0" w:rsidRPr="00CB72B0" w:rsidRDefault="00CB72B0" w:rsidP="00CB72B0">
            <w:pPr>
              <w:jc w:val="both"/>
              <w:rPr>
                <w:sz w:val="20"/>
              </w:rPr>
            </w:pPr>
          </w:p>
        </w:tc>
      </w:tr>
      <w:tr w:rsidR="00CB72B0" w:rsidRPr="00CB72B0" w:rsidTr="00141164">
        <w:tc>
          <w:tcPr>
            <w:tcW w:w="2427" w:type="pct"/>
            <w:gridSpan w:val="2"/>
          </w:tcPr>
          <w:p w:rsidR="00CB72B0" w:rsidRPr="00CB72B0" w:rsidRDefault="00CB72B0" w:rsidP="00CB72B0">
            <w:pPr>
              <w:jc w:val="both"/>
              <w:rPr>
                <w:sz w:val="20"/>
              </w:rPr>
            </w:pPr>
            <w:r w:rsidRPr="00CB72B0">
              <w:rPr>
                <w:sz w:val="20"/>
              </w:rPr>
              <w:t>March 10, 2016</w:t>
            </w:r>
          </w:p>
          <w:p w:rsidR="00CB72B0" w:rsidRPr="00CB72B0" w:rsidRDefault="00CB72B0" w:rsidP="00CB72B0">
            <w:pPr>
              <w:jc w:val="both"/>
              <w:rPr>
                <w:sz w:val="20"/>
              </w:rPr>
            </w:pPr>
            <w:r w:rsidRPr="00CB72B0">
              <w:rPr>
                <w:sz w:val="20"/>
              </w:rPr>
              <w:t>Supreme Court of Canada</w:t>
            </w:r>
          </w:p>
        </w:tc>
        <w:tc>
          <w:tcPr>
            <w:tcW w:w="243" w:type="pct"/>
          </w:tcPr>
          <w:p w:rsidR="00CB72B0" w:rsidRPr="00CB72B0" w:rsidRDefault="00CB72B0" w:rsidP="00CB72B0">
            <w:pPr>
              <w:jc w:val="both"/>
              <w:rPr>
                <w:sz w:val="20"/>
              </w:rPr>
            </w:pPr>
          </w:p>
        </w:tc>
        <w:tc>
          <w:tcPr>
            <w:tcW w:w="2330" w:type="pct"/>
          </w:tcPr>
          <w:p w:rsidR="00CB72B0" w:rsidRPr="00CB72B0" w:rsidRDefault="00CB72B0" w:rsidP="00CB72B0">
            <w:pPr>
              <w:jc w:val="both"/>
              <w:rPr>
                <w:sz w:val="20"/>
              </w:rPr>
            </w:pPr>
            <w:r w:rsidRPr="00CB72B0">
              <w:rPr>
                <w:sz w:val="20"/>
              </w:rPr>
              <w:t>Request for an extension of time to serve and file leave application and application for leave to appeal filed</w:t>
            </w:r>
          </w:p>
        </w:tc>
      </w:tr>
    </w:tbl>
    <w:p w:rsidR="00CB72B0" w:rsidRDefault="00CB72B0" w:rsidP="00CB72B0">
      <w:pPr>
        <w:jc w:val="both"/>
        <w:rPr>
          <w:sz w:val="20"/>
        </w:rPr>
      </w:pPr>
    </w:p>
    <w:p w:rsidR="00CB72B0" w:rsidRPr="00CB72B0" w:rsidRDefault="00CB72B0" w:rsidP="00CB7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B72B0" w:rsidRPr="00CB72B0" w:rsidTr="00141164">
        <w:tc>
          <w:tcPr>
            <w:tcW w:w="543" w:type="pct"/>
          </w:tcPr>
          <w:p w:rsidR="00CB72B0" w:rsidRPr="00CB72B0" w:rsidRDefault="00CB72B0" w:rsidP="00CB72B0">
            <w:pPr>
              <w:jc w:val="both"/>
              <w:rPr>
                <w:sz w:val="20"/>
                <w:lang w:val="fr-CA"/>
              </w:rPr>
            </w:pPr>
            <w:r w:rsidRPr="00CB72B0">
              <w:rPr>
                <w:rStyle w:val="SCCFileNumberChar"/>
                <w:sz w:val="20"/>
                <w:szCs w:val="20"/>
                <w:lang w:val="fr-CA"/>
              </w:rPr>
              <w:t>36889</w:t>
            </w:r>
          </w:p>
        </w:tc>
        <w:tc>
          <w:tcPr>
            <w:tcW w:w="4457" w:type="pct"/>
            <w:gridSpan w:val="3"/>
          </w:tcPr>
          <w:p w:rsidR="00CB72B0" w:rsidRPr="00CB72B0" w:rsidRDefault="00CB72B0" w:rsidP="00CB72B0">
            <w:pPr>
              <w:pStyle w:val="SCCLsocParty"/>
              <w:jc w:val="both"/>
              <w:rPr>
                <w:b/>
                <w:sz w:val="20"/>
                <w:szCs w:val="20"/>
              </w:rPr>
            </w:pPr>
            <w:r w:rsidRPr="00CB72B0">
              <w:rPr>
                <w:b/>
                <w:sz w:val="20"/>
                <w:szCs w:val="20"/>
                <w:lang w:val="en-US"/>
              </w:rPr>
              <w:t xml:space="preserve">Nick Mancuso, The Results Company Inc., David Rowland, Life Choice Ltd. </w:t>
            </w:r>
            <w:r w:rsidRPr="00CB72B0">
              <w:rPr>
                <w:b/>
                <w:sz w:val="20"/>
                <w:szCs w:val="20"/>
              </w:rPr>
              <w:t>(issue de la fusion et de l’incorporation d’E.D. Modern Design Ltd. et d’E.G.D. Modern Design Ltd.) et Eldon Dahl, et Agnesa Dahl c. Ministre de la Santé et du Bien-être social, procureur général du Canada, ministre de la Sécurité publique et de la Protection civile, Gendarmerie royale du Canada, et Sa Majesté la Reine du chef du Canada</w:t>
            </w:r>
          </w:p>
          <w:p w:rsidR="00CB72B0" w:rsidRPr="00CB72B0" w:rsidRDefault="00CB72B0" w:rsidP="00CB72B0">
            <w:pPr>
              <w:jc w:val="both"/>
              <w:rPr>
                <w:sz w:val="20"/>
                <w:lang w:val="fr-CA"/>
              </w:rPr>
            </w:pPr>
            <w:r w:rsidRPr="00CB72B0">
              <w:rPr>
                <w:sz w:val="20"/>
                <w:lang w:val="fr-CA"/>
              </w:rPr>
              <w:lastRenderedPageBreak/>
              <w:t>(CF) (Civile) (Sur autorisation)</w:t>
            </w:r>
          </w:p>
        </w:tc>
      </w:tr>
      <w:tr w:rsidR="00CB72B0" w:rsidRPr="00CB72B0" w:rsidTr="00141164">
        <w:tc>
          <w:tcPr>
            <w:tcW w:w="5000" w:type="pct"/>
            <w:gridSpan w:val="4"/>
          </w:tcPr>
          <w:p w:rsidR="00CB72B0" w:rsidRPr="00CB72B0" w:rsidRDefault="00CB72B0" w:rsidP="00CB72B0">
            <w:pPr>
              <w:jc w:val="both"/>
              <w:rPr>
                <w:sz w:val="20"/>
                <w:lang w:val="fr-CA"/>
              </w:rPr>
            </w:pPr>
            <w:r w:rsidRPr="00CB72B0">
              <w:rPr>
                <w:i/>
                <w:sz w:val="20"/>
                <w:lang w:val="fr-CA"/>
              </w:rPr>
              <w:lastRenderedPageBreak/>
              <w:t>Charte des droits</w:t>
            </w:r>
            <w:r w:rsidRPr="00CB72B0">
              <w:rPr>
                <w:sz w:val="20"/>
                <w:lang w:val="fr-CA"/>
              </w:rPr>
              <w:t xml:space="preserve"> – Violations présumées </w:t>
            </w:r>
            <w:proofErr w:type="gramStart"/>
            <w:r w:rsidRPr="00CB72B0">
              <w:rPr>
                <w:sz w:val="20"/>
                <w:lang w:val="fr-CA"/>
              </w:rPr>
              <w:t>des art</w:t>
            </w:r>
            <w:proofErr w:type="gramEnd"/>
            <w:r w:rsidRPr="00CB72B0">
              <w:rPr>
                <w:sz w:val="20"/>
                <w:lang w:val="fr-CA"/>
              </w:rPr>
              <w:t xml:space="preserve">. 2a), 2b), 7, 9 et 15 de la </w:t>
            </w:r>
            <w:r w:rsidRPr="00CB72B0">
              <w:rPr>
                <w:i/>
                <w:sz w:val="20"/>
                <w:lang w:val="fr-CA"/>
              </w:rPr>
              <w:t>Charte</w:t>
            </w:r>
            <w:r w:rsidRPr="00CB72B0">
              <w:rPr>
                <w:sz w:val="20"/>
                <w:lang w:val="fr-CA"/>
              </w:rPr>
              <w:t xml:space="preserve"> – Procédure civile – Actes de procédure – Requête en radiation – Droit constitutionnel – Partage des compétences – Le juge saisi d’une requête en radiation a-t-il compétence pour tirer des conclusions de fait? – Le juge saisi d’une requête en radiation a-t-il compétence pour « radier la demande au complet » avec autorisation de la modifier et pour refuser que les allégations de fait et le recours juridique </w:t>
            </w:r>
            <w:r w:rsidRPr="00CB72B0">
              <w:rPr>
                <w:i/>
                <w:sz w:val="20"/>
                <w:lang w:val="fr-CA"/>
              </w:rPr>
              <w:t>non</w:t>
            </w:r>
            <w:r w:rsidRPr="00CB72B0">
              <w:rPr>
                <w:sz w:val="20"/>
                <w:lang w:val="fr-CA"/>
              </w:rPr>
              <w:t xml:space="preserve"> radiés suivent leurs cours? – Une action en jugement déclaratoire peut-elle aller de l’avant en l’absence d’une « cause d’action » en dommages-intérêts? – Un plaidoyer de culpabilité en Cour provinciale, sous le régime d’une loi dont la constitutionnalité n’a pas été déterminée, rend-il irrecevable une action subséquente en Cour supérieure qui conteste la constitutionnalité de la législation, du fait qu’il s’agirait d’une contestation indirecte ou d’un abus de procédure en application de l’arrêt </w:t>
            </w:r>
            <w:r w:rsidRPr="00CB72B0">
              <w:rPr>
                <w:i/>
                <w:sz w:val="20"/>
                <w:lang w:val="fr-CA"/>
              </w:rPr>
              <w:t>Toronto (Ville) c. S.C.F.P., section locale 79</w:t>
            </w:r>
            <w:r w:rsidRPr="00CB72B0">
              <w:rPr>
                <w:sz w:val="20"/>
                <w:lang w:val="fr-CA"/>
              </w:rPr>
              <w:t>, [2003] 3 R.C.S. 77, 2003 CSC 63?</w:t>
            </w:r>
          </w:p>
        </w:tc>
      </w:tr>
      <w:tr w:rsidR="00CB72B0" w:rsidRPr="00CB72B0" w:rsidTr="00141164">
        <w:tc>
          <w:tcPr>
            <w:tcW w:w="5000" w:type="pct"/>
            <w:gridSpan w:val="4"/>
          </w:tcPr>
          <w:p w:rsidR="00CB72B0" w:rsidRPr="00CB72B0" w:rsidRDefault="00CB72B0" w:rsidP="00CB72B0">
            <w:pPr>
              <w:jc w:val="both"/>
              <w:rPr>
                <w:sz w:val="20"/>
                <w:lang w:val="fr-CA"/>
              </w:rPr>
            </w:pPr>
          </w:p>
        </w:tc>
      </w:tr>
      <w:tr w:rsidR="00CB72B0" w:rsidRPr="00CB72B0" w:rsidTr="00141164">
        <w:tc>
          <w:tcPr>
            <w:tcW w:w="5000" w:type="pct"/>
            <w:gridSpan w:val="4"/>
          </w:tcPr>
          <w:p w:rsidR="00CB72B0" w:rsidRPr="00CB72B0" w:rsidRDefault="00CB72B0" w:rsidP="00CB72B0">
            <w:pPr>
              <w:jc w:val="both"/>
              <w:rPr>
                <w:sz w:val="20"/>
                <w:lang w:val="fr-CA"/>
              </w:rPr>
            </w:pPr>
            <w:r w:rsidRPr="00CB72B0">
              <w:rPr>
                <w:sz w:val="20"/>
                <w:lang w:val="fr-CA"/>
              </w:rPr>
              <w:t xml:space="preserve">Les personnes physiques ou morales demanderesses sont des consommateurs, des distributeurs et des producteurs de certains produits de santé (les « produits ») au Canada. Les produits sont réglementés en tant que « drogues » au sens de l’art. 2 de la </w:t>
            </w:r>
            <w:r w:rsidRPr="00CB72B0">
              <w:rPr>
                <w:i/>
                <w:sz w:val="20"/>
                <w:lang w:val="fr-CA"/>
              </w:rPr>
              <w:t>Loi sur les aliments et drogues</w:t>
            </w:r>
            <w:r w:rsidRPr="00CB72B0">
              <w:rPr>
                <w:sz w:val="20"/>
                <w:lang w:val="fr-CA"/>
              </w:rPr>
              <w:t xml:space="preserve">, L.R.C., 1985, ch. F-27 (la « loi ») et du </w:t>
            </w:r>
            <w:r w:rsidRPr="00CB72B0">
              <w:rPr>
                <w:i/>
                <w:sz w:val="20"/>
                <w:lang w:val="fr-CA"/>
              </w:rPr>
              <w:t>Règlement sur les produits de santé naturelle</w:t>
            </w:r>
            <w:r w:rsidRPr="00CB72B0">
              <w:rPr>
                <w:sz w:val="20"/>
                <w:lang w:val="fr-CA"/>
              </w:rPr>
              <w:t xml:space="preserve">, DORS 2003-196 (le « règlement »). Les demandeurs ont intenté une action dans laquelle ils contestent la compétence du législateur fédéral en vertu de la Constitution pour réglementer la production et la vente de produits de santé naturelle, y compris les vitamines, les produits de complément alimentaire et les suppléments nutritionnels. Subsidiairement, ils contestaient l’autorisation législative de prendre le règlement, plaidant des violations de la </w:t>
            </w:r>
            <w:r w:rsidRPr="00CB72B0">
              <w:rPr>
                <w:i/>
                <w:sz w:val="20"/>
                <w:lang w:val="fr-CA"/>
              </w:rPr>
              <w:t>Charte</w:t>
            </w:r>
            <w:r w:rsidRPr="00CB72B0">
              <w:rPr>
                <w:sz w:val="20"/>
                <w:lang w:val="fr-CA"/>
              </w:rPr>
              <w:t xml:space="preserve"> et des comportements délictuels d’agents du gouvernement dans l’administration et l’exécution du régime réglementaire. Dans leur déclaration, les demandeurs sollicitaient notamment des dommages-intérêts, une déclaration d’invalidité et le sursis à l’exécution des dispositions de la loi et du règlement.</w:t>
            </w:r>
          </w:p>
          <w:p w:rsidR="00CB72B0" w:rsidRPr="00CB72B0" w:rsidRDefault="00CB72B0" w:rsidP="00CB72B0">
            <w:pPr>
              <w:jc w:val="both"/>
              <w:rPr>
                <w:sz w:val="20"/>
                <w:lang w:val="fr-CA"/>
              </w:rPr>
            </w:pPr>
          </w:p>
          <w:p w:rsidR="00CB72B0" w:rsidRPr="00CB72B0" w:rsidRDefault="00CB72B0" w:rsidP="00CB72B0">
            <w:pPr>
              <w:jc w:val="both"/>
              <w:rPr>
                <w:sz w:val="20"/>
                <w:lang w:val="fr-CA"/>
              </w:rPr>
            </w:pPr>
            <w:r w:rsidRPr="00CB72B0">
              <w:rPr>
                <w:sz w:val="20"/>
                <w:lang w:val="fr-CA"/>
              </w:rPr>
              <w:t>Les intimés ont présenté une requête en vue de faire radier au complet la déclaration ou en vue d’en radier certains paragraphes qui en constituaient l’essentiel, et ils ont présenté une requête en vue de supprimer tous les défendeurs, sauf Sa Majesté la Reine du chef du Canada. La Cour fédérale a radié la demande « conformément aux motifs exposés », a autorisé la modification de la demande dans les 30 jours et a radié les autres défendeurs. Les demandeurs ont interjeté appel du jugement, plaidant que le juge avait eu tort de radier certaines parties de la demande et que les parties qui n’avaient pas été radiées devaient pouvoir suivre leurs cours. Les intimés ont interjeté appel incident sur la question de savoir si la demande au complet avait été radiée. La Cour d’appel fédérale a interprété le jugement de première instance comme radiant au complet la déclaration et elle a rejeté l’appel.</w:t>
            </w:r>
          </w:p>
        </w:tc>
      </w:tr>
      <w:tr w:rsidR="00CB72B0" w:rsidRPr="00CB72B0" w:rsidTr="00141164">
        <w:tc>
          <w:tcPr>
            <w:tcW w:w="5000" w:type="pct"/>
            <w:gridSpan w:val="4"/>
          </w:tcPr>
          <w:p w:rsidR="00CB72B0" w:rsidRPr="00CB72B0" w:rsidRDefault="00CB72B0" w:rsidP="00CB72B0">
            <w:pPr>
              <w:jc w:val="both"/>
              <w:rPr>
                <w:sz w:val="20"/>
                <w:lang w:val="fr-CA"/>
              </w:rPr>
            </w:pPr>
          </w:p>
        </w:tc>
      </w:tr>
      <w:tr w:rsidR="00CB72B0" w:rsidRPr="00CB72B0" w:rsidTr="00141164">
        <w:tc>
          <w:tcPr>
            <w:tcW w:w="2427" w:type="pct"/>
            <w:gridSpan w:val="2"/>
          </w:tcPr>
          <w:p w:rsidR="00CB72B0" w:rsidRPr="00CB72B0" w:rsidRDefault="00CB72B0" w:rsidP="00CB72B0">
            <w:pPr>
              <w:jc w:val="both"/>
              <w:rPr>
                <w:sz w:val="20"/>
                <w:lang w:val="fr-CA"/>
              </w:rPr>
            </w:pPr>
            <w:r w:rsidRPr="00CB72B0">
              <w:rPr>
                <w:sz w:val="20"/>
                <w:lang w:val="fr-CA"/>
              </w:rPr>
              <w:t>16 juillet 2014</w:t>
            </w:r>
          </w:p>
          <w:p w:rsidR="00CB72B0" w:rsidRPr="00CB72B0" w:rsidRDefault="00CB72B0" w:rsidP="00CB72B0">
            <w:pPr>
              <w:jc w:val="both"/>
              <w:rPr>
                <w:sz w:val="20"/>
                <w:lang w:val="fr-CA"/>
              </w:rPr>
            </w:pPr>
            <w:r w:rsidRPr="00CB72B0">
              <w:rPr>
                <w:sz w:val="20"/>
                <w:lang w:val="fr-CA"/>
              </w:rPr>
              <w:t xml:space="preserve">Cour fédérale </w:t>
            </w:r>
          </w:p>
          <w:p w:rsidR="00CB72B0" w:rsidRPr="00CB72B0" w:rsidRDefault="00CB72B0" w:rsidP="00CB72B0">
            <w:pPr>
              <w:jc w:val="both"/>
              <w:rPr>
                <w:sz w:val="20"/>
                <w:lang w:val="fr-CA"/>
              </w:rPr>
            </w:pPr>
            <w:r w:rsidRPr="00CB72B0">
              <w:rPr>
                <w:sz w:val="20"/>
                <w:lang w:val="fr-CA"/>
              </w:rPr>
              <w:t>(Juge Russell)</w:t>
            </w:r>
          </w:p>
          <w:p w:rsidR="00CB72B0" w:rsidRPr="00CB72B0" w:rsidRDefault="00CB72B0" w:rsidP="00CB72B0">
            <w:pPr>
              <w:jc w:val="both"/>
              <w:rPr>
                <w:sz w:val="20"/>
                <w:lang w:val="fr-CA"/>
              </w:rPr>
            </w:pPr>
            <w:hyperlink r:id="rId70" w:history="1">
              <w:r w:rsidRPr="00CB72B0">
                <w:rPr>
                  <w:rStyle w:val="Hyperlink"/>
                  <w:sz w:val="20"/>
                  <w:lang w:val="fr-CA"/>
                </w:rPr>
                <w:t>2014 FC 708</w:t>
              </w:r>
            </w:hyperlink>
          </w:p>
          <w:p w:rsidR="00CB72B0" w:rsidRPr="00CB72B0" w:rsidRDefault="00CB72B0" w:rsidP="00CB72B0">
            <w:pPr>
              <w:jc w:val="both"/>
              <w:rPr>
                <w:sz w:val="20"/>
                <w:lang w:val="fr-CA"/>
              </w:rPr>
            </w:pPr>
          </w:p>
        </w:tc>
        <w:tc>
          <w:tcPr>
            <w:tcW w:w="243" w:type="pct"/>
          </w:tcPr>
          <w:p w:rsidR="00CB72B0" w:rsidRPr="00CB72B0" w:rsidRDefault="00CB72B0" w:rsidP="00CB72B0">
            <w:pPr>
              <w:jc w:val="both"/>
              <w:rPr>
                <w:sz w:val="20"/>
                <w:lang w:val="fr-CA"/>
              </w:rPr>
            </w:pPr>
          </w:p>
        </w:tc>
        <w:tc>
          <w:tcPr>
            <w:tcW w:w="2330" w:type="pct"/>
          </w:tcPr>
          <w:p w:rsidR="00CB72B0" w:rsidRPr="00CB72B0" w:rsidRDefault="00CB72B0" w:rsidP="00CB72B0">
            <w:pPr>
              <w:jc w:val="both"/>
              <w:rPr>
                <w:sz w:val="20"/>
                <w:lang w:val="fr-CA"/>
              </w:rPr>
            </w:pPr>
            <w:r w:rsidRPr="00CB72B0">
              <w:rPr>
                <w:sz w:val="20"/>
                <w:lang w:val="fr-CA"/>
              </w:rPr>
              <w:t xml:space="preserve">Radiation de la demande des demandeurs conformément aux motifs exposés avec autorisation de modifier; radiation de tous les défendeurs sauf Sa Majesté la Reine du chef du Canada; rejet de la requête en sursis </w:t>
            </w:r>
          </w:p>
          <w:p w:rsidR="00CB72B0" w:rsidRPr="00CB72B0" w:rsidRDefault="00CB72B0" w:rsidP="00CB72B0">
            <w:pPr>
              <w:jc w:val="both"/>
              <w:rPr>
                <w:sz w:val="20"/>
                <w:lang w:val="fr-CA"/>
              </w:rPr>
            </w:pPr>
          </w:p>
        </w:tc>
      </w:tr>
      <w:tr w:rsidR="00CB72B0" w:rsidRPr="00CB72B0" w:rsidTr="00141164">
        <w:tc>
          <w:tcPr>
            <w:tcW w:w="2427" w:type="pct"/>
            <w:gridSpan w:val="2"/>
          </w:tcPr>
          <w:p w:rsidR="00CB72B0" w:rsidRPr="00CB72B0" w:rsidRDefault="00CB72B0" w:rsidP="00CB72B0">
            <w:pPr>
              <w:jc w:val="both"/>
              <w:rPr>
                <w:sz w:val="20"/>
                <w:lang w:val="fr-CA"/>
              </w:rPr>
            </w:pPr>
            <w:r w:rsidRPr="00CB72B0">
              <w:rPr>
                <w:sz w:val="20"/>
                <w:lang w:val="fr-CA"/>
              </w:rPr>
              <w:t>27 octobre 2015</w:t>
            </w:r>
          </w:p>
          <w:p w:rsidR="00CB72B0" w:rsidRPr="00CB72B0" w:rsidRDefault="00CB72B0" w:rsidP="00CB72B0">
            <w:pPr>
              <w:jc w:val="both"/>
              <w:rPr>
                <w:sz w:val="20"/>
                <w:lang w:val="fr-CA"/>
              </w:rPr>
            </w:pPr>
            <w:r w:rsidRPr="00CB72B0">
              <w:rPr>
                <w:sz w:val="20"/>
                <w:lang w:val="fr-CA"/>
              </w:rPr>
              <w:t xml:space="preserve">Cour d’appel fédérale </w:t>
            </w:r>
          </w:p>
          <w:p w:rsidR="00CB72B0" w:rsidRPr="00CB72B0" w:rsidRDefault="00CB72B0" w:rsidP="00CB72B0">
            <w:pPr>
              <w:jc w:val="both"/>
              <w:rPr>
                <w:sz w:val="20"/>
                <w:lang w:val="fr-CA"/>
              </w:rPr>
            </w:pPr>
            <w:r w:rsidRPr="00CB72B0">
              <w:rPr>
                <w:sz w:val="20"/>
                <w:lang w:val="fr-CA"/>
              </w:rPr>
              <w:t>(Juges Stratas, Rennie et Gleason)</w:t>
            </w:r>
          </w:p>
          <w:p w:rsidR="00CB72B0" w:rsidRPr="00CB72B0" w:rsidRDefault="00CB72B0" w:rsidP="00CB72B0">
            <w:pPr>
              <w:jc w:val="both"/>
              <w:rPr>
                <w:sz w:val="20"/>
                <w:lang w:val="fr-CA"/>
              </w:rPr>
            </w:pPr>
            <w:hyperlink r:id="rId71" w:history="1">
              <w:r w:rsidRPr="00CB72B0">
                <w:rPr>
                  <w:rStyle w:val="Hyperlink"/>
                  <w:sz w:val="20"/>
                  <w:lang w:val="fr-CA"/>
                </w:rPr>
                <w:t>2015 FCA 227</w:t>
              </w:r>
            </w:hyperlink>
            <w:r w:rsidRPr="00CB72B0">
              <w:rPr>
                <w:sz w:val="20"/>
                <w:lang w:val="fr-CA"/>
              </w:rPr>
              <w:t>; A-365-14</w:t>
            </w:r>
          </w:p>
          <w:p w:rsidR="00CB72B0" w:rsidRPr="00CB72B0" w:rsidRDefault="00CB72B0" w:rsidP="00CB72B0">
            <w:pPr>
              <w:jc w:val="both"/>
              <w:rPr>
                <w:sz w:val="20"/>
                <w:lang w:val="fr-CA"/>
              </w:rPr>
            </w:pPr>
          </w:p>
        </w:tc>
        <w:tc>
          <w:tcPr>
            <w:tcW w:w="243" w:type="pct"/>
          </w:tcPr>
          <w:p w:rsidR="00CB72B0" w:rsidRPr="00CB72B0" w:rsidRDefault="00CB72B0" w:rsidP="00CB72B0">
            <w:pPr>
              <w:jc w:val="both"/>
              <w:rPr>
                <w:sz w:val="20"/>
                <w:lang w:val="fr-CA"/>
              </w:rPr>
            </w:pPr>
          </w:p>
        </w:tc>
        <w:tc>
          <w:tcPr>
            <w:tcW w:w="2330" w:type="pct"/>
          </w:tcPr>
          <w:p w:rsidR="00CB72B0" w:rsidRPr="00CB72B0" w:rsidRDefault="00CB72B0" w:rsidP="00CB72B0">
            <w:pPr>
              <w:jc w:val="both"/>
              <w:rPr>
                <w:sz w:val="20"/>
                <w:lang w:val="fr-CA"/>
              </w:rPr>
            </w:pPr>
            <w:r w:rsidRPr="00CB72B0">
              <w:rPr>
                <w:sz w:val="20"/>
                <w:lang w:val="fr-CA"/>
              </w:rPr>
              <w:t>Rejet de l’appel et de l’appel incident</w:t>
            </w:r>
          </w:p>
          <w:p w:rsidR="00CB72B0" w:rsidRPr="00CB72B0" w:rsidRDefault="00CB72B0" w:rsidP="00CB72B0">
            <w:pPr>
              <w:jc w:val="both"/>
              <w:rPr>
                <w:sz w:val="20"/>
                <w:lang w:val="fr-CA"/>
              </w:rPr>
            </w:pPr>
          </w:p>
        </w:tc>
      </w:tr>
      <w:tr w:rsidR="00CB72B0" w:rsidRPr="00CB72B0" w:rsidTr="00141164">
        <w:tc>
          <w:tcPr>
            <w:tcW w:w="2427" w:type="pct"/>
            <w:gridSpan w:val="2"/>
          </w:tcPr>
          <w:p w:rsidR="00CB72B0" w:rsidRPr="00CB72B0" w:rsidRDefault="00CB72B0" w:rsidP="00CB72B0">
            <w:pPr>
              <w:jc w:val="both"/>
              <w:rPr>
                <w:sz w:val="20"/>
                <w:lang w:val="fr-CA"/>
              </w:rPr>
            </w:pPr>
            <w:r w:rsidRPr="00CB72B0">
              <w:rPr>
                <w:sz w:val="20"/>
                <w:lang w:val="fr-CA"/>
              </w:rPr>
              <w:t>10 mars 2016</w:t>
            </w:r>
          </w:p>
          <w:p w:rsidR="00CB72B0" w:rsidRPr="00CB72B0" w:rsidRDefault="00CB72B0" w:rsidP="00CB72B0">
            <w:pPr>
              <w:jc w:val="both"/>
              <w:rPr>
                <w:sz w:val="20"/>
                <w:lang w:val="fr-CA"/>
              </w:rPr>
            </w:pPr>
            <w:r w:rsidRPr="00CB72B0">
              <w:rPr>
                <w:sz w:val="20"/>
                <w:lang w:val="fr-CA"/>
              </w:rPr>
              <w:t>Cour suprême du Canada</w:t>
            </w:r>
          </w:p>
        </w:tc>
        <w:tc>
          <w:tcPr>
            <w:tcW w:w="243" w:type="pct"/>
          </w:tcPr>
          <w:p w:rsidR="00CB72B0" w:rsidRPr="00CB72B0" w:rsidRDefault="00CB72B0" w:rsidP="00CB72B0">
            <w:pPr>
              <w:jc w:val="both"/>
              <w:rPr>
                <w:sz w:val="20"/>
                <w:lang w:val="fr-CA"/>
              </w:rPr>
            </w:pPr>
          </w:p>
        </w:tc>
        <w:tc>
          <w:tcPr>
            <w:tcW w:w="2330" w:type="pct"/>
          </w:tcPr>
          <w:p w:rsidR="00CB72B0" w:rsidRPr="00CB72B0" w:rsidRDefault="00CB72B0" w:rsidP="00CB72B0">
            <w:pPr>
              <w:jc w:val="both"/>
              <w:rPr>
                <w:sz w:val="20"/>
                <w:lang w:val="fr-CA"/>
              </w:rPr>
            </w:pPr>
            <w:r w:rsidRPr="00CB72B0">
              <w:rPr>
                <w:sz w:val="20"/>
                <w:lang w:val="fr-CA"/>
              </w:rPr>
              <w:t>Dépôt de la requête en prorogation du délai de signification et de dépôt de la demande d’autorisation d’appel et de la demande d’autorisation d’appel</w:t>
            </w:r>
          </w:p>
        </w:tc>
      </w:tr>
    </w:tbl>
    <w:p w:rsidR="00CB72B0" w:rsidRPr="00CB72B0" w:rsidRDefault="00CB72B0" w:rsidP="00CB72B0">
      <w:pPr>
        <w:jc w:val="both"/>
        <w:rPr>
          <w:sz w:val="20"/>
          <w:lang w:val="fr-CA"/>
        </w:rPr>
      </w:pPr>
    </w:p>
    <w:p w:rsidR="00582010" w:rsidRDefault="00582010" w:rsidP="009A5F3F">
      <w:pPr>
        <w:widowControl w:val="0"/>
        <w:autoSpaceDE w:val="0"/>
        <w:autoSpaceDN w:val="0"/>
        <w:adjustRightInd w:val="0"/>
        <w:ind w:left="360" w:hanging="360"/>
        <w:rPr>
          <w:rFonts w:eastAsiaTheme="minorEastAsia"/>
          <w:sz w:val="20"/>
          <w:lang w:val="en-CA" w:eastAsia="en-CA"/>
        </w:rPr>
      </w:pPr>
    </w:p>
    <w:p w:rsidR="006F2855" w:rsidRDefault="006F2855" w:rsidP="009A5F3F">
      <w:pPr>
        <w:widowControl w:val="0"/>
        <w:autoSpaceDE w:val="0"/>
        <w:autoSpaceDN w:val="0"/>
        <w:adjustRightInd w:val="0"/>
        <w:ind w:left="360" w:hanging="360"/>
        <w:rPr>
          <w:rFonts w:eastAsiaTheme="minorEastAsia"/>
          <w:sz w:val="20"/>
          <w:lang w:val="en-CA" w:eastAsia="en-CA"/>
        </w:rPr>
      </w:pPr>
    </w:p>
    <w:p w:rsidR="00D3344A" w:rsidRPr="00962B2A" w:rsidRDefault="00D3344A" w:rsidP="00D3344A">
      <w:pPr>
        <w:widowControl w:val="0"/>
        <w:outlineLvl w:val="0"/>
      </w:pPr>
      <w:r w:rsidRPr="00962B2A">
        <w:t xml:space="preserve">Supreme Court of Canada / Cour suprême du Canada : </w:t>
      </w:r>
    </w:p>
    <w:p w:rsidR="00D3344A" w:rsidRPr="00962B2A" w:rsidRDefault="00B621BC" w:rsidP="00D3344A">
      <w:pPr>
        <w:widowControl w:val="0"/>
        <w:outlineLvl w:val="0"/>
        <w:rPr>
          <w:u w:val="single"/>
        </w:rPr>
      </w:pPr>
      <w:hyperlink r:id="rId72" w:history="1">
        <w:r w:rsidR="00D3344A" w:rsidRPr="00962B2A">
          <w:rPr>
            <w:rStyle w:val="Hyperlink"/>
          </w:rPr>
          <w:t>comments-commentaires@scc-csc.ca</w:t>
        </w:r>
      </w:hyperlink>
    </w:p>
    <w:p w:rsidR="00D3344A" w:rsidRPr="00962B2A" w:rsidRDefault="0065588C" w:rsidP="00D3344A">
      <w:pPr>
        <w:widowControl w:val="0"/>
        <w:outlineLvl w:val="0"/>
      </w:pPr>
      <w:r w:rsidRPr="00962B2A">
        <w:t>613-</w:t>
      </w:r>
      <w:r w:rsidR="00D3344A" w:rsidRPr="00962B2A">
        <w:t>995-4330</w:t>
      </w:r>
    </w:p>
    <w:p w:rsidR="00497B5E" w:rsidRPr="00962B2A" w:rsidRDefault="00497B5E" w:rsidP="00497B5E">
      <w:pPr>
        <w:widowControl w:val="0"/>
        <w:rPr>
          <w:sz w:val="20"/>
        </w:rPr>
      </w:pPr>
    </w:p>
    <w:p w:rsidR="00F6251B" w:rsidRPr="00962B2A" w:rsidRDefault="003F43E6" w:rsidP="00F6251B">
      <w:pPr>
        <w:pStyle w:val="Footer"/>
        <w:jc w:val="center"/>
      </w:pPr>
      <w:r w:rsidRPr="00962B2A">
        <w:t>- 30 -</w:t>
      </w:r>
    </w:p>
    <w:p w:rsidR="00F6251B" w:rsidRPr="00962B2A" w:rsidRDefault="00F6251B" w:rsidP="00F6251B">
      <w:pPr>
        <w:pStyle w:val="Footer"/>
        <w:jc w:val="center"/>
      </w:pPr>
    </w:p>
    <w:sectPr w:rsidR="00F6251B" w:rsidRPr="00962B2A" w:rsidSect="00524822">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BC" w:rsidRDefault="00B621BC" w:rsidP="0034178A">
      <w:r>
        <w:separator/>
      </w:r>
    </w:p>
  </w:endnote>
  <w:endnote w:type="continuationSeparator" w:id="0">
    <w:p w:rsidR="00B621BC" w:rsidRDefault="00B621B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C" w:rsidRDefault="00B62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C" w:rsidRPr="009F77F0" w:rsidRDefault="00B621B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C" w:rsidRDefault="00B6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BC" w:rsidRDefault="00B621BC" w:rsidP="0034178A">
      <w:r>
        <w:separator/>
      </w:r>
    </w:p>
  </w:footnote>
  <w:footnote w:type="continuationSeparator" w:id="0">
    <w:p w:rsidR="00B621BC" w:rsidRDefault="00B621B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C" w:rsidRDefault="00B62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C" w:rsidRDefault="00B62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BC" w:rsidRDefault="00B62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6"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31"/>
  </w:num>
  <w:num w:numId="14">
    <w:abstractNumId w:val="3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3"/>
  </w:num>
  <w:num w:numId="19">
    <w:abstractNumId w:val="27"/>
  </w:num>
  <w:num w:numId="20">
    <w:abstractNumId w:val="21"/>
  </w:num>
  <w:num w:numId="21">
    <w:abstractNumId w:val="30"/>
  </w:num>
  <w:num w:numId="22">
    <w:abstractNumId w:val="0"/>
  </w:num>
  <w:num w:numId="23">
    <w:abstractNumId w:val="37"/>
  </w:num>
  <w:num w:numId="24">
    <w:abstractNumId w:val="15"/>
  </w:num>
  <w:num w:numId="25">
    <w:abstractNumId w:val="1"/>
  </w:num>
  <w:num w:numId="26">
    <w:abstractNumId w:val="18"/>
  </w:num>
  <w:num w:numId="27">
    <w:abstractNumId w:val="39"/>
  </w:num>
  <w:num w:numId="28">
    <w:abstractNumId w:val="26"/>
  </w:num>
  <w:num w:numId="29">
    <w:abstractNumId w:val="35"/>
  </w:num>
  <w:num w:numId="30">
    <w:abstractNumId w:val="29"/>
  </w:num>
  <w:num w:numId="31">
    <w:abstractNumId w:val="19"/>
  </w:num>
  <w:num w:numId="32">
    <w:abstractNumId w:val="7"/>
  </w:num>
  <w:num w:numId="33">
    <w:abstractNumId w:val="2"/>
  </w:num>
  <w:num w:numId="34">
    <w:abstractNumId w:val="36"/>
  </w:num>
  <w:num w:numId="35">
    <w:abstractNumId w:val="34"/>
  </w:num>
  <w:num w:numId="36">
    <w:abstractNumId w:val="9"/>
  </w:num>
  <w:num w:numId="37">
    <w:abstractNumId w:val="5"/>
  </w:num>
  <w:num w:numId="38">
    <w:abstractNumId w:val="11"/>
  </w:num>
  <w:num w:numId="39">
    <w:abstractNumId w:val="25"/>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57"/>
    <w:rsid w:val="000843DB"/>
    <w:rsid w:val="000845AF"/>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2FA"/>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2B0"/>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0F4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2DCB"/>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09B"/>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1D16"/>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2AD9"/>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7828"/>
    <w:rsid w:val="00357895"/>
    <w:rsid w:val="00357916"/>
    <w:rsid w:val="00357B15"/>
    <w:rsid w:val="00360B19"/>
    <w:rsid w:val="00360FCE"/>
    <w:rsid w:val="00362E82"/>
    <w:rsid w:val="00364001"/>
    <w:rsid w:val="003652AF"/>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D5D06"/>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841"/>
    <w:rsid w:val="004226AA"/>
    <w:rsid w:val="00422E71"/>
    <w:rsid w:val="00423732"/>
    <w:rsid w:val="004259F9"/>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6BAE"/>
    <w:rsid w:val="004473E9"/>
    <w:rsid w:val="0045044A"/>
    <w:rsid w:val="004511A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19C6"/>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6C7D"/>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E75"/>
    <w:rsid w:val="0071691D"/>
    <w:rsid w:val="00721EC2"/>
    <w:rsid w:val="007226F3"/>
    <w:rsid w:val="0072344E"/>
    <w:rsid w:val="007237EE"/>
    <w:rsid w:val="007240C3"/>
    <w:rsid w:val="007243CC"/>
    <w:rsid w:val="00724F0D"/>
    <w:rsid w:val="007263B7"/>
    <w:rsid w:val="00727632"/>
    <w:rsid w:val="007301CB"/>
    <w:rsid w:val="00731957"/>
    <w:rsid w:val="00732BB6"/>
    <w:rsid w:val="00733697"/>
    <w:rsid w:val="00733EF3"/>
    <w:rsid w:val="007356B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2B0F"/>
    <w:rsid w:val="008836A7"/>
    <w:rsid w:val="00884467"/>
    <w:rsid w:val="00885ECF"/>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7B21"/>
    <w:rsid w:val="00921EA7"/>
    <w:rsid w:val="00922101"/>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F2B"/>
    <w:rsid w:val="009C6454"/>
    <w:rsid w:val="009C6CF4"/>
    <w:rsid w:val="009C78E3"/>
    <w:rsid w:val="009C7FFB"/>
    <w:rsid w:val="009D2D62"/>
    <w:rsid w:val="009D31CD"/>
    <w:rsid w:val="009D359A"/>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8B2"/>
    <w:rsid w:val="00A95355"/>
    <w:rsid w:val="00A960E9"/>
    <w:rsid w:val="00A97B41"/>
    <w:rsid w:val="00A97F0C"/>
    <w:rsid w:val="00A97F93"/>
    <w:rsid w:val="00AA0E4D"/>
    <w:rsid w:val="00AA25C5"/>
    <w:rsid w:val="00AA7FA7"/>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6011"/>
    <w:rsid w:val="00B56EF5"/>
    <w:rsid w:val="00B6070A"/>
    <w:rsid w:val="00B60A02"/>
    <w:rsid w:val="00B62043"/>
    <w:rsid w:val="00B621BC"/>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BF553C"/>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0D8"/>
    <w:rsid w:val="00C5543B"/>
    <w:rsid w:val="00C573B1"/>
    <w:rsid w:val="00C600EE"/>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6829"/>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2B0"/>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1406"/>
    <w:rsid w:val="00D015A7"/>
    <w:rsid w:val="00D0250E"/>
    <w:rsid w:val="00D0423A"/>
    <w:rsid w:val="00D04A90"/>
    <w:rsid w:val="00D06EF2"/>
    <w:rsid w:val="00D07131"/>
    <w:rsid w:val="00D07526"/>
    <w:rsid w:val="00D07E3B"/>
    <w:rsid w:val="00D1308F"/>
    <w:rsid w:val="00D14B1E"/>
    <w:rsid w:val="00D15B3E"/>
    <w:rsid w:val="00D17E05"/>
    <w:rsid w:val="00D17F23"/>
    <w:rsid w:val="00D207B2"/>
    <w:rsid w:val="00D220F4"/>
    <w:rsid w:val="00D22B49"/>
    <w:rsid w:val="00D23F60"/>
    <w:rsid w:val="00D240C0"/>
    <w:rsid w:val="00D24A6C"/>
    <w:rsid w:val="00D24AC2"/>
    <w:rsid w:val="00D25A76"/>
    <w:rsid w:val="00D2681A"/>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1959"/>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D82"/>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B30"/>
    <w:rsid w:val="00E42DA2"/>
    <w:rsid w:val="00E45E6B"/>
    <w:rsid w:val="00E47A35"/>
    <w:rsid w:val="00E50167"/>
    <w:rsid w:val="00E5097C"/>
    <w:rsid w:val="00E51DDA"/>
    <w:rsid w:val="00E52A08"/>
    <w:rsid w:val="00E5361B"/>
    <w:rsid w:val="00E54925"/>
    <w:rsid w:val="00E56229"/>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10DA"/>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2E70"/>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B77ED"/>
    <w:rsid w:val="00FC0D59"/>
    <w:rsid w:val="00FC1A5C"/>
    <w:rsid w:val="00FC2D4C"/>
    <w:rsid w:val="00FC39EA"/>
    <w:rsid w:val="00FC469C"/>
    <w:rsid w:val="00FC4943"/>
    <w:rsid w:val="00FC60B8"/>
    <w:rsid w:val="00FC6DE6"/>
    <w:rsid w:val="00FD0111"/>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1232B0"/>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1232B0"/>
    <w:rPr>
      <w:rFonts w:ascii="Times New Roman" w:eastAsiaTheme="minorHAnsi" w:hAnsi="Times New Roman" w:cstheme="minorBidi"/>
      <w:b/>
      <w:sz w:val="24"/>
      <w:szCs w:val="22"/>
      <w:lang w:val="en-CA"/>
    </w:rPr>
  </w:style>
  <w:style w:type="paragraph" w:customStyle="1" w:styleId="SCCLsocSubfileSeparator">
    <w:name w:val="SCC.Lsoc.SubfileSeparator"/>
    <w:basedOn w:val="Normal"/>
    <w:next w:val="Normal"/>
    <w:link w:val="SCCLsocSubfileSeparatorChar"/>
    <w:rsid w:val="001232B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232B0"/>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929" TargetMode="External"/><Relationship Id="rId18" Type="http://schemas.openxmlformats.org/officeDocument/2006/relationships/hyperlink" Target="http://www.scc-csc.ca/case-dossier/info/sum-som-eng.aspx?cas=36940" TargetMode="External"/><Relationship Id="rId26" Type="http://schemas.openxmlformats.org/officeDocument/2006/relationships/hyperlink" Target="http://www.canlii.org/en/on/onsc/doc/2015/2015onsc7777/2015onsc7777.html?resultIndex=1" TargetMode="External"/><Relationship Id="rId39" Type="http://schemas.openxmlformats.org/officeDocument/2006/relationships/hyperlink" Target="http://canlii.ca/t/gn564" TargetMode="External"/><Relationship Id="rId21" Type="http://schemas.openxmlformats.org/officeDocument/2006/relationships/hyperlink" Target="http://www.scc-csc.ca/case-dossier/info/sum-som-fra.aspx?cas=36951" TargetMode="External"/><Relationship Id="rId34" Type="http://schemas.openxmlformats.org/officeDocument/2006/relationships/hyperlink" Target="http://canlii.ca/t/gn7zp" TargetMode="External"/><Relationship Id="rId42" Type="http://schemas.openxmlformats.org/officeDocument/2006/relationships/hyperlink" Target="http://canlii.ca/t/gn564" TargetMode="External"/><Relationship Id="rId47" Type="http://schemas.openxmlformats.org/officeDocument/2006/relationships/hyperlink" Target="http://canlii.ca/t/gn564" TargetMode="External"/><Relationship Id="rId50" Type="http://schemas.openxmlformats.org/officeDocument/2006/relationships/hyperlink" Target="http://canlii.ca/t/gn564" TargetMode="External"/><Relationship Id="rId55" Type="http://schemas.openxmlformats.org/officeDocument/2006/relationships/hyperlink" Target="http://canlii.ca/t/gn564" TargetMode="External"/><Relationship Id="rId63" Type="http://schemas.openxmlformats.org/officeDocument/2006/relationships/hyperlink" Target="http://www.canlii.org/fr/qc/qcca/doc/2015/2015qcca1619/2015qcca1619.html" TargetMode="External"/><Relationship Id="rId68" Type="http://schemas.openxmlformats.org/officeDocument/2006/relationships/hyperlink" Target="http://www.canlii.org/en/ca/fct/doc/2014/2014fc708/2014fc708.htm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anlii.org/en/ca/fca/doc/2015/2015fca227/2015fca227.html?autocompleteStr=2015%20FCA%20227&amp;autocompletePos=1" TargetMode="External"/><Relationship Id="rId2" Type="http://schemas.openxmlformats.org/officeDocument/2006/relationships/numbering" Target="numbering.xml"/><Relationship Id="rId16" Type="http://schemas.openxmlformats.org/officeDocument/2006/relationships/hyperlink" Target="http://www.scc-csc.ca/case-dossier/info/sum-som-eng.aspx?cas=36938" TargetMode="External"/><Relationship Id="rId29" Type="http://schemas.openxmlformats.org/officeDocument/2006/relationships/hyperlink" Target="http://www.canlii.org/en/ca/fct/doc/2015/2015fc286/2015fc286.html" TargetMode="External"/><Relationship Id="rId11" Type="http://schemas.openxmlformats.org/officeDocument/2006/relationships/hyperlink" Target="http://www.scc-csc.ca/case-dossier/info/sum-som-eng.aspx?cas=36927" TargetMode="External"/><Relationship Id="rId24" Type="http://schemas.openxmlformats.org/officeDocument/2006/relationships/hyperlink" Target="http://www.scc-csc.ca/case-dossier/info/sum-som-eng.aspx?cas=36889" TargetMode="External"/><Relationship Id="rId32" Type="http://schemas.openxmlformats.org/officeDocument/2006/relationships/hyperlink" Target="http://canlii.ca/t/gn7zp" TargetMode="External"/><Relationship Id="rId37" Type="http://schemas.openxmlformats.org/officeDocument/2006/relationships/hyperlink" Target="http://canlii.ca/t/gn564" TargetMode="External"/><Relationship Id="rId40" Type="http://schemas.openxmlformats.org/officeDocument/2006/relationships/hyperlink" Target="http://canlii.ca/t/gn564" TargetMode="External"/><Relationship Id="rId45" Type="http://schemas.openxmlformats.org/officeDocument/2006/relationships/hyperlink" Target="http://canlii.ca/t/gn564" TargetMode="External"/><Relationship Id="rId53" Type="http://schemas.openxmlformats.org/officeDocument/2006/relationships/hyperlink" Target="http://canlii.ca/t/gn564" TargetMode="External"/><Relationship Id="rId58" Type="http://schemas.openxmlformats.org/officeDocument/2006/relationships/hyperlink" Target="http://www.canlii.org/fr/qc/qccs/doc/2014/2014qccs1594/2014qccs1594.html" TargetMode="External"/><Relationship Id="rId66" Type="http://schemas.openxmlformats.org/officeDocument/2006/relationships/hyperlink" Target="http://www.canlii.org/en/on/onsc/doc/2015/2015onsc3542/2015onsc3542.html?resultIndex=1"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anlii.org/fr/qc/qcca/doc/2015/2015qcca1619/2015qcca1619.html" TargetMode="External"/><Relationship Id="rId10" Type="http://schemas.openxmlformats.org/officeDocument/2006/relationships/hyperlink" Target="http://www.scc-csc.ca/case-dossier/info/sum-som-eng.aspx?cas=36920" TargetMode="External"/><Relationship Id="rId19" Type="http://schemas.openxmlformats.org/officeDocument/2006/relationships/hyperlink" Target="http://www.scc-csc.ca/case-dossier/info/sum-som-eng.aspx?cas=36941" TargetMode="External"/><Relationship Id="rId31" Type="http://schemas.openxmlformats.org/officeDocument/2006/relationships/hyperlink" Target="http://canlii.ca/t/g68x7" TargetMode="External"/><Relationship Id="rId44" Type="http://schemas.openxmlformats.org/officeDocument/2006/relationships/hyperlink" Target="http://canlii.ca/t/gn564" TargetMode="External"/><Relationship Id="rId52" Type="http://schemas.openxmlformats.org/officeDocument/2006/relationships/hyperlink" Target="http://canlii.ca/t/gn564" TargetMode="External"/><Relationship Id="rId60" Type="http://schemas.openxmlformats.org/officeDocument/2006/relationships/hyperlink" Target="http://www.canlii.org/fr/qc/qccs/doc/2013/2013qccs2375/2013qccs2375.html" TargetMode="External"/><Relationship Id="rId65" Type="http://schemas.openxmlformats.org/officeDocument/2006/relationships/hyperlink" Target="http://www.canlii.org/en/on/onca/doc/2016/2016onca33/2016onca33.html?resultIndex=1"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6907" TargetMode="External"/><Relationship Id="rId14" Type="http://schemas.openxmlformats.org/officeDocument/2006/relationships/hyperlink" Target="http://www.scc-csc.ca/case-dossier/info/sum-som-eng.aspx?cas=36930" TargetMode="External"/><Relationship Id="rId22" Type="http://schemas.openxmlformats.org/officeDocument/2006/relationships/hyperlink" Target="http://www.scc-csc.ca/case-dossier/info/sum-som-fra.aspx?cas=36953" TargetMode="External"/><Relationship Id="rId27" Type="http://schemas.openxmlformats.org/officeDocument/2006/relationships/hyperlink" Target="http://www.canlii.org/en/ca/fct/doc/2015/2015fc286/2015fc286.html" TargetMode="External"/><Relationship Id="rId30" Type="http://schemas.openxmlformats.org/officeDocument/2006/relationships/hyperlink" Target="http://www.canlii.org/en/ca/fca/doc/2016/2016fca28/2016fca28.html?autocompleteStr=2016%20FCA%2028&amp;autocompletePos=1" TargetMode="External"/><Relationship Id="rId35" Type="http://schemas.openxmlformats.org/officeDocument/2006/relationships/hyperlink" Target="http://canlii.ca/t/gn564" TargetMode="External"/><Relationship Id="rId43" Type="http://schemas.openxmlformats.org/officeDocument/2006/relationships/hyperlink" Target="http://canlii.ca/t/gn564" TargetMode="External"/><Relationship Id="rId48" Type="http://schemas.openxmlformats.org/officeDocument/2006/relationships/hyperlink" Target="http://canlii.ca/t/gn564" TargetMode="External"/><Relationship Id="rId56" Type="http://schemas.openxmlformats.org/officeDocument/2006/relationships/hyperlink" Target="http://www.canlii.org/fr/qc/qccs/doc/2014/2014qccs1594/2014qccs1594.html" TargetMode="External"/><Relationship Id="rId64" Type="http://schemas.openxmlformats.org/officeDocument/2006/relationships/hyperlink" Target="http://www.canlii.org/en/on/onsc/doc/2015/2015onsc3542/2015onsc3542.html?resultIndex=1" TargetMode="External"/><Relationship Id="rId69" Type="http://schemas.openxmlformats.org/officeDocument/2006/relationships/hyperlink" Target="http://www.canlii.org/en/ca/fca/doc/2015/2015fca227/2015fca227.html?autocompleteStr=2015%20FCA%20227&amp;autocompletePos=1" TargetMode="External"/><Relationship Id="rId77" Type="http://schemas.openxmlformats.org/officeDocument/2006/relationships/header" Target="header3.xml"/><Relationship Id="rId8" Type="http://schemas.openxmlformats.org/officeDocument/2006/relationships/hyperlink" Target="http://www.scc-csc.ca/case-dossier/info/sum-som-eng.aspx?cas=36843" TargetMode="External"/><Relationship Id="rId51" Type="http://schemas.openxmlformats.org/officeDocument/2006/relationships/hyperlink" Target="http://canlii.ca/t/gn564" TargetMode="External"/><Relationship Id="rId72" Type="http://schemas.openxmlformats.org/officeDocument/2006/relationships/hyperlink" Target="mailto:comments-commentaires@scc-csc.c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eng.aspx?cas=36928" TargetMode="External"/><Relationship Id="rId17" Type="http://schemas.openxmlformats.org/officeDocument/2006/relationships/hyperlink" Target="http://www.scc-csc.ca/case-dossier/info/sum-som-eng.aspx?cas=36939" TargetMode="External"/><Relationship Id="rId25" Type="http://schemas.openxmlformats.org/officeDocument/2006/relationships/hyperlink" Target="http://www.canlii.org/en/on/onsc/doc/2015/2015onsc7777/2015onsc7777.html?resultIndex=1" TargetMode="External"/><Relationship Id="rId33" Type="http://schemas.openxmlformats.org/officeDocument/2006/relationships/hyperlink" Target="http://canlii.ca/t/g68x7" TargetMode="External"/><Relationship Id="rId38" Type="http://schemas.openxmlformats.org/officeDocument/2006/relationships/hyperlink" Target="http://canlii.ca/t/gn564" TargetMode="External"/><Relationship Id="rId46" Type="http://schemas.openxmlformats.org/officeDocument/2006/relationships/hyperlink" Target="http://canlii.ca/t/gn564" TargetMode="External"/><Relationship Id="rId59" Type="http://schemas.openxmlformats.org/officeDocument/2006/relationships/hyperlink" Target="http://www.canlii.org/fr/qc/qcca/doc/2016/2016qcca62/2016qcca62.html" TargetMode="External"/><Relationship Id="rId67" Type="http://schemas.openxmlformats.org/officeDocument/2006/relationships/hyperlink" Target="http://www.canlii.org/en/on/onca/doc/2016/2016onca33/2016onca33.html?resultIndex=1" TargetMode="External"/><Relationship Id="rId20" Type="http://schemas.openxmlformats.org/officeDocument/2006/relationships/hyperlink" Target="http://www.scc-csc.ca/case-dossier/info/sum-som-eng.aspx?cas=36991" TargetMode="External"/><Relationship Id="rId41" Type="http://schemas.openxmlformats.org/officeDocument/2006/relationships/hyperlink" Target="http://canlii.ca/t/gn564" TargetMode="External"/><Relationship Id="rId54" Type="http://schemas.openxmlformats.org/officeDocument/2006/relationships/hyperlink" Target="http://canlii.ca/t/gn564" TargetMode="External"/><Relationship Id="rId62" Type="http://schemas.openxmlformats.org/officeDocument/2006/relationships/hyperlink" Target="http://www.canlii.org/fr/qc/qccs/doc/2013/2013qccs2375/2013qccs2375.html" TargetMode="External"/><Relationship Id="rId70" Type="http://schemas.openxmlformats.org/officeDocument/2006/relationships/hyperlink" Target="http://www.canlii.org/en/ca/fct/doc/2014/2014fc708/2014fc708.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937" TargetMode="External"/><Relationship Id="rId23" Type="http://schemas.openxmlformats.org/officeDocument/2006/relationships/hyperlink" Target="http://www.scc-csc.ca/case-dossier/info/sum-som-eng.aspx?cas=36887" TargetMode="External"/><Relationship Id="rId28" Type="http://schemas.openxmlformats.org/officeDocument/2006/relationships/hyperlink" Target="http://www.canlii.org/en/ca/fca/doc/2016/2016fca28/2016fca28.html?autocompleteStr=2016%20FCA%2028&amp;autocompletePos=1" TargetMode="External"/><Relationship Id="rId36" Type="http://schemas.openxmlformats.org/officeDocument/2006/relationships/hyperlink" Target="http://canlii.ca/t/gn564" TargetMode="External"/><Relationship Id="rId49" Type="http://schemas.openxmlformats.org/officeDocument/2006/relationships/hyperlink" Target="http://canlii.ca/t/gn564" TargetMode="External"/><Relationship Id="rId57" Type="http://schemas.openxmlformats.org/officeDocument/2006/relationships/hyperlink" Target="http://www.canlii.org/fr/qc/qcca/doc/2016/2016qcca62/2016qcca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22DA3-6EEE-446B-8458-544F62CE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12199</Words>
  <Characters>69540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81576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2016-06-17T18:14:00Z</dcterms:created>
  <dcterms:modified xsi:type="dcterms:W3CDTF">2016-06-20T14:24:00Z</dcterms:modified>
</cp:coreProperties>
</file>