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35DDF" w:rsidRDefault="003F43E6" w:rsidP="00122CE1">
      <w:pPr>
        <w:pStyle w:val="Header"/>
        <w:tabs>
          <w:tab w:val="left" w:pos="1620"/>
          <w:tab w:val="left" w:pos="1710"/>
        </w:tabs>
        <w:jc w:val="center"/>
        <w:rPr>
          <w:b/>
          <w:sz w:val="32"/>
        </w:rPr>
      </w:pPr>
      <w:r w:rsidRPr="00635DDF">
        <w:rPr>
          <w:b/>
          <w:sz w:val="32"/>
        </w:rPr>
        <w:t xml:space="preserve">Supreme Court of Canada / </w:t>
      </w:r>
      <w:proofErr w:type="spellStart"/>
      <w:r w:rsidRPr="00635DDF">
        <w:rPr>
          <w:b/>
          <w:sz w:val="32"/>
        </w:rPr>
        <w:t>Cour</w:t>
      </w:r>
      <w:proofErr w:type="spellEnd"/>
      <w:r w:rsidRPr="00635DDF">
        <w:rPr>
          <w:b/>
          <w:sz w:val="32"/>
        </w:rPr>
        <w:t xml:space="preserve"> </w:t>
      </w:r>
      <w:proofErr w:type="spellStart"/>
      <w:r w:rsidRPr="00635DDF">
        <w:rPr>
          <w:b/>
          <w:sz w:val="32"/>
        </w:rPr>
        <w:t>suprême</w:t>
      </w:r>
      <w:proofErr w:type="spellEnd"/>
      <w:r w:rsidRPr="00635DDF">
        <w:rPr>
          <w:b/>
          <w:sz w:val="32"/>
        </w:rPr>
        <w:t xml:space="preserve"> du Canada</w:t>
      </w:r>
    </w:p>
    <w:p w:rsidR="003F43E6" w:rsidRPr="00635DDF" w:rsidRDefault="003F43E6" w:rsidP="006F2579">
      <w:pPr>
        <w:widowControl w:val="0"/>
        <w:rPr>
          <w:i/>
        </w:rPr>
      </w:pPr>
    </w:p>
    <w:p w:rsidR="006F2579" w:rsidRPr="00635DDF" w:rsidRDefault="006F2579" w:rsidP="006F2579">
      <w:pPr>
        <w:widowControl w:val="0"/>
        <w:rPr>
          <w:i/>
        </w:rPr>
      </w:pPr>
      <w:r w:rsidRPr="00635DDF">
        <w:rPr>
          <w:i/>
        </w:rPr>
        <w:t xml:space="preserve">(le </w:t>
      </w:r>
      <w:proofErr w:type="spellStart"/>
      <w:r w:rsidRPr="00635DDF">
        <w:rPr>
          <w:i/>
        </w:rPr>
        <w:t>français</w:t>
      </w:r>
      <w:proofErr w:type="spellEnd"/>
      <w:r w:rsidRPr="00635DDF">
        <w:rPr>
          <w:i/>
        </w:rPr>
        <w:t xml:space="preserve"> suit)</w:t>
      </w:r>
    </w:p>
    <w:p w:rsidR="006F2579" w:rsidRPr="00635DDF" w:rsidRDefault="006F2579" w:rsidP="006F2579">
      <w:pPr>
        <w:widowControl w:val="0"/>
      </w:pPr>
    </w:p>
    <w:p w:rsidR="006F2579" w:rsidRPr="00635DDF" w:rsidRDefault="00B07908" w:rsidP="006F2579">
      <w:pPr>
        <w:widowControl w:val="0"/>
        <w:jc w:val="center"/>
        <w:rPr>
          <w:b/>
        </w:rPr>
      </w:pPr>
      <w:r w:rsidRPr="00635DDF">
        <w:fldChar w:fldCharType="begin"/>
      </w:r>
      <w:r w:rsidR="006F2579" w:rsidRPr="00635DDF">
        <w:instrText xml:space="preserve"> SEQ CHAPTER \h \r 1</w:instrText>
      </w:r>
      <w:r w:rsidRPr="00635DDF">
        <w:fldChar w:fldCharType="end"/>
      </w:r>
      <w:r w:rsidR="006F2579" w:rsidRPr="00635DDF">
        <w:rPr>
          <w:b/>
        </w:rPr>
        <w:t>JUDGMENT</w:t>
      </w:r>
      <w:r w:rsidR="00B17AAC" w:rsidRPr="00635DDF">
        <w:rPr>
          <w:b/>
        </w:rPr>
        <w:t>S</w:t>
      </w:r>
      <w:r w:rsidR="006F2579" w:rsidRPr="00635DDF">
        <w:rPr>
          <w:b/>
        </w:rPr>
        <w:t xml:space="preserve"> TO B</w:t>
      </w:r>
      <w:r w:rsidR="00001846" w:rsidRPr="00635DDF">
        <w:rPr>
          <w:b/>
        </w:rPr>
        <w:t>E RENDERED IN LEAVE APPLICATION</w:t>
      </w:r>
      <w:r w:rsidR="00AE4C09" w:rsidRPr="00635DDF">
        <w:rPr>
          <w:b/>
        </w:rPr>
        <w:t>S</w:t>
      </w:r>
    </w:p>
    <w:p w:rsidR="006F2579" w:rsidRPr="00635DDF" w:rsidRDefault="006F2579" w:rsidP="006F2579">
      <w:pPr>
        <w:widowControl w:val="0"/>
        <w:rPr>
          <w:b/>
        </w:rPr>
      </w:pPr>
    </w:p>
    <w:p w:rsidR="006F2579" w:rsidRPr="00635DDF" w:rsidRDefault="00E31DD1" w:rsidP="006F2579">
      <w:pPr>
        <w:widowControl w:val="0"/>
        <w:rPr>
          <w:b/>
        </w:rPr>
      </w:pPr>
      <w:r w:rsidRPr="00635DDF">
        <w:rPr>
          <w:b/>
        </w:rPr>
        <w:t>October</w:t>
      </w:r>
      <w:r w:rsidR="00FD37D0" w:rsidRPr="00635DDF">
        <w:rPr>
          <w:b/>
        </w:rPr>
        <w:t xml:space="preserve"> </w:t>
      </w:r>
      <w:r w:rsidR="00C418F0">
        <w:rPr>
          <w:b/>
        </w:rPr>
        <w:t>24</w:t>
      </w:r>
      <w:r w:rsidR="00AB5538" w:rsidRPr="00635DDF">
        <w:rPr>
          <w:b/>
        </w:rPr>
        <w:t>,</w:t>
      </w:r>
      <w:r w:rsidR="006F2579" w:rsidRPr="00635DDF">
        <w:rPr>
          <w:b/>
        </w:rPr>
        <w:t xml:space="preserve"> </w:t>
      </w:r>
      <w:r w:rsidR="0054689F" w:rsidRPr="00635DDF">
        <w:rPr>
          <w:b/>
        </w:rPr>
        <w:t>201</w:t>
      </w:r>
      <w:r w:rsidR="00674329" w:rsidRPr="00635DDF">
        <w:rPr>
          <w:b/>
        </w:rPr>
        <w:t>6</w:t>
      </w:r>
    </w:p>
    <w:p w:rsidR="006F2579" w:rsidRPr="00635DDF" w:rsidRDefault="006F2579" w:rsidP="006F2579">
      <w:pPr>
        <w:widowControl w:val="0"/>
        <w:rPr>
          <w:b/>
        </w:rPr>
      </w:pPr>
      <w:r w:rsidRPr="00635DDF">
        <w:rPr>
          <w:b/>
        </w:rPr>
        <w:t>For immediate release</w:t>
      </w:r>
    </w:p>
    <w:p w:rsidR="006F2579" w:rsidRPr="00635DDF" w:rsidRDefault="006F2579" w:rsidP="006F2579">
      <w:pPr>
        <w:widowControl w:val="0"/>
      </w:pPr>
    </w:p>
    <w:p w:rsidR="006F2579" w:rsidRPr="00635DDF" w:rsidRDefault="006F2579" w:rsidP="006F2579">
      <w:pPr>
        <w:widowControl w:val="0"/>
      </w:pPr>
      <w:r w:rsidRPr="00635DDF">
        <w:rPr>
          <w:b/>
        </w:rPr>
        <w:t>OTTAWA</w:t>
      </w:r>
      <w:r w:rsidRPr="00635DDF">
        <w:t xml:space="preserve"> – The Supreme Court of Canada announced today that judgment in the following application</w:t>
      </w:r>
      <w:r w:rsidR="008600ED" w:rsidRPr="00635DDF">
        <w:t>s</w:t>
      </w:r>
      <w:r w:rsidRPr="00635DDF">
        <w:t xml:space="preserve"> for leave to appeal will be delivered at 9:45 a.m. E</w:t>
      </w:r>
      <w:r w:rsidR="003817A9" w:rsidRPr="00635DDF">
        <w:t>D</w:t>
      </w:r>
      <w:r w:rsidRPr="00635DDF">
        <w:t xml:space="preserve">T on Thursday, </w:t>
      </w:r>
      <w:r w:rsidR="00E31DD1" w:rsidRPr="00635DDF">
        <w:t>October</w:t>
      </w:r>
      <w:r w:rsidR="00FD37D0" w:rsidRPr="00635DDF">
        <w:t xml:space="preserve"> </w:t>
      </w:r>
      <w:r w:rsidR="0027764C" w:rsidRPr="00635DDF">
        <w:t>2</w:t>
      </w:r>
      <w:r w:rsidR="00C418F0">
        <w:t>7</w:t>
      </w:r>
      <w:r w:rsidR="007E112F" w:rsidRPr="00635DDF">
        <w:t>,</w:t>
      </w:r>
      <w:r w:rsidR="002F38D7" w:rsidRPr="00635DDF">
        <w:t xml:space="preserve"> </w:t>
      </w:r>
      <w:r w:rsidR="006648D1" w:rsidRPr="00635DDF">
        <w:t>201</w:t>
      </w:r>
      <w:r w:rsidR="00674329" w:rsidRPr="00635DDF">
        <w:t>6</w:t>
      </w:r>
      <w:r w:rsidRPr="00635DDF">
        <w:t>. This list is subject to change.</w:t>
      </w:r>
    </w:p>
    <w:p w:rsidR="00FF5AA4" w:rsidRPr="00635DDF" w:rsidRDefault="00FF5AA4" w:rsidP="006F2579">
      <w:pPr>
        <w:widowControl w:val="0"/>
      </w:pPr>
    </w:p>
    <w:p w:rsidR="00B43418" w:rsidRPr="00635DDF" w:rsidRDefault="00B43418" w:rsidP="006F2579">
      <w:pPr>
        <w:widowControl w:val="0"/>
      </w:pPr>
    </w:p>
    <w:p w:rsidR="006F2579" w:rsidRPr="00635DDF" w:rsidRDefault="006F2579" w:rsidP="006F2579">
      <w:pPr>
        <w:widowControl w:val="0"/>
        <w:jc w:val="center"/>
        <w:rPr>
          <w:lang w:val="fr-CA"/>
        </w:rPr>
      </w:pPr>
      <w:r w:rsidRPr="00635DDF">
        <w:rPr>
          <w:b/>
          <w:lang w:val="fr-CA"/>
        </w:rPr>
        <w:t>PROCHAIN</w:t>
      </w:r>
      <w:r w:rsidR="00B17AAC" w:rsidRPr="00635DDF">
        <w:rPr>
          <w:b/>
          <w:lang w:val="fr-CA"/>
        </w:rPr>
        <w:t>S</w:t>
      </w:r>
      <w:r w:rsidRPr="00635DDF">
        <w:rPr>
          <w:b/>
          <w:lang w:val="fr-CA"/>
        </w:rPr>
        <w:t xml:space="preserve"> JUGEMENT</w:t>
      </w:r>
      <w:r w:rsidR="00B17AAC" w:rsidRPr="00635DDF">
        <w:rPr>
          <w:b/>
          <w:lang w:val="fr-CA"/>
        </w:rPr>
        <w:t>S</w:t>
      </w:r>
      <w:r w:rsidR="00001846" w:rsidRPr="00635DDF">
        <w:rPr>
          <w:b/>
          <w:lang w:val="fr-CA"/>
        </w:rPr>
        <w:t xml:space="preserve"> SUR DEMANDE</w:t>
      </w:r>
      <w:r w:rsidR="00B17AAC" w:rsidRPr="00635DDF">
        <w:rPr>
          <w:b/>
          <w:lang w:val="fr-CA"/>
        </w:rPr>
        <w:t>S</w:t>
      </w:r>
      <w:r w:rsidRPr="00635DDF">
        <w:rPr>
          <w:b/>
          <w:lang w:val="fr-CA"/>
        </w:rPr>
        <w:t xml:space="preserve"> D’AUTORISATION</w:t>
      </w:r>
    </w:p>
    <w:p w:rsidR="006F2579" w:rsidRPr="00635DDF" w:rsidRDefault="006F2579" w:rsidP="006F2579">
      <w:pPr>
        <w:widowControl w:val="0"/>
        <w:rPr>
          <w:lang w:val="fr-CA"/>
        </w:rPr>
      </w:pPr>
    </w:p>
    <w:p w:rsidR="006F2579" w:rsidRPr="00635DDF" w:rsidRDefault="006F2579" w:rsidP="006F2579">
      <w:pPr>
        <w:widowControl w:val="0"/>
        <w:rPr>
          <w:b/>
          <w:lang w:val="fr-CA"/>
        </w:rPr>
      </w:pPr>
      <w:r w:rsidRPr="00635DDF">
        <w:rPr>
          <w:b/>
          <w:lang w:val="fr-CA"/>
        </w:rPr>
        <w:t>Le</w:t>
      </w:r>
      <w:r w:rsidR="00957A76" w:rsidRPr="00635DDF">
        <w:rPr>
          <w:b/>
          <w:lang w:val="fr-CA"/>
        </w:rPr>
        <w:t xml:space="preserve"> </w:t>
      </w:r>
      <w:r w:rsidR="00C418F0">
        <w:rPr>
          <w:b/>
          <w:lang w:val="fr-CA"/>
        </w:rPr>
        <w:t>24</w:t>
      </w:r>
      <w:r w:rsidR="00FD37D0" w:rsidRPr="00635DDF">
        <w:rPr>
          <w:b/>
          <w:lang w:val="fr-CA"/>
        </w:rPr>
        <w:t xml:space="preserve"> </w:t>
      </w:r>
      <w:r w:rsidR="00E31DD1" w:rsidRPr="00635DDF">
        <w:rPr>
          <w:b/>
          <w:lang w:val="fr-CA"/>
        </w:rPr>
        <w:t>octobre</w:t>
      </w:r>
      <w:r w:rsidR="00674329" w:rsidRPr="00635DDF">
        <w:rPr>
          <w:b/>
          <w:lang w:val="fr-CA"/>
        </w:rPr>
        <w:t xml:space="preserve"> 2016</w:t>
      </w:r>
    </w:p>
    <w:p w:rsidR="006F2579" w:rsidRPr="00635DDF" w:rsidRDefault="006F2579" w:rsidP="006F2579">
      <w:pPr>
        <w:widowControl w:val="0"/>
        <w:rPr>
          <w:b/>
          <w:lang w:val="fr-CA"/>
        </w:rPr>
      </w:pPr>
      <w:r w:rsidRPr="00635DDF">
        <w:rPr>
          <w:b/>
          <w:lang w:val="fr-CA"/>
        </w:rPr>
        <w:t>Pour diffusion immédiate</w:t>
      </w:r>
    </w:p>
    <w:p w:rsidR="006F2579" w:rsidRPr="00635DDF" w:rsidRDefault="006F2579" w:rsidP="006F2579">
      <w:pPr>
        <w:widowControl w:val="0"/>
        <w:rPr>
          <w:b/>
          <w:lang w:val="fr-CA"/>
        </w:rPr>
      </w:pPr>
    </w:p>
    <w:p w:rsidR="006F2579" w:rsidRPr="00635DDF" w:rsidRDefault="006F2579" w:rsidP="006F2579">
      <w:pPr>
        <w:widowControl w:val="0"/>
        <w:rPr>
          <w:lang w:val="fr-CA"/>
        </w:rPr>
      </w:pPr>
      <w:r w:rsidRPr="00635DDF">
        <w:rPr>
          <w:b/>
          <w:lang w:val="fr-CA"/>
        </w:rPr>
        <w:t>OTTAWA</w:t>
      </w:r>
      <w:r w:rsidRPr="00635DDF">
        <w:rPr>
          <w:lang w:val="fr-CA"/>
        </w:rPr>
        <w:t xml:space="preserve"> – La Cour suprême du Canada annonce que jugement ser</w:t>
      </w:r>
      <w:r w:rsidR="004259F9" w:rsidRPr="00635DDF">
        <w:rPr>
          <w:lang w:val="fr-CA"/>
        </w:rPr>
        <w:t>a</w:t>
      </w:r>
      <w:r w:rsidRPr="00635DDF">
        <w:rPr>
          <w:lang w:val="fr-CA"/>
        </w:rPr>
        <w:t xml:space="preserve"> rendu dans l</w:t>
      </w:r>
      <w:r w:rsidR="008600ED" w:rsidRPr="00635DDF">
        <w:rPr>
          <w:lang w:val="fr-CA"/>
        </w:rPr>
        <w:t>es</w:t>
      </w:r>
      <w:r w:rsidRPr="00635DDF">
        <w:rPr>
          <w:lang w:val="fr-CA"/>
        </w:rPr>
        <w:t xml:space="preserve"> demande</w:t>
      </w:r>
      <w:r w:rsidR="008600ED" w:rsidRPr="00635DDF">
        <w:rPr>
          <w:lang w:val="fr-CA"/>
        </w:rPr>
        <w:t>s</w:t>
      </w:r>
      <w:r w:rsidRPr="00635DDF">
        <w:rPr>
          <w:lang w:val="fr-CA"/>
        </w:rPr>
        <w:t xml:space="preserve"> d</w:t>
      </w:r>
      <w:r w:rsidR="00001846" w:rsidRPr="00635DDF">
        <w:rPr>
          <w:lang w:val="fr-CA"/>
        </w:rPr>
        <w:t>’autorisation d’appel suivante</w:t>
      </w:r>
      <w:r w:rsidR="008600ED" w:rsidRPr="00635DDF">
        <w:rPr>
          <w:lang w:val="fr-CA"/>
        </w:rPr>
        <w:t>s</w:t>
      </w:r>
      <w:r w:rsidRPr="00635DDF">
        <w:rPr>
          <w:lang w:val="fr-CA"/>
        </w:rPr>
        <w:t xml:space="preserve"> le jeudi </w:t>
      </w:r>
      <w:r w:rsidR="0027764C" w:rsidRPr="00635DDF">
        <w:rPr>
          <w:lang w:val="fr-CA"/>
        </w:rPr>
        <w:t>2</w:t>
      </w:r>
      <w:r w:rsidR="00C418F0">
        <w:rPr>
          <w:lang w:val="fr-CA"/>
        </w:rPr>
        <w:t>7</w:t>
      </w:r>
      <w:r w:rsidR="0025030E" w:rsidRPr="00635DDF">
        <w:rPr>
          <w:lang w:val="fr-CA"/>
        </w:rPr>
        <w:t xml:space="preserve"> </w:t>
      </w:r>
      <w:r w:rsidR="00E31DD1" w:rsidRPr="00635DDF">
        <w:rPr>
          <w:lang w:val="fr-CA"/>
        </w:rPr>
        <w:t>octobre</w:t>
      </w:r>
      <w:r w:rsidR="00674329" w:rsidRPr="00635DDF">
        <w:rPr>
          <w:lang w:val="fr-CA"/>
        </w:rPr>
        <w:t xml:space="preserve"> </w:t>
      </w:r>
      <w:r w:rsidR="006648D1" w:rsidRPr="00635DDF">
        <w:rPr>
          <w:lang w:val="fr-CA"/>
        </w:rPr>
        <w:t>201</w:t>
      </w:r>
      <w:r w:rsidR="00674329" w:rsidRPr="00635DDF">
        <w:rPr>
          <w:lang w:val="fr-CA"/>
        </w:rPr>
        <w:t>6</w:t>
      </w:r>
      <w:r w:rsidRPr="00635DDF">
        <w:rPr>
          <w:lang w:val="fr-CA"/>
        </w:rPr>
        <w:t xml:space="preserve">, à 9 h 45 </w:t>
      </w:r>
      <w:r w:rsidR="000627A2" w:rsidRPr="00635DDF">
        <w:rPr>
          <w:lang w:val="fr-CA"/>
        </w:rPr>
        <w:t>H</w:t>
      </w:r>
      <w:r w:rsidR="003817A9" w:rsidRPr="00635DDF">
        <w:rPr>
          <w:lang w:val="fr-CA"/>
        </w:rPr>
        <w:t>A</w:t>
      </w:r>
      <w:r w:rsidRPr="00635DDF">
        <w:rPr>
          <w:lang w:val="fr-CA"/>
        </w:rPr>
        <w:t>E. Cette liste est sujette à modifications.</w:t>
      </w:r>
    </w:p>
    <w:p w:rsidR="0080556B" w:rsidRPr="00635DDF" w:rsidRDefault="0080556B" w:rsidP="009B14F4">
      <w:pPr>
        <w:widowControl w:val="0"/>
        <w:jc w:val="both"/>
        <w:rPr>
          <w:sz w:val="20"/>
          <w:lang w:val="fr-CA"/>
        </w:rPr>
      </w:pPr>
    </w:p>
    <w:p w:rsidR="001838E0" w:rsidRPr="00635DDF" w:rsidRDefault="003D353C" w:rsidP="009B14F4">
      <w:pPr>
        <w:widowControl w:val="0"/>
        <w:jc w:val="both"/>
        <w:rPr>
          <w:sz w:val="20"/>
          <w:lang w:val="fr-CA"/>
        </w:rPr>
      </w:pPr>
      <w:r w:rsidRPr="00635DDF">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2396F" w:rsidRPr="00C418F0" w:rsidRDefault="0042396F" w:rsidP="00C418F0">
      <w:pPr>
        <w:ind w:left="360" w:hanging="360"/>
        <w:jc w:val="both"/>
        <w:rPr>
          <w:rFonts w:eastAsiaTheme="minorEastAsia"/>
          <w:sz w:val="20"/>
          <w:lang w:val="fr-CA" w:eastAsia="en-CA"/>
        </w:rPr>
      </w:pPr>
    </w:p>
    <w:p w:rsidR="00C418F0" w:rsidRPr="00C418F0" w:rsidRDefault="00C418F0" w:rsidP="00C418F0">
      <w:pPr>
        <w:pStyle w:val="ListParagraph"/>
        <w:numPr>
          <w:ilvl w:val="0"/>
          <w:numId w:val="25"/>
        </w:numPr>
        <w:ind w:left="360"/>
        <w:jc w:val="both"/>
        <w:rPr>
          <w:sz w:val="20"/>
          <w:lang w:val="en-CA" w:eastAsia="en-CA"/>
        </w:rPr>
      </w:pPr>
      <w:r w:rsidRPr="00C418F0">
        <w:rPr>
          <w:i/>
          <w:sz w:val="20"/>
          <w:lang w:val="fr-FR" w:eastAsia="en-CA"/>
        </w:rPr>
        <w:t>Valentin Pintea v. Dale Johns et al.</w:t>
      </w:r>
      <w:r w:rsidRPr="00C418F0">
        <w:rPr>
          <w:sz w:val="20"/>
          <w:lang w:val="fr-FR" w:eastAsia="en-CA"/>
        </w:rPr>
        <w:t xml:space="preserve"> </w:t>
      </w:r>
      <w:r w:rsidRPr="00C418F0">
        <w:rPr>
          <w:sz w:val="20"/>
          <w:lang w:val="en-CA" w:eastAsia="en-CA"/>
        </w:rPr>
        <w:t>(Alta.) (Civil) (By Leave)</w:t>
      </w:r>
      <w:r w:rsidR="00CF0D83">
        <w:rPr>
          <w:sz w:val="20"/>
          <w:lang w:val="en-CA" w:eastAsia="en-CA"/>
        </w:rPr>
        <w:t xml:space="preserve"> </w:t>
      </w:r>
      <w:r w:rsidR="00CF0D83" w:rsidRPr="00FE53DC">
        <w:rPr>
          <w:sz w:val="20"/>
        </w:rPr>
        <w:t>(</w:t>
      </w:r>
      <w:hyperlink r:id="rId8" w:history="1">
        <w:r w:rsidR="00CF0D83" w:rsidRPr="00FE53DC">
          <w:rPr>
            <w:rStyle w:val="Hyperlink"/>
            <w:sz w:val="20"/>
          </w:rPr>
          <w:t>3</w:t>
        </w:r>
        <w:r w:rsidR="00CF0D83">
          <w:rPr>
            <w:rStyle w:val="Hyperlink"/>
            <w:sz w:val="20"/>
          </w:rPr>
          <w:t>7109</w:t>
        </w:r>
      </w:hyperlink>
      <w:r w:rsidR="00CF0D83" w:rsidRPr="00FE53DC">
        <w:rPr>
          <w:sz w:val="20"/>
        </w:rPr>
        <w:t>)</w:t>
      </w:r>
    </w:p>
    <w:p w:rsidR="00C418F0" w:rsidRPr="00C418F0" w:rsidRDefault="00C418F0" w:rsidP="00C418F0">
      <w:pPr>
        <w:ind w:left="360" w:hanging="360"/>
        <w:jc w:val="both"/>
        <w:rPr>
          <w:sz w:val="20"/>
          <w:lang w:val="en-CA" w:eastAsia="en-CA"/>
        </w:rPr>
      </w:pPr>
    </w:p>
    <w:p w:rsidR="00C418F0" w:rsidRPr="00C418F0" w:rsidRDefault="00C418F0" w:rsidP="00C418F0">
      <w:pPr>
        <w:pStyle w:val="ListParagraph"/>
        <w:numPr>
          <w:ilvl w:val="0"/>
          <w:numId w:val="25"/>
        </w:numPr>
        <w:ind w:left="360"/>
        <w:jc w:val="both"/>
        <w:rPr>
          <w:sz w:val="20"/>
          <w:lang w:val="en-CA" w:eastAsia="en-CA"/>
        </w:rPr>
      </w:pPr>
      <w:r w:rsidRPr="00C418F0">
        <w:rPr>
          <w:i/>
          <w:sz w:val="20"/>
          <w:lang w:val="fr-FR" w:eastAsia="en-CA"/>
        </w:rPr>
        <w:t xml:space="preserve">Zhao Hui Wang v. Jun Li </w:t>
      </w:r>
      <w:r w:rsidRPr="00C418F0">
        <w:rPr>
          <w:sz w:val="20"/>
          <w:lang w:val="fr-FR" w:eastAsia="en-CA"/>
        </w:rPr>
        <w:t xml:space="preserve">(Que.) </w:t>
      </w:r>
      <w:r w:rsidRPr="00C418F0">
        <w:rPr>
          <w:sz w:val="20"/>
          <w:lang w:val="en-CA" w:eastAsia="en-CA"/>
        </w:rPr>
        <w:t>(Civil) (By Leave)</w:t>
      </w:r>
      <w:r w:rsidR="00E73155">
        <w:rPr>
          <w:sz w:val="20"/>
          <w:lang w:val="en-CA" w:eastAsia="en-CA"/>
        </w:rPr>
        <w:t xml:space="preserve"> </w:t>
      </w:r>
      <w:r w:rsidR="00E73155" w:rsidRPr="00FE53DC">
        <w:rPr>
          <w:sz w:val="20"/>
        </w:rPr>
        <w:t>(</w:t>
      </w:r>
      <w:hyperlink r:id="rId9" w:history="1">
        <w:r w:rsidR="00E73155" w:rsidRPr="00FE53DC">
          <w:rPr>
            <w:rStyle w:val="Hyperlink"/>
            <w:sz w:val="20"/>
          </w:rPr>
          <w:t>3</w:t>
        </w:r>
        <w:r w:rsidR="00E73155">
          <w:rPr>
            <w:rStyle w:val="Hyperlink"/>
            <w:sz w:val="20"/>
          </w:rPr>
          <w:t>70</w:t>
        </w:r>
        <w:r w:rsidR="00E73155" w:rsidRPr="00FE53DC">
          <w:rPr>
            <w:rStyle w:val="Hyperlink"/>
            <w:sz w:val="20"/>
          </w:rPr>
          <w:t>6</w:t>
        </w:r>
        <w:r w:rsidR="00E73155">
          <w:rPr>
            <w:rStyle w:val="Hyperlink"/>
            <w:sz w:val="20"/>
          </w:rPr>
          <w:t>7</w:t>
        </w:r>
      </w:hyperlink>
      <w:r w:rsidR="00E73155" w:rsidRPr="00FE53DC">
        <w:rPr>
          <w:sz w:val="20"/>
        </w:rPr>
        <w:t>)</w:t>
      </w:r>
    </w:p>
    <w:p w:rsidR="00C418F0" w:rsidRPr="00C418F0" w:rsidRDefault="00C418F0" w:rsidP="00C418F0">
      <w:pPr>
        <w:ind w:left="360" w:hanging="360"/>
        <w:jc w:val="both"/>
        <w:rPr>
          <w:sz w:val="20"/>
          <w:lang w:val="en-CA" w:eastAsia="en-CA"/>
        </w:rPr>
      </w:pPr>
    </w:p>
    <w:p w:rsidR="00C418F0" w:rsidRPr="00C418F0" w:rsidRDefault="00C418F0" w:rsidP="00C418F0">
      <w:pPr>
        <w:pStyle w:val="ListParagraph"/>
        <w:numPr>
          <w:ilvl w:val="0"/>
          <w:numId w:val="25"/>
        </w:numPr>
        <w:ind w:left="360"/>
        <w:jc w:val="both"/>
        <w:rPr>
          <w:sz w:val="20"/>
          <w:lang w:val="en-CA" w:eastAsia="en-CA"/>
        </w:rPr>
      </w:pPr>
      <w:r w:rsidRPr="00C418F0">
        <w:rPr>
          <w:i/>
          <w:sz w:val="20"/>
          <w:lang w:val="en-CA" w:eastAsia="en-CA"/>
        </w:rPr>
        <w:t>Robert Glen Harrison v. Her Majesty the Queen in Right of the Province of British Columbia et al.</w:t>
      </w:r>
      <w:r w:rsidRPr="00C418F0">
        <w:rPr>
          <w:sz w:val="20"/>
          <w:lang w:val="en-CA" w:eastAsia="en-CA"/>
        </w:rPr>
        <w:t xml:space="preserve"> (B.C.) (Civil) (By Leave)</w:t>
      </w:r>
      <w:r w:rsidR="007F22A7">
        <w:rPr>
          <w:sz w:val="20"/>
          <w:lang w:val="en-CA" w:eastAsia="en-CA"/>
        </w:rPr>
        <w:t xml:space="preserve"> </w:t>
      </w:r>
      <w:r w:rsidR="007F22A7" w:rsidRPr="00FE53DC">
        <w:rPr>
          <w:sz w:val="20"/>
        </w:rPr>
        <w:t>(</w:t>
      </w:r>
      <w:hyperlink r:id="rId10" w:history="1">
        <w:r w:rsidR="007F22A7" w:rsidRPr="00FE53DC">
          <w:rPr>
            <w:rStyle w:val="Hyperlink"/>
            <w:sz w:val="20"/>
          </w:rPr>
          <w:t>36</w:t>
        </w:r>
        <w:r w:rsidR="007F22A7">
          <w:rPr>
            <w:rStyle w:val="Hyperlink"/>
            <w:sz w:val="20"/>
          </w:rPr>
          <w:t>073</w:t>
        </w:r>
      </w:hyperlink>
      <w:r w:rsidR="007F22A7" w:rsidRPr="00FE53DC">
        <w:rPr>
          <w:sz w:val="20"/>
        </w:rPr>
        <w:t>)</w:t>
      </w:r>
    </w:p>
    <w:p w:rsidR="00C418F0" w:rsidRPr="00C418F0" w:rsidRDefault="00C418F0" w:rsidP="00C418F0">
      <w:pPr>
        <w:ind w:left="360" w:hanging="360"/>
        <w:jc w:val="both"/>
        <w:rPr>
          <w:sz w:val="20"/>
          <w:lang w:val="en-CA" w:eastAsia="en-CA"/>
        </w:rPr>
      </w:pPr>
    </w:p>
    <w:p w:rsidR="00C418F0" w:rsidRPr="00C418F0" w:rsidRDefault="00C418F0" w:rsidP="00C418F0">
      <w:pPr>
        <w:pStyle w:val="ListParagraph"/>
        <w:numPr>
          <w:ilvl w:val="0"/>
          <w:numId w:val="25"/>
        </w:numPr>
        <w:ind w:left="360"/>
        <w:jc w:val="both"/>
        <w:rPr>
          <w:sz w:val="20"/>
          <w:lang w:val="en-CA" w:eastAsia="en-CA"/>
        </w:rPr>
      </w:pPr>
      <w:r w:rsidRPr="00C418F0">
        <w:rPr>
          <w:i/>
          <w:sz w:val="20"/>
          <w:lang w:val="en-CA" w:eastAsia="en-CA"/>
        </w:rPr>
        <w:t>WestJet v. Nicole Chabot, in her quality of tutor to her minor child N.C. et al.</w:t>
      </w:r>
      <w:r w:rsidRPr="00C418F0">
        <w:rPr>
          <w:sz w:val="20"/>
          <w:lang w:val="en-CA" w:eastAsia="en-CA"/>
        </w:rPr>
        <w:t xml:space="preserve"> (Que.) (Civil) (By Leave)</w:t>
      </w:r>
      <w:r w:rsidR="00223DAB">
        <w:rPr>
          <w:sz w:val="20"/>
          <w:lang w:val="en-CA" w:eastAsia="en-CA"/>
        </w:rPr>
        <w:t xml:space="preserve"> </w:t>
      </w:r>
      <w:r w:rsidR="00223DAB" w:rsidRPr="00FE53DC">
        <w:rPr>
          <w:sz w:val="20"/>
        </w:rPr>
        <w:t>(</w:t>
      </w:r>
      <w:hyperlink r:id="rId11" w:history="1">
        <w:r w:rsidR="00223DAB" w:rsidRPr="00FE53DC">
          <w:rPr>
            <w:rStyle w:val="Hyperlink"/>
            <w:sz w:val="20"/>
          </w:rPr>
          <w:t>3</w:t>
        </w:r>
        <w:r w:rsidR="00223DAB">
          <w:rPr>
            <w:rStyle w:val="Hyperlink"/>
            <w:sz w:val="20"/>
          </w:rPr>
          <w:t>7027</w:t>
        </w:r>
      </w:hyperlink>
      <w:r w:rsidR="00223DAB" w:rsidRPr="00FE53DC">
        <w:rPr>
          <w:sz w:val="20"/>
        </w:rPr>
        <w:t>)</w:t>
      </w:r>
    </w:p>
    <w:p w:rsidR="00C418F0" w:rsidRPr="00C418F0" w:rsidRDefault="00C418F0" w:rsidP="00C418F0">
      <w:pPr>
        <w:ind w:left="360" w:hanging="360"/>
        <w:jc w:val="both"/>
        <w:rPr>
          <w:sz w:val="20"/>
          <w:lang w:val="en-CA" w:eastAsia="en-CA"/>
        </w:rPr>
      </w:pPr>
    </w:p>
    <w:p w:rsidR="00C418F0" w:rsidRPr="00C418F0" w:rsidRDefault="00C418F0" w:rsidP="00C418F0">
      <w:pPr>
        <w:pStyle w:val="ListParagraph"/>
        <w:numPr>
          <w:ilvl w:val="0"/>
          <w:numId w:val="25"/>
        </w:numPr>
        <w:ind w:left="360"/>
        <w:jc w:val="both"/>
        <w:rPr>
          <w:sz w:val="20"/>
          <w:lang w:val="en-CA" w:eastAsia="en-CA"/>
        </w:rPr>
      </w:pPr>
      <w:r w:rsidRPr="00C418F0">
        <w:rPr>
          <w:i/>
          <w:sz w:val="20"/>
          <w:lang w:val="en-CA" w:eastAsia="en-CA"/>
        </w:rPr>
        <w:t xml:space="preserve">Attorney General of Canada v. Larry Philip Fontaine in his personal capacity and in his capacity as the </w:t>
      </w:r>
      <w:r w:rsidR="00096BDC">
        <w:rPr>
          <w:i/>
          <w:sz w:val="20"/>
          <w:lang w:val="en-CA" w:eastAsia="en-CA"/>
        </w:rPr>
        <w:t>e</w:t>
      </w:r>
      <w:r w:rsidRPr="00C418F0">
        <w:rPr>
          <w:i/>
          <w:sz w:val="20"/>
          <w:lang w:val="en-CA" w:eastAsia="en-CA"/>
        </w:rPr>
        <w:t xml:space="preserve">xecutor of the </w:t>
      </w:r>
      <w:r w:rsidR="00096BDC">
        <w:rPr>
          <w:i/>
          <w:sz w:val="20"/>
          <w:lang w:val="en-CA" w:eastAsia="en-CA"/>
        </w:rPr>
        <w:t>e</w:t>
      </w:r>
      <w:r w:rsidRPr="00C418F0">
        <w:rPr>
          <w:i/>
          <w:sz w:val="20"/>
          <w:lang w:val="en-CA" w:eastAsia="en-CA"/>
        </w:rPr>
        <w:t>state of Agnes Mary Fontaine, deceased et al.</w:t>
      </w:r>
      <w:r w:rsidRPr="00C418F0">
        <w:rPr>
          <w:sz w:val="20"/>
          <w:lang w:val="en-CA" w:eastAsia="en-CA"/>
        </w:rPr>
        <w:t xml:space="preserve"> (Ont.) (Civil) (By Leave)</w:t>
      </w:r>
      <w:r w:rsidR="0067011A">
        <w:rPr>
          <w:sz w:val="20"/>
          <w:lang w:val="en-CA" w:eastAsia="en-CA"/>
        </w:rPr>
        <w:t xml:space="preserve"> </w:t>
      </w:r>
      <w:r w:rsidR="0067011A" w:rsidRPr="00FE53DC">
        <w:rPr>
          <w:sz w:val="20"/>
        </w:rPr>
        <w:t>(</w:t>
      </w:r>
      <w:hyperlink r:id="rId12" w:history="1">
        <w:r w:rsidR="0067011A" w:rsidRPr="00FE53DC">
          <w:rPr>
            <w:rStyle w:val="Hyperlink"/>
            <w:sz w:val="20"/>
          </w:rPr>
          <w:t>3</w:t>
        </w:r>
        <w:r w:rsidR="0067011A">
          <w:rPr>
            <w:rStyle w:val="Hyperlink"/>
            <w:sz w:val="20"/>
          </w:rPr>
          <w:t>7037</w:t>
        </w:r>
      </w:hyperlink>
      <w:r w:rsidR="0067011A" w:rsidRPr="00FE53DC">
        <w:rPr>
          <w:sz w:val="20"/>
        </w:rPr>
        <w:t>)</w:t>
      </w:r>
    </w:p>
    <w:p w:rsidR="00C418F0" w:rsidRPr="00C418F0" w:rsidRDefault="00C418F0" w:rsidP="00C418F0">
      <w:pPr>
        <w:ind w:left="360" w:hanging="360"/>
        <w:jc w:val="both"/>
        <w:rPr>
          <w:rFonts w:eastAsiaTheme="minorEastAsia"/>
          <w:sz w:val="20"/>
          <w:lang w:val="fr-CA" w:eastAsia="en-CA"/>
        </w:rPr>
      </w:pPr>
    </w:p>
    <w:p w:rsidR="00C418F0" w:rsidRPr="005757C3" w:rsidRDefault="00C418F0" w:rsidP="00C418F0">
      <w:pPr>
        <w:pStyle w:val="ListParagraph"/>
        <w:numPr>
          <w:ilvl w:val="0"/>
          <w:numId w:val="25"/>
        </w:numPr>
        <w:ind w:left="360"/>
        <w:jc w:val="both"/>
        <w:rPr>
          <w:sz w:val="20"/>
          <w:lang w:val="en-CA"/>
        </w:rPr>
      </w:pPr>
      <w:r w:rsidRPr="00C418F0">
        <w:rPr>
          <w:i/>
          <w:sz w:val="20"/>
        </w:rPr>
        <w:t xml:space="preserve">Krista Danielle Sargent v. Her Majesty the Queen </w:t>
      </w:r>
      <w:r w:rsidRPr="00C418F0">
        <w:rPr>
          <w:sz w:val="20"/>
        </w:rPr>
        <w:t>(Alta.) (Criminal) (By Leave)</w:t>
      </w:r>
      <w:r w:rsidR="00BE7CB6">
        <w:rPr>
          <w:sz w:val="20"/>
        </w:rPr>
        <w:t xml:space="preserve"> </w:t>
      </w:r>
      <w:r w:rsidR="00BE7CB6" w:rsidRPr="00FE53DC">
        <w:rPr>
          <w:sz w:val="20"/>
        </w:rPr>
        <w:t>(</w:t>
      </w:r>
      <w:hyperlink r:id="rId13" w:history="1">
        <w:r w:rsidR="00BE7CB6" w:rsidRPr="00FE53DC">
          <w:rPr>
            <w:rStyle w:val="Hyperlink"/>
            <w:sz w:val="20"/>
          </w:rPr>
          <w:t>3</w:t>
        </w:r>
        <w:r w:rsidR="00BE7CB6">
          <w:rPr>
            <w:rStyle w:val="Hyperlink"/>
            <w:sz w:val="20"/>
          </w:rPr>
          <w:t>70</w:t>
        </w:r>
        <w:r w:rsidR="00BE7CB6" w:rsidRPr="00FE53DC">
          <w:rPr>
            <w:rStyle w:val="Hyperlink"/>
            <w:sz w:val="20"/>
          </w:rPr>
          <w:t>60</w:t>
        </w:r>
      </w:hyperlink>
      <w:r w:rsidR="00BE7CB6" w:rsidRPr="00FE53DC">
        <w:rPr>
          <w:sz w:val="20"/>
        </w:rPr>
        <w:t>)</w:t>
      </w:r>
    </w:p>
    <w:p w:rsidR="005757C3" w:rsidRPr="005757C3" w:rsidRDefault="005757C3" w:rsidP="005757C3">
      <w:pPr>
        <w:pStyle w:val="ListParagraph"/>
        <w:rPr>
          <w:sz w:val="20"/>
          <w:lang w:val="en-CA"/>
        </w:rPr>
      </w:pPr>
    </w:p>
    <w:p w:rsidR="00C418F0" w:rsidRPr="00C418F0" w:rsidRDefault="00C418F0" w:rsidP="00C418F0">
      <w:pPr>
        <w:pStyle w:val="ListParagraph"/>
        <w:numPr>
          <w:ilvl w:val="0"/>
          <w:numId w:val="25"/>
        </w:numPr>
        <w:ind w:left="360"/>
        <w:jc w:val="both"/>
        <w:rPr>
          <w:sz w:val="20"/>
          <w:lang w:val="en-CA"/>
        </w:rPr>
      </w:pPr>
      <w:r w:rsidRPr="00C418F0">
        <w:rPr>
          <w:i/>
          <w:sz w:val="20"/>
          <w:lang w:val="en-CA"/>
        </w:rPr>
        <w:t xml:space="preserve">Hung Quoc Le v. Her Majesty the Queen </w:t>
      </w:r>
      <w:r w:rsidRPr="00C418F0">
        <w:rPr>
          <w:sz w:val="20"/>
          <w:lang w:val="en-CA"/>
        </w:rPr>
        <w:t>(B.C.) (Criminal) (By Leave)</w:t>
      </w:r>
      <w:r w:rsidR="00BE7CB6">
        <w:rPr>
          <w:sz w:val="20"/>
          <w:lang w:val="en-CA"/>
        </w:rPr>
        <w:t xml:space="preserve"> </w:t>
      </w:r>
      <w:r w:rsidR="00BE7CB6" w:rsidRPr="00FE53DC">
        <w:rPr>
          <w:sz w:val="20"/>
        </w:rPr>
        <w:t>(</w:t>
      </w:r>
      <w:hyperlink r:id="rId14" w:history="1">
        <w:r w:rsidR="00BE7CB6" w:rsidRPr="00FE53DC">
          <w:rPr>
            <w:rStyle w:val="Hyperlink"/>
            <w:sz w:val="20"/>
          </w:rPr>
          <w:t>36</w:t>
        </w:r>
        <w:r w:rsidR="00BE7CB6">
          <w:rPr>
            <w:rStyle w:val="Hyperlink"/>
            <w:sz w:val="20"/>
          </w:rPr>
          <w:t>9</w:t>
        </w:r>
        <w:r w:rsidR="00BE7CB6" w:rsidRPr="00FE53DC">
          <w:rPr>
            <w:rStyle w:val="Hyperlink"/>
            <w:sz w:val="20"/>
          </w:rPr>
          <w:t>6</w:t>
        </w:r>
        <w:r w:rsidR="00BE7CB6">
          <w:rPr>
            <w:rStyle w:val="Hyperlink"/>
            <w:sz w:val="20"/>
          </w:rPr>
          <w:t>9</w:t>
        </w:r>
      </w:hyperlink>
      <w:r w:rsidR="00BE7CB6" w:rsidRPr="00FE53DC">
        <w:rPr>
          <w:sz w:val="20"/>
        </w:rPr>
        <w:t>)</w:t>
      </w:r>
    </w:p>
    <w:p w:rsidR="00C418F0" w:rsidRPr="00C418F0" w:rsidRDefault="00C418F0" w:rsidP="00C418F0">
      <w:pPr>
        <w:ind w:left="360" w:hanging="360"/>
        <w:jc w:val="both"/>
        <w:rPr>
          <w:sz w:val="20"/>
          <w:lang w:val="en-CA"/>
        </w:rPr>
      </w:pPr>
    </w:p>
    <w:p w:rsidR="00C418F0" w:rsidRPr="00C418F0" w:rsidRDefault="00C418F0" w:rsidP="00C418F0">
      <w:pPr>
        <w:pStyle w:val="ListParagraph"/>
        <w:numPr>
          <w:ilvl w:val="0"/>
          <w:numId w:val="25"/>
        </w:numPr>
        <w:ind w:left="360"/>
        <w:jc w:val="both"/>
        <w:rPr>
          <w:sz w:val="20"/>
        </w:rPr>
      </w:pPr>
      <w:r w:rsidRPr="00C418F0">
        <w:rPr>
          <w:i/>
          <w:sz w:val="20"/>
          <w:lang w:val="en-CA"/>
        </w:rPr>
        <w:t>Amgen Canada Inc. et al. v. Apotex</w:t>
      </w:r>
      <w:r w:rsidR="00BE7CB6">
        <w:rPr>
          <w:i/>
          <w:sz w:val="20"/>
          <w:lang w:val="en-CA"/>
        </w:rPr>
        <w:t xml:space="preserve"> Inc.</w:t>
      </w:r>
      <w:r w:rsidRPr="00C418F0">
        <w:rPr>
          <w:i/>
          <w:sz w:val="20"/>
          <w:lang w:val="en-CA"/>
        </w:rPr>
        <w:t xml:space="preserve"> et al.</w:t>
      </w:r>
      <w:r w:rsidRPr="00C418F0">
        <w:rPr>
          <w:sz w:val="20"/>
          <w:lang w:val="en-CA"/>
        </w:rPr>
        <w:t xml:space="preserve"> </w:t>
      </w:r>
      <w:r w:rsidRPr="00C418F0">
        <w:rPr>
          <w:sz w:val="20"/>
        </w:rPr>
        <w:t>(F</w:t>
      </w:r>
      <w:r w:rsidR="00BE7CB6">
        <w:rPr>
          <w:sz w:val="20"/>
        </w:rPr>
        <w:t>.</w:t>
      </w:r>
      <w:r w:rsidRPr="00C418F0">
        <w:rPr>
          <w:sz w:val="20"/>
        </w:rPr>
        <w:t>C</w:t>
      </w:r>
      <w:r w:rsidR="00BE7CB6">
        <w:rPr>
          <w:sz w:val="20"/>
        </w:rPr>
        <w:t>.</w:t>
      </w:r>
      <w:r w:rsidRPr="00C418F0">
        <w:rPr>
          <w:sz w:val="20"/>
        </w:rPr>
        <w:t>) (Civil) (By Leave)</w:t>
      </w:r>
      <w:r w:rsidR="00BE7CB6">
        <w:rPr>
          <w:sz w:val="20"/>
        </w:rPr>
        <w:t xml:space="preserve"> </w:t>
      </w:r>
      <w:r w:rsidR="00BE7CB6" w:rsidRPr="00FE53DC">
        <w:rPr>
          <w:sz w:val="20"/>
        </w:rPr>
        <w:t>(</w:t>
      </w:r>
      <w:hyperlink r:id="rId15" w:history="1">
        <w:r w:rsidR="00BE7CB6" w:rsidRPr="00FE53DC">
          <w:rPr>
            <w:rStyle w:val="Hyperlink"/>
            <w:sz w:val="20"/>
          </w:rPr>
          <w:t>3</w:t>
        </w:r>
        <w:r w:rsidR="00BE7CB6">
          <w:rPr>
            <w:rStyle w:val="Hyperlink"/>
            <w:sz w:val="20"/>
          </w:rPr>
          <w:t>7124</w:t>
        </w:r>
      </w:hyperlink>
      <w:r w:rsidR="00BE7CB6" w:rsidRPr="00FE53DC">
        <w:rPr>
          <w:sz w:val="20"/>
        </w:rPr>
        <w:t>)</w:t>
      </w:r>
    </w:p>
    <w:p w:rsidR="00C418F0" w:rsidRPr="00C806F6" w:rsidRDefault="00C418F0" w:rsidP="00C806F6">
      <w:pPr>
        <w:ind w:left="360" w:hanging="360"/>
        <w:jc w:val="both"/>
        <w:rPr>
          <w:rFonts w:eastAsiaTheme="minorEastAsia"/>
          <w:sz w:val="20"/>
          <w:lang w:val="fr-CA" w:eastAsia="en-CA"/>
        </w:rPr>
      </w:pPr>
    </w:p>
    <w:p w:rsidR="00C914F8" w:rsidRPr="00C806F6" w:rsidRDefault="00C914F8" w:rsidP="00C806F6">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6F6" w:rsidRPr="00C806F6" w:rsidTr="00BD3EBD">
        <w:tc>
          <w:tcPr>
            <w:tcW w:w="543" w:type="pct"/>
          </w:tcPr>
          <w:p w:rsidR="00C806F6" w:rsidRPr="00C806F6" w:rsidRDefault="00C806F6" w:rsidP="00C806F6">
            <w:pPr>
              <w:jc w:val="both"/>
              <w:rPr>
                <w:sz w:val="20"/>
              </w:rPr>
            </w:pPr>
            <w:r w:rsidRPr="00C806F6">
              <w:rPr>
                <w:rStyle w:val="SCCFileNumberChar"/>
                <w:sz w:val="20"/>
                <w:szCs w:val="20"/>
              </w:rPr>
              <w:t>37109</w:t>
            </w:r>
          </w:p>
        </w:tc>
        <w:tc>
          <w:tcPr>
            <w:tcW w:w="4457" w:type="pct"/>
            <w:gridSpan w:val="3"/>
          </w:tcPr>
          <w:p w:rsidR="00C806F6" w:rsidRPr="00C806F6" w:rsidRDefault="00C806F6" w:rsidP="00C806F6">
            <w:pPr>
              <w:pStyle w:val="SCCLsocParty"/>
              <w:jc w:val="both"/>
              <w:rPr>
                <w:b/>
                <w:sz w:val="20"/>
                <w:szCs w:val="20"/>
              </w:rPr>
            </w:pPr>
            <w:r w:rsidRPr="00C806F6">
              <w:rPr>
                <w:b/>
                <w:sz w:val="20"/>
                <w:szCs w:val="20"/>
              </w:rPr>
              <w:t xml:space="preserve">Valentin </w:t>
            </w:r>
            <w:proofErr w:type="spellStart"/>
            <w:r w:rsidRPr="00C806F6">
              <w:rPr>
                <w:b/>
                <w:sz w:val="20"/>
                <w:szCs w:val="20"/>
              </w:rPr>
              <w:t>Pintea</w:t>
            </w:r>
            <w:proofErr w:type="spellEnd"/>
            <w:r w:rsidRPr="00C806F6">
              <w:rPr>
                <w:b/>
                <w:sz w:val="20"/>
                <w:szCs w:val="20"/>
              </w:rPr>
              <w:t xml:space="preserve"> v. Dale Johns, Dylan Johns</w:t>
            </w:r>
          </w:p>
          <w:p w:rsidR="00C806F6" w:rsidRPr="00C806F6" w:rsidRDefault="00C806F6" w:rsidP="00C806F6">
            <w:pPr>
              <w:jc w:val="both"/>
              <w:rPr>
                <w:sz w:val="20"/>
              </w:rPr>
            </w:pPr>
            <w:r w:rsidRPr="00C806F6">
              <w:rPr>
                <w:sz w:val="20"/>
              </w:rPr>
              <w:t>(Alta.) (Civil) (By Leave)</w:t>
            </w:r>
          </w:p>
        </w:tc>
      </w:tr>
      <w:tr w:rsidR="00C806F6" w:rsidRPr="00C806F6" w:rsidTr="00BD3EBD">
        <w:tc>
          <w:tcPr>
            <w:tcW w:w="5000" w:type="pct"/>
            <w:gridSpan w:val="4"/>
          </w:tcPr>
          <w:p w:rsidR="00C806F6" w:rsidRPr="00C806F6" w:rsidRDefault="00C806F6" w:rsidP="00C806F6">
            <w:pPr>
              <w:jc w:val="both"/>
              <w:rPr>
                <w:sz w:val="20"/>
              </w:rPr>
            </w:pPr>
            <w:r w:rsidRPr="00C806F6">
              <w:rPr>
                <w:sz w:val="20"/>
              </w:rPr>
              <w:t>Civil procedure – Contempt of court – Case management – Appellate review – How should courts understand or interpret issues raised by self-represented litigants in chambers, at trial or on appeal in an unconventional fashion or that are not fully or clearly articulated – To what lengths should a court go to make sense of a self-represented litigant’s poorly expressed legal position – Should courts apply a contextual approach that recognized self-</w:t>
            </w:r>
            <w:r w:rsidRPr="00C806F6">
              <w:rPr>
                <w:sz w:val="20"/>
              </w:rPr>
              <w:lastRenderedPageBreak/>
              <w:t>represented litigants’ lack of understanding of court rules or procedures, or should court rules and procedures be applied identically to all litigants – Is the current law of civil contempt applicable to self-represented litigants or is there a different standard that applies when a litigant does not have the benefit of representation by a lawyer – If the current law of civil contempt is equally applicable to self-represented litigants and represented litigants, is the Court obliged to strictly follow the law of civil contempt to ensure that self-represented litigants obtain the benefits of all substantive and procedural protections that exist.</w:t>
            </w:r>
          </w:p>
        </w:tc>
      </w:tr>
      <w:tr w:rsidR="00C806F6" w:rsidRPr="00C806F6" w:rsidTr="00BD3EBD">
        <w:tc>
          <w:tcPr>
            <w:tcW w:w="5000" w:type="pct"/>
            <w:gridSpan w:val="4"/>
          </w:tcPr>
          <w:p w:rsidR="00C806F6" w:rsidRPr="00C806F6" w:rsidRDefault="00C806F6" w:rsidP="00C806F6">
            <w:pPr>
              <w:jc w:val="both"/>
              <w:rPr>
                <w:sz w:val="20"/>
              </w:rPr>
            </w:pPr>
          </w:p>
        </w:tc>
      </w:tr>
      <w:tr w:rsidR="00C806F6" w:rsidRPr="00C806F6" w:rsidTr="00BD3EBD">
        <w:tc>
          <w:tcPr>
            <w:tcW w:w="5000" w:type="pct"/>
            <w:gridSpan w:val="4"/>
          </w:tcPr>
          <w:p w:rsidR="00C806F6" w:rsidRPr="00C806F6" w:rsidRDefault="00C806F6" w:rsidP="00C806F6">
            <w:pPr>
              <w:jc w:val="both"/>
              <w:rPr>
                <w:sz w:val="20"/>
              </w:rPr>
            </w:pPr>
            <w:r w:rsidRPr="00C806F6">
              <w:rPr>
                <w:sz w:val="20"/>
              </w:rPr>
              <w:t xml:space="preserve">The applicant commenced an action against the respondents with respect to a car accident in 2005. Although he was initially represented by counsel, he became a self-represented litigant. When the applicant insisted that the matter be set down for trial, the case management judge directed him to produce his witness list and to comply with other procedural requirements, which he failed to do. The applicant moved to a new neighbourhood but did not file a change of address with the court as required by the </w:t>
            </w:r>
            <w:r w:rsidRPr="00C806F6">
              <w:rPr>
                <w:i/>
                <w:sz w:val="20"/>
              </w:rPr>
              <w:t>Rules of Court</w:t>
            </w:r>
            <w:r w:rsidRPr="00C806F6">
              <w:rPr>
                <w:sz w:val="20"/>
              </w:rPr>
              <w:t xml:space="preserve">. He therefore did not receive subsequent notices sent to him about meetings and applications and did not attend court as required. When the applicant did not appear at a case management meeting on January 21, 2015, the case management judge directed that the applicant be serviced with a notice advising that if he did not appear a week later, he would be found in contempt and the action would be struck. The applicant did not receive notice of the meeting prior to the date set and did not attend. </w:t>
            </w:r>
          </w:p>
          <w:p w:rsidR="00C806F6" w:rsidRPr="00C806F6" w:rsidRDefault="00C806F6" w:rsidP="00C806F6">
            <w:pPr>
              <w:jc w:val="both"/>
              <w:rPr>
                <w:sz w:val="20"/>
              </w:rPr>
            </w:pPr>
          </w:p>
        </w:tc>
      </w:tr>
      <w:tr w:rsidR="00C806F6" w:rsidRPr="00C806F6" w:rsidTr="00BD3EBD">
        <w:tc>
          <w:tcPr>
            <w:tcW w:w="5000" w:type="pct"/>
            <w:gridSpan w:val="4"/>
          </w:tcPr>
          <w:p w:rsidR="00C806F6" w:rsidRPr="00C806F6" w:rsidRDefault="00C806F6" w:rsidP="00C806F6">
            <w:pPr>
              <w:jc w:val="both"/>
              <w:rPr>
                <w:sz w:val="20"/>
              </w:rPr>
            </w:pPr>
            <w:r w:rsidRPr="00C806F6">
              <w:rPr>
                <w:sz w:val="20"/>
              </w:rPr>
              <w:t>The Alberta Court of Queen’s Bench struck out the applicant’s statement of claim for failure to comply with the terms of case management orders and failure to attend at case management meetings. The appellate court dismissed the applicant’s appeal, with Martin J.A. dissenting.</w:t>
            </w:r>
          </w:p>
          <w:p w:rsidR="00C806F6" w:rsidRPr="00C806F6" w:rsidRDefault="00C806F6" w:rsidP="00C806F6">
            <w:pPr>
              <w:jc w:val="both"/>
              <w:rPr>
                <w:sz w:val="20"/>
              </w:rPr>
            </w:pPr>
          </w:p>
        </w:tc>
      </w:tr>
      <w:tr w:rsidR="00C806F6" w:rsidRPr="00C806F6" w:rsidTr="00BD3EBD">
        <w:tc>
          <w:tcPr>
            <w:tcW w:w="2427" w:type="pct"/>
            <w:gridSpan w:val="2"/>
          </w:tcPr>
          <w:p w:rsidR="00C806F6" w:rsidRPr="00C806F6" w:rsidRDefault="00C806F6" w:rsidP="00C806F6">
            <w:pPr>
              <w:jc w:val="both"/>
              <w:rPr>
                <w:sz w:val="20"/>
              </w:rPr>
            </w:pPr>
            <w:r w:rsidRPr="00C806F6">
              <w:rPr>
                <w:sz w:val="20"/>
              </w:rPr>
              <w:t>January 30, 2015</w:t>
            </w:r>
          </w:p>
          <w:p w:rsidR="00C806F6" w:rsidRPr="00C806F6" w:rsidRDefault="00C806F6" w:rsidP="00C806F6">
            <w:pPr>
              <w:jc w:val="both"/>
              <w:rPr>
                <w:sz w:val="20"/>
              </w:rPr>
            </w:pPr>
            <w:r w:rsidRPr="00C806F6">
              <w:rPr>
                <w:sz w:val="20"/>
              </w:rPr>
              <w:t>Court of Queen’s Bench of Alberta</w:t>
            </w:r>
          </w:p>
          <w:p w:rsidR="00C806F6" w:rsidRPr="00C806F6" w:rsidRDefault="00C806F6" w:rsidP="00C806F6">
            <w:pPr>
              <w:jc w:val="both"/>
              <w:rPr>
                <w:sz w:val="20"/>
              </w:rPr>
            </w:pPr>
            <w:r w:rsidRPr="00C806F6">
              <w:rPr>
                <w:sz w:val="20"/>
              </w:rPr>
              <w:t>(Kenny J.)</w:t>
            </w:r>
          </w:p>
          <w:p w:rsidR="00C806F6" w:rsidRPr="00C806F6" w:rsidRDefault="00C806F6" w:rsidP="00C806F6">
            <w:pPr>
              <w:jc w:val="both"/>
              <w:rPr>
                <w:sz w:val="20"/>
              </w:rPr>
            </w:pPr>
            <w:r w:rsidRPr="00C806F6">
              <w:rPr>
                <w:sz w:val="20"/>
              </w:rPr>
              <w:t>0701-12350</w:t>
            </w:r>
          </w:p>
          <w:p w:rsidR="00C806F6" w:rsidRPr="00C806F6" w:rsidRDefault="00C806F6" w:rsidP="00C806F6">
            <w:pPr>
              <w:jc w:val="both"/>
              <w:rPr>
                <w:sz w:val="20"/>
              </w:rPr>
            </w:pPr>
          </w:p>
        </w:tc>
        <w:tc>
          <w:tcPr>
            <w:tcW w:w="243" w:type="pct"/>
          </w:tcPr>
          <w:p w:rsidR="00C806F6" w:rsidRPr="00C806F6" w:rsidRDefault="00C806F6" w:rsidP="00C806F6">
            <w:pPr>
              <w:jc w:val="both"/>
              <w:rPr>
                <w:sz w:val="20"/>
              </w:rPr>
            </w:pPr>
          </w:p>
        </w:tc>
        <w:tc>
          <w:tcPr>
            <w:tcW w:w="2330" w:type="pct"/>
          </w:tcPr>
          <w:p w:rsidR="00C806F6" w:rsidRPr="00C806F6" w:rsidRDefault="00C806F6" w:rsidP="00C806F6">
            <w:pPr>
              <w:jc w:val="both"/>
              <w:rPr>
                <w:sz w:val="20"/>
              </w:rPr>
            </w:pPr>
            <w:r w:rsidRPr="00C806F6">
              <w:rPr>
                <w:sz w:val="20"/>
              </w:rPr>
              <w:t>Applicant’s statement of claim struck out for failing to comply with the terms of case management orders and failing to attend scheduled meetings</w:t>
            </w:r>
          </w:p>
          <w:p w:rsidR="00C806F6" w:rsidRPr="00C806F6" w:rsidRDefault="00C806F6" w:rsidP="00C806F6">
            <w:pPr>
              <w:jc w:val="both"/>
              <w:rPr>
                <w:sz w:val="20"/>
              </w:rPr>
            </w:pPr>
          </w:p>
        </w:tc>
      </w:tr>
      <w:tr w:rsidR="00C806F6" w:rsidRPr="00C806F6" w:rsidTr="00BD3EBD">
        <w:tc>
          <w:tcPr>
            <w:tcW w:w="2427" w:type="pct"/>
            <w:gridSpan w:val="2"/>
          </w:tcPr>
          <w:p w:rsidR="00C806F6" w:rsidRPr="00C806F6" w:rsidRDefault="00C806F6" w:rsidP="00C806F6">
            <w:pPr>
              <w:jc w:val="both"/>
              <w:rPr>
                <w:sz w:val="20"/>
              </w:rPr>
            </w:pPr>
            <w:r w:rsidRPr="00C806F6">
              <w:rPr>
                <w:sz w:val="20"/>
              </w:rPr>
              <w:t>May 2, 2016</w:t>
            </w:r>
          </w:p>
          <w:p w:rsidR="00C806F6" w:rsidRPr="00C806F6" w:rsidRDefault="00C806F6" w:rsidP="00C806F6">
            <w:pPr>
              <w:jc w:val="both"/>
              <w:rPr>
                <w:sz w:val="20"/>
              </w:rPr>
            </w:pPr>
            <w:r w:rsidRPr="00C806F6">
              <w:rPr>
                <w:sz w:val="20"/>
              </w:rPr>
              <w:t>Court of Appeal of Alberta (Calgary)</w:t>
            </w:r>
          </w:p>
          <w:p w:rsidR="00C806F6" w:rsidRPr="00C806F6" w:rsidRDefault="00C806F6" w:rsidP="00C806F6">
            <w:pPr>
              <w:jc w:val="both"/>
              <w:rPr>
                <w:sz w:val="20"/>
              </w:rPr>
            </w:pPr>
            <w:r w:rsidRPr="00C806F6">
              <w:rPr>
                <w:sz w:val="20"/>
              </w:rPr>
              <w:t>(Martin (dissenting), McDonald and Veldhuis JJ.A.)</w:t>
            </w:r>
          </w:p>
          <w:p w:rsidR="00C806F6" w:rsidRPr="00C806F6" w:rsidRDefault="000221AE" w:rsidP="00C806F6">
            <w:pPr>
              <w:jc w:val="both"/>
              <w:rPr>
                <w:sz w:val="20"/>
              </w:rPr>
            </w:pPr>
            <w:hyperlink r:id="rId16" w:history="1">
              <w:r w:rsidR="00C806F6" w:rsidRPr="00C806F6">
                <w:rPr>
                  <w:rStyle w:val="Hyperlink"/>
                  <w:sz w:val="20"/>
                </w:rPr>
                <w:t>2016 ABCA 99</w:t>
              </w:r>
            </w:hyperlink>
            <w:r w:rsidR="00C806F6" w:rsidRPr="00C806F6">
              <w:rPr>
                <w:sz w:val="20"/>
              </w:rPr>
              <w:t>: 1501-0047-AC</w:t>
            </w:r>
          </w:p>
          <w:p w:rsidR="00C806F6" w:rsidRPr="00C806F6" w:rsidRDefault="00C806F6" w:rsidP="00C806F6">
            <w:pPr>
              <w:jc w:val="both"/>
              <w:rPr>
                <w:sz w:val="20"/>
              </w:rPr>
            </w:pPr>
          </w:p>
        </w:tc>
        <w:tc>
          <w:tcPr>
            <w:tcW w:w="243" w:type="pct"/>
          </w:tcPr>
          <w:p w:rsidR="00C806F6" w:rsidRPr="00C806F6" w:rsidRDefault="00C806F6" w:rsidP="00C806F6">
            <w:pPr>
              <w:jc w:val="both"/>
              <w:rPr>
                <w:sz w:val="20"/>
              </w:rPr>
            </w:pPr>
          </w:p>
        </w:tc>
        <w:tc>
          <w:tcPr>
            <w:tcW w:w="2330" w:type="pct"/>
          </w:tcPr>
          <w:p w:rsidR="00C806F6" w:rsidRPr="00C806F6" w:rsidRDefault="00C806F6" w:rsidP="00C806F6">
            <w:pPr>
              <w:jc w:val="both"/>
              <w:rPr>
                <w:sz w:val="20"/>
              </w:rPr>
            </w:pPr>
            <w:r w:rsidRPr="00C806F6">
              <w:rPr>
                <w:sz w:val="20"/>
              </w:rPr>
              <w:t>Appeal dismissed</w:t>
            </w:r>
          </w:p>
          <w:p w:rsidR="00C806F6" w:rsidRPr="00C806F6" w:rsidRDefault="00C806F6" w:rsidP="00C806F6">
            <w:pPr>
              <w:jc w:val="both"/>
              <w:rPr>
                <w:sz w:val="20"/>
              </w:rPr>
            </w:pPr>
          </w:p>
        </w:tc>
      </w:tr>
      <w:tr w:rsidR="00C806F6" w:rsidRPr="00C806F6" w:rsidTr="00BD3EBD">
        <w:tc>
          <w:tcPr>
            <w:tcW w:w="2427" w:type="pct"/>
            <w:gridSpan w:val="2"/>
          </w:tcPr>
          <w:p w:rsidR="00C806F6" w:rsidRPr="00C806F6" w:rsidRDefault="00C806F6" w:rsidP="00C806F6">
            <w:pPr>
              <w:jc w:val="both"/>
              <w:rPr>
                <w:sz w:val="20"/>
              </w:rPr>
            </w:pPr>
            <w:r w:rsidRPr="00C806F6">
              <w:rPr>
                <w:sz w:val="20"/>
              </w:rPr>
              <w:t>July 29, 2016</w:t>
            </w:r>
          </w:p>
          <w:p w:rsidR="00C806F6" w:rsidRPr="00C806F6" w:rsidRDefault="00C806F6" w:rsidP="00C806F6">
            <w:pPr>
              <w:jc w:val="both"/>
              <w:rPr>
                <w:sz w:val="20"/>
              </w:rPr>
            </w:pPr>
            <w:r w:rsidRPr="00C806F6">
              <w:rPr>
                <w:sz w:val="20"/>
              </w:rPr>
              <w:t>Supreme Court of Canada</w:t>
            </w:r>
          </w:p>
        </w:tc>
        <w:tc>
          <w:tcPr>
            <w:tcW w:w="243" w:type="pct"/>
          </w:tcPr>
          <w:p w:rsidR="00C806F6" w:rsidRPr="00C806F6" w:rsidRDefault="00C806F6" w:rsidP="00C806F6">
            <w:pPr>
              <w:jc w:val="both"/>
              <w:rPr>
                <w:sz w:val="20"/>
              </w:rPr>
            </w:pPr>
          </w:p>
        </w:tc>
        <w:tc>
          <w:tcPr>
            <w:tcW w:w="2330" w:type="pct"/>
          </w:tcPr>
          <w:p w:rsidR="00C806F6" w:rsidRPr="00C806F6" w:rsidRDefault="00C806F6" w:rsidP="00C806F6">
            <w:pPr>
              <w:jc w:val="both"/>
              <w:rPr>
                <w:sz w:val="20"/>
              </w:rPr>
            </w:pPr>
            <w:r w:rsidRPr="00C806F6">
              <w:rPr>
                <w:sz w:val="20"/>
              </w:rPr>
              <w:t>Application for leave to appeal filed</w:t>
            </w:r>
          </w:p>
        </w:tc>
      </w:tr>
    </w:tbl>
    <w:p w:rsidR="00C806F6" w:rsidRDefault="00C806F6" w:rsidP="00C806F6">
      <w:pPr>
        <w:jc w:val="both"/>
        <w:rPr>
          <w:sz w:val="20"/>
        </w:rPr>
      </w:pPr>
    </w:p>
    <w:p w:rsidR="00C806F6" w:rsidRPr="00C806F6" w:rsidRDefault="00C806F6" w:rsidP="00C806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6F6" w:rsidRPr="00C806F6" w:rsidTr="00BD3EBD">
        <w:tc>
          <w:tcPr>
            <w:tcW w:w="543" w:type="pct"/>
          </w:tcPr>
          <w:p w:rsidR="00C806F6" w:rsidRPr="00C806F6" w:rsidRDefault="00C806F6" w:rsidP="00C806F6">
            <w:pPr>
              <w:jc w:val="both"/>
              <w:rPr>
                <w:sz w:val="20"/>
                <w:lang w:val="fr-CA"/>
              </w:rPr>
            </w:pPr>
            <w:r w:rsidRPr="00C806F6">
              <w:rPr>
                <w:rStyle w:val="SCCFileNumberChar"/>
                <w:sz w:val="20"/>
                <w:szCs w:val="20"/>
                <w:lang w:val="fr-CA"/>
              </w:rPr>
              <w:t>37109</w:t>
            </w:r>
          </w:p>
        </w:tc>
        <w:tc>
          <w:tcPr>
            <w:tcW w:w="4457" w:type="pct"/>
            <w:gridSpan w:val="3"/>
          </w:tcPr>
          <w:p w:rsidR="00C806F6" w:rsidRPr="00C806F6" w:rsidRDefault="00C806F6" w:rsidP="00C806F6">
            <w:pPr>
              <w:pStyle w:val="SCCLsocParty"/>
              <w:jc w:val="both"/>
              <w:rPr>
                <w:b/>
                <w:sz w:val="20"/>
                <w:szCs w:val="20"/>
              </w:rPr>
            </w:pPr>
            <w:r w:rsidRPr="00C806F6">
              <w:rPr>
                <w:b/>
                <w:sz w:val="20"/>
                <w:szCs w:val="20"/>
              </w:rPr>
              <w:t>Valentin Pintea c. Dale Johns, Dylan Johns</w:t>
            </w:r>
          </w:p>
          <w:p w:rsidR="00C806F6" w:rsidRPr="00C806F6" w:rsidRDefault="00C806F6" w:rsidP="00C806F6">
            <w:pPr>
              <w:jc w:val="both"/>
              <w:rPr>
                <w:sz w:val="20"/>
                <w:lang w:val="fr-CA"/>
              </w:rPr>
            </w:pPr>
            <w:r w:rsidRPr="00C806F6">
              <w:rPr>
                <w:sz w:val="20"/>
                <w:lang w:val="fr-CA"/>
              </w:rPr>
              <w:t>(Alb.) (Civile) (Sur autorisation)</w:t>
            </w:r>
          </w:p>
        </w:tc>
      </w:tr>
      <w:tr w:rsidR="00C806F6" w:rsidRPr="00C806F6" w:rsidTr="00BD3EBD">
        <w:tc>
          <w:tcPr>
            <w:tcW w:w="5000" w:type="pct"/>
            <w:gridSpan w:val="4"/>
          </w:tcPr>
          <w:p w:rsidR="00C806F6" w:rsidRPr="00C806F6" w:rsidRDefault="00C806F6" w:rsidP="00C806F6">
            <w:pPr>
              <w:jc w:val="both"/>
              <w:rPr>
                <w:sz w:val="20"/>
                <w:lang w:val="fr-CA"/>
              </w:rPr>
            </w:pPr>
            <w:r w:rsidRPr="00C806F6">
              <w:rPr>
                <w:sz w:val="20"/>
                <w:lang w:val="fr-CA"/>
              </w:rPr>
              <w:t>Procédure civile – Outrage au tribunal – Gestion de l’instance – Contrôle en appel – Comment les tribunaux doivent-ils comprendre ou interpréter les questions soulevées, en cabinet, au procès ou en appel par des plaideurs non représentés, d’une façon non conventionnelle ou qui ne sont pas pleinement ou clairement formulées? – Jusqu’où le tribunal doit-il aller pour bien comprendre la position juridique mal formulée d’un plaideur non représenté? – Les tribunaux doivent-ils appliquer une approche contextuelle qui reconnaît que les plaideurs non représentés comprennent mal les règles ou les procédures du tribunal ou bien est-ce que ces règles et procédures doivent être appliquées de la même façon pour tous les plaideurs? – Le droit actuel relatif à l’outrage au tribunal en matière civile s’applique-t-il aux plaideurs non représentés ou existe-t-il une norme différente qui s’applique lorsqu’un plaideur ne bénéficie pas des avantages de la représentation par un avocat? – Si le droit actuel relatif à l’outrage au tribunal en matière civile s’applique également aux plaideurs non représentés et aux plaideurs représentés, le tribunal est-il obligé de l’appliquer strictement pour faire en sorte que les plaideurs non représentés obtiennent les avantages de toutes les protections substantielles et procédurales qui existent?</w:t>
            </w:r>
          </w:p>
        </w:tc>
      </w:tr>
      <w:tr w:rsidR="00C806F6" w:rsidRPr="00C806F6" w:rsidTr="00BD3EBD">
        <w:tc>
          <w:tcPr>
            <w:tcW w:w="5000" w:type="pct"/>
            <w:gridSpan w:val="4"/>
          </w:tcPr>
          <w:p w:rsidR="00C806F6" w:rsidRPr="00C806F6" w:rsidRDefault="00C806F6" w:rsidP="00C806F6">
            <w:pPr>
              <w:jc w:val="both"/>
              <w:rPr>
                <w:sz w:val="20"/>
                <w:lang w:val="fr-CA"/>
              </w:rPr>
            </w:pPr>
          </w:p>
        </w:tc>
      </w:tr>
      <w:tr w:rsidR="00C806F6" w:rsidRPr="00C806F6" w:rsidTr="00BD3EBD">
        <w:tc>
          <w:tcPr>
            <w:tcW w:w="5000" w:type="pct"/>
            <w:gridSpan w:val="4"/>
          </w:tcPr>
          <w:p w:rsidR="00C806F6" w:rsidRPr="00C806F6" w:rsidRDefault="00C806F6" w:rsidP="00C806F6">
            <w:pPr>
              <w:jc w:val="both"/>
              <w:rPr>
                <w:sz w:val="20"/>
                <w:lang w:val="fr-CA"/>
              </w:rPr>
            </w:pPr>
            <w:r w:rsidRPr="00C806F6">
              <w:rPr>
                <w:sz w:val="20"/>
                <w:lang w:val="fr-CA"/>
              </w:rPr>
              <w:lastRenderedPageBreak/>
              <w:t xml:space="preserve">Le demandeur a intenté une action contre les intimés relativement à un accident de la route survenu en 2005. Représenté au départ par un avocat, il est devenu plaideur non représenté. Lorsque le demandeur a insisté pour que l’affaire soit inscrite pour instruction, le juge chargé de la gestion de l’instance lui a demandé de produire sa liste de témoins et de se conformer à d’autres exigences de procédure, ce qu’il a omis de faire. Le demandeur a déménagé dans un nouveau quartier, mais il n’a pas déposé d’avis de changement d’adresse au tribunal comme l’exigent les règles de procédure. Il n’a donc pas reçu les avis subséquents qui lui ont été envoyés au sujet des réunions et de requêtes et il ne s’est pas présenté devant le tribunal comme il devait le faire. Lorsque le demandeur n’a pas comparu à une réunion de gestion de l’instance tenue le 21 janvier 2015, le juge chargé de la gestion de l’instance a ordonné qu’on signifie au demandeur un avis l’informant que s’il ne comparaissait pas la semaine suivante, il serait reconnu coupable d’outrage au tribunal et l’action serait radiée. Le demandeur n’a pas reçu l’avis de la réunion avant la date fixée et il n’a pas comparu. </w:t>
            </w:r>
          </w:p>
          <w:p w:rsidR="00C806F6" w:rsidRPr="00C806F6" w:rsidRDefault="00C806F6" w:rsidP="00C806F6">
            <w:pPr>
              <w:jc w:val="both"/>
              <w:rPr>
                <w:sz w:val="20"/>
                <w:lang w:val="fr-CA"/>
              </w:rPr>
            </w:pPr>
          </w:p>
        </w:tc>
      </w:tr>
      <w:tr w:rsidR="00C806F6" w:rsidRPr="00C806F6" w:rsidTr="00BD3EBD">
        <w:tc>
          <w:tcPr>
            <w:tcW w:w="5000" w:type="pct"/>
            <w:gridSpan w:val="4"/>
          </w:tcPr>
          <w:p w:rsidR="00C806F6" w:rsidRPr="00C806F6" w:rsidRDefault="00C806F6" w:rsidP="00C806F6">
            <w:pPr>
              <w:jc w:val="both"/>
              <w:rPr>
                <w:sz w:val="20"/>
                <w:lang w:val="fr-CA"/>
              </w:rPr>
            </w:pPr>
            <w:r w:rsidRPr="00C806F6">
              <w:rPr>
                <w:sz w:val="20"/>
                <w:lang w:val="fr-CA"/>
              </w:rPr>
              <w:t>La Cour du Banc de la Reine de l’Alberta a radié la déclaration du demandeur pour non-respect des conditions énoncées dans les ordonnances de gestion de l’instance et non-comparution aux réunions de gestion de l’instance. La Cour d’appel a rejeté l’appel du demandeur, le juge Martin étant dissident.</w:t>
            </w:r>
          </w:p>
          <w:p w:rsidR="00C806F6" w:rsidRPr="00C806F6" w:rsidRDefault="00C806F6" w:rsidP="00C806F6">
            <w:pPr>
              <w:jc w:val="both"/>
              <w:rPr>
                <w:sz w:val="20"/>
                <w:lang w:val="fr-CA"/>
              </w:rPr>
            </w:pPr>
          </w:p>
        </w:tc>
      </w:tr>
      <w:tr w:rsidR="00C806F6" w:rsidRPr="00C806F6" w:rsidTr="00BD3EBD">
        <w:tc>
          <w:tcPr>
            <w:tcW w:w="2427" w:type="pct"/>
            <w:gridSpan w:val="2"/>
          </w:tcPr>
          <w:p w:rsidR="00C806F6" w:rsidRPr="00C806F6" w:rsidRDefault="00C806F6" w:rsidP="00C806F6">
            <w:pPr>
              <w:jc w:val="both"/>
              <w:rPr>
                <w:sz w:val="20"/>
                <w:lang w:val="fr-CA"/>
              </w:rPr>
            </w:pPr>
            <w:r w:rsidRPr="00C806F6">
              <w:rPr>
                <w:sz w:val="20"/>
                <w:lang w:val="fr-CA"/>
              </w:rPr>
              <w:t>30 janvier 2015</w:t>
            </w:r>
          </w:p>
          <w:p w:rsidR="00C806F6" w:rsidRPr="00C806F6" w:rsidRDefault="00C806F6" w:rsidP="00C806F6">
            <w:pPr>
              <w:jc w:val="both"/>
              <w:rPr>
                <w:sz w:val="20"/>
                <w:lang w:val="fr-CA"/>
              </w:rPr>
            </w:pPr>
            <w:r w:rsidRPr="00C806F6">
              <w:rPr>
                <w:sz w:val="20"/>
                <w:lang w:val="fr-CA"/>
              </w:rPr>
              <w:t>Cour du Banc de la Reine de l’Alberta</w:t>
            </w:r>
          </w:p>
          <w:p w:rsidR="00C806F6" w:rsidRPr="00C806F6" w:rsidRDefault="00C806F6" w:rsidP="00C806F6">
            <w:pPr>
              <w:jc w:val="both"/>
              <w:rPr>
                <w:sz w:val="20"/>
                <w:lang w:val="fr-CA"/>
              </w:rPr>
            </w:pPr>
            <w:r w:rsidRPr="00C806F6">
              <w:rPr>
                <w:sz w:val="20"/>
                <w:lang w:val="fr-CA"/>
              </w:rPr>
              <w:t>(Juge Kenny)</w:t>
            </w:r>
          </w:p>
          <w:p w:rsidR="00C806F6" w:rsidRPr="00C806F6" w:rsidRDefault="00C806F6" w:rsidP="00C806F6">
            <w:pPr>
              <w:jc w:val="both"/>
              <w:rPr>
                <w:sz w:val="20"/>
                <w:lang w:val="fr-CA"/>
              </w:rPr>
            </w:pPr>
            <w:r w:rsidRPr="00C806F6">
              <w:rPr>
                <w:sz w:val="20"/>
                <w:lang w:val="fr-CA"/>
              </w:rPr>
              <w:t>0701-12350</w:t>
            </w:r>
          </w:p>
          <w:p w:rsidR="00C806F6" w:rsidRPr="00C806F6" w:rsidRDefault="00C806F6" w:rsidP="00C806F6">
            <w:pPr>
              <w:jc w:val="both"/>
              <w:rPr>
                <w:sz w:val="20"/>
                <w:lang w:val="fr-CA"/>
              </w:rPr>
            </w:pPr>
          </w:p>
        </w:tc>
        <w:tc>
          <w:tcPr>
            <w:tcW w:w="243" w:type="pct"/>
          </w:tcPr>
          <w:p w:rsidR="00C806F6" w:rsidRPr="00C806F6" w:rsidRDefault="00C806F6" w:rsidP="00C806F6">
            <w:pPr>
              <w:jc w:val="both"/>
              <w:rPr>
                <w:sz w:val="20"/>
                <w:lang w:val="fr-CA"/>
              </w:rPr>
            </w:pPr>
          </w:p>
        </w:tc>
        <w:tc>
          <w:tcPr>
            <w:tcW w:w="2330" w:type="pct"/>
          </w:tcPr>
          <w:p w:rsidR="00C806F6" w:rsidRPr="00C806F6" w:rsidRDefault="00C806F6" w:rsidP="00C806F6">
            <w:pPr>
              <w:jc w:val="both"/>
              <w:rPr>
                <w:sz w:val="20"/>
                <w:lang w:val="fr-CA"/>
              </w:rPr>
            </w:pPr>
            <w:r w:rsidRPr="00C806F6">
              <w:rPr>
                <w:sz w:val="20"/>
                <w:lang w:val="fr-CA"/>
              </w:rPr>
              <w:t xml:space="preserve">Radiation de la déclaration du demandeur pour non-respect des conditions des ordonnances de gestion de l’instance et non-comparution aux réunions prévues </w:t>
            </w:r>
          </w:p>
          <w:p w:rsidR="00C806F6" w:rsidRPr="00C806F6" w:rsidRDefault="00C806F6" w:rsidP="00C806F6">
            <w:pPr>
              <w:jc w:val="both"/>
              <w:rPr>
                <w:sz w:val="20"/>
                <w:lang w:val="fr-CA"/>
              </w:rPr>
            </w:pPr>
          </w:p>
        </w:tc>
      </w:tr>
      <w:tr w:rsidR="00C806F6" w:rsidRPr="00C806F6" w:rsidTr="00BD3EBD">
        <w:tc>
          <w:tcPr>
            <w:tcW w:w="2427" w:type="pct"/>
            <w:gridSpan w:val="2"/>
          </w:tcPr>
          <w:p w:rsidR="00C806F6" w:rsidRPr="00C806F6" w:rsidRDefault="00C806F6" w:rsidP="00C806F6">
            <w:pPr>
              <w:jc w:val="both"/>
              <w:rPr>
                <w:sz w:val="20"/>
                <w:lang w:val="fr-CA"/>
              </w:rPr>
            </w:pPr>
            <w:r w:rsidRPr="00C806F6">
              <w:rPr>
                <w:sz w:val="20"/>
                <w:lang w:val="fr-CA"/>
              </w:rPr>
              <w:t>2 mai 2016</w:t>
            </w:r>
          </w:p>
          <w:p w:rsidR="00C806F6" w:rsidRPr="00C806F6" w:rsidRDefault="00C806F6" w:rsidP="00C806F6">
            <w:pPr>
              <w:jc w:val="both"/>
              <w:rPr>
                <w:sz w:val="20"/>
                <w:lang w:val="fr-CA"/>
              </w:rPr>
            </w:pPr>
            <w:r w:rsidRPr="00C806F6">
              <w:rPr>
                <w:sz w:val="20"/>
                <w:lang w:val="fr-CA"/>
              </w:rPr>
              <w:t>Cour d’appel de l’Alberta (Calgary)</w:t>
            </w:r>
          </w:p>
          <w:p w:rsidR="00C806F6" w:rsidRPr="00C806F6" w:rsidRDefault="00C806F6" w:rsidP="00C806F6">
            <w:pPr>
              <w:jc w:val="both"/>
              <w:rPr>
                <w:sz w:val="20"/>
                <w:lang w:val="fr-CA"/>
              </w:rPr>
            </w:pPr>
            <w:r w:rsidRPr="00C806F6">
              <w:rPr>
                <w:sz w:val="20"/>
                <w:lang w:val="fr-CA"/>
              </w:rPr>
              <w:t>(Juges Martin (dissident), McDonald et Veldhuis)</w:t>
            </w:r>
          </w:p>
          <w:p w:rsidR="00C806F6" w:rsidRPr="00C806F6" w:rsidRDefault="000221AE" w:rsidP="00C806F6">
            <w:pPr>
              <w:jc w:val="both"/>
              <w:rPr>
                <w:sz w:val="20"/>
                <w:lang w:val="fr-CA"/>
              </w:rPr>
            </w:pPr>
            <w:hyperlink r:id="rId17" w:history="1">
              <w:r w:rsidR="00C806F6" w:rsidRPr="00C806F6">
                <w:rPr>
                  <w:rStyle w:val="Hyperlink"/>
                  <w:sz w:val="20"/>
                </w:rPr>
                <w:t>2016 ABCA 99</w:t>
              </w:r>
            </w:hyperlink>
            <w:r w:rsidR="00C806F6" w:rsidRPr="00C806F6">
              <w:rPr>
                <w:sz w:val="20"/>
                <w:lang w:val="fr-CA"/>
              </w:rPr>
              <w:t>: 1501-0047-AC</w:t>
            </w:r>
          </w:p>
          <w:p w:rsidR="00C806F6" w:rsidRPr="00C806F6" w:rsidRDefault="00C806F6" w:rsidP="00C806F6">
            <w:pPr>
              <w:jc w:val="both"/>
              <w:rPr>
                <w:sz w:val="20"/>
                <w:lang w:val="fr-CA"/>
              </w:rPr>
            </w:pPr>
          </w:p>
        </w:tc>
        <w:tc>
          <w:tcPr>
            <w:tcW w:w="243" w:type="pct"/>
          </w:tcPr>
          <w:p w:rsidR="00C806F6" w:rsidRPr="00C806F6" w:rsidRDefault="00C806F6" w:rsidP="00C806F6">
            <w:pPr>
              <w:jc w:val="both"/>
              <w:rPr>
                <w:sz w:val="20"/>
                <w:lang w:val="fr-CA"/>
              </w:rPr>
            </w:pPr>
          </w:p>
        </w:tc>
        <w:tc>
          <w:tcPr>
            <w:tcW w:w="2330" w:type="pct"/>
          </w:tcPr>
          <w:p w:rsidR="00C806F6" w:rsidRPr="00C806F6" w:rsidRDefault="00C806F6" w:rsidP="00C806F6">
            <w:pPr>
              <w:jc w:val="both"/>
              <w:rPr>
                <w:sz w:val="20"/>
                <w:lang w:val="fr-CA"/>
              </w:rPr>
            </w:pPr>
            <w:r w:rsidRPr="00C806F6">
              <w:rPr>
                <w:sz w:val="20"/>
                <w:lang w:val="fr-CA"/>
              </w:rPr>
              <w:t>Rejet de l’appel</w:t>
            </w:r>
          </w:p>
          <w:p w:rsidR="00C806F6" w:rsidRPr="00C806F6" w:rsidRDefault="00C806F6" w:rsidP="00C806F6">
            <w:pPr>
              <w:jc w:val="both"/>
              <w:rPr>
                <w:sz w:val="20"/>
                <w:lang w:val="fr-CA"/>
              </w:rPr>
            </w:pPr>
          </w:p>
        </w:tc>
      </w:tr>
      <w:tr w:rsidR="00C806F6" w:rsidRPr="00C806F6" w:rsidTr="00BD3EBD">
        <w:tc>
          <w:tcPr>
            <w:tcW w:w="2427" w:type="pct"/>
            <w:gridSpan w:val="2"/>
          </w:tcPr>
          <w:p w:rsidR="00C806F6" w:rsidRPr="00C806F6" w:rsidRDefault="00C806F6" w:rsidP="00C806F6">
            <w:pPr>
              <w:jc w:val="both"/>
              <w:rPr>
                <w:sz w:val="20"/>
                <w:lang w:val="fr-CA"/>
              </w:rPr>
            </w:pPr>
            <w:r w:rsidRPr="00C806F6">
              <w:rPr>
                <w:sz w:val="20"/>
                <w:lang w:val="fr-CA"/>
              </w:rPr>
              <w:t>29 juillet 2016</w:t>
            </w:r>
          </w:p>
          <w:p w:rsidR="00C806F6" w:rsidRPr="00C806F6" w:rsidRDefault="00C806F6" w:rsidP="00C806F6">
            <w:pPr>
              <w:jc w:val="both"/>
              <w:rPr>
                <w:sz w:val="20"/>
                <w:lang w:val="fr-CA"/>
              </w:rPr>
            </w:pPr>
            <w:r w:rsidRPr="00C806F6">
              <w:rPr>
                <w:sz w:val="20"/>
                <w:lang w:val="fr-CA"/>
              </w:rPr>
              <w:t>Cour suprême du Canada</w:t>
            </w:r>
          </w:p>
        </w:tc>
        <w:tc>
          <w:tcPr>
            <w:tcW w:w="243" w:type="pct"/>
          </w:tcPr>
          <w:p w:rsidR="00C806F6" w:rsidRPr="00C806F6" w:rsidRDefault="00C806F6" w:rsidP="00C806F6">
            <w:pPr>
              <w:jc w:val="both"/>
              <w:rPr>
                <w:sz w:val="20"/>
                <w:lang w:val="fr-CA"/>
              </w:rPr>
            </w:pPr>
          </w:p>
        </w:tc>
        <w:tc>
          <w:tcPr>
            <w:tcW w:w="2330" w:type="pct"/>
          </w:tcPr>
          <w:p w:rsidR="00C806F6" w:rsidRPr="00C806F6" w:rsidRDefault="00C806F6" w:rsidP="00C806F6">
            <w:pPr>
              <w:jc w:val="both"/>
              <w:rPr>
                <w:sz w:val="20"/>
                <w:lang w:val="fr-CA"/>
              </w:rPr>
            </w:pPr>
            <w:r w:rsidRPr="00C806F6">
              <w:rPr>
                <w:sz w:val="20"/>
                <w:lang w:val="fr-CA"/>
              </w:rPr>
              <w:t>Dépôt de la demande d’autorisation d’appel</w:t>
            </w:r>
          </w:p>
        </w:tc>
      </w:tr>
    </w:tbl>
    <w:p w:rsidR="00C806F6" w:rsidRPr="00C806F6" w:rsidRDefault="00C806F6" w:rsidP="00C806F6">
      <w:pPr>
        <w:jc w:val="both"/>
        <w:rPr>
          <w:sz w:val="20"/>
          <w:lang w:val="fr-CA"/>
        </w:rPr>
      </w:pPr>
    </w:p>
    <w:p w:rsidR="0070231A" w:rsidRPr="00C806F6" w:rsidRDefault="0070231A" w:rsidP="00C806F6">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6F6" w:rsidRPr="00C806F6" w:rsidTr="00E95A6A">
        <w:tc>
          <w:tcPr>
            <w:tcW w:w="543" w:type="pct"/>
          </w:tcPr>
          <w:p w:rsidR="00C806F6" w:rsidRPr="00C806F6" w:rsidRDefault="00C806F6" w:rsidP="00C806F6">
            <w:pPr>
              <w:jc w:val="both"/>
              <w:rPr>
                <w:sz w:val="20"/>
                <w:lang w:val="en-CA"/>
              </w:rPr>
            </w:pPr>
            <w:r w:rsidRPr="00C806F6">
              <w:rPr>
                <w:rStyle w:val="SCCFileNumberChar"/>
                <w:sz w:val="20"/>
                <w:szCs w:val="20"/>
              </w:rPr>
              <w:t>37067</w:t>
            </w:r>
          </w:p>
        </w:tc>
        <w:tc>
          <w:tcPr>
            <w:tcW w:w="4457" w:type="pct"/>
            <w:gridSpan w:val="3"/>
          </w:tcPr>
          <w:p w:rsidR="00C806F6" w:rsidRPr="00C806F6" w:rsidRDefault="00C806F6" w:rsidP="00C806F6">
            <w:pPr>
              <w:pStyle w:val="SCCLsocParty"/>
              <w:jc w:val="both"/>
              <w:rPr>
                <w:b/>
                <w:sz w:val="20"/>
                <w:szCs w:val="20"/>
                <w:lang w:val="en-CA"/>
              </w:rPr>
            </w:pPr>
            <w:r w:rsidRPr="00C806F6">
              <w:rPr>
                <w:b/>
                <w:sz w:val="20"/>
                <w:szCs w:val="20"/>
                <w:lang w:val="en-CA"/>
              </w:rPr>
              <w:t>Zhao Hui Wang v. Jun Li</w:t>
            </w:r>
          </w:p>
          <w:p w:rsidR="00C806F6" w:rsidRPr="00C806F6" w:rsidRDefault="00C806F6" w:rsidP="00C806F6">
            <w:pPr>
              <w:pStyle w:val="SCCLsocOtherPartySeparator"/>
              <w:rPr>
                <w:sz w:val="20"/>
                <w:szCs w:val="20"/>
                <w:lang w:val="en-CA"/>
              </w:rPr>
            </w:pPr>
            <w:r w:rsidRPr="00C806F6">
              <w:rPr>
                <w:sz w:val="20"/>
                <w:szCs w:val="20"/>
                <w:lang w:val="en-CA"/>
              </w:rPr>
              <w:t>- and -</w:t>
            </w:r>
          </w:p>
          <w:p w:rsidR="00C806F6" w:rsidRPr="00C806F6" w:rsidRDefault="00C806F6" w:rsidP="00C806F6">
            <w:pPr>
              <w:pStyle w:val="SCCLsocParty"/>
              <w:jc w:val="both"/>
              <w:rPr>
                <w:b/>
                <w:sz w:val="20"/>
                <w:szCs w:val="20"/>
                <w:lang w:val="en-CA"/>
              </w:rPr>
            </w:pPr>
            <w:r w:rsidRPr="00C806F6">
              <w:rPr>
                <w:b/>
                <w:sz w:val="20"/>
                <w:szCs w:val="20"/>
                <w:lang w:val="en-CA"/>
              </w:rPr>
              <w:t>6734995 Canada Inc., 6735011 Canada Inc.</w:t>
            </w:r>
          </w:p>
          <w:p w:rsidR="00C806F6" w:rsidRPr="00C806F6" w:rsidRDefault="00C806F6" w:rsidP="00C806F6">
            <w:pPr>
              <w:jc w:val="both"/>
              <w:rPr>
                <w:sz w:val="20"/>
                <w:lang w:val="en-CA"/>
              </w:rPr>
            </w:pPr>
            <w:r w:rsidRPr="00C806F6">
              <w:rPr>
                <w:sz w:val="20"/>
                <w:lang w:val="en-CA"/>
              </w:rPr>
              <w:t>(Que.) (Civil) (By Leave)</w:t>
            </w:r>
          </w:p>
        </w:tc>
      </w:tr>
      <w:tr w:rsidR="00C806F6" w:rsidRPr="00C806F6" w:rsidTr="00E95A6A">
        <w:tc>
          <w:tcPr>
            <w:tcW w:w="5000" w:type="pct"/>
            <w:gridSpan w:val="4"/>
          </w:tcPr>
          <w:p w:rsidR="00C806F6" w:rsidRPr="00C806F6" w:rsidRDefault="00C806F6" w:rsidP="00C806F6">
            <w:pPr>
              <w:jc w:val="both"/>
              <w:rPr>
                <w:sz w:val="20"/>
                <w:lang w:val="en-CA"/>
              </w:rPr>
            </w:pPr>
            <w:r w:rsidRPr="00C806F6">
              <w:rPr>
                <w:sz w:val="20"/>
                <w:lang w:val="en-CA"/>
              </w:rPr>
              <w:t xml:space="preserve">Evidence – Civil procedure – Judicial admission – Amendment – Correction of judgment – Respondent making oppression claim under </w:t>
            </w:r>
            <w:r w:rsidRPr="00C806F6">
              <w:rPr>
                <w:i/>
                <w:sz w:val="20"/>
                <w:lang w:val="en-CA"/>
              </w:rPr>
              <w:t>Canada Business Corporations Act</w:t>
            </w:r>
            <w:r w:rsidRPr="00C806F6">
              <w:rPr>
                <w:sz w:val="20"/>
                <w:lang w:val="en-CA"/>
              </w:rPr>
              <w:t>, R.S.C. 1985, c. C</w:t>
            </w:r>
            <w:r w:rsidRPr="00C806F6">
              <w:rPr>
                <w:sz w:val="20"/>
                <w:lang w:val="en-CA"/>
              </w:rPr>
              <w:noBreakHyphen/>
              <w:t>44 – Applicant, his only fellow shareholder, agreeing to purchase hi</w:t>
            </w:r>
            <w:bookmarkStart w:id="0" w:name="_GoBack"/>
            <w:bookmarkEnd w:id="0"/>
            <w:r w:rsidRPr="00C806F6">
              <w:rPr>
                <w:sz w:val="20"/>
                <w:lang w:val="en-CA"/>
              </w:rPr>
              <w:t>s shares – Trial judge setting value of shares at $369,900 but filing corrected judgment two days later reducing value to zero – Court of Appeal setting aside both judgments and valuing shares at $428,571.43 – Whether Court of Appeal erred in finding that pleadings drawn up by applicant contained judicial admission concerning value of shares – Whether Court of Appeal breached rules of procedural fairness by considering argument based on presence of judicial admission in pleading before pleading amended without opposition from opposing party, who at time was not represented by lawyer – Whether Court of Appeal was justified in establishing value of shares on basis of respondent’s legitimate expectations – Whether Quebec courts have same power to correct judgments as courts in common law jurisdictions.</w:t>
            </w:r>
          </w:p>
        </w:tc>
      </w:tr>
      <w:tr w:rsidR="00C806F6" w:rsidRPr="00C806F6" w:rsidTr="00E95A6A">
        <w:tc>
          <w:tcPr>
            <w:tcW w:w="5000" w:type="pct"/>
            <w:gridSpan w:val="4"/>
          </w:tcPr>
          <w:p w:rsidR="00C806F6" w:rsidRPr="00C806F6" w:rsidRDefault="00C806F6" w:rsidP="00C806F6">
            <w:pPr>
              <w:jc w:val="both"/>
              <w:rPr>
                <w:sz w:val="20"/>
                <w:lang w:val="en-CA"/>
              </w:rPr>
            </w:pPr>
          </w:p>
        </w:tc>
      </w:tr>
      <w:tr w:rsidR="00C806F6" w:rsidRPr="00C806F6" w:rsidTr="00E95A6A">
        <w:tc>
          <w:tcPr>
            <w:tcW w:w="5000" w:type="pct"/>
            <w:gridSpan w:val="4"/>
          </w:tcPr>
          <w:p w:rsidR="00C806F6" w:rsidRPr="00C806F6" w:rsidRDefault="00C806F6" w:rsidP="00C806F6">
            <w:pPr>
              <w:jc w:val="both"/>
              <w:rPr>
                <w:sz w:val="20"/>
                <w:lang w:val="en-CA"/>
              </w:rPr>
            </w:pPr>
            <w:r w:rsidRPr="00C806F6">
              <w:rPr>
                <w:sz w:val="20"/>
                <w:lang w:val="en-CA"/>
              </w:rPr>
              <w:t xml:space="preserve">The respondent Mr. Li established the companies in question in 2007 with Ming Li. He owned 58% of the capital stock and Ming Li owned 42%. On March 28, 2010, Mr. Li acquired Ming Li’s shares for $399,000 and then sold the applicant, Mr. Wang, 55% of the companies’ shares for $660,000. An agreement signed the month before </w:t>
            </w:r>
            <w:proofErr w:type="gramStart"/>
            <w:r w:rsidRPr="00C806F6">
              <w:rPr>
                <w:sz w:val="20"/>
                <w:lang w:val="en-CA"/>
              </w:rPr>
              <w:t>provided that</w:t>
            </w:r>
            <w:proofErr w:type="gramEnd"/>
            <w:r w:rsidRPr="00C806F6">
              <w:rPr>
                <w:sz w:val="20"/>
                <w:lang w:val="en-CA"/>
              </w:rPr>
              <w:t xml:space="preserve"> Mr. Li was to serve as manager and business and operations officer and that Mr. Wang was the president and finance and accounting officer. The relationship between the two quickly deteriorated. On February 18, 2011, Mr. Li filed an oppression claim under s. 241 of the </w:t>
            </w:r>
            <w:r w:rsidRPr="00C806F6">
              <w:rPr>
                <w:i/>
                <w:sz w:val="20"/>
                <w:lang w:val="en-CA"/>
              </w:rPr>
              <w:t>Canada Business Corporations Act</w:t>
            </w:r>
            <w:r w:rsidRPr="00C806F6">
              <w:rPr>
                <w:sz w:val="20"/>
                <w:lang w:val="en-CA"/>
              </w:rPr>
              <w:t>, R.S.C. 1985, c. C</w:t>
            </w:r>
            <w:r w:rsidRPr="00C806F6">
              <w:rPr>
                <w:sz w:val="20"/>
                <w:lang w:val="en-CA"/>
              </w:rPr>
              <w:noBreakHyphen/>
              <w:t xml:space="preserve">44. </w:t>
            </w:r>
            <w:r w:rsidRPr="00C806F6">
              <w:rPr>
                <w:sz w:val="20"/>
                <w:lang w:val="en-CA"/>
              </w:rPr>
              <w:lastRenderedPageBreak/>
              <w:t>He wanted Mr. Wang to redeem his shares for $560,000, and he sought about $880,000 in damages and lost wages. In a cross demand, Mr. Wang claimed $250,000 in moral damages.</w:t>
            </w:r>
          </w:p>
          <w:p w:rsidR="00C806F6" w:rsidRPr="00C806F6" w:rsidRDefault="00C806F6" w:rsidP="00C806F6">
            <w:pPr>
              <w:jc w:val="both"/>
              <w:rPr>
                <w:sz w:val="20"/>
                <w:lang w:val="en-CA"/>
              </w:rPr>
            </w:pPr>
          </w:p>
        </w:tc>
      </w:tr>
      <w:tr w:rsidR="00C806F6" w:rsidRPr="00C806F6" w:rsidTr="00E95A6A">
        <w:tc>
          <w:tcPr>
            <w:tcW w:w="2427" w:type="pct"/>
            <w:gridSpan w:val="2"/>
          </w:tcPr>
          <w:p w:rsidR="00C806F6" w:rsidRPr="00C806F6" w:rsidRDefault="00C806F6" w:rsidP="00C806F6">
            <w:pPr>
              <w:jc w:val="both"/>
              <w:rPr>
                <w:sz w:val="20"/>
                <w:lang w:val="en-CA"/>
              </w:rPr>
            </w:pPr>
            <w:r w:rsidRPr="00C806F6">
              <w:rPr>
                <w:sz w:val="20"/>
                <w:lang w:val="en-CA"/>
              </w:rPr>
              <w:lastRenderedPageBreak/>
              <w:t>October 7, 2014</w:t>
            </w:r>
          </w:p>
          <w:p w:rsidR="00C806F6" w:rsidRPr="00C806F6" w:rsidRDefault="00C806F6" w:rsidP="00C806F6">
            <w:pPr>
              <w:jc w:val="both"/>
              <w:rPr>
                <w:sz w:val="20"/>
                <w:lang w:val="en-CA"/>
              </w:rPr>
            </w:pPr>
            <w:r w:rsidRPr="00C806F6">
              <w:rPr>
                <w:sz w:val="20"/>
                <w:lang w:val="en-CA"/>
              </w:rPr>
              <w:t>Quebec Superior Court</w:t>
            </w:r>
          </w:p>
          <w:p w:rsidR="00C806F6" w:rsidRPr="00C806F6" w:rsidRDefault="00C806F6" w:rsidP="00C806F6">
            <w:pPr>
              <w:jc w:val="both"/>
              <w:rPr>
                <w:sz w:val="20"/>
                <w:lang w:val="en-CA"/>
              </w:rPr>
            </w:pPr>
            <w:r w:rsidRPr="00C806F6">
              <w:rPr>
                <w:sz w:val="20"/>
                <w:lang w:val="en-CA"/>
              </w:rPr>
              <w:t>(Turcotte J.)</w:t>
            </w:r>
          </w:p>
          <w:p w:rsidR="00C806F6" w:rsidRPr="00C806F6" w:rsidRDefault="000221AE" w:rsidP="00C806F6">
            <w:pPr>
              <w:jc w:val="both"/>
              <w:rPr>
                <w:sz w:val="20"/>
                <w:lang w:val="en-CA"/>
              </w:rPr>
            </w:pPr>
            <w:hyperlink r:id="rId18" w:history="1">
              <w:r w:rsidR="00C806F6" w:rsidRPr="00C806F6">
                <w:rPr>
                  <w:rStyle w:val="Hyperlink"/>
                  <w:sz w:val="20"/>
                  <w:lang w:val="en-CA"/>
                </w:rPr>
                <w:t>2014 QCCS 5209</w:t>
              </w:r>
            </w:hyperlink>
          </w:p>
          <w:p w:rsidR="00C806F6" w:rsidRPr="00C806F6" w:rsidRDefault="00C806F6" w:rsidP="00C806F6">
            <w:pPr>
              <w:jc w:val="both"/>
              <w:rPr>
                <w:sz w:val="20"/>
                <w:lang w:val="en-CA"/>
              </w:rPr>
            </w:pPr>
          </w:p>
        </w:tc>
        <w:tc>
          <w:tcPr>
            <w:tcW w:w="243" w:type="pct"/>
          </w:tcPr>
          <w:p w:rsidR="00C806F6" w:rsidRPr="00C806F6" w:rsidRDefault="00C806F6" w:rsidP="00C806F6">
            <w:pPr>
              <w:jc w:val="both"/>
              <w:rPr>
                <w:sz w:val="20"/>
                <w:lang w:val="en-CA"/>
              </w:rPr>
            </w:pPr>
          </w:p>
        </w:tc>
        <w:tc>
          <w:tcPr>
            <w:tcW w:w="2330" w:type="pct"/>
          </w:tcPr>
          <w:p w:rsidR="00C806F6" w:rsidRPr="00C806F6" w:rsidRDefault="00C806F6" w:rsidP="00C806F6">
            <w:pPr>
              <w:jc w:val="both"/>
              <w:rPr>
                <w:sz w:val="20"/>
                <w:lang w:val="en-CA"/>
              </w:rPr>
            </w:pPr>
            <w:r w:rsidRPr="00C806F6">
              <w:rPr>
                <w:sz w:val="20"/>
                <w:lang w:val="en-CA"/>
              </w:rPr>
              <w:t xml:space="preserve">Applicant’s offer to purchase shares confirmed; respondent required to sell shares for $369,000; respondent ordered to pay $50,000 in moral damages </w:t>
            </w:r>
          </w:p>
          <w:p w:rsidR="00C806F6" w:rsidRPr="00C806F6" w:rsidRDefault="00C806F6" w:rsidP="00C806F6">
            <w:pPr>
              <w:jc w:val="both"/>
              <w:rPr>
                <w:sz w:val="20"/>
                <w:lang w:val="en-CA"/>
              </w:rPr>
            </w:pPr>
          </w:p>
        </w:tc>
      </w:tr>
      <w:tr w:rsidR="00C806F6" w:rsidRPr="00C806F6" w:rsidTr="00E95A6A">
        <w:tc>
          <w:tcPr>
            <w:tcW w:w="2427" w:type="pct"/>
            <w:gridSpan w:val="2"/>
          </w:tcPr>
          <w:p w:rsidR="00C806F6" w:rsidRPr="00C806F6" w:rsidRDefault="00C806F6" w:rsidP="00C806F6">
            <w:pPr>
              <w:jc w:val="both"/>
              <w:rPr>
                <w:sz w:val="20"/>
                <w:lang w:val="en-CA"/>
              </w:rPr>
            </w:pPr>
            <w:r w:rsidRPr="00C806F6">
              <w:rPr>
                <w:sz w:val="20"/>
                <w:lang w:val="en-CA"/>
              </w:rPr>
              <w:t>October 9, 2014</w:t>
            </w:r>
          </w:p>
          <w:p w:rsidR="00C806F6" w:rsidRPr="00C806F6" w:rsidRDefault="00C806F6" w:rsidP="00C806F6">
            <w:pPr>
              <w:jc w:val="both"/>
              <w:rPr>
                <w:sz w:val="20"/>
                <w:lang w:val="en-CA"/>
              </w:rPr>
            </w:pPr>
            <w:r w:rsidRPr="00C806F6">
              <w:rPr>
                <w:sz w:val="20"/>
                <w:lang w:val="en-CA"/>
              </w:rPr>
              <w:t xml:space="preserve">Quebec Superior Court </w:t>
            </w:r>
          </w:p>
          <w:p w:rsidR="00C806F6" w:rsidRPr="00C806F6" w:rsidRDefault="00C806F6" w:rsidP="00C806F6">
            <w:pPr>
              <w:jc w:val="both"/>
              <w:rPr>
                <w:sz w:val="20"/>
                <w:lang w:val="en-CA"/>
              </w:rPr>
            </w:pPr>
            <w:r w:rsidRPr="00C806F6">
              <w:rPr>
                <w:sz w:val="20"/>
                <w:lang w:val="en-CA"/>
              </w:rPr>
              <w:t>(Turcotte J.)</w:t>
            </w:r>
          </w:p>
          <w:p w:rsidR="00C806F6" w:rsidRPr="00C806F6" w:rsidRDefault="00C806F6" w:rsidP="00C806F6">
            <w:pPr>
              <w:jc w:val="both"/>
              <w:rPr>
                <w:sz w:val="20"/>
                <w:lang w:val="en-CA"/>
              </w:rPr>
            </w:pPr>
          </w:p>
        </w:tc>
        <w:tc>
          <w:tcPr>
            <w:tcW w:w="243" w:type="pct"/>
          </w:tcPr>
          <w:p w:rsidR="00C806F6" w:rsidRPr="00C806F6" w:rsidRDefault="00C806F6" w:rsidP="00C806F6">
            <w:pPr>
              <w:jc w:val="both"/>
              <w:rPr>
                <w:sz w:val="20"/>
                <w:lang w:val="en-CA"/>
              </w:rPr>
            </w:pPr>
          </w:p>
        </w:tc>
        <w:tc>
          <w:tcPr>
            <w:tcW w:w="2330" w:type="pct"/>
          </w:tcPr>
          <w:p w:rsidR="00C806F6" w:rsidRPr="00C806F6" w:rsidRDefault="00C806F6" w:rsidP="00C806F6">
            <w:pPr>
              <w:jc w:val="both"/>
              <w:rPr>
                <w:sz w:val="20"/>
                <w:lang w:val="en-CA"/>
              </w:rPr>
            </w:pPr>
            <w:r w:rsidRPr="00C806F6">
              <w:rPr>
                <w:sz w:val="20"/>
                <w:lang w:val="en-CA"/>
              </w:rPr>
              <w:t>Judgment of October 7, 2014 corrected to take account of impact of companies’ long</w:t>
            </w:r>
            <w:r w:rsidRPr="00C806F6">
              <w:rPr>
                <w:sz w:val="20"/>
                <w:lang w:val="en-CA"/>
              </w:rPr>
              <w:noBreakHyphen/>
              <w:t>term debt on price of shares</w:t>
            </w:r>
          </w:p>
          <w:p w:rsidR="00C806F6" w:rsidRPr="00C806F6" w:rsidRDefault="00C806F6" w:rsidP="00C806F6">
            <w:pPr>
              <w:jc w:val="both"/>
              <w:rPr>
                <w:sz w:val="20"/>
                <w:lang w:val="en-CA"/>
              </w:rPr>
            </w:pPr>
          </w:p>
        </w:tc>
      </w:tr>
      <w:tr w:rsidR="00C806F6" w:rsidRPr="00C806F6" w:rsidTr="00E95A6A">
        <w:tc>
          <w:tcPr>
            <w:tcW w:w="2427" w:type="pct"/>
            <w:gridSpan w:val="2"/>
          </w:tcPr>
          <w:p w:rsidR="00C806F6" w:rsidRPr="00C806F6" w:rsidRDefault="00C806F6" w:rsidP="00C806F6">
            <w:pPr>
              <w:jc w:val="both"/>
              <w:rPr>
                <w:sz w:val="20"/>
                <w:lang w:val="en-CA"/>
              </w:rPr>
            </w:pPr>
            <w:r w:rsidRPr="00C806F6">
              <w:rPr>
                <w:sz w:val="20"/>
                <w:lang w:val="en-CA"/>
              </w:rPr>
              <w:t>April 12, 2016</w:t>
            </w:r>
          </w:p>
          <w:p w:rsidR="00C806F6" w:rsidRPr="00C806F6" w:rsidRDefault="00C806F6" w:rsidP="00C806F6">
            <w:pPr>
              <w:jc w:val="both"/>
              <w:rPr>
                <w:sz w:val="20"/>
                <w:lang w:val="en-CA"/>
              </w:rPr>
            </w:pPr>
            <w:r w:rsidRPr="00C806F6">
              <w:rPr>
                <w:sz w:val="20"/>
                <w:lang w:val="en-CA"/>
              </w:rPr>
              <w:t>Quebec Court of Appeal (Montréal)</w:t>
            </w:r>
          </w:p>
          <w:p w:rsidR="00C806F6" w:rsidRPr="00C806F6" w:rsidRDefault="00C806F6" w:rsidP="00C806F6">
            <w:pPr>
              <w:jc w:val="both"/>
              <w:rPr>
                <w:sz w:val="20"/>
                <w:lang w:val="en-CA"/>
              </w:rPr>
            </w:pPr>
            <w:r w:rsidRPr="00C806F6">
              <w:rPr>
                <w:sz w:val="20"/>
                <w:lang w:val="en-CA"/>
              </w:rPr>
              <w:t>(Dutil, Bélanger and Parent JJ.A.)</w:t>
            </w:r>
          </w:p>
          <w:p w:rsidR="00C806F6" w:rsidRPr="00C806F6" w:rsidRDefault="000221AE" w:rsidP="00C806F6">
            <w:pPr>
              <w:jc w:val="both"/>
              <w:rPr>
                <w:sz w:val="20"/>
                <w:lang w:val="en-CA"/>
              </w:rPr>
            </w:pPr>
            <w:hyperlink r:id="rId19" w:history="1">
              <w:r w:rsidR="00C806F6" w:rsidRPr="00C806F6">
                <w:rPr>
                  <w:rStyle w:val="Hyperlink"/>
                  <w:sz w:val="20"/>
                  <w:lang w:val="en-CA"/>
                </w:rPr>
                <w:t>2016 QCCA 641</w:t>
              </w:r>
            </w:hyperlink>
          </w:p>
          <w:p w:rsidR="00C806F6" w:rsidRPr="00C806F6" w:rsidRDefault="00C806F6" w:rsidP="00C806F6">
            <w:pPr>
              <w:jc w:val="both"/>
              <w:rPr>
                <w:sz w:val="20"/>
                <w:lang w:val="en-CA"/>
              </w:rPr>
            </w:pPr>
          </w:p>
        </w:tc>
        <w:tc>
          <w:tcPr>
            <w:tcW w:w="243" w:type="pct"/>
          </w:tcPr>
          <w:p w:rsidR="00C806F6" w:rsidRPr="00C806F6" w:rsidRDefault="00C806F6" w:rsidP="00C806F6">
            <w:pPr>
              <w:jc w:val="both"/>
              <w:rPr>
                <w:sz w:val="20"/>
                <w:lang w:val="en-CA"/>
              </w:rPr>
            </w:pPr>
          </w:p>
        </w:tc>
        <w:tc>
          <w:tcPr>
            <w:tcW w:w="2330" w:type="pct"/>
          </w:tcPr>
          <w:p w:rsidR="00C806F6" w:rsidRPr="00C806F6" w:rsidRDefault="00C806F6" w:rsidP="00C806F6">
            <w:pPr>
              <w:jc w:val="both"/>
              <w:rPr>
                <w:sz w:val="20"/>
                <w:lang w:val="en-CA"/>
              </w:rPr>
            </w:pPr>
            <w:r w:rsidRPr="00C806F6">
              <w:rPr>
                <w:sz w:val="20"/>
                <w:lang w:val="en-CA"/>
              </w:rPr>
              <w:t xml:space="preserve">Appeal allowed; respondent’s oppression claim allowed in part; incidental appeal dismissed; applicant required to pay $428,571.43 for purchase of shares </w:t>
            </w:r>
          </w:p>
          <w:p w:rsidR="00C806F6" w:rsidRPr="00C806F6" w:rsidRDefault="00C806F6" w:rsidP="00C806F6">
            <w:pPr>
              <w:jc w:val="both"/>
              <w:rPr>
                <w:sz w:val="20"/>
                <w:lang w:val="en-CA"/>
              </w:rPr>
            </w:pPr>
          </w:p>
        </w:tc>
      </w:tr>
      <w:tr w:rsidR="00C806F6" w:rsidRPr="00C806F6" w:rsidTr="00E95A6A">
        <w:tc>
          <w:tcPr>
            <w:tcW w:w="2427" w:type="pct"/>
            <w:gridSpan w:val="2"/>
          </w:tcPr>
          <w:p w:rsidR="00C806F6" w:rsidRPr="00C806F6" w:rsidRDefault="00C806F6" w:rsidP="00C806F6">
            <w:pPr>
              <w:jc w:val="both"/>
              <w:rPr>
                <w:sz w:val="20"/>
                <w:lang w:val="en-CA"/>
              </w:rPr>
            </w:pPr>
            <w:r w:rsidRPr="00C806F6">
              <w:rPr>
                <w:sz w:val="20"/>
                <w:lang w:val="en-CA"/>
              </w:rPr>
              <w:t>June 13, 2016</w:t>
            </w:r>
          </w:p>
          <w:p w:rsidR="00C806F6" w:rsidRPr="00C806F6" w:rsidRDefault="00C806F6" w:rsidP="00C806F6">
            <w:pPr>
              <w:jc w:val="both"/>
              <w:rPr>
                <w:sz w:val="20"/>
                <w:lang w:val="en-CA"/>
              </w:rPr>
            </w:pPr>
            <w:r w:rsidRPr="00C806F6">
              <w:rPr>
                <w:sz w:val="20"/>
                <w:lang w:val="en-CA"/>
              </w:rPr>
              <w:t>Supreme Court of Canada</w:t>
            </w:r>
          </w:p>
        </w:tc>
        <w:tc>
          <w:tcPr>
            <w:tcW w:w="243" w:type="pct"/>
          </w:tcPr>
          <w:p w:rsidR="00C806F6" w:rsidRPr="00C806F6" w:rsidRDefault="00C806F6" w:rsidP="00C806F6">
            <w:pPr>
              <w:jc w:val="both"/>
              <w:rPr>
                <w:sz w:val="20"/>
                <w:lang w:val="en-CA"/>
              </w:rPr>
            </w:pPr>
          </w:p>
        </w:tc>
        <w:tc>
          <w:tcPr>
            <w:tcW w:w="2330" w:type="pct"/>
          </w:tcPr>
          <w:p w:rsidR="00C806F6" w:rsidRPr="00C806F6" w:rsidRDefault="00C806F6" w:rsidP="00C806F6">
            <w:pPr>
              <w:jc w:val="both"/>
              <w:rPr>
                <w:sz w:val="20"/>
                <w:lang w:val="en-CA"/>
              </w:rPr>
            </w:pPr>
            <w:r w:rsidRPr="00C806F6">
              <w:rPr>
                <w:sz w:val="20"/>
                <w:lang w:val="en-CA"/>
              </w:rPr>
              <w:t>Application for leave to appeal filed</w:t>
            </w:r>
          </w:p>
          <w:p w:rsidR="00C806F6" w:rsidRPr="00C806F6" w:rsidRDefault="00C806F6" w:rsidP="00C806F6">
            <w:pPr>
              <w:jc w:val="both"/>
              <w:rPr>
                <w:sz w:val="20"/>
                <w:lang w:val="en-CA"/>
              </w:rPr>
            </w:pPr>
          </w:p>
        </w:tc>
      </w:tr>
    </w:tbl>
    <w:p w:rsidR="00C806F6" w:rsidRDefault="00C806F6" w:rsidP="00C806F6">
      <w:pPr>
        <w:jc w:val="both"/>
        <w:rPr>
          <w:sz w:val="20"/>
          <w:lang w:val="en-CA"/>
        </w:rPr>
      </w:pPr>
    </w:p>
    <w:p w:rsidR="00C806F6" w:rsidRPr="00C806F6" w:rsidRDefault="00C806F6" w:rsidP="00C806F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6F6" w:rsidRPr="00C806F6" w:rsidTr="00E95A6A">
        <w:tc>
          <w:tcPr>
            <w:tcW w:w="543" w:type="pct"/>
          </w:tcPr>
          <w:p w:rsidR="00C806F6" w:rsidRPr="00C806F6" w:rsidRDefault="00C806F6" w:rsidP="00C806F6">
            <w:pPr>
              <w:jc w:val="both"/>
              <w:rPr>
                <w:sz w:val="20"/>
              </w:rPr>
            </w:pPr>
            <w:r w:rsidRPr="00C806F6">
              <w:rPr>
                <w:rStyle w:val="SCCFileNumberChar"/>
                <w:sz w:val="20"/>
                <w:szCs w:val="20"/>
              </w:rPr>
              <w:t>37067</w:t>
            </w:r>
          </w:p>
        </w:tc>
        <w:tc>
          <w:tcPr>
            <w:tcW w:w="4457" w:type="pct"/>
            <w:gridSpan w:val="3"/>
          </w:tcPr>
          <w:p w:rsidR="00C806F6" w:rsidRPr="00C806F6" w:rsidRDefault="00C806F6" w:rsidP="00C806F6">
            <w:pPr>
              <w:pStyle w:val="SCCLsocParty"/>
              <w:jc w:val="both"/>
              <w:rPr>
                <w:b/>
                <w:sz w:val="20"/>
                <w:szCs w:val="20"/>
              </w:rPr>
            </w:pPr>
            <w:r w:rsidRPr="00C806F6">
              <w:rPr>
                <w:b/>
                <w:sz w:val="20"/>
                <w:szCs w:val="20"/>
              </w:rPr>
              <w:t>Zhao Hui Wang c. Jun Li</w:t>
            </w:r>
          </w:p>
          <w:p w:rsidR="00C806F6" w:rsidRPr="00C806F6" w:rsidRDefault="00C806F6" w:rsidP="00C806F6">
            <w:pPr>
              <w:pStyle w:val="SCCLsocOtherPartySeparator"/>
              <w:rPr>
                <w:sz w:val="20"/>
                <w:szCs w:val="20"/>
              </w:rPr>
            </w:pPr>
            <w:r w:rsidRPr="00C806F6">
              <w:rPr>
                <w:sz w:val="20"/>
                <w:szCs w:val="20"/>
              </w:rPr>
              <w:t>- et -</w:t>
            </w:r>
          </w:p>
          <w:p w:rsidR="00C806F6" w:rsidRPr="00C806F6" w:rsidRDefault="00C806F6" w:rsidP="00C806F6">
            <w:pPr>
              <w:pStyle w:val="SCCLsocParty"/>
              <w:jc w:val="both"/>
              <w:rPr>
                <w:b/>
                <w:sz w:val="20"/>
                <w:szCs w:val="20"/>
              </w:rPr>
            </w:pPr>
            <w:r w:rsidRPr="00C806F6">
              <w:rPr>
                <w:b/>
                <w:sz w:val="20"/>
                <w:szCs w:val="20"/>
              </w:rPr>
              <w:t>6734995 Canada Inc., 6735011 Canada Inc.</w:t>
            </w:r>
          </w:p>
          <w:p w:rsidR="00C806F6" w:rsidRPr="00C806F6" w:rsidRDefault="00C806F6" w:rsidP="00C806F6">
            <w:pPr>
              <w:jc w:val="both"/>
              <w:rPr>
                <w:sz w:val="20"/>
              </w:rPr>
            </w:pPr>
            <w:r w:rsidRPr="00C806F6">
              <w:rPr>
                <w:sz w:val="20"/>
              </w:rPr>
              <w:t>(Qc) (</w:t>
            </w:r>
            <w:proofErr w:type="spellStart"/>
            <w:r w:rsidRPr="00C806F6">
              <w:rPr>
                <w:sz w:val="20"/>
              </w:rPr>
              <w:t>Civile</w:t>
            </w:r>
            <w:proofErr w:type="spellEnd"/>
            <w:r w:rsidRPr="00C806F6">
              <w:rPr>
                <w:sz w:val="20"/>
              </w:rPr>
              <w:t>) (</w:t>
            </w:r>
            <w:proofErr w:type="spellStart"/>
            <w:r w:rsidRPr="00C806F6">
              <w:rPr>
                <w:sz w:val="20"/>
              </w:rPr>
              <w:t>Autorisation</w:t>
            </w:r>
            <w:proofErr w:type="spellEnd"/>
            <w:r w:rsidRPr="00C806F6">
              <w:rPr>
                <w:sz w:val="20"/>
              </w:rPr>
              <w:t>)</w:t>
            </w:r>
          </w:p>
        </w:tc>
      </w:tr>
      <w:tr w:rsidR="00C806F6" w:rsidRPr="00C806F6" w:rsidTr="00E95A6A">
        <w:tc>
          <w:tcPr>
            <w:tcW w:w="5000" w:type="pct"/>
            <w:gridSpan w:val="4"/>
          </w:tcPr>
          <w:p w:rsidR="00C806F6" w:rsidRPr="00C806F6" w:rsidRDefault="00C806F6" w:rsidP="00C806F6">
            <w:pPr>
              <w:jc w:val="both"/>
              <w:rPr>
                <w:sz w:val="20"/>
              </w:rPr>
            </w:pPr>
            <w:proofErr w:type="spellStart"/>
            <w:r w:rsidRPr="00C806F6">
              <w:rPr>
                <w:sz w:val="20"/>
              </w:rPr>
              <w:t>Preuve</w:t>
            </w:r>
            <w:proofErr w:type="spellEnd"/>
            <w:r w:rsidRPr="00C806F6">
              <w:rPr>
                <w:sz w:val="20"/>
              </w:rPr>
              <w:t xml:space="preserve"> – </w:t>
            </w:r>
            <w:proofErr w:type="spellStart"/>
            <w:r w:rsidRPr="00C806F6">
              <w:rPr>
                <w:sz w:val="20"/>
              </w:rPr>
              <w:t>Procédure</w:t>
            </w:r>
            <w:proofErr w:type="spellEnd"/>
            <w:r w:rsidRPr="00C806F6">
              <w:rPr>
                <w:sz w:val="20"/>
              </w:rPr>
              <w:t xml:space="preserve"> </w:t>
            </w:r>
            <w:proofErr w:type="spellStart"/>
            <w:r w:rsidRPr="00C806F6">
              <w:rPr>
                <w:sz w:val="20"/>
              </w:rPr>
              <w:t>civile</w:t>
            </w:r>
            <w:proofErr w:type="spellEnd"/>
            <w:r w:rsidRPr="00C806F6">
              <w:rPr>
                <w:sz w:val="20"/>
              </w:rPr>
              <w:t xml:space="preserve"> – Aveu judiciaire – Amendement – Rectification d’un jugement – L’intimé entreprend un recours en oppression en vertu de la </w:t>
            </w:r>
            <w:r w:rsidRPr="00C806F6">
              <w:rPr>
                <w:i/>
                <w:sz w:val="20"/>
              </w:rPr>
              <w:t>Loi canadienne sur les sociétés par actions</w:t>
            </w:r>
            <w:r w:rsidRPr="00C806F6">
              <w:rPr>
                <w:sz w:val="20"/>
              </w:rPr>
              <w:t xml:space="preserve">, L.R.C. 1985, c. C-44 – Le </w:t>
            </w:r>
            <w:proofErr w:type="spellStart"/>
            <w:r w:rsidRPr="00C806F6">
              <w:rPr>
                <w:sz w:val="20"/>
              </w:rPr>
              <w:t>demandeur</w:t>
            </w:r>
            <w:proofErr w:type="spellEnd"/>
            <w:r w:rsidRPr="00C806F6">
              <w:rPr>
                <w:sz w:val="20"/>
              </w:rPr>
              <w:t xml:space="preserve">, son </w:t>
            </w:r>
            <w:proofErr w:type="spellStart"/>
            <w:r w:rsidRPr="00C806F6">
              <w:rPr>
                <w:sz w:val="20"/>
              </w:rPr>
              <w:t>seul</w:t>
            </w:r>
            <w:proofErr w:type="spellEnd"/>
            <w:r w:rsidRPr="00C806F6">
              <w:rPr>
                <w:sz w:val="20"/>
              </w:rPr>
              <w:t xml:space="preserve"> co-</w:t>
            </w:r>
            <w:proofErr w:type="spellStart"/>
            <w:r w:rsidRPr="00C806F6">
              <w:rPr>
                <w:sz w:val="20"/>
              </w:rPr>
              <w:t>actionnaire</w:t>
            </w:r>
            <w:proofErr w:type="spellEnd"/>
            <w:r w:rsidRPr="00C806F6">
              <w:rPr>
                <w:sz w:val="20"/>
              </w:rPr>
              <w:t xml:space="preserve">, </w:t>
            </w:r>
            <w:proofErr w:type="spellStart"/>
            <w:r w:rsidRPr="00C806F6">
              <w:rPr>
                <w:sz w:val="20"/>
              </w:rPr>
              <w:t>accepte</w:t>
            </w:r>
            <w:proofErr w:type="spellEnd"/>
            <w:r w:rsidRPr="00C806F6">
              <w:rPr>
                <w:sz w:val="20"/>
              </w:rPr>
              <w:t xml:space="preserve"> </w:t>
            </w:r>
            <w:proofErr w:type="spellStart"/>
            <w:r w:rsidRPr="00C806F6">
              <w:rPr>
                <w:sz w:val="20"/>
              </w:rPr>
              <w:t>d’acheter</w:t>
            </w:r>
            <w:proofErr w:type="spellEnd"/>
            <w:r w:rsidRPr="00C806F6">
              <w:rPr>
                <w:sz w:val="20"/>
              </w:rPr>
              <w:t xml:space="preserve"> </w:t>
            </w:r>
            <w:proofErr w:type="spellStart"/>
            <w:r w:rsidRPr="00C806F6">
              <w:rPr>
                <w:sz w:val="20"/>
              </w:rPr>
              <w:t>ses</w:t>
            </w:r>
            <w:proofErr w:type="spellEnd"/>
            <w:r w:rsidRPr="00C806F6">
              <w:rPr>
                <w:sz w:val="20"/>
              </w:rPr>
              <w:t xml:space="preserve"> actions – La juge de première instance fixe la valeur des actions à 369 900 $, mais dépose un jugement rectifié deux jours plus tard lequel réduit la valeur à zéro – La Cour d’appel infirme les deux jugements et évalue les actions à 428 571,43 $ – La Cour d’appel a-t-elle eu tort de conclure que les procédures rédigées par le demandeur contenaient un aveu judiciaire relatif à la valeur des actions? – A-t-elle enfreint les règles d’équité procédurale en examinant le moyen fondé sur la présence d’un aveu judiciaire à l’acte de procédure avant que cet acte ne soit amendé sans opposition de la partie adverse, alors non représentée par avocat? – Était-elle justifiée d’établir la valeur des actions en fonctions des attentes légitimes de l’intimé? – Les tribunaux québécois jouissent-ils des mêmes pouvoirs de rectification des jugements que les </w:t>
            </w:r>
            <w:proofErr w:type="spellStart"/>
            <w:r w:rsidRPr="00C806F6">
              <w:rPr>
                <w:sz w:val="20"/>
              </w:rPr>
              <w:t>tribunaux</w:t>
            </w:r>
            <w:proofErr w:type="spellEnd"/>
            <w:r w:rsidRPr="00C806F6">
              <w:rPr>
                <w:sz w:val="20"/>
              </w:rPr>
              <w:t xml:space="preserve"> des </w:t>
            </w:r>
            <w:proofErr w:type="spellStart"/>
            <w:r w:rsidRPr="00C806F6">
              <w:rPr>
                <w:sz w:val="20"/>
              </w:rPr>
              <w:t>juridictions</w:t>
            </w:r>
            <w:proofErr w:type="spellEnd"/>
            <w:r w:rsidRPr="00C806F6">
              <w:rPr>
                <w:sz w:val="20"/>
              </w:rPr>
              <w:t xml:space="preserve"> de common law?</w:t>
            </w:r>
          </w:p>
        </w:tc>
      </w:tr>
      <w:tr w:rsidR="00C806F6" w:rsidRPr="00C806F6" w:rsidTr="00E95A6A">
        <w:tc>
          <w:tcPr>
            <w:tcW w:w="5000" w:type="pct"/>
            <w:gridSpan w:val="4"/>
          </w:tcPr>
          <w:p w:rsidR="00C806F6" w:rsidRPr="00C806F6" w:rsidRDefault="00C806F6" w:rsidP="00C806F6">
            <w:pPr>
              <w:jc w:val="both"/>
              <w:rPr>
                <w:sz w:val="20"/>
              </w:rPr>
            </w:pPr>
          </w:p>
        </w:tc>
      </w:tr>
      <w:tr w:rsidR="00C806F6" w:rsidRPr="00C806F6" w:rsidTr="00E95A6A">
        <w:tc>
          <w:tcPr>
            <w:tcW w:w="5000" w:type="pct"/>
            <w:gridSpan w:val="4"/>
          </w:tcPr>
          <w:p w:rsidR="00C806F6" w:rsidRPr="00C806F6" w:rsidRDefault="00C806F6" w:rsidP="00C806F6">
            <w:pPr>
              <w:jc w:val="both"/>
              <w:rPr>
                <w:sz w:val="20"/>
              </w:rPr>
            </w:pPr>
            <w:r w:rsidRPr="00C806F6">
              <w:rPr>
                <w:sz w:val="20"/>
              </w:rPr>
              <w:t xml:space="preserve">L’intimé, M. Li, fonde les sociétés en cause en 2007 avec Ming Li. Il possède 58 % du capital-actions, alors que Ming Li en a 42 %. Le 28 mars 2010, M. Li acquiert les actions de Ming Li pour un prix de 399 000 $, puis vend au demandeur, M. Wang, 55 % des actions des sociétés pour 660 000 $. Une entente signée au mois auparavant prévoit que M. Li doit agir à titre de gérant et responsable des affaires et des opérations, et que M. Wang est président et responsable des finances et de la comptabilité. La relation entre les deux dégénère rapidement. Le 18 février 2011, M. Li entreprend un recours en oppression en vertu de l’art. 241 de la </w:t>
            </w:r>
            <w:r w:rsidRPr="00C806F6">
              <w:rPr>
                <w:i/>
                <w:sz w:val="20"/>
              </w:rPr>
              <w:t>Loi canadienne sur les sociétés par actions</w:t>
            </w:r>
            <w:r w:rsidRPr="00C806F6">
              <w:rPr>
                <w:sz w:val="20"/>
              </w:rPr>
              <w:t>, L.R.C. 1985, c. C-44. Il souhaite que M. Wang rachète ses actions au prix de 560 000 $ et qu’il lui soit octroyé environ 880 000 $ à titre de dommages-intérêts et perte de salaire. En demande reconventionnelle, M. Wang réclame 250 000 $ à titre de dommages moraux.</w:t>
            </w:r>
          </w:p>
          <w:p w:rsidR="00C806F6" w:rsidRPr="00C806F6" w:rsidRDefault="00C806F6" w:rsidP="00C806F6">
            <w:pPr>
              <w:jc w:val="both"/>
              <w:rPr>
                <w:sz w:val="20"/>
              </w:rPr>
            </w:pPr>
          </w:p>
        </w:tc>
      </w:tr>
      <w:tr w:rsidR="00C806F6" w:rsidRPr="00C806F6" w:rsidTr="00E95A6A">
        <w:tc>
          <w:tcPr>
            <w:tcW w:w="2427" w:type="pct"/>
            <w:gridSpan w:val="2"/>
          </w:tcPr>
          <w:p w:rsidR="00C806F6" w:rsidRPr="00C806F6" w:rsidRDefault="00C806F6" w:rsidP="00C806F6">
            <w:pPr>
              <w:jc w:val="both"/>
              <w:rPr>
                <w:sz w:val="20"/>
              </w:rPr>
            </w:pPr>
            <w:r w:rsidRPr="00C806F6">
              <w:rPr>
                <w:sz w:val="20"/>
              </w:rPr>
              <w:t>Le 7 octobre 2014</w:t>
            </w:r>
          </w:p>
          <w:p w:rsidR="00C806F6" w:rsidRPr="00C806F6" w:rsidRDefault="00C806F6" w:rsidP="00C806F6">
            <w:pPr>
              <w:jc w:val="both"/>
              <w:rPr>
                <w:sz w:val="20"/>
              </w:rPr>
            </w:pPr>
            <w:r w:rsidRPr="00C806F6">
              <w:rPr>
                <w:sz w:val="20"/>
              </w:rPr>
              <w:t>Cour supérieure du Québec</w:t>
            </w:r>
          </w:p>
          <w:p w:rsidR="00C806F6" w:rsidRPr="00C806F6" w:rsidRDefault="00C806F6" w:rsidP="00C806F6">
            <w:pPr>
              <w:jc w:val="both"/>
              <w:rPr>
                <w:sz w:val="20"/>
              </w:rPr>
            </w:pPr>
            <w:r w:rsidRPr="00C806F6">
              <w:rPr>
                <w:sz w:val="20"/>
              </w:rPr>
              <w:t>(La juge Turcotte)</w:t>
            </w:r>
          </w:p>
          <w:p w:rsidR="00C806F6" w:rsidRPr="00C806F6" w:rsidRDefault="000221AE" w:rsidP="00C806F6">
            <w:pPr>
              <w:jc w:val="both"/>
              <w:rPr>
                <w:sz w:val="20"/>
              </w:rPr>
            </w:pPr>
            <w:hyperlink r:id="rId20" w:history="1">
              <w:r w:rsidR="00C806F6" w:rsidRPr="00C806F6">
                <w:rPr>
                  <w:rStyle w:val="Hyperlink"/>
                  <w:sz w:val="20"/>
                </w:rPr>
                <w:t>2014 QCCS 5209</w:t>
              </w:r>
            </w:hyperlink>
          </w:p>
          <w:p w:rsidR="00C806F6" w:rsidRPr="00C806F6" w:rsidRDefault="00C806F6" w:rsidP="00C806F6">
            <w:pPr>
              <w:jc w:val="both"/>
              <w:rPr>
                <w:sz w:val="20"/>
              </w:rPr>
            </w:pPr>
          </w:p>
        </w:tc>
        <w:tc>
          <w:tcPr>
            <w:tcW w:w="243" w:type="pct"/>
          </w:tcPr>
          <w:p w:rsidR="00C806F6" w:rsidRPr="00C806F6" w:rsidRDefault="00C806F6" w:rsidP="00C806F6">
            <w:pPr>
              <w:jc w:val="both"/>
              <w:rPr>
                <w:sz w:val="20"/>
              </w:rPr>
            </w:pPr>
          </w:p>
        </w:tc>
        <w:tc>
          <w:tcPr>
            <w:tcW w:w="2330" w:type="pct"/>
          </w:tcPr>
          <w:p w:rsidR="00C806F6" w:rsidRPr="00C806F6" w:rsidRDefault="00C806F6" w:rsidP="00C806F6">
            <w:pPr>
              <w:jc w:val="both"/>
              <w:rPr>
                <w:sz w:val="20"/>
              </w:rPr>
            </w:pPr>
            <w:r w:rsidRPr="00C806F6">
              <w:rPr>
                <w:sz w:val="20"/>
              </w:rPr>
              <w:t xml:space="preserve">Offre du demandeur d’acheter les actions entérinée; intimé tenu de vendre les actions pour 369 000 $; intimé condamné à payer 50 000 $ à titre de dommages moraux </w:t>
            </w:r>
          </w:p>
          <w:p w:rsidR="00C806F6" w:rsidRPr="00C806F6" w:rsidRDefault="00C806F6" w:rsidP="00C806F6">
            <w:pPr>
              <w:jc w:val="both"/>
              <w:rPr>
                <w:sz w:val="20"/>
              </w:rPr>
            </w:pPr>
          </w:p>
        </w:tc>
      </w:tr>
      <w:tr w:rsidR="00C806F6" w:rsidRPr="00C806F6" w:rsidTr="00E95A6A">
        <w:tc>
          <w:tcPr>
            <w:tcW w:w="2427" w:type="pct"/>
            <w:gridSpan w:val="2"/>
          </w:tcPr>
          <w:p w:rsidR="00C806F6" w:rsidRPr="00C806F6" w:rsidRDefault="00C806F6" w:rsidP="00C806F6">
            <w:pPr>
              <w:jc w:val="both"/>
              <w:rPr>
                <w:sz w:val="20"/>
              </w:rPr>
            </w:pPr>
            <w:r w:rsidRPr="00C806F6">
              <w:rPr>
                <w:sz w:val="20"/>
              </w:rPr>
              <w:lastRenderedPageBreak/>
              <w:t>Le 9 octobre 2014</w:t>
            </w:r>
          </w:p>
          <w:p w:rsidR="00C806F6" w:rsidRPr="00C806F6" w:rsidRDefault="00C806F6" w:rsidP="00C806F6">
            <w:pPr>
              <w:jc w:val="both"/>
              <w:rPr>
                <w:sz w:val="20"/>
              </w:rPr>
            </w:pPr>
            <w:r w:rsidRPr="00C806F6">
              <w:rPr>
                <w:sz w:val="20"/>
              </w:rPr>
              <w:t xml:space="preserve">Cour supérieure du Québec </w:t>
            </w:r>
          </w:p>
          <w:p w:rsidR="00C806F6" w:rsidRPr="00C806F6" w:rsidRDefault="00C806F6" w:rsidP="00C806F6">
            <w:pPr>
              <w:jc w:val="both"/>
              <w:rPr>
                <w:sz w:val="20"/>
              </w:rPr>
            </w:pPr>
            <w:r w:rsidRPr="00C806F6">
              <w:rPr>
                <w:sz w:val="20"/>
              </w:rPr>
              <w:t>(La juge Turcotte)</w:t>
            </w:r>
          </w:p>
          <w:p w:rsidR="00C806F6" w:rsidRPr="00C806F6" w:rsidRDefault="00C806F6" w:rsidP="00C806F6">
            <w:pPr>
              <w:jc w:val="both"/>
              <w:rPr>
                <w:sz w:val="20"/>
              </w:rPr>
            </w:pPr>
          </w:p>
        </w:tc>
        <w:tc>
          <w:tcPr>
            <w:tcW w:w="243" w:type="pct"/>
          </w:tcPr>
          <w:p w:rsidR="00C806F6" w:rsidRPr="00C806F6" w:rsidRDefault="00C806F6" w:rsidP="00C806F6">
            <w:pPr>
              <w:jc w:val="both"/>
              <w:rPr>
                <w:sz w:val="20"/>
              </w:rPr>
            </w:pPr>
          </w:p>
        </w:tc>
        <w:tc>
          <w:tcPr>
            <w:tcW w:w="2330" w:type="pct"/>
          </w:tcPr>
          <w:p w:rsidR="00C806F6" w:rsidRPr="00C806F6" w:rsidRDefault="00C806F6" w:rsidP="00C806F6">
            <w:pPr>
              <w:jc w:val="both"/>
              <w:rPr>
                <w:sz w:val="20"/>
              </w:rPr>
            </w:pPr>
            <w:r w:rsidRPr="00C806F6">
              <w:rPr>
                <w:sz w:val="20"/>
              </w:rPr>
              <w:t>Jugement du 7 octobre 2014 rectifié pour tenir compte de l’impact sur le prix des actions de la dette à long terme des compagnies</w:t>
            </w:r>
          </w:p>
          <w:p w:rsidR="00C806F6" w:rsidRPr="00C806F6" w:rsidRDefault="00C806F6" w:rsidP="00C806F6">
            <w:pPr>
              <w:jc w:val="both"/>
              <w:rPr>
                <w:sz w:val="20"/>
              </w:rPr>
            </w:pPr>
          </w:p>
        </w:tc>
      </w:tr>
      <w:tr w:rsidR="00C806F6" w:rsidRPr="00C806F6" w:rsidTr="00E95A6A">
        <w:tc>
          <w:tcPr>
            <w:tcW w:w="2427" w:type="pct"/>
            <w:gridSpan w:val="2"/>
          </w:tcPr>
          <w:p w:rsidR="00C806F6" w:rsidRPr="00C806F6" w:rsidRDefault="00C806F6" w:rsidP="00C806F6">
            <w:pPr>
              <w:jc w:val="both"/>
              <w:rPr>
                <w:sz w:val="20"/>
              </w:rPr>
            </w:pPr>
            <w:r w:rsidRPr="00C806F6">
              <w:rPr>
                <w:sz w:val="20"/>
              </w:rPr>
              <w:t>Le 12 avril 2016</w:t>
            </w:r>
          </w:p>
          <w:p w:rsidR="00C806F6" w:rsidRPr="00C806F6" w:rsidRDefault="00C806F6" w:rsidP="00C806F6">
            <w:pPr>
              <w:jc w:val="both"/>
              <w:rPr>
                <w:sz w:val="20"/>
              </w:rPr>
            </w:pPr>
            <w:r w:rsidRPr="00C806F6">
              <w:rPr>
                <w:sz w:val="20"/>
              </w:rPr>
              <w:t>Cour d’appel du Québec (Montréal)</w:t>
            </w:r>
          </w:p>
          <w:p w:rsidR="00C806F6" w:rsidRPr="00C806F6" w:rsidRDefault="00C806F6" w:rsidP="00C806F6">
            <w:pPr>
              <w:jc w:val="both"/>
              <w:rPr>
                <w:sz w:val="20"/>
              </w:rPr>
            </w:pPr>
            <w:r w:rsidRPr="00C806F6">
              <w:rPr>
                <w:sz w:val="20"/>
              </w:rPr>
              <w:t xml:space="preserve">(Les </w:t>
            </w:r>
            <w:proofErr w:type="spellStart"/>
            <w:r w:rsidRPr="00C806F6">
              <w:rPr>
                <w:sz w:val="20"/>
              </w:rPr>
              <w:t>juges</w:t>
            </w:r>
            <w:proofErr w:type="spellEnd"/>
            <w:r w:rsidRPr="00C806F6">
              <w:rPr>
                <w:sz w:val="20"/>
              </w:rPr>
              <w:t xml:space="preserve"> </w:t>
            </w:r>
            <w:proofErr w:type="spellStart"/>
            <w:r w:rsidRPr="00C806F6">
              <w:rPr>
                <w:sz w:val="20"/>
              </w:rPr>
              <w:t>Dutil</w:t>
            </w:r>
            <w:proofErr w:type="spellEnd"/>
            <w:r w:rsidRPr="00C806F6">
              <w:rPr>
                <w:sz w:val="20"/>
              </w:rPr>
              <w:t xml:space="preserve">, </w:t>
            </w:r>
            <w:proofErr w:type="spellStart"/>
            <w:r w:rsidRPr="00C806F6">
              <w:rPr>
                <w:sz w:val="20"/>
              </w:rPr>
              <w:t>Bélanger</w:t>
            </w:r>
            <w:proofErr w:type="spellEnd"/>
            <w:r w:rsidRPr="00C806F6">
              <w:rPr>
                <w:sz w:val="20"/>
              </w:rPr>
              <w:t xml:space="preserve"> et Parent)</w:t>
            </w:r>
          </w:p>
          <w:p w:rsidR="00C806F6" w:rsidRPr="00C806F6" w:rsidRDefault="000221AE" w:rsidP="00C806F6">
            <w:pPr>
              <w:jc w:val="both"/>
              <w:rPr>
                <w:sz w:val="20"/>
              </w:rPr>
            </w:pPr>
            <w:hyperlink r:id="rId21" w:history="1">
              <w:r w:rsidR="00C806F6" w:rsidRPr="00C806F6">
                <w:rPr>
                  <w:rStyle w:val="Hyperlink"/>
                  <w:sz w:val="20"/>
                </w:rPr>
                <w:t>2016 QCCA 641</w:t>
              </w:r>
            </w:hyperlink>
          </w:p>
          <w:p w:rsidR="00C806F6" w:rsidRPr="00C806F6" w:rsidRDefault="00C806F6" w:rsidP="00C806F6">
            <w:pPr>
              <w:jc w:val="both"/>
              <w:rPr>
                <w:sz w:val="20"/>
              </w:rPr>
            </w:pPr>
          </w:p>
        </w:tc>
        <w:tc>
          <w:tcPr>
            <w:tcW w:w="243" w:type="pct"/>
          </w:tcPr>
          <w:p w:rsidR="00C806F6" w:rsidRPr="00C806F6" w:rsidRDefault="00C806F6" w:rsidP="00C806F6">
            <w:pPr>
              <w:jc w:val="both"/>
              <w:rPr>
                <w:sz w:val="20"/>
              </w:rPr>
            </w:pPr>
          </w:p>
        </w:tc>
        <w:tc>
          <w:tcPr>
            <w:tcW w:w="2330" w:type="pct"/>
          </w:tcPr>
          <w:p w:rsidR="00C806F6" w:rsidRPr="00C806F6" w:rsidRDefault="00C806F6" w:rsidP="00C806F6">
            <w:pPr>
              <w:jc w:val="both"/>
              <w:rPr>
                <w:sz w:val="20"/>
              </w:rPr>
            </w:pPr>
            <w:r w:rsidRPr="00C806F6">
              <w:rPr>
                <w:sz w:val="20"/>
              </w:rPr>
              <w:t xml:space="preserve">Appel accueilli; recours en oppression de l’intimé accueilli en partie; appel incident rejeté;  demandeur tenu de payer 428 571,43 $ pour l’achat des actions </w:t>
            </w:r>
          </w:p>
          <w:p w:rsidR="00C806F6" w:rsidRPr="00C806F6" w:rsidRDefault="00C806F6" w:rsidP="00C806F6">
            <w:pPr>
              <w:jc w:val="both"/>
              <w:rPr>
                <w:sz w:val="20"/>
              </w:rPr>
            </w:pPr>
          </w:p>
        </w:tc>
      </w:tr>
      <w:tr w:rsidR="00C806F6" w:rsidRPr="00C806F6" w:rsidTr="00E95A6A">
        <w:tc>
          <w:tcPr>
            <w:tcW w:w="2427" w:type="pct"/>
            <w:gridSpan w:val="2"/>
          </w:tcPr>
          <w:p w:rsidR="00C806F6" w:rsidRPr="00C806F6" w:rsidRDefault="00C806F6" w:rsidP="00C806F6">
            <w:pPr>
              <w:jc w:val="both"/>
              <w:rPr>
                <w:sz w:val="20"/>
              </w:rPr>
            </w:pPr>
            <w:r w:rsidRPr="00C806F6">
              <w:rPr>
                <w:sz w:val="20"/>
              </w:rPr>
              <w:t>Le 13 juin 2016</w:t>
            </w:r>
          </w:p>
          <w:p w:rsidR="00C806F6" w:rsidRPr="00C806F6" w:rsidRDefault="00C806F6" w:rsidP="00C806F6">
            <w:pPr>
              <w:jc w:val="both"/>
              <w:rPr>
                <w:sz w:val="20"/>
              </w:rPr>
            </w:pPr>
            <w:proofErr w:type="spellStart"/>
            <w:r w:rsidRPr="00C806F6">
              <w:rPr>
                <w:sz w:val="20"/>
              </w:rPr>
              <w:t>Cour</w:t>
            </w:r>
            <w:proofErr w:type="spellEnd"/>
            <w:r w:rsidRPr="00C806F6">
              <w:rPr>
                <w:sz w:val="20"/>
              </w:rPr>
              <w:t xml:space="preserve"> </w:t>
            </w:r>
            <w:proofErr w:type="spellStart"/>
            <w:r w:rsidRPr="00C806F6">
              <w:rPr>
                <w:sz w:val="20"/>
              </w:rPr>
              <w:t>suprême</w:t>
            </w:r>
            <w:proofErr w:type="spellEnd"/>
            <w:r w:rsidRPr="00C806F6">
              <w:rPr>
                <w:sz w:val="20"/>
              </w:rPr>
              <w:t xml:space="preserve"> du Canada</w:t>
            </w:r>
          </w:p>
        </w:tc>
        <w:tc>
          <w:tcPr>
            <w:tcW w:w="243" w:type="pct"/>
          </w:tcPr>
          <w:p w:rsidR="00C806F6" w:rsidRPr="00C806F6" w:rsidRDefault="00C806F6" w:rsidP="00C806F6">
            <w:pPr>
              <w:jc w:val="both"/>
              <w:rPr>
                <w:sz w:val="20"/>
              </w:rPr>
            </w:pPr>
          </w:p>
        </w:tc>
        <w:tc>
          <w:tcPr>
            <w:tcW w:w="2330" w:type="pct"/>
          </w:tcPr>
          <w:p w:rsidR="00C806F6" w:rsidRPr="00C806F6" w:rsidRDefault="00C806F6" w:rsidP="00C806F6">
            <w:pPr>
              <w:jc w:val="both"/>
              <w:rPr>
                <w:sz w:val="20"/>
              </w:rPr>
            </w:pPr>
            <w:r w:rsidRPr="00C806F6">
              <w:rPr>
                <w:sz w:val="20"/>
              </w:rPr>
              <w:t>Demande d’autorisation d’appel déposée</w:t>
            </w:r>
          </w:p>
          <w:p w:rsidR="00C806F6" w:rsidRPr="00C806F6" w:rsidRDefault="00C806F6" w:rsidP="00C806F6">
            <w:pPr>
              <w:jc w:val="both"/>
              <w:rPr>
                <w:sz w:val="20"/>
              </w:rPr>
            </w:pPr>
          </w:p>
        </w:tc>
      </w:tr>
    </w:tbl>
    <w:p w:rsidR="00C806F6" w:rsidRPr="00C806F6" w:rsidRDefault="00C806F6" w:rsidP="00C806F6">
      <w:pPr>
        <w:jc w:val="both"/>
        <w:rPr>
          <w:sz w:val="20"/>
        </w:rPr>
      </w:pPr>
    </w:p>
    <w:p w:rsidR="0070231A" w:rsidRPr="00C806F6" w:rsidRDefault="0070231A" w:rsidP="00C806F6">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6F6" w:rsidRPr="00C806F6" w:rsidTr="00E95A6A">
        <w:tc>
          <w:tcPr>
            <w:tcW w:w="543" w:type="pct"/>
          </w:tcPr>
          <w:p w:rsidR="00C806F6" w:rsidRPr="00C806F6" w:rsidRDefault="00C806F6" w:rsidP="00C806F6">
            <w:pPr>
              <w:jc w:val="both"/>
              <w:rPr>
                <w:sz w:val="20"/>
              </w:rPr>
            </w:pPr>
            <w:r w:rsidRPr="00C806F6">
              <w:rPr>
                <w:rStyle w:val="SCCFileNumberChar"/>
                <w:sz w:val="20"/>
                <w:szCs w:val="20"/>
              </w:rPr>
              <w:t>36073</w:t>
            </w:r>
          </w:p>
        </w:tc>
        <w:tc>
          <w:tcPr>
            <w:tcW w:w="4457" w:type="pct"/>
            <w:gridSpan w:val="3"/>
          </w:tcPr>
          <w:p w:rsidR="00C806F6" w:rsidRPr="00C806F6" w:rsidRDefault="00C806F6" w:rsidP="00C806F6">
            <w:pPr>
              <w:pStyle w:val="SCCLsocParty"/>
              <w:jc w:val="both"/>
              <w:rPr>
                <w:b/>
                <w:sz w:val="20"/>
                <w:szCs w:val="20"/>
              </w:rPr>
            </w:pPr>
            <w:r w:rsidRPr="00C806F6">
              <w:rPr>
                <w:b/>
                <w:sz w:val="20"/>
                <w:szCs w:val="20"/>
              </w:rPr>
              <w:t xml:space="preserve">Robert Glen Harrison v. Her Majesty the Queen in Right of the Province of British Columbia, B.C. Minister of Attorney General, Karen </w:t>
            </w:r>
            <w:proofErr w:type="spellStart"/>
            <w:r w:rsidRPr="00C806F6">
              <w:rPr>
                <w:b/>
                <w:sz w:val="20"/>
                <w:szCs w:val="20"/>
              </w:rPr>
              <w:t>Horsman</w:t>
            </w:r>
            <w:proofErr w:type="spellEnd"/>
          </w:p>
          <w:p w:rsidR="00C806F6" w:rsidRPr="00C806F6" w:rsidRDefault="00C806F6" w:rsidP="00C806F6">
            <w:pPr>
              <w:jc w:val="both"/>
              <w:rPr>
                <w:sz w:val="20"/>
              </w:rPr>
            </w:pPr>
            <w:r w:rsidRPr="00C806F6">
              <w:rPr>
                <w:sz w:val="20"/>
              </w:rPr>
              <w:t>(B.C.) (Civil) (By Leave)</w:t>
            </w:r>
          </w:p>
        </w:tc>
      </w:tr>
      <w:tr w:rsidR="00C806F6" w:rsidRPr="00C806F6" w:rsidTr="00E95A6A">
        <w:tc>
          <w:tcPr>
            <w:tcW w:w="5000" w:type="pct"/>
            <w:gridSpan w:val="4"/>
          </w:tcPr>
          <w:p w:rsidR="00C806F6" w:rsidRPr="00C806F6" w:rsidRDefault="00C806F6" w:rsidP="00C806F6">
            <w:pPr>
              <w:jc w:val="both"/>
              <w:rPr>
                <w:sz w:val="20"/>
              </w:rPr>
            </w:pPr>
            <w:r w:rsidRPr="00C806F6">
              <w:rPr>
                <w:i/>
                <w:sz w:val="20"/>
              </w:rPr>
              <w:t>Charter of Rights</w:t>
            </w:r>
            <w:r w:rsidRPr="00C806F6">
              <w:rPr>
                <w:sz w:val="20"/>
              </w:rPr>
              <w:t xml:space="preserve"> – Judgments and orders – Summary judgments – Order striking out applicant’s statement of claim and refusing to grant him indigent status – Whether court below erred by dismissing the application for </w:t>
            </w:r>
            <w:proofErr w:type="spellStart"/>
            <w:r w:rsidRPr="00C806F6">
              <w:rPr>
                <w:sz w:val="20"/>
              </w:rPr>
              <w:t>indigency</w:t>
            </w:r>
            <w:proofErr w:type="spellEnd"/>
            <w:r w:rsidRPr="00C806F6">
              <w:rPr>
                <w:sz w:val="20"/>
              </w:rPr>
              <w:t xml:space="preserve"> on grounds the appeal lacked merit.</w:t>
            </w:r>
          </w:p>
        </w:tc>
      </w:tr>
      <w:tr w:rsidR="00C806F6" w:rsidRPr="00C806F6" w:rsidTr="00E95A6A">
        <w:tc>
          <w:tcPr>
            <w:tcW w:w="5000" w:type="pct"/>
            <w:gridSpan w:val="4"/>
          </w:tcPr>
          <w:p w:rsidR="00C806F6" w:rsidRPr="00C806F6" w:rsidRDefault="00C806F6" w:rsidP="00C806F6">
            <w:pPr>
              <w:jc w:val="both"/>
              <w:rPr>
                <w:sz w:val="20"/>
              </w:rPr>
            </w:pPr>
          </w:p>
        </w:tc>
      </w:tr>
      <w:tr w:rsidR="00C806F6" w:rsidRPr="00C806F6" w:rsidTr="00E95A6A">
        <w:tc>
          <w:tcPr>
            <w:tcW w:w="5000" w:type="pct"/>
            <w:gridSpan w:val="4"/>
          </w:tcPr>
          <w:p w:rsidR="00C806F6" w:rsidRPr="00C806F6" w:rsidRDefault="00C806F6" w:rsidP="00C806F6">
            <w:pPr>
              <w:jc w:val="both"/>
              <w:rPr>
                <w:sz w:val="20"/>
              </w:rPr>
            </w:pPr>
            <w:r w:rsidRPr="00C806F6">
              <w:rPr>
                <w:sz w:val="20"/>
              </w:rPr>
              <w:t xml:space="preserve">In 2006, Mr. Harrison’s employment was terminated and his civil action for damages for defamation and malfeasance was dismissed by the British Columbia Court of Appeal in 2010.  He brought a subsequent action against the respondents and their counsel in the previous action and sought to have the province’s submissions in that action amended or damages in lieu thereof, damages for the dismissal of his civil action, damages for the loss of his career and reputation, breach of s. 11(d) of the </w:t>
            </w:r>
            <w:r w:rsidRPr="00C806F6">
              <w:rPr>
                <w:i/>
                <w:sz w:val="20"/>
              </w:rPr>
              <w:t>Charter</w:t>
            </w:r>
            <w:r w:rsidRPr="00C806F6">
              <w:rPr>
                <w:sz w:val="20"/>
              </w:rPr>
              <w:t xml:space="preserve"> and emotional distress.  The respondents brought a motion for summary judgment.</w:t>
            </w:r>
          </w:p>
          <w:p w:rsidR="00C806F6" w:rsidRPr="00C806F6" w:rsidRDefault="00C806F6" w:rsidP="00C806F6">
            <w:pPr>
              <w:jc w:val="both"/>
              <w:rPr>
                <w:sz w:val="20"/>
              </w:rPr>
            </w:pPr>
          </w:p>
        </w:tc>
      </w:tr>
      <w:tr w:rsidR="00C806F6" w:rsidRPr="00C806F6" w:rsidTr="00E95A6A">
        <w:tc>
          <w:tcPr>
            <w:tcW w:w="2427" w:type="pct"/>
            <w:gridSpan w:val="2"/>
          </w:tcPr>
          <w:p w:rsidR="00C806F6" w:rsidRPr="00C806F6" w:rsidRDefault="00C806F6" w:rsidP="00C806F6">
            <w:pPr>
              <w:jc w:val="both"/>
              <w:rPr>
                <w:sz w:val="20"/>
              </w:rPr>
            </w:pPr>
            <w:r w:rsidRPr="00C806F6">
              <w:rPr>
                <w:sz w:val="20"/>
              </w:rPr>
              <w:t>March 12, 2014</w:t>
            </w:r>
          </w:p>
          <w:p w:rsidR="00C806F6" w:rsidRPr="00C806F6" w:rsidRDefault="00C806F6" w:rsidP="00C806F6">
            <w:pPr>
              <w:jc w:val="both"/>
              <w:rPr>
                <w:sz w:val="20"/>
              </w:rPr>
            </w:pPr>
            <w:r w:rsidRPr="00C806F6">
              <w:rPr>
                <w:sz w:val="20"/>
              </w:rPr>
              <w:t>Supreme Court of British Columbia</w:t>
            </w:r>
          </w:p>
          <w:p w:rsidR="00C806F6" w:rsidRPr="00C806F6" w:rsidRDefault="00C806F6" w:rsidP="00C806F6">
            <w:pPr>
              <w:jc w:val="both"/>
              <w:rPr>
                <w:sz w:val="20"/>
              </w:rPr>
            </w:pPr>
            <w:r w:rsidRPr="00C806F6">
              <w:rPr>
                <w:sz w:val="20"/>
              </w:rPr>
              <w:t>(Brown J.)</w:t>
            </w:r>
          </w:p>
          <w:p w:rsidR="00C806F6" w:rsidRPr="00C806F6" w:rsidRDefault="000221AE" w:rsidP="00C806F6">
            <w:pPr>
              <w:jc w:val="both"/>
              <w:rPr>
                <w:sz w:val="20"/>
              </w:rPr>
            </w:pPr>
            <w:hyperlink r:id="rId22" w:history="1">
              <w:r w:rsidR="00C806F6" w:rsidRPr="00C806F6">
                <w:rPr>
                  <w:rStyle w:val="Hyperlink"/>
                  <w:sz w:val="20"/>
                </w:rPr>
                <w:t>2014 BCSC 398</w:t>
              </w:r>
            </w:hyperlink>
          </w:p>
          <w:p w:rsidR="00C806F6" w:rsidRPr="00C806F6" w:rsidRDefault="00C806F6" w:rsidP="00C806F6">
            <w:pPr>
              <w:jc w:val="both"/>
              <w:rPr>
                <w:sz w:val="20"/>
              </w:rPr>
            </w:pPr>
          </w:p>
        </w:tc>
        <w:tc>
          <w:tcPr>
            <w:tcW w:w="243" w:type="pct"/>
          </w:tcPr>
          <w:p w:rsidR="00C806F6" w:rsidRPr="00C806F6" w:rsidRDefault="00C806F6" w:rsidP="00C806F6">
            <w:pPr>
              <w:jc w:val="both"/>
              <w:rPr>
                <w:sz w:val="20"/>
              </w:rPr>
            </w:pPr>
          </w:p>
        </w:tc>
        <w:tc>
          <w:tcPr>
            <w:tcW w:w="2330" w:type="pct"/>
          </w:tcPr>
          <w:p w:rsidR="00C806F6" w:rsidRPr="00C806F6" w:rsidRDefault="00C806F6" w:rsidP="00C806F6">
            <w:pPr>
              <w:jc w:val="both"/>
              <w:rPr>
                <w:sz w:val="20"/>
              </w:rPr>
            </w:pPr>
            <w:r w:rsidRPr="00C806F6">
              <w:rPr>
                <w:sz w:val="20"/>
              </w:rPr>
              <w:t xml:space="preserve">Applicant’s action struck on grounds of </w:t>
            </w:r>
            <w:r w:rsidRPr="00C806F6">
              <w:rPr>
                <w:i/>
                <w:sz w:val="20"/>
              </w:rPr>
              <w:t>res judicata</w:t>
            </w:r>
            <w:r w:rsidRPr="00C806F6">
              <w:rPr>
                <w:sz w:val="20"/>
              </w:rPr>
              <w:t xml:space="preserve"> and abuse of process</w:t>
            </w:r>
          </w:p>
        </w:tc>
      </w:tr>
      <w:tr w:rsidR="00C806F6" w:rsidRPr="00C806F6" w:rsidTr="00E95A6A">
        <w:tc>
          <w:tcPr>
            <w:tcW w:w="2427" w:type="pct"/>
            <w:gridSpan w:val="2"/>
          </w:tcPr>
          <w:p w:rsidR="00C806F6" w:rsidRPr="00C806F6" w:rsidRDefault="00C806F6" w:rsidP="00C806F6">
            <w:pPr>
              <w:jc w:val="both"/>
              <w:rPr>
                <w:sz w:val="20"/>
              </w:rPr>
            </w:pPr>
            <w:r w:rsidRPr="00C806F6">
              <w:rPr>
                <w:sz w:val="20"/>
              </w:rPr>
              <w:t>April 22, 2014</w:t>
            </w:r>
          </w:p>
          <w:p w:rsidR="00C806F6" w:rsidRPr="00C806F6" w:rsidRDefault="00C806F6" w:rsidP="00C806F6">
            <w:pPr>
              <w:jc w:val="both"/>
              <w:rPr>
                <w:sz w:val="20"/>
              </w:rPr>
            </w:pPr>
            <w:r w:rsidRPr="00C806F6">
              <w:rPr>
                <w:sz w:val="20"/>
              </w:rPr>
              <w:t xml:space="preserve">Court of Appeal for British Columbia </w:t>
            </w:r>
          </w:p>
          <w:p w:rsidR="00C806F6" w:rsidRPr="00C806F6" w:rsidRDefault="00C806F6" w:rsidP="00C806F6">
            <w:pPr>
              <w:jc w:val="both"/>
              <w:rPr>
                <w:sz w:val="20"/>
              </w:rPr>
            </w:pPr>
            <w:r w:rsidRPr="00C806F6">
              <w:rPr>
                <w:sz w:val="20"/>
              </w:rPr>
              <w:t>(Vancouver)</w:t>
            </w:r>
          </w:p>
          <w:p w:rsidR="00C806F6" w:rsidRPr="00C806F6" w:rsidRDefault="00C806F6" w:rsidP="00C806F6">
            <w:pPr>
              <w:jc w:val="both"/>
              <w:rPr>
                <w:sz w:val="20"/>
              </w:rPr>
            </w:pPr>
            <w:r w:rsidRPr="00C806F6">
              <w:rPr>
                <w:sz w:val="20"/>
              </w:rPr>
              <w:t>(Frankel J.)</w:t>
            </w:r>
          </w:p>
          <w:p w:rsidR="00C806F6" w:rsidRPr="00C806F6" w:rsidRDefault="00C806F6" w:rsidP="00C806F6">
            <w:pPr>
              <w:jc w:val="both"/>
              <w:rPr>
                <w:sz w:val="20"/>
              </w:rPr>
            </w:pPr>
            <w:r w:rsidRPr="00C806F6">
              <w:rPr>
                <w:sz w:val="20"/>
              </w:rPr>
              <w:t>Unreported</w:t>
            </w:r>
          </w:p>
          <w:p w:rsidR="00C806F6" w:rsidRPr="00C806F6" w:rsidRDefault="00C806F6" w:rsidP="00C806F6">
            <w:pPr>
              <w:jc w:val="both"/>
              <w:rPr>
                <w:sz w:val="20"/>
              </w:rPr>
            </w:pPr>
          </w:p>
        </w:tc>
        <w:tc>
          <w:tcPr>
            <w:tcW w:w="243" w:type="pct"/>
          </w:tcPr>
          <w:p w:rsidR="00C806F6" w:rsidRPr="00C806F6" w:rsidRDefault="00C806F6" w:rsidP="00C806F6">
            <w:pPr>
              <w:jc w:val="both"/>
              <w:rPr>
                <w:sz w:val="20"/>
              </w:rPr>
            </w:pPr>
          </w:p>
        </w:tc>
        <w:tc>
          <w:tcPr>
            <w:tcW w:w="2330" w:type="pct"/>
          </w:tcPr>
          <w:p w:rsidR="00C806F6" w:rsidRPr="00C806F6" w:rsidRDefault="00C806F6" w:rsidP="00C806F6">
            <w:pPr>
              <w:jc w:val="both"/>
              <w:rPr>
                <w:sz w:val="20"/>
              </w:rPr>
            </w:pPr>
            <w:r w:rsidRPr="00C806F6">
              <w:rPr>
                <w:sz w:val="20"/>
              </w:rPr>
              <w:t>Applicant’s appeal and application for indigent status dismissed</w:t>
            </w:r>
          </w:p>
          <w:p w:rsidR="00C806F6" w:rsidRPr="00C806F6" w:rsidRDefault="00C806F6" w:rsidP="00C806F6">
            <w:pPr>
              <w:jc w:val="both"/>
              <w:rPr>
                <w:sz w:val="20"/>
              </w:rPr>
            </w:pPr>
          </w:p>
          <w:p w:rsidR="00C806F6" w:rsidRPr="00C806F6" w:rsidRDefault="00C806F6" w:rsidP="00C806F6">
            <w:pPr>
              <w:jc w:val="both"/>
              <w:rPr>
                <w:sz w:val="20"/>
              </w:rPr>
            </w:pPr>
          </w:p>
        </w:tc>
      </w:tr>
      <w:tr w:rsidR="00C806F6" w:rsidRPr="00C806F6" w:rsidTr="00E95A6A">
        <w:tc>
          <w:tcPr>
            <w:tcW w:w="2427" w:type="pct"/>
            <w:gridSpan w:val="2"/>
          </w:tcPr>
          <w:p w:rsidR="00C806F6" w:rsidRPr="00C806F6" w:rsidRDefault="00C806F6" w:rsidP="00C806F6">
            <w:pPr>
              <w:jc w:val="both"/>
              <w:rPr>
                <w:sz w:val="20"/>
              </w:rPr>
            </w:pPr>
            <w:r w:rsidRPr="00C806F6">
              <w:rPr>
                <w:sz w:val="20"/>
              </w:rPr>
              <w:t>May 29, 2014</w:t>
            </w:r>
          </w:p>
          <w:p w:rsidR="00C806F6" w:rsidRPr="00C806F6" w:rsidRDefault="00C806F6" w:rsidP="00C806F6">
            <w:pPr>
              <w:jc w:val="both"/>
              <w:rPr>
                <w:sz w:val="20"/>
              </w:rPr>
            </w:pPr>
            <w:r w:rsidRPr="00C806F6">
              <w:rPr>
                <w:sz w:val="20"/>
              </w:rPr>
              <w:t xml:space="preserve">Court of Appeal for British Columbia </w:t>
            </w:r>
          </w:p>
          <w:p w:rsidR="00C806F6" w:rsidRPr="00C806F6" w:rsidRDefault="00C806F6" w:rsidP="00C806F6">
            <w:pPr>
              <w:jc w:val="both"/>
              <w:rPr>
                <w:sz w:val="20"/>
              </w:rPr>
            </w:pPr>
            <w:r w:rsidRPr="00C806F6">
              <w:rPr>
                <w:sz w:val="20"/>
              </w:rPr>
              <w:t>(Vancouver)</w:t>
            </w:r>
          </w:p>
          <w:p w:rsidR="00C806F6" w:rsidRPr="00C806F6" w:rsidRDefault="00C806F6" w:rsidP="00C806F6">
            <w:pPr>
              <w:jc w:val="both"/>
              <w:rPr>
                <w:sz w:val="20"/>
              </w:rPr>
            </w:pPr>
            <w:r w:rsidRPr="00C806F6">
              <w:rPr>
                <w:sz w:val="20"/>
              </w:rPr>
              <w:t xml:space="preserve">Saunders, </w:t>
            </w:r>
            <w:proofErr w:type="spellStart"/>
            <w:r w:rsidRPr="00C806F6">
              <w:rPr>
                <w:sz w:val="20"/>
              </w:rPr>
              <w:t>Tysoe</w:t>
            </w:r>
            <w:proofErr w:type="spellEnd"/>
            <w:r w:rsidRPr="00C806F6">
              <w:rPr>
                <w:sz w:val="20"/>
              </w:rPr>
              <w:t xml:space="preserve"> and </w:t>
            </w:r>
            <w:proofErr w:type="spellStart"/>
            <w:r w:rsidRPr="00C806F6">
              <w:rPr>
                <w:sz w:val="20"/>
              </w:rPr>
              <w:t>Groberman</w:t>
            </w:r>
            <w:proofErr w:type="spellEnd"/>
            <w:r w:rsidRPr="00C806F6">
              <w:rPr>
                <w:sz w:val="20"/>
              </w:rPr>
              <w:t xml:space="preserve"> JJ.A.)</w:t>
            </w:r>
          </w:p>
          <w:p w:rsidR="00C806F6" w:rsidRPr="00C806F6" w:rsidRDefault="000221AE" w:rsidP="00C806F6">
            <w:pPr>
              <w:jc w:val="both"/>
              <w:rPr>
                <w:sz w:val="20"/>
              </w:rPr>
            </w:pPr>
            <w:hyperlink r:id="rId23" w:history="1">
              <w:r w:rsidR="00C806F6" w:rsidRPr="00C806F6">
                <w:rPr>
                  <w:rStyle w:val="Hyperlink"/>
                  <w:sz w:val="20"/>
                </w:rPr>
                <w:t>2014 BCCA 210</w:t>
              </w:r>
            </w:hyperlink>
          </w:p>
          <w:p w:rsidR="00C806F6" w:rsidRPr="00C806F6" w:rsidRDefault="00C806F6" w:rsidP="00C806F6">
            <w:pPr>
              <w:jc w:val="both"/>
              <w:rPr>
                <w:sz w:val="20"/>
              </w:rPr>
            </w:pPr>
          </w:p>
        </w:tc>
        <w:tc>
          <w:tcPr>
            <w:tcW w:w="243" w:type="pct"/>
          </w:tcPr>
          <w:p w:rsidR="00C806F6" w:rsidRPr="00C806F6" w:rsidRDefault="00C806F6" w:rsidP="00C806F6">
            <w:pPr>
              <w:jc w:val="both"/>
              <w:rPr>
                <w:sz w:val="20"/>
              </w:rPr>
            </w:pPr>
          </w:p>
        </w:tc>
        <w:tc>
          <w:tcPr>
            <w:tcW w:w="2330" w:type="pct"/>
          </w:tcPr>
          <w:p w:rsidR="00C806F6" w:rsidRPr="00C806F6" w:rsidRDefault="00C806F6" w:rsidP="00C806F6">
            <w:pPr>
              <w:jc w:val="both"/>
              <w:rPr>
                <w:sz w:val="20"/>
              </w:rPr>
            </w:pPr>
            <w:r w:rsidRPr="00C806F6">
              <w:rPr>
                <w:sz w:val="20"/>
              </w:rPr>
              <w:t>Applicant’s application for review and variation of chambers judge’s order dismissed</w:t>
            </w:r>
          </w:p>
          <w:p w:rsidR="00C806F6" w:rsidRPr="00C806F6" w:rsidRDefault="00C806F6" w:rsidP="00C806F6">
            <w:pPr>
              <w:jc w:val="both"/>
              <w:rPr>
                <w:sz w:val="20"/>
              </w:rPr>
            </w:pPr>
          </w:p>
          <w:p w:rsidR="00C806F6" w:rsidRPr="00C806F6" w:rsidRDefault="00C806F6" w:rsidP="00C806F6">
            <w:pPr>
              <w:jc w:val="both"/>
              <w:rPr>
                <w:sz w:val="20"/>
              </w:rPr>
            </w:pPr>
          </w:p>
        </w:tc>
      </w:tr>
      <w:tr w:rsidR="00C806F6" w:rsidRPr="00C806F6" w:rsidTr="00E95A6A">
        <w:tc>
          <w:tcPr>
            <w:tcW w:w="2427" w:type="pct"/>
            <w:gridSpan w:val="2"/>
          </w:tcPr>
          <w:p w:rsidR="00C806F6" w:rsidRPr="00C806F6" w:rsidRDefault="00C806F6" w:rsidP="00C806F6">
            <w:pPr>
              <w:jc w:val="both"/>
              <w:rPr>
                <w:sz w:val="20"/>
              </w:rPr>
            </w:pPr>
            <w:r w:rsidRPr="00C806F6">
              <w:rPr>
                <w:sz w:val="20"/>
              </w:rPr>
              <w:t>August 20, 2014</w:t>
            </w:r>
          </w:p>
          <w:p w:rsidR="00C806F6" w:rsidRPr="00C806F6" w:rsidRDefault="00C806F6" w:rsidP="00C806F6">
            <w:pPr>
              <w:jc w:val="both"/>
              <w:rPr>
                <w:sz w:val="20"/>
              </w:rPr>
            </w:pPr>
            <w:r w:rsidRPr="00C806F6">
              <w:rPr>
                <w:sz w:val="20"/>
              </w:rPr>
              <w:t>Supreme Court of Canada</w:t>
            </w:r>
          </w:p>
        </w:tc>
        <w:tc>
          <w:tcPr>
            <w:tcW w:w="243" w:type="pct"/>
          </w:tcPr>
          <w:p w:rsidR="00C806F6" w:rsidRPr="00C806F6" w:rsidRDefault="00C806F6" w:rsidP="00C806F6">
            <w:pPr>
              <w:jc w:val="both"/>
              <w:rPr>
                <w:sz w:val="20"/>
              </w:rPr>
            </w:pPr>
          </w:p>
        </w:tc>
        <w:tc>
          <w:tcPr>
            <w:tcW w:w="2330" w:type="pct"/>
          </w:tcPr>
          <w:p w:rsidR="00C806F6" w:rsidRPr="00C806F6" w:rsidRDefault="00C806F6" w:rsidP="00C806F6">
            <w:pPr>
              <w:jc w:val="both"/>
              <w:rPr>
                <w:sz w:val="20"/>
              </w:rPr>
            </w:pPr>
            <w:r w:rsidRPr="00C806F6">
              <w:rPr>
                <w:sz w:val="20"/>
              </w:rPr>
              <w:t>Application for leave to appeal filed</w:t>
            </w:r>
          </w:p>
          <w:p w:rsidR="00C806F6" w:rsidRPr="00C806F6" w:rsidRDefault="00C806F6" w:rsidP="00C806F6">
            <w:pPr>
              <w:jc w:val="both"/>
              <w:rPr>
                <w:sz w:val="20"/>
              </w:rPr>
            </w:pPr>
          </w:p>
        </w:tc>
      </w:tr>
    </w:tbl>
    <w:p w:rsidR="00C806F6" w:rsidRDefault="00C806F6" w:rsidP="00C806F6">
      <w:pPr>
        <w:jc w:val="both"/>
        <w:rPr>
          <w:sz w:val="20"/>
        </w:rPr>
      </w:pPr>
    </w:p>
    <w:p w:rsidR="00C806F6" w:rsidRPr="00C806F6" w:rsidRDefault="00C806F6" w:rsidP="00C806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06F6" w:rsidRPr="00C806F6" w:rsidTr="00E95A6A">
        <w:tc>
          <w:tcPr>
            <w:tcW w:w="543" w:type="pct"/>
          </w:tcPr>
          <w:p w:rsidR="00C806F6" w:rsidRPr="00C806F6" w:rsidRDefault="00C806F6" w:rsidP="00C806F6">
            <w:pPr>
              <w:jc w:val="both"/>
              <w:rPr>
                <w:sz w:val="20"/>
                <w:lang w:val="fr-CA"/>
              </w:rPr>
            </w:pPr>
            <w:r w:rsidRPr="00C806F6">
              <w:rPr>
                <w:rStyle w:val="SCCFileNumberChar"/>
                <w:sz w:val="20"/>
                <w:szCs w:val="20"/>
                <w:lang w:val="fr-CA"/>
              </w:rPr>
              <w:t>36073</w:t>
            </w:r>
          </w:p>
        </w:tc>
        <w:tc>
          <w:tcPr>
            <w:tcW w:w="4457" w:type="pct"/>
            <w:gridSpan w:val="3"/>
          </w:tcPr>
          <w:p w:rsidR="00C806F6" w:rsidRPr="00C806F6" w:rsidRDefault="00C806F6" w:rsidP="00C806F6">
            <w:pPr>
              <w:pStyle w:val="SCCLsocParty"/>
              <w:jc w:val="both"/>
              <w:rPr>
                <w:b/>
                <w:sz w:val="20"/>
                <w:szCs w:val="20"/>
              </w:rPr>
            </w:pPr>
            <w:r w:rsidRPr="00C806F6">
              <w:rPr>
                <w:b/>
                <w:sz w:val="20"/>
                <w:szCs w:val="20"/>
              </w:rPr>
              <w:t>Robert Glen Harrison c. Sa Majesté la Reine du chef de la Province de Colombie-Britannique, ministre du procureur général de la C.-B., Karen Horsman</w:t>
            </w:r>
          </w:p>
          <w:p w:rsidR="00C806F6" w:rsidRPr="00C806F6" w:rsidRDefault="00C806F6" w:rsidP="00C806F6">
            <w:pPr>
              <w:jc w:val="both"/>
              <w:rPr>
                <w:sz w:val="20"/>
                <w:lang w:val="fr-CA"/>
              </w:rPr>
            </w:pPr>
            <w:r w:rsidRPr="00C806F6">
              <w:rPr>
                <w:sz w:val="20"/>
                <w:lang w:val="fr-CA"/>
              </w:rPr>
              <w:t>(C.-B.) (Civile) (Autorisation)</w:t>
            </w:r>
          </w:p>
        </w:tc>
      </w:tr>
      <w:tr w:rsidR="00C806F6" w:rsidRPr="00C806F6" w:rsidTr="00E95A6A">
        <w:tc>
          <w:tcPr>
            <w:tcW w:w="5000" w:type="pct"/>
            <w:gridSpan w:val="4"/>
          </w:tcPr>
          <w:p w:rsidR="00C806F6" w:rsidRPr="00C806F6" w:rsidRDefault="00C806F6" w:rsidP="00C806F6">
            <w:pPr>
              <w:jc w:val="both"/>
              <w:rPr>
                <w:sz w:val="20"/>
                <w:lang w:val="fr-CA"/>
              </w:rPr>
            </w:pPr>
            <w:r w:rsidRPr="00C806F6">
              <w:rPr>
                <w:i/>
                <w:sz w:val="20"/>
                <w:lang w:val="fr-CA"/>
              </w:rPr>
              <w:lastRenderedPageBreak/>
              <w:t>Charte des droits</w:t>
            </w:r>
            <w:r w:rsidRPr="00C806F6">
              <w:rPr>
                <w:sz w:val="20"/>
                <w:lang w:val="fr-CA"/>
              </w:rPr>
              <w:t xml:space="preserve"> – Jugements et ordonnances – Jugements sommaire – Ordonnance radiant la déclaration du demandeur et lui refusant le statut d’indigent – La juridiction inférieure a-t-elle eu tort de rejeter la demande de statut d’indigent au motif que l’appel n’était pas fondé?</w:t>
            </w:r>
          </w:p>
        </w:tc>
      </w:tr>
      <w:tr w:rsidR="00C806F6" w:rsidRPr="00C806F6" w:rsidTr="00E95A6A">
        <w:tc>
          <w:tcPr>
            <w:tcW w:w="5000" w:type="pct"/>
            <w:gridSpan w:val="4"/>
          </w:tcPr>
          <w:p w:rsidR="00C806F6" w:rsidRPr="00C806F6" w:rsidRDefault="00C806F6" w:rsidP="00C806F6">
            <w:pPr>
              <w:jc w:val="both"/>
              <w:rPr>
                <w:sz w:val="20"/>
                <w:lang w:val="fr-CA"/>
              </w:rPr>
            </w:pPr>
          </w:p>
        </w:tc>
      </w:tr>
      <w:tr w:rsidR="00C806F6" w:rsidRPr="00C806F6" w:rsidTr="00E95A6A">
        <w:tc>
          <w:tcPr>
            <w:tcW w:w="5000" w:type="pct"/>
            <w:gridSpan w:val="4"/>
          </w:tcPr>
          <w:p w:rsidR="00C806F6" w:rsidRPr="00C806F6" w:rsidRDefault="00C806F6" w:rsidP="00C806F6">
            <w:pPr>
              <w:jc w:val="both"/>
              <w:rPr>
                <w:sz w:val="20"/>
                <w:lang w:val="fr-CA"/>
              </w:rPr>
            </w:pPr>
            <w:r w:rsidRPr="00C806F6">
              <w:rPr>
                <w:sz w:val="20"/>
                <w:lang w:val="fr-CA"/>
              </w:rPr>
              <w:t>En 2006, M. Harrison a été congédié et son action au civil en dommages-intérêts pour diffamation et méfait a été rejetée par la Cour d’appel de la Colombie-Britannique en 2010.  Il a intenté une action subséquente contre les intimés et l’avocat qui les avait représentés dans l’action précédente et a demandé la modification des observations de la province dans cette action ou des dommages-intérêts en tenant lieu, des dommages-intérêts pour le rejet de son action au civil et des dommages-intérêts pour la perte de sa carrière et de sa réputation, violation de l’al. 11</w:t>
            </w:r>
            <w:r w:rsidRPr="00C806F6">
              <w:rPr>
                <w:i/>
                <w:sz w:val="20"/>
                <w:lang w:val="fr-CA"/>
              </w:rPr>
              <w:t>d)</w:t>
            </w:r>
            <w:r w:rsidRPr="00C806F6">
              <w:rPr>
                <w:sz w:val="20"/>
                <w:lang w:val="fr-CA"/>
              </w:rPr>
              <w:t xml:space="preserve"> de la </w:t>
            </w:r>
            <w:r w:rsidRPr="00C806F6">
              <w:rPr>
                <w:i/>
                <w:sz w:val="20"/>
                <w:lang w:val="fr-CA"/>
              </w:rPr>
              <w:t>Charter</w:t>
            </w:r>
            <w:r w:rsidRPr="00C806F6">
              <w:rPr>
                <w:sz w:val="20"/>
                <w:lang w:val="fr-CA"/>
              </w:rPr>
              <w:t xml:space="preserve"> et trouble émotionnel.  Les intimés ont présenté une motion en jugement sommaire.</w:t>
            </w:r>
          </w:p>
          <w:p w:rsidR="00C806F6" w:rsidRPr="00C806F6" w:rsidRDefault="00C806F6" w:rsidP="00C806F6">
            <w:pPr>
              <w:jc w:val="both"/>
              <w:rPr>
                <w:sz w:val="20"/>
                <w:lang w:val="fr-CA"/>
              </w:rPr>
            </w:pPr>
          </w:p>
        </w:tc>
      </w:tr>
      <w:tr w:rsidR="00C806F6" w:rsidRPr="00C806F6" w:rsidTr="00E95A6A">
        <w:tc>
          <w:tcPr>
            <w:tcW w:w="2427" w:type="pct"/>
            <w:gridSpan w:val="2"/>
          </w:tcPr>
          <w:p w:rsidR="00C806F6" w:rsidRPr="00C806F6" w:rsidRDefault="00C806F6" w:rsidP="00C806F6">
            <w:pPr>
              <w:jc w:val="both"/>
              <w:rPr>
                <w:sz w:val="20"/>
                <w:lang w:val="fr-CA"/>
              </w:rPr>
            </w:pPr>
            <w:r w:rsidRPr="00C806F6">
              <w:rPr>
                <w:sz w:val="20"/>
                <w:lang w:val="fr-CA"/>
              </w:rPr>
              <w:t>12 mars 2014</w:t>
            </w:r>
          </w:p>
          <w:p w:rsidR="00C806F6" w:rsidRPr="00C806F6" w:rsidRDefault="00C806F6" w:rsidP="00C806F6">
            <w:pPr>
              <w:jc w:val="both"/>
              <w:rPr>
                <w:sz w:val="20"/>
                <w:lang w:val="fr-CA"/>
              </w:rPr>
            </w:pPr>
            <w:r w:rsidRPr="00C806F6">
              <w:rPr>
                <w:sz w:val="20"/>
                <w:lang w:val="fr-CA"/>
              </w:rPr>
              <w:t>Cour suprême de la Colombie-Britannique</w:t>
            </w:r>
          </w:p>
          <w:p w:rsidR="00C806F6" w:rsidRPr="00C806F6" w:rsidRDefault="00C806F6" w:rsidP="00C806F6">
            <w:pPr>
              <w:jc w:val="both"/>
              <w:rPr>
                <w:sz w:val="20"/>
                <w:lang w:val="fr-CA"/>
              </w:rPr>
            </w:pPr>
            <w:r w:rsidRPr="00C806F6">
              <w:rPr>
                <w:sz w:val="20"/>
                <w:lang w:val="fr-CA"/>
              </w:rPr>
              <w:t>(Juge Brown)</w:t>
            </w:r>
          </w:p>
          <w:p w:rsidR="00C806F6" w:rsidRPr="00C806F6" w:rsidRDefault="000221AE" w:rsidP="00C806F6">
            <w:pPr>
              <w:jc w:val="both"/>
              <w:rPr>
                <w:sz w:val="20"/>
                <w:lang w:val="fr-CA"/>
              </w:rPr>
            </w:pPr>
            <w:hyperlink r:id="rId24" w:history="1">
              <w:r w:rsidR="00C806F6" w:rsidRPr="00C806F6">
                <w:rPr>
                  <w:rStyle w:val="Hyperlink"/>
                  <w:sz w:val="20"/>
                  <w:lang w:val="fr-CA"/>
                </w:rPr>
                <w:t>2014 BCSC 398</w:t>
              </w:r>
            </w:hyperlink>
          </w:p>
          <w:p w:rsidR="00C806F6" w:rsidRPr="00C806F6" w:rsidRDefault="00C806F6" w:rsidP="00C806F6">
            <w:pPr>
              <w:jc w:val="both"/>
              <w:rPr>
                <w:sz w:val="20"/>
                <w:lang w:val="fr-CA"/>
              </w:rPr>
            </w:pPr>
          </w:p>
        </w:tc>
        <w:tc>
          <w:tcPr>
            <w:tcW w:w="243" w:type="pct"/>
          </w:tcPr>
          <w:p w:rsidR="00C806F6" w:rsidRPr="00C806F6" w:rsidRDefault="00C806F6" w:rsidP="00C806F6">
            <w:pPr>
              <w:jc w:val="both"/>
              <w:rPr>
                <w:sz w:val="20"/>
                <w:lang w:val="fr-CA"/>
              </w:rPr>
            </w:pPr>
          </w:p>
        </w:tc>
        <w:tc>
          <w:tcPr>
            <w:tcW w:w="2330" w:type="pct"/>
          </w:tcPr>
          <w:p w:rsidR="00C806F6" w:rsidRPr="00C806F6" w:rsidRDefault="00C806F6" w:rsidP="00C806F6">
            <w:pPr>
              <w:jc w:val="both"/>
              <w:rPr>
                <w:sz w:val="20"/>
                <w:lang w:val="fr-CA"/>
              </w:rPr>
            </w:pPr>
            <w:r w:rsidRPr="00C806F6">
              <w:rPr>
                <w:sz w:val="20"/>
                <w:lang w:val="fr-CA"/>
              </w:rPr>
              <w:t>Action du demandeur radiée pour cause de chose jugée et d’abus de procédure</w:t>
            </w:r>
          </w:p>
        </w:tc>
      </w:tr>
      <w:tr w:rsidR="00C806F6" w:rsidRPr="00C806F6" w:rsidTr="00E95A6A">
        <w:tc>
          <w:tcPr>
            <w:tcW w:w="2427" w:type="pct"/>
            <w:gridSpan w:val="2"/>
          </w:tcPr>
          <w:p w:rsidR="00C806F6" w:rsidRPr="00C806F6" w:rsidRDefault="00C806F6" w:rsidP="00C806F6">
            <w:pPr>
              <w:jc w:val="both"/>
              <w:rPr>
                <w:sz w:val="20"/>
                <w:lang w:val="fr-CA"/>
              </w:rPr>
            </w:pPr>
            <w:r w:rsidRPr="00C806F6">
              <w:rPr>
                <w:sz w:val="20"/>
                <w:lang w:val="fr-CA"/>
              </w:rPr>
              <w:t>22 avril 2014</w:t>
            </w:r>
          </w:p>
          <w:p w:rsidR="00C806F6" w:rsidRPr="00C806F6" w:rsidRDefault="00C806F6" w:rsidP="00C806F6">
            <w:pPr>
              <w:jc w:val="both"/>
              <w:rPr>
                <w:sz w:val="20"/>
                <w:lang w:val="fr-CA"/>
              </w:rPr>
            </w:pPr>
            <w:r w:rsidRPr="00C806F6">
              <w:rPr>
                <w:sz w:val="20"/>
                <w:lang w:val="fr-CA"/>
              </w:rPr>
              <w:t xml:space="preserve">Cour d’appel de la Colombie-Britannique </w:t>
            </w:r>
          </w:p>
          <w:p w:rsidR="00C806F6" w:rsidRPr="00C806F6" w:rsidRDefault="00C806F6" w:rsidP="00C806F6">
            <w:pPr>
              <w:jc w:val="both"/>
              <w:rPr>
                <w:sz w:val="20"/>
                <w:lang w:val="fr-CA"/>
              </w:rPr>
            </w:pPr>
            <w:r w:rsidRPr="00C806F6">
              <w:rPr>
                <w:sz w:val="20"/>
                <w:lang w:val="fr-CA"/>
              </w:rPr>
              <w:t>(Vancouver)</w:t>
            </w:r>
          </w:p>
          <w:p w:rsidR="00C806F6" w:rsidRPr="00C806F6" w:rsidRDefault="00C806F6" w:rsidP="00C806F6">
            <w:pPr>
              <w:jc w:val="both"/>
              <w:rPr>
                <w:sz w:val="20"/>
                <w:lang w:val="fr-CA"/>
              </w:rPr>
            </w:pPr>
            <w:r w:rsidRPr="00C806F6">
              <w:rPr>
                <w:sz w:val="20"/>
                <w:lang w:val="fr-CA"/>
              </w:rPr>
              <w:t>(Juge Frankel)</w:t>
            </w:r>
          </w:p>
          <w:p w:rsidR="00C806F6" w:rsidRPr="00C806F6" w:rsidRDefault="00C806F6" w:rsidP="00C806F6">
            <w:pPr>
              <w:jc w:val="both"/>
              <w:rPr>
                <w:sz w:val="20"/>
                <w:lang w:val="fr-CA"/>
              </w:rPr>
            </w:pPr>
            <w:r w:rsidRPr="00C806F6">
              <w:rPr>
                <w:sz w:val="20"/>
                <w:lang w:val="fr-CA"/>
              </w:rPr>
              <w:t>Non publié</w:t>
            </w:r>
          </w:p>
          <w:p w:rsidR="00C806F6" w:rsidRPr="00C806F6" w:rsidRDefault="00C806F6" w:rsidP="00C806F6">
            <w:pPr>
              <w:jc w:val="both"/>
              <w:rPr>
                <w:sz w:val="20"/>
                <w:lang w:val="fr-CA"/>
              </w:rPr>
            </w:pPr>
          </w:p>
        </w:tc>
        <w:tc>
          <w:tcPr>
            <w:tcW w:w="243" w:type="pct"/>
          </w:tcPr>
          <w:p w:rsidR="00C806F6" w:rsidRPr="00C806F6" w:rsidRDefault="00C806F6" w:rsidP="00C806F6">
            <w:pPr>
              <w:jc w:val="both"/>
              <w:rPr>
                <w:sz w:val="20"/>
                <w:lang w:val="fr-CA"/>
              </w:rPr>
            </w:pPr>
          </w:p>
        </w:tc>
        <w:tc>
          <w:tcPr>
            <w:tcW w:w="2330" w:type="pct"/>
          </w:tcPr>
          <w:p w:rsidR="00C806F6" w:rsidRPr="00C806F6" w:rsidRDefault="00C806F6" w:rsidP="00C806F6">
            <w:pPr>
              <w:jc w:val="both"/>
              <w:rPr>
                <w:sz w:val="20"/>
                <w:lang w:val="fr-CA"/>
              </w:rPr>
            </w:pPr>
            <w:r w:rsidRPr="00C806F6">
              <w:rPr>
                <w:sz w:val="20"/>
                <w:lang w:val="fr-CA"/>
              </w:rPr>
              <w:t>Appel et demande de statut d’indigent du demandeur, rejetés</w:t>
            </w:r>
          </w:p>
          <w:p w:rsidR="00C806F6" w:rsidRPr="00C806F6" w:rsidRDefault="00C806F6" w:rsidP="00C806F6">
            <w:pPr>
              <w:jc w:val="both"/>
              <w:rPr>
                <w:sz w:val="20"/>
                <w:lang w:val="fr-CA"/>
              </w:rPr>
            </w:pPr>
          </w:p>
          <w:p w:rsidR="00C806F6" w:rsidRPr="00C806F6" w:rsidRDefault="00C806F6" w:rsidP="00C806F6">
            <w:pPr>
              <w:jc w:val="both"/>
              <w:rPr>
                <w:sz w:val="20"/>
                <w:lang w:val="fr-CA"/>
              </w:rPr>
            </w:pPr>
          </w:p>
        </w:tc>
      </w:tr>
      <w:tr w:rsidR="00C806F6" w:rsidRPr="00C806F6" w:rsidTr="00E95A6A">
        <w:tc>
          <w:tcPr>
            <w:tcW w:w="2427" w:type="pct"/>
            <w:gridSpan w:val="2"/>
          </w:tcPr>
          <w:p w:rsidR="00C806F6" w:rsidRPr="00C806F6" w:rsidRDefault="00C806F6" w:rsidP="00C806F6">
            <w:pPr>
              <w:jc w:val="both"/>
              <w:rPr>
                <w:sz w:val="20"/>
                <w:lang w:val="fr-CA"/>
              </w:rPr>
            </w:pPr>
            <w:r w:rsidRPr="00C806F6">
              <w:rPr>
                <w:sz w:val="20"/>
                <w:lang w:val="fr-CA"/>
              </w:rPr>
              <w:t>29 mai 2014</w:t>
            </w:r>
          </w:p>
          <w:p w:rsidR="00C806F6" w:rsidRPr="00C806F6" w:rsidRDefault="00C806F6" w:rsidP="00C806F6">
            <w:pPr>
              <w:jc w:val="both"/>
              <w:rPr>
                <w:sz w:val="20"/>
                <w:lang w:val="fr-CA"/>
              </w:rPr>
            </w:pPr>
            <w:r w:rsidRPr="00C806F6">
              <w:rPr>
                <w:sz w:val="20"/>
                <w:lang w:val="fr-CA"/>
              </w:rPr>
              <w:t xml:space="preserve">Cour d’appel de la Colombie-Britannique </w:t>
            </w:r>
          </w:p>
          <w:p w:rsidR="00C806F6" w:rsidRPr="00C806F6" w:rsidRDefault="00C806F6" w:rsidP="00C806F6">
            <w:pPr>
              <w:jc w:val="both"/>
              <w:rPr>
                <w:sz w:val="20"/>
                <w:lang w:val="fr-CA"/>
              </w:rPr>
            </w:pPr>
            <w:r w:rsidRPr="00C806F6">
              <w:rPr>
                <w:sz w:val="20"/>
                <w:lang w:val="fr-CA"/>
              </w:rPr>
              <w:t>(Vancouver)</w:t>
            </w:r>
          </w:p>
          <w:p w:rsidR="00C806F6" w:rsidRPr="00C806F6" w:rsidRDefault="00C806F6" w:rsidP="00C806F6">
            <w:pPr>
              <w:jc w:val="both"/>
              <w:rPr>
                <w:sz w:val="20"/>
                <w:lang w:val="fr-CA"/>
              </w:rPr>
            </w:pPr>
            <w:r w:rsidRPr="00C806F6">
              <w:rPr>
                <w:sz w:val="20"/>
                <w:lang w:val="fr-CA"/>
              </w:rPr>
              <w:t>Juges Saunders, Tysoe et Groberman)</w:t>
            </w:r>
          </w:p>
          <w:p w:rsidR="00C806F6" w:rsidRPr="00C806F6" w:rsidRDefault="000221AE" w:rsidP="00C806F6">
            <w:pPr>
              <w:jc w:val="both"/>
              <w:rPr>
                <w:sz w:val="20"/>
                <w:lang w:val="fr-CA"/>
              </w:rPr>
            </w:pPr>
            <w:hyperlink r:id="rId25" w:history="1">
              <w:r w:rsidR="00C806F6" w:rsidRPr="00C806F6">
                <w:rPr>
                  <w:rStyle w:val="Hyperlink"/>
                  <w:sz w:val="20"/>
                  <w:lang w:val="fr-CA"/>
                </w:rPr>
                <w:t>2014 BCCA 210</w:t>
              </w:r>
            </w:hyperlink>
          </w:p>
          <w:p w:rsidR="00C806F6" w:rsidRPr="00C806F6" w:rsidRDefault="00C806F6" w:rsidP="00C806F6">
            <w:pPr>
              <w:jc w:val="both"/>
              <w:rPr>
                <w:sz w:val="20"/>
                <w:lang w:val="fr-CA"/>
              </w:rPr>
            </w:pPr>
          </w:p>
        </w:tc>
        <w:tc>
          <w:tcPr>
            <w:tcW w:w="243" w:type="pct"/>
          </w:tcPr>
          <w:p w:rsidR="00C806F6" w:rsidRPr="00C806F6" w:rsidRDefault="00C806F6" w:rsidP="00C806F6">
            <w:pPr>
              <w:jc w:val="both"/>
              <w:rPr>
                <w:sz w:val="20"/>
                <w:lang w:val="fr-CA"/>
              </w:rPr>
            </w:pPr>
          </w:p>
        </w:tc>
        <w:tc>
          <w:tcPr>
            <w:tcW w:w="2330" w:type="pct"/>
          </w:tcPr>
          <w:p w:rsidR="00C806F6" w:rsidRPr="00C806F6" w:rsidRDefault="00C806F6" w:rsidP="00C806F6">
            <w:pPr>
              <w:jc w:val="both"/>
              <w:rPr>
                <w:sz w:val="20"/>
                <w:lang w:val="fr-CA"/>
              </w:rPr>
            </w:pPr>
            <w:r w:rsidRPr="00C806F6">
              <w:rPr>
                <w:sz w:val="20"/>
                <w:lang w:val="fr-CA"/>
              </w:rPr>
              <w:t>Demande du demandeur en examen et modification de l’ordonnance du juge en son cabinet, rejetée</w:t>
            </w:r>
          </w:p>
          <w:p w:rsidR="00C806F6" w:rsidRPr="00C806F6" w:rsidRDefault="00C806F6" w:rsidP="00C806F6">
            <w:pPr>
              <w:jc w:val="both"/>
              <w:rPr>
                <w:sz w:val="20"/>
                <w:lang w:val="fr-CA"/>
              </w:rPr>
            </w:pPr>
          </w:p>
          <w:p w:rsidR="00C806F6" w:rsidRPr="00C806F6" w:rsidRDefault="00C806F6" w:rsidP="00C806F6">
            <w:pPr>
              <w:jc w:val="both"/>
              <w:rPr>
                <w:sz w:val="20"/>
                <w:lang w:val="fr-CA"/>
              </w:rPr>
            </w:pPr>
          </w:p>
        </w:tc>
      </w:tr>
      <w:tr w:rsidR="00C806F6" w:rsidRPr="00C806F6" w:rsidTr="00E95A6A">
        <w:tc>
          <w:tcPr>
            <w:tcW w:w="2427" w:type="pct"/>
            <w:gridSpan w:val="2"/>
          </w:tcPr>
          <w:p w:rsidR="00C806F6" w:rsidRPr="00C806F6" w:rsidRDefault="00C806F6" w:rsidP="00C806F6">
            <w:pPr>
              <w:jc w:val="both"/>
              <w:rPr>
                <w:sz w:val="20"/>
                <w:lang w:val="fr-CA"/>
              </w:rPr>
            </w:pPr>
            <w:r w:rsidRPr="00C806F6">
              <w:rPr>
                <w:sz w:val="20"/>
                <w:lang w:val="fr-CA"/>
              </w:rPr>
              <w:t>20 août 2014</w:t>
            </w:r>
          </w:p>
          <w:p w:rsidR="00C806F6" w:rsidRPr="00C806F6" w:rsidRDefault="00C806F6" w:rsidP="00C806F6">
            <w:pPr>
              <w:jc w:val="both"/>
              <w:rPr>
                <w:sz w:val="20"/>
                <w:lang w:val="fr-CA"/>
              </w:rPr>
            </w:pPr>
            <w:r w:rsidRPr="00C806F6">
              <w:rPr>
                <w:sz w:val="20"/>
                <w:lang w:val="fr-CA"/>
              </w:rPr>
              <w:t>Cour suprême du Canada</w:t>
            </w:r>
          </w:p>
        </w:tc>
        <w:tc>
          <w:tcPr>
            <w:tcW w:w="243" w:type="pct"/>
          </w:tcPr>
          <w:p w:rsidR="00C806F6" w:rsidRPr="00C806F6" w:rsidRDefault="00C806F6" w:rsidP="00C806F6">
            <w:pPr>
              <w:jc w:val="both"/>
              <w:rPr>
                <w:sz w:val="20"/>
                <w:lang w:val="fr-CA"/>
              </w:rPr>
            </w:pPr>
          </w:p>
        </w:tc>
        <w:tc>
          <w:tcPr>
            <w:tcW w:w="2330" w:type="pct"/>
          </w:tcPr>
          <w:p w:rsidR="00C806F6" w:rsidRPr="00C806F6" w:rsidRDefault="00C806F6" w:rsidP="00C806F6">
            <w:pPr>
              <w:jc w:val="both"/>
              <w:rPr>
                <w:sz w:val="20"/>
                <w:lang w:val="fr-CA"/>
              </w:rPr>
            </w:pPr>
            <w:r w:rsidRPr="00C806F6">
              <w:rPr>
                <w:sz w:val="20"/>
                <w:lang w:val="fr-CA"/>
              </w:rPr>
              <w:t>Demande d’autorisation d’appel, déposée</w:t>
            </w:r>
          </w:p>
          <w:p w:rsidR="00C806F6" w:rsidRPr="00C806F6" w:rsidRDefault="00C806F6" w:rsidP="00C806F6">
            <w:pPr>
              <w:jc w:val="both"/>
              <w:rPr>
                <w:sz w:val="20"/>
                <w:lang w:val="fr-CA"/>
              </w:rPr>
            </w:pPr>
          </w:p>
        </w:tc>
      </w:tr>
    </w:tbl>
    <w:p w:rsidR="00C806F6" w:rsidRPr="00C76D1F" w:rsidRDefault="00C806F6" w:rsidP="00C76D1F">
      <w:pPr>
        <w:jc w:val="both"/>
        <w:rPr>
          <w:sz w:val="20"/>
          <w:lang w:val="fr-CA"/>
        </w:rPr>
      </w:pPr>
    </w:p>
    <w:p w:rsidR="0070231A" w:rsidRPr="00C76D1F" w:rsidRDefault="0070231A" w:rsidP="00C76D1F">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6D1F" w:rsidRPr="00C76D1F" w:rsidTr="00E95A6A">
        <w:tc>
          <w:tcPr>
            <w:tcW w:w="543" w:type="pct"/>
          </w:tcPr>
          <w:p w:rsidR="00C76D1F" w:rsidRPr="00C76D1F" w:rsidRDefault="00C76D1F" w:rsidP="00C76D1F">
            <w:pPr>
              <w:jc w:val="both"/>
              <w:rPr>
                <w:sz w:val="20"/>
              </w:rPr>
            </w:pPr>
            <w:r w:rsidRPr="00C76D1F">
              <w:rPr>
                <w:rStyle w:val="SCCFileNumberChar"/>
                <w:sz w:val="20"/>
                <w:szCs w:val="20"/>
              </w:rPr>
              <w:t>37027</w:t>
            </w:r>
          </w:p>
        </w:tc>
        <w:tc>
          <w:tcPr>
            <w:tcW w:w="4457" w:type="pct"/>
            <w:gridSpan w:val="3"/>
          </w:tcPr>
          <w:p w:rsidR="00C76D1F" w:rsidRPr="00C76D1F" w:rsidRDefault="00C76D1F" w:rsidP="00C76D1F">
            <w:pPr>
              <w:pStyle w:val="SCCLsocParty"/>
              <w:jc w:val="both"/>
              <w:rPr>
                <w:b/>
                <w:sz w:val="20"/>
                <w:szCs w:val="20"/>
              </w:rPr>
            </w:pPr>
            <w:r w:rsidRPr="00C76D1F">
              <w:rPr>
                <w:b/>
                <w:sz w:val="20"/>
                <w:szCs w:val="20"/>
              </w:rPr>
              <w:t>WestJet v. Nicole Chabot, in her quality of tutor to her minor child N.C., Nicole Chabot</w:t>
            </w:r>
          </w:p>
          <w:p w:rsidR="00C76D1F" w:rsidRPr="00C76D1F" w:rsidRDefault="00C76D1F" w:rsidP="00C76D1F">
            <w:pPr>
              <w:jc w:val="both"/>
              <w:rPr>
                <w:sz w:val="20"/>
              </w:rPr>
            </w:pPr>
            <w:r w:rsidRPr="00C76D1F">
              <w:rPr>
                <w:sz w:val="20"/>
              </w:rPr>
              <w:t>(Que.) (Civil) (By Leave)</w:t>
            </w:r>
          </w:p>
        </w:tc>
      </w:tr>
      <w:tr w:rsidR="00C76D1F" w:rsidRPr="00C76D1F" w:rsidTr="00E95A6A">
        <w:tc>
          <w:tcPr>
            <w:tcW w:w="5000" w:type="pct"/>
            <w:gridSpan w:val="4"/>
          </w:tcPr>
          <w:p w:rsidR="00C76D1F" w:rsidRPr="00C76D1F" w:rsidRDefault="00C76D1F" w:rsidP="00C76D1F">
            <w:pPr>
              <w:jc w:val="both"/>
              <w:rPr>
                <w:sz w:val="20"/>
              </w:rPr>
            </w:pPr>
            <w:r w:rsidRPr="00C76D1F">
              <w:rPr>
                <w:sz w:val="20"/>
              </w:rPr>
              <w:t xml:space="preserve">Civil procedure – Administrative law – Class action – One person, one fare policy – </w:t>
            </w:r>
            <w:proofErr w:type="spellStart"/>
            <w:r w:rsidRPr="00C76D1F">
              <w:rPr>
                <w:sz w:val="20"/>
              </w:rPr>
              <w:t>Declinatory</w:t>
            </w:r>
            <w:proofErr w:type="spellEnd"/>
            <w:r w:rsidRPr="00C76D1F">
              <w:rPr>
                <w:sz w:val="20"/>
              </w:rPr>
              <w:t xml:space="preserve"> exception – Jurisdiction – Canadian Transportation Agency – Class action authorized by the Superior Court of Quebec for compensatory, moral and punitive damages against WestJet for a discriminatory practice against individuals with disability – </w:t>
            </w:r>
            <w:r w:rsidRPr="00C76D1F">
              <w:rPr>
                <w:iCs/>
                <w:sz w:val="20"/>
                <w:lang w:val="en-GB"/>
              </w:rPr>
              <w:t xml:space="preserve">Whether </w:t>
            </w:r>
            <w:r w:rsidRPr="00C76D1F">
              <w:rPr>
                <w:sz w:val="20"/>
              </w:rPr>
              <w:t xml:space="preserve">the lower courts erred in finding that the Canadian Transportation Agency had no exclusive jurisdiction over </w:t>
            </w:r>
            <w:r w:rsidRPr="00C76D1F">
              <w:rPr>
                <w:iCs/>
                <w:sz w:val="20"/>
                <w:lang w:val="en-GB"/>
              </w:rPr>
              <w:t xml:space="preserve">the claim? </w:t>
            </w:r>
            <w:r w:rsidRPr="00C76D1F">
              <w:rPr>
                <w:sz w:val="20"/>
              </w:rPr>
              <w:t>–</w:t>
            </w:r>
            <w:r w:rsidRPr="00C76D1F">
              <w:rPr>
                <w:i/>
                <w:sz w:val="20"/>
              </w:rPr>
              <w:t>Canada Transportation Act</w:t>
            </w:r>
            <w:r w:rsidRPr="00C76D1F">
              <w:rPr>
                <w:sz w:val="20"/>
              </w:rPr>
              <w:t>, SC 1996, c 10, s. 172.</w:t>
            </w:r>
          </w:p>
        </w:tc>
      </w:tr>
      <w:tr w:rsidR="00C76D1F" w:rsidRPr="00C76D1F" w:rsidTr="00E95A6A">
        <w:tc>
          <w:tcPr>
            <w:tcW w:w="5000" w:type="pct"/>
            <w:gridSpan w:val="4"/>
          </w:tcPr>
          <w:p w:rsidR="00C76D1F" w:rsidRPr="00C76D1F" w:rsidRDefault="00C76D1F" w:rsidP="00C76D1F">
            <w:pPr>
              <w:jc w:val="both"/>
              <w:rPr>
                <w:sz w:val="20"/>
              </w:rPr>
            </w:pPr>
          </w:p>
        </w:tc>
      </w:tr>
      <w:tr w:rsidR="00C76D1F" w:rsidRPr="00C76D1F" w:rsidTr="00E95A6A">
        <w:tc>
          <w:tcPr>
            <w:tcW w:w="5000" w:type="pct"/>
            <w:gridSpan w:val="4"/>
          </w:tcPr>
          <w:p w:rsidR="00C76D1F" w:rsidRPr="00C76D1F" w:rsidRDefault="00C76D1F" w:rsidP="00C76D1F">
            <w:pPr>
              <w:jc w:val="both"/>
              <w:rPr>
                <w:sz w:val="20"/>
              </w:rPr>
            </w:pPr>
            <w:r w:rsidRPr="00C76D1F">
              <w:rPr>
                <w:sz w:val="20"/>
              </w:rPr>
              <w:t>Following a decision of the Canada Transportation Agency (“the Agency”) which established the “one person, one fare” policy for persons with disabilities and/or who are obese, the respondents, Nicole Chabot in her quality of tutor to her minor child and in her own personal capacity, were given the status of representative for a class action against the applicant WestJet. They sought reimbursement for additional charges paid because of the discriminatory practice and an order for moral and punitive damages.</w:t>
            </w:r>
          </w:p>
          <w:p w:rsidR="00C76D1F" w:rsidRPr="00C76D1F" w:rsidRDefault="00C76D1F" w:rsidP="00C76D1F">
            <w:pPr>
              <w:jc w:val="both"/>
              <w:rPr>
                <w:sz w:val="20"/>
              </w:rPr>
            </w:pPr>
          </w:p>
          <w:p w:rsidR="00C76D1F" w:rsidRPr="00C76D1F" w:rsidRDefault="00C76D1F" w:rsidP="00C76D1F">
            <w:pPr>
              <w:jc w:val="both"/>
              <w:rPr>
                <w:sz w:val="20"/>
              </w:rPr>
            </w:pPr>
            <w:r w:rsidRPr="00C76D1F">
              <w:rPr>
                <w:sz w:val="20"/>
              </w:rPr>
              <w:t xml:space="preserve">WestJet filed a motion for </w:t>
            </w:r>
            <w:proofErr w:type="spellStart"/>
            <w:r w:rsidRPr="00C76D1F">
              <w:rPr>
                <w:sz w:val="20"/>
              </w:rPr>
              <w:t>declinatory</w:t>
            </w:r>
            <w:proofErr w:type="spellEnd"/>
            <w:r w:rsidRPr="00C76D1F">
              <w:rPr>
                <w:sz w:val="20"/>
              </w:rPr>
              <w:t xml:space="preserve"> exception in which it argued that the Superior Court was deprived of its jurisdiction by the </w:t>
            </w:r>
            <w:r w:rsidRPr="00C76D1F">
              <w:rPr>
                <w:i/>
                <w:sz w:val="20"/>
              </w:rPr>
              <w:t>Canada Transportation Act</w:t>
            </w:r>
            <w:r w:rsidRPr="00C76D1F">
              <w:rPr>
                <w:sz w:val="20"/>
              </w:rPr>
              <w:t xml:space="preserve">, SC 1996, </w:t>
            </w:r>
            <w:proofErr w:type="gramStart"/>
            <w:r w:rsidRPr="00C76D1F">
              <w:rPr>
                <w:sz w:val="20"/>
              </w:rPr>
              <w:t>c</w:t>
            </w:r>
            <w:proofErr w:type="gramEnd"/>
            <w:r w:rsidRPr="00C76D1F">
              <w:rPr>
                <w:sz w:val="20"/>
              </w:rPr>
              <w:t> 10, which assigned it exclusively to the Agency.</w:t>
            </w:r>
          </w:p>
          <w:p w:rsidR="00C76D1F" w:rsidRPr="00C76D1F" w:rsidRDefault="00C76D1F" w:rsidP="00C76D1F">
            <w:pPr>
              <w:jc w:val="both"/>
              <w:rPr>
                <w:sz w:val="20"/>
              </w:rPr>
            </w:pPr>
          </w:p>
        </w:tc>
      </w:tr>
      <w:tr w:rsidR="00C76D1F" w:rsidRPr="00C76D1F" w:rsidTr="00E95A6A">
        <w:tc>
          <w:tcPr>
            <w:tcW w:w="2427" w:type="pct"/>
            <w:gridSpan w:val="2"/>
          </w:tcPr>
          <w:p w:rsidR="00C76D1F" w:rsidRPr="00C76D1F" w:rsidRDefault="00C76D1F" w:rsidP="00C76D1F">
            <w:pPr>
              <w:jc w:val="both"/>
              <w:rPr>
                <w:sz w:val="20"/>
              </w:rPr>
            </w:pPr>
            <w:r w:rsidRPr="00C76D1F">
              <w:rPr>
                <w:sz w:val="20"/>
              </w:rPr>
              <w:t>May 26, 2015</w:t>
            </w:r>
          </w:p>
          <w:p w:rsidR="00C76D1F" w:rsidRPr="00C76D1F" w:rsidRDefault="00C76D1F" w:rsidP="00C76D1F">
            <w:pPr>
              <w:jc w:val="both"/>
              <w:rPr>
                <w:sz w:val="20"/>
              </w:rPr>
            </w:pPr>
            <w:r w:rsidRPr="00C76D1F">
              <w:rPr>
                <w:sz w:val="20"/>
              </w:rPr>
              <w:t>Superior Court of Quebec</w:t>
            </w:r>
          </w:p>
          <w:p w:rsidR="00C76D1F" w:rsidRPr="00C76D1F" w:rsidRDefault="00C76D1F" w:rsidP="00C76D1F">
            <w:pPr>
              <w:jc w:val="both"/>
              <w:rPr>
                <w:sz w:val="20"/>
              </w:rPr>
            </w:pPr>
            <w:r w:rsidRPr="00C76D1F">
              <w:rPr>
                <w:sz w:val="20"/>
              </w:rPr>
              <w:lastRenderedPageBreak/>
              <w:t>(</w:t>
            </w:r>
            <w:proofErr w:type="spellStart"/>
            <w:r w:rsidRPr="00C76D1F">
              <w:rPr>
                <w:sz w:val="20"/>
              </w:rPr>
              <w:t>Castonguay</w:t>
            </w:r>
            <w:proofErr w:type="spellEnd"/>
            <w:r w:rsidRPr="00C76D1F">
              <w:rPr>
                <w:sz w:val="20"/>
              </w:rPr>
              <w:t xml:space="preserve"> J.)</w:t>
            </w:r>
          </w:p>
          <w:p w:rsidR="00C76D1F" w:rsidRPr="00C76D1F" w:rsidRDefault="00C76D1F" w:rsidP="00C76D1F">
            <w:pPr>
              <w:jc w:val="both"/>
              <w:rPr>
                <w:rStyle w:val="Hyperlink"/>
                <w:sz w:val="20"/>
              </w:rPr>
            </w:pPr>
            <w:r w:rsidRPr="00C76D1F">
              <w:rPr>
                <w:sz w:val="20"/>
              </w:rPr>
              <w:fldChar w:fldCharType="begin"/>
            </w:r>
            <w:r w:rsidRPr="00C76D1F">
              <w:rPr>
                <w:sz w:val="20"/>
              </w:rPr>
              <w:instrText xml:space="preserve"> HYPERLINK "http://www.canlii.org/fr/qc/qccs/doc/2015/2015qccs2288/2015qccs2288.html" </w:instrText>
            </w:r>
            <w:r w:rsidRPr="00C76D1F">
              <w:rPr>
                <w:sz w:val="20"/>
              </w:rPr>
              <w:fldChar w:fldCharType="separate"/>
            </w:r>
            <w:r w:rsidRPr="00C76D1F">
              <w:rPr>
                <w:rStyle w:val="Hyperlink"/>
                <w:sz w:val="20"/>
              </w:rPr>
              <w:t>2015 QCCS 2288</w:t>
            </w:r>
          </w:p>
          <w:p w:rsidR="00C76D1F" w:rsidRPr="00C76D1F" w:rsidRDefault="00C76D1F" w:rsidP="00C76D1F">
            <w:pPr>
              <w:jc w:val="both"/>
              <w:rPr>
                <w:sz w:val="20"/>
              </w:rPr>
            </w:pPr>
            <w:r w:rsidRPr="00C76D1F">
              <w:rPr>
                <w:sz w:val="20"/>
              </w:rPr>
              <w:fldChar w:fldCharType="end"/>
            </w:r>
          </w:p>
        </w:tc>
        <w:tc>
          <w:tcPr>
            <w:tcW w:w="243" w:type="pct"/>
          </w:tcPr>
          <w:p w:rsidR="00C76D1F" w:rsidRPr="00C76D1F" w:rsidRDefault="00C76D1F" w:rsidP="00C76D1F">
            <w:pPr>
              <w:jc w:val="both"/>
              <w:rPr>
                <w:sz w:val="20"/>
              </w:rPr>
            </w:pPr>
          </w:p>
        </w:tc>
        <w:tc>
          <w:tcPr>
            <w:tcW w:w="2330" w:type="pct"/>
          </w:tcPr>
          <w:p w:rsidR="00C76D1F" w:rsidRPr="00C76D1F" w:rsidRDefault="00C76D1F" w:rsidP="00C76D1F">
            <w:pPr>
              <w:jc w:val="both"/>
              <w:rPr>
                <w:sz w:val="20"/>
              </w:rPr>
            </w:pPr>
            <w:r w:rsidRPr="00C76D1F">
              <w:rPr>
                <w:sz w:val="20"/>
              </w:rPr>
              <w:t xml:space="preserve">Motion for </w:t>
            </w:r>
            <w:proofErr w:type="spellStart"/>
            <w:r w:rsidRPr="00C76D1F">
              <w:rPr>
                <w:sz w:val="20"/>
              </w:rPr>
              <w:t>declinatory</w:t>
            </w:r>
            <w:proofErr w:type="spellEnd"/>
            <w:r w:rsidRPr="00C76D1F">
              <w:rPr>
                <w:sz w:val="20"/>
              </w:rPr>
              <w:t xml:space="preserve"> exception dismissed</w:t>
            </w:r>
          </w:p>
          <w:p w:rsidR="00C76D1F" w:rsidRPr="00C76D1F" w:rsidRDefault="00C76D1F" w:rsidP="00C76D1F">
            <w:pPr>
              <w:jc w:val="both"/>
              <w:rPr>
                <w:sz w:val="20"/>
              </w:rPr>
            </w:pPr>
          </w:p>
        </w:tc>
      </w:tr>
      <w:tr w:rsidR="00C76D1F" w:rsidRPr="00C76D1F" w:rsidTr="00E95A6A">
        <w:tc>
          <w:tcPr>
            <w:tcW w:w="2427" w:type="pct"/>
            <w:gridSpan w:val="2"/>
          </w:tcPr>
          <w:p w:rsidR="00C76D1F" w:rsidRPr="00C76D1F" w:rsidRDefault="00C76D1F" w:rsidP="00C76D1F">
            <w:pPr>
              <w:jc w:val="both"/>
              <w:rPr>
                <w:sz w:val="20"/>
              </w:rPr>
            </w:pPr>
            <w:r w:rsidRPr="00C76D1F">
              <w:rPr>
                <w:sz w:val="20"/>
              </w:rPr>
              <w:t>April 6, 2016</w:t>
            </w:r>
          </w:p>
          <w:p w:rsidR="00C76D1F" w:rsidRPr="00C76D1F" w:rsidRDefault="00C76D1F" w:rsidP="00C76D1F">
            <w:pPr>
              <w:jc w:val="both"/>
              <w:rPr>
                <w:sz w:val="20"/>
              </w:rPr>
            </w:pPr>
            <w:r w:rsidRPr="00C76D1F">
              <w:rPr>
                <w:sz w:val="20"/>
              </w:rPr>
              <w:t>Court of Appeal of Quebec (Montréal)</w:t>
            </w:r>
          </w:p>
          <w:p w:rsidR="00C76D1F" w:rsidRPr="00C76D1F" w:rsidRDefault="00C76D1F" w:rsidP="00C76D1F">
            <w:pPr>
              <w:jc w:val="both"/>
              <w:rPr>
                <w:sz w:val="20"/>
                <w:lang w:val="fr-FR"/>
              </w:rPr>
            </w:pPr>
            <w:r w:rsidRPr="00C76D1F">
              <w:rPr>
                <w:sz w:val="20"/>
                <w:lang w:val="fr-FR"/>
              </w:rPr>
              <w:t>(</w:t>
            </w:r>
            <w:proofErr w:type="spellStart"/>
            <w:r w:rsidRPr="00C76D1F">
              <w:rPr>
                <w:sz w:val="20"/>
                <w:lang w:val="fr-FR"/>
              </w:rPr>
              <w:t>Vauclair</w:t>
            </w:r>
            <w:proofErr w:type="spellEnd"/>
            <w:r w:rsidRPr="00C76D1F">
              <w:rPr>
                <w:sz w:val="20"/>
                <w:lang w:val="fr-FR"/>
              </w:rPr>
              <w:t xml:space="preserve">, Mainville and </w:t>
            </w:r>
            <w:proofErr w:type="spellStart"/>
            <w:r w:rsidRPr="00C76D1F">
              <w:rPr>
                <w:sz w:val="20"/>
                <w:lang w:val="fr-FR"/>
              </w:rPr>
              <w:t>Hogue</w:t>
            </w:r>
            <w:proofErr w:type="spellEnd"/>
            <w:r w:rsidRPr="00C76D1F">
              <w:rPr>
                <w:sz w:val="20"/>
                <w:lang w:val="fr-FR"/>
              </w:rPr>
              <w:t xml:space="preserve"> JJ.A.)</w:t>
            </w:r>
          </w:p>
          <w:p w:rsidR="00C76D1F" w:rsidRPr="00C76D1F" w:rsidRDefault="000221AE" w:rsidP="00C76D1F">
            <w:pPr>
              <w:jc w:val="both"/>
              <w:rPr>
                <w:sz w:val="20"/>
                <w:lang w:val="fr-CA"/>
              </w:rPr>
            </w:pPr>
            <w:hyperlink r:id="rId26" w:history="1">
              <w:r w:rsidR="00C76D1F" w:rsidRPr="00C76D1F">
                <w:rPr>
                  <w:rStyle w:val="Hyperlink"/>
                  <w:sz w:val="20"/>
                  <w:lang w:val="fr-CA"/>
                </w:rPr>
                <w:t>2016 QCCA 584</w:t>
              </w:r>
            </w:hyperlink>
            <w:r w:rsidR="00C76D1F" w:rsidRPr="00C76D1F">
              <w:rPr>
                <w:sz w:val="20"/>
                <w:lang w:val="fr-CA"/>
              </w:rPr>
              <w:t xml:space="preserve"> </w:t>
            </w:r>
          </w:p>
          <w:p w:rsidR="00C76D1F" w:rsidRPr="00C76D1F" w:rsidRDefault="00C76D1F" w:rsidP="00C76D1F">
            <w:pPr>
              <w:jc w:val="both"/>
              <w:rPr>
                <w:sz w:val="20"/>
                <w:lang w:val="fr-FR"/>
              </w:rPr>
            </w:pPr>
          </w:p>
        </w:tc>
        <w:tc>
          <w:tcPr>
            <w:tcW w:w="243" w:type="pct"/>
          </w:tcPr>
          <w:p w:rsidR="00C76D1F" w:rsidRPr="00C76D1F" w:rsidRDefault="00C76D1F" w:rsidP="00C76D1F">
            <w:pPr>
              <w:jc w:val="both"/>
              <w:rPr>
                <w:sz w:val="20"/>
                <w:lang w:val="fr-FR"/>
              </w:rPr>
            </w:pPr>
          </w:p>
        </w:tc>
        <w:tc>
          <w:tcPr>
            <w:tcW w:w="2330" w:type="pct"/>
          </w:tcPr>
          <w:p w:rsidR="00C76D1F" w:rsidRPr="00C76D1F" w:rsidRDefault="00C76D1F" w:rsidP="00C76D1F">
            <w:pPr>
              <w:jc w:val="both"/>
              <w:rPr>
                <w:sz w:val="20"/>
              </w:rPr>
            </w:pPr>
            <w:r w:rsidRPr="00C76D1F">
              <w:rPr>
                <w:sz w:val="20"/>
              </w:rPr>
              <w:t xml:space="preserve">Appeal dismissed </w:t>
            </w:r>
          </w:p>
          <w:p w:rsidR="00C76D1F" w:rsidRPr="00C76D1F" w:rsidRDefault="00C76D1F" w:rsidP="00C76D1F">
            <w:pPr>
              <w:jc w:val="both"/>
              <w:rPr>
                <w:sz w:val="20"/>
              </w:rPr>
            </w:pPr>
          </w:p>
        </w:tc>
      </w:tr>
      <w:tr w:rsidR="00C76D1F" w:rsidRPr="00C76D1F" w:rsidTr="00E95A6A">
        <w:tc>
          <w:tcPr>
            <w:tcW w:w="2427" w:type="pct"/>
            <w:gridSpan w:val="2"/>
          </w:tcPr>
          <w:p w:rsidR="00C76D1F" w:rsidRPr="00C76D1F" w:rsidRDefault="00C76D1F" w:rsidP="00C76D1F">
            <w:pPr>
              <w:jc w:val="both"/>
              <w:rPr>
                <w:sz w:val="20"/>
              </w:rPr>
            </w:pPr>
            <w:r w:rsidRPr="00C76D1F">
              <w:rPr>
                <w:sz w:val="20"/>
              </w:rPr>
              <w:t>May 30, 2016</w:t>
            </w:r>
          </w:p>
          <w:p w:rsidR="00C76D1F" w:rsidRPr="00C76D1F" w:rsidRDefault="00C76D1F" w:rsidP="00C76D1F">
            <w:pPr>
              <w:jc w:val="both"/>
              <w:rPr>
                <w:sz w:val="20"/>
              </w:rPr>
            </w:pPr>
            <w:r w:rsidRPr="00C76D1F">
              <w:rPr>
                <w:sz w:val="20"/>
              </w:rPr>
              <w:t>Supreme Court of Canada</w:t>
            </w:r>
          </w:p>
        </w:tc>
        <w:tc>
          <w:tcPr>
            <w:tcW w:w="243" w:type="pct"/>
          </w:tcPr>
          <w:p w:rsidR="00C76D1F" w:rsidRPr="00C76D1F" w:rsidRDefault="00C76D1F" w:rsidP="00C76D1F">
            <w:pPr>
              <w:jc w:val="both"/>
              <w:rPr>
                <w:sz w:val="20"/>
              </w:rPr>
            </w:pPr>
          </w:p>
        </w:tc>
        <w:tc>
          <w:tcPr>
            <w:tcW w:w="2330" w:type="pct"/>
          </w:tcPr>
          <w:p w:rsidR="00C76D1F" w:rsidRPr="00C76D1F" w:rsidRDefault="00C76D1F" w:rsidP="00C76D1F">
            <w:pPr>
              <w:jc w:val="both"/>
              <w:rPr>
                <w:sz w:val="20"/>
              </w:rPr>
            </w:pPr>
            <w:r w:rsidRPr="00C76D1F">
              <w:rPr>
                <w:sz w:val="20"/>
              </w:rPr>
              <w:t>Application for leave to appeal filed</w:t>
            </w:r>
          </w:p>
          <w:p w:rsidR="00C76D1F" w:rsidRPr="00C76D1F" w:rsidRDefault="00C76D1F" w:rsidP="00C76D1F">
            <w:pPr>
              <w:jc w:val="both"/>
              <w:rPr>
                <w:sz w:val="20"/>
              </w:rPr>
            </w:pPr>
          </w:p>
        </w:tc>
      </w:tr>
    </w:tbl>
    <w:p w:rsidR="00C76D1F" w:rsidRDefault="00C76D1F" w:rsidP="00C76D1F">
      <w:pPr>
        <w:jc w:val="both"/>
        <w:rPr>
          <w:sz w:val="20"/>
        </w:rPr>
      </w:pPr>
    </w:p>
    <w:p w:rsidR="00C76D1F" w:rsidRPr="00C76D1F" w:rsidRDefault="00C76D1F" w:rsidP="00C76D1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6D1F" w:rsidRPr="00C76D1F" w:rsidTr="00E95A6A">
        <w:tc>
          <w:tcPr>
            <w:tcW w:w="543" w:type="pct"/>
          </w:tcPr>
          <w:p w:rsidR="00C76D1F" w:rsidRPr="00C76D1F" w:rsidRDefault="00C76D1F" w:rsidP="00C76D1F">
            <w:pPr>
              <w:jc w:val="both"/>
              <w:rPr>
                <w:sz w:val="20"/>
                <w:lang w:val="fr-CA"/>
              </w:rPr>
            </w:pPr>
            <w:r w:rsidRPr="00C76D1F">
              <w:rPr>
                <w:rStyle w:val="SCCFileNumberChar"/>
                <w:sz w:val="20"/>
                <w:szCs w:val="20"/>
                <w:lang w:val="fr-CA"/>
              </w:rPr>
              <w:t>37027</w:t>
            </w:r>
          </w:p>
        </w:tc>
        <w:tc>
          <w:tcPr>
            <w:tcW w:w="4457" w:type="pct"/>
            <w:gridSpan w:val="3"/>
          </w:tcPr>
          <w:p w:rsidR="00C76D1F" w:rsidRPr="00C76D1F" w:rsidRDefault="00C76D1F" w:rsidP="00C76D1F">
            <w:pPr>
              <w:pStyle w:val="SCCLsocParty"/>
              <w:jc w:val="both"/>
              <w:rPr>
                <w:b/>
                <w:sz w:val="20"/>
                <w:szCs w:val="20"/>
              </w:rPr>
            </w:pPr>
            <w:r w:rsidRPr="00C76D1F">
              <w:rPr>
                <w:b/>
                <w:sz w:val="20"/>
                <w:szCs w:val="20"/>
              </w:rPr>
              <w:t>WestJet c. Nicole Chabot, en sa qualité de tutrice à son enfant mineur N.C., Nicole Chabot</w:t>
            </w:r>
          </w:p>
          <w:p w:rsidR="00C76D1F" w:rsidRPr="00C76D1F" w:rsidRDefault="00C76D1F" w:rsidP="00C76D1F">
            <w:pPr>
              <w:jc w:val="both"/>
              <w:rPr>
                <w:sz w:val="20"/>
                <w:lang w:val="fr-CA"/>
              </w:rPr>
            </w:pPr>
            <w:r w:rsidRPr="00C76D1F">
              <w:rPr>
                <w:sz w:val="20"/>
                <w:lang w:val="fr-CA"/>
              </w:rPr>
              <w:t>(Qué.) (Civile) (Sur autorisation)</w:t>
            </w:r>
          </w:p>
        </w:tc>
      </w:tr>
      <w:tr w:rsidR="00C76D1F" w:rsidRPr="00C76D1F" w:rsidTr="00E95A6A">
        <w:tc>
          <w:tcPr>
            <w:tcW w:w="5000" w:type="pct"/>
            <w:gridSpan w:val="4"/>
          </w:tcPr>
          <w:p w:rsidR="00C76D1F" w:rsidRPr="00C76D1F" w:rsidRDefault="00C76D1F" w:rsidP="00C76D1F">
            <w:pPr>
              <w:jc w:val="both"/>
              <w:rPr>
                <w:sz w:val="20"/>
                <w:lang w:val="fr-CA"/>
              </w:rPr>
            </w:pPr>
            <w:r w:rsidRPr="00C76D1F">
              <w:rPr>
                <w:sz w:val="20"/>
                <w:lang w:val="fr-CA"/>
              </w:rPr>
              <w:t xml:space="preserve">Procédure civile – Droit administratif – Recours collectifs – Politique une personne un tarif – Exception déclinatoire – Compétence – Office des transports du Canada – Action collective autorisée par la Cour supérieure du Québec en dommages-intérêts compensatoires, moraux et punitifs contre WestJet pour une pratique discriminatoire à l’endroit de personnes ayant une déficience – </w:t>
            </w:r>
            <w:r w:rsidRPr="00C76D1F">
              <w:rPr>
                <w:iCs/>
                <w:sz w:val="20"/>
                <w:lang w:val="fr-CA"/>
              </w:rPr>
              <w:t xml:space="preserve">Les juridictions inférieures ont-elles eu tort de conclure que l’Office des transports du Canada n’avait pas compétence exclusive à l’égard de la demande? </w:t>
            </w:r>
            <w:r w:rsidRPr="00C76D1F">
              <w:rPr>
                <w:sz w:val="20"/>
                <w:lang w:val="fr-CA"/>
              </w:rPr>
              <w:t xml:space="preserve">– </w:t>
            </w:r>
            <w:r w:rsidRPr="00C76D1F">
              <w:rPr>
                <w:i/>
                <w:sz w:val="20"/>
                <w:lang w:val="fr-CA"/>
              </w:rPr>
              <w:t>Loi sur les transports au Canada</w:t>
            </w:r>
            <w:r w:rsidRPr="00C76D1F">
              <w:rPr>
                <w:sz w:val="20"/>
                <w:lang w:val="fr-CA"/>
              </w:rPr>
              <w:t>, LC 1996, ch. 10, art. 172.</w:t>
            </w:r>
          </w:p>
        </w:tc>
      </w:tr>
      <w:tr w:rsidR="00C76D1F" w:rsidRPr="00C76D1F" w:rsidTr="00E95A6A">
        <w:tc>
          <w:tcPr>
            <w:tcW w:w="5000" w:type="pct"/>
            <w:gridSpan w:val="4"/>
          </w:tcPr>
          <w:p w:rsidR="00C76D1F" w:rsidRPr="00C76D1F" w:rsidRDefault="00C76D1F" w:rsidP="00C76D1F">
            <w:pPr>
              <w:jc w:val="both"/>
              <w:rPr>
                <w:sz w:val="20"/>
                <w:lang w:val="fr-CA"/>
              </w:rPr>
            </w:pPr>
          </w:p>
        </w:tc>
      </w:tr>
      <w:tr w:rsidR="00C76D1F" w:rsidRPr="00C76D1F" w:rsidTr="00E95A6A">
        <w:tc>
          <w:tcPr>
            <w:tcW w:w="5000" w:type="pct"/>
            <w:gridSpan w:val="4"/>
          </w:tcPr>
          <w:p w:rsidR="00C76D1F" w:rsidRPr="00C76D1F" w:rsidRDefault="00C76D1F" w:rsidP="00C76D1F">
            <w:pPr>
              <w:jc w:val="both"/>
              <w:rPr>
                <w:sz w:val="20"/>
                <w:lang w:val="fr-CA"/>
              </w:rPr>
            </w:pPr>
            <w:r w:rsidRPr="00C76D1F">
              <w:rPr>
                <w:sz w:val="20"/>
                <w:lang w:val="fr-CA"/>
              </w:rPr>
              <w:t>À la suite d’une décision de l’Office des transports du Canada (« l’Office ») qui a établi la politique « une personne, un tarif » pour les personnes ayant une déficience ou qui sont obèses, les intimées, Nicole Chabot en sa qualité de tutrice à son enfant mineur et en sa qualité personnelle, se sont vu accorder le statut de représentantes dans une action collective contre la demanderesse WestJet. Les intimées ont demandé le remboursement des frais excédentaires payés en raison de la pratique discriminatoire ainsi que des dommages moraux et punitifs.</w:t>
            </w:r>
          </w:p>
          <w:p w:rsidR="00C76D1F" w:rsidRPr="00C76D1F" w:rsidRDefault="00C76D1F" w:rsidP="00C76D1F">
            <w:pPr>
              <w:jc w:val="both"/>
              <w:rPr>
                <w:sz w:val="20"/>
                <w:lang w:val="fr-CA"/>
              </w:rPr>
            </w:pPr>
          </w:p>
          <w:p w:rsidR="00C76D1F" w:rsidRPr="00C76D1F" w:rsidRDefault="00C76D1F" w:rsidP="00C76D1F">
            <w:pPr>
              <w:jc w:val="both"/>
              <w:rPr>
                <w:sz w:val="20"/>
                <w:lang w:val="fr-CA"/>
              </w:rPr>
            </w:pPr>
            <w:r w:rsidRPr="00C76D1F">
              <w:rPr>
                <w:sz w:val="20"/>
                <w:lang w:val="fr-CA"/>
              </w:rPr>
              <w:t xml:space="preserve">WestJet a déposé une requête en exception déclinatoire au soutien de laquelle elle a plaidé que la </w:t>
            </w:r>
            <w:r w:rsidRPr="00C76D1F">
              <w:rPr>
                <w:i/>
                <w:sz w:val="20"/>
                <w:lang w:val="fr-CA"/>
              </w:rPr>
              <w:t>Loi sur les transports au Canada</w:t>
            </w:r>
            <w:r w:rsidRPr="00C76D1F">
              <w:rPr>
                <w:sz w:val="20"/>
                <w:lang w:val="fr-CA"/>
              </w:rPr>
              <w:t>, LC 1996, ch. 10 avait privé la Cour supérieure de sa compétence et avait conféré cette compétence exclusivement à l’Office.</w:t>
            </w:r>
          </w:p>
          <w:p w:rsidR="00C76D1F" w:rsidRPr="00C76D1F" w:rsidRDefault="00C76D1F" w:rsidP="00C76D1F">
            <w:pPr>
              <w:jc w:val="both"/>
              <w:rPr>
                <w:sz w:val="20"/>
                <w:lang w:val="fr-CA"/>
              </w:rPr>
            </w:pPr>
          </w:p>
        </w:tc>
      </w:tr>
      <w:tr w:rsidR="00C76D1F" w:rsidRPr="00C76D1F" w:rsidTr="00E95A6A">
        <w:tc>
          <w:tcPr>
            <w:tcW w:w="2427" w:type="pct"/>
            <w:gridSpan w:val="2"/>
          </w:tcPr>
          <w:p w:rsidR="00C76D1F" w:rsidRPr="00C76D1F" w:rsidRDefault="00C76D1F" w:rsidP="00C76D1F">
            <w:pPr>
              <w:jc w:val="both"/>
              <w:rPr>
                <w:sz w:val="20"/>
                <w:lang w:val="fr-CA"/>
              </w:rPr>
            </w:pPr>
            <w:r w:rsidRPr="00C76D1F">
              <w:rPr>
                <w:sz w:val="20"/>
                <w:lang w:val="fr-CA"/>
              </w:rPr>
              <w:t>26 mai 2015</w:t>
            </w:r>
          </w:p>
          <w:p w:rsidR="00C76D1F" w:rsidRPr="00C76D1F" w:rsidRDefault="00C76D1F" w:rsidP="00C76D1F">
            <w:pPr>
              <w:jc w:val="both"/>
              <w:rPr>
                <w:sz w:val="20"/>
                <w:lang w:val="fr-CA"/>
              </w:rPr>
            </w:pPr>
            <w:r w:rsidRPr="00C76D1F">
              <w:rPr>
                <w:sz w:val="20"/>
                <w:lang w:val="fr-CA"/>
              </w:rPr>
              <w:t>Cour supérieure du Québec</w:t>
            </w:r>
          </w:p>
          <w:p w:rsidR="00C76D1F" w:rsidRPr="00C76D1F" w:rsidRDefault="00C76D1F" w:rsidP="00C76D1F">
            <w:pPr>
              <w:jc w:val="both"/>
              <w:rPr>
                <w:sz w:val="20"/>
                <w:lang w:val="fr-CA"/>
              </w:rPr>
            </w:pPr>
            <w:r w:rsidRPr="00C76D1F">
              <w:rPr>
                <w:sz w:val="20"/>
                <w:lang w:val="fr-CA"/>
              </w:rPr>
              <w:t>(Juge Castonguay)</w:t>
            </w:r>
          </w:p>
          <w:p w:rsidR="00C76D1F" w:rsidRPr="00C76D1F" w:rsidRDefault="00C76D1F" w:rsidP="00C76D1F">
            <w:pPr>
              <w:jc w:val="both"/>
              <w:rPr>
                <w:rStyle w:val="Hyperlink"/>
                <w:sz w:val="20"/>
                <w:lang w:val="fr-CA"/>
              </w:rPr>
            </w:pPr>
            <w:r w:rsidRPr="00C76D1F">
              <w:rPr>
                <w:sz w:val="20"/>
                <w:lang w:val="fr-CA"/>
              </w:rPr>
              <w:fldChar w:fldCharType="begin"/>
            </w:r>
            <w:r w:rsidRPr="00C76D1F">
              <w:rPr>
                <w:sz w:val="20"/>
                <w:lang w:val="fr-CA"/>
              </w:rPr>
              <w:instrText xml:space="preserve"> HYPERLINK "http://www.canlii.org/fr/qc/qccs/doc/2015/2015qccs2288/2015qccs2288.html" </w:instrText>
            </w:r>
            <w:r w:rsidRPr="00C76D1F">
              <w:rPr>
                <w:sz w:val="20"/>
                <w:lang w:val="fr-CA"/>
              </w:rPr>
              <w:fldChar w:fldCharType="separate"/>
            </w:r>
            <w:r w:rsidRPr="00C76D1F">
              <w:rPr>
                <w:rStyle w:val="Hyperlink"/>
                <w:sz w:val="20"/>
                <w:lang w:val="fr-CA"/>
              </w:rPr>
              <w:t>2015 QCCS 2288</w:t>
            </w:r>
          </w:p>
          <w:p w:rsidR="00C76D1F" w:rsidRPr="00C76D1F" w:rsidRDefault="00C76D1F" w:rsidP="00C76D1F">
            <w:pPr>
              <w:jc w:val="both"/>
              <w:rPr>
                <w:sz w:val="20"/>
                <w:lang w:val="fr-CA"/>
              </w:rPr>
            </w:pPr>
            <w:r w:rsidRPr="00C76D1F">
              <w:rPr>
                <w:sz w:val="20"/>
                <w:lang w:val="fr-CA"/>
              </w:rPr>
              <w:fldChar w:fldCharType="end"/>
            </w:r>
          </w:p>
        </w:tc>
        <w:tc>
          <w:tcPr>
            <w:tcW w:w="243" w:type="pct"/>
          </w:tcPr>
          <w:p w:rsidR="00C76D1F" w:rsidRPr="00C76D1F" w:rsidRDefault="00C76D1F" w:rsidP="00C76D1F">
            <w:pPr>
              <w:jc w:val="both"/>
              <w:rPr>
                <w:sz w:val="20"/>
                <w:lang w:val="fr-CA"/>
              </w:rPr>
            </w:pPr>
          </w:p>
        </w:tc>
        <w:tc>
          <w:tcPr>
            <w:tcW w:w="2330" w:type="pct"/>
          </w:tcPr>
          <w:p w:rsidR="00C76D1F" w:rsidRPr="00C76D1F" w:rsidRDefault="00C76D1F" w:rsidP="00C76D1F">
            <w:pPr>
              <w:jc w:val="both"/>
              <w:rPr>
                <w:sz w:val="20"/>
                <w:lang w:val="fr-CA"/>
              </w:rPr>
            </w:pPr>
            <w:r w:rsidRPr="00C76D1F">
              <w:rPr>
                <w:sz w:val="20"/>
                <w:lang w:val="fr-CA"/>
              </w:rPr>
              <w:t>Rejet de la requête en exception déclinatoire</w:t>
            </w:r>
          </w:p>
          <w:p w:rsidR="00C76D1F" w:rsidRPr="00C76D1F" w:rsidRDefault="00C76D1F" w:rsidP="00C76D1F">
            <w:pPr>
              <w:jc w:val="both"/>
              <w:rPr>
                <w:sz w:val="20"/>
                <w:lang w:val="fr-CA"/>
              </w:rPr>
            </w:pPr>
          </w:p>
        </w:tc>
      </w:tr>
      <w:tr w:rsidR="00C76D1F" w:rsidRPr="00C76D1F" w:rsidTr="00E95A6A">
        <w:tc>
          <w:tcPr>
            <w:tcW w:w="2427" w:type="pct"/>
            <w:gridSpan w:val="2"/>
          </w:tcPr>
          <w:p w:rsidR="00C76D1F" w:rsidRPr="00C76D1F" w:rsidRDefault="00C76D1F" w:rsidP="00C76D1F">
            <w:pPr>
              <w:jc w:val="both"/>
              <w:rPr>
                <w:sz w:val="20"/>
                <w:lang w:val="fr-CA"/>
              </w:rPr>
            </w:pPr>
            <w:r w:rsidRPr="00C76D1F">
              <w:rPr>
                <w:sz w:val="20"/>
                <w:lang w:val="fr-CA"/>
              </w:rPr>
              <w:t>6 avril 2016</w:t>
            </w:r>
          </w:p>
          <w:p w:rsidR="00C76D1F" w:rsidRPr="00C76D1F" w:rsidRDefault="00C76D1F" w:rsidP="00C76D1F">
            <w:pPr>
              <w:jc w:val="both"/>
              <w:rPr>
                <w:sz w:val="20"/>
                <w:lang w:val="fr-CA"/>
              </w:rPr>
            </w:pPr>
            <w:r w:rsidRPr="00C76D1F">
              <w:rPr>
                <w:sz w:val="20"/>
                <w:lang w:val="fr-CA"/>
              </w:rPr>
              <w:t>Cour d’appel du Québec (Montréal)</w:t>
            </w:r>
          </w:p>
          <w:p w:rsidR="00C76D1F" w:rsidRPr="00C76D1F" w:rsidRDefault="00C76D1F" w:rsidP="00C76D1F">
            <w:pPr>
              <w:jc w:val="both"/>
              <w:rPr>
                <w:sz w:val="20"/>
                <w:lang w:val="fr-CA"/>
              </w:rPr>
            </w:pPr>
            <w:r w:rsidRPr="00C76D1F">
              <w:rPr>
                <w:sz w:val="20"/>
                <w:lang w:val="fr-CA"/>
              </w:rPr>
              <w:t>(Juges Vauclair, Mainville et Hogue)</w:t>
            </w:r>
          </w:p>
          <w:p w:rsidR="00C76D1F" w:rsidRPr="00C76D1F" w:rsidRDefault="000221AE" w:rsidP="00C76D1F">
            <w:pPr>
              <w:jc w:val="both"/>
              <w:rPr>
                <w:sz w:val="20"/>
                <w:lang w:val="fr-CA"/>
              </w:rPr>
            </w:pPr>
            <w:hyperlink r:id="rId27" w:history="1">
              <w:r w:rsidR="00C76D1F" w:rsidRPr="00C76D1F">
                <w:rPr>
                  <w:rStyle w:val="Hyperlink"/>
                  <w:sz w:val="20"/>
                  <w:lang w:val="fr-CA"/>
                </w:rPr>
                <w:t>2016 QCCA 584</w:t>
              </w:r>
            </w:hyperlink>
            <w:r w:rsidR="00C76D1F" w:rsidRPr="00C76D1F">
              <w:rPr>
                <w:sz w:val="20"/>
                <w:lang w:val="fr-CA"/>
              </w:rPr>
              <w:t xml:space="preserve"> </w:t>
            </w:r>
          </w:p>
          <w:p w:rsidR="00C76D1F" w:rsidRPr="00C76D1F" w:rsidRDefault="00C76D1F" w:rsidP="00C76D1F">
            <w:pPr>
              <w:jc w:val="both"/>
              <w:rPr>
                <w:sz w:val="20"/>
                <w:lang w:val="fr-CA"/>
              </w:rPr>
            </w:pPr>
          </w:p>
        </w:tc>
        <w:tc>
          <w:tcPr>
            <w:tcW w:w="243" w:type="pct"/>
          </w:tcPr>
          <w:p w:rsidR="00C76D1F" w:rsidRPr="00C76D1F" w:rsidRDefault="00C76D1F" w:rsidP="00C76D1F">
            <w:pPr>
              <w:jc w:val="both"/>
              <w:rPr>
                <w:sz w:val="20"/>
                <w:lang w:val="fr-CA"/>
              </w:rPr>
            </w:pPr>
          </w:p>
        </w:tc>
        <w:tc>
          <w:tcPr>
            <w:tcW w:w="2330" w:type="pct"/>
          </w:tcPr>
          <w:p w:rsidR="00C76D1F" w:rsidRPr="00C76D1F" w:rsidRDefault="00C76D1F" w:rsidP="00C76D1F">
            <w:pPr>
              <w:jc w:val="both"/>
              <w:rPr>
                <w:sz w:val="20"/>
                <w:lang w:val="fr-CA"/>
              </w:rPr>
            </w:pPr>
            <w:r w:rsidRPr="00C76D1F">
              <w:rPr>
                <w:sz w:val="20"/>
                <w:lang w:val="fr-CA"/>
              </w:rPr>
              <w:t>Rejet de l’appel</w:t>
            </w:r>
          </w:p>
          <w:p w:rsidR="00C76D1F" w:rsidRPr="00C76D1F" w:rsidRDefault="00C76D1F" w:rsidP="00C76D1F">
            <w:pPr>
              <w:jc w:val="both"/>
              <w:rPr>
                <w:sz w:val="20"/>
                <w:lang w:val="fr-CA"/>
              </w:rPr>
            </w:pPr>
          </w:p>
        </w:tc>
      </w:tr>
      <w:tr w:rsidR="00C76D1F" w:rsidRPr="00C76D1F" w:rsidTr="00E95A6A">
        <w:tc>
          <w:tcPr>
            <w:tcW w:w="2427" w:type="pct"/>
            <w:gridSpan w:val="2"/>
          </w:tcPr>
          <w:p w:rsidR="00C76D1F" w:rsidRPr="00C76D1F" w:rsidRDefault="00C76D1F" w:rsidP="00C76D1F">
            <w:pPr>
              <w:jc w:val="both"/>
              <w:rPr>
                <w:sz w:val="20"/>
                <w:lang w:val="fr-CA"/>
              </w:rPr>
            </w:pPr>
            <w:r w:rsidRPr="00C76D1F">
              <w:rPr>
                <w:sz w:val="20"/>
                <w:lang w:val="fr-CA"/>
              </w:rPr>
              <w:t>30 mai 2016</w:t>
            </w:r>
          </w:p>
          <w:p w:rsidR="00C76D1F" w:rsidRPr="00C76D1F" w:rsidRDefault="00C76D1F" w:rsidP="00C76D1F">
            <w:pPr>
              <w:jc w:val="both"/>
              <w:rPr>
                <w:sz w:val="20"/>
                <w:lang w:val="fr-CA"/>
              </w:rPr>
            </w:pPr>
            <w:r w:rsidRPr="00C76D1F">
              <w:rPr>
                <w:sz w:val="20"/>
                <w:lang w:val="fr-CA"/>
              </w:rPr>
              <w:t>Cour suprême du Canada</w:t>
            </w:r>
          </w:p>
        </w:tc>
        <w:tc>
          <w:tcPr>
            <w:tcW w:w="243" w:type="pct"/>
          </w:tcPr>
          <w:p w:rsidR="00C76D1F" w:rsidRPr="00C76D1F" w:rsidRDefault="00C76D1F" w:rsidP="00C76D1F">
            <w:pPr>
              <w:jc w:val="both"/>
              <w:rPr>
                <w:sz w:val="20"/>
                <w:lang w:val="fr-CA"/>
              </w:rPr>
            </w:pPr>
          </w:p>
        </w:tc>
        <w:tc>
          <w:tcPr>
            <w:tcW w:w="2330" w:type="pct"/>
          </w:tcPr>
          <w:p w:rsidR="00C76D1F" w:rsidRPr="00C76D1F" w:rsidRDefault="00C76D1F" w:rsidP="00C76D1F">
            <w:pPr>
              <w:jc w:val="both"/>
              <w:rPr>
                <w:sz w:val="20"/>
                <w:lang w:val="fr-CA"/>
              </w:rPr>
            </w:pPr>
            <w:r w:rsidRPr="00C76D1F">
              <w:rPr>
                <w:sz w:val="20"/>
                <w:lang w:val="fr-CA"/>
              </w:rPr>
              <w:t>Dépôt de la demande d’autorisation d’appel</w:t>
            </w:r>
          </w:p>
          <w:p w:rsidR="00C76D1F" w:rsidRPr="00C76D1F" w:rsidRDefault="00C76D1F" w:rsidP="00C76D1F">
            <w:pPr>
              <w:jc w:val="both"/>
              <w:rPr>
                <w:sz w:val="20"/>
                <w:lang w:val="fr-CA"/>
              </w:rPr>
            </w:pPr>
          </w:p>
        </w:tc>
      </w:tr>
    </w:tbl>
    <w:p w:rsidR="00C76D1F" w:rsidRPr="00C76D1F" w:rsidRDefault="00C76D1F" w:rsidP="00C76D1F">
      <w:pPr>
        <w:jc w:val="both"/>
        <w:rPr>
          <w:sz w:val="20"/>
          <w:lang w:val="fr-CA"/>
        </w:rPr>
      </w:pPr>
    </w:p>
    <w:p w:rsidR="0070231A" w:rsidRPr="00C76D1F" w:rsidRDefault="0070231A" w:rsidP="00C76D1F">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04"/>
        <w:gridCol w:w="271"/>
        <w:gridCol w:w="4589"/>
      </w:tblGrid>
      <w:tr w:rsidR="00C76D1F" w:rsidRPr="00C76D1F" w:rsidTr="00D07A7A">
        <w:tc>
          <w:tcPr>
            <w:tcW w:w="543" w:type="pct"/>
          </w:tcPr>
          <w:p w:rsidR="00C76D1F" w:rsidRPr="00C76D1F" w:rsidRDefault="00C76D1F" w:rsidP="00C76D1F">
            <w:pPr>
              <w:jc w:val="both"/>
              <w:rPr>
                <w:sz w:val="20"/>
              </w:rPr>
            </w:pPr>
            <w:r w:rsidRPr="00C76D1F">
              <w:rPr>
                <w:rStyle w:val="SCCFileNumberChar"/>
                <w:sz w:val="20"/>
                <w:szCs w:val="20"/>
              </w:rPr>
              <w:t>37037</w:t>
            </w:r>
          </w:p>
        </w:tc>
        <w:tc>
          <w:tcPr>
            <w:tcW w:w="4457" w:type="pct"/>
            <w:gridSpan w:val="3"/>
          </w:tcPr>
          <w:p w:rsidR="00C76D1F" w:rsidRPr="00C76D1F" w:rsidRDefault="00C76D1F" w:rsidP="00C76D1F">
            <w:pPr>
              <w:jc w:val="both"/>
              <w:rPr>
                <w:b/>
                <w:sz w:val="20"/>
              </w:rPr>
            </w:pPr>
            <w:r w:rsidRPr="00C76D1F">
              <w:rPr>
                <w:b/>
                <w:sz w:val="20"/>
              </w:rPr>
              <w:t xml:space="preserve">Attorney General of Canada v. Larry Philip Fontaine in his personal capacity and in his capacity as the Executor of the estate of Agnes Mary Fontaine, deceased, </w:t>
            </w:r>
            <w:proofErr w:type="spellStart"/>
            <w:r w:rsidRPr="00C76D1F">
              <w:rPr>
                <w:b/>
                <w:sz w:val="20"/>
              </w:rPr>
              <w:t>Michelline</w:t>
            </w:r>
            <w:proofErr w:type="spellEnd"/>
            <w:r w:rsidRPr="00C76D1F">
              <w:rPr>
                <w:b/>
                <w:sz w:val="20"/>
              </w:rPr>
              <w:t xml:space="preserve"> </w:t>
            </w:r>
            <w:proofErr w:type="spellStart"/>
            <w:r w:rsidRPr="00C76D1F">
              <w:rPr>
                <w:b/>
                <w:sz w:val="20"/>
              </w:rPr>
              <w:t>Ammaq</w:t>
            </w:r>
            <w:proofErr w:type="spellEnd"/>
            <w:r w:rsidRPr="00C76D1F">
              <w:rPr>
                <w:b/>
                <w:sz w:val="20"/>
              </w:rPr>
              <w:t xml:space="preserve">, Percy Archie, Charles Baxter Sr., Elijah Baxter, Evelyn Baxter, Donald </w:t>
            </w:r>
            <w:proofErr w:type="spellStart"/>
            <w:r w:rsidRPr="00C76D1F">
              <w:rPr>
                <w:b/>
                <w:sz w:val="20"/>
              </w:rPr>
              <w:t>Belcourt</w:t>
            </w:r>
            <w:proofErr w:type="spellEnd"/>
            <w:r w:rsidRPr="00C76D1F">
              <w:rPr>
                <w:b/>
                <w:sz w:val="20"/>
              </w:rPr>
              <w:t xml:space="preserve">, Nora Bernard, John </w:t>
            </w:r>
            <w:proofErr w:type="spellStart"/>
            <w:r w:rsidRPr="00C76D1F">
              <w:rPr>
                <w:b/>
                <w:sz w:val="20"/>
              </w:rPr>
              <w:t>Bosum</w:t>
            </w:r>
            <w:proofErr w:type="spellEnd"/>
            <w:r w:rsidRPr="00C76D1F">
              <w:rPr>
                <w:b/>
                <w:sz w:val="20"/>
              </w:rPr>
              <w:t xml:space="preserve">, Janet Brewster, Rhonda Buffalo, Ernestine </w:t>
            </w:r>
            <w:proofErr w:type="spellStart"/>
            <w:r w:rsidRPr="00C76D1F">
              <w:rPr>
                <w:b/>
                <w:sz w:val="20"/>
              </w:rPr>
              <w:t>Caibaiosai-Gidmark</w:t>
            </w:r>
            <w:proofErr w:type="spellEnd"/>
            <w:r w:rsidRPr="00C76D1F">
              <w:rPr>
                <w:b/>
                <w:sz w:val="20"/>
              </w:rPr>
              <w:t xml:space="preserve">, Michael </w:t>
            </w:r>
            <w:proofErr w:type="spellStart"/>
            <w:r w:rsidRPr="00C76D1F">
              <w:rPr>
                <w:b/>
                <w:sz w:val="20"/>
              </w:rPr>
              <w:t>Carpan</w:t>
            </w:r>
            <w:proofErr w:type="spellEnd"/>
            <w:r w:rsidRPr="00C76D1F">
              <w:rPr>
                <w:b/>
                <w:sz w:val="20"/>
              </w:rPr>
              <w:t xml:space="preserve">, Brenda Cyr, Deanna Cyr, Malcolm Dawson, Ann Dene, Benny Doctor, Lucy Doctor, James Fontaine in his personal capacity and in his capacity as the Executor of the Estate of Agnes Mary Fontaine, </w:t>
            </w:r>
            <w:r w:rsidRPr="00C76D1F">
              <w:rPr>
                <w:b/>
                <w:sz w:val="20"/>
              </w:rPr>
              <w:lastRenderedPageBreak/>
              <w:t xml:space="preserve">deceased, Vincent Bradley Fontaine, Dana Eva Marie </w:t>
            </w:r>
            <w:proofErr w:type="spellStart"/>
            <w:r w:rsidRPr="00C76D1F">
              <w:rPr>
                <w:b/>
                <w:sz w:val="20"/>
              </w:rPr>
              <w:t>Francey</w:t>
            </w:r>
            <w:proofErr w:type="spellEnd"/>
            <w:r w:rsidRPr="00C76D1F">
              <w:rPr>
                <w:b/>
                <w:sz w:val="20"/>
              </w:rPr>
              <w:t xml:space="preserve">, Peggy Good, Fred Kelly, Rosemarie </w:t>
            </w:r>
            <w:proofErr w:type="spellStart"/>
            <w:r w:rsidRPr="00C76D1F">
              <w:rPr>
                <w:b/>
                <w:sz w:val="20"/>
              </w:rPr>
              <w:t>Kuptana</w:t>
            </w:r>
            <w:proofErr w:type="spellEnd"/>
            <w:r w:rsidRPr="00C76D1F">
              <w:rPr>
                <w:b/>
                <w:sz w:val="20"/>
              </w:rPr>
              <w:t xml:space="preserve">, Elizabeth </w:t>
            </w:r>
            <w:proofErr w:type="spellStart"/>
            <w:r w:rsidRPr="00C76D1F">
              <w:rPr>
                <w:b/>
                <w:sz w:val="20"/>
              </w:rPr>
              <w:t>Kusiak</w:t>
            </w:r>
            <w:proofErr w:type="spellEnd"/>
            <w:r w:rsidRPr="00C76D1F">
              <w:rPr>
                <w:b/>
                <w:sz w:val="20"/>
              </w:rPr>
              <w:t xml:space="preserve">, Theresa, </w:t>
            </w:r>
            <w:proofErr w:type="spellStart"/>
            <w:r w:rsidRPr="00C76D1F">
              <w:rPr>
                <w:b/>
                <w:sz w:val="20"/>
              </w:rPr>
              <w:t>Larocque</w:t>
            </w:r>
            <w:proofErr w:type="spellEnd"/>
            <w:r w:rsidRPr="00C76D1F">
              <w:rPr>
                <w:b/>
                <w:sz w:val="20"/>
              </w:rPr>
              <w:t xml:space="preserve">, Jane McCullum, Cornelius </w:t>
            </w:r>
            <w:proofErr w:type="spellStart"/>
            <w:r w:rsidRPr="00C76D1F">
              <w:rPr>
                <w:b/>
                <w:sz w:val="20"/>
              </w:rPr>
              <w:t>McComber</w:t>
            </w:r>
            <w:proofErr w:type="spellEnd"/>
            <w:r w:rsidRPr="00C76D1F">
              <w:rPr>
                <w:b/>
                <w:sz w:val="20"/>
              </w:rPr>
              <w:t xml:space="preserve">, Veronica Marten, Stanley Thomas </w:t>
            </w:r>
            <w:proofErr w:type="spellStart"/>
            <w:r w:rsidRPr="00C76D1F">
              <w:rPr>
                <w:b/>
                <w:sz w:val="20"/>
              </w:rPr>
              <w:t>Nepetaypo</w:t>
            </w:r>
            <w:proofErr w:type="spellEnd"/>
            <w:r w:rsidRPr="00C76D1F">
              <w:rPr>
                <w:b/>
                <w:sz w:val="20"/>
              </w:rPr>
              <w:t xml:space="preserve">, Flora Northwest, Norman </w:t>
            </w:r>
            <w:proofErr w:type="spellStart"/>
            <w:r w:rsidRPr="00C76D1F">
              <w:rPr>
                <w:b/>
                <w:sz w:val="20"/>
              </w:rPr>
              <w:t>Pauchey</w:t>
            </w:r>
            <w:proofErr w:type="spellEnd"/>
            <w:r w:rsidRPr="00C76D1F">
              <w:rPr>
                <w:b/>
                <w:sz w:val="20"/>
              </w:rPr>
              <w:t xml:space="preserve">, </w:t>
            </w:r>
            <w:proofErr w:type="spellStart"/>
            <w:r w:rsidRPr="00C76D1F">
              <w:rPr>
                <w:b/>
                <w:sz w:val="20"/>
              </w:rPr>
              <w:t>Camble</w:t>
            </w:r>
            <w:proofErr w:type="spellEnd"/>
            <w:r w:rsidRPr="00C76D1F">
              <w:rPr>
                <w:b/>
                <w:sz w:val="20"/>
              </w:rPr>
              <w:t xml:space="preserve"> </w:t>
            </w:r>
            <w:proofErr w:type="spellStart"/>
            <w:r w:rsidRPr="00C76D1F">
              <w:rPr>
                <w:b/>
                <w:sz w:val="20"/>
              </w:rPr>
              <w:t>Quatell</w:t>
            </w:r>
            <w:proofErr w:type="spellEnd"/>
            <w:r w:rsidRPr="00C76D1F">
              <w:rPr>
                <w:b/>
                <w:sz w:val="20"/>
              </w:rPr>
              <w:t xml:space="preserve">, Alvin Barney </w:t>
            </w:r>
            <w:proofErr w:type="spellStart"/>
            <w:r w:rsidRPr="00C76D1F">
              <w:rPr>
                <w:b/>
                <w:sz w:val="20"/>
              </w:rPr>
              <w:t>Saulteaux</w:t>
            </w:r>
            <w:proofErr w:type="spellEnd"/>
            <w:r w:rsidRPr="00C76D1F">
              <w:rPr>
                <w:b/>
                <w:sz w:val="20"/>
              </w:rPr>
              <w:t xml:space="preserve">, Christine </w:t>
            </w:r>
            <w:proofErr w:type="spellStart"/>
            <w:r w:rsidRPr="00C76D1F">
              <w:rPr>
                <w:b/>
                <w:sz w:val="20"/>
              </w:rPr>
              <w:t>Semple</w:t>
            </w:r>
            <w:proofErr w:type="spellEnd"/>
            <w:r w:rsidRPr="00C76D1F">
              <w:rPr>
                <w:b/>
                <w:sz w:val="20"/>
              </w:rPr>
              <w:t xml:space="preserve">, Dennis </w:t>
            </w:r>
            <w:proofErr w:type="spellStart"/>
            <w:r w:rsidRPr="00C76D1F">
              <w:rPr>
                <w:b/>
                <w:sz w:val="20"/>
              </w:rPr>
              <w:t>Smokeyday</w:t>
            </w:r>
            <w:proofErr w:type="spellEnd"/>
            <w:r w:rsidRPr="00C76D1F">
              <w:rPr>
                <w:b/>
                <w:sz w:val="20"/>
              </w:rPr>
              <w:t xml:space="preserve">, Kenneth </w:t>
            </w:r>
            <w:proofErr w:type="spellStart"/>
            <w:r w:rsidRPr="00C76D1F">
              <w:rPr>
                <w:b/>
                <w:sz w:val="20"/>
              </w:rPr>
              <w:t>Sparvier</w:t>
            </w:r>
            <w:proofErr w:type="spellEnd"/>
            <w:r w:rsidRPr="00C76D1F">
              <w:rPr>
                <w:b/>
                <w:sz w:val="20"/>
              </w:rPr>
              <w:t xml:space="preserve">, Edward </w:t>
            </w:r>
            <w:proofErr w:type="spellStart"/>
            <w:r w:rsidRPr="00C76D1F">
              <w:rPr>
                <w:b/>
                <w:sz w:val="20"/>
              </w:rPr>
              <w:t>Tapiatic</w:t>
            </w:r>
            <w:proofErr w:type="spellEnd"/>
            <w:r w:rsidRPr="00C76D1F">
              <w:rPr>
                <w:b/>
                <w:sz w:val="20"/>
              </w:rPr>
              <w:t xml:space="preserve">, Helen </w:t>
            </w:r>
            <w:proofErr w:type="spellStart"/>
            <w:r w:rsidRPr="00C76D1F">
              <w:rPr>
                <w:b/>
                <w:sz w:val="20"/>
              </w:rPr>
              <w:t>Winderman</w:t>
            </w:r>
            <w:proofErr w:type="spellEnd"/>
            <w:r w:rsidRPr="00C76D1F">
              <w:rPr>
                <w:b/>
                <w:sz w:val="20"/>
              </w:rPr>
              <w:t xml:space="preserve">, Adrian </w:t>
            </w:r>
            <w:proofErr w:type="spellStart"/>
            <w:r w:rsidRPr="00C76D1F">
              <w:rPr>
                <w:b/>
                <w:sz w:val="20"/>
              </w:rPr>
              <w:t>Yellowknee</w:t>
            </w:r>
            <w:proofErr w:type="spellEnd"/>
            <w:r w:rsidRPr="00C76D1F">
              <w:rPr>
                <w:b/>
                <w:sz w:val="20"/>
              </w:rPr>
              <w:t xml:space="preserve">, Presbyterian Church in Canada, General Synod of the Anglican Church of Canada, United Church of Canada, Board of Home Missions of the United Church of Canada, Women’s Missionary Society of the Presbyterian Church, Baptist Church in Canada, Board of Home Missions and Social Services of the Presbyterian Church in Bay, Canada Impact North Ministries of the Company for the Propagation of the Gospel in New England (also known as the New England Company), Diocese of Saskatchewan, Diocese of the Synod of Cariboo, Foreign Mission of the Presbyterian Church in Canada, Incorporated Synod of the Diocese of Huron, Methodist Church of Canada, Missionary Society of the Anglican Church of Canada, Missionary Society of the Methodist Church of Canada (also known as the Methodist Missionary Society of Canada), 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Qu’Appelle, Synod of the Diocese of New </w:t>
            </w:r>
            <w:proofErr w:type="spellStart"/>
            <w:r w:rsidRPr="00C76D1F">
              <w:rPr>
                <w:b/>
                <w:sz w:val="20"/>
              </w:rPr>
              <w:t>Westminister</w:t>
            </w:r>
            <w:proofErr w:type="spellEnd"/>
            <w:r w:rsidRPr="00C76D1F">
              <w:rPr>
                <w:b/>
                <w:sz w:val="20"/>
              </w:rPr>
              <w:t xml:space="preserve">, Synod of the Diocese of Yukon, Trustee Board of the Presbyterian Church in Canada, Board of Home Missions and Social Service of the Presbyterian Church of Canada, Women’s Missionary Society of the United Church of Canada, Sisters of Charity, a Body Corporate also known as Sisters of Charity of St. Vincent de Paul, Halifax, also known as Sisters of Charity Halifax, Roman Catholic Episcopal Corporation of Halifax, </w:t>
            </w:r>
            <w:proofErr w:type="spellStart"/>
            <w:r w:rsidRPr="00C76D1F">
              <w:rPr>
                <w:b/>
                <w:sz w:val="20"/>
              </w:rPr>
              <w:t>Soeurs</w:t>
            </w:r>
            <w:proofErr w:type="spellEnd"/>
            <w:r w:rsidRPr="00C76D1F">
              <w:rPr>
                <w:b/>
                <w:sz w:val="20"/>
              </w:rPr>
              <w:t xml:space="preserve"> de Notre Dame-</w:t>
            </w:r>
            <w:proofErr w:type="spellStart"/>
            <w:r w:rsidRPr="00C76D1F">
              <w:rPr>
                <w:b/>
                <w:sz w:val="20"/>
              </w:rPr>
              <w:t>Auxiliatrice</w:t>
            </w:r>
            <w:proofErr w:type="spellEnd"/>
            <w:r w:rsidRPr="00C76D1F">
              <w:rPr>
                <w:b/>
                <w:sz w:val="20"/>
              </w:rPr>
              <w:t xml:space="preserve">, </w:t>
            </w:r>
            <w:proofErr w:type="spellStart"/>
            <w:r w:rsidRPr="00C76D1F">
              <w:rPr>
                <w:b/>
                <w:sz w:val="20"/>
              </w:rPr>
              <w:t>Soeurs</w:t>
            </w:r>
            <w:proofErr w:type="spellEnd"/>
            <w:r w:rsidRPr="00C76D1F">
              <w:rPr>
                <w:b/>
                <w:sz w:val="20"/>
              </w:rPr>
              <w:t xml:space="preserve"> de St. François </w:t>
            </w:r>
            <w:proofErr w:type="spellStart"/>
            <w:r w:rsidRPr="00C76D1F">
              <w:rPr>
                <w:b/>
                <w:sz w:val="20"/>
              </w:rPr>
              <w:t>D’Assise</w:t>
            </w:r>
            <w:proofErr w:type="spellEnd"/>
            <w:r w:rsidRPr="00C76D1F">
              <w:rPr>
                <w:b/>
                <w:sz w:val="20"/>
              </w:rPr>
              <w:t xml:space="preserve">, </w:t>
            </w:r>
            <w:proofErr w:type="spellStart"/>
            <w:r w:rsidRPr="00C76D1F">
              <w:rPr>
                <w:b/>
                <w:sz w:val="20"/>
              </w:rPr>
              <w:t>Insitut</w:t>
            </w:r>
            <w:proofErr w:type="spellEnd"/>
            <w:r w:rsidRPr="00C76D1F">
              <w:rPr>
                <w:b/>
                <w:sz w:val="20"/>
              </w:rPr>
              <w:t xml:space="preserve"> des </w:t>
            </w:r>
            <w:proofErr w:type="spellStart"/>
            <w:r w:rsidRPr="00C76D1F">
              <w:rPr>
                <w:b/>
                <w:sz w:val="20"/>
              </w:rPr>
              <w:t>Soeurs</w:t>
            </w:r>
            <w:proofErr w:type="spellEnd"/>
            <w:r w:rsidRPr="00C76D1F">
              <w:rPr>
                <w:b/>
                <w:sz w:val="20"/>
              </w:rPr>
              <w:t xml:space="preserve"> du Bon </w:t>
            </w:r>
            <w:proofErr w:type="spellStart"/>
            <w:r w:rsidRPr="00C76D1F">
              <w:rPr>
                <w:b/>
                <w:sz w:val="20"/>
              </w:rPr>
              <w:t>Conseil</w:t>
            </w:r>
            <w:proofErr w:type="spellEnd"/>
            <w:r w:rsidRPr="00C76D1F">
              <w:rPr>
                <w:b/>
                <w:sz w:val="20"/>
              </w:rPr>
              <w:t xml:space="preserve">, </w:t>
            </w:r>
            <w:proofErr w:type="spellStart"/>
            <w:r w:rsidRPr="00C76D1F">
              <w:rPr>
                <w:b/>
                <w:sz w:val="20"/>
              </w:rPr>
              <w:t>Soeurs</w:t>
            </w:r>
            <w:proofErr w:type="spellEnd"/>
            <w:r w:rsidRPr="00C76D1F">
              <w:rPr>
                <w:b/>
                <w:sz w:val="20"/>
              </w:rPr>
              <w:t xml:space="preserve"> de Saint-Joseph de Saint-Hyacinthe, </w:t>
            </w:r>
            <w:proofErr w:type="spellStart"/>
            <w:r w:rsidRPr="00C76D1F">
              <w:rPr>
                <w:b/>
                <w:sz w:val="20"/>
              </w:rPr>
              <w:t>Soeurs</w:t>
            </w:r>
            <w:proofErr w:type="spellEnd"/>
            <w:r w:rsidRPr="00C76D1F">
              <w:rPr>
                <w:b/>
                <w:sz w:val="20"/>
              </w:rPr>
              <w:t xml:space="preserve"> de </w:t>
            </w:r>
            <w:proofErr w:type="spellStart"/>
            <w:r w:rsidRPr="00C76D1F">
              <w:rPr>
                <w:b/>
                <w:sz w:val="20"/>
              </w:rPr>
              <w:t>Jésus</w:t>
            </w:r>
            <w:proofErr w:type="spellEnd"/>
            <w:r w:rsidRPr="00C76D1F">
              <w:rPr>
                <w:b/>
                <w:sz w:val="20"/>
              </w:rPr>
              <w:t xml:space="preserve">-Marie, </w:t>
            </w:r>
            <w:proofErr w:type="spellStart"/>
            <w:r w:rsidRPr="00C76D1F">
              <w:rPr>
                <w:b/>
                <w:sz w:val="20"/>
              </w:rPr>
              <w:t>Soeurs</w:t>
            </w:r>
            <w:proofErr w:type="spellEnd"/>
            <w:r w:rsidRPr="00C76D1F">
              <w:rPr>
                <w:b/>
                <w:sz w:val="20"/>
              </w:rPr>
              <w:t xml:space="preserve"> de l’ </w:t>
            </w:r>
            <w:proofErr w:type="spellStart"/>
            <w:r w:rsidRPr="00C76D1F">
              <w:rPr>
                <w:b/>
                <w:sz w:val="20"/>
              </w:rPr>
              <w:t>Assomption</w:t>
            </w:r>
            <w:proofErr w:type="spellEnd"/>
            <w:r w:rsidRPr="00C76D1F">
              <w:rPr>
                <w:b/>
                <w:sz w:val="20"/>
              </w:rPr>
              <w:t xml:space="preserve"> de la Sainte </w:t>
            </w:r>
            <w:proofErr w:type="spellStart"/>
            <w:r w:rsidRPr="00C76D1F">
              <w:rPr>
                <w:b/>
                <w:sz w:val="20"/>
              </w:rPr>
              <w:t>Vierge</w:t>
            </w:r>
            <w:proofErr w:type="spellEnd"/>
            <w:r w:rsidRPr="00C76D1F">
              <w:rPr>
                <w:b/>
                <w:sz w:val="20"/>
              </w:rPr>
              <w:t xml:space="preserve">, </w:t>
            </w:r>
            <w:proofErr w:type="spellStart"/>
            <w:r w:rsidRPr="00C76D1F">
              <w:rPr>
                <w:b/>
                <w:sz w:val="20"/>
              </w:rPr>
              <w:t>Soeurs</w:t>
            </w:r>
            <w:proofErr w:type="spellEnd"/>
            <w:r w:rsidRPr="00C76D1F">
              <w:rPr>
                <w:b/>
                <w:sz w:val="20"/>
              </w:rPr>
              <w:t xml:space="preserve"> de </w:t>
            </w:r>
            <w:proofErr w:type="spellStart"/>
            <w:r w:rsidRPr="00C76D1F">
              <w:rPr>
                <w:b/>
                <w:sz w:val="20"/>
              </w:rPr>
              <w:t>l’Assomption</w:t>
            </w:r>
            <w:proofErr w:type="spellEnd"/>
            <w:r w:rsidRPr="00C76D1F">
              <w:rPr>
                <w:b/>
                <w:sz w:val="20"/>
              </w:rPr>
              <w:t xml:space="preserve"> de la Sainte </w:t>
            </w:r>
            <w:proofErr w:type="spellStart"/>
            <w:r w:rsidRPr="00C76D1F">
              <w:rPr>
                <w:b/>
                <w:sz w:val="20"/>
              </w:rPr>
              <w:t>Vierge</w:t>
            </w:r>
            <w:proofErr w:type="spellEnd"/>
            <w:r w:rsidRPr="00C76D1F">
              <w:rPr>
                <w:b/>
                <w:sz w:val="20"/>
              </w:rPr>
              <w:t xml:space="preserve"> de </w:t>
            </w:r>
            <w:proofErr w:type="spellStart"/>
            <w:r w:rsidRPr="00C76D1F">
              <w:rPr>
                <w:b/>
                <w:sz w:val="20"/>
              </w:rPr>
              <w:t>l’Alberta</w:t>
            </w:r>
            <w:proofErr w:type="spellEnd"/>
            <w:r w:rsidRPr="00C76D1F">
              <w:rPr>
                <w:b/>
                <w:sz w:val="20"/>
              </w:rPr>
              <w:t xml:space="preserve">, </w:t>
            </w:r>
            <w:proofErr w:type="spellStart"/>
            <w:r w:rsidRPr="00C76D1F">
              <w:rPr>
                <w:b/>
                <w:sz w:val="20"/>
              </w:rPr>
              <w:t>Soeurs</w:t>
            </w:r>
            <w:proofErr w:type="spellEnd"/>
            <w:r w:rsidRPr="00C76D1F">
              <w:rPr>
                <w:b/>
                <w:sz w:val="20"/>
              </w:rPr>
              <w:t xml:space="preserve"> de la </w:t>
            </w:r>
            <w:proofErr w:type="spellStart"/>
            <w:r w:rsidRPr="00C76D1F">
              <w:rPr>
                <w:b/>
                <w:sz w:val="20"/>
              </w:rPr>
              <w:t>Charité</w:t>
            </w:r>
            <w:proofErr w:type="spellEnd"/>
            <w:r w:rsidRPr="00C76D1F">
              <w:rPr>
                <w:b/>
                <w:sz w:val="20"/>
              </w:rPr>
              <w:t xml:space="preserve"> de St.-</w:t>
            </w:r>
            <w:proofErr w:type="spellStart"/>
            <w:r w:rsidRPr="00C76D1F">
              <w:rPr>
                <w:b/>
                <w:sz w:val="20"/>
              </w:rPr>
              <w:t>Hyacinthe</w:t>
            </w:r>
            <w:proofErr w:type="spellEnd"/>
            <w:r w:rsidRPr="00C76D1F">
              <w:rPr>
                <w:b/>
                <w:sz w:val="20"/>
              </w:rPr>
              <w:t xml:space="preserve">, Oeuvres Oblates de </w:t>
            </w:r>
            <w:proofErr w:type="spellStart"/>
            <w:r w:rsidRPr="00C76D1F">
              <w:rPr>
                <w:b/>
                <w:sz w:val="20"/>
              </w:rPr>
              <w:t>l’Ontario</w:t>
            </w:r>
            <w:proofErr w:type="spellEnd"/>
            <w:r w:rsidRPr="00C76D1F">
              <w:rPr>
                <w:b/>
                <w:sz w:val="20"/>
              </w:rPr>
              <w:t xml:space="preserve">, </w:t>
            </w:r>
            <w:proofErr w:type="spellStart"/>
            <w:r w:rsidRPr="00C76D1F">
              <w:rPr>
                <w:b/>
                <w:sz w:val="20"/>
              </w:rPr>
              <w:t>Résidences</w:t>
            </w:r>
            <w:proofErr w:type="spellEnd"/>
            <w:r w:rsidRPr="00C76D1F">
              <w:rPr>
                <w:b/>
                <w:sz w:val="20"/>
              </w:rPr>
              <w:t xml:space="preserve"> Oblates du Québec, Corporation </w:t>
            </w:r>
            <w:proofErr w:type="spellStart"/>
            <w:r w:rsidRPr="00C76D1F">
              <w:rPr>
                <w:b/>
                <w:sz w:val="20"/>
              </w:rPr>
              <w:t>Episcopale</w:t>
            </w:r>
            <w:proofErr w:type="spellEnd"/>
            <w:r w:rsidRPr="00C76D1F">
              <w:rPr>
                <w:b/>
                <w:sz w:val="20"/>
              </w:rPr>
              <w:t xml:space="preserve"> </w:t>
            </w:r>
            <w:proofErr w:type="spellStart"/>
            <w:r w:rsidRPr="00C76D1F">
              <w:rPr>
                <w:b/>
                <w:sz w:val="20"/>
              </w:rPr>
              <w:t>Catholique</w:t>
            </w:r>
            <w:proofErr w:type="spellEnd"/>
            <w:r w:rsidRPr="00C76D1F">
              <w:rPr>
                <w:b/>
                <w:sz w:val="20"/>
              </w:rPr>
              <w:t xml:space="preserve"> Romaine de la </w:t>
            </w:r>
            <w:proofErr w:type="spellStart"/>
            <w:r w:rsidRPr="00C76D1F">
              <w:rPr>
                <w:b/>
                <w:sz w:val="20"/>
              </w:rPr>
              <w:t>Baie</w:t>
            </w:r>
            <w:proofErr w:type="spellEnd"/>
            <w:r w:rsidRPr="00C76D1F">
              <w:rPr>
                <w:b/>
                <w:sz w:val="20"/>
              </w:rPr>
              <w:t xml:space="preserve"> James (the Roman Catholic Episcopal Corporation of James Bay), Catholic Diocese of Moosonee, </w:t>
            </w:r>
            <w:proofErr w:type="spellStart"/>
            <w:r w:rsidRPr="00C76D1F">
              <w:rPr>
                <w:b/>
                <w:sz w:val="20"/>
              </w:rPr>
              <w:t>Soeurs</w:t>
            </w:r>
            <w:proofErr w:type="spellEnd"/>
            <w:r w:rsidRPr="00C76D1F">
              <w:rPr>
                <w:b/>
                <w:sz w:val="20"/>
              </w:rPr>
              <w:t xml:space="preserve"> </w:t>
            </w:r>
            <w:proofErr w:type="spellStart"/>
            <w:r w:rsidRPr="00C76D1F">
              <w:rPr>
                <w:b/>
                <w:sz w:val="20"/>
              </w:rPr>
              <w:t>Grises</w:t>
            </w:r>
            <w:proofErr w:type="spellEnd"/>
            <w:r w:rsidRPr="00C76D1F">
              <w:rPr>
                <w:b/>
                <w:sz w:val="20"/>
              </w:rPr>
              <w:t xml:space="preserve"> de Montréal/Grey Nuns of Montréal, Sisters of Charity (Grey Nuns) of Alberta, </w:t>
            </w:r>
            <w:proofErr w:type="spellStart"/>
            <w:r w:rsidRPr="00C76D1F">
              <w:rPr>
                <w:b/>
                <w:sz w:val="20"/>
              </w:rPr>
              <w:t>Soeurs</w:t>
            </w:r>
            <w:proofErr w:type="spellEnd"/>
            <w:r w:rsidRPr="00C76D1F">
              <w:rPr>
                <w:b/>
                <w:sz w:val="20"/>
              </w:rPr>
              <w:t xml:space="preserve"> de la </w:t>
            </w:r>
            <w:proofErr w:type="spellStart"/>
            <w:r w:rsidRPr="00C76D1F">
              <w:rPr>
                <w:b/>
                <w:sz w:val="20"/>
              </w:rPr>
              <w:t>Charité</w:t>
            </w:r>
            <w:proofErr w:type="spellEnd"/>
            <w:r w:rsidRPr="00C76D1F">
              <w:rPr>
                <w:b/>
                <w:sz w:val="20"/>
              </w:rPr>
              <w:t xml:space="preserve"> des T.N.O., Hotel-</w:t>
            </w:r>
            <w:proofErr w:type="spellStart"/>
            <w:r w:rsidRPr="00C76D1F">
              <w:rPr>
                <w:b/>
                <w:sz w:val="20"/>
              </w:rPr>
              <w:t>Dieu</w:t>
            </w:r>
            <w:proofErr w:type="spellEnd"/>
            <w:r w:rsidRPr="00C76D1F">
              <w:rPr>
                <w:b/>
                <w:sz w:val="20"/>
              </w:rPr>
              <w:t xml:space="preserve"> de Nicolet, Grey Nuns of Manitoba Inc. − </w:t>
            </w:r>
            <w:proofErr w:type="spellStart"/>
            <w:r w:rsidRPr="00C76D1F">
              <w:rPr>
                <w:b/>
                <w:sz w:val="20"/>
              </w:rPr>
              <w:t>Soeurs</w:t>
            </w:r>
            <w:proofErr w:type="spellEnd"/>
            <w:r w:rsidRPr="00C76D1F">
              <w:rPr>
                <w:b/>
                <w:sz w:val="20"/>
              </w:rPr>
              <w:t xml:space="preserve"> </w:t>
            </w:r>
            <w:proofErr w:type="spellStart"/>
            <w:r w:rsidRPr="00C76D1F">
              <w:rPr>
                <w:b/>
                <w:sz w:val="20"/>
              </w:rPr>
              <w:t>Grises</w:t>
            </w:r>
            <w:proofErr w:type="spellEnd"/>
            <w:r w:rsidRPr="00C76D1F">
              <w:rPr>
                <w:b/>
                <w:sz w:val="20"/>
              </w:rPr>
              <w:t xml:space="preserve"> du Manitoba Inc., Corporation </w:t>
            </w:r>
            <w:proofErr w:type="spellStart"/>
            <w:r w:rsidRPr="00C76D1F">
              <w:rPr>
                <w:b/>
                <w:sz w:val="20"/>
              </w:rPr>
              <w:t>Episcopale</w:t>
            </w:r>
            <w:proofErr w:type="spellEnd"/>
            <w:r w:rsidRPr="00C76D1F">
              <w:rPr>
                <w:b/>
                <w:sz w:val="20"/>
              </w:rPr>
              <w:t xml:space="preserve"> </w:t>
            </w:r>
            <w:proofErr w:type="spellStart"/>
            <w:r w:rsidRPr="00C76D1F">
              <w:rPr>
                <w:b/>
                <w:sz w:val="20"/>
              </w:rPr>
              <w:t>Catholique</w:t>
            </w:r>
            <w:proofErr w:type="spellEnd"/>
            <w:r w:rsidRPr="00C76D1F">
              <w:rPr>
                <w:b/>
                <w:sz w:val="20"/>
              </w:rPr>
              <w:t xml:space="preserve"> Romaine de la </w:t>
            </w:r>
            <w:proofErr w:type="spellStart"/>
            <w:r w:rsidRPr="00C76D1F">
              <w:rPr>
                <w:b/>
                <w:sz w:val="20"/>
              </w:rPr>
              <w:t>Baie</w:t>
            </w:r>
            <w:proofErr w:type="spellEnd"/>
            <w:r w:rsidRPr="00C76D1F">
              <w:rPr>
                <w:b/>
                <w:sz w:val="20"/>
              </w:rPr>
              <w:t xml:space="preserve"> </w:t>
            </w:r>
            <w:proofErr w:type="spellStart"/>
            <w:r w:rsidRPr="00C76D1F">
              <w:rPr>
                <w:b/>
                <w:sz w:val="20"/>
              </w:rPr>
              <w:t>d’Hudson</w:t>
            </w:r>
            <w:proofErr w:type="spellEnd"/>
            <w:r w:rsidRPr="00C76D1F">
              <w:rPr>
                <w:b/>
                <w:sz w:val="20"/>
              </w:rPr>
              <w:t xml:space="preserve"> − Roman Catholic Episcopal Corporation of Hudson’s Bay, Missionary Oblates − Grandin Province, </w:t>
            </w:r>
            <w:proofErr w:type="spellStart"/>
            <w:r w:rsidRPr="00C76D1F">
              <w:rPr>
                <w:b/>
                <w:sz w:val="20"/>
              </w:rPr>
              <w:t>Oblats</w:t>
            </w:r>
            <w:proofErr w:type="spellEnd"/>
            <w:r w:rsidRPr="00C76D1F">
              <w:rPr>
                <w:b/>
                <w:sz w:val="20"/>
              </w:rPr>
              <w:t xml:space="preserve"> de Marie </w:t>
            </w:r>
            <w:proofErr w:type="spellStart"/>
            <w:r w:rsidRPr="00C76D1F">
              <w:rPr>
                <w:b/>
                <w:sz w:val="20"/>
              </w:rPr>
              <w:t>Immaculée</w:t>
            </w:r>
            <w:proofErr w:type="spellEnd"/>
            <w:r w:rsidRPr="00C76D1F">
              <w:rPr>
                <w:b/>
                <w:sz w:val="20"/>
              </w:rPr>
              <w:t xml:space="preserve"> du Manitoba, the Archiepiscopal Corporation of Regina, Sisters of the Presentation, Sisters of St. Joseph of Sault St. Marie, Sisters of Charity of Ottawa, Oblates of Mary Immaculate − St. Peter’s Province, Sisters of Saint Ann, Sisters of Instruction of the Child Jesus, Benedictine Sisters of Mt. Angel Oregon, </w:t>
            </w:r>
            <w:proofErr w:type="spellStart"/>
            <w:r w:rsidRPr="00C76D1F">
              <w:rPr>
                <w:b/>
                <w:sz w:val="20"/>
              </w:rPr>
              <w:t>Pères</w:t>
            </w:r>
            <w:proofErr w:type="spellEnd"/>
            <w:r w:rsidRPr="00C76D1F">
              <w:rPr>
                <w:b/>
                <w:sz w:val="20"/>
              </w:rPr>
              <w:t xml:space="preserve"> </w:t>
            </w:r>
            <w:proofErr w:type="spellStart"/>
            <w:r w:rsidRPr="00C76D1F">
              <w:rPr>
                <w:b/>
                <w:sz w:val="20"/>
              </w:rPr>
              <w:t>Montfortains</w:t>
            </w:r>
            <w:proofErr w:type="spellEnd"/>
            <w:r w:rsidRPr="00C76D1F">
              <w:rPr>
                <w:b/>
                <w:sz w:val="20"/>
              </w:rPr>
              <w:t xml:space="preserve">, the Roman Catholic Bishop of Kamloops Corporation Sole, the Bishop of Victoria, Corporation Sole, the Roman Catholic Bishop of Nelson, Corporation Sole, Order of the Oblates of Mary Immaculate in the Province of British Columbia, Sisters of Charity of Providence of Western Canada, Corporation </w:t>
            </w:r>
            <w:proofErr w:type="spellStart"/>
            <w:r w:rsidRPr="00C76D1F">
              <w:rPr>
                <w:b/>
                <w:sz w:val="20"/>
              </w:rPr>
              <w:t>Episcopale</w:t>
            </w:r>
            <w:proofErr w:type="spellEnd"/>
            <w:r w:rsidRPr="00C76D1F">
              <w:rPr>
                <w:b/>
                <w:sz w:val="20"/>
              </w:rPr>
              <w:t xml:space="preserve"> </w:t>
            </w:r>
            <w:proofErr w:type="spellStart"/>
            <w:r w:rsidRPr="00C76D1F">
              <w:rPr>
                <w:b/>
                <w:sz w:val="20"/>
              </w:rPr>
              <w:t>Catholique</w:t>
            </w:r>
            <w:proofErr w:type="spellEnd"/>
            <w:r w:rsidRPr="00C76D1F">
              <w:rPr>
                <w:b/>
                <w:sz w:val="20"/>
              </w:rPr>
              <w:t xml:space="preserve"> Romaine de </w:t>
            </w:r>
            <w:proofErr w:type="spellStart"/>
            <w:r w:rsidRPr="00C76D1F">
              <w:rPr>
                <w:b/>
                <w:sz w:val="20"/>
              </w:rPr>
              <w:t>Grouard</w:t>
            </w:r>
            <w:proofErr w:type="spellEnd"/>
            <w:r w:rsidRPr="00C76D1F">
              <w:rPr>
                <w:b/>
                <w:sz w:val="20"/>
              </w:rPr>
              <w:t xml:space="preserve">, Roman Catholic Episcopal Corporation of Keewatin, Corporation </w:t>
            </w:r>
            <w:proofErr w:type="spellStart"/>
            <w:r w:rsidRPr="00C76D1F">
              <w:rPr>
                <w:b/>
                <w:sz w:val="20"/>
              </w:rPr>
              <w:t>Archipiscopale</w:t>
            </w:r>
            <w:proofErr w:type="spellEnd"/>
            <w:r w:rsidRPr="00C76D1F">
              <w:rPr>
                <w:b/>
                <w:sz w:val="20"/>
              </w:rPr>
              <w:t xml:space="preserve"> </w:t>
            </w:r>
            <w:proofErr w:type="spellStart"/>
            <w:r w:rsidRPr="00C76D1F">
              <w:rPr>
                <w:b/>
                <w:sz w:val="20"/>
              </w:rPr>
              <w:t>Catholique</w:t>
            </w:r>
            <w:proofErr w:type="spellEnd"/>
            <w:r w:rsidRPr="00C76D1F">
              <w:rPr>
                <w:b/>
                <w:sz w:val="20"/>
              </w:rPr>
              <w:t xml:space="preserve"> Romaine de St. Boniface, </w:t>
            </w:r>
            <w:proofErr w:type="spellStart"/>
            <w:r w:rsidRPr="00C76D1F">
              <w:rPr>
                <w:b/>
                <w:sz w:val="20"/>
              </w:rPr>
              <w:t>Missionnaires</w:t>
            </w:r>
            <w:proofErr w:type="spellEnd"/>
            <w:r w:rsidRPr="00C76D1F">
              <w:rPr>
                <w:b/>
                <w:sz w:val="20"/>
              </w:rPr>
              <w:t xml:space="preserve"> Oblates </w:t>
            </w:r>
            <w:proofErr w:type="spellStart"/>
            <w:r w:rsidRPr="00C76D1F">
              <w:rPr>
                <w:b/>
                <w:sz w:val="20"/>
              </w:rPr>
              <w:t>Soeurs</w:t>
            </w:r>
            <w:proofErr w:type="spellEnd"/>
            <w:r w:rsidRPr="00C76D1F">
              <w:rPr>
                <w:b/>
                <w:sz w:val="20"/>
              </w:rPr>
              <w:t xml:space="preserve"> de St. Boniface − Missionary Oblates Sisters of St. Boniface, Roman Catholic Archiepiscopal Corporation of Winnipeg, Corporation </w:t>
            </w:r>
            <w:proofErr w:type="spellStart"/>
            <w:r w:rsidRPr="00C76D1F">
              <w:rPr>
                <w:b/>
                <w:sz w:val="20"/>
              </w:rPr>
              <w:t>Episcopale</w:t>
            </w:r>
            <w:proofErr w:type="spellEnd"/>
            <w:r w:rsidRPr="00C76D1F">
              <w:rPr>
                <w:b/>
                <w:sz w:val="20"/>
              </w:rPr>
              <w:t xml:space="preserve"> </w:t>
            </w:r>
            <w:proofErr w:type="spellStart"/>
            <w:r w:rsidRPr="00C76D1F">
              <w:rPr>
                <w:b/>
                <w:sz w:val="20"/>
              </w:rPr>
              <w:t>Catholique</w:t>
            </w:r>
            <w:proofErr w:type="spellEnd"/>
            <w:r w:rsidRPr="00C76D1F">
              <w:rPr>
                <w:b/>
                <w:sz w:val="20"/>
              </w:rPr>
              <w:t xml:space="preserve"> Romaine de Prince Albert, Roman Catholic Bishop of Thunder Bay, Immaculate Heart Community of Los Angeles CA, Archdiocese of Vancouver − Roman Catholic Archbishop of Vancouver, Roman Catholic Diocese of Whitehorse, Catholic </w:t>
            </w:r>
            <w:proofErr w:type="spellStart"/>
            <w:r w:rsidRPr="00C76D1F">
              <w:rPr>
                <w:b/>
                <w:sz w:val="20"/>
              </w:rPr>
              <w:t>Episcopale</w:t>
            </w:r>
            <w:proofErr w:type="spellEnd"/>
            <w:r w:rsidRPr="00C76D1F">
              <w:rPr>
                <w:b/>
                <w:sz w:val="20"/>
              </w:rPr>
              <w:t xml:space="preserve"> Corporation of Mackenzie-Fort Smith, Roman Catholic Episcopal Corporation of Prince Rupert, Episcopal Corporation of Saskatoon, Omi Lacombe Canada Inc. and Mt. Angel Abbey Inc.</w:t>
            </w:r>
          </w:p>
          <w:p w:rsidR="00C76D1F" w:rsidRPr="00C76D1F" w:rsidRDefault="00C76D1F" w:rsidP="00C76D1F">
            <w:pPr>
              <w:jc w:val="both"/>
              <w:rPr>
                <w:sz w:val="20"/>
              </w:rPr>
            </w:pPr>
            <w:r w:rsidRPr="00C76D1F">
              <w:rPr>
                <w:sz w:val="20"/>
              </w:rPr>
              <w:t>(Ont.) (Civil) (By Leave)</w:t>
            </w:r>
          </w:p>
        </w:tc>
      </w:tr>
      <w:tr w:rsidR="00C76D1F" w:rsidRPr="00C76D1F" w:rsidTr="00D07A7A">
        <w:tc>
          <w:tcPr>
            <w:tcW w:w="5000" w:type="pct"/>
            <w:gridSpan w:val="4"/>
          </w:tcPr>
          <w:p w:rsidR="00C76D1F" w:rsidRPr="00C76D1F" w:rsidRDefault="00C76D1F" w:rsidP="00C76D1F">
            <w:pPr>
              <w:jc w:val="both"/>
              <w:rPr>
                <w:sz w:val="20"/>
              </w:rPr>
            </w:pPr>
            <w:r w:rsidRPr="00C76D1F">
              <w:rPr>
                <w:sz w:val="20"/>
              </w:rPr>
              <w:lastRenderedPageBreak/>
              <w:t xml:space="preserve">Civil procedure – Class actions – Case management – Courts – Jurisdiction – Interpretation of settlement agreement – Privacy – Access to information – Exemptions – Third party information – Personal information – Whether the lower court properly interpreted the Indian Residential Schools Settlement Agreement – Whether the Indian Residential Schools Settlement Agreement requires the destruction of records of the Independent Assessment Process – Whether the lower court properly concluded that the Independent Assessment Process records are not government records under the control of a government institution subject to the protections of the </w:t>
            </w:r>
            <w:r w:rsidRPr="00C76D1F">
              <w:rPr>
                <w:i/>
                <w:sz w:val="20"/>
              </w:rPr>
              <w:t>Privacy Act</w:t>
            </w:r>
            <w:r w:rsidRPr="00C76D1F">
              <w:rPr>
                <w:sz w:val="20"/>
              </w:rPr>
              <w:t xml:space="preserve">, the </w:t>
            </w:r>
            <w:r w:rsidRPr="00C76D1F">
              <w:rPr>
                <w:i/>
                <w:sz w:val="20"/>
              </w:rPr>
              <w:t>Access to Information Act</w:t>
            </w:r>
            <w:r w:rsidRPr="00C76D1F">
              <w:rPr>
                <w:sz w:val="20"/>
              </w:rPr>
              <w:t xml:space="preserve"> and the </w:t>
            </w:r>
            <w:r w:rsidRPr="00C76D1F">
              <w:rPr>
                <w:i/>
                <w:sz w:val="20"/>
              </w:rPr>
              <w:t>Library and Archives Canada Act</w:t>
            </w:r>
            <w:r w:rsidRPr="00C76D1F">
              <w:rPr>
                <w:sz w:val="20"/>
              </w:rPr>
              <w:t xml:space="preserve"> – Whether the lower court erred in law in applying the </w:t>
            </w:r>
            <w:r w:rsidRPr="00C76D1F">
              <w:rPr>
                <w:sz w:val="20"/>
              </w:rPr>
              <w:lastRenderedPageBreak/>
              <w:t>doctrines of implied undertaking and inherent jurisdiction to the IAP documents to permit their destruction – Whether the lower courts’ interpretation of the Indian Residential Schools Settlement Agreement maintained its integrity.</w:t>
            </w:r>
          </w:p>
        </w:tc>
      </w:tr>
      <w:tr w:rsidR="00C76D1F" w:rsidRPr="00C76D1F" w:rsidTr="00D07A7A">
        <w:tc>
          <w:tcPr>
            <w:tcW w:w="5000" w:type="pct"/>
            <w:gridSpan w:val="4"/>
          </w:tcPr>
          <w:p w:rsidR="00C76D1F" w:rsidRPr="00C76D1F" w:rsidRDefault="00C76D1F" w:rsidP="00C76D1F">
            <w:pPr>
              <w:jc w:val="both"/>
              <w:rPr>
                <w:sz w:val="20"/>
              </w:rPr>
            </w:pPr>
          </w:p>
        </w:tc>
      </w:tr>
      <w:tr w:rsidR="00C76D1F" w:rsidRPr="00C76D1F" w:rsidTr="00D07A7A">
        <w:tc>
          <w:tcPr>
            <w:tcW w:w="5000" w:type="pct"/>
            <w:gridSpan w:val="4"/>
          </w:tcPr>
          <w:p w:rsidR="00C76D1F" w:rsidRPr="00C76D1F" w:rsidRDefault="00C76D1F" w:rsidP="00C76D1F">
            <w:pPr>
              <w:jc w:val="both"/>
              <w:rPr>
                <w:sz w:val="20"/>
              </w:rPr>
            </w:pPr>
            <w:r w:rsidRPr="00C76D1F">
              <w:rPr>
                <w:sz w:val="20"/>
              </w:rPr>
              <w:t xml:space="preserve">In the course of the Independent Assessment Process (“IAP”), which provided a second level of compensation to former students who were victims of certain kinds of serious harm, questions arose about what was to become of the highly confidential documents created during the IAP after it came to an end. Library and Archives Canada also issued a </w:t>
            </w:r>
            <w:r w:rsidRPr="00C76D1F">
              <w:rPr>
                <w:i/>
                <w:sz w:val="20"/>
              </w:rPr>
              <w:t>Records Disposition Authority</w:t>
            </w:r>
            <w:r w:rsidRPr="00C76D1F">
              <w:rPr>
                <w:sz w:val="20"/>
              </w:rPr>
              <w:t xml:space="preserve"> requiring that certain IAP records held by Northern Affairs Canada, having been deemed by the National Archivist to be of enduring historical value, be transferred to Library and Archives Canada. In 2013, the Truth and Reconciliation Commission and the Chief Adjudicator of the Indian Residential Schools Adjudication Secretariat each brought a Request for Directions to the court. They both requested the development of a notice program to inform claimants that they could archive some of their IAP documents at the National Centre for Truth and Reconciliation. The Chief Adjudicator also sought an order that all other copies of the IAP documents in the hands of the parties be destroyed.</w:t>
            </w:r>
          </w:p>
          <w:p w:rsidR="00C76D1F" w:rsidRPr="00C76D1F" w:rsidRDefault="00C76D1F" w:rsidP="00C76D1F">
            <w:pPr>
              <w:jc w:val="both"/>
              <w:rPr>
                <w:sz w:val="20"/>
              </w:rPr>
            </w:pPr>
          </w:p>
          <w:p w:rsidR="00C76D1F" w:rsidRPr="00C76D1F" w:rsidRDefault="00C76D1F" w:rsidP="00C76D1F">
            <w:pPr>
              <w:jc w:val="both"/>
              <w:rPr>
                <w:sz w:val="20"/>
              </w:rPr>
            </w:pPr>
            <w:r w:rsidRPr="00C76D1F">
              <w:rPr>
                <w:sz w:val="20"/>
              </w:rPr>
              <w:t>The Supervising Judge ordered that the IAP documents were not to be transferred to Library and Archives Canada. The Chief Adjudicator was to retain the IAP documents for a 15-year retention period, during which period all rights of appeal and review would be exhausted. After 15 years, the documents were to be destroyed. IAP documents not held by the Chief Adjudicator were to be destroyed, with certain caveats. Claimants could archive their own IAP documents with the National Centre for Truth and Reconciliation, and the Truth and Reconciliation Commission or the National Centre for Truth and Reconciliation could carry out a notice program to inform claimants of that right. The majority of the Court of Appeal ordered that the notice program was to be carried out by the Chief Adjudicator. Otherwise, the appeal and cross appeals were dismissed.</w:t>
            </w:r>
          </w:p>
          <w:p w:rsidR="00C76D1F" w:rsidRPr="00C76D1F" w:rsidRDefault="00C76D1F" w:rsidP="00C76D1F">
            <w:pPr>
              <w:jc w:val="both"/>
              <w:rPr>
                <w:sz w:val="20"/>
              </w:rPr>
            </w:pPr>
          </w:p>
        </w:tc>
      </w:tr>
      <w:tr w:rsidR="00C76D1F" w:rsidRPr="00C76D1F" w:rsidTr="00D1708D">
        <w:tc>
          <w:tcPr>
            <w:tcW w:w="2379" w:type="pct"/>
            <w:gridSpan w:val="2"/>
          </w:tcPr>
          <w:p w:rsidR="00C76D1F" w:rsidRPr="00C76D1F" w:rsidRDefault="00C76D1F" w:rsidP="00C76D1F">
            <w:pPr>
              <w:jc w:val="both"/>
              <w:rPr>
                <w:sz w:val="20"/>
              </w:rPr>
            </w:pPr>
            <w:r w:rsidRPr="00C76D1F">
              <w:rPr>
                <w:sz w:val="20"/>
              </w:rPr>
              <w:t>August 6, 2014</w:t>
            </w:r>
          </w:p>
          <w:p w:rsidR="00C76D1F" w:rsidRPr="00C76D1F" w:rsidRDefault="00C76D1F" w:rsidP="00C76D1F">
            <w:pPr>
              <w:jc w:val="both"/>
              <w:rPr>
                <w:sz w:val="20"/>
              </w:rPr>
            </w:pPr>
            <w:r w:rsidRPr="00C76D1F">
              <w:rPr>
                <w:sz w:val="20"/>
              </w:rPr>
              <w:t>Ontario Superior Court of Justice</w:t>
            </w:r>
          </w:p>
          <w:p w:rsidR="00C76D1F" w:rsidRPr="00C76D1F" w:rsidRDefault="00C76D1F" w:rsidP="00C76D1F">
            <w:pPr>
              <w:jc w:val="both"/>
              <w:rPr>
                <w:sz w:val="20"/>
              </w:rPr>
            </w:pPr>
            <w:r w:rsidRPr="00C76D1F">
              <w:rPr>
                <w:sz w:val="20"/>
              </w:rPr>
              <w:t>(</w:t>
            </w:r>
            <w:proofErr w:type="spellStart"/>
            <w:r w:rsidRPr="00C76D1F">
              <w:rPr>
                <w:sz w:val="20"/>
              </w:rPr>
              <w:t>Perell</w:t>
            </w:r>
            <w:proofErr w:type="spellEnd"/>
            <w:r w:rsidRPr="00C76D1F">
              <w:rPr>
                <w:sz w:val="20"/>
              </w:rPr>
              <w:t xml:space="preserve"> J.)</w:t>
            </w:r>
          </w:p>
          <w:p w:rsidR="00C76D1F" w:rsidRPr="00C76D1F" w:rsidRDefault="000221AE" w:rsidP="00C76D1F">
            <w:pPr>
              <w:jc w:val="both"/>
              <w:rPr>
                <w:sz w:val="20"/>
              </w:rPr>
            </w:pPr>
            <w:hyperlink r:id="rId28" w:history="1">
              <w:r w:rsidR="00C76D1F" w:rsidRPr="00C76D1F">
                <w:rPr>
                  <w:rStyle w:val="Hyperlink"/>
                  <w:sz w:val="20"/>
                </w:rPr>
                <w:t>2014 ONSC 4585</w:t>
              </w:r>
            </w:hyperlink>
          </w:p>
          <w:p w:rsidR="00C76D1F" w:rsidRPr="00C76D1F" w:rsidRDefault="00C76D1F" w:rsidP="00C76D1F">
            <w:pPr>
              <w:jc w:val="both"/>
              <w:rPr>
                <w:sz w:val="20"/>
              </w:rPr>
            </w:pPr>
          </w:p>
        </w:tc>
        <w:tc>
          <w:tcPr>
            <w:tcW w:w="146" w:type="pct"/>
          </w:tcPr>
          <w:p w:rsidR="00C76D1F" w:rsidRPr="00C76D1F" w:rsidRDefault="00C76D1F" w:rsidP="00C76D1F">
            <w:pPr>
              <w:jc w:val="both"/>
              <w:rPr>
                <w:sz w:val="20"/>
              </w:rPr>
            </w:pPr>
          </w:p>
        </w:tc>
        <w:tc>
          <w:tcPr>
            <w:tcW w:w="2475" w:type="pct"/>
          </w:tcPr>
          <w:p w:rsidR="00C76D1F" w:rsidRPr="00C76D1F" w:rsidRDefault="00C76D1F" w:rsidP="00C76D1F">
            <w:pPr>
              <w:jc w:val="both"/>
              <w:rPr>
                <w:sz w:val="20"/>
              </w:rPr>
            </w:pPr>
            <w:r w:rsidRPr="00C76D1F">
              <w:rPr>
                <w:color w:val="262626"/>
                <w:sz w:val="20"/>
              </w:rPr>
              <w:t>On motion for directions, order and declaration regarding what is to happen to documents produced and prepared for the Independent Assessment ‎Process</w:t>
            </w:r>
          </w:p>
        </w:tc>
      </w:tr>
      <w:tr w:rsidR="00C76D1F" w:rsidRPr="00C76D1F" w:rsidTr="00D1708D">
        <w:tc>
          <w:tcPr>
            <w:tcW w:w="2379" w:type="pct"/>
            <w:gridSpan w:val="2"/>
          </w:tcPr>
          <w:p w:rsidR="00C76D1F" w:rsidRPr="00C76D1F" w:rsidRDefault="00C76D1F" w:rsidP="00C76D1F">
            <w:pPr>
              <w:jc w:val="both"/>
              <w:rPr>
                <w:sz w:val="20"/>
              </w:rPr>
            </w:pPr>
            <w:r w:rsidRPr="00C76D1F">
              <w:rPr>
                <w:sz w:val="20"/>
              </w:rPr>
              <w:t>April 4, 2016</w:t>
            </w:r>
          </w:p>
          <w:p w:rsidR="00C76D1F" w:rsidRPr="00C76D1F" w:rsidRDefault="00C76D1F" w:rsidP="00C76D1F">
            <w:pPr>
              <w:jc w:val="both"/>
              <w:rPr>
                <w:sz w:val="20"/>
              </w:rPr>
            </w:pPr>
            <w:r w:rsidRPr="00C76D1F">
              <w:rPr>
                <w:sz w:val="20"/>
              </w:rPr>
              <w:t>Court of Appeal for Ontario</w:t>
            </w:r>
          </w:p>
          <w:p w:rsidR="00C76D1F" w:rsidRPr="00C76D1F" w:rsidRDefault="00C76D1F" w:rsidP="00C76D1F">
            <w:pPr>
              <w:jc w:val="both"/>
              <w:rPr>
                <w:sz w:val="20"/>
              </w:rPr>
            </w:pPr>
            <w:r w:rsidRPr="00C76D1F">
              <w:rPr>
                <w:sz w:val="20"/>
              </w:rPr>
              <w:t xml:space="preserve">(Strathy, Sharpe [dissenting], </w:t>
            </w:r>
          </w:p>
          <w:p w:rsidR="00C76D1F" w:rsidRPr="00C76D1F" w:rsidRDefault="00C76D1F" w:rsidP="00C76D1F">
            <w:pPr>
              <w:jc w:val="both"/>
              <w:rPr>
                <w:sz w:val="20"/>
              </w:rPr>
            </w:pPr>
            <w:proofErr w:type="spellStart"/>
            <w:r w:rsidRPr="00C76D1F">
              <w:rPr>
                <w:sz w:val="20"/>
              </w:rPr>
              <w:t>MacFarland</w:t>
            </w:r>
            <w:proofErr w:type="spellEnd"/>
            <w:r w:rsidRPr="00C76D1F">
              <w:rPr>
                <w:sz w:val="20"/>
              </w:rPr>
              <w:t xml:space="preserve"> JJ.A.)</w:t>
            </w:r>
          </w:p>
          <w:p w:rsidR="00C76D1F" w:rsidRPr="00C76D1F" w:rsidRDefault="000221AE" w:rsidP="00C76D1F">
            <w:pPr>
              <w:jc w:val="both"/>
              <w:rPr>
                <w:sz w:val="20"/>
              </w:rPr>
            </w:pPr>
            <w:hyperlink r:id="rId29" w:history="1">
              <w:r w:rsidR="00C76D1F" w:rsidRPr="00C76D1F">
                <w:rPr>
                  <w:rStyle w:val="Hyperlink"/>
                  <w:sz w:val="20"/>
                </w:rPr>
                <w:t>2016 ONCA 241</w:t>
              </w:r>
            </w:hyperlink>
          </w:p>
          <w:p w:rsidR="00C76D1F" w:rsidRPr="00C76D1F" w:rsidRDefault="00C76D1F" w:rsidP="00C76D1F">
            <w:pPr>
              <w:jc w:val="both"/>
              <w:rPr>
                <w:sz w:val="20"/>
              </w:rPr>
            </w:pPr>
          </w:p>
        </w:tc>
        <w:tc>
          <w:tcPr>
            <w:tcW w:w="146" w:type="pct"/>
          </w:tcPr>
          <w:p w:rsidR="00C76D1F" w:rsidRPr="00C76D1F" w:rsidRDefault="00C76D1F" w:rsidP="00C76D1F">
            <w:pPr>
              <w:jc w:val="both"/>
              <w:rPr>
                <w:sz w:val="20"/>
              </w:rPr>
            </w:pPr>
          </w:p>
        </w:tc>
        <w:tc>
          <w:tcPr>
            <w:tcW w:w="2475" w:type="pct"/>
          </w:tcPr>
          <w:p w:rsidR="00C76D1F" w:rsidRPr="00C76D1F" w:rsidRDefault="00C76D1F" w:rsidP="00C76D1F">
            <w:pPr>
              <w:jc w:val="both"/>
              <w:rPr>
                <w:sz w:val="20"/>
              </w:rPr>
            </w:pPr>
            <w:r w:rsidRPr="00C76D1F">
              <w:rPr>
                <w:color w:val="262626"/>
                <w:sz w:val="20"/>
              </w:rPr>
              <w:t>Appeal allowed in part; appeal and cross appeals otherwise dismissed</w:t>
            </w:r>
          </w:p>
          <w:p w:rsidR="00C76D1F" w:rsidRPr="00C76D1F" w:rsidRDefault="00C76D1F" w:rsidP="00C76D1F">
            <w:pPr>
              <w:jc w:val="both"/>
              <w:rPr>
                <w:sz w:val="20"/>
              </w:rPr>
            </w:pPr>
          </w:p>
        </w:tc>
      </w:tr>
      <w:tr w:rsidR="00C76D1F" w:rsidRPr="00C76D1F" w:rsidTr="00D1708D">
        <w:tc>
          <w:tcPr>
            <w:tcW w:w="2379" w:type="pct"/>
            <w:gridSpan w:val="2"/>
          </w:tcPr>
          <w:p w:rsidR="00C76D1F" w:rsidRPr="00C76D1F" w:rsidRDefault="00C76D1F" w:rsidP="00C76D1F">
            <w:pPr>
              <w:jc w:val="both"/>
              <w:rPr>
                <w:sz w:val="20"/>
              </w:rPr>
            </w:pPr>
            <w:r w:rsidRPr="00C76D1F">
              <w:rPr>
                <w:sz w:val="20"/>
              </w:rPr>
              <w:t>May 31, 2016</w:t>
            </w:r>
          </w:p>
          <w:p w:rsidR="00C76D1F" w:rsidRPr="00C76D1F" w:rsidRDefault="00C76D1F" w:rsidP="00C76D1F">
            <w:pPr>
              <w:jc w:val="both"/>
              <w:rPr>
                <w:sz w:val="20"/>
              </w:rPr>
            </w:pPr>
            <w:r w:rsidRPr="00C76D1F">
              <w:rPr>
                <w:sz w:val="20"/>
              </w:rPr>
              <w:t>Supreme Court of Canada</w:t>
            </w:r>
          </w:p>
          <w:p w:rsidR="00C76D1F" w:rsidRPr="00C76D1F" w:rsidRDefault="00C76D1F" w:rsidP="00C76D1F">
            <w:pPr>
              <w:jc w:val="both"/>
              <w:rPr>
                <w:sz w:val="20"/>
              </w:rPr>
            </w:pPr>
          </w:p>
        </w:tc>
        <w:tc>
          <w:tcPr>
            <w:tcW w:w="146" w:type="pct"/>
          </w:tcPr>
          <w:p w:rsidR="00C76D1F" w:rsidRPr="00C76D1F" w:rsidRDefault="00C76D1F" w:rsidP="00C76D1F">
            <w:pPr>
              <w:jc w:val="both"/>
              <w:rPr>
                <w:sz w:val="20"/>
              </w:rPr>
            </w:pPr>
          </w:p>
        </w:tc>
        <w:tc>
          <w:tcPr>
            <w:tcW w:w="2475" w:type="pct"/>
          </w:tcPr>
          <w:p w:rsidR="00C76D1F" w:rsidRPr="00C76D1F" w:rsidRDefault="00C76D1F" w:rsidP="00C76D1F">
            <w:pPr>
              <w:jc w:val="both"/>
              <w:rPr>
                <w:sz w:val="20"/>
              </w:rPr>
            </w:pPr>
            <w:r w:rsidRPr="00C76D1F">
              <w:rPr>
                <w:sz w:val="20"/>
              </w:rPr>
              <w:t>Application for leave to appeal filed</w:t>
            </w:r>
          </w:p>
          <w:p w:rsidR="00C76D1F" w:rsidRPr="00C76D1F" w:rsidRDefault="00C76D1F" w:rsidP="00C76D1F">
            <w:pPr>
              <w:jc w:val="both"/>
              <w:rPr>
                <w:sz w:val="20"/>
              </w:rPr>
            </w:pPr>
          </w:p>
        </w:tc>
      </w:tr>
      <w:tr w:rsidR="00C76D1F" w:rsidRPr="00C76D1F" w:rsidTr="00D1708D">
        <w:tc>
          <w:tcPr>
            <w:tcW w:w="2379" w:type="pct"/>
            <w:gridSpan w:val="2"/>
          </w:tcPr>
          <w:p w:rsidR="00C76D1F" w:rsidRPr="00C76D1F" w:rsidRDefault="00C76D1F" w:rsidP="00C76D1F">
            <w:pPr>
              <w:jc w:val="both"/>
              <w:rPr>
                <w:sz w:val="20"/>
              </w:rPr>
            </w:pPr>
            <w:r w:rsidRPr="00C76D1F">
              <w:rPr>
                <w:sz w:val="20"/>
              </w:rPr>
              <w:t>August 2, 2016</w:t>
            </w:r>
          </w:p>
          <w:p w:rsidR="00C76D1F" w:rsidRPr="00C76D1F" w:rsidRDefault="00C76D1F" w:rsidP="00C76D1F">
            <w:pPr>
              <w:jc w:val="both"/>
              <w:rPr>
                <w:sz w:val="20"/>
              </w:rPr>
            </w:pPr>
            <w:r w:rsidRPr="00C76D1F">
              <w:rPr>
                <w:sz w:val="20"/>
              </w:rPr>
              <w:t>Supreme Court of Canada</w:t>
            </w:r>
          </w:p>
          <w:p w:rsidR="00C76D1F" w:rsidRPr="00C76D1F" w:rsidRDefault="00C76D1F" w:rsidP="00C76D1F">
            <w:pPr>
              <w:jc w:val="both"/>
              <w:rPr>
                <w:sz w:val="20"/>
              </w:rPr>
            </w:pPr>
          </w:p>
        </w:tc>
        <w:tc>
          <w:tcPr>
            <w:tcW w:w="146" w:type="pct"/>
          </w:tcPr>
          <w:p w:rsidR="00C76D1F" w:rsidRPr="00C76D1F" w:rsidRDefault="00C76D1F" w:rsidP="00C76D1F">
            <w:pPr>
              <w:jc w:val="both"/>
              <w:rPr>
                <w:sz w:val="20"/>
              </w:rPr>
            </w:pPr>
          </w:p>
        </w:tc>
        <w:tc>
          <w:tcPr>
            <w:tcW w:w="2475" w:type="pct"/>
          </w:tcPr>
          <w:p w:rsidR="00C76D1F" w:rsidRPr="00C76D1F" w:rsidRDefault="00C76D1F" w:rsidP="00C76D1F">
            <w:pPr>
              <w:jc w:val="both"/>
              <w:rPr>
                <w:sz w:val="20"/>
              </w:rPr>
            </w:pPr>
            <w:r w:rsidRPr="00C76D1F">
              <w:rPr>
                <w:sz w:val="20"/>
              </w:rPr>
              <w:t xml:space="preserve">Conditional application for leave to cross-appeal filed </w:t>
            </w:r>
          </w:p>
        </w:tc>
      </w:tr>
      <w:tr w:rsidR="00C76D1F" w:rsidRPr="00C76D1F" w:rsidTr="00D1708D">
        <w:tc>
          <w:tcPr>
            <w:tcW w:w="2379" w:type="pct"/>
            <w:gridSpan w:val="2"/>
          </w:tcPr>
          <w:p w:rsidR="00C76D1F" w:rsidRPr="00C76D1F" w:rsidRDefault="00C76D1F" w:rsidP="00C76D1F">
            <w:pPr>
              <w:jc w:val="both"/>
              <w:rPr>
                <w:sz w:val="20"/>
              </w:rPr>
            </w:pPr>
            <w:r w:rsidRPr="00C76D1F">
              <w:rPr>
                <w:sz w:val="20"/>
              </w:rPr>
              <w:t>August 2, 2016</w:t>
            </w:r>
          </w:p>
          <w:p w:rsidR="00C76D1F" w:rsidRPr="00C76D1F" w:rsidRDefault="00C76D1F" w:rsidP="00C76D1F">
            <w:pPr>
              <w:jc w:val="both"/>
              <w:rPr>
                <w:sz w:val="20"/>
              </w:rPr>
            </w:pPr>
            <w:r w:rsidRPr="00C76D1F">
              <w:rPr>
                <w:sz w:val="20"/>
              </w:rPr>
              <w:t>Supreme Court of Canada</w:t>
            </w:r>
          </w:p>
        </w:tc>
        <w:tc>
          <w:tcPr>
            <w:tcW w:w="146" w:type="pct"/>
          </w:tcPr>
          <w:p w:rsidR="00C76D1F" w:rsidRPr="00C76D1F" w:rsidRDefault="00C76D1F" w:rsidP="00C76D1F">
            <w:pPr>
              <w:jc w:val="both"/>
              <w:rPr>
                <w:sz w:val="20"/>
              </w:rPr>
            </w:pPr>
          </w:p>
        </w:tc>
        <w:tc>
          <w:tcPr>
            <w:tcW w:w="2475" w:type="pct"/>
          </w:tcPr>
          <w:p w:rsidR="00C76D1F" w:rsidRPr="00C76D1F" w:rsidRDefault="00C76D1F" w:rsidP="00C76D1F">
            <w:pPr>
              <w:jc w:val="both"/>
              <w:rPr>
                <w:sz w:val="20"/>
              </w:rPr>
            </w:pPr>
            <w:r w:rsidRPr="00C76D1F">
              <w:rPr>
                <w:sz w:val="20"/>
              </w:rPr>
              <w:t>Motion to be added as a party filed by the Inuit representatives</w:t>
            </w:r>
          </w:p>
        </w:tc>
      </w:tr>
    </w:tbl>
    <w:p w:rsidR="00C76D1F" w:rsidRDefault="00C76D1F" w:rsidP="00C76D1F">
      <w:pPr>
        <w:jc w:val="both"/>
        <w:rPr>
          <w:sz w:val="20"/>
        </w:rPr>
      </w:pPr>
    </w:p>
    <w:p w:rsidR="00C76D1F" w:rsidRPr="00C76D1F" w:rsidRDefault="00C76D1F" w:rsidP="00C76D1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04"/>
        <w:gridCol w:w="271"/>
        <w:gridCol w:w="4589"/>
      </w:tblGrid>
      <w:tr w:rsidR="00C76D1F" w:rsidRPr="00C76D1F" w:rsidTr="00D07A7A">
        <w:tc>
          <w:tcPr>
            <w:tcW w:w="543" w:type="pct"/>
          </w:tcPr>
          <w:p w:rsidR="00C76D1F" w:rsidRPr="00C76D1F" w:rsidRDefault="00C76D1F" w:rsidP="00C76D1F">
            <w:pPr>
              <w:jc w:val="both"/>
              <w:rPr>
                <w:sz w:val="20"/>
                <w:lang w:val="fr-CA"/>
              </w:rPr>
            </w:pPr>
            <w:r w:rsidRPr="00C76D1F">
              <w:rPr>
                <w:rStyle w:val="SCCFileNumberChar"/>
                <w:sz w:val="20"/>
                <w:szCs w:val="20"/>
                <w:lang w:val="fr-CA"/>
              </w:rPr>
              <w:t>37037</w:t>
            </w:r>
          </w:p>
        </w:tc>
        <w:tc>
          <w:tcPr>
            <w:tcW w:w="4457" w:type="pct"/>
            <w:gridSpan w:val="3"/>
          </w:tcPr>
          <w:p w:rsidR="00C76D1F" w:rsidRPr="00C76D1F" w:rsidRDefault="00C76D1F" w:rsidP="00C76D1F">
            <w:pPr>
              <w:jc w:val="both"/>
              <w:rPr>
                <w:b/>
                <w:sz w:val="20"/>
              </w:rPr>
            </w:pPr>
            <w:proofErr w:type="spellStart"/>
            <w:r w:rsidRPr="00C76D1F">
              <w:rPr>
                <w:b/>
                <w:sz w:val="20"/>
              </w:rPr>
              <w:t>Procureur</w:t>
            </w:r>
            <w:proofErr w:type="spellEnd"/>
            <w:r w:rsidRPr="00C76D1F">
              <w:rPr>
                <w:b/>
                <w:sz w:val="20"/>
              </w:rPr>
              <w:t xml:space="preserve"> </w:t>
            </w:r>
            <w:proofErr w:type="spellStart"/>
            <w:r w:rsidRPr="00C76D1F">
              <w:rPr>
                <w:b/>
                <w:sz w:val="20"/>
              </w:rPr>
              <w:t>général</w:t>
            </w:r>
            <w:proofErr w:type="spellEnd"/>
            <w:r w:rsidRPr="00C76D1F">
              <w:rPr>
                <w:b/>
                <w:sz w:val="20"/>
              </w:rPr>
              <w:t xml:space="preserve"> du Canada c. Larry Philip Fontaine à </w:t>
            </w:r>
            <w:proofErr w:type="spellStart"/>
            <w:r w:rsidRPr="00C76D1F">
              <w:rPr>
                <w:b/>
                <w:sz w:val="20"/>
              </w:rPr>
              <w:t>titre</w:t>
            </w:r>
            <w:proofErr w:type="spellEnd"/>
            <w:r w:rsidRPr="00C76D1F">
              <w:rPr>
                <w:b/>
                <w:sz w:val="20"/>
              </w:rPr>
              <w:t xml:space="preserve"> personnel et </w:t>
            </w:r>
            <w:proofErr w:type="spellStart"/>
            <w:r w:rsidRPr="00C76D1F">
              <w:rPr>
                <w:b/>
                <w:sz w:val="20"/>
              </w:rPr>
              <w:t>en</w:t>
            </w:r>
            <w:proofErr w:type="spellEnd"/>
            <w:r w:rsidRPr="00C76D1F">
              <w:rPr>
                <w:b/>
                <w:sz w:val="20"/>
              </w:rPr>
              <w:t xml:space="preserve"> </w:t>
            </w:r>
            <w:proofErr w:type="spellStart"/>
            <w:r w:rsidRPr="00C76D1F">
              <w:rPr>
                <w:b/>
                <w:sz w:val="20"/>
              </w:rPr>
              <w:t>sa</w:t>
            </w:r>
            <w:proofErr w:type="spellEnd"/>
            <w:r w:rsidRPr="00C76D1F">
              <w:rPr>
                <w:b/>
                <w:sz w:val="20"/>
              </w:rPr>
              <w:t xml:space="preserve"> </w:t>
            </w:r>
            <w:proofErr w:type="spellStart"/>
            <w:r w:rsidRPr="00C76D1F">
              <w:rPr>
                <w:b/>
                <w:sz w:val="20"/>
              </w:rPr>
              <w:t>qualité</w:t>
            </w:r>
            <w:proofErr w:type="spellEnd"/>
            <w:r w:rsidRPr="00C76D1F">
              <w:rPr>
                <w:b/>
                <w:sz w:val="20"/>
              </w:rPr>
              <w:t xml:space="preserve"> </w:t>
            </w:r>
            <w:proofErr w:type="spellStart"/>
            <w:r w:rsidRPr="00C76D1F">
              <w:rPr>
                <w:b/>
                <w:sz w:val="20"/>
              </w:rPr>
              <w:t>d’exécuteur</w:t>
            </w:r>
            <w:proofErr w:type="spellEnd"/>
            <w:r w:rsidRPr="00C76D1F">
              <w:rPr>
                <w:b/>
                <w:sz w:val="20"/>
              </w:rPr>
              <w:t xml:space="preserve"> de la succession </w:t>
            </w:r>
            <w:proofErr w:type="spellStart"/>
            <w:r w:rsidRPr="00C76D1F">
              <w:rPr>
                <w:b/>
                <w:sz w:val="20"/>
              </w:rPr>
              <w:t>d’Agnes</w:t>
            </w:r>
            <w:proofErr w:type="spellEnd"/>
            <w:r w:rsidRPr="00C76D1F">
              <w:rPr>
                <w:b/>
                <w:sz w:val="20"/>
              </w:rPr>
              <w:t xml:space="preserve"> Mary Fontaine, </w:t>
            </w:r>
            <w:proofErr w:type="spellStart"/>
            <w:r w:rsidRPr="00C76D1F">
              <w:rPr>
                <w:b/>
                <w:sz w:val="20"/>
              </w:rPr>
              <w:t>décédée</w:t>
            </w:r>
            <w:proofErr w:type="spellEnd"/>
            <w:r w:rsidRPr="00C76D1F">
              <w:rPr>
                <w:b/>
                <w:sz w:val="20"/>
              </w:rPr>
              <w:t xml:space="preserve">, </w:t>
            </w:r>
            <w:proofErr w:type="spellStart"/>
            <w:r w:rsidRPr="00C76D1F">
              <w:rPr>
                <w:b/>
                <w:sz w:val="20"/>
              </w:rPr>
              <w:t>Michelline</w:t>
            </w:r>
            <w:proofErr w:type="spellEnd"/>
            <w:r w:rsidRPr="00C76D1F">
              <w:rPr>
                <w:b/>
                <w:sz w:val="20"/>
              </w:rPr>
              <w:t xml:space="preserve"> </w:t>
            </w:r>
            <w:proofErr w:type="spellStart"/>
            <w:r w:rsidRPr="00C76D1F">
              <w:rPr>
                <w:b/>
                <w:sz w:val="20"/>
              </w:rPr>
              <w:t>Ammaq</w:t>
            </w:r>
            <w:proofErr w:type="spellEnd"/>
            <w:r w:rsidRPr="00C76D1F">
              <w:rPr>
                <w:b/>
                <w:sz w:val="20"/>
              </w:rPr>
              <w:t xml:space="preserve">, Percy Archie, Charles Baxter Sr., Elijah Baxter, Evelyn Baxter, Donald </w:t>
            </w:r>
            <w:proofErr w:type="spellStart"/>
            <w:r w:rsidRPr="00C76D1F">
              <w:rPr>
                <w:b/>
                <w:sz w:val="20"/>
              </w:rPr>
              <w:t>Belcourt</w:t>
            </w:r>
            <w:proofErr w:type="spellEnd"/>
            <w:r w:rsidRPr="00C76D1F">
              <w:rPr>
                <w:b/>
                <w:sz w:val="20"/>
              </w:rPr>
              <w:t xml:space="preserve">, Nora Bernard, John </w:t>
            </w:r>
            <w:proofErr w:type="spellStart"/>
            <w:r w:rsidRPr="00C76D1F">
              <w:rPr>
                <w:b/>
                <w:sz w:val="20"/>
              </w:rPr>
              <w:t>Bosum</w:t>
            </w:r>
            <w:proofErr w:type="spellEnd"/>
            <w:r w:rsidRPr="00C76D1F">
              <w:rPr>
                <w:b/>
                <w:sz w:val="20"/>
              </w:rPr>
              <w:t xml:space="preserve">, Janet Brewster, Rhonda Buffalo, Ernestine </w:t>
            </w:r>
            <w:proofErr w:type="spellStart"/>
            <w:r w:rsidRPr="00C76D1F">
              <w:rPr>
                <w:b/>
                <w:sz w:val="20"/>
              </w:rPr>
              <w:t>Caibaiosai-Gidmark</w:t>
            </w:r>
            <w:proofErr w:type="spellEnd"/>
            <w:r w:rsidRPr="00C76D1F">
              <w:rPr>
                <w:b/>
                <w:sz w:val="20"/>
              </w:rPr>
              <w:t xml:space="preserve">, Michael </w:t>
            </w:r>
            <w:proofErr w:type="spellStart"/>
            <w:r w:rsidRPr="00C76D1F">
              <w:rPr>
                <w:b/>
                <w:sz w:val="20"/>
              </w:rPr>
              <w:t>Carpan</w:t>
            </w:r>
            <w:proofErr w:type="spellEnd"/>
            <w:r w:rsidRPr="00C76D1F">
              <w:rPr>
                <w:b/>
                <w:sz w:val="20"/>
              </w:rPr>
              <w:t xml:space="preserve">, Brenda Cyr, Deanna Cyr, Malcolm Dawson, Ann Dene, Benny Doctor, Lucy Doctor, James Fontaine à </w:t>
            </w:r>
            <w:proofErr w:type="spellStart"/>
            <w:r w:rsidRPr="00C76D1F">
              <w:rPr>
                <w:b/>
                <w:sz w:val="20"/>
              </w:rPr>
              <w:t>titre</w:t>
            </w:r>
            <w:proofErr w:type="spellEnd"/>
            <w:r w:rsidRPr="00C76D1F">
              <w:rPr>
                <w:b/>
                <w:sz w:val="20"/>
              </w:rPr>
              <w:t xml:space="preserve"> personnel et </w:t>
            </w:r>
            <w:proofErr w:type="spellStart"/>
            <w:r w:rsidRPr="00C76D1F">
              <w:rPr>
                <w:b/>
                <w:sz w:val="20"/>
              </w:rPr>
              <w:t>en</w:t>
            </w:r>
            <w:proofErr w:type="spellEnd"/>
            <w:r w:rsidRPr="00C76D1F">
              <w:rPr>
                <w:b/>
                <w:sz w:val="20"/>
              </w:rPr>
              <w:t xml:space="preserve"> </w:t>
            </w:r>
            <w:proofErr w:type="spellStart"/>
            <w:r w:rsidRPr="00C76D1F">
              <w:rPr>
                <w:b/>
                <w:sz w:val="20"/>
              </w:rPr>
              <w:t>sa</w:t>
            </w:r>
            <w:proofErr w:type="spellEnd"/>
            <w:r w:rsidRPr="00C76D1F">
              <w:rPr>
                <w:b/>
                <w:sz w:val="20"/>
              </w:rPr>
              <w:t xml:space="preserve"> </w:t>
            </w:r>
            <w:proofErr w:type="spellStart"/>
            <w:r w:rsidRPr="00C76D1F">
              <w:rPr>
                <w:b/>
                <w:sz w:val="20"/>
              </w:rPr>
              <w:t>qualité</w:t>
            </w:r>
            <w:proofErr w:type="spellEnd"/>
            <w:r w:rsidRPr="00C76D1F">
              <w:rPr>
                <w:b/>
                <w:sz w:val="20"/>
              </w:rPr>
              <w:t xml:space="preserve"> </w:t>
            </w:r>
            <w:proofErr w:type="spellStart"/>
            <w:r w:rsidRPr="00C76D1F">
              <w:rPr>
                <w:b/>
                <w:sz w:val="20"/>
              </w:rPr>
              <w:t>d’exécuteur</w:t>
            </w:r>
            <w:proofErr w:type="spellEnd"/>
            <w:r w:rsidRPr="00C76D1F">
              <w:rPr>
                <w:b/>
                <w:sz w:val="20"/>
              </w:rPr>
              <w:t xml:space="preserve"> de la succession </w:t>
            </w:r>
            <w:proofErr w:type="spellStart"/>
            <w:r w:rsidRPr="00C76D1F">
              <w:rPr>
                <w:b/>
                <w:sz w:val="20"/>
              </w:rPr>
              <w:t>d’Agnes</w:t>
            </w:r>
            <w:proofErr w:type="spellEnd"/>
            <w:r w:rsidRPr="00C76D1F">
              <w:rPr>
                <w:b/>
                <w:sz w:val="20"/>
              </w:rPr>
              <w:t xml:space="preserve"> Mary Fontaine, </w:t>
            </w:r>
            <w:proofErr w:type="spellStart"/>
            <w:r w:rsidRPr="00C76D1F">
              <w:rPr>
                <w:b/>
                <w:sz w:val="20"/>
              </w:rPr>
              <w:t>décédée</w:t>
            </w:r>
            <w:proofErr w:type="spellEnd"/>
            <w:r w:rsidRPr="00C76D1F">
              <w:rPr>
                <w:b/>
                <w:sz w:val="20"/>
              </w:rPr>
              <w:t xml:space="preserve">, Vincent Bradley Fontaine, Dana Eva Marie </w:t>
            </w:r>
            <w:proofErr w:type="spellStart"/>
            <w:r w:rsidRPr="00C76D1F">
              <w:rPr>
                <w:b/>
                <w:sz w:val="20"/>
              </w:rPr>
              <w:t>Francey</w:t>
            </w:r>
            <w:proofErr w:type="spellEnd"/>
            <w:r w:rsidRPr="00C76D1F">
              <w:rPr>
                <w:b/>
                <w:sz w:val="20"/>
              </w:rPr>
              <w:t xml:space="preserve">, Peggy Good, Fred Kelly, Rosemarie </w:t>
            </w:r>
            <w:proofErr w:type="spellStart"/>
            <w:r w:rsidRPr="00C76D1F">
              <w:rPr>
                <w:b/>
                <w:sz w:val="20"/>
              </w:rPr>
              <w:t>Kuptana</w:t>
            </w:r>
            <w:proofErr w:type="spellEnd"/>
            <w:r w:rsidRPr="00C76D1F">
              <w:rPr>
                <w:b/>
                <w:sz w:val="20"/>
              </w:rPr>
              <w:t xml:space="preserve">, Elizabeth </w:t>
            </w:r>
            <w:proofErr w:type="spellStart"/>
            <w:r w:rsidRPr="00C76D1F">
              <w:rPr>
                <w:b/>
                <w:sz w:val="20"/>
              </w:rPr>
              <w:t>Kusiak</w:t>
            </w:r>
            <w:proofErr w:type="spellEnd"/>
            <w:r w:rsidRPr="00C76D1F">
              <w:rPr>
                <w:b/>
                <w:sz w:val="20"/>
              </w:rPr>
              <w:t xml:space="preserve">, Theresa, </w:t>
            </w:r>
            <w:proofErr w:type="spellStart"/>
            <w:r w:rsidRPr="00C76D1F">
              <w:rPr>
                <w:b/>
                <w:sz w:val="20"/>
              </w:rPr>
              <w:t>Larocque</w:t>
            </w:r>
            <w:proofErr w:type="spellEnd"/>
            <w:r w:rsidRPr="00C76D1F">
              <w:rPr>
                <w:b/>
                <w:sz w:val="20"/>
              </w:rPr>
              <w:t xml:space="preserve">, Jane McCullum, Cornelius </w:t>
            </w:r>
            <w:proofErr w:type="spellStart"/>
            <w:r w:rsidRPr="00C76D1F">
              <w:rPr>
                <w:b/>
                <w:sz w:val="20"/>
              </w:rPr>
              <w:t>McComber</w:t>
            </w:r>
            <w:proofErr w:type="spellEnd"/>
            <w:r w:rsidRPr="00C76D1F">
              <w:rPr>
                <w:b/>
                <w:sz w:val="20"/>
              </w:rPr>
              <w:t xml:space="preserve">, Veronica Marten, </w:t>
            </w:r>
            <w:r w:rsidRPr="00C76D1F">
              <w:rPr>
                <w:b/>
                <w:sz w:val="20"/>
              </w:rPr>
              <w:lastRenderedPageBreak/>
              <w:t xml:space="preserve">Stanley Thomas </w:t>
            </w:r>
            <w:proofErr w:type="spellStart"/>
            <w:r w:rsidRPr="00C76D1F">
              <w:rPr>
                <w:b/>
                <w:sz w:val="20"/>
              </w:rPr>
              <w:t>Nepetaypo</w:t>
            </w:r>
            <w:proofErr w:type="spellEnd"/>
            <w:r w:rsidRPr="00C76D1F">
              <w:rPr>
                <w:b/>
                <w:sz w:val="20"/>
              </w:rPr>
              <w:t xml:space="preserve">, Flora Northwest, Norman </w:t>
            </w:r>
            <w:proofErr w:type="spellStart"/>
            <w:r w:rsidRPr="00C76D1F">
              <w:rPr>
                <w:b/>
                <w:sz w:val="20"/>
              </w:rPr>
              <w:t>Pauchey</w:t>
            </w:r>
            <w:proofErr w:type="spellEnd"/>
            <w:r w:rsidRPr="00C76D1F">
              <w:rPr>
                <w:b/>
                <w:sz w:val="20"/>
              </w:rPr>
              <w:t xml:space="preserve">, </w:t>
            </w:r>
            <w:proofErr w:type="spellStart"/>
            <w:r w:rsidRPr="00C76D1F">
              <w:rPr>
                <w:b/>
                <w:sz w:val="20"/>
              </w:rPr>
              <w:t>Camble</w:t>
            </w:r>
            <w:proofErr w:type="spellEnd"/>
            <w:r w:rsidRPr="00C76D1F">
              <w:rPr>
                <w:b/>
                <w:sz w:val="20"/>
              </w:rPr>
              <w:t xml:space="preserve"> </w:t>
            </w:r>
            <w:proofErr w:type="spellStart"/>
            <w:r w:rsidRPr="00C76D1F">
              <w:rPr>
                <w:b/>
                <w:sz w:val="20"/>
              </w:rPr>
              <w:t>Quatell</w:t>
            </w:r>
            <w:proofErr w:type="spellEnd"/>
            <w:r w:rsidRPr="00C76D1F">
              <w:rPr>
                <w:b/>
                <w:sz w:val="20"/>
              </w:rPr>
              <w:t xml:space="preserve">, Alvin Barney </w:t>
            </w:r>
            <w:proofErr w:type="spellStart"/>
            <w:r w:rsidRPr="00C76D1F">
              <w:rPr>
                <w:b/>
                <w:sz w:val="20"/>
              </w:rPr>
              <w:t>Saulteaux</w:t>
            </w:r>
            <w:proofErr w:type="spellEnd"/>
            <w:r w:rsidRPr="00C76D1F">
              <w:rPr>
                <w:b/>
                <w:sz w:val="20"/>
              </w:rPr>
              <w:t xml:space="preserve">, Christine </w:t>
            </w:r>
            <w:proofErr w:type="spellStart"/>
            <w:r w:rsidRPr="00C76D1F">
              <w:rPr>
                <w:b/>
                <w:sz w:val="20"/>
              </w:rPr>
              <w:t>Semple</w:t>
            </w:r>
            <w:proofErr w:type="spellEnd"/>
            <w:r w:rsidRPr="00C76D1F">
              <w:rPr>
                <w:b/>
                <w:sz w:val="20"/>
              </w:rPr>
              <w:t xml:space="preserve">, Dennis </w:t>
            </w:r>
            <w:proofErr w:type="spellStart"/>
            <w:r w:rsidRPr="00C76D1F">
              <w:rPr>
                <w:b/>
                <w:sz w:val="20"/>
              </w:rPr>
              <w:t>Smokeyday</w:t>
            </w:r>
            <w:proofErr w:type="spellEnd"/>
            <w:r w:rsidRPr="00C76D1F">
              <w:rPr>
                <w:b/>
                <w:sz w:val="20"/>
              </w:rPr>
              <w:t xml:space="preserve">, Kenneth </w:t>
            </w:r>
            <w:proofErr w:type="spellStart"/>
            <w:r w:rsidRPr="00C76D1F">
              <w:rPr>
                <w:b/>
                <w:sz w:val="20"/>
              </w:rPr>
              <w:t>Sparvier</w:t>
            </w:r>
            <w:proofErr w:type="spellEnd"/>
            <w:r w:rsidRPr="00C76D1F">
              <w:rPr>
                <w:b/>
                <w:sz w:val="20"/>
              </w:rPr>
              <w:t xml:space="preserve">, Edward </w:t>
            </w:r>
            <w:proofErr w:type="spellStart"/>
            <w:r w:rsidRPr="00C76D1F">
              <w:rPr>
                <w:b/>
                <w:sz w:val="20"/>
              </w:rPr>
              <w:t>Tapiatic</w:t>
            </w:r>
            <w:proofErr w:type="spellEnd"/>
            <w:r w:rsidRPr="00C76D1F">
              <w:rPr>
                <w:b/>
                <w:sz w:val="20"/>
              </w:rPr>
              <w:t xml:space="preserve">, Helen </w:t>
            </w:r>
            <w:proofErr w:type="spellStart"/>
            <w:r w:rsidRPr="00C76D1F">
              <w:rPr>
                <w:b/>
                <w:sz w:val="20"/>
              </w:rPr>
              <w:t>Winderman</w:t>
            </w:r>
            <w:proofErr w:type="spellEnd"/>
            <w:r w:rsidRPr="00C76D1F">
              <w:rPr>
                <w:b/>
                <w:sz w:val="20"/>
              </w:rPr>
              <w:t xml:space="preserve">, Adrian </w:t>
            </w:r>
            <w:proofErr w:type="spellStart"/>
            <w:r w:rsidRPr="00C76D1F">
              <w:rPr>
                <w:b/>
                <w:sz w:val="20"/>
              </w:rPr>
              <w:t>Yellowknee</w:t>
            </w:r>
            <w:proofErr w:type="spellEnd"/>
            <w:r w:rsidRPr="00C76D1F">
              <w:rPr>
                <w:b/>
                <w:sz w:val="20"/>
              </w:rPr>
              <w:t xml:space="preserve">, </w:t>
            </w:r>
            <w:proofErr w:type="spellStart"/>
            <w:r w:rsidRPr="00C76D1F">
              <w:rPr>
                <w:b/>
                <w:sz w:val="20"/>
              </w:rPr>
              <w:t>l’Église</w:t>
            </w:r>
            <w:proofErr w:type="spellEnd"/>
            <w:r w:rsidRPr="00C76D1F">
              <w:rPr>
                <w:b/>
                <w:sz w:val="20"/>
              </w:rPr>
              <w:t xml:space="preserve"> </w:t>
            </w:r>
            <w:proofErr w:type="spellStart"/>
            <w:r w:rsidRPr="00C76D1F">
              <w:rPr>
                <w:b/>
                <w:sz w:val="20"/>
              </w:rPr>
              <w:t>presbytérienne</w:t>
            </w:r>
            <w:proofErr w:type="spellEnd"/>
            <w:r w:rsidRPr="00C76D1F">
              <w:rPr>
                <w:b/>
                <w:sz w:val="20"/>
              </w:rPr>
              <w:t xml:space="preserve"> au Canada, </w:t>
            </w:r>
            <w:proofErr w:type="spellStart"/>
            <w:r w:rsidRPr="00C76D1F">
              <w:rPr>
                <w:b/>
                <w:sz w:val="20"/>
              </w:rPr>
              <w:t>Synode</w:t>
            </w:r>
            <w:proofErr w:type="spellEnd"/>
            <w:r w:rsidRPr="00C76D1F">
              <w:rPr>
                <w:b/>
                <w:sz w:val="20"/>
              </w:rPr>
              <w:t xml:space="preserve"> </w:t>
            </w:r>
            <w:proofErr w:type="spellStart"/>
            <w:r w:rsidRPr="00C76D1F">
              <w:rPr>
                <w:b/>
                <w:sz w:val="20"/>
              </w:rPr>
              <w:t>général</w:t>
            </w:r>
            <w:proofErr w:type="spellEnd"/>
            <w:r w:rsidRPr="00C76D1F">
              <w:rPr>
                <w:b/>
                <w:sz w:val="20"/>
              </w:rPr>
              <w:t xml:space="preserve"> de </w:t>
            </w:r>
            <w:proofErr w:type="spellStart"/>
            <w:r w:rsidRPr="00C76D1F">
              <w:rPr>
                <w:b/>
                <w:sz w:val="20"/>
              </w:rPr>
              <w:t>l’Église</w:t>
            </w:r>
            <w:proofErr w:type="spellEnd"/>
            <w:r w:rsidRPr="00C76D1F">
              <w:rPr>
                <w:b/>
                <w:sz w:val="20"/>
              </w:rPr>
              <w:t xml:space="preserve"> </w:t>
            </w:r>
            <w:proofErr w:type="spellStart"/>
            <w:r w:rsidRPr="00C76D1F">
              <w:rPr>
                <w:b/>
                <w:sz w:val="20"/>
              </w:rPr>
              <w:t>anglicane</w:t>
            </w:r>
            <w:proofErr w:type="spellEnd"/>
            <w:r w:rsidRPr="00C76D1F">
              <w:rPr>
                <w:b/>
                <w:sz w:val="20"/>
              </w:rPr>
              <w:t xml:space="preserve"> du Canada, </w:t>
            </w:r>
            <w:proofErr w:type="spellStart"/>
            <w:r w:rsidRPr="00C76D1F">
              <w:rPr>
                <w:b/>
                <w:sz w:val="20"/>
              </w:rPr>
              <w:t>l’Église</w:t>
            </w:r>
            <w:proofErr w:type="spellEnd"/>
            <w:r w:rsidRPr="00C76D1F">
              <w:rPr>
                <w:b/>
                <w:sz w:val="20"/>
              </w:rPr>
              <w:t xml:space="preserve"> </w:t>
            </w:r>
            <w:proofErr w:type="spellStart"/>
            <w:r w:rsidRPr="00C76D1F">
              <w:rPr>
                <w:b/>
                <w:sz w:val="20"/>
              </w:rPr>
              <w:t>Unie</w:t>
            </w:r>
            <w:proofErr w:type="spellEnd"/>
            <w:r w:rsidRPr="00C76D1F">
              <w:rPr>
                <w:b/>
                <w:sz w:val="20"/>
              </w:rPr>
              <w:t xml:space="preserve"> du Canada, le </w:t>
            </w:r>
            <w:proofErr w:type="spellStart"/>
            <w:r w:rsidRPr="00C76D1F">
              <w:rPr>
                <w:b/>
                <w:sz w:val="20"/>
              </w:rPr>
              <w:t>Comité</w:t>
            </w:r>
            <w:proofErr w:type="spellEnd"/>
            <w:r w:rsidRPr="00C76D1F">
              <w:rPr>
                <w:b/>
                <w:sz w:val="20"/>
              </w:rPr>
              <w:t xml:space="preserve"> des missions </w:t>
            </w:r>
            <w:proofErr w:type="spellStart"/>
            <w:r w:rsidRPr="00C76D1F">
              <w:rPr>
                <w:b/>
                <w:sz w:val="20"/>
              </w:rPr>
              <w:t>intérieures</w:t>
            </w:r>
            <w:proofErr w:type="spellEnd"/>
            <w:r w:rsidRPr="00C76D1F">
              <w:rPr>
                <w:b/>
                <w:sz w:val="20"/>
              </w:rPr>
              <w:t xml:space="preserve"> de </w:t>
            </w:r>
            <w:proofErr w:type="spellStart"/>
            <w:r w:rsidRPr="00C76D1F">
              <w:rPr>
                <w:b/>
                <w:sz w:val="20"/>
              </w:rPr>
              <w:t>l’Église</w:t>
            </w:r>
            <w:proofErr w:type="spellEnd"/>
            <w:r w:rsidRPr="00C76D1F">
              <w:rPr>
                <w:b/>
                <w:sz w:val="20"/>
              </w:rPr>
              <w:t xml:space="preserve"> </w:t>
            </w:r>
            <w:proofErr w:type="spellStart"/>
            <w:r w:rsidRPr="00C76D1F">
              <w:rPr>
                <w:b/>
                <w:sz w:val="20"/>
              </w:rPr>
              <w:t>Unie</w:t>
            </w:r>
            <w:proofErr w:type="spellEnd"/>
            <w:r w:rsidRPr="00C76D1F">
              <w:rPr>
                <w:b/>
                <w:sz w:val="20"/>
              </w:rPr>
              <w:t xml:space="preserve"> du Canada, Women’s Missionary Society of the Presbyterian Church, Baptist Church in Canada, Board of Home Missions and Social Services of the Presbyterian Church in Bay, Canada Impact North Ministries of the Company for the Propagation of the Gospel in New England (</w:t>
            </w:r>
            <w:proofErr w:type="spellStart"/>
            <w:r w:rsidRPr="00C76D1F">
              <w:rPr>
                <w:b/>
                <w:sz w:val="20"/>
              </w:rPr>
              <w:t>également</w:t>
            </w:r>
            <w:proofErr w:type="spellEnd"/>
            <w:r w:rsidRPr="00C76D1F">
              <w:rPr>
                <w:b/>
                <w:sz w:val="20"/>
              </w:rPr>
              <w:t xml:space="preserve"> </w:t>
            </w:r>
            <w:proofErr w:type="spellStart"/>
            <w:r w:rsidRPr="00C76D1F">
              <w:rPr>
                <w:b/>
                <w:sz w:val="20"/>
              </w:rPr>
              <w:t>connue</w:t>
            </w:r>
            <w:proofErr w:type="spellEnd"/>
            <w:r w:rsidRPr="00C76D1F">
              <w:rPr>
                <w:b/>
                <w:sz w:val="20"/>
              </w:rPr>
              <w:t xml:space="preserve"> sous le nom de New England Company), Diocese of Saskatchewan, Diocese of the Synod of Cariboo, Foreign Mission of the Presbyterian Church in Canada, Incorporated Synod of the Diocese of Huron, Methodist Church of Canada, Missionary Society of the Anglican Church of Canada, Missionary Society of the Methodist Church of Canada (</w:t>
            </w:r>
            <w:proofErr w:type="spellStart"/>
            <w:r w:rsidRPr="00C76D1F">
              <w:rPr>
                <w:b/>
                <w:sz w:val="20"/>
              </w:rPr>
              <w:t>également</w:t>
            </w:r>
            <w:proofErr w:type="spellEnd"/>
            <w:r w:rsidRPr="00C76D1F">
              <w:rPr>
                <w:b/>
                <w:sz w:val="20"/>
              </w:rPr>
              <w:t xml:space="preserve"> </w:t>
            </w:r>
            <w:proofErr w:type="spellStart"/>
            <w:r w:rsidRPr="00C76D1F">
              <w:rPr>
                <w:b/>
                <w:sz w:val="20"/>
              </w:rPr>
              <w:t>connue</w:t>
            </w:r>
            <w:proofErr w:type="spellEnd"/>
            <w:r w:rsidRPr="00C76D1F">
              <w:rPr>
                <w:b/>
                <w:sz w:val="20"/>
              </w:rPr>
              <w:t xml:space="preserve"> sous le nom de Methodist Missionary Society of Canada), 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Qu’Appelle, Synod of the Diocese of New </w:t>
            </w:r>
            <w:proofErr w:type="spellStart"/>
            <w:r w:rsidRPr="00C76D1F">
              <w:rPr>
                <w:b/>
                <w:sz w:val="20"/>
              </w:rPr>
              <w:t>Westminister</w:t>
            </w:r>
            <w:proofErr w:type="spellEnd"/>
            <w:r w:rsidRPr="00C76D1F">
              <w:rPr>
                <w:b/>
                <w:sz w:val="20"/>
              </w:rPr>
              <w:t xml:space="preserve">, Synod of the Diocese of Yukon, Bureau de </w:t>
            </w:r>
            <w:proofErr w:type="spellStart"/>
            <w:r w:rsidRPr="00C76D1F">
              <w:rPr>
                <w:b/>
                <w:sz w:val="20"/>
              </w:rPr>
              <w:t>fiducie</w:t>
            </w:r>
            <w:proofErr w:type="spellEnd"/>
            <w:r w:rsidRPr="00C76D1F">
              <w:rPr>
                <w:b/>
                <w:sz w:val="20"/>
              </w:rPr>
              <w:t xml:space="preserve"> de </w:t>
            </w:r>
            <w:proofErr w:type="spellStart"/>
            <w:r w:rsidRPr="00C76D1F">
              <w:rPr>
                <w:b/>
                <w:sz w:val="20"/>
              </w:rPr>
              <w:t>l’Église</w:t>
            </w:r>
            <w:proofErr w:type="spellEnd"/>
            <w:r w:rsidRPr="00C76D1F">
              <w:rPr>
                <w:b/>
                <w:sz w:val="20"/>
              </w:rPr>
              <w:t xml:space="preserve"> </w:t>
            </w:r>
            <w:proofErr w:type="spellStart"/>
            <w:r w:rsidRPr="00C76D1F">
              <w:rPr>
                <w:b/>
                <w:sz w:val="20"/>
              </w:rPr>
              <w:t>presbytérienne</w:t>
            </w:r>
            <w:proofErr w:type="spellEnd"/>
            <w:r w:rsidRPr="00C76D1F">
              <w:rPr>
                <w:b/>
                <w:sz w:val="20"/>
              </w:rPr>
              <w:t xml:space="preserve"> au Canada, Board of Home Missions and Social Service of the Presbyterian Church of Canada, Women’s Missionary Society of the United Church of Canada, </w:t>
            </w:r>
            <w:proofErr w:type="spellStart"/>
            <w:r w:rsidRPr="00C76D1F">
              <w:rPr>
                <w:b/>
                <w:sz w:val="20"/>
              </w:rPr>
              <w:t>Soeurs</w:t>
            </w:r>
            <w:proofErr w:type="spellEnd"/>
            <w:r w:rsidRPr="00C76D1F">
              <w:rPr>
                <w:b/>
                <w:sz w:val="20"/>
              </w:rPr>
              <w:t xml:space="preserve"> de la </w:t>
            </w:r>
            <w:proofErr w:type="spellStart"/>
            <w:r w:rsidRPr="00C76D1F">
              <w:rPr>
                <w:b/>
                <w:sz w:val="20"/>
              </w:rPr>
              <w:t>Charité</w:t>
            </w:r>
            <w:proofErr w:type="spellEnd"/>
            <w:r w:rsidRPr="00C76D1F">
              <w:rPr>
                <w:b/>
                <w:sz w:val="20"/>
              </w:rPr>
              <w:t xml:space="preserve">, </w:t>
            </w:r>
            <w:proofErr w:type="spellStart"/>
            <w:r w:rsidRPr="00C76D1F">
              <w:rPr>
                <w:b/>
                <w:sz w:val="20"/>
              </w:rPr>
              <w:t>une</w:t>
            </w:r>
            <w:proofErr w:type="spellEnd"/>
            <w:r w:rsidRPr="00C76D1F">
              <w:rPr>
                <w:b/>
                <w:sz w:val="20"/>
              </w:rPr>
              <w:t xml:space="preserve"> </w:t>
            </w:r>
            <w:proofErr w:type="spellStart"/>
            <w:r w:rsidRPr="00C76D1F">
              <w:rPr>
                <w:b/>
                <w:sz w:val="20"/>
              </w:rPr>
              <w:t>personne</w:t>
            </w:r>
            <w:proofErr w:type="spellEnd"/>
            <w:r w:rsidRPr="00C76D1F">
              <w:rPr>
                <w:b/>
                <w:sz w:val="20"/>
              </w:rPr>
              <w:t xml:space="preserve"> morale </w:t>
            </w:r>
            <w:proofErr w:type="spellStart"/>
            <w:r w:rsidRPr="00C76D1F">
              <w:rPr>
                <w:b/>
                <w:sz w:val="20"/>
              </w:rPr>
              <w:t>connue</w:t>
            </w:r>
            <w:proofErr w:type="spellEnd"/>
            <w:r w:rsidRPr="00C76D1F">
              <w:rPr>
                <w:b/>
                <w:sz w:val="20"/>
              </w:rPr>
              <w:t xml:space="preserve"> sous le nom de Sisters of Charity of St. Vincent de Paul, Halifax, </w:t>
            </w:r>
            <w:proofErr w:type="spellStart"/>
            <w:r w:rsidRPr="00C76D1F">
              <w:rPr>
                <w:b/>
                <w:sz w:val="20"/>
              </w:rPr>
              <w:t>également</w:t>
            </w:r>
            <w:proofErr w:type="spellEnd"/>
            <w:r w:rsidRPr="00C76D1F">
              <w:rPr>
                <w:b/>
                <w:sz w:val="20"/>
              </w:rPr>
              <w:t xml:space="preserve"> </w:t>
            </w:r>
            <w:proofErr w:type="spellStart"/>
            <w:r w:rsidRPr="00C76D1F">
              <w:rPr>
                <w:b/>
                <w:sz w:val="20"/>
              </w:rPr>
              <w:t>connue</w:t>
            </w:r>
            <w:proofErr w:type="spellEnd"/>
            <w:r w:rsidRPr="00C76D1F">
              <w:rPr>
                <w:b/>
                <w:sz w:val="20"/>
              </w:rPr>
              <w:t xml:space="preserve"> sous le </w:t>
            </w:r>
            <w:r w:rsidRPr="00C76D1F">
              <w:rPr>
                <w:b/>
                <w:sz w:val="20"/>
                <w:lang w:val="fr-CA"/>
              </w:rPr>
              <w:t xml:space="preserve">nom de Sisters of </w:t>
            </w:r>
            <w:proofErr w:type="spellStart"/>
            <w:r w:rsidRPr="00C76D1F">
              <w:rPr>
                <w:b/>
                <w:sz w:val="20"/>
                <w:lang w:val="fr-CA"/>
              </w:rPr>
              <w:t>Charity</w:t>
            </w:r>
            <w:proofErr w:type="spellEnd"/>
            <w:r w:rsidRPr="00C76D1F">
              <w:rPr>
                <w:b/>
                <w:sz w:val="20"/>
                <w:lang w:val="fr-CA"/>
              </w:rPr>
              <w:t xml:space="preserve"> Halifax, Corporation épiscopale catholique romaine de Halifax, </w:t>
            </w:r>
            <w:proofErr w:type="spellStart"/>
            <w:r w:rsidRPr="00C76D1F">
              <w:rPr>
                <w:b/>
                <w:sz w:val="20"/>
                <w:lang w:val="fr-CA"/>
              </w:rPr>
              <w:t>Soeurs</w:t>
            </w:r>
            <w:proofErr w:type="spellEnd"/>
            <w:r w:rsidRPr="00C76D1F">
              <w:rPr>
                <w:b/>
                <w:sz w:val="20"/>
                <w:lang w:val="fr-CA"/>
              </w:rPr>
              <w:t xml:space="preserve"> de Notre-Dame-Auxiliatrice, </w:t>
            </w:r>
            <w:proofErr w:type="spellStart"/>
            <w:r w:rsidRPr="00C76D1F">
              <w:rPr>
                <w:b/>
                <w:sz w:val="20"/>
                <w:lang w:val="fr-CA"/>
              </w:rPr>
              <w:t>Soeurs</w:t>
            </w:r>
            <w:proofErr w:type="spellEnd"/>
            <w:r w:rsidRPr="00C76D1F">
              <w:rPr>
                <w:b/>
                <w:sz w:val="20"/>
                <w:lang w:val="fr-CA"/>
              </w:rPr>
              <w:t xml:space="preserve"> de St-François D’Assise, </w:t>
            </w:r>
            <w:proofErr w:type="spellStart"/>
            <w:r w:rsidRPr="00C76D1F">
              <w:rPr>
                <w:b/>
                <w:sz w:val="20"/>
                <w:lang w:val="fr-CA"/>
              </w:rPr>
              <w:t>Insitut</w:t>
            </w:r>
            <w:proofErr w:type="spellEnd"/>
            <w:r w:rsidRPr="00C76D1F">
              <w:rPr>
                <w:b/>
                <w:sz w:val="20"/>
                <w:lang w:val="fr-CA"/>
              </w:rPr>
              <w:t xml:space="preserve"> des </w:t>
            </w:r>
            <w:proofErr w:type="spellStart"/>
            <w:r w:rsidRPr="00C76D1F">
              <w:rPr>
                <w:b/>
                <w:sz w:val="20"/>
                <w:lang w:val="fr-CA"/>
              </w:rPr>
              <w:t>Soeurs</w:t>
            </w:r>
            <w:proofErr w:type="spellEnd"/>
            <w:r w:rsidRPr="00C76D1F">
              <w:rPr>
                <w:b/>
                <w:sz w:val="20"/>
                <w:lang w:val="fr-CA"/>
              </w:rPr>
              <w:t xml:space="preserve"> du Bon Conseil, </w:t>
            </w:r>
            <w:proofErr w:type="spellStart"/>
            <w:r w:rsidRPr="00C76D1F">
              <w:rPr>
                <w:b/>
                <w:sz w:val="20"/>
                <w:lang w:val="fr-CA"/>
              </w:rPr>
              <w:t>Soeurs</w:t>
            </w:r>
            <w:proofErr w:type="spellEnd"/>
            <w:r w:rsidRPr="00C76D1F">
              <w:rPr>
                <w:b/>
                <w:sz w:val="20"/>
                <w:lang w:val="fr-CA"/>
              </w:rPr>
              <w:t xml:space="preserve"> de Saint-Joseph de Saint-Hyacinthe, </w:t>
            </w:r>
            <w:proofErr w:type="spellStart"/>
            <w:r w:rsidRPr="00C76D1F">
              <w:rPr>
                <w:b/>
                <w:sz w:val="20"/>
                <w:lang w:val="fr-CA"/>
              </w:rPr>
              <w:t>Soeurs</w:t>
            </w:r>
            <w:proofErr w:type="spellEnd"/>
            <w:r w:rsidRPr="00C76D1F">
              <w:rPr>
                <w:b/>
                <w:sz w:val="20"/>
                <w:lang w:val="fr-CA"/>
              </w:rPr>
              <w:t xml:space="preserve"> de Jésus-Marie, </w:t>
            </w:r>
            <w:proofErr w:type="spellStart"/>
            <w:r w:rsidRPr="00C76D1F">
              <w:rPr>
                <w:b/>
                <w:sz w:val="20"/>
                <w:lang w:val="fr-CA"/>
              </w:rPr>
              <w:t>Soeurs</w:t>
            </w:r>
            <w:proofErr w:type="spellEnd"/>
            <w:r w:rsidRPr="00C76D1F">
              <w:rPr>
                <w:b/>
                <w:sz w:val="20"/>
                <w:lang w:val="fr-CA"/>
              </w:rPr>
              <w:t xml:space="preserve"> de l’Assomption de la Sainte Vierge, </w:t>
            </w:r>
            <w:proofErr w:type="spellStart"/>
            <w:r w:rsidRPr="00C76D1F">
              <w:rPr>
                <w:b/>
                <w:sz w:val="20"/>
                <w:lang w:val="fr-CA"/>
              </w:rPr>
              <w:t>Soeurs</w:t>
            </w:r>
            <w:proofErr w:type="spellEnd"/>
            <w:r w:rsidRPr="00C76D1F">
              <w:rPr>
                <w:b/>
                <w:sz w:val="20"/>
                <w:lang w:val="fr-CA"/>
              </w:rPr>
              <w:t xml:space="preserve"> de l’Assomption de la Sainte Vierge de l’Alberta, </w:t>
            </w:r>
            <w:proofErr w:type="spellStart"/>
            <w:r w:rsidRPr="00C76D1F">
              <w:rPr>
                <w:b/>
                <w:sz w:val="20"/>
                <w:lang w:val="fr-CA"/>
              </w:rPr>
              <w:t>Soeurs</w:t>
            </w:r>
            <w:proofErr w:type="spellEnd"/>
            <w:r w:rsidRPr="00C76D1F">
              <w:rPr>
                <w:b/>
                <w:sz w:val="20"/>
                <w:lang w:val="fr-CA"/>
              </w:rPr>
              <w:t xml:space="preserve"> de la Charité de St-Hyacinthe, </w:t>
            </w:r>
            <w:proofErr w:type="spellStart"/>
            <w:r w:rsidRPr="00C76D1F">
              <w:rPr>
                <w:b/>
                <w:sz w:val="20"/>
                <w:lang w:val="fr-CA"/>
              </w:rPr>
              <w:t>Oeuvres</w:t>
            </w:r>
            <w:proofErr w:type="spellEnd"/>
            <w:r w:rsidRPr="00C76D1F">
              <w:rPr>
                <w:b/>
                <w:sz w:val="20"/>
                <w:lang w:val="fr-CA"/>
              </w:rPr>
              <w:t xml:space="preserve"> Oblates de l’Ontario, Résidences Oblates du Québec, Corporation </w:t>
            </w:r>
            <w:proofErr w:type="spellStart"/>
            <w:r w:rsidRPr="00C76D1F">
              <w:rPr>
                <w:b/>
                <w:sz w:val="20"/>
                <w:lang w:val="fr-CA"/>
              </w:rPr>
              <w:t>Episcopale</w:t>
            </w:r>
            <w:proofErr w:type="spellEnd"/>
            <w:r w:rsidRPr="00C76D1F">
              <w:rPr>
                <w:b/>
                <w:sz w:val="20"/>
                <w:lang w:val="fr-CA"/>
              </w:rPr>
              <w:t xml:space="preserve"> Catholique Romaine de la Baie James, </w:t>
            </w:r>
            <w:proofErr w:type="spellStart"/>
            <w:r w:rsidRPr="00C76D1F">
              <w:rPr>
                <w:b/>
                <w:sz w:val="20"/>
                <w:lang w:val="fr-CA"/>
              </w:rPr>
              <w:t>Catholic</w:t>
            </w:r>
            <w:proofErr w:type="spellEnd"/>
            <w:r w:rsidRPr="00C76D1F">
              <w:rPr>
                <w:b/>
                <w:sz w:val="20"/>
                <w:lang w:val="fr-CA"/>
              </w:rPr>
              <w:t xml:space="preserve"> </w:t>
            </w:r>
            <w:proofErr w:type="spellStart"/>
            <w:r w:rsidRPr="00C76D1F">
              <w:rPr>
                <w:b/>
                <w:sz w:val="20"/>
                <w:lang w:val="fr-CA"/>
              </w:rPr>
              <w:t>Diocese</w:t>
            </w:r>
            <w:proofErr w:type="spellEnd"/>
            <w:r w:rsidRPr="00C76D1F">
              <w:rPr>
                <w:b/>
                <w:sz w:val="20"/>
                <w:lang w:val="fr-CA"/>
              </w:rPr>
              <w:t xml:space="preserve"> of </w:t>
            </w:r>
            <w:proofErr w:type="spellStart"/>
            <w:r w:rsidRPr="00C76D1F">
              <w:rPr>
                <w:b/>
                <w:sz w:val="20"/>
                <w:lang w:val="fr-CA"/>
              </w:rPr>
              <w:t>Moosonee</w:t>
            </w:r>
            <w:proofErr w:type="spellEnd"/>
            <w:r w:rsidRPr="00C76D1F">
              <w:rPr>
                <w:b/>
                <w:sz w:val="20"/>
                <w:lang w:val="fr-CA"/>
              </w:rPr>
              <w:t xml:space="preserve">, </w:t>
            </w:r>
            <w:proofErr w:type="spellStart"/>
            <w:r w:rsidRPr="00C76D1F">
              <w:rPr>
                <w:b/>
                <w:sz w:val="20"/>
                <w:lang w:val="fr-CA"/>
              </w:rPr>
              <w:t>Soeurs</w:t>
            </w:r>
            <w:proofErr w:type="spellEnd"/>
            <w:r w:rsidRPr="00C76D1F">
              <w:rPr>
                <w:b/>
                <w:sz w:val="20"/>
                <w:lang w:val="fr-CA"/>
              </w:rPr>
              <w:t xml:space="preserve"> Grises de Montréal/Grey </w:t>
            </w:r>
            <w:proofErr w:type="spellStart"/>
            <w:r w:rsidRPr="00C76D1F">
              <w:rPr>
                <w:b/>
                <w:sz w:val="20"/>
                <w:lang w:val="fr-CA"/>
              </w:rPr>
              <w:t>Nuns</w:t>
            </w:r>
            <w:proofErr w:type="spellEnd"/>
            <w:r w:rsidRPr="00C76D1F">
              <w:rPr>
                <w:b/>
                <w:sz w:val="20"/>
                <w:lang w:val="fr-CA"/>
              </w:rPr>
              <w:t xml:space="preserve"> of Montréal, Sisters of </w:t>
            </w:r>
            <w:proofErr w:type="spellStart"/>
            <w:r w:rsidRPr="00C76D1F">
              <w:rPr>
                <w:b/>
                <w:sz w:val="20"/>
                <w:lang w:val="fr-CA"/>
              </w:rPr>
              <w:t>Charity</w:t>
            </w:r>
            <w:proofErr w:type="spellEnd"/>
            <w:r w:rsidRPr="00C76D1F">
              <w:rPr>
                <w:b/>
                <w:sz w:val="20"/>
                <w:lang w:val="fr-CA"/>
              </w:rPr>
              <w:t xml:space="preserve"> (Grey </w:t>
            </w:r>
            <w:proofErr w:type="spellStart"/>
            <w:r w:rsidRPr="00C76D1F">
              <w:rPr>
                <w:b/>
                <w:sz w:val="20"/>
                <w:lang w:val="fr-CA"/>
              </w:rPr>
              <w:t>Nuns</w:t>
            </w:r>
            <w:proofErr w:type="spellEnd"/>
            <w:r w:rsidRPr="00C76D1F">
              <w:rPr>
                <w:b/>
                <w:sz w:val="20"/>
                <w:lang w:val="fr-CA"/>
              </w:rPr>
              <w:t xml:space="preserve">) of Alberta, </w:t>
            </w:r>
            <w:proofErr w:type="spellStart"/>
            <w:r w:rsidRPr="00C76D1F">
              <w:rPr>
                <w:b/>
                <w:sz w:val="20"/>
                <w:lang w:val="fr-CA"/>
              </w:rPr>
              <w:t>Soeurs</w:t>
            </w:r>
            <w:proofErr w:type="spellEnd"/>
            <w:r w:rsidRPr="00C76D1F">
              <w:rPr>
                <w:b/>
                <w:sz w:val="20"/>
                <w:lang w:val="fr-CA"/>
              </w:rPr>
              <w:t xml:space="preserve"> de la Charité des T.-N.-O., Hôtel-Dieu de </w:t>
            </w:r>
            <w:proofErr w:type="spellStart"/>
            <w:r w:rsidRPr="00C76D1F">
              <w:rPr>
                <w:b/>
                <w:sz w:val="20"/>
                <w:lang w:val="fr-CA"/>
              </w:rPr>
              <w:t>Nicolet</w:t>
            </w:r>
            <w:proofErr w:type="spellEnd"/>
            <w:r w:rsidRPr="00C76D1F">
              <w:rPr>
                <w:b/>
                <w:sz w:val="20"/>
                <w:lang w:val="fr-CA"/>
              </w:rPr>
              <w:t xml:space="preserve">, Grey </w:t>
            </w:r>
            <w:proofErr w:type="spellStart"/>
            <w:r w:rsidRPr="00C76D1F">
              <w:rPr>
                <w:b/>
                <w:sz w:val="20"/>
                <w:lang w:val="fr-CA"/>
              </w:rPr>
              <w:t>Nuns</w:t>
            </w:r>
            <w:proofErr w:type="spellEnd"/>
            <w:r w:rsidRPr="00C76D1F">
              <w:rPr>
                <w:b/>
                <w:sz w:val="20"/>
                <w:lang w:val="fr-CA"/>
              </w:rPr>
              <w:t xml:space="preserve"> of Manitoba Inc. </w:t>
            </w:r>
            <w:r w:rsidRPr="00C76D1F">
              <w:rPr>
                <w:b/>
                <w:sz w:val="20"/>
              </w:rPr>
              <w:t xml:space="preserve">− </w:t>
            </w:r>
            <w:proofErr w:type="spellStart"/>
            <w:r w:rsidRPr="00C76D1F">
              <w:rPr>
                <w:b/>
                <w:sz w:val="20"/>
              </w:rPr>
              <w:t>Soeurs</w:t>
            </w:r>
            <w:proofErr w:type="spellEnd"/>
            <w:r w:rsidRPr="00C76D1F">
              <w:rPr>
                <w:b/>
                <w:sz w:val="20"/>
              </w:rPr>
              <w:t xml:space="preserve"> </w:t>
            </w:r>
            <w:proofErr w:type="spellStart"/>
            <w:r w:rsidRPr="00C76D1F">
              <w:rPr>
                <w:b/>
                <w:sz w:val="20"/>
              </w:rPr>
              <w:t>Grises</w:t>
            </w:r>
            <w:proofErr w:type="spellEnd"/>
            <w:r w:rsidRPr="00C76D1F">
              <w:rPr>
                <w:b/>
                <w:sz w:val="20"/>
              </w:rPr>
              <w:t xml:space="preserve"> du Manitoba Inc., Corporation </w:t>
            </w:r>
            <w:proofErr w:type="spellStart"/>
            <w:r w:rsidRPr="00C76D1F">
              <w:rPr>
                <w:b/>
                <w:sz w:val="20"/>
              </w:rPr>
              <w:t>Episcopale</w:t>
            </w:r>
            <w:proofErr w:type="spellEnd"/>
            <w:r w:rsidRPr="00C76D1F">
              <w:rPr>
                <w:b/>
                <w:sz w:val="20"/>
              </w:rPr>
              <w:t xml:space="preserve"> </w:t>
            </w:r>
            <w:proofErr w:type="spellStart"/>
            <w:r w:rsidRPr="00C76D1F">
              <w:rPr>
                <w:b/>
                <w:sz w:val="20"/>
              </w:rPr>
              <w:t>Catholique</w:t>
            </w:r>
            <w:proofErr w:type="spellEnd"/>
            <w:r w:rsidRPr="00C76D1F">
              <w:rPr>
                <w:b/>
                <w:sz w:val="20"/>
              </w:rPr>
              <w:t xml:space="preserve"> Romaine de la </w:t>
            </w:r>
            <w:proofErr w:type="spellStart"/>
            <w:r w:rsidRPr="00C76D1F">
              <w:rPr>
                <w:b/>
                <w:sz w:val="20"/>
              </w:rPr>
              <w:t>Baie</w:t>
            </w:r>
            <w:proofErr w:type="spellEnd"/>
            <w:r w:rsidRPr="00C76D1F">
              <w:rPr>
                <w:b/>
                <w:sz w:val="20"/>
              </w:rPr>
              <w:t xml:space="preserve"> </w:t>
            </w:r>
            <w:proofErr w:type="spellStart"/>
            <w:r w:rsidRPr="00C76D1F">
              <w:rPr>
                <w:b/>
                <w:sz w:val="20"/>
              </w:rPr>
              <w:t>d’Hudson</w:t>
            </w:r>
            <w:proofErr w:type="spellEnd"/>
            <w:r w:rsidRPr="00C76D1F">
              <w:rPr>
                <w:b/>
                <w:sz w:val="20"/>
              </w:rPr>
              <w:t xml:space="preserve"> − Roman Catholic Episcopal Corporation of Hudson’s Bay, Missionary Oblates − Grandin Province, </w:t>
            </w:r>
            <w:proofErr w:type="spellStart"/>
            <w:r w:rsidRPr="00C76D1F">
              <w:rPr>
                <w:b/>
                <w:sz w:val="20"/>
              </w:rPr>
              <w:t>Oblats</w:t>
            </w:r>
            <w:proofErr w:type="spellEnd"/>
            <w:r w:rsidRPr="00C76D1F">
              <w:rPr>
                <w:b/>
                <w:sz w:val="20"/>
              </w:rPr>
              <w:t xml:space="preserve"> de Marie </w:t>
            </w:r>
            <w:proofErr w:type="spellStart"/>
            <w:r w:rsidRPr="00C76D1F">
              <w:rPr>
                <w:b/>
                <w:sz w:val="20"/>
              </w:rPr>
              <w:t>Immaculée</w:t>
            </w:r>
            <w:proofErr w:type="spellEnd"/>
            <w:r w:rsidRPr="00C76D1F">
              <w:rPr>
                <w:b/>
                <w:sz w:val="20"/>
              </w:rPr>
              <w:t xml:space="preserve"> du Manitoba, the Archiepiscopal Corporation of Regina, Sisters of the Presentation, Sisters of St. Joseph of Sault St. Marie, </w:t>
            </w:r>
            <w:proofErr w:type="spellStart"/>
            <w:r w:rsidRPr="00C76D1F">
              <w:rPr>
                <w:b/>
                <w:sz w:val="20"/>
              </w:rPr>
              <w:t>Soeurs</w:t>
            </w:r>
            <w:proofErr w:type="spellEnd"/>
            <w:r w:rsidRPr="00C76D1F">
              <w:rPr>
                <w:b/>
                <w:sz w:val="20"/>
              </w:rPr>
              <w:t xml:space="preserve"> de la </w:t>
            </w:r>
            <w:proofErr w:type="spellStart"/>
            <w:r w:rsidRPr="00C76D1F">
              <w:rPr>
                <w:b/>
                <w:sz w:val="20"/>
              </w:rPr>
              <w:t>Charité</w:t>
            </w:r>
            <w:proofErr w:type="spellEnd"/>
            <w:r w:rsidRPr="00C76D1F">
              <w:rPr>
                <w:b/>
                <w:sz w:val="20"/>
              </w:rPr>
              <w:t xml:space="preserve"> </w:t>
            </w:r>
            <w:proofErr w:type="spellStart"/>
            <w:r w:rsidRPr="00C76D1F">
              <w:rPr>
                <w:b/>
                <w:sz w:val="20"/>
              </w:rPr>
              <w:t>d’Ottawa</w:t>
            </w:r>
            <w:proofErr w:type="spellEnd"/>
            <w:r w:rsidRPr="00C76D1F">
              <w:rPr>
                <w:b/>
                <w:sz w:val="20"/>
              </w:rPr>
              <w:t xml:space="preserve">, </w:t>
            </w:r>
            <w:proofErr w:type="spellStart"/>
            <w:r w:rsidRPr="00C76D1F">
              <w:rPr>
                <w:b/>
                <w:sz w:val="20"/>
              </w:rPr>
              <w:t>Oblats</w:t>
            </w:r>
            <w:proofErr w:type="spellEnd"/>
            <w:r w:rsidRPr="00C76D1F">
              <w:rPr>
                <w:b/>
                <w:sz w:val="20"/>
              </w:rPr>
              <w:t xml:space="preserve"> de Marie </w:t>
            </w:r>
            <w:proofErr w:type="spellStart"/>
            <w:r w:rsidRPr="00C76D1F">
              <w:rPr>
                <w:b/>
                <w:sz w:val="20"/>
              </w:rPr>
              <w:t>Immaculée</w:t>
            </w:r>
            <w:proofErr w:type="spellEnd"/>
            <w:r w:rsidRPr="00C76D1F">
              <w:rPr>
                <w:b/>
                <w:sz w:val="20"/>
              </w:rPr>
              <w:t xml:space="preserve"> − St. Peter’s Province, Sisters of Saint Ann, </w:t>
            </w:r>
            <w:proofErr w:type="spellStart"/>
            <w:r w:rsidRPr="00C76D1F">
              <w:rPr>
                <w:b/>
                <w:sz w:val="20"/>
              </w:rPr>
              <w:t>Soeurs</w:t>
            </w:r>
            <w:proofErr w:type="spellEnd"/>
            <w:r w:rsidRPr="00C76D1F">
              <w:rPr>
                <w:b/>
                <w:sz w:val="20"/>
              </w:rPr>
              <w:t xml:space="preserve"> de </w:t>
            </w:r>
            <w:proofErr w:type="spellStart"/>
            <w:r w:rsidRPr="00C76D1F">
              <w:rPr>
                <w:b/>
                <w:sz w:val="20"/>
              </w:rPr>
              <w:t>l’Instruction</w:t>
            </w:r>
            <w:proofErr w:type="spellEnd"/>
            <w:r w:rsidRPr="00C76D1F">
              <w:rPr>
                <w:b/>
                <w:sz w:val="20"/>
              </w:rPr>
              <w:t xml:space="preserve"> de </w:t>
            </w:r>
            <w:proofErr w:type="spellStart"/>
            <w:r w:rsidRPr="00C76D1F">
              <w:rPr>
                <w:b/>
                <w:sz w:val="20"/>
              </w:rPr>
              <w:t>l’Enfant</w:t>
            </w:r>
            <w:proofErr w:type="spellEnd"/>
            <w:r w:rsidRPr="00C76D1F">
              <w:rPr>
                <w:b/>
                <w:sz w:val="20"/>
              </w:rPr>
              <w:t xml:space="preserve"> </w:t>
            </w:r>
            <w:proofErr w:type="spellStart"/>
            <w:r w:rsidRPr="00C76D1F">
              <w:rPr>
                <w:b/>
                <w:sz w:val="20"/>
              </w:rPr>
              <w:t>Jésus</w:t>
            </w:r>
            <w:proofErr w:type="spellEnd"/>
            <w:r w:rsidRPr="00C76D1F">
              <w:rPr>
                <w:b/>
                <w:sz w:val="20"/>
              </w:rPr>
              <w:t xml:space="preserve">, Benedictine Sisters of Mt. Angel Oregon, </w:t>
            </w:r>
            <w:proofErr w:type="spellStart"/>
            <w:r w:rsidRPr="00C76D1F">
              <w:rPr>
                <w:b/>
                <w:sz w:val="20"/>
              </w:rPr>
              <w:t>Pères</w:t>
            </w:r>
            <w:proofErr w:type="spellEnd"/>
            <w:r w:rsidRPr="00C76D1F">
              <w:rPr>
                <w:b/>
                <w:sz w:val="20"/>
              </w:rPr>
              <w:t xml:space="preserve"> </w:t>
            </w:r>
            <w:proofErr w:type="spellStart"/>
            <w:r w:rsidRPr="00C76D1F">
              <w:rPr>
                <w:b/>
                <w:sz w:val="20"/>
              </w:rPr>
              <w:t>Montfortains</w:t>
            </w:r>
            <w:proofErr w:type="spellEnd"/>
            <w:r w:rsidRPr="00C76D1F">
              <w:rPr>
                <w:b/>
                <w:sz w:val="20"/>
              </w:rPr>
              <w:t xml:space="preserve">, the Roman Catholic Bishop of Kamloops Corporation Sole, the Bishop of Victoria, Corporation Sole, the Roman Catholic Bishop of Nelson, Corporation Sole, Order of the Oblates of Mary Immaculate in the Province of British Columbia, Sisters of Charity of Providence of Western Canada, Corporation </w:t>
            </w:r>
            <w:proofErr w:type="spellStart"/>
            <w:r w:rsidRPr="00C76D1F">
              <w:rPr>
                <w:b/>
                <w:sz w:val="20"/>
              </w:rPr>
              <w:t>Episcopale</w:t>
            </w:r>
            <w:proofErr w:type="spellEnd"/>
            <w:r w:rsidRPr="00C76D1F">
              <w:rPr>
                <w:b/>
                <w:sz w:val="20"/>
              </w:rPr>
              <w:t xml:space="preserve"> </w:t>
            </w:r>
            <w:proofErr w:type="spellStart"/>
            <w:r w:rsidRPr="00C76D1F">
              <w:rPr>
                <w:b/>
                <w:sz w:val="20"/>
              </w:rPr>
              <w:t>Catholique</w:t>
            </w:r>
            <w:proofErr w:type="spellEnd"/>
            <w:r w:rsidRPr="00C76D1F">
              <w:rPr>
                <w:b/>
                <w:sz w:val="20"/>
              </w:rPr>
              <w:t xml:space="preserve"> Romaine de </w:t>
            </w:r>
            <w:proofErr w:type="spellStart"/>
            <w:r w:rsidRPr="00C76D1F">
              <w:rPr>
                <w:b/>
                <w:sz w:val="20"/>
              </w:rPr>
              <w:t>Grouard</w:t>
            </w:r>
            <w:proofErr w:type="spellEnd"/>
            <w:r w:rsidRPr="00C76D1F">
              <w:rPr>
                <w:b/>
                <w:sz w:val="20"/>
              </w:rPr>
              <w:t xml:space="preserve">, Roman Catholic Episcopal Corporation of Keewatin, Corporation </w:t>
            </w:r>
            <w:proofErr w:type="spellStart"/>
            <w:r w:rsidRPr="00C76D1F">
              <w:rPr>
                <w:b/>
                <w:sz w:val="20"/>
              </w:rPr>
              <w:t>Archipiscopale</w:t>
            </w:r>
            <w:proofErr w:type="spellEnd"/>
            <w:r w:rsidRPr="00C76D1F">
              <w:rPr>
                <w:b/>
                <w:sz w:val="20"/>
              </w:rPr>
              <w:t xml:space="preserve"> </w:t>
            </w:r>
            <w:proofErr w:type="spellStart"/>
            <w:r w:rsidRPr="00C76D1F">
              <w:rPr>
                <w:b/>
                <w:sz w:val="20"/>
              </w:rPr>
              <w:t>Catholique</w:t>
            </w:r>
            <w:proofErr w:type="spellEnd"/>
            <w:r w:rsidRPr="00C76D1F">
              <w:rPr>
                <w:b/>
                <w:sz w:val="20"/>
              </w:rPr>
              <w:t xml:space="preserve"> Romaine de St-Boniface, </w:t>
            </w:r>
            <w:proofErr w:type="spellStart"/>
            <w:r w:rsidRPr="00C76D1F">
              <w:rPr>
                <w:b/>
                <w:sz w:val="20"/>
              </w:rPr>
              <w:t>Missionnaires</w:t>
            </w:r>
            <w:proofErr w:type="spellEnd"/>
            <w:r w:rsidRPr="00C76D1F">
              <w:rPr>
                <w:b/>
                <w:sz w:val="20"/>
              </w:rPr>
              <w:t xml:space="preserve"> Oblates </w:t>
            </w:r>
            <w:proofErr w:type="spellStart"/>
            <w:r w:rsidRPr="00C76D1F">
              <w:rPr>
                <w:b/>
                <w:sz w:val="20"/>
              </w:rPr>
              <w:t>Soeurs</w:t>
            </w:r>
            <w:proofErr w:type="spellEnd"/>
            <w:r w:rsidRPr="00C76D1F">
              <w:rPr>
                <w:b/>
                <w:sz w:val="20"/>
              </w:rPr>
              <w:t xml:space="preserve"> de St-Boniface − Missionary Oblates Sisters of St. Boniface, Roman Catholic Archiepiscopal Corporation of Winnipeg, Corporation </w:t>
            </w:r>
            <w:proofErr w:type="spellStart"/>
            <w:r w:rsidRPr="00C76D1F">
              <w:rPr>
                <w:b/>
                <w:sz w:val="20"/>
              </w:rPr>
              <w:t>Episcopale</w:t>
            </w:r>
            <w:proofErr w:type="spellEnd"/>
            <w:r w:rsidRPr="00C76D1F">
              <w:rPr>
                <w:b/>
                <w:sz w:val="20"/>
              </w:rPr>
              <w:t xml:space="preserve"> </w:t>
            </w:r>
            <w:proofErr w:type="spellStart"/>
            <w:r w:rsidRPr="00C76D1F">
              <w:rPr>
                <w:b/>
                <w:sz w:val="20"/>
              </w:rPr>
              <w:t>Catholique</w:t>
            </w:r>
            <w:proofErr w:type="spellEnd"/>
            <w:r w:rsidRPr="00C76D1F">
              <w:rPr>
                <w:b/>
                <w:sz w:val="20"/>
              </w:rPr>
              <w:t xml:space="preserve"> Romaine de Prince Albert, Roman Catholic Bishop of Thunder Bay, Immaculate Heart Community of Los Angeles CA, Archdiocese of Vancouver − Roman Catholic Archbishop of Vancouver, Roman Catholic Diocese of Whitehorse, Catholic Episcopal Corporation of Mackenzie-Fort Smith, Roman Catholic Episcopal Corporation of Prince Rupert, Episcopal Corporation of Saskatoon, Omi Lacombe Canada Inc. et Mt. Angel Abbey Inc.</w:t>
            </w:r>
          </w:p>
          <w:p w:rsidR="00C76D1F" w:rsidRPr="00C76D1F" w:rsidRDefault="00C76D1F" w:rsidP="00C76D1F">
            <w:pPr>
              <w:jc w:val="both"/>
              <w:rPr>
                <w:sz w:val="20"/>
                <w:lang w:val="fr-CA"/>
              </w:rPr>
            </w:pPr>
            <w:r w:rsidRPr="00C76D1F">
              <w:rPr>
                <w:sz w:val="20"/>
                <w:lang w:val="fr-CA"/>
              </w:rPr>
              <w:t>(Ont.) (Civile) (Sur autorisation)</w:t>
            </w:r>
          </w:p>
        </w:tc>
      </w:tr>
      <w:tr w:rsidR="00C76D1F" w:rsidRPr="00C76D1F" w:rsidTr="00D07A7A">
        <w:tc>
          <w:tcPr>
            <w:tcW w:w="5000" w:type="pct"/>
            <w:gridSpan w:val="4"/>
          </w:tcPr>
          <w:p w:rsidR="00C76D1F" w:rsidRPr="00C76D1F" w:rsidRDefault="00C76D1F" w:rsidP="00C76D1F">
            <w:pPr>
              <w:jc w:val="both"/>
              <w:rPr>
                <w:sz w:val="20"/>
                <w:lang w:val="fr-CA"/>
              </w:rPr>
            </w:pPr>
            <w:r w:rsidRPr="00C76D1F">
              <w:rPr>
                <w:sz w:val="20"/>
                <w:lang w:val="fr-CA"/>
              </w:rPr>
              <w:lastRenderedPageBreak/>
              <w:t xml:space="preserve">Procédure civile – Recours collectif – Gestion de l’instance – Tribunaux – Compétence – Interprétation d’une convention de règlement – Protection des renseignements personnels – Accès à l’information – Exemptions – Renseignement de tiers – Renseignements personnels – La juridiction inférieure a-t-elle bien interprété la Convention de règlement relative aux pensionnats indiens? – La Convention de règlement </w:t>
            </w:r>
            <w:proofErr w:type="gramStart"/>
            <w:r w:rsidRPr="00C76D1F">
              <w:rPr>
                <w:sz w:val="20"/>
                <w:lang w:val="fr-CA"/>
              </w:rPr>
              <w:t>relative</w:t>
            </w:r>
            <w:proofErr w:type="gramEnd"/>
            <w:r w:rsidRPr="00C76D1F">
              <w:rPr>
                <w:sz w:val="20"/>
                <w:lang w:val="fr-CA"/>
              </w:rPr>
              <w:t xml:space="preserve"> aux pensionnats indiens prescrit-elle la destruction de documents du Processus d’évaluation indépendant? – La juridiction inférieure a-t-elle conclu à bon droit que les documents du Processus d’évaluation indépendant  ne sont pas des documents de l’administration fédérale soumis aux protections de la </w:t>
            </w:r>
            <w:r w:rsidRPr="00C76D1F">
              <w:rPr>
                <w:i/>
                <w:sz w:val="20"/>
                <w:lang w:val="fr-CA"/>
              </w:rPr>
              <w:t>Loi sur la protection des renseignements personnels</w:t>
            </w:r>
            <w:r w:rsidRPr="00C76D1F">
              <w:rPr>
                <w:sz w:val="20"/>
                <w:lang w:val="fr-CA"/>
              </w:rPr>
              <w:t>, la</w:t>
            </w:r>
            <w:r w:rsidRPr="00C76D1F">
              <w:rPr>
                <w:i/>
                <w:sz w:val="20"/>
                <w:lang w:val="fr-CA"/>
              </w:rPr>
              <w:t xml:space="preserve"> Loi sur l’accès à l’information </w:t>
            </w:r>
            <w:r w:rsidRPr="00C76D1F">
              <w:rPr>
                <w:sz w:val="20"/>
                <w:lang w:val="fr-CA"/>
              </w:rPr>
              <w:t>et la</w:t>
            </w:r>
            <w:r w:rsidRPr="00C76D1F">
              <w:rPr>
                <w:i/>
                <w:sz w:val="20"/>
                <w:lang w:val="fr-CA"/>
              </w:rPr>
              <w:t xml:space="preserve"> Loi sur la Bibliothèque et les Archives du Canada</w:t>
            </w:r>
            <w:r w:rsidRPr="00C76D1F">
              <w:rPr>
                <w:sz w:val="20"/>
                <w:lang w:val="fr-CA"/>
              </w:rPr>
              <w:t>?</w:t>
            </w:r>
            <w:r w:rsidRPr="00C76D1F">
              <w:rPr>
                <w:i/>
                <w:sz w:val="20"/>
                <w:lang w:val="fr-CA"/>
              </w:rPr>
              <w:t xml:space="preserve"> </w:t>
            </w:r>
            <w:r w:rsidRPr="00C76D1F">
              <w:rPr>
                <w:sz w:val="20"/>
                <w:lang w:val="fr-CA"/>
              </w:rPr>
              <w:t xml:space="preserve">– La juridiction inférieure a-t-elle commis une erreur de droit en appliquant les principes de l’engagement implicite et de la compétence inhérente </w:t>
            </w:r>
            <w:r w:rsidRPr="00C76D1F">
              <w:rPr>
                <w:sz w:val="20"/>
                <w:lang w:val="fr-CA"/>
              </w:rPr>
              <w:lastRenderedPageBreak/>
              <w:t>aux documents du PEI pour permettre leur destruction? – L’interprétation de la Convention de règlement relative aux pensionnats indiens par les juridictions inférieures a-t-elle maintenu son intégrité?</w:t>
            </w:r>
          </w:p>
        </w:tc>
      </w:tr>
      <w:tr w:rsidR="00C76D1F" w:rsidRPr="00C76D1F" w:rsidTr="00D07A7A">
        <w:tc>
          <w:tcPr>
            <w:tcW w:w="5000" w:type="pct"/>
            <w:gridSpan w:val="4"/>
          </w:tcPr>
          <w:p w:rsidR="00C76D1F" w:rsidRPr="00C76D1F" w:rsidRDefault="00C76D1F" w:rsidP="00C76D1F">
            <w:pPr>
              <w:jc w:val="both"/>
              <w:rPr>
                <w:sz w:val="20"/>
                <w:lang w:val="fr-CA"/>
              </w:rPr>
            </w:pPr>
          </w:p>
        </w:tc>
      </w:tr>
      <w:tr w:rsidR="00C76D1F" w:rsidRPr="00C76D1F" w:rsidTr="00D07A7A">
        <w:tc>
          <w:tcPr>
            <w:tcW w:w="5000" w:type="pct"/>
            <w:gridSpan w:val="4"/>
          </w:tcPr>
          <w:p w:rsidR="00C76D1F" w:rsidRPr="00C76D1F" w:rsidRDefault="00C76D1F" w:rsidP="00C76D1F">
            <w:pPr>
              <w:jc w:val="both"/>
              <w:rPr>
                <w:sz w:val="20"/>
                <w:lang w:val="fr-CA"/>
              </w:rPr>
            </w:pPr>
            <w:r w:rsidRPr="00C76D1F">
              <w:rPr>
                <w:sz w:val="20"/>
                <w:lang w:val="fr-CA"/>
              </w:rPr>
              <w:t xml:space="preserve">Dans le cadre du Processus d’évaluation indépendant (« PEI »), qui procurait un deuxième niveau d’indemnisation aux anciens élèves victimes de certains types de préjudice grave, s’est posé la question de savoir ce qui allait advenir des documents hautement confidentiels créés pendant le PEI lorsque celui-ci prendrait fin. Bibliothèque et Archives Canada a également délivré une </w:t>
            </w:r>
            <w:r w:rsidRPr="00C76D1F">
              <w:rPr>
                <w:i/>
                <w:sz w:val="20"/>
                <w:lang w:val="fr-CA"/>
              </w:rPr>
              <w:t>Autorisation de disposition de documents</w:t>
            </w:r>
            <w:r w:rsidRPr="00C76D1F">
              <w:rPr>
                <w:sz w:val="20"/>
                <w:lang w:val="fr-CA"/>
              </w:rPr>
              <w:t xml:space="preserve"> prescrivant que certains documents du PEI détenus par Affaires autochtones et du nord Canada, que l’archiviste national estimait être de valeur historique, soient transférés à Bibliothèque et Archives Canada. En 2013, la Commission de vérité et de réconciliation et l’adjudicateur en chef du Secrétariat d’adjudication des pensionnats indiens ont chacun présenté une demande d’instructions au tribunal. Ils ont tous les deux demandé l’élaboration d’un programme d’avis pour informer les demandeurs qu’ils pouvaient archiver certains de leurs documents du PEI au Centre national de recherche pour la vérité et la réconciliation. L’adjudicateur en chef a également demandé une ordonnance portant que tous les autres exemplaires des documents en la possession des parties soient détruits.</w:t>
            </w:r>
          </w:p>
          <w:p w:rsidR="00C76D1F" w:rsidRPr="00C76D1F" w:rsidRDefault="00C76D1F" w:rsidP="00C76D1F">
            <w:pPr>
              <w:jc w:val="both"/>
              <w:rPr>
                <w:sz w:val="20"/>
                <w:lang w:val="fr-CA"/>
              </w:rPr>
            </w:pPr>
          </w:p>
          <w:p w:rsidR="00C76D1F" w:rsidRPr="00C76D1F" w:rsidRDefault="00C76D1F" w:rsidP="00C76D1F">
            <w:pPr>
              <w:jc w:val="both"/>
              <w:rPr>
                <w:sz w:val="20"/>
                <w:lang w:val="fr-CA"/>
              </w:rPr>
            </w:pPr>
            <w:r w:rsidRPr="00C76D1F">
              <w:rPr>
                <w:sz w:val="20"/>
                <w:lang w:val="fr-CA"/>
              </w:rPr>
              <w:t>La juge chargée de la supervision a statué que les documents du PEI ne devaient pas être transférés à Bibliothèque et Archives Canada. L’adjudicateur en chef devait conserver les documents du PEI pendant 15 ans, période pendant laquelle tous les droits d’appel et de contrôle seraient épuisés. Au terme de la période de 15 ans, les documents seraient détruits. Les documents du PEI qui n’étaient pas détenus par l’adjudicateur en chef devaient être détruits, sous réserve de certaines restrictions. Les demandeurs pourraient archiver leurs propres documents PEI au Centre national de recherche pour la vérité et la réconciliation et la Commission de vérité et de réconciliation ou le Centre national de recherche pour la vérité et la réconciliation pourrait mettre en œuvre un programme d’avis pour informer les demandeurs de ce droit. Les juges majoritaires de la Cour d’appel ont statué que le programme d’avis devait être mis en œuvre par l’adjudicateur en chef. Autrement, l’appel et les appels incidents ont été rejetés.</w:t>
            </w:r>
          </w:p>
          <w:p w:rsidR="00C76D1F" w:rsidRPr="00C76D1F" w:rsidRDefault="00C76D1F" w:rsidP="00C76D1F">
            <w:pPr>
              <w:jc w:val="both"/>
              <w:rPr>
                <w:sz w:val="20"/>
                <w:lang w:val="fr-CA"/>
              </w:rPr>
            </w:pPr>
          </w:p>
        </w:tc>
      </w:tr>
      <w:tr w:rsidR="00C76D1F" w:rsidRPr="00C76D1F" w:rsidTr="00D1708D">
        <w:tc>
          <w:tcPr>
            <w:tcW w:w="2379" w:type="pct"/>
            <w:gridSpan w:val="2"/>
          </w:tcPr>
          <w:p w:rsidR="00C76D1F" w:rsidRPr="00C76D1F" w:rsidRDefault="00C76D1F" w:rsidP="00C76D1F">
            <w:pPr>
              <w:jc w:val="both"/>
              <w:rPr>
                <w:sz w:val="20"/>
                <w:lang w:val="fr-CA"/>
              </w:rPr>
            </w:pPr>
            <w:r w:rsidRPr="00C76D1F">
              <w:rPr>
                <w:sz w:val="20"/>
                <w:lang w:val="fr-CA"/>
              </w:rPr>
              <w:t>6 août 2014</w:t>
            </w:r>
          </w:p>
          <w:p w:rsidR="00C76D1F" w:rsidRPr="00C76D1F" w:rsidRDefault="00C76D1F" w:rsidP="00C76D1F">
            <w:pPr>
              <w:jc w:val="both"/>
              <w:rPr>
                <w:sz w:val="20"/>
                <w:lang w:val="fr-CA"/>
              </w:rPr>
            </w:pPr>
            <w:r w:rsidRPr="00C76D1F">
              <w:rPr>
                <w:sz w:val="20"/>
                <w:lang w:val="fr-CA"/>
              </w:rPr>
              <w:t>Cour supérieure de justice de l’Ontario</w:t>
            </w:r>
          </w:p>
          <w:p w:rsidR="00C76D1F" w:rsidRPr="00C76D1F" w:rsidRDefault="00C76D1F" w:rsidP="00C76D1F">
            <w:pPr>
              <w:jc w:val="both"/>
              <w:rPr>
                <w:sz w:val="20"/>
                <w:lang w:val="fr-CA"/>
              </w:rPr>
            </w:pPr>
            <w:r w:rsidRPr="00C76D1F">
              <w:rPr>
                <w:sz w:val="20"/>
                <w:lang w:val="fr-CA"/>
              </w:rPr>
              <w:t>(Juge Perell)</w:t>
            </w:r>
          </w:p>
          <w:p w:rsidR="00C76D1F" w:rsidRPr="00C76D1F" w:rsidRDefault="000221AE" w:rsidP="00C76D1F">
            <w:pPr>
              <w:jc w:val="both"/>
              <w:rPr>
                <w:sz w:val="20"/>
                <w:lang w:val="fr-CA"/>
              </w:rPr>
            </w:pPr>
            <w:hyperlink r:id="rId30" w:history="1">
              <w:r w:rsidR="00C76D1F" w:rsidRPr="00C76D1F">
                <w:rPr>
                  <w:rStyle w:val="Hyperlink"/>
                  <w:sz w:val="20"/>
                  <w:lang w:val="fr-CA"/>
                </w:rPr>
                <w:t>2014 ONSC 4585</w:t>
              </w:r>
            </w:hyperlink>
          </w:p>
          <w:p w:rsidR="00C76D1F" w:rsidRPr="00C76D1F" w:rsidRDefault="00C76D1F" w:rsidP="00C76D1F">
            <w:pPr>
              <w:jc w:val="both"/>
              <w:rPr>
                <w:sz w:val="20"/>
                <w:lang w:val="fr-CA"/>
              </w:rPr>
            </w:pPr>
          </w:p>
        </w:tc>
        <w:tc>
          <w:tcPr>
            <w:tcW w:w="146" w:type="pct"/>
          </w:tcPr>
          <w:p w:rsidR="00C76D1F" w:rsidRPr="00C76D1F" w:rsidRDefault="00C76D1F" w:rsidP="00C76D1F">
            <w:pPr>
              <w:jc w:val="both"/>
              <w:rPr>
                <w:sz w:val="20"/>
                <w:lang w:val="fr-CA"/>
              </w:rPr>
            </w:pPr>
          </w:p>
        </w:tc>
        <w:tc>
          <w:tcPr>
            <w:tcW w:w="2475" w:type="pct"/>
          </w:tcPr>
          <w:p w:rsidR="00C76D1F" w:rsidRPr="00C76D1F" w:rsidRDefault="00C76D1F" w:rsidP="00C76D1F">
            <w:pPr>
              <w:jc w:val="both"/>
              <w:rPr>
                <w:sz w:val="20"/>
                <w:lang w:val="fr-CA"/>
              </w:rPr>
            </w:pPr>
            <w:r w:rsidRPr="00C76D1F">
              <w:rPr>
                <w:color w:val="262626"/>
                <w:sz w:val="20"/>
                <w:lang w:val="fr-CA"/>
              </w:rPr>
              <w:t>Sur motion en vue d’obtenir des instructions, ordonnance et jugement déclaratoire sur ce qui doit advenir des documents produits et établis pour le Processus d’évaluation indépendant</w:t>
            </w:r>
          </w:p>
        </w:tc>
      </w:tr>
      <w:tr w:rsidR="00C76D1F" w:rsidRPr="00C76D1F" w:rsidTr="00D1708D">
        <w:tc>
          <w:tcPr>
            <w:tcW w:w="2379" w:type="pct"/>
            <w:gridSpan w:val="2"/>
          </w:tcPr>
          <w:p w:rsidR="00C76D1F" w:rsidRPr="00C76D1F" w:rsidRDefault="00C76D1F" w:rsidP="00C76D1F">
            <w:pPr>
              <w:jc w:val="both"/>
              <w:rPr>
                <w:sz w:val="20"/>
                <w:lang w:val="fr-CA"/>
              </w:rPr>
            </w:pPr>
            <w:r w:rsidRPr="00C76D1F">
              <w:rPr>
                <w:sz w:val="20"/>
                <w:lang w:val="fr-CA"/>
              </w:rPr>
              <w:t>4 avril 2016</w:t>
            </w:r>
          </w:p>
          <w:p w:rsidR="00C76D1F" w:rsidRPr="00C76D1F" w:rsidRDefault="00C76D1F" w:rsidP="00C76D1F">
            <w:pPr>
              <w:jc w:val="both"/>
              <w:rPr>
                <w:sz w:val="20"/>
                <w:lang w:val="fr-CA"/>
              </w:rPr>
            </w:pPr>
            <w:r w:rsidRPr="00C76D1F">
              <w:rPr>
                <w:sz w:val="20"/>
                <w:lang w:val="fr-CA"/>
              </w:rPr>
              <w:t xml:space="preserve">Cour d’appel de l’Ontario </w:t>
            </w:r>
          </w:p>
          <w:p w:rsidR="00C76D1F" w:rsidRPr="00C76D1F" w:rsidRDefault="00C76D1F" w:rsidP="00C76D1F">
            <w:pPr>
              <w:jc w:val="both"/>
              <w:rPr>
                <w:sz w:val="20"/>
                <w:lang w:val="fr-CA"/>
              </w:rPr>
            </w:pPr>
            <w:r w:rsidRPr="00C76D1F">
              <w:rPr>
                <w:sz w:val="20"/>
                <w:lang w:val="fr-CA"/>
              </w:rPr>
              <w:t xml:space="preserve">(Juges Strathy, Sharpe [dissident], </w:t>
            </w:r>
          </w:p>
          <w:p w:rsidR="00C76D1F" w:rsidRPr="00C76D1F" w:rsidRDefault="00C76D1F" w:rsidP="00C76D1F">
            <w:pPr>
              <w:jc w:val="both"/>
              <w:rPr>
                <w:sz w:val="20"/>
                <w:lang w:val="fr-CA"/>
              </w:rPr>
            </w:pPr>
            <w:r w:rsidRPr="00C76D1F">
              <w:rPr>
                <w:sz w:val="20"/>
                <w:lang w:val="fr-CA"/>
              </w:rPr>
              <w:t>et MacFarland)</w:t>
            </w:r>
          </w:p>
          <w:p w:rsidR="00C76D1F" w:rsidRPr="00C76D1F" w:rsidRDefault="000221AE" w:rsidP="00C76D1F">
            <w:pPr>
              <w:jc w:val="both"/>
              <w:rPr>
                <w:sz w:val="20"/>
                <w:lang w:val="fr-CA"/>
              </w:rPr>
            </w:pPr>
            <w:hyperlink r:id="rId31" w:history="1">
              <w:r w:rsidR="00C76D1F" w:rsidRPr="00C76D1F">
                <w:rPr>
                  <w:rStyle w:val="Hyperlink"/>
                  <w:sz w:val="20"/>
                  <w:lang w:val="fr-CA"/>
                </w:rPr>
                <w:t>2016 ONCA 241</w:t>
              </w:r>
            </w:hyperlink>
          </w:p>
          <w:p w:rsidR="00C76D1F" w:rsidRPr="00C76D1F" w:rsidRDefault="00C76D1F" w:rsidP="00C76D1F">
            <w:pPr>
              <w:jc w:val="both"/>
              <w:rPr>
                <w:sz w:val="20"/>
                <w:lang w:val="fr-CA"/>
              </w:rPr>
            </w:pPr>
          </w:p>
        </w:tc>
        <w:tc>
          <w:tcPr>
            <w:tcW w:w="146" w:type="pct"/>
          </w:tcPr>
          <w:p w:rsidR="00C76D1F" w:rsidRPr="00C76D1F" w:rsidRDefault="00C76D1F" w:rsidP="00C76D1F">
            <w:pPr>
              <w:jc w:val="both"/>
              <w:rPr>
                <w:sz w:val="20"/>
                <w:lang w:val="fr-CA"/>
              </w:rPr>
            </w:pPr>
          </w:p>
        </w:tc>
        <w:tc>
          <w:tcPr>
            <w:tcW w:w="2475" w:type="pct"/>
          </w:tcPr>
          <w:p w:rsidR="00C76D1F" w:rsidRPr="00C76D1F" w:rsidRDefault="00C76D1F" w:rsidP="00C76D1F">
            <w:pPr>
              <w:jc w:val="both"/>
              <w:rPr>
                <w:sz w:val="20"/>
                <w:lang w:val="fr-CA"/>
              </w:rPr>
            </w:pPr>
            <w:r w:rsidRPr="00C76D1F">
              <w:rPr>
                <w:color w:val="262626"/>
                <w:sz w:val="20"/>
                <w:lang w:val="fr-CA"/>
              </w:rPr>
              <w:t>Arrêt accueillant l’appel en partie et rejetant autrement l’appel et les appels incidents</w:t>
            </w:r>
          </w:p>
          <w:p w:rsidR="00C76D1F" w:rsidRPr="00C76D1F" w:rsidRDefault="00C76D1F" w:rsidP="00C76D1F">
            <w:pPr>
              <w:jc w:val="both"/>
              <w:rPr>
                <w:sz w:val="20"/>
                <w:lang w:val="fr-CA"/>
              </w:rPr>
            </w:pPr>
          </w:p>
        </w:tc>
      </w:tr>
      <w:tr w:rsidR="00C76D1F" w:rsidRPr="00C76D1F" w:rsidTr="00D1708D">
        <w:tc>
          <w:tcPr>
            <w:tcW w:w="2379" w:type="pct"/>
            <w:gridSpan w:val="2"/>
          </w:tcPr>
          <w:p w:rsidR="00C76D1F" w:rsidRPr="00C76D1F" w:rsidRDefault="00C76D1F" w:rsidP="00C76D1F">
            <w:pPr>
              <w:jc w:val="both"/>
              <w:rPr>
                <w:sz w:val="20"/>
                <w:lang w:val="fr-CA"/>
              </w:rPr>
            </w:pPr>
            <w:r w:rsidRPr="00C76D1F">
              <w:rPr>
                <w:sz w:val="20"/>
                <w:lang w:val="fr-CA"/>
              </w:rPr>
              <w:t>31 mai 2016</w:t>
            </w:r>
          </w:p>
          <w:p w:rsidR="00C76D1F" w:rsidRPr="00C76D1F" w:rsidRDefault="00C76D1F" w:rsidP="00C76D1F">
            <w:pPr>
              <w:jc w:val="both"/>
              <w:rPr>
                <w:sz w:val="20"/>
                <w:lang w:val="fr-CA"/>
              </w:rPr>
            </w:pPr>
            <w:r w:rsidRPr="00C76D1F">
              <w:rPr>
                <w:sz w:val="20"/>
                <w:lang w:val="fr-CA"/>
              </w:rPr>
              <w:t>Cour suprême du Canada</w:t>
            </w:r>
          </w:p>
          <w:p w:rsidR="00C76D1F" w:rsidRPr="00C76D1F" w:rsidRDefault="00C76D1F" w:rsidP="00C76D1F">
            <w:pPr>
              <w:jc w:val="both"/>
              <w:rPr>
                <w:sz w:val="20"/>
                <w:lang w:val="fr-CA"/>
              </w:rPr>
            </w:pPr>
          </w:p>
        </w:tc>
        <w:tc>
          <w:tcPr>
            <w:tcW w:w="146" w:type="pct"/>
          </w:tcPr>
          <w:p w:rsidR="00C76D1F" w:rsidRPr="00C76D1F" w:rsidRDefault="00C76D1F" w:rsidP="00C76D1F">
            <w:pPr>
              <w:jc w:val="both"/>
              <w:rPr>
                <w:sz w:val="20"/>
                <w:lang w:val="fr-CA"/>
              </w:rPr>
            </w:pPr>
          </w:p>
        </w:tc>
        <w:tc>
          <w:tcPr>
            <w:tcW w:w="2475" w:type="pct"/>
          </w:tcPr>
          <w:p w:rsidR="00C76D1F" w:rsidRPr="00C76D1F" w:rsidRDefault="00C76D1F" w:rsidP="00C76D1F">
            <w:pPr>
              <w:jc w:val="both"/>
              <w:rPr>
                <w:sz w:val="20"/>
                <w:lang w:val="fr-CA"/>
              </w:rPr>
            </w:pPr>
            <w:r w:rsidRPr="00C76D1F">
              <w:rPr>
                <w:sz w:val="20"/>
                <w:lang w:val="fr-CA"/>
              </w:rPr>
              <w:t>Dépôt de la demande d’autorisation d’appel</w:t>
            </w:r>
          </w:p>
          <w:p w:rsidR="00C76D1F" w:rsidRPr="00C76D1F" w:rsidRDefault="00C76D1F" w:rsidP="00C76D1F">
            <w:pPr>
              <w:jc w:val="both"/>
              <w:rPr>
                <w:sz w:val="20"/>
                <w:lang w:val="fr-CA"/>
              </w:rPr>
            </w:pPr>
          </w:p>
        </w:tc>
      </w:tr>
      <w:tr w:rsidR="00C76D1F" w:rsidRPr="00C76D1F" w:rsidTr="00D1708D">
        <w:tc>
          <w:tcPr>
            <w:tcW w:w="2379" w:type="pct"/>
            <w:gridSpan w:val="2"/>
          </w:tcPr>
          <w:p w:rsidR="00C76D1F" w:rsidRPr="00C76D1F" w:rsidRDefault="00C76D1F" w:rsidP="00C76D1F">
            <w:pPr>
              <w:jc w:val="both"/>
              <w:rPr>
                <w:sz w:val="20"/>
                <w:lang w:val="fr-CA"/>
              </w:rPr>
            </w:pPr>
            <w:r w:rsidRPr="00C76D1F">
              <w:rPr>
                <w:sz w:val="20"/>
                <w:lang w:val="fr-CA"/>
              </w:rPr>
              <w:t>2 août 2016</w:t>
            </w:r>
          </w:p>
          <w:p w:rsidR="00C76D1F" w:rsidRPr="00C76D1F" w:rsidRDefault="00C76D1F" w:rsidP="00C76D1F">
            <w:pPr>
              <w:jc w:val="both"/>
              <w:rPr>
                <w:sz w:val="20"/>
                <w:lang w:val="fr-CA"/>
              </w:rPr>
            </w:pPr>
            <w:r w:rsidRPr="00C76D1F">
              <w:rPr>
                <w:sz w:val="20"/>
                <w:lang w:val="fr-CA"/>
              </w:rPr>
              <w:t>Cour suprême du Canada</w:t>
            </w:r>
          </w:p>
          <w:p w:rsidR="00C76D1F" w:rsidRPr="00C76D1F" w:rsidRDefault="00C76D1F" w:rsidP="00C76D1F">
            <w:pPr>
              <w:jc w:val="both"/>
              <w:rPr>
                <w:sz w:val="20"/>
                <w:lang w:val="fr-CA"/>
              </w:rPr>
            </w:pPr>
          </w:p>
        </w:tc>
        <w:tc>
          <w:tcPr>
            <w:tcW w:w="146" w:type="pct"/>
          </w:tcPr>
          <w:p w:rsidR="00C76D1F" w:rsidRPr="00C76D1F" w:rsidRDefault="00C76D1F" w:rsidP="00C76D1F">
            <w:pPr>
              <w:jc w:val="both"/>
              <w:rPr>
                <w:sz w:val="20"/>
                <w:lang w:val="fr-CA"/>
              </w:rPr>
            </w:pPr>
          </w:p>
        </w:tc>
        <w:tc>
          <w:tcPr>
            <w:tcW w:w="2475" w:type="pct"/>
          </w:tcPr>
          <w:p w:rsidR="00C76D1F" w:rsidRPr="00C76D1F" w:rsidRDefault="00C76D1F" w:rsidP="00C76D1F">
            <w:pPr>
              <w:jc w:val="both"/>
              <w:rPr>
                <w:sz w:val="20"/>
                <w:lang w:val="fr-CA"/>
              </w:rPr>
            </w:pPr>
            <w:r w:rsidRPr="00C76D1F">
              <w:rPr>
                <w:sz w:val="20"/>
                <w:lang w:val="fr-CA"/>
              </w:rPr>
              <w:t>Dépôt de la demande conditionnelle d’autorisation d’appel incident</w:t>
            </w:r>
          </w:p>
        </w:tc>
      </w:tr>
      <w:tr w:rsidR="00C76D1F" w:rsidRPr="00C76D1F" w:rsidTr="00D1708D">
        <w:tc>
          <w:tcPr>
            <w:tcW w:w="2379" w:type="pct"/>
            <w:gridSpan w:val="2"/>
          </w:tcPr>
          <w:p w:rsidR="00C76D1F" w:rsidRPr="00C76D1F" w:rsidRDefault="00C76D1F" w:rsidP="00C76D1F">
            <w:pPr>
              <w:jc w:val="both"/>
              <w:rPr>
                <w:sz w:val="20"/>
                <w:lang w:val="fr-CA"/>
              </w:rPr>
            </w:pPr>
            <w:r w:rsidRPr="00C76D1F">
              <w:rPr>
                <w:sz w:val="20"/>
                <w:lang w:val="fr-CA"/>
              </w:rPr>
              <w:t>2 août 2016</w:t>
            </w:r>
          </w:p>
          <w:p w:rsidR="00C76D1F" w:rsidRPr="00C76D1F" w:rsidRDefault="00C76D1F" w:rsidP="00C76D1F">
            <w:pPr>
              <w:jc w:val="both"/>
              <w:rPr>
                <w:sz w:val="20"/>
                <w:lang w:val="fr-CA"/>
              </w:rPr>
            </w:pPr>
            <w:r w:rsidRPr="00C76D1F">
              <w:rPr>
                <w:sz w:val="20"/>
                <w:lang w:val="fr-CA"/>
              </w:rPr>
              <w:t>Cour suprême du Canada</w:t>
            </w:r>
          </w:p>
        </w:tc>
        <w:tc>
          <w:tcPr>
            <w:tcW w:w="146" w:type="pct"/>
          </w:tcPr>
          <w:p w:rsidR="00C76D1F" w:rsidRPr="00C76D1F" w:rsidRDefault="00C76D1F" w:rsidP="00C76D1F">
            <w:pPr>
              <w:jc w:val="both"/>
              <w:rPr>
                <w:sz w:val="20"/>
                <w:lang w:val="fr-CA"/>
              </w:rPr>
            </w:pPr>
          </w:p>
        </w:tc>
        <w:tc>
          <w:tcPr>
            <w:tcW w:w="2475" w:type="pct"/>
          </w:tcPr>
          <w:p w:rsidR="00C76D1F" w:rsidRPr="00C76D1F" w:rsidRDefault="00C76D1F" w:rsidP="00C76D1F">
            <w:pPr>
              <w:jc w:val="both"/>
              <w:rPr>
                <w:sz w:val="20"/>
                <w:lang w:val="fr-CA"/>
              </w:rPr>
            </w:pPr>
            <w:r w:rsidRPr="00C76D1F">
              <w:rPr>
                <w:sz w:val="20"/>
                <w:lang w:val="fr-CA"/>
              </w:rPr>
              <w:t xml:space="preserve">Dépôt par les représentants </w:t>
            </w:r>
            <w:proofErr w:type="spellStart"/>
            <w:r w:rsidRPr="00C76D1F">
              <w:rPr>
                <w:sz w:val="20"/>
                <w:lang w:val="fr-CA"/>
              </w:rPr>
              <w:t>inuits</w:t>
            </w:r>
            <w:proofErr w:type="spellEnd"/>
            <w:r w:rsidRPr="00C76D1F">
              <w:rPr>
                <w:sz w:val="20"/>
                <w:lang w:val="fr-CA"/>
              </w:rPr>
              <w:t xml:space="preserve"> de la requête en vue d’être constitués partie</w:t>
            </w:r>
          </w:p>
        </w:tc>
      </w:tr>
    </w:tbl>
    <w:p w:rsidR="00C76D1F" w:rsidRPr="00C76D1F" w:rsidRDefault="00C76D1F" w:rsidP="00C76D1F">
      <w:pPr>
        <w:jc w:val="both"/>
        <w:rPr>
          <w:sz w:val="20"/>
          <w:lang w:val="fr-CA"/>
        </w:rPr>
      </w:pPr>
    </w:p>
    <w:p w:rsidR="0070231A" w:rsidRPr="00C76588" w:rsidRDefault="0070231A" w:rsidP="00C76588">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6588" w:rsidRPr="00C76588" w:rsidTr="00E95A6A">
        <w:tc>
          <w:tcPr>
            <w:tcW w:w="543" w:type="pct"/>
          </w:tcPr>
          <w:p w:rsidR="00C76588" w:rsidRPr="00C76588" w:rsidRDefault="00C76588" w:rsidP="00C76588">
            <w:pPr>
              <w:jc w:val="both"/>
              <w:rPr>
                <w:sz w:val="20"/>
              </w:rPr>
            </w:pPr>
            <w:r w:rsidRPr="00C76588">
              <w:rPr>
                <w:rStyle w:val="SCCFileNumberChar"/>
                <w:sz w:val="20"/>
                <w:szCs w:val="20"/>
              </w:rPr>
              <w:t>37060</w:t>
            </w:r>
          </w:p>
        </w:tc>
        <w:tc>
          <w:tcPr>
            <w:tcW w:w="4457" w:type="pct"/>
            <w:gridSpan w:val="3"/>
          </w:tcPr>
          <w:p w:rsidR="00C76588" w:rsidRPr="00C76588" w:rsidRDefault="00C76588" w:rsidP="00C76588">
            <w:pPr>
              <w:pStyle w:val="SCCLsocParty"/>
              <w:jc w:val="both"/>
              <w:rPr>
                <w:b/>
                <w:sz w:val="20"/>
                <w:szCs w:val="20"/>
              </w:rPr>
            </w:pPr>
            <w:r w:rsidRPr="00C76588">
              <w:rPr>
                <w:b/>
                <w:sz w:val="20"/>
                <w:szCs w:val="20"/>
              </w:rPr>
              <w:t>Krista Danielle Sargent v. Her Majesty the Queen</w:t>
            </w:r>
          </w:p>
          <w:p w:rsidR="00C76588" w:rsidRPr="00C76588" w:rsidRDefault="00C76588" w:rsidP="00C76588">
            <w:pPr>
              <w:jc w:val="both"/>
              <w:rPr>
                <w:sz w:val="20"/>
              </w:rPr>
            </w:pPr>
            <w:r w:rsidRPr="00C76588">
              <w:rPr>
                <w:sz w:val="20"/>
              </w:rPr>
              <w:t>(Alta.) (Criminal) (By Leave)</w:t>
            </w:r>
          </w:p>
        </w:tc>
      </w:tr>
      <w:tr w:rsidR="00C76588" w:rsidRPr="00C76588" w:rsidTr="00E95A6A">
        <w:tc>
          <w:tcPr>
            <w:tcW w:w="5000" w:type="pct"/>
            <w:gridSpan w:val="4"/>
          </w:tcPr>
          <w:p w:rsidR="00C76588" w:rsidRPr="00C76588" w:rsidRDefault="00C76588" w:rsidP="00C76588">
            <w:pPr>
              <w:jc w:val="both"/>
              <w:rPr>
                <w:sz w:val="20"/>
              </w:rPr>
            </w:pPr>
            <w:r w:rsidRPr="00C76588">
              <w:rPr>
                <w:sz w:val="20"/>
              </w:rPr>
              <w:t xml:space="preserve">Criminal law – Sentencing – Considerations – Appeals – Powers of Court of Appeal – Court of Appeal increasing sentence – Whether the majority of the Court of Appeal erred in substituting sentence it considered appropriate for one imposed by trial judge – Whether the majority of the Court of Appeal erred in law by intervening without deference to vary the sentencing judge’s sentence – Whether this undermines the credibility of the system and the </w:t>
            </w:r>
            <w:r w:rsidRPr="00C76588">
              <w:rPr>
                <w:sz w:val="20"/>
              </w:rPr>
              <w:lastRenderedPageBreak/>
              <w:t>authority of trial courts – Whether the majority of the Court of Appeal erred in law by rigidly applying a range of sentence for narcotic trafficking and arbitrarily determining that twelve months’ incarceration was a fit sentence.</w:t>
            </w:r>
          </w:p>
        </w:tc>
      </w:tr>
      <w:tr w:rsidR="00C76588" w:rsidRPr="00C76588" w:rsidTr="00E95A6A">
        <w:tc>
          <w:tcPr>
            <w:tcW w:w="5000" w:type="pct"/>
            <w:gridSpan w:val="4"/>
          </w:tcPr>
          <w:p w:rsidR="00C76588" w:rsidRPr="00C76588" w:rsidRDefault="00C76588" w:rsidP="00C76588">
            <w:pPr>
              <w:jc w:val="both"/>
              <w:rPr>
                <w:sz w:val="20"/>
              </w:rPr>
            </w:pPr>
          </w:p>
        </w:tc>
      </w:tr>
      <w:tr w:rsidR="00C76588" w:rsidRPr="00C76588" w:rsidTr="00E95A6A">
        <w:tc>
          <w:tcPr>
            <w:tcW w:w="5000" w:type="pct"/>
            <w:gridSpan w:val="4"/>
          </w:tcPr>
          <w:p w:rsidR="00C76588" w:rsidRPr="00C76588" w:rsidRDefault="00C76588" w:rsidP="00C76588">
            <w:pPr>
              <w:jc w:val="both"/>
              <w:rPr>
                <w:sz w:val="20"/>
              </w:rPr>
            </w:pPr>
            <w:r w:rsidRPr="00C76588">
              <w:rPr>
                <w:sz w:val="20"/>
              </w:rPr>
              <w:t>The applicant entered the Edmonton Maximum Institution as a visitor. A narcotics sniffer dog approached her. The correctional officers conducted a strip search. Almost immediately the applicant told the officers that she had concealed drugs in her vagina. A subsequent search located a baggie containing four Tylenol-4 and three Tylenol-3 pills (both containing codeine) and four grams of marijuana. The institutional value of the drugs was approximately $1,950. During the search, and again to the investigating officers, the applicant stated that her boyfriend was an inmate at the institution and was pressuring her to smuggle in the drugs. It was not until April 2015 that the applicant changed her plea and entered two guilty pleas. The applicant had no prior criminal record. She was a nurse and had worked in that capacity at the Edmonton Remand Centre for at least two years but had quit that job shortly before May 25, 2013. The sentencing judge imposed an intermittent sentence of 90 days actual incarceration together with probation for a period of two years. A majority of the Court of Appeal allowed the appeal. A sentence of 12 months actual incarceration was imposed, less credit for the time actually served under the intermittent sentence. Berger J.A. would have dismissed the appeal.</w:t>
            </w:r>
          </w:p>
          <w:p w:rsidR="00C76588" w:rsidRPr="00C76588" w:rsidRDefault="00C76588" w:rsidP="00C76588">
            <w:pPr>
              <w:jc w:val="both"/>
              <w:rPr>
                <w:sz w:val="20"/>
              </w:rPr>
            </w:pPr>
          </w:p>
        </w:tc>
      </w:tr>
      <w:tr w:rsidR="00C76588" w:rsidRPr="00C76588" w:rsidTr="00E95A6A">
        <w:tc>
          <w:tcPr>
            <w:tcW w:w="2427" w:type="pct"/>
            <w:gridSpan w:val="2"/>
          </w:tcPr>
          <w:p w:rsidR="00C76588" w:rsidRPr="00C76588" w:rsidRDefault="00C76588" w:rsidP="00C76588">
            <w:pPr>
              <w:jc w:val="both"/>
              <w:rPr>
                <w:sz w:val="20"/>
              </w:rPr>
            </w:pPr>
            <w:r w:rsidRPr="00C76588">
              <w:rPr>
                <w:sz w:val="20"/>
              </w:rPr>
              <w:t>September 11, 2015</w:t>
            </w:r>
          </w:p>
          <w:p w:rsidR="00C76588" w:rsidRPr="00C76588" w:rsidRDefault="00C76588" w:rsidP="00C76588">
            <w:pPr>
              <w:jc w:val="both"/>
              <w:rPr>
                <w:sz w:val="20"/>
              </w:rPr>
            </w:pPr>
            <w:r w:rsidRPr="00C76588">
              <w:rPr>
                <w:sz w:val="20"/>
              </w:rPr>
              <w:t>Court of Queen’s Bench of Alberta</w:t>
            </w:r>
          </w:p>
          <w:p w:rsidR="00C76588" w:rsidRPr="00C76588" w:rsidRDefault="00C76588" w:rsidP="00C76588">
            <w:pPr>
              <w:jc w:val="both"/>
              <w:rPr>
                <w:sz w:val="20"/>
              </w:rPr>
            </w:pPr>
            <w:r w:rsidRPr="00C76588">
              <w:rPr>
                <w:sz w:val="20"/>
              </w:rPr>
              <w:t>(Ouellette J.)</w:t>
            </w:r>
          </w:p>
          <w:p w:rsidR="00C76588" w:rsidRPr="00C76588" w:rsidRDefault="00C76588" w:rsidP="00C76588">
            <w:pPr>
              <w:jc w:val="both"/>
              <w:rPr>
                <w:sz w:val="20"/>
              </w:rPr>
            </w:pPr>
          </w:p>
        </w:tc>
        <w:tc>
          <w:tcPr>
            <w:tcW w:w="243" w:type="pct"/>
          </w:tcPr>
          <w:p w:rsidR="00C76588" w:rsidRPr="00C76588" w:rsidRDefault="00C76588" w:rsidP="00C76588">
            <w:pPr>
              <w:jc w:val="both"/>
              <w:rPr>
                <w:sz w:val="20"/>
              </w:rPr>
            </w:pPr>
          </w:p>
        </w:tc>
        <w:tc>
          <w:tcPr>
            <w:tcW w:w="2330" w:type="pct"/>
          </w:tcPr>
          <w:p w:rsidR="00C76588" w:rsidRPr="00C76588" w:rsidRDefault="00C76588" w:rsidP="00C76588">
            <w:pPr>
              <w:jc w:val="both"/>
              <w:rPr>
                <w:sz w:val="20"/>
              </w:rPr>
            </w:pPr>
            <w:r w:rsidRPr="00C76588">
              <w:rPr>
                <w:sz w:val="20"/>
              </w:rPr>
              <w:t>Sentence: intermittent sentence of 90 days actual incarceration together with probation for a period of two years</w:t>
            </w:r>
          </w:p>
          <w:p w:rsidR="00C76588" w:rsidRPr="00C76588" w:rsidRDefault="00C76588" w:rsidP="00C76588">
            <w:pPr>
              <w:jc w:val="both"/>
              <w:rPr>
                <w:sz w:val="20"/>
              </w:rPr>
            </w:pPr>
          </w:p>
        </w:tc>
      </w:tr>
      <w:tr w:rsidR="00C76588" w:rsidRPr="00C76588" w:rsidTr="00E95A6A">
        <w:tc>
          <w:tcPr>
            <w:tcW w:w="2427" w:type="pct"/>
            <w:gridSpan w:val="2"/>
          </w:tcPr>
          <w:p w:rsidR="00C76588" w:rsidRPr="00C76588" w:rsidRDefault="00C76588" w:rsidP="00C76588">
            <w:pPr>
              <w:jc w:val="both"/>
              <w:rPr>
                <w:sz w:val="20"/>
              </w:rPr>
            </w:pPr>
            <w:r w:rsidRPr="00C76588">
              <w:rPr>
                <w:sz w:val="20"/>
              </w:rPr>
              <w:t>April 12, 2016</w:t>
            </w:r>
          </w:p>
          <w:p w:rsidR="00C76588" w:rsidRPr="00C76588" w:rsidRDefault="00C76588" w:rsidP="00C76588">
            <w:pPr>
              <w:jc w:val="both"/>
              <w:rPr>
                <w:sz w:val="20"/>
              </w:rPr>
            </w:pPr>
            <w:r w:rsidRPr="00C76588">
              <w:rPr>
                <w:sz w:val="20"/>
              </w:rPr>
              <w:t>Court of Appeal of Alberta (Edmonton)</w:t>
            </w:r>
          </w:p>
          <w:p w:rsidR="00C76588" w:rsidRPr="00C76588" w:rsidRDefault="00C76588" w:rsidP="00C76588">
            <w:pPr>
              <w:jc w:val="both"/>
              <w:rPr>
                <w:sz w:val="20"/>
              </w:rPr>
            </w:pPr>
            <w:r w:rsidRPr="00C76588">
              <w:rPr>
                <w:sz w:val="20"/>
              </w:rPr>
              <w:t xml:space="preserve">(McDonald and </w:t>
            </w:r>
            <w:proofErr w:type="spellStart"/>
            <w:r w:rsidRPr="00C76588">
              <w:rPr>
                <w:sz w:val="20"/>
              </w:rPr>
              <w:t>Wakeling</w:t>
            </w:r>
            <w:proofErr w:type="spellEnd"/>
            <w:r w:rsidRPr="00C76588">
              <w:rPr>
                <w:sz w:val="20"/>
              </w:rPr>
              <w:t xml:space="preserve"> </w:t>
            </w:r>
            <w:proofErr w:type="gramStart"/>
            <w:r w:rsidRPr="00C76588">
              <w:rPr>
                <w:sz w:val="20"/>
              </w:rPr>
              <w:t>JJ.A.,</w:t>
            </w:r>
            <w:proofErr w:type="gramEnd"/>
            <w:r w:rsidRPr="00C76588">
              <w:rPr>
                <w:sz w:val="20"/>
              </w:rPr>
              <w:t xml:space="preserve"> Berger J.A. </w:t>
            </w:r>
          </w:p>
          <w:p w:rsidR="00C76588" w:rsidRPr="00C76588" w:rsidRDefault="00C76588" w:rsidP="00C76588">
            <w:pPr>
              <w:jc w:val="both"/>
              <w:rPr>
                <w:sz w:val="20"/>
              </w:rPr>
            </w:pPr>
            <w:r w:rsidRPr="00C76588">
              <w:rPr>
                <w:sz w:val="20"/>
              </w:rPr>
              <w:t>(dissenting)</w:t>
            </w:r>
          </w:p>
          <w:p w:rsidR="00C76588" w:rsidRPr="00C76588" w:rsidRDefault="00C76588" w:rsidP="00C76588">
            <w:pPr>
              <w:jc w:val="both"/>
              <w:rPr>
                <w:sz w:val="20"/>
              </w:rPr>
            </w:pPr>
            <w:r w:rsidRPr="00C76588">
              <w:rPr>
                <w:sz w:val="20"/>
              </w:rPr>
              <w:t>2016 ABCA 104; 1503-0249-A</w:t>
            </w:r>
          </w:p>
          <w:p w:rsidR="00C76588" w:rsidRPr="00C76588" w:rsidRDefault="000221AE" w:rsidP="00C76588">
            <w:pPr>
              <w:jc w:val="both"/>
              <w:rPr>
                <w:sz w:val="20"/>
              </w:rPr>
            </w:pPr>
            <w:hyperlink r:id="rId32" w:history="1">
              <w:r w:rsidR="00C76588" w:rsidRPr="00C76588">
                <w:rPr>
                  <w:rStyle w:val="Hyperlink"/>
                  <w:rFonts w:eastAsiaTheme="majorEastAsia"/>
                  <w:sz w:val="20"/>
                </w:rPr>
                <w:t>http://canlii.ca/t/gpd39</w:t>
              </w:r>
            </w:hyperlink>
          </w:p>
          <w:p w:rsidR="00C76588" w:rsidRPr="00C76588" w:rsidRDefault="00C76588" w:rsidP="00C76588">
            <w:pPr>
              <w:jc w:val="both"/>
              <w:rPr>
                <w:sz w:val="20"/>
              </w:rPr>
            </w:pPr>
          </w:p>
        </w:tc>
        <w:tc>
          <w:tcPr>
            <w:tcW w:w="243" w:type="pct"/>
          </w:tcPr>
          <w:p w:rsidR="00C76588" w:rsidRPr="00C76588" w:rsidRDefault="00C76588" w:rsidP="00C76588">
            <w:pPr>
              <w:jc w:val="both"/>
              <w:rPr>
                <w:sz w:val="20"/>
              </w:rPr>
            </w:pPr>
          </w:p>
        </w:tc>
        <w:tc>
          <w:tcPr>
            <w:tcW w:w="2330" w:type="pct"/>
          </w:tcPr>
          <w:p w:rsidR="00C76588" w:rsidRPr="00C76588" w:rsidRDefault="00C76588" w:rsidP="00C76588">
            <w:pPr>
              <w:jc w:val="both"/>
              <w:rPr>
                <w:sz w:val="20"/>
              </w:rPr>
            </w:pPr>
            <w:r w:rsidRPr="00C76588">
              <w:rPr>
                <w:sz w:val="20"/>
              </w:rPr>
              <w:t>Crown appeal allowed: sentence of 12 months actual incarceration imposed, less credit for the time actually served under the intermittent sentence</w:t>
            </w:r>
          </w:p>
          <w:p w:rsidR="00C76588" w:rsidRPr="00C76588" w:rsidRDefault="00C76588" w:rsidP="00C76588">
            <w:pPr>
              <w:jc w:val="both"/>
              <w:rPr>
                <w:sz w:val="20"/>
              </w:rPr>
            </w:pPr>
          </w:p>
          <w:p w:rsidR="00C76588" w:rsidRPr="00C76588" w:rsidRDefault="00C76588" w:rsidP="00C76588">
            <w:pPr>
              <w:jc w:val="both"/>
              <w:rPr>
                <w:sz w:val="20"/>
              </w:rPr>
            </w:pPr>
          </w:p>
        </w:tc>
      </w:tr>
      <w:tr w:rsidR="00C76588" w:rsidRPr="00C76588" w:rsidTr="00E95A6A">
        <w:tc>
          <w:tcPr>
            <w:tcW w:w="2427" w:type="pct"/>
            <w:gridSpan w:val="2"/>
          </w:tcPr>
          <w:p w:rsidR="00C76588" w:rsidRPr="00C76588" w:rsidRDefault="00C76588" w:rsidP="00C76588">
            <w:pPr>
              <w:jc w:val="both"/>
              <w:rPr>
                <w:sz w:val="20"/>
              </w:rPr>
            </w:pPr>
            <w:r w:rsidRPr="00C76588">
              <w:rPr>
                <w:sz w:val="20"/>
              </w:rPr>
              <w:t>June 10, 2016</w:t>
            </w:r>
          </w:p>
          <w:p w:rsidR="00C76588" w:rsidRPr="00C76588" w:rsidRDefault="00C76588" w:rsidP="00C76588">
            <w:pPr>
              <w:jc w:val="both"/>
              <w:rPr>
                <w:sz w:val="20"/>
              </w:rPr>
            </w:pPr>
            <w:r w:rsidRPr="00C76588">
              <w:rPr>
                <w:sz w:val="20"/>
              </w:rPr>
              <w:t>Supreme Court of Canada</w:t>
            </w:r>
          </w:p>
        </w:tc>
        <w:tc>
          <w:tcPr>
            <w:tcW w:w="243" w:type="pct"/>
          </w:tcPr>
          <w:p w:rsidR="00C76588" w:rsidRPr="00C76588" w:rsidRDefault="00C76588" w:rsidP="00C76588">
            <w:pPr>
              <w:jc w:val="both"/>
              <w:rPr>
                <w:sz w:val="20"/>
              </w:rPr>
            </w:pPr>
          </w:p>
        </w:tc>
        <w:tc>
          <w:tcPr>
            <w:tcW w:w="2330" w:type="pct"/>
          </w:tcPr>
          <w:p w:rsidR="00C76588" w:rsidRPr="00C76588" w:rsidRDefault="00C76588" w:rsidP="00C76588">
            <w:pPr>
              <w:jc w:val="both"/>
              <w:rPr>
                <w:sz w:val="20"/>
              </w:rPr>
            </w:pPr>
            <w:r w:rsidRPr="00C76588">
              <w:rPr>
                <w:sz w:val="20"/>
              </w:rPr>
              <w:t>Application for leave to appeal filed</w:t>
            </w:r>
          </w:p>
          <w:p w:rsidR="00C76588" w:rsidRPr="00C76588" w:rsidRDefault="00C76588" w:rsidP="00C76588">
            <w:pPr>
              <w:jc w:val="both"/>
              <w:rPr>
                <w:sz w:val="20"/>
              </w:rPr>
            </w:pPr>
          </w:p>
        </w:tc>
      </w:tr>
    </w:tbl>
    <w:p w:rsidR="00C76588" w:rsidRDefault="00C76588" w:rsidP="00C76588">
      <w:pPr>
        <w:jc w:val="both"/>
        <w:rPr>
          <w:sz w:val="20"/>
        </w:rPr>
      </w:pPr>
    </w:p>
    <w:p w:rsidR="00C76588" w:rsidRPr="00C76588" w:rsidRDefault="00C76588" w:rsidP="00C7658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6588" w:rsidRPr="00C76588" w:rsidTr="00E95A6A">
        <w:tc>
          <w:tcPr>
            <w:tcW w:w="543" w:type="pct"/>
          </w:tcPr>
          <w:p w:rsidR="00C76588" w:rsidRPr="00C76588" w:rsidRDefault="00C76588" w:rsidP="00C76588">
            <w:pPr>
              <w:jc w:val="both"/>
              <w:rPr>
                <w:sz w:val="20"/>
                <w:lang w:val="fr-CA"/>
              </w:rPr>
            </w:pPr>
            <w:r w:rsidRPr="00C76588">
              <w:rPr>
                <w:rStyle w:val="SCCFileNumberChar"/>
                <w:sz w:val="20"/>
                <w:szCs w:val="20"/>
                <w:lang w:val="fr-CA"/>
              </w:rPr>
              <w:t>37060</w:t>
            </w:r>
          </w:p>
        </w:tc>
        <w:tc>
          <w:tcPr>
            <w:tcW w:w="4457" w:type="pct"/>
            <w:gridSpan w:val="3"/>
          </w:tcPr>
          <w:p w:rsidR="00C76588" w:rsidRPr="00C76588" w:rsidRDefault="00C76588" w:rsidP="00C76588">
            <w:pPr>
              <w:pStyle w:val="SCCLsocParty"/>
              <w:jc w:val="both"/>
              <w:rPr>
                <w:b/>
                <w:sz w:val="20"/>
                <w:szCs w:val="20"/>
              </w:rPr>
            </w:pPr>
            <w:r w:rsidRPr="00C76588">
              <w:rPr>
                <w:b/>
                <w:sz w:val="20"/>
                <w:szCs w:val="20"/>
              </w:rPr>
              <w:t>Krista Danielle Sargent c. Sa Majesté la Reine</w:t>
            </w:r>
          </w:p>
          <w:p w:rsidR="00C76588" w:rsidRPr="00C76588" w:rsidRDefault="00C76588" w:rsidP="00C76588">
            <w:pPr>
              <w:jc w:val="both"/>
              <w:rPr>
                <w:sz w:val="20"/>
                <w:lang w:val="fr-CA"/>
              </w:rPr>
            </w:pPr>
            <w:r w:rsidRPr="00C76588">
              <w:rPr>
                <w:sz w:val="20"/>
                <w:lang w:val="fr-CA"/>
              </w:rPr>
              <w:t>(Alb.) (Criminelle) (Sur autorisation)</w:t>
            </w:r>
          </w:p>
        </w:tc>
      </w:tr>
      <w:tr w:rsidR="00C76588" w:rsidRPr="00C76588" w:rsidTr="00E95A6A">
        <w:tc>
          <w:tcPr>
            <w:tcW w:w="5000" w:type="pct"/>
            <w:gridSpan w:val="4"/>
          </w:tcPr>
          <w:p w:rsidR="00C76588" w:rsidRPr="00C76588" w:rsidRDefault="00C76588" w:rsidP="00C76588">
            <w:pPr>
              <w:jc w:val="both"/>
              <w:rPr>
                <w:sz w:val="20"/>
                <w:lang w:val="fr-CA"/>
              </w:rPr>
            </w:pPr>
            <w:r w:rsidRPr="00C76588">
              <w:rPr>
                <w:sz w:val="20"/>
                <w:lang w:val="fr-CA"/>
              </w:rPr>
              <w:t>Droit criminel – Détermination de la peine – Facteurs devant être pris en considération – Appels – Pouvoirs de la Cour d’appel – La Cour d’appel a accru la durée de la peine – Les juges majoritaires de la Cour d’appel ont-ils eu tort de substituer à la peine imposée par le juge du procès une peine qu’ils considéraient être appropriée? – Les juges majoritaires de la Cour d’appel ont-ils commis une erreur de droit en intervenant sans retenue pour modifier la peine imposée par le juge de première instance? – Cette intervention érode-t-elle la crédibilité du système et l’autorité des tribunaux de première instance? – Les juges majoritaires de la Cour d’appel ont-ils commis une erreur de droit en appliquant de manière rigide une échelle de peines pour le trafic des stupéfiants et en déterminant de façon arbitraire qu’une peine d’emprisonnement de 12 mois était une sentence appropriée?</w:t>
            </w:r>
          </w:p>
        </w:tc>
      </w:tr>
      <w:tr w:rsidR="00C76588" w:rsidRPr="00C76588" w:rsidTr="00E95A6A">
        <w:tc>
          <w:tcPr>
            <w:tcW w:w="5000" w:type="pct"/>
            <w:gridSpan w:val="4"/>
          </w:tcPr>
          <w:p w:rsidR="00C76588" w:rsidRPr="00C76588" w:rsidRDefault="00C76588" w:rsidP="00C76588">
            <w:pPr>
              <w:jc w:val="both"/>
              <w:rPr>
                <w:sz w:val="20"/>
                <w:lang w:val="fr-CA"/>
              </w:rPr>
            </w:pPr>
          </w:p>
        </w:tc>
      </w:tr>
      <w:tr w:rsidR="00C76588" w:rsidRPr="00C76588" w:rsidTr="00E95A6A">
        <w:tc>
          <w:tcPr>
            <w:tcW w:w="5000" w:type="pct"/>
            <w:gridSpan w:val="4"/>
          </w:tcPr>
          <w:p w:rsidR="00C76588" w:rsidRPr="00C76588" w:rsidRDefault="00C76588" w:rsidP="00C76588">
            <w:pPr>
              <w:jc w:val="both"/>
              <w:rPr>
                <w:sz w:val="20"/>
                <w:lang w:val="fr-CA"/>
              </w:rPr>
            </w:pPr>
            <w:r w:rsidRPr="00C76588">
              <w:rPr>
                <w:sz w:val="20"/>
                <w:lang w:val="fr-CA"/>
              </w:rPr>
              <w:t xml:space="preserve">La demanderesse est entrée dans l’Établissement d’Edmonton à sécurité maximale comme visiteur. Un chien renifleur de stupéfiants s’est approché d’elle. Les agents correctionnels lui ont fait subir une fouille à nu. Presque immédiatement, la demanderesse a dit aux agents qu’elle avait </w:t>
            </w:r>
            <w:proofErr w:type="gramStart"/>
            <w:r w:rsidRPr="00C76588">
              <w:rPr>
                <w:sz w:val="20"/>
                <w:lang w:val="fr-CA"/>
              </w:rPr>
              <w:t>caché</w:t>
            </w:r>
            <w:proofErr w:type="gramEnd"/>
            <w:r w:rsidRPr="00C76588">
              <w:rPr>
                <w:sz w:val="20"/>
                <w:lang w:val="fr-CA"/>
              </w:rPr>
              <w:t xml:space="preserve"> de la drogue dans son vagin. Une fouille subséquente a permis de découvrir un sac de plastique renfermant quatre comprimés de Tylenol-4, trois comprimés de Tylenol-3 (deux médicaments contenant de la codéine) et quatre grammes de marijuana. La valeur de ces drogues dans l’établissement s’élevait à environ 1 950 $. Pendant la fouille, et encore une fois aux agents enquêteurs, la demanderesse a affirmé que son petit ami était détenu à l’établissement et exerçait sur elle des pressions pour qu’elle passe la drogue en contrebande dans l’établissement. Ce n’est qu’en avril 2015 que la demanderesse a changé son plaidoyer et a plaidé coupable à deux infractions. La demanderesse n’avait pas de casier judiciaire. Elle était infirmière et avait travaillé à ce titre au centre de détention provisoire d’Edmonton pendant au moins deux ans, mais </w:t>
            </w:r>
            <w:r w:rsidRPr="00C76588">
              <w:rPr>
                <w:sz w:val="20"/>
                <w:lang w:val="fr-CA"/>
              </w:rPr>
              <w:lastRenderedPageBreak/>
              <w:t>avait quitté cet emploi peu temps avant le 25 mai 2013. Le juge de première instance lui a imposé une peine discontinue d’incarcération réelle de 90 jours et une période probation de deux ans. Les juges majoritaires de la Cour d’appel ont accueilli l’appel. Une peine d’incarcération réelle de 12 mois a été imposée, moins le crédit pour le temps réellement purgé au titre de la peine discontinue. Le juge Berger était d’avis de rejeter l’appel.</w:t>
            </w:r>
          </w:p>
          <w:p w:rsidR="00C76588" w:rsidRPr="00C76588" w:rsidRDefault="00C76588" w:rsidP="00C76588">
            <w:pPr>
              <w:jc w:val="both"/>
              <w:rPr>
                <w:sz w:val="20"/>
                <w:lang w:val="fr-CA"/>
              </w:rPr>
            </w:pPr>
          </w:p>
        </w:tc>
      </w:tr>
      <w:tr w:rsidR="00C76588" w:rsidRPr="00C76588" w:rsidTr="00E95A6A">
        <w:tc>
          <w:tcPr>
            <w:tcW w:w="2427" w:type="pct"/>
            <w:gridSpan w:val="2"/>
          </w:tcPr>
          <w:p w:rsidR="00C76588" w:rsidRPr="00C76588" w:rsidRDefault="00C76588" w:rsidP="00C76588">
            <w:pPr>
              <w:jc w:val="both"/>
              <w:rPr>
                <w:sz w:val="20"/>
                <w:lang w:val="fr-CA"/>
              </w:rPr>
            </w:pPr>
            <w:r w:rsidRPr="00C76588">
              <w:rPr>
                <w:sz w:val="20"/>
                <w:lang w:val="fr-CA"/>
              </w:rPr>
              <w:lastRenderedPageBreak/>
              <w:t>11 septembre 2015</w:t>
            </w:r>
          </w:p>
          <w:p w:rsidR="00C76588" w:rsidRPr="00C76588" w:rsidRDefault="00C76588" w:rsidP="00C76588">
            <w:pPr>
              <w:jc w:val="both"/>
              <w:rPr>
                <w:sz w:val="20"/>
                <w:lang w:val="fr-CA"/>
              </w:rPr>
            </w:pPr>
            <w:r w:rsidRPr="00C76588">
              <w:rPr>
                <w:sz w:val="20"/>
                <w:lang w:val="fr-CA"/>
              </w:rPr>
              <w:t xml:space="preserve">Cour du Banc de la Reine de l’Alberta </w:t>
            </w:r>
          </w:p>
          <w:p w:rsidR="00C76588" w:rsidRPr="00C76588" w:rsidRDefault="00C76588" w:rsidP="00C76588">
            <w:pPr>
              <w:jc w:val="both"/>
              <w:rPr>
                <w:sz w:val="20"/>
                <w:lang w:val="fr-CA"/>
              </w:rPr>
            </w:pPr>
            <w:r w:rsidRPr="00C76588">
              <w:rPr>
                <w:sz w:val="20"/>
                <w:lang w:val="fr-CA"/>
              </w:rPr>
              <w:t>(Juge Ouellette)</w:t>
            </w:r>
          </w:p>
          <w:p w:rsidR="00C76588" w:rsidRPr="00C76588" w:rsidRDefault="00C76588" w:rsidP="00C76588">
            <w:pPr>
              <w:jc w:val="both"/>
              <w:rPr>
                <w:sz w:val="20"/>
                <w:lang w:val="fr-CA"/>
              </w:rPr>
            </w:pPr>
          </w:p>
        </w:tc>
        <w:tc>
          <w:tcPr>
            <w:tcW w:w="243" w:type="pct"/>
          </w:tcPr>
          <w:p w:rsidR="00C76588" w:rsidRPr="00C76588" w:rsidRDefault="00C76588" w:rsidP="00C76588">
            <w:pPr>
              <w:jc w:val="both"/>
              <w:rPr>
                <w:sz w:val="20"/>
                <w:lang w:val="fr-CA"/>
              </w:rPr>
            </w:pPr>
          </w:p>
        </w:tc>
        <w:tc>
          <w:tcPr>
            <w:tcW w:w="2330" w:type="pct"/>
          </w:tcPr>
          <w:p w:rsidR="00C76588" w:rsidRPr="00C76588" w:rsidRDefault="00C76588" w:rsidP="00C76588">
            <w:pPr>
              <w:jc w:val="both"/>
              <w:rPr>
                <w:sz w:val="20"/>
                <w:lang w:val="fr-CA"/>
              </w:rPr>
            </w:pPr>
            <w:r w:rsidRPr="00C76588">
              <w:rPr>
                <w:sz w:val="20"/>
                <w:lang w:val="fr-CA"/>
              </w:rPr>
              <w:t>Peine : peine discontinue d’incarcération réelle de 90 jours et période de probation de deux ans</w:t>
            </w:r>
          </w:p>
          <w:p w:rsidR="00C76588" w:rsidRPr="00C76588" w:rsidRDefault="00C76588" w:rsidP="00C76588">
            <w:pPr>
              <w:jc w:val="both"/>
              <w:rPr>
                <w:sz w:val="20"/>
                <w:lang w:val="fr-CA"/>
              </w:rPr>
            </w:pPr>
          </w:p>
        </w:tc>
      </w:tr>
      <w:tr w:rsidR="00C76588" w:rsidRPr="00C76588" w:rsidTr="00E95A6A">
        <w:tc>
          <w:tcPr>
            <w:tcW w:w="2427" w:type="pct"/>
            <w:gridSpan w:val="2"/>
          </w:tcPr>
          <w:p w:rsidR="00C76588" w:rsidRPr="00C76588" w:rsidRDefault="00C76588" w:rsidP="00C76588">
            <w:pPr>
              <w:jc w:val="both"/>
              <w:rPr>
                <w:sz w:val="20"/>
                <w:lang w:val="fr-CA"/>
              </w:rPr>
            </w:pPr>
            <w:r w:rsidRPr="00C76588">
              <w:rPr>
                <w:sz w:val="20"/>
                <w:lang w:val="fr-CA"/>
              </w:rPr>
              <w:t>12 avril 2016</w:t>
            </w:r>
          </w:p>
          <w:p w:rsidR="00C76588" w:rsidRPr="00C76588" w:rsidRDefault="00C76588" w:rsidP="00C76588">
            <w:pPr>
              <w:jc w:val="both"/>
              <w:rPr>
                <w:sz w:val="20"/>
                <w:lang w:val="fr-CA"/>
              </w:rPr>
            </w:pPr>
            <w:r w:rsidRPr="00C76588">
              <w:rPr>
                <w:sz w:val="20"/>
                <w:lang w:val="fr-CA"/>
              </w:rPr>
              <w:t>Cour d’appel de l’Alberta (Edmonton)</w:t>
            </w:r>
          </w:p>
          <w:p w:rsidR="00C76588" w:rsidRPr="00C76588" w:rsidRDefault="00C76588" w:rsidP="00C76588">
            <w:pPr>
              <w:jc w:val="both"/>
              <w:rPr>
                <w:sz w:val="20"/>
                <w:lang w:val="fr-CA"/>
              </w:rPr>
            </w:pPr>
            <w:r w:rsidRPr="00C76588">
              <w:rPr>
                <w:sz w:val="20"/>
                <w:lang w:val="fr-CA"/>
              </w:rPr>
              <w:t>(Juges McDonald, Wakeling et Berger</w:t>
            </w:r>
          </w:p>
          <w:p w:rsidR="00C76588" w:rsidRPr="00C76588" w:rsidRDefault="00C76588" w:rsidP="00C76588">
            <w:pPr>
              <w:jc w:val="both"/>
              <w:rPr>
                <w:sz w:val="20"/>
                <w:lang w:val="fr-CA"/>
              </w:rPr>
            </w:pPr>
            <w:r w:rsidRPr="00C76588">
              <w:rPr>
                <w:sz w:val="20"/>
                <w:lang w:val="fr-CA"/>
              </w:rPr>
              <w:t>(dissident)</w:t>
            </w:r>
          </w:p>
          <w:p w:rsidR="00C76588" w:rsidRPr="00C76588" w:rsidRDefault="00C76588" w:rsidP="00C76588">
            <w:pPr>
              <w:jc w:val="both"/>
              <w:rPr>
                <w:sz w:val="20"/>
                <w:lang w:val="fr-CA"/>
              </w:rPr>
            </w:pPr>
            <w:r w:rsidRPr="00C76588">
              <w:rPr>
                <w:sz w:val="20"/>
                <w:lang w:val="fr-CA"/>
              </w:rPr>
              <w:t>2016 ABCA 104; 1503-0249-A</w:t>
            </w:r>
          </w:p>
          <w:p w:rsidR="00C76588" w:rsidRPr="00C76588" w:rsidRDefault="000221AE" w:rsidP="00C76588">
            <w:pPr>
              <w:jc w:val="both"/>
              <w:rPr>
                <w:sz w:val="20"/>
                <w:lang w:val="fr-CA"/>
              </w:rPr>
            </w:pPr>
            <w:hyperlink r:id="rId33" w:history="1">
              <w:r w:rsidR="00C76588" w:rsidRPr="00C76588">
                <w:rPr>
                  <w:rStyle w:val="Hyperlink"/>
                  <w:rFonts w:eastAsiaTheme="majorEastAsia"/>
                  <w:sz w:val="20"/>
                  <w:lang w:val="fr-CA"/>
                </w:rPr>
                <w:t>http://canlii.ca/t/gpd39</w:t>
              </w:r>
            </w:hyperlink>
          </w:p>
          <w:p w:rsidR="00C76588" w:rsidRPr="00C76588" w:rsidRDefault="00C76588" w:rsidP="00C76588">
            <w:pPr>
              <w:jc w:val="both"/>
              <w:rPr>
                <w:sz w:val="20"/>
                <w:lang w:val="fr-CA"/>
              </w:rPr>
            </w:pPr>
          </w:p>
        </w:tc>
        <w:tc>
          <w:tcPr>
            <w:tcW w:w="243" w:type="pct"/>
          </w:tcPr>
          <w:p w:rsidR="00C76588" w:rsidRPr="00C76588" w:rsidRDefault="00C76588" w:rsidP="00C76588">
            <w:pPr>
              <w:jc w:val="both"/>
              <w:rPr>
                <w:sz w:val="20"/>
                <w:lang w:val="fr-CA"/>
              </w:rPr>
            </w:pPr>
          </w:p>
        </w:tc>
        <w:tc>
          <w:tcPr>
            <w:tcW w:w="2330" w:type="pct"/>
          </w:tcPr>
          <w:p w:rsidR="00C76588" w:rsidRPr="00C76588" w:rsidRDefault="00C76588" w:rsidP="00C76588">
            <w:pPr>
              <w:jc w:val="both"/>
              <w:rPr>
                <w:sz w:val="20"/>
                <w:lang w:val="fr-CA"/>
              </w:rPr>
            </w:pPr>
            <w:r w:rsidRPr="00C76588">
              <w:rPr>
                <w:sz w:val="20"/>
                <w:lang w:val="fr-CA"/>
              </w:rPr>
              <w:t xml:space="preserve">Arrêt accueillant l’appel du ministère public : sentence de 12 mois d’incarcération réelle, moins le crédit pour le temps réellement purgé au titre de la peine discontinue </w:t>
            </w:r>
          </w:p>
          <w:p w:rsidR="00C76588" w:rsidRPr="00C76588" w:rsidRDefault="00C76588" w:rsidP="00C76588">
            <w:pPr>
              <w:jc w:val="both"/>
              <w:rPr>
                <w:sz w:val="20"/>
                <w:lang w:val="fr-CA"/>
              </w:rPr>
            </w:pPr>
          </w:p>
          <w:p w:rsidR="00C76588" w:rsidRPr="00C76588" w:rsidRDefault="00C76588" w:rsidP="00C76588">
            <w:pPr>
              <w:jc w:val="both"/>
              <w:rPr>
                <w:sz w:val="20"/>
                <w:lang w:val="fr-CA"/>
              </w:rPr>
            </w:pPr>
          </w:p>
        </w:tc>
      </w:tr>
      <w:tr w:rsidR="00C76588" w:rsidRPr="00C76588" w:rsidTr="00E95A6A">
        <w:tc>
          <w:tcPr>
            <w:tcW w:w="2427" w:type="pct"/>
            <w:gridSpan w:val="2"/>
          </w:tcPr>
          <w:p w:rsidR="00C76588" w:rsidRPr="00C76588" w:rsidRDefault="00C76588" w:rsidP="00C76588">
            <w:pPr>
              <w:jc w:val="both"/>
              <w:rPr>
                <w:sz w:val="20"/>
                <w:lang w:val="fr-CA"/>
              </w:rPr>
            </w:pPr>
            <w:r w:rsidRPr="00C76588">
              <w:rPr>
                <w:sz w:val="20"/>
                <w:lang w:val="fr-CA"/>
              </w:rPr>
              <w:t>10 juin 2016</w:t>
            </w:r>
          </w:p>
          <w:p w:rsidR="00C76588" w:rsidRPr="00C76588" w:rsidRDefault="00C76588" w:rsidP="00C76588">
            <w:pPr>
              <w:jc w:val="both"/>
              <w:rPr>
                <w:sz w:val="20"/>
                <w:lang w:val="fr-CA"/>
              </w:rPr>
            </w:pPr>
            <w:r w:rsidRPr="00C76588">
              <w:rPr>
                <w:sz w:val="20"/>
                <w:lang w:val="fr-CA"/>
              </w:rPr>
              <w:t>Cour suprême du Canada</w:t>
            </w:r>
          </w:p>
        </w:tc>
        <w:tc>
          <w:tcPr>
            <w:tcW w:w="243" w:type="pct"/>
          </w:tcPr>
          <w:p w:rsidR="00C76588" w:rsidRPr="00C76588" w:rsidRDefault="00C76588" w:rsidP="00C76588">
            <w:pPr>
              <w:jc w:val="both"/>
              <w:rPr>
                <w:sz w:val="20"/>
                <w:lang w:val="fr-CA"/>
              </w:rPr>
            </w:pPr>
          </w:p>
        </w:tc>
        <w:tc>
          <w:tcPr>
            <w:tcW w:w="2330" w:type="pct"/>
          </w:tcPr>
          <w:p w:rsidR="00C76588" w:rsidRPr="00C76588" w:rsidRDefault="00C76588" w:rsidP="00C76588">
            <w:pPr>
              <w:jc w:val="both"/>
              <w:rPr>
                <w:sz w:val="20"/>
                <w:lang w:val="fr-CA"/>
              </w:rPr>
            </w:pPr>
            <w:r w:rsidRPr="00C76588">
              <w:rPr>
                <w:sz w:val="20"/>
                <w:lang w:val="fr-CA"/>
              </w:rPr>
              <w:t>Dépôt de la demande d’autorisation d’appel</w:t>
            </w:r>
          </w:p>
          <w:p w:rsidR="00C76588" w:rsidRPr="00C76588" w:rsidRDefault="00C76588" w:rsidP="00C76588">
            <w:pPr>
              <w:jc w:val="both"/>
              <w:rPr>
                <w:sz w:val="20"/>
                <w:lang w:val="fr-CA"/>
              </w:rPr>
            </w:pPr>
          </w:p>
        </w:tc>
      </w:tr>
    </w:tbl>
    <w:p w:rsidR="00C76588" w:rsidRPr="00C76588" w:rsidRDefault="00C76588" w:rsidP="00C76588">
      <w:pPr>
        <w:jc w:val="both"/>
        <w:rPr>
          <w:sz w:val="20"/>
          <w:lang w:val="fr-CA"/>
        </w:rPr>
      </w:pPr>
    </w:p>
    <w:p w:rsidR="0070231A" w:rsidRPr="009708C9" w:rsidRDefault="0070231A" w:rsidP="009708C9">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08C9" w:rsidRPr="009708C9" w:rsidTr="00E95A6A">
        <w:tc>
          <w:tcPr>
            <w:tcW w:w="543" w:type="pct"/>
          </w:tcPr>
          <w:p w:rsidR="009708C9" w:rsidRPr="009708C9" w:rsidRDefault="009708C9" w:rsidP="009708C9">
            <w:pPr>
              <w:jc w:val="both"/>
              <w:rPr>
                <w:sz w:val="20"/>
              </w:rPr>
            </w:pPr>
            <w:r w:rsidRPr="009708C9">
              <w:rPr>
                <w:rStyle w:val="SCCFileNumberChar"/>
                <w:sz w:val="20"/>
                <w:szCs w:val="20"/>
              </w:rPr>
              <w:t>36969</w:t>
            </w:r>
          </w:p>
        </w:tc>
        <w:tc>
          <w:tcPr>
            <w:tcW w:w="4457" w:type="pct"/>
            <w:gridSpan w:val="3"/>
          </w:tcPr>
          <w:p w:rsidR="009708C9" w:rsidRPr="009708C9" w:rsidRDefault="009708C9" w:rsidP="009708C9">
            <w:pPr>
              <w:pStyle w:val="SCCLsocParty"/>
              <w:jc w:val="both"/>
              <w:rPr>
                <w:b/>
                <w:sz w:val="20"/>
                <w:szCs w:val="20"/>
              </w:rPr>
            </w:pPr>
            <w:r w:rsidRPr="009708C9">
              <w:rPr>
                <w:b/>
                <w:sz w:val="20"/>
                <w:szCs w:val="20"/>
              </w:rPr>
              <w:t>Hung Quoc Le v. Her Majesty the Queen</w:t>
            </w:r>
          </w:p>
          <w:p w:rsidR="009708C9" w:rsidRPr="009708C9" w:rsidRDefault="009708C9" w:rsidP="009708C9">
            <w:pPr>
              <w:jc w:val="both"/>
              <w:rPr>
                <w:sz w:val="20"/>
              </w:rPr>
            </w:pPr>
            <w:r w:rsidRPr="009708C9">
              <w:rPr>
                <w:sz w:val="20"/>
              </w:rPr>
              <w:t>(B.C.) (Criminal) (By Leave)</w:t>
            </w:r>
          </w:p>
        </w:tc>
      </w:tr>
      <w:tr w:rsidR="009708C9" w:rsidRPr="009708C9" w:rsidTr="00E95A6A">
        <w:tc>
          <w:tcPr>
            <w:tcW w:w="5000" w:type="pct"/>
            <w:gridSpan w:val="4"/>
          </w:tcPr>
          <w:p w:rsidR="009708C9" w:rsidRPr="009708C9" w:rsidRDefault="009708C9" w:rsidP="009708C9">
            <w:pPr>
              <w:jc w:val="both"/>
              <w:rPr>
                <w:sz w:val="20"/>
              </w:rPr>
            </w:pPr>
            <w:r w:rsidRPr="009708C9">
              <w:rPr>
                <w:sz w:val="20"/>
              </w:rPr>
              <w:t xml:space="preserve">Criminal law – </w:t>
            </w:r>
            <w:proofErr w:type="spellStart"/>
            <w:r w:rsidRPr="009708C9">
              <w:rPr>
                <w:sz w:val="20"/>
              </w:rPr>
              <w:t>Defences</w:t>
            </w:r>
            <w:proofErr w:type="spellEnd"/>
            <w:r w:rsidRPr="009708C9">
              <w:rPr>
                <w:sz w:val="20"/>
              </w:rPr>
              <w:t xml:space="preserve"> – Entrapment – Trafficking conviction – Dial-a-dope operations – Whether the phrase “can you hook me up with an eight ball” amounted to an offer of an opportunity to commit an offence – Whether the police had the requisite reasonable suspicion prior to calling the dial-a-dope line which the applicant answered – Application of </w:t>
            </w:r>
            <w:r w:rsidRPr="009708C9">
              <w:rPr>
                <w:i/>
                <w:sz w:val="20"/>
              </w:rPr>
              <w:t>R. v. Mack</w:t>
            </w:r>
            <w:r w:rsidRPr="009708C9">
              <w:rPr>
                <w:sz w:val="20"/>
              </w:rPr>
              <w:t>, [1988] 2 S.C.R. 903.</w:t>
            </w:r>
          </w:p>
        </w:tc>
      </w:tr>
      <w:tr w:rsidR="009708C9" w:rsidRPr="009708C9" w:rsidTr="00E95A6A">
        <w:tc>
          <w:tcPr>
            <w:tcW w:w="5000" w:type="pct"/>
            <w:gridSpan w:val="4"/>
          </w:tcPr>
          <w:p w:rsidR="009708C9" w:rsidRPr="009708C9" w:rsidRDefault="009708C9" w:rsidP="009708C9">
            <w:pPr>
              <w:jc w:val="both"/>
              <w:rPr>
                <w:sz w:val="20"/>
              </w:rPr>
            </w:pPr>
          </w:p>
        </w:tc>
      </w:tr>
      <w:tr w:rsidR="009708C9" w:rsidRPr="009708C9" w:rsidTr="00E95A6A">
        <w:tc>
          <w:tcPr>
            <w:tcW w:w="5000" w:type="pct"/>
            <w:gridSpan w:val="4"/>
          </w:tcPr>
          <w:p w:rsidR="009708C9" w:rsidRPr="009708C9" w:rsidRDefault="009708C9" w:rsidP="009708C9">
            <w:pPr>
              <w:jc w:val="both"/>
              <w:rPr>
                <w:sz w:val="20"/>
              </w:rPr>
            </w:pPr>
            <w:r w:rsidRPr="009708C9">
              <w:rPr>
                <w:sz w:val="20"/>
              </w:rPr>
              <w:t>Mr. Le, applicant, was convicted of trafficking cocaine after he sold the drug to an undercover police officer. The officer called Mr. </w:t>
            </w:r>
            <w:proofErr w:type="spellStart"/>
            <w:r w:rsidRPr="009708C9">
              <w:rPr>
                <w:sz w:val="20"/>
              </w:rPr>
              <w:t>Le’s</w:t>
            </w:r>
            <w:proofErr w:type="spellEnd"/>
            <w:r w:rsidRPr="009708C9">
              <w:rPr>
                <w:sz w:val="20"/>
              </w:rPr>
              <w:t xml:space="preserve"> number and set up the transaction following a Crime Stopper’s tip indicating the number was that of a suspected dial-a-dope drug trafficker with a strong Asian accent. Following his conviction, Mr. Le sought a stay of proceedings on the basis of entrapment. The application was dismissed. The appeal was also dismissed.</w:t>
            </w:r>
          </w:p>
          <w:p w:rsidR="009708C9" w:rsidRPr="009708C9" w:rsidRDefault="009708C9" w:rsidP="009708C9">
            <w:pPr>
              <w:jc w:val="both"/>
              <w:rPr>
                <w:sz w:val="20"/>
              </w:rPr>
            </w:pPr>
          </w:p>
        </w:tc>
      </w:tr>
      <w:tr w:rsidR="009708C9" w:rsidRPr="009708C9" w:rsidTr="00E95A6A">
        <w:tc>
          <w:tcPr>
            <w:tcW w:w="2427" w:type="pct"/>
            <w:gridSpan w:val="2"/>
          </w:tcPr>
          <w:p w:rsidR="009708C9" w:rsidRPr="009708C9" w:rsidRDefault="009708C9" w:rsidP="009708C9">
            <w:pPr>
              <w:jc w:val="both"/>
              <w:rPr>
                <w:sz w:val="20"/>
              </w:rPr>
            </w:pPr>
            <w:r w:rsidRPr="009708C9">
              <w:rPr>
                <w:sz w:val="20"/>
              </w:rPr>
              <w:t>December 18, 2013</w:t>
            </w:r>
          </w:p>
          <w:p w:rsidR="009708C9" w:rsidRPr="009708C9" w:rsidRDefault="009708C9" w:rsidP="009708C9">
            <w:pPr>
              <w:jc w:val="both"/>
              <w:rPr>
                <w:sz w:val="20"/>
              </w:rPr>
            </w:pPr>
            <w:r w:rsidRPr="009708C9">
              <w:rPr>
                <w:sz w:val="20"/>
              </w:rPr>
              <w:t>Supreme Court of British Columbia</w:t>
            </w:r>
          </w:p>
          <w:p w:rsidR="009708C9" w:rsidRPr="009708C9" w:rsidRDefault="009708C9" w:rsidP="009708C9">
            <w:pPr>
              <w:jc w:val="both"/>
              <w:rPr>
                <w:sz w:val="20"/>
              </w:rPr>
            </w:pPr>
            <w:r w:rsidRPr="009708C9">
              <w:rPr>
                <w:sz w:val="20"/>
              </w:rPr>
              <w:t>(Ball J.)</w:t>
            </w:r>
          </w:p>
          <w:p w:rsidR="009708C9" w:rsidRPr="009708C9" w:rsidRDefault="000221AE" w:rsidP="009708C9">
            <w:pPr>
              <w:jc w:val="both"/>
              <w:rPr>
                <w:sz w:val="20"/>
              </w:rPr>
            </w:pPr>
            <w:hyperlink r:id="rId34" w:history="1">
              <w:r w:rsidR="009708C9" w:rsidRPr="009708C9">
                <w:rPr>
                  <w:rStyle w:val="Hyperlink"/>
                  <w:sz w:val="20"/>
                </w:rPr>
                <w:t>2013 BCSC 2559</w:t>
              </w:r>
            </w:hyperlink>
          </w:p>
          <w:p w:rsidR="009708C9" w:rsidRPr="009708C9" w:rsidRDefault="009708C9" w:rsidP="009708C9">
            <w:pPr>
              <w:jc w:val="both"/>
              <w:rPr>
                <w:sz w:val="20"/>
              </w:rPr>
            </w:pPr>
          </w:p>
        </w:tc>
        <w:tc>
          <w:tcPr>
            <w:tcW w:w="243" w:type="pct"/>
          </w:tcPr>
          <w:p w:rsidR="009708C9" w:rsidRPr="009708C9" w:rsidRDefault="009708C9" w:rsidP="009708C9">
            <w:pPr>
              <w:jc w:val="both"/>
              <w:rPr>
                <w:sz w:val="20"/>
              </w:rPr>
            </w:pPr>
          </w:p>
        </w:tc>
        <w:tc>
          <w:tcPr>
            <w:tcW w:w="2330" w:type="pct"/>
          </w:tcPr>
          <w:p w:rsidR="009708C9" w:rsidRPr="009708C9" w:rsidRDefault="009708C9" w:rsidP="009708C9">
            <w:pPr>
              <w:jc w:val="both"/>
              <w:rPr>
                <w:sz w:val="20"/>
              </w:rPr>
            </w:pPr>
            <w:r w:rsidRPr="009708C9">
              <w:rPr>
                <w:sz w:val="20"/>
              </w:rPr>
              <w:t xml:space="preserve">Applicant convicted of trafficking cocaine contrary to s. 5(1) of the </w:t>
            </w:r>
            <w:r w:rsidRPr="009708C9">
              <w:rPr>
                <w:i/>
                <w:sz w:val="20"/>
              </w:rPr>
              <w:t>Controlled Drugs and Substances Act</w:t>
            </w:r>
            <w:r w:rsidRPr="009708C9">
              <w:rPr>
                <w:sz w:val="20"/>
              </w:rPr>
              <w:t>, S.C. 1996, c. 19</w:t>
            </w:r>
          </w:p>
          <w:p w:rsidR="009708C9" w:rsidRPr="009708C9" w:rsidRDefault="009708C9" w:rsidP="009708C9">
            <w:pPr>
              <w:jc w:val="both"/>
              <w:rPr>
                <w:sz w:val="20"/>
              </w:rPr>
            </w:pPr>
          </w:p>
        </w:tc>
      </w:tr>
      <w:tr w:rsidR="009708C9" w:rsidRPr="009708C9" w:rsidTr="00E95A6A">
        <w:tc>
          <w:tcPr>
            <w:tcW w:w="2427" w:type="pct"/>
            <w:gridSpan w:val="2"/>
          </w:tcPr>
          <w:p w:rsidR="009708C9" w:rsidRPr="009708C9" w:rsidRDefault="009708C9" w:rsidP="009708C9">
            <w:pPr>
              <w:jc w:val="both"/>
              <w:rPr>
                <w:sz w:val="20"/>
              </w:rPr>
            </w:pPr>
            <w:r w:rsidRPr="009708C9">
              <w:rPr>
                <w:sz w:val="20"/>
              </w:rPr>
              <w:t>June 19, 2014</w:t>
            </w:r>
          </w:p>
          <w:p w:rsidR="009708C9" w:rsidRPr="009708C9" w:rsidRDefault="009708C9" w:rsidP="009708C9">
            <w:pPr>
              <w:jc w:val="both"/>
              <w:rPr>
                <w:sz w:val="20"/>
              </w:rPr>
            </w:pPr>
            <w:r w:rsidRPr="009708C9">
              <w:rPr>
                <w:sz w:val="20"/>
              </w:rPr>
              <w:t>Supreme Court of British Columbia</w:t>
            </w:r>
          </w:p>
          <w:p w:rsidR="009708C9" w:rsidRPr="009708C9" w:rsidRDefault="009708C9" w:rsidP="009708C9">
            <w:pPr>
              <w:jc w:val="both"/>
              <w:rPr>
                <w:sz w:val="20"/>
              </w:rPr>
            </w:pPr>
            <w:r w:rsidRPr="009708C9">
              <w:rPr>
                <w:sz w:val="20"/>
              </w:rPr>
              <w:t>(Ball J.)</w:t>
            </w:r>
          </w:p>
          <w:p w:rsidR="009708C9" w:rsidRPr="009708C9" w:rsidRDefault="000221AE" w:rsidP="009708C9">
            <w:pPr>
              <w:jc w:val="both"/>
              <w:rPr>
                <w:sz w:val="20"/>
              </w:rPr>
            </w:pPr>
            <w:hyperlink r:id="rId35" w:history="1">
              <w:r w:rsidR="009708C9" w:rsidRPr="009708C9">
                <w:rPr>
                  <w:rStyle w:val="Hyperlink"/>
                  <w:sz w:val="20"/>
                </w:rPr>
                <w:t>2014 BCSC 2207</w:t>
              </w:r>
            </w:hyperlink>
          </w:p>
          <w:p w:rsidR="009708C9" w:rsidRPr="009708C9" w:rsidRDefault="009708C9" w:rsidP="009708C9">
            <w:pPr>
              <w:jc w:val="both"/>
              <w:rPr>
                <w:sz w:val="20"/>
              </w:rPr>
            </w:pPr>
          </w:p>
        </w:tc>
        <w:tc>
          <w:tcPr>
            <w:tcW w:w="243" w:type="pct"/>
          </w:tcPr>
          <w:p w:rsidR="009708C9" w:rsidRPr="009708C9" w:rsidRDefault="009708C9" w:rsidP="009708C9">
            <w:pPr>
              <w:jc w:val="both"/>
              <w:rPr>
                <w:sz w:val="20"/>
              </w:rPr>
            </w:pPr>
          </w:p>
        </w:tc>
        <w:tc>
          <w:tcPr>
            <w:tcW w:w="2330" w:type="pct"/>
          </w:tcPr>
          <w:p w:rsidR="009708C9" w:rsidRPr="009708C9" w:rsidRDefault="009708C9" w:rsidP="009708C9">
            <w:pPr>
              <w:jc w:val="both"/>
              <w:rPr>
                <w:sz w:val="20"/>
              </w:rPr>
            </w:pPr>
            <w:r w:rsidRPr="009708C9">
              <w:rPr>
                <w:sz w:val="20"/>
              </w:rPr>
              <w:t xml:space="preserve">Application for stay of proceedings dismissed </w:t>
            </w:r>
          </w:p>
        </w:tc>
      </w:tr>
      <w:tr w:rsidR="009708C9" w:rsidRPr="009708C9" w:rsidTr="00E95A6A">
        <w:tc>
          <w:tcPr>
            <w:tcW w:w="2427" w:type="pct"/>
            <w:gridSpan w:val="2"/>
          </w:tcPr>
          <w:p w:rsidR="009708C9" w:rsidRPr="009708C9" w:rsidRDefault="009708C9" w:rsidP="009708C9">
            <w:pPr>
              <w:jc w:val="both"/>
              <w:rPr>
                <w:sz w:val="20"/>
              </w:rPr>
            </w:pPr>
            <w:r w:rsidRPr="009708C9">
              <w:rPr>
                <w:sz w:val="20"/>
              </w:rPr>
              <w:t>April 13, 2016</w:t>
            </w:r>
          </w:p>
          <w:p w:rsidR="009708C9" w:rsidRPr="009708C9" w:rsidRDefault="009708C9" w:rsidP="009708C9">
            <w:pPr>
              <w:jc w:val="both"/>
              <w:rPr>
                <w:sz w:val="20"/>
              </w:rPr>
            </w:pPr>
            <w:r w:rsidRPr="009708C9">
              <w:rPr>
                <w:sz w:val="20"/>
              </w:rPr>
              <w:t>Court of Appeal for British Columbia</w:t>
            </w:r>
          </w:p>
          <w:p w:rsidR="009708C9" w:rsidRPr="009708C9" w:rsidRDefault="009708C9" w:rsidP="009708C9">
            <w:pPr>
              <w:jc w:val="both"/>
              <w:rPr>
                <w:sz w:val="20"/>
              </w:rPr>
            </w:pPr>
            <w:r w:rsidRPr="009708C9">
              <w:rPr>
                <w:sz w:val="20"/>
              </w:rPr>
              <w:t>(Newbury, Bennett and Harris JJ.A.)</w:t>
            </w:r>
          </w:p>
          <w:p w:rsidR="009708C9" w:rsidRPr="009708C9" w:rsidRDefault="000221AE" w:rsidP="009708C9">
            <w:pPr>
              <w:jc w:val="both"/>
              <w:rPr>
                <w:sz w:val="20"/>
              </w:rPr>
            </w:pPr>
            <w:hyperlink r:id="rId36" w:history="1">
              <w:r w:rsidR="009708C9" w:rsidRPr="009708C9">
                <w:rPr>
                  <w:rStyle w:val="Hyperlink"/>
                  <w:sz w:val="20"/>
                </w:rPr>
                <w:t>2016 BCCA 155</w:t>
              </w:r>
            </w:hyperlink>
          </w:p>
          <w:p w:rsidR="009708C9" w:rsidRPr="009708C9" w:rsidRDefault="009708C9" w:rsidP="009708C9">
            <w:pPr>
              <w:jc w:val="both"/>
              <w:rPr>
                <w:sz w:val="20"/>
              </w:rPr>
            </w:pPr>
          </w:p>
        </w:tc>
        <w:tc>
          <w:tcPr>
            <w:tcW w:w="243" w:type="pct"/>
          </w:tcPr>
          <w:p w:rsidR="009708C9" w:rsidRPr="009708C9" w:rsidRDefault="009708C9" w:rsidP="009708C9">
            <w:pPr>
              <w:jc w:val="both"/>
              <w:rPr>
                <w:sz w:val="20"/>
              </w:rPr>
            </w:pPr>
          </w:p>
        </w:tc>
        <w:tc>
          <w:tcPr>
            <w:tcW w:w="2330" w:type="pct"/>
          </w:tcPr>
          <w:p w:rsidR="009708C9" w:rsidRPr="009708C9" w:rsidRDefault="009708C9" w:rsidP="009708C9">
            <w:pPr>
              <w:jc w:val="both"/>
              <w:rPr>
                <w:sz w:val="20"/>
              </w:rPr>
            </w:pPr>
            <w:r w:rsidRPr="009708C9">
              <w:rPr>
                <w:sz w:val="20"/>
              </w:rPr>
              <w:t>Appeal dismissed</w:t>
            </w:r>
          </w:p>
          <w:p w:rsidR="009708C9" w:rsidRPr="009708C9" w:rsidRDefault="009708C9" w:rsidP="009708C9">
            <w:pPr>
              <w:jc w:val="both"/>
              <w:rPr>
                <w:sz w:val="20"/>
              </w:rPr>
            </w:pPr>
          </w:p>
        </w:tc>
      </w:tr>
      <w:tr w:rsidR="009708C9" w:rsidRPr="009708C9" w:rsidTr="00E95A6A">
        <w:tc>
          <w:tcPr>
            <w:tcW w:w="2427" w:type="pct"/>
            <w:gridSpan w:val="2"/>
          </w:tcPr>
          <w:p w:rsidR="009708C9" w:rsidRPr="009708C9" w:rsidRDefault="009708C9" w:rsidP="009708C9">
            <w:pPr>
              <w:jc w:val="both"/>
              <w:rPr>
                <w:sz w:val="20"/>
              </w:rPr>
            </w:pPr>
            <w:r w:rsidRPr="009708C9">
              <w:rPr>
                <w:sz w:val="20"/>
              </w:rPr>
              <w:t>June 13, 2016</w:t>
            </w:r>
          </w:p>
          <w:p w:rsidR="009708C9" w:rsidRPr="009708C9" w:rsidRDefault="009708C9" w:rsidP="009708C9">
            <w:pPr>
              <w:jc w:val="both"/>
              <w:rPr>
                <w:sz w:val="20"/>
              </w:rPr>
            </w:pPr>
            <w:r w:rsidRPr="009708C9">
              <w:rPr>
                <w:sz w:val="20"/>
              </w:rPr>
              <w:t>Supreme Court of Canada</w:t>
            </w:r>
          </w:p>
        </w:tc>
        <w:tc>
          <w:tcPr>
            <w:tcW w:w="243" w:type="pct"/>
          </w:tcPr>
          <w:p w:rsidR="009708C9" w:rsidRPr="009708C9" w:rsidRDefault="009708C9" w:rsidP="009708C9">
            <w:pPr>
              <w:jc w:val="both"/>
              <w:rPr>
                <w:sz w:val="20"/>
              </w:rPr>
            </w:pPr>
          </w:p>
        </w:tc>
        <w:tc>
          <w:tcPr>
            <w:tcW w:w="2330" w:type="pct"/>
          </w:tcPr>
          <w:p w:rsidR="009708C9" w:rsidRPr="009708C9" w:rsidRDefault="009708C9" w:rsidP="009708C9">
            <w:pPr>
              <w:jc w:val="both"/>
              <w:rPr>
                <w:sz w:val="20"/>
              </w:rPr>
            </w:pPr>
            <w:r w:rsidRPr="009708C9">
              <w:rPr>
                <w:sz w:val="20"/>
              </w:rPr>
              <w:t>Application for leave to appeal filed</w:t>
            </w:r>
          </w:p>
          <w:p w:rsidR="009708C9" w:rsidRPr="009708C9" w:rsidRDefault="009708C9" w:rsidP="009708C9">
            <w:pPr>
              <w:jc w:val="both"/>
              <w:rPr>
                <w:sz w:val="20"/>
              </w:rPr>
            </w:pPr>
          </w:p>
        </w:tc>
      </w:tr>
    </w:tbl>
    <w:p w:rsidR="009708C9" w:rsidRDefault="009708C9" w:rsidP="009708C9">
      <w:pPr>
        <w:jc w:val="both"/>
        <w:rPr>
          <w:sz w:val="20"/>
        </w:rPr>
      </w:pPr>
    </w:p>
    <w:p w:rsidR="009708C9" w:rsidRPr="009708C9" w:rsidRDefault="009708C9" w:rsidP="009708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08C9" w:rsidRPr="009708C9" w:rsidTr="00E95A6A">
        <w:tc>
          <w:tcPr>
            <w:tcW w:w="543" w:type="pct"/>
          </w:tcPr>
          <w:p w:rsidR="009708C9" w:rsidRPr="009708C9" w:rsidRDefault="009708C9" w:rsidP="009708C9">
            <w:pPr>
              <w:jc w:val="both"/>
              <w:rPr>
                <w:sz w:val="20"/>
                <w:lang w:val="fr-CA"/>
              </w:rPr>
            </w:pPr>
            <w:r w:rsidRPr="009708C9">
              <w:rPr>
                <w:rStyle w:val="SCCFileNumberChar"/>
                <w:sz w:val="20"/>
                <w:szCs w:val="20"/>
                <w:lang w:val="fr-CA"/>
              </w:rPr>
              <w:lastRenderedPageBreak/>
              <w:t>36969</w:t>
            </w:r>
          </w:p>
        </w:tc>
        <w:tc>
          <w:tcPr>
            <w:tcW w:w="4457" w:type="pct"/>
            <w:gridSpan w:val="3"/>
          </w:tcPr>
          <w:p w:rsidR="009708C9" w:rsidRPr="009708C9" w:rsidRDefault="009708C9" w:rsidP="009708C9">
            <w:pPr>
              <w:pStyle w:val="SCCLsocParty"/>
              <w:jc w:val="both"/>
              <w:rPr>
                <w:b/>
                <w:sz w:val="20"/>
                <w:szCs w:val="20"/>
              </w:rPr>
            </w:pPr>
            <w:r w:rsidRPr="009708C9">
              <w:rPr>
                <w:b/>
                <w:sz w:val="20"/>
                <w:szCs w:val="20"/>
              </w:rPr>
              <w:t>Hung Quoc Le c. Sa Majesté la Reine</w:t>
            </w:r>
          </w:p>
          <w:p w:rsidR="009708C9" w:rsidRPr="009708C9" w:rsidRDefault="009708C9" w:rsidP="009708C9">
            <w:pPr>
              <w:jc w:val="both"/>
              <w:rPr>
                <w:sz w:val="20"/>
                <w:lang w:val="fr-CA"/>
              </w:rPr>
            </w:pPr>
            <w:r w:rsidRPr="009708C9">
              <w:rPr>
                <w:sz w:val="20"/>
                <w:lang w:val="fr-CA"/>
              </w:rPr>
              <w:t>(C.-B.) (Criminelle) (Sur autorisation)</w:t>
            </w:r>
          </w:p>
        </w:tc>
      </w:tr>
      <w:tr w:rsidR="009708C9" w:rsidRPr="009708C9" w:rsidTr="00E95A6A">
        <w:tc>
          <w:tcPr>
            <w:tcW w:w="5000" w:type="pct"/>
            <w:gridSpan w:val="4"/>
          </w:tcPr>
          <w:p w:rsidR="009708C9" w:rsidRPr="009708C9" w:rsidRDefault="009708C9" w:rsidP="009708C9">
            <w:pPr>
              <w:jc w:val="both"/>
              <w:rPr>
                <w:sz w:val="20"/>
                <w:lang w:val="fr-CA"/>
              </w:rPr>
            </w:pPr>
            <w:r w:rsidRPr="009708C9">
              <w:rPr>
                <w:sz w:val="20"/>
                <w:lang w:val="fr-CA"/>
              </w:rPr>
              <w:t>Droit criminel – Moyens de défense – Provocation policière – Déclaration de culpabilité de trafic de drogues – Opération de vente de drogue sur appel – La phrase [</w:t>
            </w:r>
            <w:r w:rsidRPr="009708C9">
              <w:rPr>
                <w:smallCaps/>
                <w:sz w:val="20"/>
                <w:lang w:val="fr-CA"/>
              </w:rPr>
              <w:t>traduction</w:t>
            </w:r>
            <w:r w:rsidRPr="009708C9">
              <w:rPr>
                <w:sz w:val="20"/>
                <w:lang w:val="fr-CA"/>
              </w:rPr>
              <w:t xml:space="preserve">] « peux-tu m’avoir un huitième » équivalait-elle à offrir l’occasion de commettre une infraction? – Le policier avait-il le soupçon raisonnable requis avant d’appeler la ligne de vente de drogue sur appel à laquelle le demandeur a répondu? – Application de l’arrêt </w:t>
            </w:r>
            <w:r w:rsidRPr="009708C9">
              <w:rPr>
                <w:i/>
                <w:sz w:val="20"/>
                <w:lang w:val="fr-CA"/>
              </w:rPr>
              <w:t>R. c. Mack</w:t>
            </w:r>
            <w:r w:rsidRPr="009708C9">
              <w:rPr>
                <w:sz w:val="20"/>
                <w:lang w:val="fr-CA"/>
              </w:rPr>
              <w:t>, [1988] 2 R.C.S. 903.</w:t>
            </w:r>
          </w:p>
        </w:tc>
      </w:tr>
      <w:tr w:rsidR="009708C9" w:rsidRPr="009708C9" w:rsidTr="00E95A6A">
        <w:tc>
          <w:tcPr>
            <w:tcW w:w="5000" w:type="pct"/>
            <w:gridSpan w:val="4"/>
          </w:tcPr>
          <w:p w:rsidR="009708C9" w:rsidRPr="009708C9" w:rsidRDefault="009708C9" w:rsidP="009708C9">
            <w:pPr>
              <w:jc w:val="both"/>
              <w:rPr>
                <w:sz w:val="20"/>
                <w:lang w:val="fr-CA"/>
              </w:rPr>
            </w:pPr>
          </w:p>
        </w:tc>
      </w:tr>
      <w:tr w:rsidR="009708C9" w:rsidRPr="009708C9" w:rsidTr="00E95A6A">
        <w:tc>
          <w:tcPr>
            <w:tcW w:w="5000" w:type="pct"/>
            <w:gridSpan w:val="4"/>
          </w:tcPr>
          <w:p w:rsidR="009708C9" w:rsidRPr="009708C9" w:rsidRDefault="009708C9" w:rsidP="009708C9">
            <w:pPr>
              <w:jc w:val="both"/>
              <w:rPr>
                <w:sz w:val="20"/>
                <w:lang w:val="fr-CA"/>
              </w:rPr>
            </w:pPr>
            <w:r w:rsidRPr="009708C9">
              <w:rPr>
                <w:sz w:val="20"/>
                <w:lang w:val="fr-CA"/>
              </w:rPr>
              <w:t>Monsieur Le, le demandeur, a été déclaré coupable de trafic de cocaïne après avoir vendu de la drogue à un agent d’infiltration. L’agent avait composé le numéro de M. Le et avait organisé la transaction après avoir obtenu une information de la part d’Échec au crime comme quoi le numéro était celui d’un trafiquant de drogue ayant un fort accent asiatique qui effectuait des opérations sur appel. Après avoir été déclaré coupable, M. </w:t>
            </w:r>
            <w:proofErr w:type="gramStart"/>
            <w:r w:rsidRPr="009708C9">
              <w:rPr>
                <w:sz w:val="20"/>
                <w:lang w:val="fr-CA"/>
              </w:rPr>
              <w:t>Le a</w:t>
            </w:r>
            <w:proofErr w:type="gramEnd"/>
            <w:r w:rsidRPr="009708C9">
              <w:rPr>
                <w:sz w:val="20"/>
                <w:lang w:val="fr-CA"/>
              </w:rPr>
              <w:t xml:space="preserve"> demandé l’arrêt des procédures, alléguant la provocation policière. La demande a été rejetée. L’appel a été rejeté également.</w:t>
            </w:r>
          </w:p>
          <w:p w:rsidR="009708C9" w:rsidRPr="009708C9" w:rsidRDefault="009708C9" w:rsidP="009708C9">
            <w:pPr>
              <w:jc w:val="both"/>
              <w:rPr>
                <w:sz w:val="20"/>
                <w:lang w:val="fr-CA"/>
              </w:rPr>
            </w:pPr>
          </w:p>
        </w:tc>
      </w:tr>
      <w:tr w:rsidR="009708C9" w:rsidRPr="009708C9" w:rsidTr="00E95A6A">
        <w:tc>
          <w:tcPr>
            <w:tcW w:w="2427" w:type="pct"/>
            <w:gridSpan w:val="2"/>
          </w:tcPr>
          <w:p w:rsidR="009708C9" w:rsidRPr="009708C9" w:rsidRDefault="009708C9" w:rsidP="009708C9">
            <w:pPr>
              <w:jc w:val="both"/>
              <w:rPr>
                <w:sz w:val="20"/>
                <w:lang w:val="fr-CA"/>
              </w:rPr>
            </w:pPr>
            <w:r w:rsidRPr="009708C9">
              <w:rPr>
                <w:sz w:val="20"/>
                <w:lang w:val="fr-CA"/>
              </w:rPr>
              <w:t>18 décembre 2013</w:t>
            </w:r>
          </w:p>
          <w:p w:rsidR="009708C9" w:rsidRPr="009708C9" w:rsidRDefault="009708C9" w:rsidP="009708C9">
            <w:pPr>
              <w:jc w:val="both"/>
              <w:rPr>
                <w:sz w:val="20"/>
                <w:lang w:val="fr-CA"/>
              </w:rPr>
            </w:pPr>
            <w:r w:rsidRPr="009708C9">
              <w:rPr>
                <w:sz w:val="20"/>
                <w:lang w:val="fr-CA"/>
              </w:rPr>
              <w:t xml:space="preserve">Cour suprême de la Colombie-Britannique </w:t>
            </w:r>
          </w:p>
          <w:p w:rsidR="009708C9" w:rsidRPr="009708C9" w:rsidRDefault="009708C9" w:rsidP="009708C9">
            <w:pPr>
              <w:jc w:val="both"/>
              <w:rPr>
                <w:sz w:val="20"/>
                <w:lang w:val="fr-CA"/>
              </w:rPr>
            </w:pPr>
            <w:r w:rsidRPr="009708C9">
              <w:rPr>
                <w:sz w:val="20"/>
                <w:lang w:val="fr-CA"/>
              </w:rPr>
              <w:t>(Juge Ball)</w:t>
            </w:r>
          </w:p>
          <w:p w:rsidR="009708C9" w:rsidRPr="009708C9" w:rsidRDefault="000221AE" w:rsidP="009708C9">
            <w:pPr>
              <w:jc w:val="both"/>
              <w:rPr>
                <w:sz w:val="20"/>
                <w:lang w:val="fr-CA"/>
              </w:rPr>
            </w:pPr>
            <w:hyperlink r:id="rId37" w:history="1">
              <w:r w:rsidR="009708C9" w:rsidRPr="009708C9">
                <w:rPr>
                  <w:rStyle w:val="Hyperlink"/>
                  <w:sz w:val="20"/>
                  <w:lang w:val="fr-CA"/>
                </w:rPr>
                <w:t>2013 BCSC 2559</w:t>
              </w:r>
            </w:hyperlink>
          </w:p>
          <w:p w:rsidR="009708C9" w:rsidRPr="009708C9" w:rsidRDefault="009708C9" w:rsidP="009708C9">
            <w:pPr>
              <w:jc w:val="both"/>
              <w:rPr>
                <w:sz w:val="20"/>
                <w:lang w:val="fr-CA"/>
              </w:rPr>
            </w:pPr>
          </w:p>
        </w:tc>
        <w:tc>
          <w:tcPr>
            <w:tcW w:w="243" w:type="pct"/>
          </w:tcPr>
          <w:p w:rsidR="009708C9" w:rsidRPr="009708C9" w:rsidRDefault="009708C9" w:rsidP="009708C9">
            <w:pPr>
              <w:jc w:val="both"/>
              <w:rPr>
                <w:sz w:val="20"/>
                <w:lang w:val="fr-CA"/>
              </w:rPr>
            </w:pPr>
          </w:p>
        </w:tc>
        <w:tc>
          <w:tcPr>
            <w:tcW w:w="2330" w:type="pct"/>
          </w:tcPr>
          <w:p w:rsidR="009708C9" w:rsidRPr="009708C9" w:rsidRDefault="009708C9" w:rsidP="009708C9">
            <w:pPr>
              <w:jc w:val="both"/>
              <w:rPr>
                <w:sz w:val="20"/>
                <w:lang w:val="fr-CA"/>
              </w:rPr>
            </w:pPr>
            <w:r w:rsidRPr="009708C9">
              <w:rPr>
                <w:sz w:val="20"/>
                <w:lang w:val="fr-CA"/>
              </w:rPr>
              <w:t xml:space="preserve">Déclaration de culpabilité de trafic de cocaïne, une infraction prévue au par. 5(1) de la </w:t>
            </w:r>
            <w:r w:rsidRPr="009708C9">
              <w:rPr>
                <w:i/>
                <w:sz w:val="20"/>
                <w:lang w:val="fr-CA"/>
              </w:rPr>
              <w:t>Loi réglementant certaines drogues et autres substances</w:t>
            </w:r>
            <w:r w:rsidRPr="009708C9">
              <w:rPr>
                <w:sz w:val="20"/>
                <w:lang w:val="fr-CA"/>
              </w:rPr>
              <w:t>, L.C. 1996, ch. 19</w:t>
            </w:r>
          </w:p>
          <w:p w:rsidR="009708C9" w:rsidRPr="009708C9" w:rsidRDefault="009708C9" w:rsidP="009708C9">
            <w:pPr>
              <w:jc w:val="both"/>
              <w:rPr>
                <w:sz w:val="20"/>
                <w:lang w:val="fr-CA"/>
              </w:rPr>
            </w:pPr>
          </w:p>
        </w:tc>
      </w:tr>
      <w:tr w:rsidR="009708C9" w:rsidRPr="009708C9" w:rsidTr="00E95A6A">
        <w:tc>
          <w:tcPr>
            <w:tcW w:w="2427" w:type="pct"/>
            <w:gridSpan w:val="2"/>
          </w:tcPr>
          <w:p w:rsidR="009708C9" w:rsidRPr="009708C9" w:rsidRDefault="009708C9" w:rsidP="009708C9">
            <w:pPr>
              <w:jc w:val="both"/>
              <w:rPr>
                <w:sz w:val="20"/>
                <w:lang w:val="fr-CA"/>
              </w:rPr>
            </w:pPr>
            <w:r w:rsidRPr="009708C9">
              <w:rPr>
                <w:sz w:val="20"/>
                <w:lang w:val="fr-CA"/>
              </w:rPr>
              <w:t>19 juin 2014</w:t>
            </w:r>
          </w:p>
          <w:p w:rsidR="009708C9" w:rsidRPr="009708C9" w:rsidRDefault="009708C9" w:rsidP="009708C9">
            <w:pPr>
              <w:jc w:val="both"/>
              <w:rPr>
                <w:sz w:val="20"/>
                <w:lang w:val="fr-CA"/>
              </w:rPr>
            </w:pPr>
            <w:r w:rsidRPr="009708C9">
              <w:rPr>
                <w:sz w:val="20"/>
                <w:lang w:val="fr-CA"/>
              </w:rPr>
              <w:t xml:space="preserve">Cour suprême de la Colombie-Britannique </w:t>
            </w:r>
          </w:p>
          <w:p w:rsidR="009708C9" w:rsidRPr="009708C9" w:rsidRDefault="009708C9" w:rsidP="009708C9">
            <w:pPr>
              <w:jc w:val="both"/>
              <w:rPr>
                <w:sz w:val="20"/>
                <w:lang w:val="fr-CA"/>
              </w:rPr>
            </w:pPr>
            <w:r w:rsidRPr="009708C9">
              <w:rPr>
                <w:sz w:val="20"/>
                <w:lang w:val="fr-CA"/>
              </w:rPr>
              <w:t>(Juge Ball)</w:t>
            </w:r>
          </w:p>
          <w:p w:rsidR="009708C9" w:rsidRPr="009708C9" w:rsidRDefault="000221AE" w:rsidP="009708C9">
            <w:pPr>
              <w:jc w:val="both"/>
              <w:rPr>
                <w:sz w:val="20"/>
                <w:lang w:val="fr-CA"/>
              </w:rPr>
            </w:pPr>
            <w:hyperlink r:id="rId38" w:history="1">
              <w:r w:rsidR="009708C9" w:rsidRPr="009708C9">
                <w:rPr>
                  <w:rStyle w:val="Hyperlink"/>
                  <w:sz w:val="20"/>
                  <w:lang w:val="fr-CA"/>
                </w:rPr>
                <w:t>2014 BCSC 2207</w:t>
              </w:r>
            </w:hyperlink>
          </w:p>
          <w:p w:rsidR="009708C9" w:rsidRPr="009708C9" w:rsidRDefault="009708C9" w:rsidP="009708C9">
            <w:pPr>
              <w:jc w:val="both"/>
              <w:rPr>
                <w:sz w:val="20"/>
                <w:lang w:val="fr-CA"/>
              </w:rPr>
            </w:pPr>
          </w:p>
        </w:tc>
        <w:tc>
          <w:tcPr>
            <w:tcW w:w="243" w:type="pct"/>
          </w:tcPr>
          <w:p w:rsidR="009708C9" w:rsidRPr="009708C9" w:rsidRDefault="009708C9" w:rsidP="009708C9">
            <w:pPr>
              <w:jc w:val="both"/>
              <w:rPr>
                <w:sz w:val="20"/>
                <w:lang w:val="fr-CA"/>
              </w:rPr>
            </w:pPr>
          </w:p>
        </w:tc>
        <w:tc>
          <w:tcPr>
            <w:tcW w:w="2330" w:type="pct"/>
          </w:tcPr>
          <w:p w:rsidR="009708C9" w:rsidRPr="009708C9" w:rsidRDefault="009708C9" w:rsidP="009708C9">
            <w:pPr>
              <w:jc w:val="both"/>
              <w:rPr>
                <w:sz w:val="20"/>
                <w:lang w:val="fr-CA"/>
              </w:rPr>
            </w:pPr>
            <w:r w:rsidRPr="009708C9">
              <w:rPr>
                <w:sz w:val="20"/>
                <w:lang w:val="fr-CA"/>
              </w:rPr>
              <w:t xml:space="preserve">Rejet de la demande d’arrêt des procédures </w:t>
            </w:r>
          </w:p>
        </w:tc>
      </w:tr>
      <w:tr w:rsidR="009708C9" w:rsidRPr="009708C9" w:rsidTr="00E95A6A">
        <w:tc>
          <w:tcPr>
            <w:tcW w:w="2427" w:type="pct"/>
            <w:gridSpan w:val="2"/>
          </w:tcPr>
          <w:p w:rsidR="009708C9" w:rsidRPr="009708C9" w:rsidRDefault="009708C9" w:rsidP="009708C9">
            <w:pPr>
              <w:jc w:val="both"/>
              <w:rPr>
                <w:sz w:val="20"/>
                <w:lang w:val="fr-CA"/>
              </w:rPr>
            </w:pPr>
            <w:r w:rsidRPr="009708C9">
              <w:rPr>
                <w:sz w:val="20"/>
                <w:lang w:val="fr-CA"/>
              </w:rPr>
              <w:t>13 avril 2016</w:t>
            </w:r>
          </w:p>
          <w:p w:rsidR="009708C9" w:rsidRPr="009708C9" w:rsidRDefault="009708C9" w:rsidP="009708C9">
            <w:pPr>
              <w:jc w:val="both"/>
              <w:rPr>
                <w:sz w:val="20"/>
                <w:lang w:val="fr-CA"/>
              </w:rPr>
            </w:pPr>
            <w:r w:rsidRPr="009708C9">
              <w:rPr>
                <w:sz w:val="20"/>
                <w:lang w:val="fr-CA"/>
              </w:rPr>
              <w:t xml:space="preserve">Cour d’appel de la Colombie-Britannique </w:t>
            </w:r>
          </w:p>
          <w:p w:rsidR="009708C9" w:rsidRPr="009708C9" w:rsidRDefault="009708C9" w:rsidP="009708C9">
            <w:pPr>
              <w:jc w:val="both"/>
              <w:rPr>
                <w:sz w:val="20"/>
                <w:lang w:val="fr-CA"/>
              </w:rPr>
            </w:pPr>
            <w:r w:rsidRPr="009708C9">
              <w:rPr>
                <w:sz w:val="20"/>
                <w:lang w:val="fr-CA"/>
              </w:rPr>
              <w:t>(Juges Newbury, Bennett et Harris)</w:t>
            </w:r>
          </w:p>
          <w:p w:rsidR="009708C9" w:rsidRPr="009708C9" w:rsidRDefault="000221AE" w:rsidP="009708C9">
            <w:pPr>
              <w:jc w:val="both"/>
              <w:rPr>
                <w:sz w:val="20"/>
                <w:lang w:val="fr-CA"/>
              </w:rPr>
            </w:pPr>
            <w:hyperlink r:id="rId39" w:history="1">
              <w:r w:rsidR="009708C9" w:rsidRPr="009708C9">
                <w:rPr>
                  <w:rStyle w:val="Hyperlink"/>
                  <w:sz w:val="20"/>
                  <w:lang w:val="fr-CA"/>
                </w:rPr>
                <w:t>2016 BCCA 155</w:t>
              </w:r>
            </w:hyperlink>
          </w:p>
          <w:p w:rsidR="009708C9" w:rsidRPr="009708C9" w:rsidRDefault="009708C9" w:rsidP="009708C9">
            <w:pPr>
              <w:jc w:val="both"/>
              <w:rPr>
                <w:sz w:val="20"/>
                <w:lang w:val="fr-CA"/>
              </w:rPr>
            </w:pPr>
          </w:p>
        </w:tc>
        <w:tc>
          <w:tcPr>
            <w:tcW w:w="243" w:type="pct"/>
          </w:tcPr>
          <w:p w:rsidR="009708C9" w:rsidRPr="009708C9" w:rsidRDefault="009708C9" w:rsidP="009708C9">
            <w:pPr>
              <w:jc w:val="both"/>
              <w:rPr>
                <w:sz w:val="20"/>
                <w:lang w:val="fr-CA"/>
              </w:rPr>
            </w:pPr>
          </w:p>
        </w:tc>
        <w:tc>
          <w:tcPr>
            <w:tcW w:w="2330" w:type="pct"/>
          </w:tcPr>
          <w:p w:rsidR="009708C9" w:rsidRPr="009708C9" w:rsidRDefault="009708C9" w:rsidP="009708C9">
            <w:pPr>
              <w:jc w:val="both"/>
              <w:rPr>
                <w:sz w:val="20"/>
                <w:lang w:val="fr-CA"/>
              </w:rPr>
            </w:pPr>
            <w:r w:rsidRPr="009708C9">
              <w:rPr>
                <w:sz w:val="20"/>
                <w:lang w:val="fr-CA"/>
              </w:rPr>
              <w:t>Rejet de l’appel</w:t>
            </w:r>
          </w:p>
          <w:p w:rsidR="009708C9" w:rsidRPr="009708C9" w:rsidRDefault="009708C9" w:rsidP="009708C9">
            <w:pPr>
              <w:jc w:val="both"/>
              <w:rPr>
                <w:sz w:val="20"/>
                <w:lang w:val="fr-CA"/>
              </w:rPr>
            </w:pPr>
          </w:p>
        </w:tc>
      </w:tr>
      <w:tr w:rsidR="009708C9" w:rsidRPr="009708C9" w:rsidTr="00E95A6A">
        <w:tc>
          <w:tcPr>
            <w:tcW w:w="2427" w:type="pct"/>
            <w:gridSpan w:val="2"/>
          </w:tcPr>
          <w:p w:rsidR="009708C9" w:rsidRPr="009708C9" w:rsidRDefault="009708C9" w:rsidP="009708C9">
            <w:pPr>
              <w:jc w:val="both"/>
              <w:rPr>
                <w:sz w:val="20"/>
                <w:lang w:val="fr-CA"/>
              </w:rPr>
            </w:pPr>
            <w:r w:rsidRPr="009708C9">
              <w:rPr>
                <w:sz w:val="20"/>
                <w:lang w:val="fr-CA"/>
              </w:rPr>
              <w:t>13 juin 2016</w:t>
            </w:r>
          </w:p>
          <w:p w:rsidR="009708C9" w:rsidRPr="009708C9" w:rsidRDefault="009708C9" w:rsidP="009708C9">
            <w:pPr>
              <w:jc w:val="both"/>
              <w:rPr>
                <w:sz w:val="20"/>
                <w:lang w:val="fr-CA"/>
              </w:rPr>
            </w:pPr>
            <w:r w:rsidRPr="009708C9">
              <w:rPr>
                <w:sz w:val="20"/>
                <w:lang w:val="fr-CA"/>
              </w:rPr>
              <w:t>Cour suprême du Canada</w:t>
            </w:r>
          </w:p>
        </w:tc>
        <w:tc>
          <w:tcPr>
            <w:tcW w:w="243" w:type="pct"/>
          </w:tcPr>
          <w:p w:rsidR="009708C9" w:rsidRPr="009708C9" w:rsidRDefault="009708C9" w:rsidP="009708C9">
            <w:pPr>
              <w:jc w:val="both"/>
              <w:rPr>
                <w:sz w:val="20"/>
                <w:lang w:val="fr-CA"/>
              </w:rPr>
            </w:pPr>
          </w:p>
        </w:tc>
        <w:tc>
          <w:tcPr>
            <w:tcW w:w="2330" w:type="pct"/>
          </w:tcPr>
          <w:p w:rsidR="009708C9" w:rsidRPr="009708C9" w:rsidRDefault="009708C9" w:rsidP="009708C9">
            <w:pPr>
              <w:jc w:val="both"/>
              <w:rPr>
                <w:sz w:val="20"/>
                <w:lang w:val="fr-CA"/>
              </w:rPr>
            </w:pPr>
            <w:r w:rsidRPr="009708C9">
              <w:rPr>
                <w:sz w:val="20"/>
                <w:lang w:val="fr-CA"/>
              </w:rPr>
              <w:t>Dépôt de la demande d’autorisation d’appel</w:t>
            </w:r>
          </w:p>
          <w:p w:rsidR="009708C9" w:rsidRPr="009708C9" w:rsidRDefault="009708C9" w:rsidP="009708C9">
            <w:pPr>
              <w:jc w:val="both"/>
              <w:rPr>
                <w:sz w:val="20"/>
                <w:lang w:val="fr-CA"/>
              </w:rPr>
            </w:pPr>
          </w:p>
        </w:tc>
      </w:tr>
    </w:tbl>
    <w:p w:rsidR="009708C9" w:rsidRPr="009708C9" w:rsidRDefault="009708C9" w:rsidP="009708C9">
      <w:pPr>
        <w:jc w:val="both"/>
        <w:rPr>
          <w:sz w:val="20"/>
          <w:lang w:val="fr-CA"/>
        </w:rPr>
      </w:pPr>
    </w:p>
    <w:p w:rsidR="0070231A" w:rsidRPr="00391208" w:rsidRDefault="0070231A" w:rsidP="00391208">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1208" w:rsidRPr="00391208" w:rsidTr="00E95A6A">
        <w:tc>
          <w:tcPr>
            <w:tcW w:w="543" w:type="pct"/>
          </w:tcPr>
          <w:p w:rsidR="00391208" w:rsidRPr="00391208" w:rsidRDefault="00391208" w:rsidP="00391208">
            <w:pPr>
              <w:jc w:val="both"/>
              <w:rPr>
                <w:sz w:val="20"/>
              </w:rPr>
            </w:pPr>
            <w:r w:rsidRPr="00391208">
              <w:rPr>
                <w:rStyle w:val="SCCFileNumberChar"/>
                <w:sz w:val="20"/>
                <w:szCs w:val="20"/>
              </w:rPr>
              <w:t>37124</w:t>
            </w:r>
          </w:p>
        </w:tc>
        <w:tc>
          <w:tcPr>
            <w:tcW w:w="4457" w:type="pct"/>
            <w:gridSpan w:val="3"/>
          </w:tcPr>
          <w:p w:rsidR="00391208" w:rsidRPr="00391208" w:rsidRDefault="00391208" w:rsidP="00391208">
            <w:pPr>
              <w:pStyle w:val="SCCLsocParty"/>
              <w:jc w:val="both"/>
              <w:rPr>
                <w:b/>
                <w:sz w:val="20"/>
                <w:szCs w:val="20"/>
              </w:rPr>
            </w:pPr>
            <w:r w:rsidRPr="00391208">
              <w:rPr>
                <w:b/>
                <w:sz w:val="20"/>
                <w:szCs w:val="20"/>
              </w:rPr>
              <w:t xml:space="preserve">Amgen Canada Inc., Amgen Inc. v. </w:t>
            </w:r>
            <w:proofErr w:type="spellStart"/>
            <w:r w:rsidRPr="00391208">
              <w:rPr>
                <w:b/>
                <w:sz w:val="20"/>
                <w:szCs w:val="20"/>
              </w:rPr>
              <w:t>Apotex</w:t>
            </w:r>
            <w:proofErr w:type="spellEnd"/>
            <w:r w:rsidRPr="00391208">
              <w:rPr>
                <w:b/>
                <w:sz w:val="20"/>
                <w:szCs w:val="20"/>
              </w:rPr>
              <w:t xml:space="preserve"> Inc., Minister of Health</w:t>
            </w:r>
          </w:p>
          <w:p w:rsidR="00391208" w:rsidRPr="00391208" w:rsidRDefault="00391208" w:rsidP="00391208">
            <w:pPr>
              <w:jc w:val="both"/>
              <w:rPr>
                <w:sz w:val="20"/>
              </w:rPr>
            </w:pPr>
            <w:r w:rsidRPr="00391208">
              <w:rPr>
                <w:sz w:val="20"/>
              </w:rPr>
              <w:t>(FC) (Civil) (By Leave)</w:t>
            </w:r>
          </w:p>
        </w:tc>
      </w:tr>
      <w:tr w:rsidR="00391208" w:rsidRPr="00391208" w:rsidTr="00E95A6A">
        <w:tc>
          <w:tcPr>
            <w:tcW w:w="5000" w:type="pct"/>
            <w:gridSpan w:val="4"/>
          </w:tcPr>
          <w:p w:rsidR="00391208" w:rsidRPr="00391208" w:rsidRDefault="00391208" w:rsidP="00391208">
            <w:pPr>
              <w:autoSpaceDE w:val="0"/>
              <w:autoSpaceDN w:val="0"/>
              <w:adjustRightInd w:val="0"/>
              <w:ind w:right="90"/>
              <w:jc w:val="both"/>
              <w:rPr>
                <w:sz w:val="20"/>
              </w:rPr>
            </w:pPr>
            <w:r w:rsidRPr="00391208">
              <w:rPr>
                <w:sz w:val="20"/>
              </w:rPr>
              <w:t xml:space="preserve">Intellectual property – Patents – Medicines – </w:t>
            </w:r>
            <w:r w:rsidRPr="00391208">
              <w:rPr>
                <w:i/>
                <w:sz w:val="20"/>
              </w:rPr>
              <w:t>Patented Medicines (Notice of Compliance) Regulations</w:t>
            </w:r>
            <w:r w:rsidRPr="00391208">
              <w:rPr>
                <w:sz w:val="20"/>
              </w:rPr>
              <w:t xml:space="preserve">, SOR/93-133 – Appeals – Mootness – Federal Court dismissing Amgen’s motion for order of prohibition and Minister issuing notice of compliance to </w:t>
            </w:r>
            <w:proofErr w:type="spellStart"/>
            <w:r w:rsidRPr="00391208">
              <w:rPr>
                <w:sz w:val="20"/>
              </w:rPr>
              <w:t>Apotex</w:t>
            </w:r>
            <w:proofErr w:type="spellEnd"/>
            <w:r w:rsidRPr="00391208">
              <w:rPr>
                <w:sz w:val="20"/>
              </w:rPr>
              <w:t xml:space="preserve"> to market generic version of Amgen’s drug – </w:t>
            </w:r>
            <w:proofErr w:type="spellStart"/>
            <w:r w:rsidRPr="00391208">
              <w:rPr>
                <w:sz w:val="20"/>
              </w:rPr>
              <w:t>Apotex</w:t>
            </w:r>
            <w:proofErr w:type="spellEnd"/>
            <w:r w:rsidRPr="00391208">
              <w:rPr>
                <w:sz w:val="20"/>
              </w:rPr>
              <w:t xml:space="preserve"> bringing action for section 8 damages – Amgen appealing after issuance of notice of compliance – </w:t>
            </w:r>
            <w:proofErr w:type="spellStart"/>
            <w:r w:rsidRPr="00391208">
              <w:rPr>
                <w:sz w:val="20"/>
              </w:rPr>
              <w:t>Apotex’s</w:t>
            </w:r>
            <w:proofErr w:type="spellEnd"/>
            <w:r w:rsidRPr="00391208">
              <w:rPr>
                <w:sz w:val="20"/>
              </w:rPr>
              <w:t xml:space="preserve"> motion to dismiss appeal as moot granted – In determining whether to hear moot appeals, should appellate courts apply categorical rules for certain classes of cases that will eliminate any right of appeal for entire class, or are courts required to exercise discretion on a case by case basis in accordance with decision in </w:t>
            </w:r>
            <w:proofErr w:type="spellStart"/>
            <w:r w:rsidRPr="00391208">
              <w:rPr>
                <w:i/>
                <w:iCs/>
                <w:sz w:val="20"/>
              </w:rPr>
              <w:t>Borowski</w:t>
            </w:r>
            <w:proofErr w:type="spellEnd"/>
            <w:r w:rsidRPr="00391208">
              <w:rPr>
                <w:i/>
                <w:iCs/>
                <w:sz w:val="20"/>
              </w:rPr>
              <w:t xml:space="preserve"> v. Canada (Attorney General)</w:t>
            </w:r>
            <w:r w:rsidRPr="00391208">
              <w:rPr>
                <w:iCs/>
                <w:sz w:val="20"/>
              </w:rPr>
              <w:t>, [1989] 1 S.C.R. 342?</w:t>
            </w:r>
          </w:p>
        </w:tc>
      </w:tr>
      <w:tr w:rsidR="00391208" w:rsidRPr="00391208" w:rsidTr="00E95A6A">
        <w:tc>
          <w:tcPr>
            <w:tcW w:w="5000" w:type="pct"/>
            <w:gridSpan w:val="4"/>
          </w:tcPr>
          <w:p w:rsidR="00391208" w:rsidRPr="00391208" w:rsidRDefault="00391208" w:rsidP="00391208">
            <w:pPr>
              <w:jc w:val="both"/>
              <w:rPr>
                <w:sz w:val="20"/>
              </w:rPr>
            </w:pPr>
          </w:p>
        </w:tc>
      </w:tr>
      <w:tr w:rsidR="00391208" w:rsidRPr="00391208" w:rsidTr="00E95A6A">
        <w:tc>
          <w:tcPr>
            <w:tcW w:w="5000" w:type="pct"/>
            <w:gridSpan w:val="4"/>
          </w:tcPr>
          <w:p w:rsidR="00391208" w:rsidRPr="00391208" w:rsidRDefault="00391208" w:rsidP="00391208">
            <w:pPr>
              <w:jc w:val="both"/>
              <w:rPr>
                <w:sz w:val="20"/>
              </w:rPr>
            </w:pPr>
            <w:r w:rsidRPr="00391208">
              <w:rPr>
                <w:sz w:val="20"/>
              </w:rPr>
              <w:t xml:space="preserve">Amgen applied for an order under the </w:t>
            </w:r>
            <w:hyperlink r:id="rId40" w:history="1">
              <w:r w:rsidRPr="00391208">
                <w:rPr>
                  <w:i/>
                  <w:iCs/>
                  <w:sz w:val="20"/>
                </w:rPr>
                <w:t>Patented Medicines (Notice of Compliance) Regulations</w:t>
              </w:r>
              <w:r w:rsidRPr="00391208">
                <w:rPr>
                  <w:sz w:val="20"/>
                </w:rPr>
                <w:t>, SOR/93-133</w:t>
              </w:r>
            </w:hyperlink>
            <w:r w:rsidRPr="00391208">
              <w:rPr>
                <w:sz w:val="20"/>
              </w:rPr>
              <w:t xml:space="preserve"> (“</w:t>
            </w:r>
            <w:r w:rsidRPr="00391208">
              <w:rPr>
                <w:i/>
                <w:sz w:val="20"/>
              </w:rPr>
              <w:t>Regulations</w:t>
            </w:r>
            <w:r w:rsidRPr="00391208">
              <w:rPr>
                <w:sz w:val="20"/>
              </w:rPr>
              <w:t xml:space="preserve">”) prohibiting the Minister of Health from issuing a notice of compliance to </w:t>
            </w:r>
            <w:proofErr w:type="spellStart"/>
            <w:r w:rsidRPr="00391208">
              <w:rPr>
                <w:sz w:val="20"/>
              </w:rPr>
              <w:t>Apotex</w:t>
            </w:r>
            <w:proofErr w:type="spellEnd"/>
            <w:r w:rsidRPr="00391208">
              <w:rPr>
                <w:sz w:val="20"/>
              </w:rPr>
              <w:t xml:space="preserve"> for its generic version of Amgen’s </w:t>
            </w:r>
            <w:proofErr w:type="spellStart"/>
            <w:r w:rsidRPr="00391208">
              <w:rPr>
                <w:sz w:val="20"/>
              </w:rPr>
              <w:t>filgrastim</w:t>
            </w:r>
            <w:proofErr w:type="spellEnd"/>
            <w:r w:rsidRPr="00391208">
              <w:rPr>
                <w:sz w:val="20"/>
              </w:rPr>
              <w:t xml:space="preserve"> pharmaceutical drug. The Federal Court dismissed this application and Amgen appealed that decision. Before the appeal could be heard, however, the Minister issued a notice of compliance to </w:t>
            </w:r>
            <w:proofErr w:type="spellStart"/>
            <w:r w:rsidRPr="00391208">
              <w:rPr>
                <w:sz w:val="20"/>
              </w:rPr>
              <w:t>Apotex</w:t>
            </w:r>
            <w:proofErr w:type="spellEnd"/>
            <w:r w:rsidRPr="00391208">
              <w:rPr>
                <w:sz w:val="20"/>
              </w:rPr>
              <w:t xml:space="preserve"> for its generic version of </w:t>
            </w:r>
            <w:proofErr w:type="spellStart"/>
            <w:r w:rsidRPr="00391208">
              <w:rPr>
                <w:sz w:val="20"/>
              </w:rPr>
              <w:t>filgrastim</w:t>
            </w:r>
            <w:proofErr w:type="spellEnd"/>
            <w:r w:rsidRPr="00391208">
              <w:rPr>
                <w:sz w:val="20"/>
              </w:rPr>
              <w:t xml:space="preserve">. </w:t>
            </w:r>
            <w:proofErr w:type="spellStart"/>
            <w:r w:rsidRPr="00391208">
              <w:rPr>
                <w:sz w:val="20"/>
              </w:rPr>
              <w:t>Apotex</w:t>
            </w:r>
            <w:proofErr w:type="spellEnd"/>
            <w:r w:rsidRPr="00391208">
              <w:rPr>
                <w:sz w:val="20"/>
              </w:rPr>
              <w:t xml:space="preserve"> moved to dismiss the appeal on the ground that the subject-matter of the appeal was moot as there was no longer anything to prohibit.</w:t>
            </w:r>
          </w:p>
          <w:p w:rsidR="00391208" w:rsidRPr="00391208" w:rsidRDefault="00391208" w:rsidP="00391208">
            <w:pPr>
              <w:jc w:val="both"/>
              <w:rPr>
                <w:sz w:val="20"/>
              </w:rPr>
            </w:pPr>
          </w:p>
        </w:tc>
      </w:tr>
      <w:tr w:rsidR="00391208" w:rsidRPr="00391208" w:rsidTr="00E95A6A">
        <w:tc>
          <w:tcPr>
            <w:tcW w:w="2427" w:type="pct"/>
            <w:gridSpan w:val="2"/>
          </w:tcPr>
          <w:p w:rsidR="00391208" w:rsidRPr="00391208" w:rsidRDefault="00391208" w:rsidP="00391208">
            <w:pPr>
              <w:jc w:val="both"/>
              <w:rPr>
                <w:sz w:val="20"/>
              </w:rPr>
            </w:pPr>
            <w:r w:rsidRPr="00391208">
              <w:rPr>
                <w:sz w:val="20"/>
              </w:rPr>
              <w:lastRenderedPageBreak/>
              <w:t>November 10, 2015</w:t>
            </w:r>
          </w:p>
          <w:p w:rsidR="00391208" w:rsidRPr="00391208" w:rsidRDefault="00391208" w:rsidP="00391208">
            <w:pPr>
              <w:jc w:val="both"/>
              <w:rPr>
                <w:sz w:val="20"/>
              </w:rPr>
            </w:pPr>
            <w:r w:rsidRPr="00391208">
              <w:rPr>
                <w:sz w:val="20"/>
              </w:rPr>
              <w:t>Federal Court</w:t>
            </w:r>
          </w:p>
          <w:p w:rsidR="00391208" w:rsidRPr="00391208" w:rsidRDefault="00391208" w:rsidP="00391208">
            <w:pPr>
              <w:jc w:val="both"/>
              <w:rPr>
                <w:sz w:val="20"/>
              </w:rPr>
            </w:pPr>
            <w:r w:rsidRPr="00391208">
              <w:rPr>
                <w:sz w:val="20"/>
              </w:rPr>
              <w:t>(Hughes J.)</w:t>
            </w:r>
          </w:p>
          <w:p w:rsidR="00391208" w:rsidRPr="00391208" w:rsidRDefault="00391208" w:rsidP="00391208">
            <w:pPr>
              <w:jc w:val="both"/>
              <w:rPr>
                <w:rStyle w:val="Hyperlink"/>
                <w:sz w:val="20"/>
              </w:rPr>
            </w:pPr>
            <w:r w:rsidRPr="00391208">
              <w:rPr>
                <w:sz w:val="20"/>
              </w:rPr>
              <w:fldChar w:fldCharType="begin"/>
            </w:r>
            <w:r w:rsidRPr="00391208">
              <w:rPr>
                <w:sz w:val="20"/>
              </w:rPr>
              <w:instrText>HYPERLINK "http://c-doc.domain.scc-csc.gc.ca/L25/01/05/%3chttp:/canlii.ca/t/gm9k8%3e,"</w:instrText>
            </w:r>
            <w:r w:rsidRPr="00391208">
              <w:rPr>
                <w:sz w:val="20"/>
              </w:rPr>
              <w:fldChar w:fldCharType="separate"/>
            </w:r>
            <w:r w:rsidRPr="00391208">
              <w:rPr>
                <w:rStyle w:val="Hyperlink"/>
                <w:sz w:val="20"/>
              </w:rPr>
              <w:t xml:space="preserve">2015 FC 1261 </w:t>
            </w:r>
          </w:p>
          <w:p w:rsidR="00391208" w:rsidRPr="00391208" w:rsidRDefault="00391208" w:rsidP="00391208">
            <w:pPr>
              <w:jc w:val="both"/>
              <w:rPr>
                <w:sz w:val="20"/>
              </w:rPr>
            </w:pPr>
            <w:r w:rsidRPr="00391208">
              <w:rPr>
                <w:sz w:val="20"/>
              </w:rPr>
              <w:fldChar w:fldCharType="end"/>
            </w:r>
          </w:p>
        </w:tc>
        <w:tc>
          <w:tcPr>
            <w:tcW w:w="243" w:type="pct"/>
          </w:tcPr>
          <w:p w:rsidR="00391208" w:rsidRPr="00391208" w:rsidRDefault="00391208" w:rsidP="00391208">
            <w:pPr>
              <w:jc w:val="both"/>
              <w:rPr>
                <w:sz w:val="20"/>
              </w:rPr>
            </w:pPr>
          </w:p>
        </w:tc>
        <w:tc>
          <w:tcPr>
            <w:tcW w:w="2330" w:type="pct"/>
          </w:tcPr>
          <w:p w:rsidR="00391208" w:rsidRPr="00391208" w:rsidRDefault="00391208" w:rsidP="00391208">
            <w:pPr>
              <w:jc w:val="both"/>
              <w:rPr>
                <w:sz w:val="20"/>
              </w:rPr>
            </w:pPr>
            <w:r w:rsidRPr="00391208">
              <w:rPr>
                <w:sz w:val="20"/>
              </w:rPr>
              <w:t>Applicant’s application for order of prohibition dismissed</w:t>
            </w:r>
          </w:p>
          <w:p w:rsidR="00391208" w:rsidRPr="00391208" w:rsidRDefault="00391208" w:rsidP="00391208">
            <w:pPr>
              <w:jc w:val="both"/>
              <w:rPr>
                <w:sz w:val="20"/>
              </w:rPr>
            </w:pPr>
          </w:p>
          <w:p w:rsidR="00391208" w:rsidRPr="00391208" w:rsidRDefault="00391208" w:rsidP="00391208">
            <w:pPr>
              <w:jc w:val="both"/>
              <w:rPr>
                <w:sz w:val="20"/>
              </w:rPr>
            </w:pPr>
          </w:p>
        </w:tc>
      </w:tr>
      <w:tr w:rsidR="00391208" w:rsidRPr="00391208" w:rsidTr="00E95A6A">
        <w:tc>
          <w:tcPr>
            <w:tcW w:w="2427" w:type="pct"/>
            <w:gridSpan w:val="2"/>
          </w:tcPr>
          <w:p w:rsidR="00391208" w:rsidRPr="00391208" w:rsidRDefault="00391208" w:rsidP="00391208">
            <w:pPr>
              <w:jc w:val="both"/>
              <w:rPr>
                <w:sz w:val="20"/>
              </w:rPr>
            </w:pPr>
            <w:r w:rsidRPr="00391208">
              <w:rPr>
                <w:sz w:val="20"/>
              </w:rPr>
              <w:t>July 15, 2016</w:t>
            </w:r>
          </w:p>
          <w:p w:rsidR="00391208" w:rsidRPr="00391208" w:rsidRDefault="00391208" w:rsidP="00391208">
            <w:pPr>
              <w:jc w:val="both"/>
              <w:rPr>
                <w:sz w:val="20"/>
              </w:rPr>
            </w:pPr>
            <w:r w:rsidRPr="00391208">
              <w:rPr>
                <w:sz w:val="20"/>
              </w:rPr>
              <w:t>Federal Court of Appeal</w:t>
            </w:r>
          </w:p>
          <w:p w:rsidR="00391208" w:rsidRPr="00391208" w:rsidRDefault="00391208" w:rsidP="00391208">
            <w:pPr>
              <w:jc w:val="both"/>
              <w:rPr>
                <w:sz w:val="20"/>
              </w:rPr>
            </w:pPr>
            <w:r w:rsidRPr="00391208">
              <w:rPr>
                <w:sz w:val="20"/>
              </w:rPr>
              <w:t xml:space="preserve">(Noël, </w:t>
            </w:r>
            <w:proofErr w:type="spellStart"/>
            <w:r w:rsidRPr="00391208">
              <w:rPr>
                <w:sz w:val="20"/>
              </w:rPr>
              <w:t>Stratas</w:t>
            </w:r>
            <w:proofErr w:type="spellEnd"/>
            <w:r w:rsidRPr="00391208">
              <w:rPr>
                <w:sz w:val="20"/>
              </w:rPr>
              <w:t xml:space="preserve"> and Rennie JJ.A.)</w:t>
            </w:r>
          </w:p>
          <w:p w:rsidR="00391208" w:rsidRPr="00391208" w:rsidRDefault="000221AE" w:rsidP="00391208">
            <w:pPr>
              <w:jc w:val="both"/>
              <w:rPr>
                <w:sz w:val="20"/>
              </w:rPr>
            </w:pPr>
            <w:hyperlink r:id="rId41" w:history="1">
              <w:r w:rsidR="00391208" w:rsidRPr="00391208">
                <w:rPr>
                  <w:rStyle w:val="Hyperlink"/>
                  <w:sz w:val="20"/>
                </w:rPr>
                <w:t>2016 FCA 196</w:t>
              </w:r>
            </w:hyperlink>
          </w:p>
          <w:p w:rsidR="00391208" w:rsidRPr="00391208" w:rsidRDefault="00391208" w:rsidP="00391208">
            <w:pPr>
              <w:jc w:val="both"/>
              <w:rPr>
                <w:sz w:val="20"/>
              </w:rPr>
            </w:pPr>
          </w:p>
        </w:tc>
        <w:tc>
          <w:tcPr>
            <w:tcW w:w="243" w:type="pct"/>
          </w:tcPr>
          <w:p w:rsidR="00391208" w:rsidRPr="00391208" w:rsidRDefault="00391208" w:rsidP="00391208">
            <w:pPr>
              <w:jc w:val="both"/>
              <w:rPr>
                <w:sz w:val="20"/>
              </w:rPr>
            </w:pPr>
          </w:p>
        </w:tc>
        <w:tc>
          <w:tcPr>
            <w:tcW w:w="2330" w:type="pct"/>
          </w:tcPr>
          <w:p w:rsidR="00391208" w:rsidRPr="00391208" w:rsidRDefault="00391208" w:rsidP="00391208">
            <w:pPr>
              <w:jc w:val="both"/>
              <w:rPr>
                <w:sz w:val="20"/>
              </w:rPr>
            </w:pPr>
            <w:r w:rsidRPr="00391208">
              <w:rPr>
                <w:sz w:val="20"/>
              </w:rPr>
              <w:t>Respondent’s motion to dismiss applicant’s appeal for mootness granted and appeal dismissed</w:t>
            </w:r>
          </w:p>
          <w:p w:rsidR="00391208" w:rsidRPr="00391208" w:rsidRDefault="00391208" w:rsidP="00391208">
            <w:pPr>
              <w:jc w:val="both"/>
              <w:rPr>
                <w:sz w:val="20"/>
              </w:rPr>
            </w:pPr>
          </w:p>
          <w:p w:rsidR="00391208" w:rsidRPr="00391208" w:rsidRDefault="00391208" w:rsidP="00391208">
            <w:pPr>
              <w:jc w:val="both"/>
              <w:rPr>
                <w:sz w:val="20"/>
              </w:rPr>
            </w:pPr>
          </w:p>
        </w:tc>
      </w:tr>
      <w:tr w:rsidR="00391208" w:rsidRPr="00391208" w:rsidTr="00E95A6A">
        <w:tc>
          <w:tcPr>
            <w:tcW w:w="2427" w:type="pct"/>
            <w:gridSpan w:val="2"/>
          </w:tcPr>
          <w:p w:rsidR="00391208" w:rsidRPr="00391208" w:rsidRDefault="00391208" w:rsidP="00391208">
            <w:pPr>
              <w:jc w:val="both"/>
              <w:rPr>
                <w:sz w:val="20"/>
              </w:rPr>
            </w:pPr>
            <w:r w:rsidRPr="00391208">
              <w:rPr>
                <w:sz w:val="20"/>
              </w:rPr>
              <w:t>August 9, 2016</w:t>
            </w:r>
          </w:p>
          <w:p w:rsidR="00391208" w:rsidRPr="00391208" w:rsidRDefault="00391208" w:rsidP="00391208">
            <w:pPr>
              <w:jc w:val="both"/>
              <w:rPr>
                <w:sz w:val="20"/>
              </w:rPr>
            </w:pPr>
            <w:r w:rsidRPr="00391208">
              <w:rPr>
                <w:sz w:val="20"/>
              </w:rPr>
              <w:t>Supreme Court of Canada</w:t>
            </w:r>
          </w:p>
          <w:p w:rsidR="00391208" w:rsidRPr="00391208" w:rsidRDefault="00391208" w:rsidP="00391208">
            <w:pPr>
              <w:jc w:val="both"/>
              <w:rPr>
                <w:sz w:val="20"/>
              </w:rPr>
            </w:pPr>
          </w:p>
        </w:tc>
        <w:tc>
          <w:tcPr>
            <w:tcW w:w="243" w:type="pct"/>
          </w:tcPr>
          <w:p w:rsidR="00391208" w:rsidRPr="00391208" w:rsidRDefault="00391208" w:rsidP="00391208">
            <w:pPr>
              <w:jc w:val="both"/>
              <w:rPr>
                <w:sz w:val="20"/>
              </w:rPr>
            </w:pPr>
          </w:p>
        </w:tc>
        <w:tc>
          <w:tcPr>
            <w:tcW w:w="2330" w:type="pct"/>
          </w:tcPr>
          <w:p w:rsidR="00391208" w:rsidRPr="00391208" w:rsidRDefault="00391208" w:rsidP="00391208">
            <w:pPr>
              <w:jc w:val="both"/>
              <w:rPr>
                <w:sz w:val="20"/>
              </w:rPr>
            </w:pPr>
            <w:r w:rsidRPr="00391208">
              <w:rPr>
                <w:sz w:val="20"/>
              </w:rPr>
              <w:t>Application for leave to appeal filed</w:t>
            </w:r>
          </w:p>
          <w:p w:rsidR="00391208" w:rsidRPr="00391208" w:rsidRDefault="00391208" w:rsidP="00391208">
            <w:pPr>
              <w:jc w:val="both"/>
              <w:rPr>
                <w:sz w:val="20"/>
              </w:rPr>
            </w:pPr>
          </w:p>
        </w:tc>
      </w:tr>
      <w:tr w:rsidR="00391208" w:rsidRPr="00391208" w:rsidTr="00E95A6A">
        <w:tc>
          <w:tcPr>
            <w:tcW w:w="2427" w:type="pct"/>
            <w:gridSpan w:val="2"/>
          </w:tcPr>
          <w:p w:rsidR="00391208" w:rsidRPr="00391208" w:rsidRDefault="00391208" w:rsidP="00391208">
            <w:pPr>
              <w:jc w:val="both"/>
              <w:rPr>
                <w:sz w:val="20"/>
              </w:rPr>
            </w:pPr>
            <w:r w:rsidRPr="00391208">
              <w:rPr>
                <w:sz w:val="20"/>
              </w:rPr>
              <w:t>August 22, 2016</w:t>
            </w:r>
          </w:p>
          <w:p w:rsidR="00391208" w:rsidRPr="00391208" w:rsidRDefault="00391208" w:rsidP="00391208">
            <w:pPr>
              <w:jc w:val="both"/>
              <w:rPr>
                <w:sz w:val="20"/>
              </w:rPr>
            </w:pPr>
            <w:r w:rsidRPr="00391208">
              <w:rPr>
                <w:sz w:val="20"/>
              </w:rPr>
              <w:t>Supreme court of Canada</w:t>
            </w:r>
          </w:p>
        </w:tc>
        <w:tc>
          <w:tcPr>
            <w:tcW w:w="243" w:type="pct"/>
          </w:tcPr>
          <w:p w:rsidR="00391208" w:rsidRPr="00391208" w:rsidRDefault="00391208" w:rsidP="00391208">
            <w:pPr>
              <w:jc w:val="both"/>
              <w:rPr>
                <w:sz w:val="20"/>
              </w:rPr>
            </w:pPr>
          </w:p>
        </w:tc>
        <w:tc>
          <w:tcPr>
            <w:tcW w:w="2330" w:type="pct"/>
          </w:tcPr>
          <w:p w:rsidR="00391208" w:rsidRPr="00391208" w:rsidRDefault="00391208" w:rsidP="00391208">
            <w:pPr>
              <w:jc w:val="both"/>
              <w:rPr>
                <w:sz w:val="20"/>
              </w:rPr>
            </w:pPr>
            <w:r w:rsidRPr="00391208">
              <w:rPr>
                <w:sz w:val="20"/>
              </w:rPr>
              <w:t>Motion to expedite leave application filed by applicant</w:t>
            </w:r>
          </w:p>
          <w:p w:rsidR="00391208" w:rsidRPr="00391208" w:rsidRDefault="00391208" w:rsidP="00391208">
            <w:pPr>
              <w:jc w:val="both"/>
              <w:rPr>
                <w:sz w:val="20"/>
              </w:rPr>
            </w:pPr>
          </w:p>
        </w:tc>
      </w:tr>
    </w:tbl>
    <w:p w:rsidR="00391208" w:rsidRDefault="00391208" w:rsidP="00391208">
      <w:pPr>
        <w:jc w:val="both"/>
        <w:rPr>
          <w:sz w:val="20"/>
        </w:rPr>
      </w:pPr>
    </w:p>
    <w:p w:rsidR="00391208" w:rsidRPr="00391208" w:rsidRDefault="00391208" w:rsidP="003912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1208" w:rsidRPr="00391208" w:rsidTr="00E95A6A">
        <w:tc>
          <w:tcPr>
            <w:tcW w:w="543" w:type="pct"/>
          </w:tcPr>
          <w:p w:rsidR="00391208" w:rsidRPr="00391208" w:rsidRDefault="00391208" w:rsidP="00391208">
            <w:pPr>
              <w:jc w:val="both"/>
              <w:rPr>
                <w:sz w:val="20"/>
                <w:lang w:val="fr-CA"/>
              </w:rPr>
            </w:pPr>
            <w:r w:rsidRPr="00391208">
              <w:rPr>
                <w:rStyle w:val="SCCFileNumberChar"/>
                <w:sz w:val="20"/>
                <w:szCs w:val="20"/>
                <w:lang w:val="fr-CA"/>
              </w:rPr>
              <w:t>37124</w:t>
            </w:r>
          </w:p>
        </w:tc>
        <w:tc>
          <w:tcPr>
            <w:tcW w:w="4457" w:type="pct"/>
            <w:gridSpan w:val="3"/>
          </w:tcPr>
          <w:p w:rsidR="00391208" w:rsidRPr="00391208" w:rsidRDefault="00391208" w:rsidP="00391208">
            <w:pPr>
              <w:pStyle w:val="SCCLsocParty"/>
              <w:jc w:val="both"/>
              <w:rPr>
                <w:b/>
                <w:sz w:val="20"/>
                <w:szCs w:val="20"/>
              </w:rPr>
            </w:pPr>
            <w:r w:rsidRPr="00391208">
              <w:rPr>
                <w:b/>
                <w:sz w:val="20"/>
                <w:szCs w:val="20"/>
              </w:rPr>
              <w:t>Amgen Canada Inc., Amgen Inc. c. Apotex Inc., ministre de la Santé</w:t>
            </w:r>
          </w:p>
          <w:p w:rsidR="00391208" w:rsidRPr="00391208" w:rsidRDefault="00391208" w:rsidP="00391208">
            <w:pPr>
              <w:jc w:val="both"/>
              <w:rPr>
                <w:sz w:val="20"/>
                <w:lang w:val="fr-CA"/>
              </w:rPr>
            </w:pPr>
            <w:r w:rsidRPr="00391208">
              <w:rPr>
                <w:sz w:val="20"/>
                <w:lang w:val="fr-CA"/>
              </w:rPr>
              <w:t>(CF) (Civile) (Sur autorisation)</w:t>
            </w:r>
          </w:p>
        </w:tc>
      </w:tr>
      <w:tr w:rsidR="00391208" w:rsidRPr="00391208" w:rsidTr="00E95A6A">
        <w:tc>
          <w:tcPr>
            <w:tcW w:w="5000" w:type="pct"/>
            <w:gridSpan w:val="4"/>
          </w:tcPr>
          <w:p w:rsidR="00391208" w:rsidRPr="00391208" w:rsidRDefault="00391208" w:rsidP="00391208">
            <w:pPr>
              <w:autoSpaceDE w:val="0"/>
              <w:autoSpaceDN w:val="0"/>
              <w:adjustRightInd w:val="0"/>
              <w:ind w:left="-25" w:right="90" w:firstLine="25"/>
              <w:jc w:val="both"/>
              <w:rPr>
                <w:sz w:val="20"/>
                <w:lang w:val="fr-CA"/>
              </w:rPr>
            </w:pPr>
            <w:r w:rsidRPr="00391208">
              <w:rPr>
                <w:sz w:val="20"/>
                <w:lang w:val="fr-CA"/>
              </w:rPr>
              <w:t>Propriété intellectuelle – Brevets – Médicaments –</w:t>
            </w:r>
            <w:r w:rsidRPr="00391208">
              <w:rPr>
                <w:i/>
                <w:sz w:val="20"/>
                <w:lang w:val="fr-CA"/>
              </w:rPr>
              <w:t xml:space="preserve"> Règlement sur les médicaments brevetés (avis de conformité)</w:t>
            </w:r>
            <w:r w:rsidRPr="00391208">
              <w:rPr>
                <w:sz w:val="20"/>
                <w:lang w:val="fr-CA"/>
              </w:rPr>
              <w:t>, DORS/93-133 – Appels – Caractère théorique – La Cour fédérale a rejeté la requête d’Amgen en vue d’obtenir une ordonnance d’interdiction et le ministre a délivré un avis de conformité à Apotex pour commercialiser la version générique du médicament d’Amgen – Apotex a intenté une action en vue d'obtenir des dommages</w:t>
            </w:r>
            <w:r w:rsidRPr="00391208">
              <w:rPr>
                <w:sz w:val="20"/>
                <w:lang w:val="fr-CA"/>
              </w:rPr>
              <w:noBreakHyphen/>
              <w:t xml:space="preserve">intérêts en vertu de l'article 8 – Amgen a interjeté appel après la délivrance de l’avis de conformité – La requête d’Apotex en rejet de l’appel en raison de son caractère théorique a été accueillie – En statuant sur l’opportunité d’entendre les appels théoriques, les cours d’appel doivent-ils appliquer des règles catégoriques pour certaines catégories d’affaires qui élimineront tout droit d’appel pour cette catégorie au complet, ou bien les tribunaux sont-ils plutôt tenus d’exercer leur pouvoir discrétionnaire au cas par cas conformément à l’arrêt </w:t>
            </w:r>
            <w:r w:rsidRPr="00391208">
              <w:rPr>
                <w:i/>
                <w:iCs/>
                <w:sz w:val="20"/>
                <w:lang w:val="fr-CA"/>
              </w:rPr>
              <w:t>Borowski c. Canada (Procureur général</w:t>
            </w:r>
            <w:r w:rsidRPr="00391208">
              <w:rPr>
                <w:iCs/>
                <w:sz w:val="20"/>
                <w:lang w:val="fr-CA"/>
              </w:rPr>
              <w:t>, [1989] 1 R.C.S. 342?</w:t>
            </w:r>
          </w:p>
        </w:tc>
      </w:tr>
      <w:tr w:rsidR="00391208" w:rsidRPr="00391208" w:rsidTr="00E95A6A">
        <w:tc>
          <w:tcPr>
            <w:tcW w:w="5000" w:type="pct"/>
            <w:gridSpan w:val="4"/>
          </w:tcPr>
          <w:p w:rsidR="00391208" w:rsidRPr="00391208" w:rsidRDefault="00391208" w:rsidP="00391208">
            <w:pPr>
              <w:jc w:val="both"/>
              <w:rPr>
                <w:sz w:val="20"/>
                <w:lang w:val="fr-CA"/>
              </w:rPr>
            </w:pPr>
          </w:p>
        </w:tc>
      </w:tr>
      <w:tr w:rsidR="00391208" w:rsidRPr="00391208" w:rsidTr="00E95A6A">
        <w:tc>
          <w:tcPr>
            <w:tcW w:w="5000" w:type="pct"/>
            <w:gridSpan w:val="4"/>
          </w:tcPr>
          <w:p w:rsidR="00391208" w:rsidRPr="00391208" w:rsidRDefault="00391208" w:rsidP="00391208">
            <w:pPr>
              <w:jc w:val="both"/>
              <w:rPr>
                <w:sz w:val="20"/>
                <w:lang w:val="fr-CA"/>
              </w:rPr>
            </w:pPr>
            <w:r w:rsidRPr="00391208">
              <w:rPr>
                <w:sz w:val="20"/>
                <w:lang w:val="fr-CA"/>
              </w:rPr>
              <w:t xml:space="preserve">Amgen a présenté une demande en vertu du </w:t>
            </w:r>
            <w:r w:rsidRPr="00391208">
              <w:rPr>
                <w:i/>
                <w:iCs/>
                <w:sz w:val="20"/>
                <w:lang w:val="fr-CA"/>
              </w:rPr>
              <w:t>Règlement sur les médicaments brevetés (avis de conformité)</w:t>
            </w:r>
            <w:r w:rsidRPr="00391208">
              <w:rPr>
                <w:sz w:val="20"/>
                <w:lang w:val="fr-CA"/>
              </w:rPr>
              <w:t>, DORS/93</w:t>
            </w:r>
            <w:r w:rsidRPr="00391208">
              <w:rPr>
                <w:sz w:val="20"/>
                <w:lang w:val="fr-CA"/>
              </w:rPr>
              <w:noBreakHyphen/>
              <w:t>133 (le « Règlement »), en vue d'interdire au ministre de la Santé de délivrer un avis de conformité à Apotex à l'égard de sa version générique du produit  pharmaceutique d’Amgen, le filgrastim. La Cour fédérale a rejeté la demande et Amgen a interjeté appel de cette décision. Toutefois, avant que l'appel ne soit entendu, le ministre avait délivré à Apotex un avis de conformité pour sa version générique du filgrastim. Apotex a demandé le rejet de l’appel, plaidant que l'objet de l'appel était désormais théorique, puisqu'il n'y a plus rien à interdire.</w:t>
            </w:r>
          </w:p>
          <w:p w:rsidR="00391208" w:rsidRPr="00391208" w:rsidRDefault="00391208" w:rsidP="00391208">
            <w:pPr>
              <w:jc w:val="both"/>
              <w:rPr>
                <w:sz w:val="20"/>
                <w:lang w:val="fr-CA"/>
              </w:rPr>
            </w:pPr>
          </w:p>
        </w:tc>
      </w:tr>
      <w:tr w:rsidR="00391208" w:rsidRPr="00391208" w:rsidTr="00E95A6A">
        <w:tc>
          <w:tcPr>
            <w:tcW w:w="2427" w:type="pct"/>
            <w:gridSpan w:val="2"/>
          </w:tcPr>
          <w:p w:rsidR="00391208" w:rsidRPr="00391208" w:rsidRDefault="00391208" w:rsidP="00391208">
            <w:pPr>
              <w:jc w:val="both"/>
              <w:rPr>
                <w:sz w:val="20"/>
                <w:lang w:val="fr-CA"/>
              </w:rPr>
            </w:pPr>
            <w:r w:rsidRPr="00391208">
              <w:rPr>
                <w:sz w:val="20"/>
                <w:lang w:val="fr-CA"/>
              </w:rPr>
              <w:t>10 novembre 2015</w:t>
            </w:r>
          </w:p>
          <w:p w:rsidR="00391208" w:rsidRPr="00391208" w:rsidRDefault="00391208" w:rsidP="00391208">
            <w:pPr>
              <w:jc w:val="both"/>
              <w:rPr>
                <w:sz w:val="20"/>
                <w:lang w:val="fr-CA"/>
              </w:rPr>
            </w:pPr>
            <w:r w:rsidRPr="00391208">
              <w:rPr>
                <w:sz w:val="20"/>
                <w:lang w:val="fr-CA"/>
              </w:rPr>
              <w:t xml:space="preserve">Cour fédérale </w:t>
            </w:r>
          </w:p>
          <w:p w:rsidR="00391208" w:rsidRPr="00391208" w:rsidRDefault="00391208" w:rsidP="00391208">
            <w:pPr>
              <w:jc w:val="both"/>
              <w:rPr>
                <w:sz w:val="20"/>
                <w:lang w:val="fr-CA"/>
              </w:rPr>
            </w:pPr>
            <w:r w:rsidRPr="00391208">
              <w:rPr>
                <w:sz w:val="20"/>
                <w:lang w:val="fr-CA"/>
              </w:rPr>
              <w:t>(Juge Hughes)</w:t>
            </w:r>
          </w:p>
          <w:p w:rsidR="00391208" w:rsidRPr="00391208" w:rsidRDefault="00391208" w:rsidP="00391208">
            <w:pPr>
              <w:jc w:val="both"/>
              <w:rPr>
                <w:rStyle w:val="Hyperlink"/>
                <w:sz w:val="20"/>
                <w:lang w:val="fr-CA"/>
              </w:rPr>
            </w:pPr>
            <w:r w:rsidRPr="00391208">
              <w:rPr>
                <w:sz w:val="20"/>
                <w:lang w:val="fr-CA"/>
              </w:rPr>
              <w:fldChar w:fldCharType="begin"/>
            </w:r>
            <w:r w:rsidRPr="00391208">
              <w:rPr>
                <w:sz w:val="20"/>
                <w:lang w:val="fr-CA"/>
              </w:rPr>
              <w:instrText>HYPERLINK "http://c-doc.domain.scc-csc.gc.ca/L25/01/05/%3chttp:/canlii.ca/t/gm9k8%3e,"</w:instrText>
            </w:r>
            <w:r w:rsidRPr="00391208">
              <w:rPr>
                <w:sz w:val="20"/>
                <w:lang w:val="fr-CA"/>
              </w:rPr>
              <w:fldChar w:fldCharType="separate"/>
            </w:r>
            <w:r w:rsidRPr="00391208">
              <w:rPr>
                <w:rStyle w:val="Hyperlink"/>
                <w:sz w:val="20"/>
                <w:lang w:val="fr-CA"/>
              </w:rPr>
              <w:t xml:space="preserve">2015 FC 1261 </w:t>
            </w:r>
          </w:p>
          <w:p w:rsidR="00391208" w:rsidRPr="00391208" w:rsidRDefault="00391208" w:rsidP="00391208">
            <w:pPr>
              <w:jc w:val="both"/>
              <w:rPr>
                <w:sz w:val="20"/>
                <w:lang w:val="fr-CA"/>
              </w:rPr>
            </w:pPr>
            <w:r w:rsidRPr="00391208">
              <w:rPr>
                <w:sz w:val="20"/>
                <w:lang w:val="fr-CA"/>
              </w:rPr>
              <w:fldChar w:fldCharType="end"/>
            </w:r>
          </w:p>
        </w:tc>
        <w:tc>
          <w:tcPr>
            <w:tcW w:w="243" w:type="pct"/>
          </w:tcPr>
          <w:p w:rsidR="00391208" w:rsidRPr="00391208" w:rsidRDefault="00391208" w:rsidP="00391208">
            <w:pPr>
              <w:jc w:val="both"/>
              <w:rPr>
                <w:sz w:val="20"/>
                <w:lang w:val="fr-CA"/>
              </w:rPr>
            </w:pPr>
          </w:p>
        </w:tc>
        <w:tc>
          <w:tcPr>
            <w:tcW w:w="2330" w:type="pct"/>
          </w:tcPr>
          <w:p w:rsidR="00391208" w:rsidRPr="00391208" w:rsidRDefault="00391208" w:rsidP="00391208">
            <w:pPr>
              <w:jc w:val="both"/>
              <w:rPr>
                <w:sz w:val="20"/>
                <w:lang w:val="fr-CA"/>
              </w:rPr>
            </w:pPr>
            <w:r w:rsidRPr="00391208">
              <w:rPr>
                <w:sz w:val="20"/>
                <w:lang w:val="fr-CA"/>
              </w:rPr>
              <w:t>Rejet de la demande de la demanderesse en vue d’obtenir une ordonnance d’interdiction</w:t>
            </w:r>
          </w:p>
          <w:p w:rsidR="00391208" w:rsidRPr="00391208" w:rsidRDefault="00391208" w:rsidP="00391208">
            <w:pPr>
              <w:jc w:val="both"/>
              <w:rPr>
                <w:sz w:val="20"/>
                <w:lang w:val="fr-CA"/>
              </w:rPr>
            </w:pPr>
          </w:p>
        </w:tc>
      </w:tr>
      <w:tr w:rsidR="00391208" w:rsidRPr="00391208" w:rsidTr="00E95A6A">
        <w:tc>
          <w:tcPr>
            <w:tcW w:w="2427" w:type="pct"/>
            <w:gridSpan w:val="2"/>
          </w:tcPr>
          <w:p w:rsidR="00391208" w:rsidRPr="00391208" w:rsidRDefault="00391208" w:rsidP="00391208">
            <w:pPr>
              <w:jc w:val="both"/>
              <w:rPr>
                <w:sz w:val="20"/>
                <w:lang w:val="fr-CA"/>
              </w:rPr>
            </w:pPr>
            <w:r w:rsidRPr="00391208">
              <w:rPr>
                <w:sz w:val="20"/>
                <w:lang w:val="fr-CA"/>
              </w:rPr>
              <w:t>15 juillet 2016</w:t>
            </w:r>
          </w:p>
          <w:p w:rsidR="00391208" w:rsidRPr="00391208" w:rsidRDefault="00391208" w:rsidP="00391208">
            <w:pPr>
              <w:jc w:val="both"/>
              <w:rPr>
                <w:sz w:val="20"/>
                <w:lang w:val="fr-CA"/>
              </w:rPr>
            </w:pPr>
            <w:r w:rsidRPr="00391208">
              <w:rPr>
                <w:sz w:val="20"/>
                <w:lang w:val="fr-CA"/>
              </w:rPr>
              <w:t xml:space="preserve">Cour d’appel fédérale </w:t>
            </w:r>
          </w:p>
          <w:p w:rsidR="00391208" w:rsidRPr="00391208" w:rsidRDefault="00391208" w:rsidP="00391208">
            <w:pPr>
              <w:jc w:val="both"/>
              <w:rPr>
                <w:sz w:val="20"/>
                <w:lang w:val="fr-CA"/>
              </w:rPr>
            </w:pPr>
            <w:r w:rsidRPr="00391208">
              <w:rPr>
                <w:sz w:val="20"/>
                <w:lang w:val="fr-CA"/>
              </w:rPr>
              <w:t>(Juges Noël, Stratas et Rennie)</w:t>
            </w:r>
          </w:p>
          <w:p w:rsidR="00391208" w:rsidRPr="00391208" w:rsidRDefault="000221AE" w:rsidP="00391208">
            <w:pPr>
              <w:jc w:val="both"/>
              <w:rPr>
                <w:sz w:val="20"/>
                <w:lang w:val="fr-CA"/>
              </w:rPr>
            </w:pPr>
            <w:hyperlink r:id="rId42" w:history="1">
              <w:r w:rsidR="00391208" w:rsidRPr="00391208">
                <w:rPr>
                  <w:rStyle w:val="Hyperlink"/>
                  <w:sz w:val="20"/>
                  <w:lang w:val="fr-CA"/>
                </w:rPr>
                <w:t>2016 FCA 196</w:t>
              </w:r>
            </w:hyperlink>
          </w:p>
          <w:p w:rsidR="00391208" w:rsidRPr="00391208" w:rsidRDefault="00391208" w:rsidP="00391208">
            <w:pPr>
              <w:jc w:val="both"/>
              <w:rPr>
                <w:sz w:val="20"/>
                <w:lang w:val="fr-CA"/>
              </w:rPr>
            </w:pPr>
          </w:p>
        </w:tc>
        <w:tc>
          <w:tcPr>
            <w:tcW w:w="243" w:type="pct"/>
          </w:tcPr>
          <w:p w:rsidR="00391208" w:rsidRPr="00391208" w:rsidRDefault="00391208" w:rsidP="00391208">
            <w:pPr>
              <w:jc w:val="both"/>
              <w:rPr>
                <w:sz w:val="20"/>
                <w:lang w:val="fr-CA"/>
              </w:rPr>
            </w:pPr>
          </w:p>
        </w:tc>
        <w:tc>
          <w:tcPr>
            <w:tcW w:w="2330" w:type="pct"/>
          </w:tcPr>
          <w:p w:rsidR="00391208" w:rsidRPr="00391208" w:rsidRDefault="00391208" w:rsidP="00391208">
            <w:pPr>
              <w:jc w:val="both"/>
              <w:rPr>
                <w:sz w:val="20"/>
                <w:lang w:val="fr-CA"/>
              </w:rPr>
            </w:pPr>
            <w:r w:rsidRPr="00391208">
              <w:rPr>
                <w:sz w:val="20"/>
                <w:lang w:val="fr-CA"/>
              </w:rPr>
              <w:t>Arrêt accueillant la requête de l’intimée en rejet de l’appel de la demanderesse en raison de son caractère théorique et rejetant l’appel</w:t>
            </w:r>
          </w:p>
          <w:p w:rsidR="00391208" w:rsidRPr="00391208" w:rsidRDefault="00391208" w:rsidP="00391208">
            <w:pPr>
              <w:jc w:val="both"/>
              <w:rPr>
                <w:sz w:val="20"/>
                <w:lang w:val="fr-CA"/>
              </w:rPr>
            </w:pPr>
          </w:p>
          <w:p w:rsidR="00391208" w:rsidRPr="00391208" w:rsidRDefault="00391208" w:rsidP="00391208">
            <w:pPr>
              <w:jc w:val="both"/>
              <w:rPr>
                <w:sz w:val="20"/>
                <w:lang w:val="fr-CA"/>
              </w:rPr>
            </w:pPr>
          </w:p>
        </w:tc>
      </w:tr>
      <w:tr w:rsidR="00391208" w:rsidRPr="00391208" w:rsidTr="00E95A6A">
        <w:tc>
          <w:tcPr>
            <w:tcW w:w="2427" w:type="pct"/>
            <w:gridSpan w:val="2"/>
          </w:tcPr>
          <w:p w:rsidR="00391208" w:rsidRPr="00391208" w:rsidRDefault="00391208" w:rsidP="00391208">
            <w:pPr>
              <w:jc w:val="both"/>
              <w:rPr>
                <w:sz w:val="20"/>
                <w:lang w:val="fr-CA"/>
              </w:rPr>
            </w:pPr>
            <w:r w:rsidRPr="00391208">
              <w:rPr>
                <w:sz w:val="20"/>
                <w:lang w:val="fr-CA"/>
              </w:rPr>
              <w:t>9 août 2016</w:t>
            </w:r>
          </w:p>
          <w:p w:rsidR="00391208" w:rsidRPr="00391208" w:rsidRDefault="00391208" w:rsidP="00391208">
            <w:pPr>
              <w:jc w:val="both"/>
              <w:rPr>
                <w:sz w:val="20"/>
                <w:lang w:val="fr-CA"/>
              </w:rPr>
            </w:pPr>
            <w:r w:rsidRPr="00391208">
              <w:rPr>
                <w:sz w:val="20"/>
                <w:lang w:val="fr-CA"/>
              </w:rPr>
              <w:t>Cour suprême du Canada</w:t>
            </w:r>
          </w:p>
          <w:p w:rsidR="00391208" w:rsidRPr="00391208" w:rsidRDefault="00391208" w:rsidP="00391208">
            <w:pPr>
              <w:jc w:val="both"/>
              <w:rPr>
                <w:sz w:val="20"/>
                <w:lang w:val="fr-CA"/>
              </w:rPr>
            </w:pPr>
          </w:p>
        </w:tc>
        <w:tc>
          <w:tcPr>
            <w:tcW w:w="243" w:type="pct"/>
          </w:tcPr>
          <w:p w:rsidR="00391208" w:rsidRPr="00391208" w:rsidRDefault="00391208" w:rsidP="00391208">
            <w:pPr>
              <w:jc w:val="both"/>
              <w:rPr>
                <w:sz w:val="20"/>
                <w:lang w:val="fr-CA"/>
              </w:rPr>
            </w:pPr>
          </w:p>
        </w:tc>
        <w:tc>
          <w:tcPr>
            <w:tcW w:w="2330" w:type="pct"/>
          </w:tcPr>
          <w:p w:rsidR="00391208" w:rsidRPr="00391208" w:rsidRDefault="00391208" w:rsidP="00391208">
            <w:pPr>
              <w:jc w:val="both"/>
              <w:rPr>
                <w:sz w:val="20"/>
                <w:lang w:val="fr-CA"/>
              </w:rPr>
            </w:pPr>
            <w:r w:rsidRPr="00391208">
              <w:rPr>
                <w:sz w:val="20"/>
                <w:lang w:val="fr-CA"/>
              </w:rPr>
              <w:t>Dépôt de la demande d’autorisation d’appel</w:t>
            </w:r>
          </w:p>
          <w:p w:rsidR="00391208" w:rsidRPr="00391208" w:rsidRDefault="00391208" w:rsidP="00391208">
            <w:pPr>
              <w:jc w:val="both"/>
              <w:rPr>
                <w:sz w:val="20"/>
                <w:lang w:val="fr-CA"/>
              </w:rPr>
            </w:pPr>
          </w:p>
        </w:tc>
      </w:tr>
      <w:tr w:rsidR="00391208" w:rsidRPr="00391208" w:rsidTr="00E95A6A">
        <w:tc>
          <w:tcPr>
            <w:tcW w:w="2427" w:type="pct"/>
            <w:gridSpan w:val="2"/>
          </w:tcPr>
          <w:p w:rsidR="00391208" w:rsidRPr="00391208" w:rsidRDefault="00391208" w:rsidP="00391208">
            <w:pPr>
              <w:jc w:val="both"/>
              <w:rPr>
                <w:sz w:val="20"/>
                <w:lang w:val="fr-CA"/>
              </w:rPr>
            </w:pPr>
            <w:r w:rsidRPr="00391208">
              <w:rPr>
                <w:sz w:val="20"/>
                <w:lang w:val="fr-CA"/>
              </w:rPr>
              <w:lastRenderedPageBreak/>
              <w:t>22 août 2016</w:t>
            </w:r>
          </w:p>
          <w:p w:rsidR="00391208" w:rsidRPr="00391208" w:rsidRDefault="00391208" w:rsidP="00391208">
            <w:pPr>
              <w:jc w:val="both"/>
              <w:rPr>
                <w:sz w:val="20"/>
                <w:lang w:val="fr-CA"/>
              </w:rPr>
            </w:pPr>
            <w:r w:rsidRPr="00391208">
              <w:rPr>
                <w:sz w:val="20"/>
                <w:lang w:val="fr-CA"/>
              </w:rPr>
              <w:t>Cour suprême du Canada</w:t>
            </w:r>
          </w:p>
        </w:tc>
        <w:tc>
          <w:tcPr>
            <w:tcW w:w="243" w:type="pct"/>
          </w:tcPr>
          <w:p w:rsidR="00391208" w:rsidRPr="00391208" w:rsidRDefault="00391208" w:rsidP="00391208">
            <w:pPr>
              <w:jc w:val="both"/>
              <w:rPr>
                <w:sz w:val="20"/>
                <w:lang w:val="fr-CA"/>
              </w:rPr>
            </w:pPr>
          </w:p>
        </w:tc>
        <w:tc>
          <w:tcPr>
            <w:tcW w:w="2330" w:type="pct"/>
          </w:tcPr>
          <w:p w:rsidR="00391208" w:rsidRPr="00391208" w:rsidRDefault="00391208" w:rsidP="00391208">
            <w:pPr>
              <w:jc w:val="both"/>
              <w:rPr>
                <w:sz w:val="20"/>
                <w:lang w:val="fr-CA"/>
              </w:rPr>
            </w:pPr>
            <w:r w:rsidRPr="00391208">
              <w:rPr>
                <w:sz w:val="20"/>
                <w:lang w:val="fr-CA"/>
              </w:rPr>
              <w:t xml:space="preserve">Dépôt de la requête </w:t>
            </w:r>
            <w:r w:rsidRPr="00391208">
              <w:rPr>
                <w:bCs/>
                <w:sz w:val="20"/>
                <w:lang w:val="fr-CA"/>
              </w:rPr>
              <w:t>visant à accélérer la procédure de demande d’autorisation d’appel</w:t>
            </w:r>
          </w:p>
        </w:tc>
      </w:tr>
    </w:tbl>
    <w:p w:rsidR="00391208" w:rsidRPr="00391208" w:rsidRDefault="00391208" w:rsidP="00391208">
      <w:pPr>
        <w:jc w:val="both"/>
        <w:rPr>
          <w:sz w:val="20"/>
          <w:lang w:val="fr-CA"/>
        </w:rPr>
      </w:pPr>
    </w:p>
    <w:p w:rsidR="0070231A" w:rsidRPr="00635DDF" w:rsidRDefault="0070231A" w:rsidP="004167B1">
      <w:pPr>
        <w:ind w:left="360" w:hanging="360"/>
        <w:jc w:val="both"/>
        <w:rPr>
          <w:rFonts w:eastAsiaTheme="minorEastAsia"/>
          <w:sz w:val="20"/>
          <w:lang w:val="fr-CA" w:eastAsia="en-CA"/>
        </w:rPr>
      </w:pPr>
    </w:p>
    <w:p w:rsidR="0055024A" w:rsidRPr="00635DDF" w:rsidRDefault="0055024A" w:rsidP="004167B1">
      <w:pPr>
        <w:ind w:left="360" w:hanging="360"/>
        <w:jc w:val="both"/>
        <w:rPr>
          <w:rFonts w:eastAsiaTheme="minorEastAsia"/>
          <w:sz w:val="20"/>
          <w:lang w:val="fr-CA" w:eastAsia="en-CA"/>
        </w:rPr>
      </w:pPr>
    </w:p>
    <w:p w:rsidR="00D3344A" w:rsidRPr="00635DDF" w:rsidRDefault="00D3344A" w:rsidP="00D3344A">
      <w:pPr>
        <w:widowControl w:val="0"/>
        <w:outlineLvl w:val="0"/>
      </w:pPr>
      <w:r w:rsidRPr="00635DDF">
        <w:t xml:space="preserve">Supreme Court of Canada / </w:t>
      </w:r>
      <w:proofErr w:type="spellStart"/>
      <w:r w:rsidRPr="00635DDF">
        <w:t>Cour</w:t>
      </w:r>
      <w:proofErr w:type="spellEnd"/>
      <w:r w:rsidRPr="00635DDF">
        <w:t xml:space="preserve"> </w:t>
      </w:r>
      <w:proofErr w:type="spellStart"/>
      <w:r w:rsidRPr="00635DDF">
        <w:t>suprême</w:t>
      </w:r>
      <w:proofErr w:type="spellEnd"/>
      <w:r w:rsidRPr="00635DDF">
        <w:t xml:space="preserve"> du </w:t>
      </w:r>
      <w:proofErr w:type="gramStart"/>
      <w:r w:rsidRPr="00635DDF">
        <w:t>Canad</w:t>
      </w:r>
      <w:r w:rsidR="00EE289F" w:rsidRPr="00635DDF">
        <w:t>a</w:t>
      </w:r>
      <w:r w:rsidRPr="00635DDF">
        <w:t xml:space="preserve"> :</w:t>
      </w:r>
      <w:proofErr w:type="gramEnd"/>
      <w:r w:rsidRPr="00635DDF">
        <w:t xml:space="preserve"> </w:t>
      </w:r>
    </w:p>
    <w:p w:rsidR="00D3344A" w:rsidRPr="00635DDF" w:rsidRDefault="000221AE" w:rsidP="00D3344A">
      <w:pPr>
        <w:widowControl w:val="0"/>
        <w:outlineLvl w:val="0"/>
        <w:rPr>
          <w:u w:val="single"/>
        </w:rPr>
      </w:pPr>
      <w:hyperlink r:id="rId43" w:history="1">
        <w:r w:rsidR="00D3344A" w:rsidRPr="00635DDF">
          <w:rPr>
            <w:rStyle w:val="Hyperlink"/>
          </w:rPr>
          <w:t>comments-commentaires@scc-csc.ca</w:t>
        </w:r>
      </w:hyperlink>
    </w:p>
    <w:p w:rsidR="00D3344A" w:rsidRPr="00635DDF" w:rsidRDefault="0065588C" w:rsidP="00D3344A">
      <w:pPr>
        <w:widowControl w:val="0"/>
        <w:outlineLvl w:val="0"/>
      </w:pPr>
      <w:r w:rsidRPr="00635DDF">
        <w:t>613-</w:t>
      </w:r>
      <w:r w:rsidR="00D3344A" w:rsidRPr="00635DDF">
        <w:t>995-4330</w:t>
      </w:r>
    </w:p>
    <w:p w:rsidR="00497B5E" w:rsidRPr="00635DDF" w:rsidRDefault="00497B5E" w:rsidP="00497B5E">
      <w:pPr>
        <w:widowControl w:val="0"/>
        <w:rPr>
          <w:sz w:val="20"/>
        </w:rPr>
      </w:pPr>
    </w:p>
    <w:p w:rsidR="00F6251B" w:rsidRPr="00635DDF" w:rsidRDefault="003F43E6" w:rsidP="00F6251B">
      <w:pPr>
        <w:pStyle w:val="Footer"/>
        <w:jc w:val="center"/>
      </w:pPr>
      <w:r w:rsidRPr="00635DDF">
        <w:t>- 30 -</w:t>
      </w:r>
    </w:p>
    <w:p w:rsidR="00F6251B" w:rsidRPr="00635DDF" w:rsidRDefault="00F6251B" w:rsidP="00F6251B">
      <w:pPr>
        <w:pStyle w:val="Footer"/>
        <w:jc w:val="center"/>
      </w:pPr>
    </w:p>
    <w:sectPr w:rsidR="00F6251B" w:rsidRPr="00635DDF" w:rsidSect="00524822">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0"/>
  </w:num>
  <w:num w:numId="11">
    <w:abstractNumId w:val="12"/>
  </w:num>
  <w:num w:numId="12">
    <w:abstractNumId w:val="7"/>
  </w:num>
  <w:num w:numId="13">
    <w:abstractNumId w:val="19"/>
  </w:num>
  <w:num w:numId="14">
    <w:abstractNumId w:val="22"/>
  </w:num>
  <w:num w:numId="15">
    <w:abstractNumId w:val="17"/>
  </w:num>
  <w:num w:numId="16">
    <w:abstractNumId w:val="1"/>
  </w:num>
  <w:num w:numId="17">
    <w:abstractNumId w:val="6"/>
  </w:num>
  <w:num w:numId="18">
    <w:abstractNumId w:val="10"/>
  </w:num>
  <w:num w:numId="19">
    <w:abstractNumId w:val="0"/>
  </w:num>
  <w:num w:numId="20">
    <w:abstractNumId w:val="23"/>
  </w:num>
  <w:num w:numId="21">
    <w:abstractNumId w:val="15"/>
  </w:num>
  <w:num w:numId="22">
    <w:abstractNumId w:val="14"/>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57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1AE"/>
    <w:rsid w:val="0002267C"/>
    <w:rsid w:val="00024962"/>
    <w:rsid w:val="000250B7"/>
    <w:rsid w:val="000276EE"/>
    <w:rsid w:val="000277E1"/>
    <w:rsid w:val="00032E02"/>
    <w:rsid w:val="00033257"/>
    <w:rsid w:val="00033935"/>
    <w:rsid w:val="00033D1E"/>
    <w:rsid w:val="00033D28"/>
    <w:rsid w:val="000343B3"/>
    <w:rsid w:val="0003496D"/>
    <w:rsid w:val="00034A7F"/>
    <w:rsid w:val="00035790"/>
    <w:rsid w:val="000368C3"/>
    <w:rsid w:val="00040247"/>
    <w:rsid w:val="00041302"/>
    <w:rsid w:val="00041B58"/>
    <w:rsid w:val="00042069"/>
    <w:rsid w:val="00042390"/>
    <w:rsid w:val="0004298B"/>
    <w:rsid w:val="00043FDE"/>
    <w:rsid w:val="000467DE"/>
    <w:rsid w:val="00046CB2"/>
    <w:rsid w:val="00047188"/>
    <w:rsid w:val="00047CD6"/>
    <w:rsid w:val="00051DE6"/>
    <w:rsid w:val="00054F8E"/>
    <w:rsid w:val="000577D9"/>
    <w:rsid w:val="00060753"/>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6BDC"/>
    <w:rsid w:val="000975EC"/>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3F0C"/>
    <w:rsid w:val="001147A4"/>
    <w:rsid w:val="00115CF1"/>
    <w:rsid w:val="001170C6"/>
    <w:rsid w:val="00117137"/>
    <w:rsid w:val="00117AF3"/>
    <w:rsid w:val="001200D6"/>
    <w:rsid w:val="00120360"/>
    <w:rsid w:val="0012068C"/>
    <w:rsid w:val="00120CA0"/>
    <w:rsid w:val="0012101A"/>
    <w:rsid w:val="0012202C"/>
    <w:rsid w:val="00122CE1"/>
    <w:rsid w:val="00123976"/>
    <w:rsid w:val="00124DEC"/>
    <w:rsid w:val="00124EFD"/>
    <w:rsid w:val="0012577E"/>
    <w:rsid w:val="001262EF"/>
    <w:rsid w:val="0013159F"/>
    <w:rsid w:val="00131EB1"/>
    <w:rsid w:val="00132635"/>
    <w:rsid w:val="00134190"/>
    <w:rsid w:val="001354E7"/>
    <w:rsid w:val="00135A54"/>
    <w:rsid w:val="00136710"/>
    <w:rsid w:val="00140982"/>
    <w:rsid w:val="00141200"/>
    <w:rsid w:val="00141591"/>
    <w:rsid w:val="00141FBC"/>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81375"/>
    <w:rsid w:val="001813C3"/>
    <w:rsid w:val="001819DA"/>
    <w:rsid w:val="00182693"/>
    <w:rsid w:val="00182705"/>
    <w:rsid w:val="00182DFB"/>
    <w:rsid w:val="001838E0"/>
    <w:rsid w:val="00183A15"/>
    <w:rsid w:val="00185355"/>
    <w:rsid w:val="00185D52"/>
    <w:rsid w:val="001866BF"/>
    <w:rsid w:val="00186884"/>
    <w:rsid w:val="001878EB"/>
    <w:rsid w:val="0019000C"/>
    <w:rsid w:val="0019030D"/>
    <w:rsid w:val="0019092C"/>
    <w:rsid w:val="00190C7A"/>
    <w:rsid w:val="00190F7F"/>
    <w:rsid w:val="00194559"/>
    <w:rsid w:val="001947C1"/>
    <w:rsid w:val="001948EC"/>
    <w:rsid w:val="00194F2A"/>
    <w:rsid w:val="0019508F"/>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5EB4"/>
    <w:rsid w:val="001B68D3"/>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1EE3"/>
    <w:rsid w:val="001E3BCD"/>
    <w:rsid w:val="001E7B18"/>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69FE"/>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322"/>
    <w:rsid w:val="0025785E"/>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0D2"/>
    <w:rsid w:val="002A5245"/>
    <w:rsid w:val="002A55D1"/>
    <w:rsid w:val="002A5C41"/>
    <w:rsid w:val="002A5CF5"/>
    <w:rsid w:val="002A6EA4"/>
    <w:rsid w:val="002A7839"/>
    <w:rsid w:val="002A7B04"/>
    <w:rsid w:val="002A7E9D"/>
    <w:rsid w:val="002B15AC"/>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6CDD"/>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828"/>
    <w:rsid w:val="00357895"/>
    <w:rsid w:val="00357916"/>
    <w:rsid w:val="00357B15"/>
    <w:rsid w:val="00360B19"/>
    <w:rsid w:val="00360FCE"/>
    <w:rsid w:val="00362E82"/>
    <w:rsid w:val="00364001"/>
    <w:rsid w:val="00365DC3"/>
    <w:rsid w:val="0036633C"/>
    <w:rsid w:val="00366CA4"/>
    <w:rsid w:val="00366CC9"/>
    <w:rsid w:val="0036763E"/>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1208"/>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9"/>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69F9"/>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343"/>
    <w:rsid w:val="004F47F7"/>
    <w:rsid w:val="004F7CCB"/>
    <w:rsid w:val="0050050B"/>
    <w:rsid w:val="0050132A"/>
    <w:rsid w:val="00502F3E"/>
    <w:rsid w:val="00503196"/>
    <w:rsid w:val="00503967"/>
    <w:rsid w:val="00503ADE"/>
    <w:rsid w:val="00504706"/>
    <w:rsid w:val="00504E60"/>
    <w:rsid w:val="0050553B"/>
    <w:rsid w:val="0050674F"/>
    <w:rsid w:val="00506A2E"/>
    <w:rsid w:val="00510BE0"/>
    <w:rsid w:val="00510C5C"/>
    <w:rsid w:val="00511E62"/>
    <w:rsid w:val="005208AC"/>
    <w:rsid w:val="00520B14"/>
    <w:rsid w:val="00521DC2"/>
    <w:rsid w:val="00521EFA"/>
    <w:rsid w:val="0052230A"/>
    <w:rsid w:val="00523237"/>
    <w:rsid w:val="00523A16"/>
    <w:rsid w:val="00523D2D"/>
    <w:rsid w:val="00524432"/>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757C3"/>
    <w:rsid w:val="005809B5"/>
    <w:rsid w:val="005812EF"/>
    <w:rsid w:val="00582010"/>
    <w:rsid w:val="0058254B"/>
    <w:rsid w:val="0058351E"/>
    <w:rsid w:val="00587914"/>
    <w:rsid w:val="0059181C"/>
    <w:rsid w:val="005925EC"/>
    <w:rsid w:val="0059611F"/>
    <w:rsid w:val="005964F5"/>
    <w:rsid w:val="00597224"/>
    <w:rsid w:val="005A0727"/>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730"/>
    <w:rsid w:val="005E73A1"/>
    <w:rsid w:val="005E7458"/>
    <w:rsid w:val="005E76FD"/>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6E32"/>
    <w:rsid w:val="00647687"/>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231A"/>
    <w:rsid w:val="00702B93"/>
    <w:rsid w:val="00702D4F"/>
    <w:rsid w:val="00703D5F"/>
    <w:rsid w:val="007045FC"/>
    <w:rsid w:val="0070488F"/>
    <w:rsid w:val="00704CDE"/>
    <w:rsid w:val="00704CF9"/>
    <w:rsid w:val="00704ECD"/>
    <w:rsid w:val="00705199"/>
    <w:rsid w:val="00705711"/>
    <w:rsid w:val="0070582E"/>
    <w:rsid w:val="007073E2"/>
    <w:rsid w:val="00710713"/>
    <w:rsid w:val="007123C3"/>
    <w:rsid w:val="0071266E"/>
    <w:rsid w:val="007130F7"/>
    <w:rsid w:val="00714183"/>
    <w:rsid w:val="00715CA4"/>
    <w:rsid w:val="00715E75"/>
    <w:rsid w:val="0071691D"/>
    <w:rsid w:val="00720C6C"/>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C1F"/>
    <w:rsid w:val="00820876"/>
    <w:rsid w:val="0082143F"/>
    <w:rsid w:val="0082159A"/>
    <w:rsid w:val="00822064"/>
    <w:rsid w:val="008220AD"/>
    <w:rsid w:val="00822969"/>
    <w:rsid w:val="00823196"/>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103"/>
    <w:rsid w:val="008549B1"/>
    <w:rsid w:val="0085543E"/>
    <w:rsid w:val="008568B0"/>
    <w:rsid w:val="008578F2"/>
    <w:rsid w:val="008600ED"/>
    <w:rsid w:val="00860366"/>
    <w:rsid w:val="008614BF"/>
    <w:rsid w:val="00861CAB"/>
    <w:rsid w:val="008627A8"/>
    <w:rsid w:val="00862B21"/>
    <w:rsid w:val="00863E02"/>
    <w:rsid w:val="0086489A"/>
    <w:rsid w:val="00865274"/>
    <w:rsid w:val="00865940"/>
    <w:rsid w:val="00865EEC"/>
    <w:rsid w:val="00866A27"/>
    <w:rsid w:val="008701DC"/>
    <w:rsid w:val="0087081B"/>
    <w:rsid w:val="008714CD"/>
    <w:rsid w:val="008739F1"/>
    <w:rsid w:val="00874308"/>
    <w:rsid w:val="00877B13"/>
    <w:rsid w:val="00880AB5"/>
    <w:rsid w:val="00880AD5"/>
    <w:rsid w:val="00880C01"/>
    <w:rsid w:val="00881457"/>
    <w:rsid w:val="00882802"/>
    <w:rsid w:val="00882B0F"/>
    <w:rsid w:val="008836A7"/>
    <w:rsid w:val="00884467"/>
    <w:rsid w:val="008872D7"/>
    <w:rsid w:val="00887F03"/>
    <w:rsid w:val="00893B95"/>
    <w:rsid w:val="008941B2"/>
    <w:rsid w:val="008A1084"/>
    <w:rsid w:val="008A1DA7"/>
    <w:rsid w:val="008A3884"/>
    <w:rsid w:val="008A49EA"/>
    <w:rsid w:val="008A4ABF"/>
    <w:rsid w:val="008A739F"/>
    <w:rsid w:val="008B0108"/>
    <w:rsid w:val="008B18E3"/>
    <w:rsid w:val="008B3670"/>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B10"/>
    <w:rsid w:val="008E04F6"/>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4BC9"/>
    <w:rsid w:val="009056CA"/>
    <w:rsid w:val="009062BB"/>
    <w:rsid w:val="0090688C"/>
    <w:rsid w:val="0090766E"/>
    <w:rsid w:val="009119D3"/>
    <w:rsid w:val="00913DCC"/>
    <w:rsid w:val="00917B21"/>
    <w:rsid w:val="00922101"/>
    <w:rsid w:val="00922A4B"/>
    <w:rsid w:val="009241BB"/>
    <w:rsid w:val="009244F7"/>
    <w:rsid w:val="00924C0D"/>
    <w:rsid w:val="0092587F"/>
    <w:rsid w:val="00925AA4"/>
    <w:rsid w:val="00930FA6"/>
    <w:rsid w:val="009313BE"/>
    <w:rsid w:val="00932FE2"/>
    <w:rsid w:val="009340AB"/>
    <w:rsid w:val="00936192"/>
    <w:rsid w:val="0094066E"/>
    <w:rsid w:val="0094182D"/>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66B53"/>
    <w:rsid w:val="009708C9"/>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4F4B"/>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60997"/>
    <w:rsid w:val="00A60CA4"/>
    <w:rsid w:val="00A61446"/>
    <w:rsid w:val="00A61D87"/>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6DD"/>
    <w:rsid w:val="00A85812"/>
    <w:rsid w:val="00A864D8"/>
    <w:rsid w:val="00A871C9"/>
    <w:rsid w:val="00A87FE2"/>
    <w:rsid w:val="00A915C6"/>
    <w:rsid w:val="00A9205F"/>
    <w:rsid w:val="00A92AC2"/>
    <w:rsid w:val="00A9456E"/>
    <w:rsid w:val="00A948B2"/>
    <w:rsid w:val="00A95355"/>
    <w:rsid w:val="00A960E9"/>
    <w:rsid w:val="00A97B41"/>
    <w:rsid w:val="00A97DC4"/>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2FCF"/>
    <w:rsid w:val="00AD4CC2"/>
    <w:rsid w:val="00AD52A6"/>
    <w:rsid w:val="00AD5AEC"/>
    <w:rsid w:val="00AD6AD0"/>
    <w:rsid w:val="00AD6D0B"/>
    <w:rsid w:val="00AD7DC1"/>
    <w:rsid w:val="00AE2C85"/>
    <w:rsid w:val="00AE328A"/>
    <w:rsid w:val="00AE42F5"/>
    <w:rsid w:val="00AE4721"/>
    <w:rsid w:val="00AE4C09"/>
    <w:rsid w:val="00AE541B"/>
    <w:rsid w:val="00AE747B"/>
    <w:rsid w:val="00AE7DE5"/>
    <w:rsid w:val="00AF1653"/>
    <w:rsid w:val="00AF3BF4"/>
    <w:rsid w:val="00AF3F93"/>
    <w:rsid w:val="00AF50BF"/>
    <w:rsid w:val="00AF71D2"/>
    <w:rsid w:val="00B02C5B"/>
    <w:rsid w:val="00B02DE3"/>
    <w:rsid w:val="00B037AA"/>
    <w:rsid w:val="00B054BA"/>
    <w:rsid w:val="00B06804"/>
    <w:rsid w:val="00B07908"/>
    <w:rsid w:val="00B122A0"/>
    <w:rsid w:val="00B1256E"/>
    <w:rsid w:val="00B13787"/>
    <w:rsid w:val="00B14007"/>
    <w:rsid w:val="00B1445B"/>
    <w:rsid w:val="00B15801"/>
    <w:rsid w:val="00B1644E"/>
    <w:rsid w:val="00B17AAC"/>
    <w:rsid w:val="00B215D0"/>
    <w:rsid w:val="00B21F73"/>
    <w:rsid w:val="00B22D7B"/>
    <w:rsid w:val="00B2329D"/>
    <w:rsid w:val="00B23A32"/>
    <w:rsid w:val="00B23A60"/>
    <w:rsid w:val="00B23D80"/>
    <w:rsid w:val="00B243A4"/>
    <w:rsid w:val="00B245B8"/>
    <w:rsid w:val="00B24ABA"/>
    <w:rsid w:val="00B255C5"/>
    <w:rsid w:val="00B25FB2"/>
    <w:rsid w:val="00B274C7"/>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DAB"/>
    <w:rsid w:val="00B539BE"/>
    <w:rsid w:val="00B5549D"/>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3DB6"/>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E7CB6"/>
    <w:rsid w:val="00BF048F"/>
    <w:rsid w:val="00BF1EEF"/>
    <w:rsid w:val="00BF1FCA"/>
    <w:rsid w:val="00BF7494"/>
    <w:rsid w:val="00C00650"/>
    <w:rsid w:val="00C012C4"/>
    <w:rsid w:val="00C021BB"/>
    <w:rsid w:val="00C037A3"/>
    <w:rsid w:val="00C03932"/>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313B"/>
    <w:rsid w:val="00C435AB"/>
    <w:rsid w:val="00C45F01"/>
    <w:rsid w:val="00C4698C"/>
    <w:rsid w:val="00C5207F"/>
    <w:rsid w:val="00C52D21"/>
    <w:rsid w:val="00C5543B"/>
    <w:rsid w:val="00C573B1"/>
    <w:rsid w:val="00C600EE"/>
    <w:rsid w:val="00C6294C"/>
    <w:rsid w:val="00C62E03"/>
    <w:rsid w:val="00C64192"/>
    <w:rsid w:val="00C647CB"/>
    <w:rsid w:val="00C67D33"/>
    <w:rsid w:val="00C72D39"/>
    <w:rsid w:val="00C7351D"/>
    <w:rsid w:val="00C747F2"/>
    <w:rsid w:val="00C752EB"/>
    <w:rsid w:val="00C75878"/>
    <w:rsid w:val="00C75BD1"/>
    <w:rsid w:val="00C76588"/>
    <w:rsid w:val="00C76BBB"/>
    <w:rsid w:val="00C76D1F"/>
    <w:rsid w:val="00C779D4"/>
    <w:rsid w:val="00C77C0E"/>
    <w:rsid w:val="00C80125"/>
    <w:rsid w:val="00C806F6"/>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D83"/>
    <w:rsid w:val="00CF0EF2"/>
    <w:rsid w:val="00CF47E5"/>
    <w:rsid w:val="00CF732A"/>
    <w:rsid w:val="00D00533"/>
    <w:rsid w:val="00D00540"/>
    <w:rsid w:val="00D00AA4"/>
    <w:rsid w:val="00D01406"/>
    <w:rsid w:val="00D015A7"/>
    <w:rsid w:val="00D0250E"/>
    <w:rsid w:val="00D0423A"/>
    <w:rsid w:val="00D04A90"/>
    <w:rsid w:val="00D06EF2"/>
    <w:rsid w:val="00D07131"/>
    <w:rsid w:val="00D07526"/>
    <w:rsid w:val="00D07E3B"/>
    <w:rsid w:val="00D1308F"/>
    <w:rsid w:val="00D14B1E"/>
    <w:rsid w:val="00D1550B"/>
    <w:rsid w:val="00D17E05"/>
    <w:rsid w:val="00D17F23"/>
    <w:rsid w:val="00D207B2"/>
    <w:rsid w:val="00D216CF"/>
    <w:rsid w:val="00D220F4"/>
    <w:rsid w:val="00D22B49"/>
    <w:rsid w:val="00D23F60"/>
    <w:rsid w:val="00D240C0"/>
    <w:rsid w:val="00D24A6C"/>
    <w:rsid w:val="00D24AC2"/>
    <w:rsid w:val="00D25A76"/>
    <w:rsid w:val="00D2692A"/>
    <w:rsid w:val="00D278F4"/>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231"/>
    <w:rsid w:val="00D65507"/>
    <w:rsid w:val="00D6599A"/>
    <w:rsid w:val="00D669A4"/>
    <w:rsid w:val="00D66E91"/>
    <w:rsid w:val="00D66EFA"/>
    <w:rsid w:val="00D709B7"/>
    <w:rsid w:val="00D7143F"/>
    <w:rsid w:val="00D72409"/>
    <w:rsid w:val="00D72A0C"/>
    <w:rsid w:val="00D73621"/>
    <w:rsid w:val="00D7507B"/>
    <w:rsid w:val="00D7557F"/>
    <w:rsid w:val="00D75794"/>
    <w:rsid w:val="00D75BC9"/>
    <w:rsid w:val="00D77016"/>
    <w:rsid w:val="00D77153"/>
    <w:rsid w:val="00D77D62"/>
    <w:rsid w:val="00D81BB1"/>
    <w:rsid w:val="00D84F6A"/>
    <w:rsid w:val="00D8506B"/>
    <w:rsid w:val="00D855D0"/>
    <w:rsid w:val="00D85A8B"/>
    <w:rsid w:val="00D86ADC"/>
    <w:rsid w:val="00D90791"/>
    <w:rsid w:val="00D90A08"/>
    <w:rsid w:val="00D90F27"/>
    <w:rsid w:val="00D90F8B"/>
    <w:rsid w:val="00D91524"/>
    <w:rsid w:val="00D928A3"/>
    <w:rsid w:val="00D93A74"/>
    <w:rsid w:val="00D9440E"/>
    <w:rsid w:val="00D95433"/>
    <w:rsid w:val="00D956B6"/>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0A3"/>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DF74F4"/>
    <w:rsid w:val="00E00415"/>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546A"/>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1A7F"/>
    <w:rsid w:val="00F02E36"/>
    <w:rsid w:val="00F03426"/>
    <w:rsid w:val="00F04707"/>
    <w:rsid w:val="00F04ACD"/>
    <w:rsid w:val="00F0539D"/>
    <w:rsid w:val="00F0571B"/>
    <w:rsid w:val="00F07867"/>
    <w:rsid w:val="00F107A8"/>
    <w:rsid w:val="00F10F01"/>
    <w:rsid w:val="00F110F6"/>
    <w:rsid w:val="00F122E7"/>
    <w:rsid w:val="00F13D28"/>
    <w:rsid w:val="00F14BA7"/>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C22"/>
    <w:rsid w:val="00F37FE3"/>
    <w:rsid w:val="00F41337"/>
    <w:rsid w:val="00F41940"/>
    <w:rsid w:val="00F44405"/>
    <w:rsid w:val="00F44796"/>
    <w:rsid w:val="00F44D8E"/>
    <w:rsid w:val="00F46255"/>
    <w:rsid w:val="00F47DC5"/>
    <w:rsid w:val="00F50A23"/>
    <w:rsid w:val="00F518F3"/>
    <w:rsid w:val="00F5367B"/>
    <w:rsid w:val="00F54B12"/>
    <w:rsid w:val="00F5608F"/>
    <w:rsid w:val="00F6027C"/>
    <w:rsid w:val="00F60DAD"/>
    <w:rsid w:val="00F60DE0"/>
    <w:rsid w:val="00F617DE"/>
    <w:rsid w:val="00F6194D"/>
    <w:rsid w:val="00F61F8E"/>
    <w:rsid w:val="00F62233"/>
    <w:rsid w:val="00F6251B"/>
    <w:rsid w:val="00F626C6"/>
    <w:rsid w:val="00F63405"/>
    <w:rsid w:val="00F64156"/>
    <w:rsid w:val="00F6576A"/>
    <w:rsid w:val="00F70C8A"/>
    <w:rsid w:val="00F71087"/>
    <w:rsid w:val="00F71242"/>
    <w:rsid w:val="00F7246A"/>
    <w:rsid w:val="00F73A04"/>
    <w:rsid w:val="00F74DE7"/>
    <w:rsid w:val="00F76A83"/>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C2C"/>
    <w:rsid w:val="00FA5D62"/>
    <w:rsid w:val="00FA6040"/>
    <w:rsid w:val="00FA6293"/>
    <w:rsid w:val="00FA6373"/>
    <w:rsid w:val="00FA686A"/>
    <w:rsid w:val="00FA6C96"/>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1C53"/>
    <w:rsid w:val="00FC2D03"/>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2F3F"/>
    <w:rsid w:val="00FF58A5"/>
    <w:rsid w:val="00FF58F3"/>
    <w:rsid w:val="00FF5AA4"/>
    <w:rsid w:val="00FF6251"/>
    <w:rsid w:val="00FF7151"/>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7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C806F6"/>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C806F6"/>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060" TargetMode="External"/><Relationship Id="rId18" Type="http://schemas.openxmlformats.org/officeDocument/2006/relationships/hyperlink" Target="http://canlii.ca/t/gf6bk" TargetMode="External"/><Relationship Id="rId26" Type="http://schemas.openxmlformats.org/officeDocument/2006/relationships/hyperlink" Target="http://www.canlii.org/fr/qc/qcca/doc/2016/2016qcca584/2016qcca584.html?autocompleteStr=westjet%20ch&amp;autocompletePos=2" TargetMode="External"/><Relationship Id="rId39" Type="http://schemas.openxmlformats.org/officeDocument/2006/relationships/hyperlink" Target="http://www.canlii.org/en/bc/bcca/doc/2016/2016bcca155/2016bcca155.html?autocompleteStr=2016%20BCCA%20155&amp;autocompletePos=1" TargetMode="External"/><Relationship Id="rId3" Type="http://schemas.openxmlformats.org/officeDocument/2006/relationships/styles" Target="styles.xml"/><Relationship Id="rId21" Type="http://schemas.openxmlformats.org/officeDocument/2006/relationships/hyperlink" Target="http://canlii.ca/t/gph64" TargetMode="External"/><Relationship Id="rId34" Type="http://schemas.openxmlformats.org/officeDocument/2006/relationships/hyperlink" Target="http://www.canlii.org/en/bc/bcsc/doc/2013/2013bcsc2559/2013bcsc2559.html?resultIndex=1" TargetMode="External"/><Relationship Id="rId42" Type="http://schemas.openxmlformats.org/officeDocument/2006/relationships/hyperlink" Target="http://c-doc.domain.scc-csc.gc.ca/L25/01/05/%3chttp:/canlii.ca/t/gsklp%3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c-csc.ca/case-dossier/info/sum-som-eng.aspx?cas=37037" TargetMode="External"/><Relationship Id="rId17" Type="http://schemas.openxmlformats.org/officeDocument/2006/relationships/hyperlink" Target="http://www.canlii.org/en/ab/abca/doc/2016/2016abca99/2016abca99.html?autocompleteStr=2016%20ABCA%2099&amp;autocompletePos=1" TargetMode="External"/><Relationship Id="rId25" Type="http://schemas.openxmlformats.org/officeDocument/2006/relationships/hyperlink" Target="http://canlii.ca/t/g75b4" TargetMode="External"/><Relationship Id="rId33" Type="http://schemas.openxmlformats.org/officeDocument/2006/relationships/hyperlink" Target="http://canlii.ca/t/gpd39" TargetMode="External"/><Relationship Id="rId38" Type="http://schemas.openxmlformats.org/officeDocument/2006/relationships/hyperlink" Target="http://www.canlii.org/en/bc/bcsc/doc/2014/2014bcsc2207/2014bcsc2207.html?resultIndex=1"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nlii.org/en/ab/abca/doc/2016/2016abca99/2016abca99.html?autocompleteStr=2016%20ABCA%2099&amp;autocompletePos=1" TargetMode="External"/><Relationship Id="rId20" Type="http://schemas.openxmlformats.org/officeDocument/2006/relationships/hyperlink" Target="http://canlii.ca/t/gf6bk" TargetMode="External"/><Relationship Id="rId29" Type="http://schemas.openxmlformats.org/officeDocument/2006/relationships/hyperlink" Target="http://www.canlii.org/en/on/onca/doc/2016/2016onca241/2016onca241.html?autocompleteStr=2016%20ONCA%20241&amp;autocompletePos=1" TargetMode="External"/><Relationship Id="rId41" Type="http://schemas.openxmlformats.org/officeDocument/2006/relationships/hyperlink" Target="http://c-doc.domain.scc-csc.gc.ca/L25/01/05/%3chttp:/canlii.ca/t/gsklp%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027" TargetMode="External"/><Relationship Id="rId24" Type="http://schemas.openxmlformats.org/officeDocument/2006/relationships/hyperlink" Target="http://canlii.ca/t/g64z6" TargetMode="External"/><Relationship Id="rId32" Type="http://schemas.openxmlformats.org/officeDocument/2006/relationships/hyperlink" Target="http://canlii.ca/t/gpd39" TargetMode="External"/><Relationship Id="rId37" Type="http://schemas.openxmlformats.org/officeDocument/2006/relationships/hyperlink" Target="http://www.canlii.org/en/bc/bcsc/doc/2013/2013bcsc2559/2013bcsc2559.html?resultIndex=1" TargetMode="External"/><Relationship Id="rId40" Type="http://schemas.openxmlformats.org/officeDocument/2006/relationships/hyperlink" Target="http://www.canlii.org/en/ca/laws/regu/sor-93-133/latest/sor-93-133.htm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cc-csc.ca/case-dossier/info/sum-som-eng.aspx?cas=37124" TargetMode="External"/><Relationship Id="rId23" Type="http://schemas.openxmlformats.org/officeDocument/2006/relationships/hyperlink" Target="http://canlii.ca/t/g75b4" TargetMode="External"/><Relationship Id="rId28" Type="http://schemas.openxmlformats.org/officeDocument/2006/relationships/hyperlink" Target="http://www.canlii.org/en/on/onsc/doc/2014/2014onsc4585/2014onsc4585.html?autocompleteStr=2014%20ONSC%204585&amp;autocompletePos=1" TargetMode="External"/><Relationship Id="rId36" Type="http://schemas.openxmlformats.org/officeDocument/2006/relationships/hyperlink" Target="http://www.canlii.org/en/bc/bcca/doc/2016/2016bcca155/2016bcca155.html?autocompleteStr=2016%20BCCA%20155&amp;autocompletePos=1" TargetMode="External"/><Relationship Id="rId49" Type="http://schemas.openxmlformats.org/officeDocument/2006/relationships/footer" Target="footer3.xml"/><Relationship Id="rId10" Type="http://schemas.openxmlformats.org/officeDocument/2006/relationships/hyperlink" Target="http://www.scc-csc.ca/case-dossier/info/sum-som-eng.aspx?cas=36073" TargetMode="External"/><Relationship Id="rId19" Type="http://schemas.openxmlformats.org/officeDocument/2006/relationships/hyperlink" Target="http://canlii.ca/t/gph64" TargetMode="External"/><Relationship Id="rId31" Type="http://schemas.openxmlformats.org/officeDocument/2006/relationships/hyperlink" Target="http://www.canlii.org/en/on/onca/doc/2016/2016onca241/2016onca241.html?autocompleteStr=2016%20ONCA%20241&amp;autocompletePos=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7067" TargetMode="External"/><Relationship Id="rId14" Type="http://schemas.openxmlformats.org/officeDocument/2006/relationships/hyperlink" Target="http://www.scc-csc.ca/case-dossier/info/sum-som-eng.aspx?cas=36969" TargetMode="External"/><Relationship Id="rId22" Type="http://schemas.openxmlformats.org/officeDocument/2006/relationships/hyperlink" Target="http://canlii.ca/t/g64z6" TargetMode="External"/><Relationship Id="rId27" Type="http://schemas.openxmlformats.org/officeDocument/2006/relationships/hyperlink" Target="http://www.canlii.org/fr/qc/qcca/doc/2016/2016qcca584/2016qcca584.html?autocompleteStr=westjet%20ch&amp;autocompletePos=2" TargetMode="External"/><Relationship Id="rId30" Type="http://schemas.openxmlformats.org/officeDocument/2006/relationships/hyperlink" Target="http://www.canlii.org/en/on/onsc/doc/2014/2014onsc4585/2014onsc4585.html?autocompleteStr=2014%20ONSC%204585&amp;autocompletePos=1" TargetMode="External"/><Relationship Id="rId35" Type="http://schemas.openxmlformats.org/officeDocument/2006/relationships/hyperlink" Target="http://www.canlii.org/en/bc/bcsc/doc/2014/2014bcsc2207/2014bcsc2207.html?resultIndex=1" TargetMode="External"/><Relationship Id="rId43" Type="http://schemas.openxmlformats.org/officeDocument/2006/relationships/hyperlink" Target="mailto:comments-commentaires@scc-csc.ca" TargetMode="External"/><Relationship Id="rId48" Type="http://schemas.openxmlformats.org/officeDocument/2006/relationships/header" Target="header3.xml"/><Relationship Id="rId8" Type="http://schemas.openxmlformats.org/officeDocument/2006/relationships/hyperlink" Target="http://www.scc-csc.ca/case-dossier/info/sum-som-eng.aspx?cas=37109"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0FFA1-CE88-4D34-B6EE-3832F8BA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8236</Words>
  <Characters>46947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55073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2016-10-21T13:27:00Z</dcterms:created>
  <dcterms:modified xsi:type="dcterms:W3CDTF">2016-10-24T12:37:00Z</dcterms:modified>
</cp:coreProperties>
</file>