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4785B" w:rsidRDefault="003F43E6" w:rsidP="003F43E6">
      <w:pPr>
        <w:pStyle w:val="Header"/>
        <w:jc w:val="center"/>
        <w:rPr>
          <w:b/>
          <w:sz w:val="32"/>
        </w:rPr>
      </w:pPr>
      <w:r w:rsidRPr="0034785B">
        <w:rPr>
          <w:b/>
          <w:sz w:val="32"/>
        </w:rPr>
        <w:t xml:space="preserve">Supreme Court of Canada / </w:t>
      </w:r>
      <w:proofErr w:type="spellStart"/>
      <w:r w:rsidRPr="0034785B">
        <w:rPr>
          <w:b/>
          <w:sz w:val="32"/>
        </w:rPr>
        <w:t>Cour</w:t>
      </w:r>
      <w:proofErr w:type="spellEnd"/>
      <w:r w:rsidRPr="0034785B">
        <w:rPr>
          <w:b/>
          <w:sz w:val="32"/>
        </w:rPr>
        <w:t xml:space="preserve"> </w:t>
      </w:r>
      <w:proofErr w:type="spellStart"/>
      <w:r w:rsidRPr="0034785B">
        <w:rPr>
          <w:b/>
          <w:sz w:val="32"/>
        </w:rPr>
        <w:t>suprême</w:t>
      </w:r>
      <w:proofErr w:type="spellEnd"/>
      <w:r w:rsidRPr="0034785B">
        <w:rPr>
          <w:b/>
          <w:sz w:val="32"/>
        </w:rPr>
        <w:t xml:space="preserve"> du Canada</w:t>
      </w:r>
    </w:p>
    <w:p w:rsidR="003F43E6" w:rsidRPr="0034785B" w:rsidRDefault="003F43E6" w:rsidP="006F2579">
      <w:pPr>
        <w:widowControl w:val="0"/>
        <w:rPr>
          <w:i/>
        </w:rPr>
      </w:pPr>
    </w:p>
    <w:p w:rsidR="003F43E6" w:rsidRPr="0034785B" w:rsidRDefault="003F43E6" w:rsidP="006F2579">
      <w:pPr>
        <w:widowControl w:val="0"/>
        <w:rPr>
          <w:i/>
        </w:rPr>
      </w:pPr>
    </w:p>
    <w:p w:rsidR="006F2579" w:rsidRPr="0034785B" w:rsidRDefault="006F2579" w:rsidP="006F2579">
      <w:pPr>
        <w:widowControl w:val="0"/>
        <w:rPr>
          <w:i/>
        </w:rPr>
      </w:pPr>
      <w:r w:rsidRPr="0034785B">
        <w:rPr>
          <w:i/>
        </w:rPr>
        <w:t>(</w:t>
      </w:r>
      <w:proofErr w:type="gramStart"/>
      <w:r w:rsidRPr="0034785B">
        <w:rPr>
          <w:i/>
        </w:rPr>
        <w:t>le</w:t>
      </w:r>
      <w:proofErr w:type="gramEnd"/>
      <w:r w:rsidRPr="0034785B">
        <w:rPr>
          <w:i/>
        </w:rPr>
        <w:t xml:space="preserve"> </w:t>
      </w:r>
      <w:proofErr w:type="spellStart"/>
      <w:r w:rsidRPr="0034785B">
        <w:rPr>
          <w:i/>
        </w:rPr>
        <w:t>français</w:t>
      </w:r>
      <w:proofErr w:type="spellEnd"/>
      <w:r w:rsidRPr="0034785B">
        <w:rPr>
          <w:i/>
        </w:rPr>
        <w:t xml:space="preserve"> suit)</w:t>
      </w:r>
    </w:p>
    <w:p w:rsidR="006F2579" w:rsidRPr="0034785B" w:rsidRDefault="006F2579" w:rsidP="006F2579">
      <w:pPr>
        <w:widowControl w:val="0"/>
      </w:pPr>
    </w:p>
    <w:p w:rsidR="006F2579" w:rsidRPr="0034785B" w:rsidRDefault="00D01D61" w:rsidP="006F2579">
      <w:pPr>
        <w:widowControl w:val="0"/>
        <w:jc w:val="center"/>
        <w:rPr>
          <w:b/>
        </w:rPr>
      </w:pPr>
      <w:r w:rsidRPr="0034785B">
        <w:fldChar w:fldCharType="begin"/>
      </w:r>
      <w:r w:rsidR="006F2579" w:rsidRPr="0034785B">
        <w:instrText xml:space="preserve"> SEQ CHAPTER \h \r 1</w:instrText>
      </w:r>
      <w:r w:rsidRPr="0034785B">
        <w:fldChar w:fldCharType="end"/>
      </w:r>
      <w:r w:rsidR="002767DF" w:rsidRPr="0034785B">
        <w:rPr>
          <w:b/>
        </w:rPr>
        <w:t xml:space="preserve">JUDGMENTS </w:t>
      </w:r>
      <w:r w:rsidR="004C4C26" w:rsidRPr="0034785B">
        <w:rPr>
          <w:b/>
        </w:rPr>
        <w:t>IN APPEAL AND LEAVE APPLICATION</w:t>
      </w:r>
      <w:r w:rsidR="00CC044F" w:rsidRPr="0034785B">
        <w:rPr>
          <w:b/>
        </w:rPr>
        <w:t>S</w:t>
      </w:r>
    </w:p>
    <w:p w:rsidR="006F2579" w:rsidRPr="0034785B" w:rsidRDefault="006F2579" w:rsidP="006F2579">
      <w:pPr>
        <w:widowControl w:val="0"/>
        <w:rPr>
          <w:b/>
        </w:rPr>
      </w:pPr>
    </w:p>
    <w:p w:rsidR="006F2579" w:rsidRPr="0034785B" w:rsidRDefault="00583F19" w:rsidP="006F2579">
      <w:pPr>
        <w:widowControl w:val="0"/>
        <w:rPr>
          <w:b/>
        </w:rPr>
      </w:pPr>
      <w:r w:rsidRPr="0034785B">
        <w:rPr>
          <w:b/>
        </w:rPr>
        <w:t>November</w:t>
      </w:r>
      <w:r w:rsidR="00372704" w:rsidRPr="0034785B">
        <w:rPr>
          <w:b/>
        </w:rPr>
        <w:t xml:space="preserve"> </w:t>
      </w:r>
      <w:r w:rsidRPr="0034785B">
        <w:rPr>
          <w:b/>
        </w:rPr>
        <w:t>3</w:t>
      </w:r>
      <w:r w:rsidR="002E4682" w:rsidRPr="0034785B">
        <w:rPr>
          <w:b/>
        </w:rPr>
        <w:t>, 201</w:t>
      </w:r>
      <w:r w:rsidR="00733432" w:rsidRPr="0034785B">
        <w:rPr>
          <w:b/>
        </w:rPr>
        <w:t>6</w:t>
      </w:r>
    </w:p>
    <w:p w:rsidR="006F2579" w:rsidRPr="0034785B" w:rsidRDefault="006F2579" w:rsidP="006F2579">
      <w:pPr>
        <w:widowControl w:val="0"/>
        <w:rPr>
          <w:b/>
        </w:rPr>
      </w:pPr>
      <w:r w:rsidRPr="0034785B">
        <w:rPr>
          <w:b/>
        </w:rPr>
        <w:t>For immediate release</w:t>
      </w:r>
    </w:p>
    <w:p w:rsidR="006F2579" w:rsidRPr="0034785B" w:rsidRDefault="006F2579" w:rsidP="006F2579">
      <w:pPr>
        <w:widowControl w:val="0"/>
      </w:pPr>
    </w:p>
    <w:p w:rsidR="002767DF" w:rsidRPr="0034785B" w:rsidRDefault="002767DF" w:rsidP="002767DF">
      <w:pPr>
        <w:widowControl w:val="0"/>
      </w:pPr>
      <w:r w:rsidRPr="0034785B">
        <w:rPr>
          <w:b/>
        </w:rPr>
        <w:t>OTTAWA</w:t>
      </w:r>
      <w:r w:rsidRPr="0034785B">
        <w:t xml:space="preserve"> – The Supreme Court of Canada has today deposited with the Registrar judgment in the following appeal and application</w:t>
      </w:r>
      <w:r w:rsidR="00CC044F" w:rsidRPr="0034785B">
        <w:t>s</w:t>
      </w:r>
      <w:r w:rsidRPr="0034785B">
        <w:t xml:space="preserve"> for leave to appeal.</w:t>
      </w:r>
    </w:p>
    <w:p w:rsidR="006F2579" w:rsidRPr="0034785B" w:rsidRDefault="006F2579" w:rsidP="006F2579">
      <w:pPr>
        <w:widowControl w:val="0"/>
      </w:pPr>
    </w:p>
    <w:p w:rsidR="006F2579" w:rsidRPr="0034785B" w:rsidRDefault="006F2579" w:rsidP="006F2579">
      <w:pPr>
        <w:widowControl w:val="0"/>
      </w:pPr>
    </w:p>
    <w:p w:rsidR="002767DF" w:rsidRPr="0034785B" w:rsidRDefault="002767DF" w:rsidP="002767DF">
      <w:pPr>
        <w:widowControl w:val="0"/>
        <w:jc w:val="center"/>
        <w:rPr>
          <w:lang w:val="fr-CA"/>
        </w:rPr>
      </w:pPr>
      <w:r w:rsidRPr="0034785B">
        <w:rPr>
          <w:b/>
          <w:lang w:val="fr-CA"/>
        </w:rPr>
        <w:t>JUGEMENT</w:t>
      </w:r>
      <w:r w:rsidR="004C4C26" w:rsidRPr="0034785B">
        <w:rPr>
          <w:b/>
          <w:lang w:val="fr-CA"/>
        </w:rPr>
        <w:t>S SUR APPEL ET DEMANDE</w:t>
      </w:r>
      <w:r w:rsidR="00CC044F" w:rsidRPr="0034785B">
        <w:rPr>
          <w:b/>
          <w:lang w:val="fr-CA"/>
        </w:rPr>
        <w:t>S</w:t>
      </w:r>
      <w:r w:rsidRPr="0034785B">
        <w:rPr>
          <w:b/>
          <w:lang w:val="fr-CA"/>
        </w:rPr>
        <w:t xml:space="preserve"> D’AUTORISATION</w:t>
      </w:r>
    </w:p>
    <w:p w:rsidR="006F2579" w:rsidRPr="0034785B" w:rsidRDefault="006F2579" w:rsidP="006F2579">
      <w:pPr>
        <w:widowControl w:val="0"/>
        <w:rPr>
          <w:lang w:val="fr-CA"/>
        </w:rPr>
      </w:pPr>
    </w:p>
    <w:p w:rsidR="006F2579" w:rsidRPr="0034785B" w:rsidRDefault="006F2579" w:rsidP="006F2579">
      <w:pPr>
        <w:widowControl w:val="0"/>
        <w:rPr>
          <w:b/>
          <w:lang w:val="fr-CA"/>
        </w:rPr>
      </w:pPr>
      <w:r w:rsidRPr="0034785B">
        <w:rPr>
          <w:b/>
          <w:lang w:val="fr-CA"/>
        </w:rPr>
        <w:t>Le</w:t>
      </w:r>
      <w:r w:rsidR="008825DB" w:rsidRPr="0034785B">
        <w:rPr>
          <w:b/>
          <w:lang w:val="fr-CA"/>
        </w:rPr>
        <w:t xml:space="preserve"> </w:t>
      </w:r>
      <w:r w:rsidR="00583F19" w:rsidRPr="0034785B">
        <w:rPr>
          <w:b/>
          <w:lang w:val="fr-CA"/>
        </w:rPr>
        <w:t>3</w:t>
      </w:r>
      <w:r w:rsidR="00372704" w:rsidRPr="0034785B">
        <w:rPr>
          <w:b/>
          <w:lang w:val="fr-CA"/>
        </w:rPr>
        <w:t xml:space="preserve"> </w:t>
      </w:r>
      <w:r w:rsidR="00583F19" w:rsidRPr="0034785B">
        <w:rPr>
          <w:b/>
          <w:lang w:val="fr-CA"/>
        </w:rPr>
        <w:t>n</w:t>
      </w:r>
      <w:r w:rsidR="00733432" w:rsidRPr="0034785B">
        <w:rPr>
          <w:b/>
          <w:lang w:val="fr-CA"/>
        </w:rPr>
        <w:t>o</w:t>
      </w:r>
      <w:r w:rsidR="00583F19" w:rsidRPr="0034785B">
        <w:rPr>
          <w:b/>
          <w:lang w:val="fr-CA"/>
        </w:rPr>
        <w:t>vem</w:t>
      </w:r>
      <w:r w:rsidR="00733432" w:rsidRPr="0034785B">
        <w:rPr>
          <w:b/>
          <w:lang w:val="fr-CA"/>
        </w:rPr>
        <w:t>bre</w:t>
      </w:r>
      <w:r w:rsidR="002E4682" w:rsidRPr="0034785B">
        <w:rPr>
          <w:b/>
          <w:lang w:val="fr-CA"/>
        </w:rPr>
        <w:t xml:space="preserve"> </w:t>
      </w:r>
      <w:r w:rsidR="008825DB" w:rsidRPr="0034785B">
        <w:rPr>
          <w:b/>
          <w:lang w:val="fr-CA"/>
        </w:rPr>
        <w:t>201</w:t>
      </w:r>
      <w:r w:rsidR="00733432" w:rsidRPr="0034785B">
        <w:rPr>
          <w:b/>
          <w:lang w:val="fr-CA"/>
        </w:rPr>
        <w:t>6</w:t>
      </w:r>
    </w:p>
    <w:p w:rsidR="006F2579" w:rsidRPr="0034785B" w:rsidRDefault="006F2579" w:rsidP="006F2579">
      <w:pPr>
        <w:widowControl w:val="0"/>
        <w:rPr>
          <w:b/>
          <w:lang w:val="fr-CA"/>
        </w:rPr>
      </w:pPr>
      <w:r w:rsidRPr="0034785B">
        <w:rPr>
          <w:b/>
          <w:lang w:val="fr-CA"/>
        </w:rPr>
        <w:t>Pour diffusion immédiate</w:t>
      </w:r>
    </w:p>
    <w:p w:rsidR="006F2579" w:rsidRPr="0034785B" w:rsidRDefault="006F2579" w:rsidP="006F2579">
      <w:pPr>
        <w:widowControl w:val="0"/>
        <w:rPr>
          <w:b/>
          <w:lang w:val="fr-CA"/>
        </w:rPr>
      </w:pPr>
    </w:p>
    <w:p w:rsidR="002767DF" w:rsidRPr="0034785B" w:rsidRDefault="002767DF" w:rsidP="002767DF">
      <w:pPr>
        <w:widowControl w:val="0"/>
        <w:rPr>
          <w:lang w:val="fr-CA"/>
        </w:rPr>
      </w:pPr>
      <w:r w:rsidRPr="0034785B">
        <w:rPr>
          <w:b/>
          <w:lang w:val="fr-CA"/>
        </w:rPr>
        <w:t>OTTAWA</w:t>
      </w:r>
      <w:r w:rsidRPr="0034785B">
        <w:rPr>
          <w:lang w:val="fr-CA"/>
        </w:rPr>
        <w:t xml:space="preserve"> – La Cour suprême du Canada a déposé aujourd’hui auprès du registraire les jugements dans l</w:t>
      </w:r>
      <w:r w:rsidR="00DF6BD5" w:rsidRPr="0034785B">
        <w:rPr>
          <w:lang w:val="fr-CA"/>
        </w:rPr>
        <w:t>’</w:t>
      </w:r>
      <w:r w:rsidRPr="0034785B">
        <w:rPr>
          <w:lang w:val="fr-CA"/>
        </w:rPr>
        <w:t>appel</w:t>
      </w:r>
      <w:r w:rsidR="00DF6BD5" w:rsidRPr="0034785B">
        <w:rPr>
          <w:lang w:val="fr-CA"/>
        </w:rPr>
        <w:t xml:space="preserve"> </w:t>
      </w:r>
      <w:r w:rsidRPr="0034785B">
        <w:rPr>
          <w:lang w:val="fr-CA"/>
        </w:rPr>
        <w:t>et</w:t>
      </w:r>
      <w:r w:rsidR="00CC044F" w:rsidRPr="0034785B">
        <w:rPr>
          <w:lang w:val="fr-CA"/>
        </w:rPr>
        <w:t xml:space="preserve"> </w:t>
      </w:r>
      <w:r w:rsidR="004C4C26" w:rsidRPr="0034785B">
        <w:rPr>
          <w:lang w:val="fr-CA"/>
        </w:rPr>
        <w:t>demande</w:t>
      </w:r>
      <w:r w:rsidR="00CC044F" w:rsidRPr="0034785B">
        <w:rPr>
          <w:lang w:val="fr-CA"/>
        </w:rPr>
        <w:t>s</w:t>
      </w:r>
      <w:r w:rsidRPr="0034785B">
        <w:rPr>
          <w:lang w:val="fr-CA"/>
        </w:rPr>
        <w:t xml:space="preserve"> d’autorisation d’appel qui suivent.</w:t>
      </w:r>
    </w:p>
    <w:p w:rsidR="002767DF" w:rsidRPr="0034785B" w:rsidRDefault="002767DF" w:rsidP="002767DF">
      <w:pPr>
        <w:widowControl w:val="0"/>
        <w:rPr>
          <w:lang w:val="fr-CA"/>
        </w:rPr>
      </w:pPr>
    </w:p>
    <w:p w:rsidR="002767DF" w:rsidRPr="0034785B" w:rsidRDefault="00CC43A4" w:rsidP="002767DF">
      <w:pPr>
        <w:widowControl w:val="0"/>
        <w:rPr>
          <w:sz w:val="20"/>
          <w:lang w:val="fr-CA"/>
        </w:rPr>
      </w:pPr>
      <w:r w:rsidRPr="0034785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34785B" w:rsidRDefault="002767DF" w:rsidP="002767DF">
      <w:pPr>
        <w:widowControl w:val="0"/>
        <w:jc w:val="both"/>
        <w:rPr>
          <w:sz w:val="20"/>
          <w:lang w:val="fr-CA"/>
        </w:rPr>
      </w:pPr>
    </w:p>
    <w:p w:rsidR="002767DF" w:rsidRPr="0034785B" w:rsidRDefault="002767DF" w:rsidP="002767DF">
      <w:pPr>
        <w:outlineLvl w:val="0"/>
        <w:rPr>
          <w:b/>
          <w:szCs w:val="24"/>
          <w:lang w:val="fr-CA"/>
        </w:rPr>
      </w:pPr>
      <w:r w:rsidRPr="0034785B">
        <w:rPr>
          <w:b/>
          <w:szCs w:val="24"/>
          <w:lang w:val="fr-CA"/>
        </w:rPr>
        <w:t>APPEAL / APPEL</w:t>
      </w:r>
    </w:p>
    <w:p w:rsidR="002767DF" w:rsidRPr="0034785B" w:rsidRDefault="002767DF" w:rsidP="002767DF">
      <w:pPr>
        <w:rPr>
          <w:b/>
          <w:szCs w:val="24"/>
          <w:lang w:val="fr-CA"/>
        </w:rPr>
      </w:pPr>
    </w:p>
    <w:p w:rsidR="002767DF" w:rsidRPr="0034785B" w:rsidRDefault="00583F19" w:rsidP="002767DF">
      <w:pPr>
        <w:tabs>
          <w:tab w:val="left" w:pos="720"/>
          <w:tab w:val="left" w:pos="1296"/>
          <w:tab w:val="left" w:pos="2160"/>
          <w:tab w:val="left" w:pos="2880"/>
          <w:tab w:val="left" w:pos="4320"/>
          <w:tab w:val="left" w:pos="10224"/>
          <w:tab w:val="left" w:pos="11376"/>
        </w:tabs>
        <w:jc w:val="both"/>
        <w:rPr>
          <w:lang w:val="fr-CA"/>
        </w:rPr>
      </w:pPr>
      <w:r w:rsidRPr="0034785B">
        <w:rPr>
          <w:lang w:val="fr-CA"/>
        </w:rPr>
        <w:t>The</w:t>
      </w:r>
      <w:r w:rsidR="002767DF" w:rsidRPr="0034785B">
        <w:rPr>
          <w:lang w:val="fr-CA"/>
        </w:rPr>
        <w:t xml:space="preserve"> judgment will be available shortly at: / </w:t>
      </w:r>
      <w:r w:rsidRPr="0034785B">
        <w:rPr>
          <w:lang w:val="fr-CA"/>
        </w:rPr>
        <w:t>Le</w:t>
      </w:r>
      <w:r w:rsidR="00623896" w:rsidRPr="0034785B">
        <w:rPr>
          <w:lang w:val="fr-CA"/>
        </w:rPr>
        <w:t xml:space="preserve"> jugement </w:t>
      </w:r>
      <w:r w:rsidRPr="0034785B">
        <w:rPr>
          <w:lang w:val="fr-CA"/>
        </w:rPr>
        <w:t xml:space="preserve">sera </w:t>
      </w:r>
      <w:r w:rsidR="003413DF" w:rsidRPr="0034785B">
        <w:rPr>
          <w:lang w:val="fr-CA"/>
        </w:rPr>
        <w:t>disponible</w:t>
      </w:r>
      <w:r w:rsidR="002767DF" w:rsidRPr="0034785B">
        <w:rPr>
          <w:lang w:val="fr-CA"/>
        </w:rPr>
        <w:t xml:space="preserve"> sous peu à: </w:t>
      </w:r>
    </w:p>
    <w:p w:rsidR="00B1256C" w:rsidRPr="0034785B" w:rsidRDefault="000D762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34785B">
          <w:rPr>
            <w:rStyle w:val="Hyperlink"/>
            <w:lang w:val="fr-CA"/>
          </w:rPr>
          <w:t>http://scc-csc.lexum.com/scc-csc/en/nav.do</w:t>
        </w:r>
      </w:hyperlink>
    </w:p>
    <w:p w:rsidR="00B1256C" w:rsidRPr="0034785B" w:rsidRDefault="000D762B"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34785B">
          <w:rPr>
            <w:rStyle w:val="Hyperlink"/>
            <w:lang w:val="fr-CA"/>
          </w:rPr>
          <w:t>http://scc-csc.lexum.com/scc-csc/fr/nav.do</w:t>
        </w:r>
      </w:hyperlink>
    </w:p>
    <w:p w:rsidR="002767DF" w:rsidRPr="0034785B" w:rsidRDefault="002767DF" w:rsidP="002767DF"/>
    <w:p w:rsidR="002767DF" w:rsidRPr="0034785B" w:rsidRDefault="002767DF" w:rsidP="002767DF"/>
    <w:p w:rsidR="00EF7C06" w:rsidRPr="0034785B" w:rsidRDefault="00D01D61" w:rsidP="00EF7C06">
      <w:pPr>
        <w:ind w:left="1440" w:hanging="1440"/>
        <w:jc w:val="both"/>
        <w:rPr>
          <w:rFonts w:eastAsia="Calibri"/>
          <w:sz w:val="20"/>
          <w:szCs w:val="22"/>
        </w:rPr>
      </w:pPr>
      <w:r w:rsidRPr="0034785B">
        <w:rPr>
          <w:rFonts w:eastAsia="Calibri"/>
          <w:b/>
          <w:sz w:val="20"/>
          <w:szCs w:val="22"/>
          <w:lang w:val="en-CA"/>
        </w:rPr>
        <w:fldChar w:fldCharType="begin"/>
      </w:r>
      <w:r w:rsidR="00EF7C06" w:rsidRPr="0034785B">
        <w:rPr>
          <w:rFonts w:eastAsia="Calibri"/>
          <w:b/>
          <w:sz w:val="20"/>
          <w:szCs w:val="22"/>
        </w:rPr>
        <w:instrText xml:space="preserve"> SEQ CHAPTER \h \r 1</w:instrText>
      </w:r>
      <w:r w:rsidRPr="0034785B">
        <w:rPr>
          <w:rFonts w:eastAsia="Calibri"/>
          <w:b/>
          <w:sz w:val="20"/>
          <w:szCs w:val="22"/>
          <w:lang w:val="en-CA"/>
        </w:rPr>
        <w:fldChar w:fldCharType="end"/>
      </w:r>
      <w:r w:rsidR="00EF7C06" w:rsidRPr="0034785B">
        <w:rPr>
          <w:rFonts w:eastAsia="Calibri"/>
          <w:b/>
          <w:sz w:val="20"/>
          <w:szCs w:val="22"/>
        </w:rPr>
        <w:t>3</w:t>
      </w:r>
      <w:r w:rsidR="005360E7" w:rsidRPr="0034785B">
        <w:rPr>
          <w:rFonts w:eastAsia="Calibri"/>
          <w:b/>
          <w:sz w:val="20"/>
          <w:szCs w:val="22"/>
        </w:rPr>
        <w:t>6</w:t>
      </w:r>
      <w:r w:rsidR="00583F19" w:rsidRPr="0034785B">
        <w:rPr>
          <w:rFonts w:eastAsia="Calibri"/>
          <w:b/>
          <w:sz w:val="20"/>
          <w:szCs w:val="22"/>
        </w:rPr>
        <w:t>816</w:t>
      </w:r>
      <w:r w:rsidR="003676FD" w:rsidRPr="0034785B">
        <w:rPr>
          <w:rFonts w:eastAsia="Calibri"/>
          <w:b/>
          <w:sz w:val="20"/>
          <w:szCs w:val="22"/>
        </w:rPr>
        <w:tab/>
      </w:r>
      <w:r w:rsidR="00583F19" w:rsidRPr="0034785B">
        <w:rPr>
          <w:b/>
          <w:sz w:val="20"/>
          <w:u w:val="single"/>
        </w:rPr>
        <w:t>Scott Diamond</w:t>
      </w:r>
      <w:r w:rsidR="003676FD" w:rsidRPr="0034785B">
        <w:rPr>
          <w:b/>
          <w:sz w:val="20"/>
          <w:u w:val="single"/>
        </w:rPr>
        <w:t xml:space="preserve"> </w:t>
      </w:r>
      <w:r w:rsidR="00583F19" w:rsidRPr="0034785B">
        <w:rPr>
          <w:b/>
          <w:sz w:val="20"/>
          <w:u w:val="single"/>
        </w:rPr>
        <w:t>v</w:t>
      </w:r>
      <w:r w:rsidR="003676FD" w:rsidRPr="0034785B">
        <w:rPr>
          <w:b/>
          <w:sz w:val="20"/>
          <w:u w:val="single"/>
        </w:rPr>
        <w:t xml:space="preserve">. </w:t>
      </w:r>
      <w:r w:rsidR="00583F19" w:rsidRPr="0034785B">
        <w:rPr>
          <w:b/>
          <w:sz w:val="20"/>
          <w:u w:val="single"/>
        </w:rPr>
        <w:t>Her Majesty the Queen in Right of Newfoundland and Labrador and Her Majesty the Queen in Right of Canada</w:t>
      </w:r>
      <w:r w:rsidR="005360E7" w:rsidRPr="0034785B">
        <w:rPr>
          <w:sz w:val="20"/>
        </w:rPr>
        <w:t xml:space="preserve"> </w:t>
      </w:r>
      <w:r w:rsidR="003676FD" w:rsidRPr="0034785B">
        <w:rPr>
          <w:sz w:val="20"/>
        </w:rPr>
        <w:t>(</w:t>
      </w:r>
      <w:r w:rsidR="00583F19" w:rsidRPr="0034785B">
        <w:rPr>
          <w:sz w:val="20"/>
        </w:rPr>
        <w:t>N.L.</w:t>
      </w:r>
      <w:r w:rsidR="003676FD" w:rsidRPr="0034785B">
        <w:rPr>
          <w:sz w:val="20"/>
        </w:rPr>
        <w:t>)</w:t>
      </w:r>
    </w:p>
    <w:p w:rsidR="00EF7C06" w:rsidRPr="0034785B"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34785B">
        <w:rPr>
          <w:rFonts w:eastAsia="Calibri"/>
          <w:b/>
          <w:sz w:val="20"/>
          <w:szCs w:val="22"/>
        </w:rPr>
        <w:t>201</w:t>
      </w:r>
      <w:r w:rsidR="00091A43" w:rsidRPr="0034785B">
        <w:rPr>
          <w:rFonts w:eastAsia="Calibri"/>
          <w:b/>
          <w:sz w:val="20"/>
          <w:szCs w:val="22"/>
        </w:rPr>
        <w:t>6</w:t>
      </w:r>
      <w:r w:rsidRPr="0034785B">
        <w:rPr>
          <w:rFonts w:eastAsia="Calibri"/>
          <w:b/>
          <w:sz w:val="20"/>
          <w:szCs w:val="22"/>
        </w:rPr>
        <w:t xml:space="preserve"> SCC </w:t>
      </w:r>
      <w:r w:rsidR="00091A43" w:rsidRPr="0034785B">
        <w:rPr>
          <w:rFonts w:eastAsia="Calibri"/>
          <w:b/>
          <w:sz w:val="20"/>
          <w:szCs w:val="22"/>
        </w:rPr>
        <w:t>4</w:t>
      </w:r>
      <w:r w:rsidR="00F86B26" w:rsidRPr="0034785B">
        <w:rPr>
          <w:rFonts w:eastAsia="Calibri"/>
          <w:b/>
          <w:sz w:val="20"/>
          <w:szCs w:val="22"/>
        </w:rPr>
        <w:t>6</w:t>
      </w:r>
      <w:r w:rsidR="00EF7C06" w:rsidRPr="0034785B">
        <w:rPr>
          <w:rFonts w:eastAsia="Calibri"/>
          <w:b/>
          <w:sz w:val="20"/>
          <w:szCs w:val="22"/>
        </w:rPr>
        <w:t xml:space="preserve"> / 201</w:t>
      </w:r>
      <w:r w:rsidR="00091A43" w:rsidRPr="0034785B">
        <w:rPr>
          <w:rFonts w:eastAsia="Calibri"/>
          <w:b/>
          <w:sz w:val="20"/>
          <w:szCs w:val="22"/>
        </w:rPr>
        <w:t>6</w:t>
      </w:r>
      <w:r w:rsidR="00EF7C06" w:rsidRPr="0034785B">
        <w:rPr>
          <w:rFonts w:eastAsia="Calibri"/>
          <w:b/>
          <w:sz w:val="20"/>
          <w:szCs w:val="22"/>
        </w:rPr>
        <w:t xml:space="preserve"> CSC </w:t>
      </w:r>
      <w:r w:rsidR="00091A43" w:rsidRPr="0034785B">
        <w:rPr>
          <w:rFonts w:eastAsia="Calibri"/>
          <w:b/>
          <w:sz w:val="20"/>
          <w:szCs w:val="22"/>
        </w:rPr>
        <w:t>4</w:t>
      </w:r>
      <w:r w:rsidR="00F86B26" w:rsidRPr="0034785B">
        <w:rPr>
          <w:rFonts w:eastAsia="Calibri"/>
          <w:b/>
          <w:sz w:val="20"/>
          <w:szCs w:val="22"/>
        </w:rPr>
        <w:t>6</w:t>
      </w:r>
    </w:p>
    <w:p w:rsidR="00EF7C06" w:rsidRPr="0034785B"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34785B" w:rsidRDefault="00EF7C06" w:rsidP="003676FD">
      <w:pPr>
        <w:ind w:left="1440" w:hanging="1440"/>
        <w:jc w:val="both"/>
        <w:rPr>
          <w:rFonts w:eastAsia="Calibri"/>
          <w:sz w:val="20"/>
          <w:szCs w:val="22"/>
          <w:u w:val="single"/>
        </w:rPr>
      </w:pPr>
      <w:r w:rsidRPr="0034785B">
        <w:rPr>
          <w:rFonts w:eastAsia="Calibri"/>
          <w:sz w:val="20"/>
          <w:szCs w:val="22"/>
        </w:rPr>
        <w:t>Coram:</w:t>
      </w:r>
      <w:r w:rsidRPr="0034785B">
        <w:rPr>
          <w:rFonts w:eastAsia="Calibri"/>
          <w:sz w:val="20"/>
          <w:szCs w:val="22"/>
        </w:rPr>
        <w:tab/>
      </w:r>
      <w:r w:rsidR="00E21F53" w:rsidRPr="0034785B">
        <w:rPr>
          <w:rFonts w:eastAsia="Calibri"/>
          <w:sz w:val="20"/>
          <w:szCs w:val="22"/>
          <w:u w:val="single"/>
        </w:rPr>
        <w:t>Karakatsanis, Wagner, Gascon</w:t>
      </w:r>
      <w:r w:rsidR="00627B2C" w:rsidRPr="0034785B">
        <w:rPr>
          <w:rFonts w:eastAsia="Calibri"/>
          <w:sz w:val="20"/>
          <w:szCs w:val="22"/>
          <w:u w:val="single"/>
        </w:rPr>
        <w:t>,</w:t>
      </w:r>
      <w:r w:rsidR="00E21F53" w:rsidRPr="0034785B">
        <w:rPr>
          <w:rFonts w:eastAsia="Calibri"/>
          <w:sz w:val="20"/>
          <w:szCs w:val="22"/>
          <w:u w:val="single"/>
        </w:rPr>
        <w:t xml:space="preserve"> Côté</w:t>
      </w:r>
      <w:r w:rsidR="00627B2C" w:rsidRPr="0034785B">
        <w:rPr>
          <w:rFonts w:eastAsia="Calibri"/>
          <w:sz w:val="20"/>
          <w:szCs w:val="22"/>
          <w:u w:val="single"/>
        </w:rPr>
        <w:t xml:space="preserve"> </w:t>
      </w:r>
      <w:r w:rsidR="00583F19" w:rsidRPr="0034785B">
        <w:rPr>
          <w:rFonts w:eastAsia="Calibri"/>
          <w:sz w:val="20"/>
          <w:szCs w:val="22"/>
          <w:u w:val="single"/>
        </w:rPr>
        <w:t>and</w:t>
      </w:r>
      <w:r w:rsidR="00627B2C" w:rsidRPr="0034785B">
        <w:rPr>
          <w:rFonts w:eastAsia="Calibri"/>
          <w:sz w:val="20"/>
          <w:szCs w:val="22"/>
          <w:u w:val="single"/>
        </w:rPr>
        <w:t xml:space="preserve"> Brown</w:t>
      </w:r>
      <w:r w:rsidR="00583F19" w:rsidRPr="0034785B">
        <w:rPr>
          <w:rFonts w:eastAsia="Calibri"/>
          <w:sz w:val="20"/>
          <w:szCs w:val="22"/>
          <w:u w:val="single"/>
        </w:rPr>
        <w:t xml:space="preserve"> JJ.</w:t>
      </w:r>
    </w:p>
    <w:p w:rsidR="005D29DE" w:rsidRPr="0034785B" w:rsidRDefault="005D29DE" w:rsidP="005D29DE">
      <w:pPr>
        <w:jc w:val="both"/>
        <w:rPr>
          <w:sz w:val="20"/>
        </w:rPr>
      </w:pPr>
    </w:p>
    <w:p w:rsidR="00F86B26" w:rsidRPr="0034785B" w:rsidRDefault="00F86B26" w:rsidP="00F86B26">
      <w:pPr>
        <w:jc w:val="both"/>
        <w:rPr>
          <w:rFonts w:eastAsiaTheme="minorHAnsi" w:cstheme="minorBidi"/>
          <w:sz w:val="20"/>
          <w:lang w:val="en-CA"/>
        </w:rPr>
      </w:pPr>
      <w:r w:rsidRPr="0034785B">
        <w:rPr>
          <w:rFonts w:eastAsiaTheme="minorHAnsi" w:cstheme="minorBidi"/>
          <w:sz w:val="20"/>
          <w:lang w:val="en-CA"/>
        </w:rPr>
        <w:t xml:space="preserve">The appeal from the judgment </w:t>
      </w:r>
      <w:bookmarkStart w:id="0" w:name="BM_1_"/>
      <w:bookmarkEnd w:id="0"/>
      <w:r w:rsidRPr="0034785B">
        <w:rPr>
          <w:rFonts w:eastAsiaTheme="minorHAnsi" w:cstheme="minorBidi"/>
          <w:sz w:val="20"/>
          <w:lang w:val="en-CA"/>
        </w:rPr>
        <w:t>of the Supreme Court of Newfoundland and Labrador - Court of Appeal, Number 14/68, 2015 NLCA 60, dated December 23, 2015, was heard on October 12, 2016, and the Court on November 3, 2016, delivered the following judgment:</w:t>
      </w:r>
    </w:p>
    <w:p w:rsidR="00F86B26" w:rsidRPr="0034785B" w:rsidRDefault="00F86B26" w:rsidP="00F86B26">
      <w:pPr>
        <w:jc w:val="both"/>
        <w:rPr>
          <w:rFonts w:eastAsiaTheme="minorHAnsi" w:cstheme="minorBidi"/>
          <w:smallCaps/>
          <w:sz w:val="20"/>
          <w:lang w:val="en-CA"/>
        </w:rPr>
      </w:pPr>
    </w:p>
    <w:p w:rsidR="00F86B26" w:rsidRPr="0034785B" w:rsidRDefault="00F86B26" w:rsidP="00F86B26">
      <w:pPr>
        <w:jc w:val="both"/>
        <w:rPr>
          <w:rFonts w:eastAsiaTheme="minorHAnsi" w:cstheme="minorBidi"/>
          <w:sz w:val="20"/>
        </w:rPr>
      </w:pPr>
      <w:r w:rsidRPr="0034785B">
        <w:rPr>
          <w:rFonts w:eastAsiaTheme="minorHAnsi" w:cstheme="minorBidi"/>
          <w:smallCaps/>
          <w:sz w:val="20"/>
          <w:lang w:val="en-CA"/>
        </w:rPr>
        <w:t>Karakatsanis</w:t>
      </w:r>
      <w:r w:rsidRPr="0034785B">
        <w:rPr>
          <w:rFonts w:eastAsiaTheme="minorHAnsi" w:cstheme="minorBidi"/>
          <w:sz w:val="20"/>
          <w:lang w:val="en-CA"/>
        </w:rPr>
        <w:t xml:space="preserve"> J. </w:t>
      </w:r>
      <w:r w:rsidRPr="0034785B">
        <w:rPr>
          <w:rFonts w:eastAsiaTheme="minorHAnsi"/>
          <w:sz w:val="20"/>
          <w:lang w:val="en-CA"/>
        </w:rPr>
        <w:t>—</w:t>
      </w:r>
      <w:r w:rsidRPr="0034785B">
        <w:rPr>
          <w:rFonts w:eastAsiaTheme="minorHAnsi" w:cstheme="minorBidi"/>
          <w:sz w:val="20"/>
          <w:lang w:val="en-CA"/>
        </w:rPr>
        <w:t xml:space="preserve"> The majority of the Court is of the view that the appeal should be dismissed, substantially for the reasons of Harrington J.A., 2015 NLCA 60, 371 Nfld. &amp; P.E.I.R. 200, at paras. 22-26. Gascon and C</w:t>
      </w:r>
      <w:r w:rsidRPr="0034785B">
        <w:rPr>
          <w:rFonts w:eastAsiaTheme="minorHAnsi" w:cstheme="minorBidi"/>
          <w:sz w:val="20"/>
        </w:rPr>
        <w:t>ôté JJ., dissenting, would have allowed the appeal, substantially for the reasons of White J.A., at paras. 44-48.</w:t>
      </w:r>
    </w:p>
    <w:p w:rsidR="0029457E" w:rsidRPr="0034785B" w:rsidRDefault="0029457E" w:rsidP="00F86B26">
      <w:pPr>
        <w:jc w:val="both"/>
        <w:rPr>
          <w:rFonts w:eastAsiaTheme="minorHAnsi" w:cstheme="minorBidi"/>
          <w:sz w:val="20"/>
        </w:rPr>
      </w:pPr>
    </w:p>
    <w:p w:rsidR="00A96928" w:rsidRPr="0034785B" w:rsidRDefault="00F86B26" w:rsidP="00F86B26">
      <w:pPr>
        <w:jc w:val="both"/>
        <w:rPr>
          <w:sz w:val="20"/>
        </w:rPr>
      </w:pPr>
      <w:r w:rsidRPr="0034785B">
        <w:rPr>
          <w:rFonts w:eastAsiaTheme="minorHAnsi" w:cstheme="minorBidi"/>
          <w:sz w:val="20"/>
        </w:rPr>
        <w:t>The appeal is accordingly dismissed.</w:t>
      </w:r>
    </w:p>
    <w:p w:rsidR="006F02B8" w:rsidRPr="0034785B" w:rsidRDefault="006F02B8" w:rsidP="005D29DE">
      <w:pPr>
        <w:jc w:val="both"/>
        <w:rPr>
          <w:sz w:val="20"/>
        </w:rPr>
      </w:pPr>
    </w:p>
    <w:p w:rsidR="00957EFD" w:rsidRPr="0034785B" w:rsidRDefault="00957EFD" w:rsidP="005D29DE">
      <w:pPr>
        <w:jc w:val="both"/>
        <w:rPr>
          <w:sz w:val="20"/>
        </w:rPr>
      </w:pPr>
    </w:p>
    <w:p w:rsidR="00F86B26" w:rsidRPr="0034785B" w:rsidRDefault="00F86B26" w:rsidP="00F86B26">
      <w:pPr>
        <w:jc w:val="both"/>
        <w:rPr>
          <w:rFonts w:eastAsiaTheme="minorHAnsi" w:cstheme="minorBidi"/>
          <w:sz w:val="20"/>
          <w:lang w:val="fr-CA"/>
        </w:rPr>
      </w:pPr>
      <w:r w:rsidRPr="0034785B">
        <w:rPr>
          <w:rFonts w:eastAsiaTheme="minorHAnsi" w:cstheme="minorBidi"/>
          <w:sz w:val="20"/>
          <w:lang w:val="fr-CA"/>
        </w:rPr>
        <w:t>L’appel interjeté contre l’arrêt de la Cour suprême de Terre-Neuve-et-Labrador (Cour d’appel), numéro 14/68, 2015 NLCA 60, daté du 23 décembre 2015, a été entendu le 12 octobre 2016, et la Cour a prononcé le jugement suivant le 3 novembre 2016 :</w:t>
      </w:r>
    </w:p>
    <w:p w:rsidR="00F86B26" w:rsidRPr="0034785B" w:rsidRDefault="00F86B26" w:rsidP="00F86B26">
      <w:pPr>
        <w:jc w:val="both"/>
        <w:rPr>
          <w:rFonts w:eastAsiaTheme="minorHAnsi" w:cstheme="minorBidi"/>
          <w:sz w:val="20"/>
          <w:lang w:val="fr-CA"/>
        </w:rPr>
      </w:pPr>
      <w:bookmarkStart w:id="1" w:name="_GoBack"/>
      <w:bookmarkEnd w:id="1"/>
    </w:p>
    <w:p w:rsidR="00F86B26" w:rsidRPr="0034785B" w:rsidRDefault="00F86B26" w:rsidP="00F86B26">
      <w:pPr>
        <w:jc w:val="both"/>
        <w:rPr>
          <w:rFonts w:eastAsiaTheme="minorHAnsi"/>
          <w:sz w:val="20"/>
          <w:lang w:val="fr-CA"/>
        </w:rPr>
      </w:pPr>
      <w:r w:rsidRPr="0034785B">
        <w:rPr>
          <w:rFonts w:eastAsiaTheme="minorHAnsi" w:cstheme="minorBidi"/>
          <w:smallCaps/>
          <w:sz w:val="20"/>
          <w:lang w:val="fr-CA"/>
        </w:rPr>
        <w:lastRenderedPageBreak/>
        <w:t xml:space="preserve">La juge Karakatsanis </w:t>
      </w:r>
      <w:r w:rsidRPr="0034785B">
        <w:rPr>
          <w:rFonts w:eastAsiaTheme="minorHAnsi"/>
          <w:smallCaps/>
          <w:sz w:val="20"/>
          <w:lang w:val="fr-CA"/>
        </w:rPr>
        <w:t xml:space="preserve">— </w:t>
      </w:r>
      <w:r w:rsidRPr="0034785B">
        <w:rPr>
          <w:rFonts w:eastAsiaTheme="minorHAnsi"/>
          <w:sz w:val="20"/>
          <w:lang w:val="fr-CA"/>
        </w:rPr>
        <w:t xml:space="preserve">Les juges majoritaires de la Cour sont d’avis de rejeter l’appel essentiellement pour les motifs énoncés par le juge Harrington de la Cour d’appel, 2015 NLCA 60, 371 Nfld. &amp; P.E.I.R. 200, aux </w:t>
      </w:r>
      <w:proofErr w:type="spellStart"/>
      <w:r w:rsidRPr="0034785B">
        <w:rPr>
          <w:rFonts w:eastAsiaTheme="minorHAnsi"/>
          <w:sz w:val="20"/>
          <w:lang w:val="fr-CA"/>
        </w:rPr>
        <w:t>par</w:t>
      </w:r>
      <w:proofErr w:type="spellEnd"/>
      <w:r w:rsidRPr="0034785B">
        <w:rPr>
          <w:rFonts w:eastAsiaTheme="minorHAnsi"/>
          <w:sz w:val="20"/>
          <w:lang w:val="fr-CA"/>
        </w:rPr>
        <w:t xml:space="preserve">. 22-26. Les juges Gascon et Côté sont dissidents et sont d’avis d’accueillir l’appel essentiellement pour les motifs énoncés par le juge White, aux </w:t>
      </w:r>
      <w:proofErr w:type="spellStart"/>
      <w:r w:rsidRPr="0034785B">
        <w:rPr>
          <w:rFonts w:eastAsiaTheme="minorHAnsi"/>
          <w:sz w:val="20"/>
          <w:lang w:val="fr-CA"/>
        </w:rPr>
        <w:t>par</w:t>
      </w:r>
      <w:proofErr w:type="spellEnd"/>
      <w:r w:rsidRPr="0034785B">
        <w:rPr>
          <w:rFonts w:eastAsiaTheme="minorHAnsi"/>
          <w:sz w:val="20"/>
          <w:lang w:val="fr-CA"/>
        </w:rPr>
        <w:t>. 44-48.</w:t>
      </w:r>
    </w:p>
    <w:p w:rsidR="00F86B26" w:rsidRPr="0034785B" w:rsidRDefault="00F86B26" w:rsidP="00F86B26">
      <w:pPr>
        <w:jc w:val="both"/>
        <w:rPr>
          <w:rFonts w:eastAsiaTheme="minorHAnsi"/>
          <w:sz w:val="20"/>
          <w:lang w:val="fr-CA"/>
        </w:rPr>
      </w:pPr>
    </w:p>
    <w:p w:rsidR="00092DBB" w:rsidRPr="0034785B" w:rsidRDefault="00F86B26" w:rsidP="00F86B26">
      <w:pPr>
        <w:rPr>
          <w:rFonts w:eastAsiaTheme="minorHAnsi"/>
          <w:sz w:val="20"/>
          <w:lang w:val="fr-CA"/>
        </w:rPr>
      </w:pPr>
      <w:r w:rsidRPr="0034785B">
        <w:rPr>
          <w:rFonts w:eastAsiaTheme="minorHAnsi"/>
          <w:sz w:val="20"/>
          <w:lang w:val="fr-CA"/>
        </w:rPr>
        <w:t>L’appel est donc rejeté.</w:t>
      </w:r>
    </w:p>
    <w:p w:rsidR="00F86B26" w:rsidRPr="0034785B" w:rsidRDefault="00F86B26" w:rsidP="00F86B26">
      <w:pPr>
        <w:rPr>
          <w:rFonts w:eastAsiaTheme="minorHAnsi"/>
          <w:sz w:val="20"/>
          <w:lang w:val="fr-CA"/>
        </w:rPr>
      </w:pPr>
    </w:p>
    <w:p w:rsidR="009D2AD9" w:rsidRPr="0034785B" w:rsidRDefault="00D01D61" w:rsidP="009D2AD9">
      <w:pPr>
        <w:rPr>
          <w:lang w:val="fr-CA"/>
        </w:rPr>
      </w:pPr>
      <w:r w:rsidRPr="0034785B">
        <w:rPr>
          <w:szCs w:val="24"/>
        </w:rPr>
        <w:fldChar w:fldCharType="begin"/>
      </w:r>
      <w:r w:rsidR="009D2AD9" w:rsidRPr="0034785B">
        <w:rPr>
          <w:szCs w:val="24"/>
          <w:lang w:val="fr-CA"/>
        </w:rPr>
        <w:instrText xml:space="preserve"> SEQ CHAPTER \h \r 1</w:instrText>
      </w:r>
      <w:r w:rsidRPr="0034785B">
        <w:rPr>
          <w:szCs w:val="24"/>
        </w:rPr>
        <w:fldChar w:fldCharType="end"/>
      </w:r>
      <w:r w:rsidR="009D2AD9" w:rsidRPr="0034785B">
        <w:rPr>
          <w:b/>
          <w:bCs/>
          <w:szCs w:val="24"/>
          <w:lang w:val="fr-CA"/>
        </w:rPr>
        <w:t>APPLICATION</w:t>
      </w:r>
      <w:r w:rsidR="0044099A" w:rsidRPr="0034785B">
        <w:rPr>
          <w:b/>
          <w:bCs/>
          <w:szCs w:val="24"/>
          <w:lang w:val="fr-CA"/>
        </w:rPr>
        <w:t>S</w:t>
      </w:r>
      <w:r w:rsidR="009D2AD9" w:rsidRPr="0034785B">
        <w:rPr>
          <w:b/>
          <w:bCs/>
          <w:szCs w:val="24"/>
          <w:lang w:val="fr-CA"/>
        </w:rPr>
        <w:t xml:space="preserve"> FOR LEAVE / DEMANDE</w:t>
      </w:r>
      <w:r w:rsidR="0044099A" w:rsidRPr="0034785B">
        <w:rPr>
          <w:b/>
          <w:bCs/>
          <w:szCs w:val="24"/>
          <w:lang w:val="fr-CA"/>
        </w:rPr>
        <w:t>S</w:t>
      </w:r>
      <w:r w:rsidR="009D2AD9" w:rsidRPr="0034785B">
        <w:rPr>
          <w:b/>
          <w:bCs/>
          <w:szCs w:val="24"/>
          <w:lang w:val="fr-CA"/>
        </w:rPr>
        <w:t xml:space="preserve"> D’AUTORISATION :</w:t>
      </w:r>
    </w:p>
    <w:p w:rsidR="009D2AD9" w:rsidRPr="0034785B" w:rsidRDefault="009D2AD9" w:rsidP="000627A2">
      <w:pPr>
        <w:widowControl w:val="0"/>
        <w:jc w:val="both"/>
        <w:rPr>
          <w:sz w:val="20"/>
          <w:lang w:val="fr-CA"/>
        </w:rPr>
      </w:pPr>
    </w:p>
    <w:p w:rsidR="007E5C9C" w:rsidRPr="0034785B" w:rsidRDefault="007E5C9C" w:rsidP="007E5C9C">
      <w:pPr>
        <w:widowControl w:val="0"/>
        <w:rPr>
          <w:szCs w:val="24"/>
        </w:rPr>
      </w:pPr>
      <w:r w:rsidRPr="0034785B">
        <w:rPr>
          <w:szCs w:val="24"/>
        </w:rPr>
        <w:t xml:space="preserve">Summaries of these cases are available at </w:t>
      </w:r>
      <w:hyperlink r:id="rId9" w:history="1">
        <w:r w:rsidR="009F09C0" w:rsidRPr="0034785B">
          <w:rPr>
            <w:rStyle w:val="Hyperlink"/>
            <w:szCs w:val="24"/>
          </w:rPr>
          <w:t>http://scc-csc.lexum.com/scc-csc/news/en/item/5347/index.do</w:t>
        </w:r>
      </w:hyperlink>
      <w:r w:rsidR="008C7834" w:rsidRPr="0034785B">
        <w:rPr>
          <w:szCs w:val="24"/>
        </w:rPr>
        <w:t>.</w:t>
      </w:r>
    </w:p>
    <w:p w:rsidR="0025713A" w:rsidRPr="0034785B" w:rsidRDefault="0025713A" w:rsidP="000627A2">
      <w:pPr>
        <w:widowControl w:val="0"/>
        <w:jc w:val="both"/>
        <w:rPr>
          <w:sz w:val="20"/>
        </w:rPr>
      </w:pPr>
    </w:p>
    <w:p w:rsidR="007E5C9C" w:rsidRPr="0034785B" w:rsidRDefault="007E5C9C" w:rsidP="007E5C9C">
      <w:pPr>
        <w:widowControl w:val="0"/>
        <w:rPr>
          <w:szCs w:val="24"/>
          <w:lang w:val="fr-CA"/>
        </w:rPr>
      </w:pPr>
      <w:r w:rsidRPr="0034785B">
        <w:rPr>
          <w:lang w:val="fr-CA"/>
        </w:rPr>
        <w:t xml:space="preserve">Les sommaires des causes peuvent être consultés à l'adresse </w:t>
      </w:r>
      <w:r w:rsidRPr="0034785B">
        <w:rPr>
          <w:szCs w:val="24"/>
          <w:lang w:val="fr-CA"/>
        </w:rPr>
        <w:t xml:space="preserve">suivante : </w:t>
      </w:r>
      <w:hyperlink r:id="rId10" w:history="1">
        <w:r w:rsidR="009F09C0" w:rsidRPr="0034785B">
          <w:rPr>
            <w:rStyle w:val="Hyperlink"/>
            <w:szCs w:val="24"/>
            <w:lang w:val="fr-CA"/>
          </w:rPr>
          <w:t>http://scc-csc.lexum.com/scc-csc/news/fr/item/5347/index.do</w:t>
        </w:r>
      </w:hyperlink>
      <w:r w:rsidR="008C7834" w:rsidRPr="0034785B">
        <w:rPr>
          <w:rStyle w:val="Hyperlink"/>
          <w:color w:val="4F6228" w:themeColor="accent3" w:themeShade="80"/>
          <w:szCs w:val="24"/>
          <w:u w:val="none"/>
          <w:lang w:val="fr-CA"/>
        </w:rPr>
        <w:t>.</w:t>
      </w:r>
    </w:p>
    <w:p w:rsidR="008E30CD" w:rsidRPr="0034785B" w:rsidRDefault="008E30CD" w:rsidP="0027631F">
      <w:pPr>
        <w:jc w:val="both"/>
        <w:rPr>
          <w:sz w:val="20"/>
          <w:lang w:val="fr-CA"/>
        </w:rPr>
      </w:pPr>
    </w:p>
    <w:p w:rsidR="00214BA3" w:rsidRPr="0034785B" w:rsidRDefault="00214BA3" w:rsidP="009F09C0">
      <w:pPr>
        <w:jc w:val="both"/>
        <w:rPr>
          <w:sz w:val="20"/>
        </w:rPr>
      </w:pPr>
    </w:p>
    <w:p w:rsidR="009F09C0" w:rsidRPr="0034785B" w:rsidRDefault="009F09C0" w:rsidP="009F09C0">
      <w:pPr>
        <w:jc w:val="both"/>
        <w:rPr>
          <w:b/>
        </w:rPr>
      </w:pPr>
      <w:r w:rsidRPr="0034785B">
        <w:rPr>
          <w:b/>
        </w:rPr>
        <w:t>GRANTED WITH COSTS / ACCORDÉE AVEC DÉPENS</w:t>
      </w:r>
    </w:p>
    <w:p w:rsidR="009F09C0" w:rsidRPr="0034785B" w:rsidRDefault="009F09C0" w:rsidP="009F09C0">
      <w:pPr>
        <w:jc w:val="both"/>
        <w:rPr>
          <w:sz w:val="20"/>
        </w:rPr>
      </w:pPr>
    </w:p>
    <w:p w:rsidR="008E62CD" w:rsidRPr="0034785B" w:rsidRDefault="008E62CD" w:rsidP="008E62CD">
      <w:pPr>
        <w:pStyle w:val="SCCAppellantInfoAppellantInfo"/>
        <w:rPr>
          <w:sz w:val="20"/>
          <w:szCs w:val="20"/>
          <w:lang w:val="fr-CA"/>
        </w:rPr>
      </w:pPr>
      <w:r w:rsidRPr="0034785B">
        <w:rPr>
          <w:i/>
          <w:sz w:val="20"/>
          <w:szCs w:val="20"/>
          <w:lang w:val="fr-CA"/>
        </w:rPr>
        <w:t xml:space="preserve">Procureur général du Canada et autres c. Daniel </w:t>
      </w:r>
      <w:proofErr w:type="spellStart"/>
      <w:r w:rsidRPr="0034785B">
        <w:rPr>
          <w:i/>
          <w:sz w:val="20"/>
          <w:szCs w:val="20"/>
          <w:lang w:val="fr-CA"/>
        </w:rPr>
        <w:t>Thouin</w:t>
      </w:r>
      <w:proofErr w:type="spellEnd"/>
      <w:r w:rsidRPr="0034785B">
        <w:rPr>
          <w:i/>
          <w:sz w:val="20"/>
          <w:szCs w:val="20"/>
          <w:lang w:val="fr-CA"/>
        </w:rPr>
        <w:t xml:space="preserve"> et autres</w:t>
      </w:r>
      <w:r w:rsidRPr="0034785B">
        <w:rPr>
          <w:sz w:val="20"/>
          <w:szCs w:val="20"/>
          <w:lang w:val="fr-CA"/>
        </w:rPr>
        <w:t xml:space="preserve"> (</w:t>
      </w:r>
      <w:proofErr w:type="spellStart"/>
      <w:r w:rsidRPr="0034785B">
        <w:rPr>
          <w:sz w:val="20"/>
          <w:szCs w:val="20"/>
          <w:lang w:val="fr-CA"/>
        </w:rPr>
        <w:t>Qc</w:t>
      </w:r>
      <w:proofErr w:type="spellEnd"/>
      <w:r w:rsidRPr="0034785B">
        <w:rPr>
          <w:sz w:val="20"/>
          <w:szCs w:val="20"/>
          <w:lang w:val="fr-CA"/>
        </w:rPr>
        <w:t xml:space="preserve">) (Civile) (Autorisation) </w:t>
      </w:r>
      <w:r w:rsidRPr="0034785B">
        <w:rPr>
          <w:sz w:val="20"/>
        </w:rPr>
        <w:t>(</w:t>
      </w:r>
      <w:hyperlink r:id="rId11" w:history="1">
        <w:r w:rsidRPr="0034785B">
          <w:rPr>
            <w:rStyle w:val="Hyperlink"/>
            <w:sz w:val="20"/>
          </w:rPr>
          <w:t>36869</w:t>
        </w:r>
      </w:hyperlink>
      <w:r w:rsidRPr="0034785B">
        <w:rPr>
          <w:sz w:val="20"/>
        </w:rPr>
        <w:t>)</w:t>
      </w:r>
    </w:p>
    <w:p w:rsidR="00FE1185" w:rsidRPr="0034785B" w:rsidRDefault="008E62CD" w:rsidP="009F09C0">
      <w:pPr>
        <w:jc w:val="both"/>
        <w:rPr>
          <w:sz w:val="20"/>
        </w:rPr>
      </w:pPr>
      <w:r w:rsidRPr="0034785B">
        <w:rPr>
          <w:sz w:val="20"/>
        </w:rPr>
        <w:t xml:space="preserve">(Les </w:t>
      </w:r>
      <w:proofErr w:type="spellStart"/>
      <w:r w:rsidRPr="0034785B">
        <w:rPr>
          <w:sz w:val="20"/>
        </w:rPr>
        <w:t>requêtes</w:t>
      </w:r>
      <w:proofErr w:type="spellEnd"/>
      <w:r w:rsidRPr="0034785B">
        <w:rPr>
          <w:sz w:val="20"/>
        </w:rPr>
        <w:t xml:space="preserve"> </w:t>
      </w:r>
      <w:proofErr w:type="spellStart"/>
      <w:r w:rsidRPr="0034785B">
        <w:rPr>
          <w:sz w:val="20"/>
        </w:rPr>
        <w:t>d’Ultramar</w:t>
      </w:r>
      <w:proofErr w:type="spellEnd"/>
      <w:r w:rsidRPr="0034785B">
        <w:rPr>
          <w:sz w:val="20"/>
        </w:rPr>
        <w:t xml:space="preserve"> </w:t>
      </w:r>
      <w:proofErr w:type="spellStart"/>
      <w:r w:rsidRPr="0034785B">
        <w:rPr>
          <w:sz w:val="20"/>
        </w:rPr>
        <w:t>ltée</w:t>
      </w:r>
      <w:proofErr w:type="spellEnd"/>
      <w:r w:rsidRPr="0034785B">
        <w:rPr>
          <w:sz w:val="20"/>
        </w:rPr>
        <w:t xml:space="preserve">, et al. </w:t>
      </w:r>
      <w:proofErr w:type="spellStart"/>
      <w:r w:rsidRPr="0034785B">
        <w:rPr>
          <w:sz w:val="20"/>
        </w:rPr>
        <w:t>en</w:t>
      </w:r>
      <w:proofErr w:type="spellEnd"/>
      <w:r w:rsidRPr="0034785B">
        <w:rPr>
          <w:sz w:val="20"/>
        </w:rPr>
        <w:t xml:space="preserve"> prorogation du </w:t>
      </w:r>
      <w:proofErr w:type="spellStart"/>
      <w:r w:rsidRPr="0034785B">
        <w:rPr>
          <w:sz w:val="20"/>
        </w:rPr>
        <w:t>délai</w:t>
      </w:r>
      <w:proofErr w:type="spellEnd"/>
      <w:r w:rsidRPr="0034785B">
        <w:rPr>
          <w:sz w:val="20"/>
        </w:rPr>
        <w:t xml:space="preserve"> pour signification </w:t>
      </w:r>
      <w:proofErr w:type="gramStart"/>
      <w:r w:rsidRPr="0034785B">
        <w:rPr>
          <w:sz w:val="20"/>
        </w:rPr>
        <w:t>et</w:t>
      </w:r>
      <w:proofErr w:type="gramEnd"/>
      <w:r w:rsidRPr="0034785B">
        <w:rPr>
          <w:sz w:val="20"/>
        </w:rPr>
        <w:t xml:space="preserve"> </w:t>
      </w:r>
      <w:proofErr w:type="spellStart"/>
      <w:r w:rsidRPr="0034785B">
        <w:rPr>
          <w:sz w:val="20"/>
        </w:rPr>
        <w:t>dépôt</w:t>
      </w:r>
      <w:proofErr w:type="spellEnd"/>
      <w:r w:rsidRPr="0034785B">
        <w:rPr>
          <w:sz w:val="20"/>
        </w:rPr>
        <w:t xml:space="preserve"> de la </w:t>
      </w:r>
      <w:proofErr w:type="spellStart"/>
      <w:r w:rsidRPr="0034785B">
        <w:rPr>
          <w:sz w:val="20"/>
        </w:rPr>
        <w:t>demande</w:t>
      </w:r>
      <w:proofErr w:type="spellEnd"/>
      <w:r w:rsidRPr="0034785B">
        <w:rPr>
          <w:sz w:val="20"/>
        </w:rPr>
        <w:t xml:space="preserve"> </w:t>
      </w:r>
      <w:proofErr w:type="spellStart"/>
      <w:r w:rsidRPr="0034785B">
        <w:rPr>
          <w:sz w:val="20"/>
        </w:rPr>
        <w:t>d’autorisation</w:t>
      </w:r>
      <w:proofErr w:type="spellEnd"/>
      <w:r w:rsidRPr="0034785B">
        <w:rPr>
          <w:sz w:val="20"/>
        </w:rPr>
        <w:t xml:space="preserve"> </w:t>
      </w:r>
      <w:proofErr w:type="spellStart"/>
      <w:r w:rsidRPr="0034785B">
        <w:rPr>
          <w:sz w:val="20"/>
        </w:rPr>
        <w:t>d’appel</w:t>
      </w:r>
      <w:proofErr w:type="spellEnd"/>
      <w:r w:rsidRPr="0034785B">
        <w:rPr>
          <w:sz w:val="20"/>
        </w:rPr>
        <w:t xml:space="preserve">, pour </w:t>
      </w:r>
      <w:proofErr w:type="spellStart"/>
      <w:r w:rsidRPr="0034785B">
        <w:rPr>
          <w:sz w:val="20"/>
        </w:rPr>
        <w:t>accélérer</w:t>
      </w:r>
      <w:proofErr w:type="spellEnd"/>
      <w:r w:rsidRPr="0034785B">
        <w:rPr>
          <w:sz w:val="20"/>
        </w:rPr>
        <w:t xml:space="preserve"> la </w:t>
      </w:r>
      <w:proofErr w:type="spellStart"/>
      <w:r w:rsidRPr="0034785B">
        <w:rPr>
          <w:sz w:val="20"/>
        </w:rPr>
        <w:t>demande</w:t>
      </w:r>
      <w:proofErr w:type="spellEnd"/>
      <w:r w:rsidRPr="0034785B">
        <w:rPr>
          <w:sz w:val="20"/>
        </w:rPr>
        <w:t xml:space="preserve"> </w:t>
      </w:r>
      <w:proofErr w:type="spellStart"/>
      <w:r w:rsidRPr="0034785B">
        <w:rPr>
          <w:sz w:val="20"/>
        </w:rPr>
        <w:t>d’autorisation</w:t>
      </w:r>
      <w:proofErr w:type="spellEnd"/>
      <w:r w:rsidRPr="0034785B">
        <w:rPr>
          <w:sz w:val="20"/>
        </w:rPr>
        <w:t xml:space="preserve"> </w:t>
      </w:r>
      <w:proofErr w:type="spellStart"/>
      <w:r w:rsidRPr="0034785B">
        <w:rPr>
          <w:sz w:val="20"/>
        </w:rPr>
        <w:t>d’appel</w:t>
      </w:r>
      <w:proofErr w:type="spellEnd"/>
      <w:r w:rsidRPr="0034785B">
        <w:rPr>
          <w:sz w:val="20"/>
        </w:rPr>
        <w:t xml:space="preserve"> et pour </w:t>
      </w:r>
      <w:proofErr w:type="spellStart"/>
      <w:r w:rsidRPr="0034785B">
        <w:rPr>
          <w:sz w:val="20"/>
        </w:rPr>
        <w:t>joindre</w:t>
      </w:r>
      <w:proofErr w:type="spellEnd"/>
      <w:r w:rsidRPr="0034785B">
        <w:rPr>
          <w:sz w:val="20"/>
        </w:rPr>
        <w:t xml:space="preserve"> </w:t>
      </w:r>
      <w:proofErr w:type="spellStart"/>
      <w:r w:rsidRPr="0034785B">
        <w:rPr>
          <w:sz w:val="20"/>
        </w:rPr>
        <w:t>deux</w:t>
      </w:r>
      <w:proofErr w:type="spellEnd"/>
      <w:r w:rsidRPr="0034785B">
        <w:rPr>
          <w:sz w:val="20"/>
        </w:rPr>
        <w:t xml:space="preserve"> dossiers de </w:t>
      </w:r>
      <w:proofErr w:type="spellStart"/>
      <w:r w:rsidRPr="0034785B">
        <w:rPr>
          <w:sz w:val="20"/>
        </w:rPr>
        <w:t>cette</w:t>
      </w:r>
      <w:proofErr w:type="spellEnd"/>
      <w:r w:rsidRPr="0034785B">
        <w:rPr>
          <w:sz w:val="20"/>
        </w:rPr>
        <w:t xml:space="preserve"> </w:t>
      </w:r>
      <w:proofErr w:type="spellStart"/>
      <w:r w:rsidRPr="0034785B">
        <w:rPr>
          <w:sz w:val="20"/>
        </w:rPr>
        <w:t>Cour</w:t>
      </w:r>
      <w:proofErr w:type="spellEnd"/>
      <w:r w:rsidRPr="0034785B">
        <w:rPr>
          <w:sz w:val="20"/>
        </w:rPr>
        <w:t xml:space="preserve"> </w:t>
      </w:r>
      <w:proofErr w:type="spellStart"/>
      <w:r w:rsidRPr="0034785B">
        <w:rPr>
          <w:sz w:val="20"/>
        </w:rPr>
        <w:t>sont</w:t>
      </w:r>
      <w:proofErr w:type="spellEnd"/>
      <w:r w:rsidRPr="0034785B">
        <w:rPr>
          <w:sz w:val="20"/>
        </w:rPr>
        <w:t xml:space="preserve"> </w:t>
      </w:r>
      <w:proofErr w:type="spellStart"/>
      <w:r w:rsidRPr="0034785B">
        <w:rPr>
          <w:sz w:val="20"/>
        </w:rPr>
        <w:t>accueillies</w:t>
      </w:r>
      <w:proofErr w:type="spellEnd"/>
      <w:r w:rsidRPr="0034785B">
        <w:rPr>
          <w:sz w:val="20"/>
        </w:rPr>
        <w:t xml:space="preserve">. La </w:t>
      </w:r>
      <w:proofErr w:type="spellStart"/>
      <w:r w:rsidRPr="0034785B">
        <w:rPr>
          <w:sz w:val="20"/>
        </w:rPr>
        <w:t>requête</w:t>
      </w:r>
      <w:proofErr w:type="spellEnd"/>
      <w:r w:rsidRPr="0034785B">
        <w:rPr>
          <w:sz w:val="20"/>
        </w:rPr>
        <w:t xml:space="preserve"> </w:t>
      </w:r>
      <w:proofErr w:type="spellStart"/>
      <w:r w:rsidRPr="0034785B">
        <w:rPr>
          <w:sz w:val="20"/>
        </w:rPr>
        <w:t>en</w:t>
      </w:r>
      <w:proofErr w:type="spellEnd"/>
      <w:r w:rsidRPr="0034785B">
        <w:rPr>
          <w:sz w:val="20"/>
        </w:rPr>
        <w:t xml:space="preserve"> </w:t>
      </w:r>
      <w:proofErr w:type="spellStart"/>
      <w:r w:rsidRPr="0034785B">
        <w:rPr>
          <w:sz w:val="20"/>
        </w:rPr>
        <w:t>révision</w:t>
      </w:r>
      <w:proofErr w:type="spellEnd"/>
      <w:r w:rsidRPr="0034785B">
        <w:rPr>
          <w:sz w:val="20"/>
        </w:rPr>
        <w:t xml:space="preserve"> </w:t>
      </w:r>
      <w:proofErr w:type="spellStart"/>
      <w:r w:rsidRPr="0034785B">
        <w:rPr>
          <w:sz w:val="20"/>
        </w:rPr>
        <w:t>d’une</w:t>
      </w:r>
      <w:proofErr w:type="spellEnd"/>
      <w:r w:rsidRPr="0034785B">
        <w:rPr>
          <w:sz w:val="20"/>
        </w:rPr>
        <w:t xml:space="preserve"> ordonnance du </w:t>
      </w:r>
      <w:proofErr w:type="spellStart"/>
      <w:r w:rsidRPr="0034785B">
        <w:rPr>
          <w:sz w:val="20"/>
        </w:rPr>
        <w:t>registraire</w:t>
      </w:r>
      <w:proofErr w:type="spellEnd"/>
      <w:r w:rsidRPr="0034785B">
        <w:rPr>
          <w:sz w:val="20"/>
        </w:rPr>
        <w:t xml:space="preserve"> </w:t>
      </w:r>
      <w:proofErr w:type="spellStart"/>
      <w:proofErr w:type="gramStart"/>
      <w:r w:rsidRPr="0034785B">
        <w:rPr>
          <w:sz w:val="20"/>
        </w:rPr>
        <w:t>est</w:t>
      </w:r>
      <w:proofErr w:type="spellEnd"/>
      <w:proofErr w:type="gramEnd"/>
      <w:r w:rsidRPr="0034785B">
        <w:rPr>
          <w:sz w:val="20"/>
        </w:rPr>
        <w:t xml:space="preserve"> </w:t>
      </w:r>
      <w:proofErr w:type="spellStart"/>
      <w:r w:rsidRPr="0034785B">
        <w:rPr>
          <w:sz w:val="20"/>
        </w:rPr>
        <w:t>rejetée</w:t>
      </w:r>
      <w:proofErr w:type="spellEnd"/>
      <w:r w:rsidRPr="0034785B">
        <w:rPr>
          <w:sz w:val="20"/>
        </w:rPr>
        <w:t xml:space="preserve">. Les </w:t>
      </w:r>
      <w:proofErr w:type="spellStart"/>
      <w:r w:rsidRPr="0034785B">
        <w:rPr>
          <w:sz w:val="20"/>
        </w:rPr>
        <w:t>demandes</w:t>
      </w:r>
      <w:proofErr w:type="spellEnd"/>
      <w:r w:rsidRPr="0034785B">
        <w:rPr>
          <w:sz w:val="20"/>
        </w:rPr>
        <w:t xml:space="preserve"> </w:t>
      </w:r>
      <w:proofErr w:type="spellStart"/>
      <w:r w:rsidRPr="0034785B">
        <w:rPr>
          <w:sz w:val="20"/>
        </w:rPr>
        <w:t>d’autorisation</w:t>
      </w:r>
      <w:proofErr w:type="spellEnd"/>
      <w:r w:rsidRPr="0034785B">
        <w:rPr>
          <w:sz w:val="20"/>
        </w:rPr>
        <w:t xml:space="preserve"> </w:t>
      </w:r>
      <w:proofErr w:type="spellStart"/>
      <w:r w:rsidRPr="0034785B">
        <w:rPr>
          <w:sz w:val="20"/>
        </w:rPr>
        <w:t>d’appel</w:t>
      </w:r>
      <w:proofErr w:type="spellEnd"/>
      <w:r w:rsidRPr="0034785B">
        <w:rPr>
          <w:sz w:val="20"/>
        </w:rPr>
        <w:t xml:space="preserve"> </w:t>
      </w:r>
      <w:proofErr w:type="spellStart"/>
      <w:r w:rsidRPr="0034785B">
        <w:rPr>
          <w:sz w:val="20"/>
        </w:rPr>
        <w:t>sont</w:t>
      </w:r>
      <w:proofErr w:type="spellEnd"/>
      <w:r w:rsidRPr="0034785B">
        <w:rPr>
          <w:sz w:val="20"/>
        </w:rPr>
        <w:t xml:space="preserve"> </w:t>
      </w:r>
      <w:proofErr w:type="spellStart"/>
      <w:r w:rsidRPr="0034785B">
        <w:rPr>
          <w:sz w:val="20"/>
        </w:rPr>
        <w:t>accueillies</w:t>
      </w:r>
      <w:proofErr w:type="spellEnd"/>
      <w:r w:rsidRPr="0034785B">
        <w:rPr>
          <w:sz w:val="20"/>
        </w:rPr>
        <w:t xml:space="preserve"> avec </w:t>
      </w:r>
      <w:proofErr w:type="spellStart"/>
      <w:r w:rsidRPr="0034785B">
        <w:rPr>
          <w:sz w:val="20"/>
        </w:rPr>
        <w:t>dépens</w:t>
      </w:r>
      <w:proofErr w:type="spellEnd"/>
      <w:r w:rsidRPr="0034785B">
        <w:rPr>
          <w:sz w:val="20"/>
        </w:rPr>
        <w:t xml:space="preserve"> </w:t>
      </w:r>
      <w:proofErr w:type="spellStart"/>
      <w:r w:rsidRPr="0034785B">
        <w:rPr>
          <w:sz w:val="20"/>
        </w:rPr>
        <w:t>suivant</w:t>
      </w:r>
      <w:proofErr w:type="spellEnd"/>
      <w:r w:rsidRPr="0034785B">
        <w:rPr>
          <w:sz w:val="20"/>
        </w:rPr>
        <w:t xml:space="preserve"> issue de la cause. / </w:t>
      </w:r>
    </w:p>
    <w:p w:rsidR="008E62CD" w:rsidRPr="0034785B" w:rsidRDefault="008E62CD" w:rsidP="009F09C0">
      <w:pPr>
        <w:jc w:val="both"/>
        <w:rPr>
          <w:sz w:val="20"/>
        </w:rPr>
      </w:pPr>
      <w:r w:rsidRPr="0034785B">
        <w:rPr>
          <w:sz w:val="20"/>
        </w:rPr>
        <w:t>The motions of Ultramar Ltd., et al. for an extension of time to serve and file the application for leave to appeal, to expedite the application for leave to appeal and to join two files of this Court are granted.</w:t>
      </w:r>
      <w:r w:rsidRPr="0034785B">
        <w:rPr>
          <w:sz w:val="20"/>
          <w:lang w:val="en-CA"/>
        </w:rPr>
        <w:t xml:space="preserve"> The motion for the review of an order of the Registrar is dismissed. The applications for leave to appeal are granted with costs in the cause.)</w:t>
      </w:r>
    </w:p>
    <w:p w:rsidR="009F09C0" w:rsidRPr="0034785B" w:rsidRDefault="009F09C0" w:rsidP="009F09C0">
      <w:pPr>
        <w:jc w:val="both"/>
        <w:rPr>
          <w:rFonts w:eastAsia="Calibri"/>
          <w:sz w:val="20"/>
          <w:lang w:val="fr-CA"/>
        </w:rPr>
      </w:pPr>
      <w:r w:rsidRPr="0034785B">
        <w:rPr>
          <w:rFonts w:eastAsia="Calibri"/>
          <w:sz w:val="20"/>
          <w:lang w:val="fr-CA"/>
        </w:rPr>
        <w:t>Coram: Abella / Karakatsanis / Brown</w:t>
      </w:r>
    </w:p>
    <w:p w:rsidR="009F09C0" w:rsidRPr="0034785B" w:rsidRDefault="009F09C0" w:rsidP="009F09C0">
      <w:pPr>
        <w:widowControl w:val="0"/>
        <w:autoSpaceDE w:val="0"/>
        <w:autoSpaceDN w:val="0"/>
        <w:adjustRightInd w:val="0"/>
        <w:rPr>
          <w:rFonts w:eastAsiaTheme="minorEastAsia"/>
          <w:sz w:val="20"/>
          <w:lang w:eastAsia="en-CA"/>
        </w:rPr>
      </w:pPr>
    </w:p>
    <w:p w:rsidR="009F09C0" w:rsidRPr="0034785B" w:rsidRDefault="009F09C0" w:rsidP="009F09C0">
      <w:pPr>
        <w:jc w:val="both"/>
        <w:rPr>
          <w:sz w:val="20"/>
        </w:rPr>
      </w:pPr>
      <w:r w:rsidRPr="0034785B">
        <w:rPr>
          <w:sz w:val="20"/>
          <w:lang w:val="en-CA"/>
        </w:rPr>
        <w:t>****</w:t>
      </w:r>
    </w:p>
    <w:p w:rsidR="00214BA3" w:rsidRPr="0034785B" w:rsidRDefault="00214BA3" w:rsidP="009F09C0">
      <w:pPr>
        <w:jc w:val="both"/>
        <w:rPr>
          <w:sz w:val="20"/>
        </w:rPr>
      </w:pPr>
    </w:p>
    <w:p w:rsidR="009F09C0" w:rsidRPr="0034785B" w:rsidRDefault="009F09C0" w:rsidP="009F09C0">
      <w:pPr>
        <w:jc w:val="both"/>
        <w:rPr>
          <w:b/>
        </w:rPr>
      </w:pPr>
      <w:r w:rsidRPr="0034785B">
        <w:rPr>
          <w:b/>
        </w:rPr>
        <w:t>DISMISSED / REJETÉES</w:t>
      </w:r>
    </w:p>
    <w:p w:rsidR="009F09C0" w:rsidRPr="0034785B" w:rsidRDefault="009F09C0" w:rsidP="009F09C0">
      <w:pPr>
        <w:widowControl w:val="0"/>
        <w:rPr>
          <w:sz w:val="20"/>
        </w:rPr>
      </w:pPr>
    </w:p>
    <w:p w:rsidR="009C05A7" w:rsidRPr="0034785B" w:rsidRDefault="009C05A7" w:rsidP="009C05A7">
      <w:pPr>
        <w:jc w:val="both"/>
        <w:rPr>
          <w:sz w:val="20"/>
          <w:lang w:val="en-CA" w:eastAsia="en-CA"/>
        </w:rPr>
      </w:pPr>
      <w:proofErr w:type="spellStart"/>
      <w:r w:rsidRPr="0034785B">
        <w:rPr>
          <w:i/>
          <w:sz w:val="20"/>
          <w:lang w:val="en-CA" w:eastAsia="en-CA"/>
        </w:rPr>
        <w:t>Anica</w:t>
      </w:r>
      <w:proofErr w:type="spellEnd"/>
      <w:r w:rsidRPr="0034785B">
        <w:rPr>
          <w:i/>
          <w:sz w:val="20"/>
          <w:lang w:val="en-CA" w:eastAsia="en-CA"/>
        </w:rPr>
        <w:t xml:space="preserve"> </w:t>
      </w:r>
      <w:proofErr w:type="spellStart"/>
      <w:r w:rsidRPr="0034785B">
        <w:rPr>
          <w:i/>
          <w:sz w:val="20"/>
          <w:lang w:val="en-CA" w:eastAsia="en-CA"/>
        </w:rPr>
        <w:t>Visic</w:t>
      </w:r>
      <w:proofErr w:type="spellEnd"/>
      <w:r w:rsidRPr="0034785B">
        <w:rPr>
          <w:i/>
          <w:sz w:val="20"/>
          <w:lang w:val="en-CA" w:eastAsia="en-CA"/>
        </w:rPr>
        <w:t xml:space="preserve"> v. Human Rights Tribunal of Ontario</w:t>
      </w:r>
      <w:r w:rsidRPr="0034785B">
        <w:rPr>
          <w:sz w:val="20"/>
          <w:lang w:val="en-CA" w:eastAsia="en-CA"/>
        </w:rPr>
        <w:t xml:space="preserve"> (Ont.) (Civil) (By Leave) </w:t>
      </w:r>
      <w:r w:rsidRPr="0034785B">
        <w:rPr>
          <w:sz w:val="20"/>
        </w:rPr>
        <w:t>(</w:t>
      </w:r>
      <w:hyperlink r:id="rId12" w:history="1">
        <w:r w:rsidRPr="0034785B">
          <w:rPr>
            <w:rStyle w:val="Hyperlink"/>
            <w:sz w:val="20"/>
          </w:rPr>
          <w:t>37126</w:t>
        </w:r>
      </w:hyperlink>
      <w:r w:rsidRPr="0034785B">
        <w:rPr>
          <w:sz w:val="20"/>
        </w:rPr>
        <w:t>)</w:t>
      </w:r>
    </w:p>
    <w:p w:rsidR="009F09C0" w:rsidRPr="0034785B" w:rsidRDefault="009F09C0" w:rsidP="009F09C0">
      <w:pPr>
        <w:jc w:val="both"/>
        <w:rPr>
          <w:rFonts w:eastAsia="Calibri"/>
          <w:sz w:val="20"/>
          <w:lang w:val="fr-CA"/>
        </w:rPr>
      </w:pPr>
      <w:r w:rsidRPr="0034785B">
        <w:rPr>
          <w:rFonts w:eastAsia="Calibri"/>
          <w:sz w:val="20"/>
          <w:lang w:val="fr-CA"/>
        </w:rPr>
        <w:t>Coram: McLachlin / Wagner / Gascon</w:t>
      </w:r>
    </w:p>
    <w:p w:rsidR="009F09C0" w:rsidRPr="0034785B" w:rsidRDefault="009F09C0" w:rsidP="009F09C0">
      <w:pPr>
        <w:widowControl w:val="0"/>
        <w:autoSpaceDE w:val="0"/>
        <w:autoSpaceDN w:val="0"/>
        <w:adjustRightInd w:val="0"/>
        <w:rPr>
          <w:rFonts w:eastAsiaTheme="minorEastAsia"/>
          <w:sz w:val="20"/>
          <w:lang w:eastAsia="en-CA"/>
        </w:rPr>
      </w:pPr>
    </w:p>
    <w:p w:rsidR="009F09C0" w:rsidRPr="0034785B" w:rsidRDefault="009F09C0" w:rsidP="009F09C0">
      <w:pPr>
        <w:jc w:val="both"/>
        <w:rPr>
          <w:sz w:val="20"/>
        </w:rPr>
      </w:pPr>
      <w:r w:rsidRPr="0034785B">
        <w:rPr>
          <w:sz w:val="20"/>
          <w:lang w:val="en-CA"/>
        </w:rPr>
        <w:t>****</w:t>
      </w:r>
    </w:p>
    <w:p w:rsidR="009F09C0" w:rsidRPr="0034785B" w:rsidRDefault="009F09C0" w:rsidP="009F09C0">
      <w:pPr>
        <w:jc w:val="both"/>
        <w:rPr>
          <w:rFonts w:eastAsia="Calibri"/>
          <w:sz w:val="20"/>
          <w:lang w:val="fr-CA"/>
        </w:rPr>
      </w:pPr>
    </w:p>
    <w:p w:rsidR="007D3433" w:rsidRPr="0034785B" w:rsidRDefault="007D3433" w:rsidP="007D3433">
      <w:pPr>
        <w:pStyle w:val="SCCAppellantInfoAppellantInfo"/>
        <w:rPr>
          <w:sz w:val="20"/>
          <w:szCs w:val="20"/>
        </w:rPr>
      </w:pPr>
      <w:r w:rsidRPr="0034785B">
        <w:rPr>
          <w:i/>
          <w:sz w:val="20"/>
          <w:szCs w:val="20"/>
        </w:rPr>
        <w:t xml:space="preserve">Michael Joseph </w:t>
      </w:r>
      <w:proofErr w:type="spellStart"/>
      <w:r w:rsidRPr="0034785B">
        <w:rPr>
          <w:i/>
          <w:sz w:val="20"/>
          <w:szCs w:val="20"/>
        </w:rPr>
        <w:t>Jerace</w:t>
      </w:r>
      <w:proofErr w:type="spellEnd"/>
      <w:r w:rsidRPr="0034785B">
        <w:rPr>
          <w:i/>
          <w:sz w:val="20"/>
          <w:szCs w:val="20"/>
        </w:rPr>
        <w:t xml:space="preserve"> v. Her Majesty the Queen </w:t>
      </w:r>
      <w:r w:rsidRPr="0034785B">
        <w:rPr>
          <w:sz w:val="20"/>
          <w:szCs w:val="20"/>
        </w:rPr>
        <w:t xml:space="preserve">(Alta.) (Criminal) (By Leave) </w:t>
      </w:r>
      <w:r w:rsidRPr="0034785B">
        <w:rPr>
          <w:sz w:val="20"/>
        </w:rPr>
        <w:t>(</w:t>
      </w:r>
      <w:hyperlink r:id="rId13" w:history="1">
        <w:r w:rsidRPr="0034785B">
          <w:rPr>
            <w:rStyle w:val="Hyperlink"/>
            <w:sz w:val="20"/>
          </w:rPr>
          <w:t>37150</w:t>
        </w:r>
      </w:hyperlink>
      <w:r w:rsidRPr="0034785B">
        <w:rPr>
          <w:sz w:val="20"/>
        </w:rPr>
        <w:t>)</w:t>
      </w:r>
    </w:p>
    <w:p w:rsidR="00214BA3" w:rsidRPr="0034785B" w:rsidRDefault="007D3433" w:rsidP="009F09C0">
      <w:pPr>
        <w:jc w:val="both"/>
        <w:rPr>
          <w:sz w:val="20"/>
        </w:rPr>
      </w:pPr>
      <w:r w:rsidRPr="0034785B">
        <w:rPr>
          <w:rFonts w:eastAsia="Calibri"/>
          <w:sz w:val="20"/>
          <w:lang w:val="fr-CA"/>
        </w:rPr>
        <w:t>(</w:t>
      </w:r>
      <w:r w:rsidRPr="0034785B">
        <w:rPr>
          <w:sz w:val="20"/>
        </w:rPr>
        <w:t xml:space="preserve">The motion for an extension of time to serve and file the application for leave to appeal is granted. The application for leave to appeal is dismissed. / </w:t>
      </w:r>
    </w:p>
    <w:p w:rsidR="007D3433" w:rsidRPr="0034785B" w:rsidRDefault="007D3433" w:rsidP="009F09C0">
      <w:pPr>
        <w:jc w:val="both"/>
        <w:rPr>
          <w:rFonts w:eastAsia="Calibri"/>
          <w:sz w:val="20"/>
          <w:lang w:val="fr-CA"/>
        </w:rPr>
      </w:pPr>
      <w:r w:rsidRPr="0034785B">
        <w:rPr>
          <w:sz w:val="20"/>
          <w:lang w:val="fr-CA"/>
        </w:rPr>
        <w:t>La requête en prorogation du délai de signification et de dépôt de la demande d’autorisation d’appel est accueillie. La demande d’autorisation d’appel est rejetée.)</w:t>
      </w:r>
    </w:p>
    <w:p w:rsidR="00214BA3" w:rsidRPr="0034785B" w:rsidRDefault="00214BA3" w:rsidP="00214BA3">
      <w:pPr>
        <w:jc w:val="both"/>
        <w:rPr>
          <w:rFonts w:eastAsia="Calibri"/>
          <w:sz w:val="20"/>
          <w:lang w:val="fr-CA"/>
        </w:rPr>
      </w:pPr>
      <w:r w:rsidRPr="0034785B">
        <w:rPr>
          <w:rFonts w:eastAsia="Calibri"/>
          <w:sz w:val="20"/>
          <w:lang w:val="fr-CA"/>
        </w:rPr>
        <w:t>Coram: Abella / Karakatsanis / Brown</w:t>
      </w:r>
    </w:p>
    <w:p w:rsidR="00214BA3" w:rsidRPr="0034785B" w:rsidRDefault="00214BA3" w:rsidP="00214BA3">
      <w:pPr>
        <w:widowControl w:val="0"/>
        <w:autoSpaceDE w:val="0"/>
        <w:autoSpaceDN w:val="0"/>
        <w:adjustRightInd w:val="0"/>
        <w:rPr>
          <w:rFonts w:eastAsiaTheme="minorEastAsia"/>
          <w:sz w:val="20"/>
          <w:lang w:eastAsia="en-CA"/>
        </w:rPr>
      </w:pPr>
    </w:p>
    <w:p w:rsidR="00214BA3" w:rsidRPr="0034785B" w:rsidRDefault="00214BA3" w:rsidP="00214BA3">
      <w:pPr>
        <w:jc w:val="both"/>
        <w:rPr>
          <w:sz w:val="20"/>
        </w:rPr>
      </w:pPr>
      <w:r w:rsidRPr="0034785B">
        <w:rPr>
          <w:sz w:val="20"/>
          <w:lang w:val="en-CA"/>
        </w:rPr>
        <w:t>****</w:t>
      </w:r>
    </w:p>
    <w:p w:rsidR="00214BA3" w:rsidRPr="0034785B" w:rsidRDefault="00214BA3" w:rsidP="009F09C0">
      <w:pPr>
        <w:jc w:val="both"/>
        <w:rPr>
          <w:rFonts w:eastAsia="Calibri"/>
          <w:sz w:val="20"/>
          <w:lang w:val="fr-CA"/>
        </w:rPr>
      </w:pPr>
    </w:p>
    <w:p w:rsidR="00435BBE" w:rsidRPr="0034785B" w:rsidRDefault="00435BBE" w:rsidP="00435BBE">
      <w:pPr>
        <w:pStyle w:val="SCCAppellantInfoAppellantInfo"/>
        <w:rPr>
          <w:sz w:val="20"/>
          <w:szCs w:val="20"/>
          <w:lang w:val="fr-FR"/>
        </w:rPr>
      </w:pPr>
      <w:r w:rsidRPr="0034785B">
        <w:rPr>
          <w:i/>
          <w:sz w:val="20"/>
          <w:szCs w:val="20"/>
          <w:lang w:val="fr-FR"/>
        </w:rPr>
        <w:t xml:space="preserve">Lumumba </w:t>
      </w:r>
      <w:proofErr w:type="spellStart"/>
      <w:r w:rsidRPr="0034785B">
        <w:rPr>
          <w:i/>
          <w:sz w:val="20"/>
          <w:szCs w:val="20"/>
          <w:lang w:val="fr-FR"/>
        </w:rPr>
        <w:t>Olenga</w:t>
      </w:r>
      <w:proofErr w:type="spellEnd"/>
      <w:r w:rsidRPr="0034785B">
        <w:rPr>
          <w:i/>
          <w:sz w:val="20"/>
          <w:szCs w:val="20"/>
          <w:lang w:val="fr-FR"/>
        </w:rPr>
        <w:t xml:space="preserve"> c. Sa Majesté la Reine</w:t>
      </w:r>
      <w:r w:rsidRPr="0034785B">
        <w:rPr>
          <w:sz w:val="20"/>
          <w:szCs w:val="20"/>
          <w:lang w:val="fr-FR"/>
        </w:rPr>
        <w:t xml:space="preserve"> (</w:t>
      </w:r>
      <w:proofErr w:type="spellStart"/>
      <w:r w:rsidRPr="0034785B">
        <w:rPr>
          <w:sz w:val="20"/>
          <w:szCs w:val="20"/>
          <w:lang w:val="fr-FR"/>
        </w:rPr>
        <w:t>Qc</w:t>
      </w:r>
      <w:proofErr w:type="spellEnd"/>
      <w:r w:rsidRPr="0034785B">
        <w:rPr>
          <w:sz w:val="20"/>
          <w:szCs w:val="20"/>
          <w:lang w:val="fr-FR"/>
        </w:rPr>
        <w:t xml:space="preserve">) (Criminelle) (Autorisation) </w:t>
      </w:r>
      <w:r w:rsidRPr="0034785B">
        <w:rPr>
          <w:sz w:val="20"/>
        </w:rPr>
        <w:t>(</w:t>
      </w:r>
      <w:hyperlink r:id="rId14" w:history="1">
        <w:r w:rsidRPr="0034785B">
          <w:rPr>
            <w:rStyle w:val="Hyperlink"/>
            <w:sz w:val="20"/>
          </w:rPr>
          <w:t>37121</w:t>
        </w:r>
      </w:hyperlink>
      <w:r w:rsidRPr="0034785B">
        <w:rPr>
          <w:sz w:val="20"/>
        </w:rPr>
        <w:t>)</w:t>
      </w:r>
    </w:p>
    <w:p w:rsidR="00435BBE" w:rsidRPr="0034785B" w:rsidRDefault="00435BBE" w:rsidP="00435BBE">
      <w:pPr>
        <w:jc w:val="both"/>
        <w:rPr>
          <w:rFonts w:eastAsia="Calibri"/>
          <w:sz w:val="20"/>
          <w:lang w:val="fr-CA"/>
        </w:rPr>
      </w:pPr>
      <w:r w:rsidRPr="0034785B">
        <w:rPr>
          <w:rFonts w:eastAsia="Calibri"/>
          <w:sz w:val="20"/>
          <w:lang w:val="fr-CA"/>
        </w:rPr>
        <w:t>Coram: Abella / Karakatsanis / Brown</w:t>
      </w:r>
    </w:p>
    <w:p w:rsidR="00435BBE" w:rsidRPr="0034785B" w:rsidRDefault="00435BBE" w:rsidP="00435BBE">
      <w:pPr>
        <w:widowControl w:val="0"/>
        <w:autoSpaceDE w:val="0"/>
        <w:autoSpaceDN w:val="0"/>
        <w:adjustRightInd w:val="0"/>
        <w:rPr>
          <w:rFonts w:eastAsiaTheme="minorEastAsia"/>
          <w:sz w:val="20"/>
          <w:lang w:eastAsia="en-CA"/>
        </w:rPr>
      </w:pPr>
    </w:p>
    <w:p w:rsidR="00435BBE" w:rsidRPr="0034785B" w:rsidRDefault="00435BBE" w:rsidP="00435BBE">
      <w:pPr>
        <w:jc w:val="both"/>
        <w:rPr>
          <w:sz w:val="20"/>
        </w:rPr>
      </w:pPr>
      <w:r w:rsidRPr="0034785B">
        <w:rPr>
          <w:sz w:val="20"/>
          <w:lang w:val="en-CA"/>
        </w:rPr>
        <w:t>****</w:t>
      </w:r>
    </w:p>
    <w:p w:rsidR="00435BBE" w:rsidRPr="0034785B" w:rsidRDefault="00435BBE" w:rsidP="009F09C0">
      <w:pPr>
        <w:jc w:val="both"/>
        <w:rPr>
          <w:rFonts w:eastAsia="Calibri"/>
          <w:sz w:val="20"/>
          <w:lang w:val="fr-CA"/>
        </w:rPr>
      </w:pPr>
    </w:p>
    <w:p w:rsidR="009F09C0" w:rsidRPr="0034785B" w:rsidRDefault="009F09C0" w:rsidP="009F09C0">
      <w:pPr>
        <w:jc w:val="both"/>
        <w:rPr>
          <w:b/>
        </w:rPr>
      </w:pPr>
      <w:r w:rsidRPr="0034785B">
        <w:rPr>
          <w:b/>
        </w:rPr>
        <w:t>DISMISSED WITH COSTS / REJETÉES AVEC DÉPENS</w:t>
      </w:r>
    </w:p>
    <w:p w:rsidR="009F09C0" w:rsidRPr="0034785B" w:rsidRDefault="009F09C0" w:rsidP="009F09C0">
      <w:pPr>
        <w:widowControl w:val="0"/>
        <w:rPr>
          <w:sz w:val="20"/>
        </w:rPr>
      </w:pPr>
    </w:p>
    <w:p w:rsidR="005F7542" w:rsidRPr="0034785B" w:rsidRDefault="005F7542" w:rsidP="005F7542">
      <w:pPr>
        <w:jc w:val="both"/>
        <w:rPr>
          <w:sz w:val="20"/>
          <w:lang w:val="en-CA" w:eastAsia="en-CA"/>
        </w:rPr>
      </w:pPr>
      <w:r w:rsidRPr="0034785B">
        <w:rPr>
          <w:i/>
          <w:sz w:val="20"/>
          <w:lang w:val="fr-FR" w:eastAsia="en-CA"/>
        </w:rPr>
        <w:t xml:space="preserve">Patricia-Ann </w:t>
      </w:r>
      <w:proofErr w:type="spellStart"/>
      <w:r w:rsidRPr="0034785B">
        <w:rPr>
          <w:i/>
          <w:sz w:val="20"/>
          <w:lang w:val="fr-FR" w:eastAsia="en-CA"/>
        </w:rPr>
        <w:t>Truter</w:t>
      </w:r>
      <w:proofErr w:type="spellEnd"/>
      <w:r w:rsidRPr="0034785B">
        <w:rPr>
          <w:i/>
          <w:sz w:val="20"/>
          <w:lang w:val="fr-FR" w:eastAsia="en-CA"/>
        </w:rPr>
        <w:t xml:space="preserve"> et al. v. M.A. </w:t>
      </w:r>
      <w:proofErr w:type="spellStart"/>
      <w:r w:rsidRPr="0034785B">
        <w:rPr>
          <w:i/>
          <w:sz w:val="20"/>
          <w:lang w:val="fr-FR" w:eastAsia="en-CA"/>
        </w:rPr>
        <w:t>Concrete</w:t>
      </w:r>
      <w:proofErr w:type="spellEnd"/>
      <w:r w:rsidRPr="0034785B">
        <w:rPr>
          <w:i/>
          <w:sz w:val="20"/>
          <w:lang w:val="fr-FR" w:eastAsia="en-CA"/>
        </w:rPr>
        <w:t xml:space="preserve"> Ltd. et al.</w:t>
      </w:r>
      <w:r w:rsidRPr="0034785B">
        <w:rPr>
          <w:sz w:val="20"/>
          <w:lang w:val="fr-FR" w:eastAsia="en-CA"/>
        </w:rPr>
        <w:t xml:space="preserve"> </w:t>
      </w:r>
      <w:r w:rsidRPr="0034785B">
        <w:rPr>
          <w:sz w:val="20"/>
          <w:lang w:val="en-CA" w:eastAsia="en-CA"/>
        </w:rPr>
        <w:t xml:space="preserve">(B.C.) (Civil) (By Leave) </w:t>
      </w:r>
      <w:r w:rsidRPr="0034785B">
        <w:rPr>
          <w:sz w:val="20"/>
        </w:rPr>
        <w:t>(</w:t>
      </w:r>
      <w:hyperlink r:id="rId15" w:history="1">
        <w:r w:rsidRPr="0034785B">
          <w:rPr>
            <w:rStyle w:val="Hyperlink"/>
            <w:sz w:val="20"/>
          </w:rPr>
          <w:t>37106</w:t>
        </w:r>
      </w:hyperlink>
      <w:r w:rsidRPr="0034785B">
        <w:rPr>
          <w:sz w:val="20"/>
        </w:rPr>
        <w:t>)</w:t>
      </w:r>
    </w:p>
    <w:p w:rsidR="009F09C0" w:rsidRPr="0034785B" w:rsidRDefault="005F7542" w:rsidP="009F09C0">
      <w:pPr>
        <w:widowControl w:val="0"/>
        <w:rPr>
          <w:sz w:val="20"/>
        </w:rPr>
      </w:pPr>
      <w:r w:rsidRPr="0034785B">
        <w:rPr>
          <w:sz w:val="20"/>
        </w:rPr>
        <w:t xml:space="preserve">(The motions for an extension of time to serve and file the application for leave to appeal and to serve and file the reply are granted.  The application for leave to appeal is dismissed with costs. / </w:t>
      </w:r>
    </w:p>
    <w:p w:rsidR="005F7542" w:rsidRPr="0034785B" w:rsidRDefault="005F7542" w:rsidP="009F09C0">
      <w:pPr>
        <w:widowControl w:val="0"/>
        <w:rPr>
          <w:sz w:val="20"/>
        </w:rPr>
      </w:pPr>
      <w:r w:rsidRPr="0034785B">
        <w:rPr>
          <w:sz w:val="20"/>
          <w:lang w:val="fr-CA"/>
        </w:rPr>
        <w:t xml:space="preserve">Les requêtes en prorogation du délai de signification et de dépôt de la demande d’autorisation d’appel et de </w:t>
      </w:r>
      <w:r w:rsidRPr="0034785B">
        <w:rPr>
          <w:sz w:val="20"/>
          <w:lang w:val="fr-CA"/>
        </w:rPr>
        <w:lastRenderedPageBreak/>
        <w:t>signification et de dépôt de la réplique sont accueillies. La demande d’autorisation d’appel est rejetée avec dépens.)</w:t>
      </w:r>
    </w:p>
    <w:p w:rsidR="009F09C0" w:rsidRPr="0034785B" w:rsidRDefault="009F09C0" w:rsidP="009F09C0">
      <w:pPr>
        <w:jc w:val="both"/>
        <w:rPr>
          <w:rFonts w:eastAsia="Calibri"/>
          <w:sz w:val="20"/>
          <w:lang w:val="fr-CA"/>
        </w:rPr>
      </w:pPr>
      <w:r w:rsidRPr="0034785B">
        <w:rPr>
          <w:rFonts w:eastAsia="Calibri"/>
          <w:sz w:val="20"/>
          <w:lang w:val="fr-CA"/>
        </w:rPr>
        <w:t>Coram: McLachlin / Wagner / Gascon</w:t>
      </w:r>
    </w:p>
    <w:p w:rsidR="009F09C0" w:rsidRPr="0034785B" w:rsidRDefault="009F09C0" w:rsidP="009F09C0">
      <w:pPr>
        <w:jc w:val="both"/>
        <w:rPr>
          <w:rFonts w:eastAsia="Calibri"/>
          <w:sz w:val="20"/>
          <w:lang w:val="fr-CA"/>
        </w:rPr>
      </w:pPr>
    </w:p>
    <w:p w:rsidR="009F09C0" w:rsidRPr="0034785B" w:rsidRDefault="009F09C0" w:rsidP="009F09C0">
      <w:pPr>
        <w:jc w:val="both"/>
        <w:rPr>
          <w:sz w:val="20"/>
        </w:rPr>
      </w:pPr>
      <w:r w:rsidRPr="0034785B">
        <w:rPr>
          <w:sz w:val="20"/>
          <w:lang w:val="en-CA"/>
        </w:rPr>
        <w:t>****</w:t>
      </w:r>
    </w:p>
    <w:p w:rsidR="009F09C0" w:rsidRPr="0034785B" w:rsidRDefault="009F09C0" w:rsidP="009F09C0">
      <w:pPr>
        <w:jc w:val="both"/>
        <w:rPr>
          <w:sz w:val="20"/>
          <w:lang w:val="fr-CA"/>
        </w:rPr>
      </w:pPr>
    </w:p>
    <w:p w:rsidR="00BC3E39" w:rsidRPr="0034785B" w:rsidRDefault="00BC3E39" w:rsidP="00BC3E39">
      <w:pPr>
        <w:jc w:val="both"/>
        <w:rPr>
          <w:sz w:val="20"/>
          <w:lang w:val="en-CA" w:eastAsia="en-CA"/>
        </w:rPr>
      </w:pPr>
      <w:proofErr w:type="spellStart"/>
      <w:r w:rsidRPr="0034785B">
        <w:rPr>
          <w:i/>
          <w:sz w:val="20"/>
          <w:lang w:val="en-CA" w:eastAsia="en-CA"/>
        </w:rPr>
        <w:t>Anica</w:t>
      </w:r>
      <w:proofErr w:type="spellEnd"/>
      <w:r w:rsidRPr="0034785B">
        <w:rPr>
          <w:i/>
          <w:sz w:val="20"/>
          <w:lang w:val="en-CA" w:eastAsia="en-CA"/>
        </w:rPr>
        <w:t xml:space="preserve"> </w:t>
      </w:r>
      <w:proofErr w:type="spellStart"/>
      <w:r w:rsidRPr="0034785B">
        <w:rPr>
          <w:i/>
          <w:sz w:val="20"/>
          <w:lang w:val="en-CA" w:eastAsia="en-CA"/>
        </w:rPr>
        <w:t>Visic</w:t>
      </w:r>
      <w:proofErr w:type="spellEnd"/>
      <w:r w:rsidRPr="0034785B">
        <w:rPr>
          <w:i/>
          <w:sz w:val="20"/>
          <w:lang w:val="en-CA" w:eastAsia="en-CA"/>
        </w:rPr>
        <w:t xml:space="preserve"> v. Human Rights Tribunal of Ontario et al.</w:t>
      </w:r>
      <w:r w:rsidRPr="0034785B">
        <w:rPr>
          <w:sz w:val="20"/>
          <w:lang w:val="en-CA" w:eastAsia="en-CA"/>
        </w:rPr>
        <w:t xml:space="preserve"> (Ont.) (Civil) (By Leave) </w:t>
      </w:r>
      <w:r w:rsidRPr="0034785B">
        <w:rPr>
          <w:sz w:val="20"/>
        </w:rPr>
        <w:t>(</w:t>
      </w:r>
      <w:hyperlink r:id="rId16" w:history="1">
        <w:r w:rsidRPr="0034785B">
          <w:rPr>
            <w:rStyle w:val="Hyperlink"/>
            <w:sz w:val="20"/>
          </w:rPr>
          <w:t>37125</w:t>
        </w:r>
      </w:hyperlink>
      <w:r w:rsidRPr="0034785B">
        <w:rPr>
          <w:sz w:val="20"/>
        </w:rPr>
        <w:t>)</w:t>
      </w:r>
    </w:p>
    <w:p w:rsidR="00214BA3" w:rsidRPr="0034785B" w:rsidRDefault="00BC3E39" w:rsidP="009F09C0">
      <w:pPr>
        <w:jc w:val="both"/>
        <w:rPr>
          <w:sz w:val="20"/>
        </w:rPr>
      </w:pPr>
      <w:r w:rsidRPr="0034785B">
        <w:rPr>
          <w:sz w:val="20"/>
          <w:lang w:val="fr-CA"/>
        </w:rPr>
        <w:t>(</w:t>
      </w:r>
      <w:r w:rsidRPr="0034785B">
        <w:rPr>
          <w:sz w:val="20"/>
        </w:rPr>
        <w:t xml:space="preserve">The application for leave to appeal is dismissed with costs to the University of Windsor in accordance with the Tariff of fees and disbursements set out in Schedule B of the </w:t>
      </w:r>
      <w:r w:rsidRPr="0034785B">
        <w:rPr>
          <w:i/>
          <w:sz w:val="20"/>
        </w:rPr>
        <w:t>Rules of the Supreme Court of Canada</w:t>
      </w:r>
      <w:r w:rsidRPr="0034785B">
        <w:rPr>
          <w:sz w:val="20"/>
        </w:rPr>
        <w:t xml:space="preserve">. / </w:t>
      </w:r>
    </w:p>
    <w:p w:rsidR="00BC3E39" w:rsidRPr="0034785B" w:rsidRDefault="00BC3E39" w:rsidP="009F09C0">
      <w:pPr>
        <w:jc w:val="both"/>
        <w:rPr>
          <w:sz w:val="20"/>
          <w:lang w:val="fr-CA"/>
        </w:rPr>
      </w:pPr>
      <w:r w:rsidRPr="0034785B">
        <w:rPr>
          <w:sz w:val="20"/>
          <w:lang w:val="fr-CA"/>
        </w:rPr>
        <w:t xml:space="preserve">La demande d’autorisation d’appel est rejetée avec dépens en faveur de l’Université de Windsor </w:t>
      </w:r>
      <w:r w:rsidRPr="0034785B">
        <w:rPr>
          <w:color w:val="222222"/>
          <w:sz w:val="20"/>
          <w:lang w:val="fr-FR"/>
        </w:rPr>
        <w:t xml:space="preserve">conformément au tarif des honoraires et débours </w:t>
      </w:r>
      <w:r w:rsidRPr="0034785B">
        <w:rPr>
          <w:sz w:val="20"/>
          <w:lang w:val="fr-CA"/>
        </w:rPr>
        <w:t xml:space="preserve">établi à l’Annexe </w:t>
      </w:r>
      <w:r w:rsidRPr="0034785B">
        <w:rPr>
          <w:color w:val="222222"/>
          <w:sz w:val="20"/>
          <w:lang w:val="fr-FR"/>
        </w:rPr>
        <w:t xml:space="preserve">B des </w:t>
      </w:r>
      <w:r w:rsidRPr="0034785B">
        <w:rPr>
          <w:i/>
          <w:color w:val="222222"/>
          <w:sz w:val="20"/>
          <w:lang w:val="fr-FR"/>
        </w:rPr>
        <w:t>Règles de la Cour suprême du Canada</w:t>
      </w:r>
      <w:r w:rsidRPr="0034785B">
        <w:rPr>
          <w:color w:val="222222"/>
          <w:sz w:val="20"/>
          <w:lang w:val="fr-FR"/>
        </w:rPr>
        <w:t>.)</w:t>
      </w:r>
    </w:p>
    <w:p w:rsidR="00214BA3" w:rsidRPr="0034785B" w:rsidRDefault="00214BA3" w:rsidP="00214BA3">
      <w:pPr>
        <w:jc w:val="both"/>
        <w:rPr>
          <w:rFonts w:eastAsia="Calibri"/>
          <w:sz w:val="20"/>
          <w:lang w:val="fr-CA"/>
        </w:rPr>
      </w:pPr>
      <w:r w:rsidRPr="0034785B">
        <w:rPr>
          <w:rFonts w:eastAsia="Calibri"/>
          <w:sz w:val="20"/>
          <w:lang w:val="fr-CA"/>
        </w:rPr>
        <w:t>Coram: McLachlin / Wagner / Gascon</w:t>
      </w:r>
    </w:p>
    <w:p w:rsidR="00214BA3" w:rsidRPr="0034785B" w:rsidRDefault="00214BA3" w:rsidP="00214BA3">
      <w:pPr>
        <w:widowControl w:val="0"/>
        <w:autoSpaceDE w:val="0"/>
        <w:autoSpaceDN w:val="0"/>
        <w:adjustRightInd w:val="0"/>
        <w:rPr>
          <w:rFonts w:eastAsiaTheme="minorEastAsia"/>
          <w:sz w:val="20"/>
          <w:lang w:eastAsia="en-CA"/>
        </w:rPr>
      </w:pPr>
    </w:p>
    <w:p w:rsidR="00214BA3" w:rsidRPr="0034785B" w:rsidRDefault="00214BA3" w:rsidP="00214BA3">
      <w:pPr>
        <w:jc w:val="both"/>
        <w:rPr>
          <w:sz w:val="20"/>
        </w:rPr>
      </w:pPr>
      <w:r w:rsidRPr="0034785B">
        <w:rPr>
          <w:sz w:val="20"/>
          <w:lang w:val="en-CA"/>
        </w:rPr>
        <w:t>****</w:t>
      </w:r>
    </w:p>
    <w:p w:rsidR="00214BA3" w:rsidRPr="0034785B" w:rsidRDefault="00214BA3" w:rsidP="009F09C0">
      <w:pPr>
        <w:jc w:val="both"/>
        <w:rPr>
          <w:sz w:val="20"/>
          <w:lang w:val="fr-CA"/>
        </w:rPr>
      </w:pPr>
    </w:p>
    <w:p w:rsidR="00E27508" w:rsidRPr="0034785B" w:rsidRDefault="00E27508" w:rsidP="00E27508">
      <w:pPr>
        <w:jc w:val="both"/>
        <w:rPr>
          <w:sz w:val="20"/>
          <w:lang w:val="en-CA" w:eastAsia="en-CA"/>
        </w:rPr>
      </w:pPr>
      <w:proofErr w:type="spellStart"/>
      <w:r w:rsidRPr="0034785B">
        <w:rPr>
          <w:i/>
          <w:sz w:val="20"/>
          <w:lang w:val="en-CA" w:eastAsia="en-CA"/>
        </w:rPr>
        <w:t>Anica</w:t>
      </w:r>
      <w:proofErr w:type="spellEnd"/>
      <w:r w:rsidRPr="0034785B">
        <w:rPr>
          <w:i/>
          <w:sz w:val="20"/>
          <w:lang w:val="en-CA" w:eastAsia="en-CA"/>
        </w:rPr>
        <w:t xml:space="preserve"> </w:t>
      </w:r>
      <w:proofErr w:type="spellStart"/>
      <w:r w:rsidRPr="0034785B">
        <w:rPr>
          <w:i/>
          <w:sz w:val="20"/>
          <w:lang w:val="en-CA" w:eastAsia="en-CA"/>
        </w:rPr>
        <w:t>Visic</w:t>
      </w:r>
      <w:proofErr w:type="spellEnd"/>
      <w:r w:rsidRPr="0034785B">
        <w:rPr>
          <w:i/>
          <w:sz w:val="20"/>
          <w:lang w:val="en-CA" w:eastAsia="en-CA"/>
        </w:rPr>
        <w:t xml:space="preserve"> v. Ontario Human Rights Tribunal et al. </w:t>
      </w:r>
      <w:r w:rsidRPr="0034785B">
        <w:rPr>
          <w:sz w:val="20"/>
          <w:lang w:val="en-CA" w:eastAsia="en-CA"/>
        </w:rPr>
        <w:t xml:space="preserve">(Ont.) (Civil) (By Leave) </w:t>
      </w:r>
      <w:r w:rsidRPr="0034785B">
        <w:rPr>
          <w:sz w:val="20"/>
        </w:rPr>
        <w:t>(</w:t>
      </w:r>
      <w:hyperlink r:id="rId17" w:history="1">
        <w:r w:rsidRPr="0034785B">
          <w:rPr>
            <w:rStyle w:val="Hyperlink"/>
            <w:sz w:val="20"/>
          </w:rPr>
          <w:t>37127</w:t>
        </w:r>
      </w:hyperlink>
      <w:r w:rsidRPr="0034785B">
        <w:rPr>
          <w:sz w:val="20"/>
        </w:rPr>
        <w:t>)</w:t>
      </w:r>
    </w:p>
    <w:p w:rsidR="0069306B" w:rsidRPr="0034785B" w:rsidRDefault="00E27508" w:rsidP="009F09C0">
      <w:pPr>
        <w:jc w:val="both"/>
        <w:rPr>
          <w:sz w:val="20"/>
        </w:rPr>
      </w:pPr>
      <w:r w:rsidRPr="0034785B">
        <w:rPr>
          <w:sz w:val="20"/>
          <w:lang w:val="fr-CA"/>
        </w:rPr>
        <w:t>(</w:t>
      </w:r>
      <w:r w:rsidRPr="0034785B">
        <w:rPr>
          <w:sz w:val="20"/>
        </w:rPr>
        <w:t xml:space="preserve">The application for leave to appeal is dismissed with costs to Elia Associates Professional, Patricia Elia and Richard Elia in accordance with the Tariff of fees and disbursements set out in Schedule B of the </w:t>
      </w:r>
      <w:r w:rsidRPr="0034785B">
        <w:rPr>
          <w:i/>
          <w:sz w:val="20"/>
        </w:rPr>
        <w:t>Rules of the Supreme Court of Canada</w:t>
      </w:r>
      <w:r w:rsidRPr="0034785B">
        <w:rPr>
          <w:sz w:val="20"/>
        </w:rPr>
        <w:t xml:space="preserve">. / </w:t>
      </w:r>
    </w:p>
    <w:p w:rsidR="00E27508" w:rsidRPr="0034785B" w:rsidRDefault="00E27508" w:rsidP="009F09C0">
      <w:pPr>
        <w:jc w:val="both"/>
        <w:rPr>
          <w:sz w:val="20"/>
          <w:lang w:val="fr-CA"/>
        </w:rPr>
      </w:pPr>
      <w:r w:rsidRPr="0034785B">
        <w:rPr>
          <w:sz w:val="20"/>
          <w:lang w:val="fr-CA"/>
        </w:rPr>
        <w:t>La demande d’autorisation d’appel est rejetée avec dépens en faveur d’Elia</w:t>
      </w:r>
      <w:r w:rsidRPr="0034785B">
        <w:rPr>
          <w:sz w:val="20"/>
          <w:lang w:val="fr-FR"/>
        </w:rPr>
        <w:t xml:space="preserve"> Associates Professional, Patricia Elia and Richard Elia </w:t>
      </w:r>
      <w:r w:rsidRPr="0034785B">
        <w:rPr>
          <w:color w:val="222222"/>
          <w:sz w:val="20"/>
          <w:lang w:val="fr-FR"/>
        </w:rPr>
        <w:t xml:space="preserve">conformément au tarif des honoraires et débours </w:t>
      </w:r>
      <w:r w:rsidRPr="0034785B">
        <w:rPr>
          <w:sz w:val="20"/>
          <w:lang w:val="fr-CA"/>
        </w:rPr>
        <w:t xml:space="preserve">établi à l’Annexe </w:t>
      </w:r>
      <w:r w:rsidRPr="0034785B">
        <w:rPr>
          <w:color w:val="222222"/>
          <w:sz w:val="20"/>
          <w:lang w:val="fr-FR"/>
        </w:rPr>
        <w:t xml:space="preserve">B des </w:t>
      </w:r>
      <w:r w:rsidRPr="0034785B">
        <w:rPr>
          <w:i/>
          <w:color w:val="222222"/>
          <w:sz w:val="20"/>
          <w:lang w:val="fr-FR"/>
        </w:rPr>
        <w:t>Règles de la Cour suprême du Canada</w:t>
      </w:r>
      <w:r w:rsidRPr="0034785B">
        <w:rPr>
          <w:color w:val="222222"/>
          <w:sz w:val="20"/>
          <w:lang w:val="fr-FR"/>
        </w:rPr>
        <w:t>.)</w:t>
      </w:r>
    </w:p>
    <w:p w:rsidR="0069306B" w:rsidRPr="0034785B" w:rsidRDefault="0069306B" w:rsidP="0069306B">
      <w:pPr>
        <w:jc w:val="both"/>
        <w:rPr>
          <w:rFonts w:eastAsia="Calibri"/>
          <w:sz w:val="20"/>
          <w:lang w:val="fr-CA"/>
        </w:rPr>
      </w:pPr>
      <w:r w:rsidRPr="0034785B">
        <w:rPr>
          <w:rFonts w:eastAsia="Calibri"/>
          <w:sz w:val="20"/>
          <w:lang w:val="fr-CA"/>
        </w:rPr>
        <w:t>Coram: McLachlin / Wagner / Gascon</w:t>
      </w:r>
    </w:p>
    <w:p w:rsidR="0069306B" w:rsidRPr="0034785B" w:rsidRDefault="0069306B" w:rsidP="0069306B">
      <w:pPr>
        <w:widowControl w:val="0"/>
        <w:autoSpaceDE w:val="0"/>
        <w:autoSpaceDN w:val="0"/>
        <w:adjustRightInd w:val="0"/>
        <w:rPr>
          <w:rFonts w:eastAsiaTheme="minorEastAsia"/>
          <w:sz w:val="20"/>
          <w:lang w:eastAsia="en-CA"/>
        </w:rPr>
      </w:pPr>
    </w:p>
    <w:p w:rsidR="0069306B" w:rsidRPr="0034785B" w:rsidRDefault="0069306B" w:rsidP="0069306B">
      <w:pPr>
        <w:jc w:val="both"/>
        <w:rPr>
          <w:sz w:val="20"/>
        </w:rPr>
      </w:pPr>
      <w:r w:rsidRPr="0034785B">
        <w:rPr>
          <w:sz w:val="20"/>
          <w:lang w:val="en-CA"/>
        </w:rPr>
        <w:t>****</w:t>
      </w:r>
    </w:p>
    <w:p w:rsidR="0069306B" w:rsidRPr="0034785B" w:rsidRDefault="0069306B" w:rsidP="009F09C0">
      <w:pPr>
        <w:jc w:val="both"/>
        <w:rPr>
          <w:sz w:val="20"/>
          <w:lang w:val="fr-CA"/>
        </w:rPr>
      </w:pPr>
    </w:p>
    <w:p w:rsidR="008F1AF0" w:rsidRPr="0034785B" w:rsidRDefault="008F1AF0" w:rsidP="008F1AF0">
      <w:pPr>
        <w:pStyle w:val="SCCAppellantInfoAppellantInfo"/>
        <w:rPr>
          <w:sz w:val="20"/>
          <w:szCs w:val="20"/>
        </w:rPr>
      </w:pPr>
      <w:r w:rsidRPr="0034785B">
        <w:rPr>
          <w:i/>
          <w:sz w:val="20"/>
          <w:szCs w:val="20"/>
        </w:rPr>
        <w:t>Fang Hu v. Alberta Law Enforcement Review Board et al.</w:t>
      </w:r>
      <w:r w:rsidRPr="0034785B">
        <w:rPr>
          <w:sz w:val="20"/>
          <w:szCs w:val="20"/>
        </w:rPr>
        <w:t xml:space="preserve"> (Alta.) (Civil) (By Leave) </w:t>
      </w:r>
      <w:r w:rsidRPr="0034785B">
        <w:rPr>
          <w:sz w:val="20"/>
        </w:rPr>
        <w:t>(</w:t>
      </w:r>
      <w:hyperlink r:id="rId18" w:history="1">
        <w:r w:rsidRPr="0034785B">
          <w:rPr>
            <w:rStyle w:val="Hyperlink"/>
            <w:sz w:val="20"/>
          </w:rPr>
          <w:t>37004</w:t>
        </w:r>
      </w:hyperlink>
      <w:r w:rsidRPr="0034785B">
        <w:rPr>
          <w:sz w:val="20"/>
        </w:rPr>
        <w:t>)</w:t>
      </w:r>
    </w:p>
    <w:p w:rsidR="0069306B" w:rsidRPr="0034785B" w:rsidRDefault="008F1AF0" w:rsidP="0069306B">
      <w:pPr>
        <w:jc w:val="both"/>
        <w:rPr>
          <w:sz w:val="20"/>
        </w:rPr>
      </w:pPr>
      <w:r w:rsidRPr="0034785B">
        <w:rPr>
          <w:sz w:val="20"/>
          <w:lang w:val="fr-CA"/>
        </w:rPr>
        <w:t>(</w:t>
      </w:r>
      <w:r w:rsidRPr="0034785B">
        <w:rPr>
          <w:sz w:val="20"/>
        </w:rPr>
        <w:t xml:space="preserve">The application for leave to appeal is dismissed with costs to the respondents  </w:t>
      </w:r>
      <w:proofErr w:type="spellStart"/>
      <w:r w:rsidRPr="0034785B">
        <w:rPr>
          <w:sz w:val="20"/>
        </w:rPr>
        <w:t>Cst</w:t>
      </w:r>
      <w:proofErr w:type="spellEnd"/>
      <w:r w:rsidRPr="0034785B">
        <w:rPr>
          <w:sz w:val="20"/>
        </w:rPr>
        <w:t xml:space="preserve">. D. White, Det. K. Martin, S/Sgt. D. </w:t>
      </w:r>
      <w:proofErr w:type="spellStart"/>
      <w:r w:rsidRPr="0034785B">
        <w:rPr>
          <w:sz w:val="20"/>
        </w:rPr>
        <w:t>Lakusta</w:t>
      </w:r>
      <w:proofErr w:type="spellEnd"/>
      <w:r w:rsidRPr="0034785B">
        <w:rPr>
          <w:sz w:val="20"/>
        </w:rPr>
        <w:t xml:space="preserve"> and S/</w:t>
      </w:r>
      <w:proofErr w:type="spellStart"/>
      <w:r w:rsidRPr="0034785B">
        <w:rPr>
          <w:sz w:val="20"/>
        </w:rPr>
        <w:t>Sgt</w:t>
      </w:r>
      <w:proofErr w:type="spellEnd"/>
      <w:r w:rsidRPr="0034785B">
        <w:rPr>
          <w:sz w:val="20"/>
        </w:rPr>
        <w:t xml:space="preserve"> R. Mills. / </w:t>
      </w:r>
    </w:p>
    <w:p w:rsidR="008F1AF0" w:rsidRPr="0034785B" w:rsidRDefault="008F1AF0" w:rsidP="0069306B">
      <w:pPr>
        <w:jc w:val="both"/>
        <w:rPr>
          <w:sz w:val="20"/>
          <w:lang w:val="fr-CA"/>
        </w:rPr>
      </w:pPr>
      <w:r w:rsidRPr="0034785B">
        <w:rPr>
          <w:sz w:val="20"/>
          <w:lang w:val="fr-CA"/>
        </w:rPr>
        <w:t>La demande d’autorisation d’appel est rejetée avec dépens</w:t>
      </w:r>
      <w:r w:rsidRPr="0034785B">
        <w:rPr>
          <w:sz w:val="20"/>
          <w:lang w:val="fr-FR"/>
        </w:rPr>
        <w:t xml:space="preserve"> en faveur des intimés </w:t>
      </w:r>
      <w:proofErr w:type="spellStart"/>
      <w:r w:rsidRPr="0034785B">
        <w:rPr>
          <w:sz w:val="20"/>
          <w:lang w:val="fr-FR"/>
        </w:rPr>
        <w:t>Cst</w:t>
      </w:r>
      <w:proofErr w:type="spellEnd"/>
      <w:r w:rsidRPr="0034785B">
        <w:rPr>
          <w:sz w:val="20"/>
          <w:lang w:val="fr-FR"/>
        </w:rPr>
        <w:t xml:space="preserve">. D. White, </w:t>
      </w:r>
      <w:proofErr w:type="spellStart"/>
      <w:r w:rsidRPr="0034785B">
        <w:rPr>
          <w:sz w:val="20"/>
          <w:lang w:val="fr-FR"/>
        </w:rPr>
        <w:t>Det</w:t>
      </w:r>
      <w:proofErr w:type="spellEnd"/>
      <w:r w:rsidRPr="0034785B">
        <w:rPr>
          <w:sz w:val="20"/>
          <w:lang w:val="fr-FR"/>
        </w:rPr>
        <w:t xml:space="preserve">. K. Martin, S/Sgt. D. </w:t>
      </w:r>
      <w:proofErr w:type="spellStart"/>
      <w:r w:rsidRPr="0034785B">
        <w:rPr>
          <w:sz w:val="20"/>
          <w:lang w:val="fr-FR"/>
        </w:rPr>
        <w:t>Lakusta</w:t>
      </w:r>
      <w:proofErr w:type="spellEnd"/>
      <w:r w:rsidRPr="0034785B">
        <w:rPr>
          <w:sz w:val="20"/>
          <w:lang w:val="fr-FR"/>
        </w:rPr>
        <w:t xml:space="preserve"> et S/Sgt R. Mills.)</w:t>
      </w:r>
    </w:p>
    <w:p w:rsidR="0069306B" w:rsidRPr="0034785B" w:rsidRDefault="0069306B" w:rsidP="0069306B">
      <w:pPr>
        <w:jc w:val="both"/>
        <w:rPr>
          <w:rFonts w:eastAsia="Calibri"/>
          <w:sz w:val="20"/>
          <w:lang w:val="fr-CA"/>
        </w:rPr>
      </w:pPr>
      <w:r w:rsidRPr="0034785B">
        <w:rPr>
          <w:rFonts w:eastAsia="Calibri"/>
          <w:sz w:val="20"/>
          <w:lang w:val="fr-CA"/>
        </w:rPr>
        <w:t>Coram: Abella / Karakatsanis / Brown</w:t>
      </w:r>
    </w:p>
    <w:p w:rsidR="0069306B" w:rsidRPr="0034785B" w:rsidRDefault="0069306B" w:rsidP="0069306B">
      <w:pPr>
        <w:widowControl w:val="0"/>
        <w:autoSpaceDE w:val="0"/>
        <w:autoSpaceDN w:val="0"/>
        <w:adjustRightInd w:val="0"/>
        <w:rPr>
          <w:rFonts w:eastAsiaTheme="minorEastAsia"/>
          <w:sz w:val="20"/>
          <w:lang w:eastAsia="en-CA"/>
        </w:rPr>
      </w:pPr>
    </w:p>
    <w:p w:rsidR="0069306B" w:rsidRPr="0034785B" w:rsidRDefault="0069306B" w:rsidP="0069306B">
      <w:pPr>
        <w:jc w:val="both"/>
        <w:rPr>
          <w:sz w:val="20"/>
        </w:rPr>
      </w:pPr>
      <w:r w:rsidRPr="0034785B">
        <w:rPr>
          <w:sz w:val="20"/>
          <w:lang w:val="en-CA"/>
        </w:rPr>
        <w:t>****</w:t>
      </w:r>
    </w:p>
    <w:p w:rsidR="0069306B" w:rsidRPr="0034785B" w:rsidRDefault="0069306B" w:rsidP="009F09C0">
      <w:pPr>
        <w:jc w:val="both"/>
        <w:rPr>
          <w:sz w:val="20"/>
          <w:lang w:val="fr-CA"/>
        </w:rPr>
      </w:pPr>
    </w:p>
    <w:p w:rsidR="005A5BE4" w:rsidRPr="0034785B" w:rsidRDefault="005A5BE4" w:rsidP="005A5BE4">
      <w:pPr>
        <w:pStyle w:val="SCCAppellantInfoAppellantInfo"/>
        <w:rPr>
          <w:sz w:val="20"/>
          <w:szCs w:val="20"/>
        </w:rPr>
      </w:pPr>
      <w:r w:rsidRPr="0034785B">
        <w:rPr>
          <w:i/>
          <w:sz w:val="20"/>
          <w:szCs w:val="20"/>
        </w:rPr>
        <w:t xml:space="preserve">Jacqueline Sanderson v. May </w:t>
      </w:r>
      <w:proofErr w:type="spellStart"/>
      <w:r w:rsidRPr="0034785B">
        <w:rPr>
          <w:i/>
          <w:sz w:val="20"/>
          <w:szCs w:val="20"/>
        </w:rPr>
        <w:t>Ostos</w:t>
      </w:r>
      <w:proofErr w:type="spellEnd"/>
      <w:r w:rsidRPr="0034785B">
        <w:rPr>
          <w:i/>
          <w:sz w:val="20"/>
          <w:szCs w:val="20"/>
        </w:rPr>
        <w:t xml:space="preserve"> </w:t>
      </w:r>
      <w:proofErr w:type="spellStart"/>
      <w:r w:rsidRPr="0034785B">
        <w:rPr>
          <w:i/>
          <w:sz w:val="20"/>
          <w:szCs w:val="20"/>
        </w:rPr>
        <w:t>Mangadlao</w:t>
      </w:r>
      <w:proofErr w:type="spellEnd"/>
      <w:r w:rsidRPr="0034785B">
        <w:rPr>
          <w:sz w:val="20"/>
          <w:szCs w:val="20"/>
        </w:rPr>
        <w:t xml:space="preserve"> (Que.) (Civil) (By Leave) </w:t>
      </w:r>
      <w:r w:rsidRPr="0034785B">
        <w:rPr>
          <w:sz w:val="20"/>
        </w:rPr>
        <w:t>(</w:t>
      </w:r>
      <w:hyperlink r:id="rId19" w:history="1">
        <w:r w:rsidRPr="0034785B">
          <w:rPr>
            <w:rStyle w:val="Hyperlink"/>
            <w:sz w:val="20"/>
          </w:rPr>
          <w:t>37048</w:t>
        </w:r>
      </w:hyperlink>
      <w:r w:rsidRPr="0034785B">
        <w:rPr>
          <w:sz w:val="20"/>
        </w:rPr>
        <w:t>)</w:t>
      </w:r>
    </w:p>
    <w:p w:rsidR="008F1AF0" w:rsidRPr="0034785B" w:rsidRDefault="008F1AF0" w:rsidP="008F1AF0">
      <w:pPr>
        <w:jc w:val="both"/>
        <w:rPr>
          <w:rFonts w:eastAsia="Calibri"/>
          <w:sz w:val="20"/>
          <w:lang w:val="fr-CA"/>
        </w:rPr>
      </w:pPr>
      <w:r w:rsidRPr="0034785B">
        <w:rPr>
          <w:rFonts w:eastAsia="Calibri"/>
          <w:sz w:val="20"/>
          <w:lang w:val="fr-CA"/>
        </w:rPr>
        <w:t>Coram: Abella / Karakatsanis / Brown</w:t>
      </w:r>
    </w:p>
    <w:p w:rsidR="008F1AF0" w:rsidRPr="0034785B" w:rsidRDefault="008F1AF0" w:rsidP="008F1AF0">
      <w:pPr>
        <w:widowControl w:val="0"/>
        <w:autoSpaceDE w:val="0"/>
        <w:autoSpaceDN w:val="0"/>
        <w:adjustRightInd w:val="0"/>
        <w:rPr>
          <w:rFonts w:eastAsiaTheme="minorEastAsia"/>
          <w:sz w:val="20"/>
          <w:lang w:eastAsia="en-CA"/>
        </w:rPr>
      </w:pPr>
    </w:p>
    <w:p w:rsidR="008F1AF0" w:rsidRPr="0034785B" w:rsidRDefault="008F1AF0" w:rsidP="008F1AF0">
      <w:pPr>
        <w:jc w:val="both"/>
        <w:rPr>
          <w:sz w:val="20"/>
        </w:rPr>
      </w:pPr>
      <w:r w:rsidRPr="0034785B">
        <w:rPr>
          <w:sz w:val="20"/>
          <w:lang w:val="en-CA"/>
        </w:rPr>
        <w:t>****</w:t>
      </w:r>
    </w:p>
    <w:p w:rsidR="008F1AF0" w:rsidRPr="0034785B" w:rsidRDefault="008F1AF0" w:rsidP="009F09C0">
      <w:pPr>
        <w:jc w:val="both"/>
        <w:rPr>
          <w:sz w:val="20"/>
          <w:lang w:val="fr-CA"/>
        </w:rPr>
      </w:pPr>
    </w:p>
    <w:p w:rsidR="000C7F2F" w:rsidRPr="0034785B" w:rsidRDefault="000C7F2F" w:rsidP="000C7F2F">
      <w:pPr>
        <w:pStyle w:val="SCCAppellantInfoAppellantInfo"/>
        <w:rPr>
          <w:sz w:val="20"/>
          <w:szCs w:val="20"/>
          <w:lang w:val="fr-CA"/>
        </w:rPr>
      </w:pPr>
      <w:proofErr w:type="spellStart"/>
      <w:r w:rsidRPr="0034785B">
        <w:rPr>
          <w:i/>
          <w:sz w:val="20"/>
          <w:szCs w:val="20"/>
          <w:lang w:val="fr-FR"/>
        </w:rPr>
        <w:t>DuProprio</w:t>
      </w:r>
      <w:proofErr w:type="spellEnd"/>
      <w:r w:rsidRPr="0034785B">
        <w:rPr>
          <w:i/>
          <w:sz w:val="20"/>
          <w:szCs w:val="20"/>
          <w:lang w:val="fr-FR"/>
        </w:rPr>
        <w:t xml:space="preserve"> </w:t>
      </w:r>
      <w:proofErr w:type="spellStart"/>
      <w:r w:rsidRPr="0034785B">
        <w:rPr>
          <w:i/>
          <w:sz w:val="20"/>
          <w:szCs w:val="20"/>
          <w:lang w:val="fr-FR"/>
        </w:rPr>
        <w:t>inc.</w:t>
      </w:r>
      <w:proofErr w:type="spellEnd"/>
      <w:r w:rsidRPr="0034785B">
        <w:rPr>
          <w:i/>
          <w:sz w:val="20"/>
          <w:szCs w:val="20"/>
          <w:lang w:val="fr-FR"/>
        </w:rPr>
        <w:t xml:space="preserve"> c. Organisme d’autoréglementation du courtage immobilier du Québec (OACIQ)</w:t>
      </w:r>
      <w:r w:rsidRPr="0034785B">
        <w:rPr>
          <w:sz w:val="20"/>
          <w:szCs w:val="20"/>
          <w:lang w:val="fr-FR"/>
        </w:rPr>
        <w:t xml:space="preserve"> (</w:t>
      </w:r>
      <w:proofErr w:type="spellStart"/>
      <w:r w:rsidRPr="0034785B">
        <w:rPr>
          <w:sz w:val="20"/>
          <w:szCs w:val="20"/>
          <w:lang w:val="fr-FR"/>
        </w:rPr>
        <w:t>Qc</w:t>
      </w:r>
      <w:proofErr w:type="spellEnd"/>
      <w:r w:rsidRPr="0034785B">
        <w:rPr>
          <w:sz w:val="20"/>
          <w:szCs w:val="20"/>
          <w:lang w:val="fr-FR"/>
        </w:rPr>
        <w:t>) (Civile) (</w:t>
      </w:r>
      <w:r w:rsidRPr="0034785B">
        <w:rPr>
          <w:sz w:val="20"/>
          <w:szCs w:val="20"/>
          <w:lang w:val="fr-CA"/>
        </w:rPr>
        <w:t xml:space="preserve">Autorisation) </w:t>
      </w:r>
      <w:r w:rsidRPr="0034785B">
        <w:rPr>
          <w:sz w:val="20"/>
        </w:rPr>
        <w:t>(</w:t>
      </w:r>
      <w:hyperlink r:id="rId20" w:history="1">
        <w:r w:rsidRPr="0034785B">
          <w:rPr>
            <w:rStyle w:val="Hyperlink"/>
            <w:sz w:val="20"/>
          </w:rPr>
          <w:t>36972</w:t>
        </w:r>
      </w:hyperlink>
      <w:r w:rsidRPr="0034785B">
        <w:rPr>
          <w:sz w:val="20"/>
        </w:rPr>
        <w:t>)</w:t>
      </w:r>
    </w:p>
    <w:p w:rsidR="008F1AF0" w:rsidRPr="0034785B" w:rsidRDefault="008F1AF0" w:rsidP="008F1AF0">
      <w:pPr>
        <w:jc w:val="both"/>
        <w:rPr>
          <w:rFonts w:eastAsia="Calibri"/>
          <w:sz w:val="20"/>
          <w:lang w:val="fr-CA"/>
        </w:rPr>
      </w:pPr>
      <w:r w:rsidRPr="0034785B">
        <w:rPr>
          <w:rFonts w:eastAsia="Calibri"/>
          <w:sz w:val="20"/>
          <w:lang w:val="fr-CA"/>
        </w:rPr>
        <w:t>Coram: Abella / Karakatsanis / Brown</w:t>
      </w:r>
    </w:p>
    <w:p w:rsidR="008F1AF0" w:rsidRPr="0034785B" w:rsidRDefault="008F1AF0" w:rsidP="008F1AF0">
      <w:pPr>
        <w:widowControl w:val="0"/>
        <w:autoSpaceDE w:val="0"/>
        <w:autoSpaceDN w:val="0"/>
        <w:adjustRightInd w:val="0"/>
        <w:rPr>
          <w:rFonts w:eastAsiaTheme="minorEastAsia"/>
          <w:sz w:val="20"/>
          <w:lang w:eastAsia="en-CA"/>
        </w:rPr>
      </w:pPr>
    </w:p>
    <w:p w:rsidR="008F1AF0" w:rsidRPr="0034785B" w:rsidRDefault="008F1AF0" w:rsidP="008F1AF0">
      <w:pPr>
        <w:jc w:val="both"/>
        <w:rPr>
          <w:sz w:val="20"/>
        </w:rPr>
      </w:pPr>
      <w:r w:rsidRPr="0034785B">
        <w:rPr>
          <w:sz w:val="20"/>
          <w:lang w:val="en-CA"/>
        </w:rPr>
        <w:t>****</w:t>
      </w:r>
    </w:p>
    <w:p w:rsidR="00801F8E" w:rsidRPr="0034785B" w:rsidRDefault="00801F8E" w:rsidP="00801F8E">
      <w:pPr>
        <w:ind w:left="360" w:hanging="360"/>
        <w:jc w:val="both"/>
        <w:rPr>
          <w:rFonts w:eastAsiaTheme="minorEastAsia"/>
          <w:sz w:val="20"/>
          <w:lang w:val="fr-CA" w:eastAsia="en-CA"/>
        </w:rPr>
      </w:pPr>
    </w:p>
    <w:p w:rsidR="00801F8E" w:rsidRPr="0034785B" w:rsidRDefault="00801F8E" w:rsidP="003B434B">
      <w:pPr>
        <w:jc w:val="both"/>
        <w:rPr>
          <w:sz w:val="20"/>
        </w:rPr>
      </w:pPr>
    </w:p>
    <w:p w:rsidR="00494283" w:rsidRPr="0034785B" w:rsidRDefault="00494283" w:rsidP="003B434B">
      <w:pPr>
        <w:jc w:val="both"/>
        <w:rPr>
          <w:sz w:val="20"/>
        </w:rPr>
      </w:pPr>
    </w:p>
    <w:p w:rsidR="002E4682" w:rsidRPr="0034785B" w:rsidRDefault="002E4682" w:rsidP="002E4682">
      <w:pPr>
        <w:widowControl w:val="0"/>
        <w:outlineLvl w:val="0"/>
      </w:pPr>
      <w:r w:rsidRPr="0034785B">
        <w:t xml:space="preserve">Supreme Court of Canada / </w:t>
      </w:r>
      <w:proofErr w:type="spellStart"/>
      <w:r w:rsidRPr="0034785B">
        <w:t>Cour</w:t>
      </w:r>
      <w:proofErr w:type="spellEnd"/>
      <w:r w:rsidRPr="0034785B">
        <w:t xml:space="preserve"> </w:t>
      </w:r>
      <w:proofErr w:type="spellStart"/>
      <w:r w:rsidRPr="0034785B">
        <w:t>suprême</w:t>
      </w:r>
      <w:proofErr w:type="spellEnd"/>
      <w:r w:rsidRPr="0034785B">
        <w:t xml:space="preserve"> du </w:t>
      </w:r>
      <w:proofErr w:type="gramStart"/>
      <w:r w:rsidRPr="0034785B">
        <w:t>Canada :</w:t>
      </w:r>
      <w:proofErr w:type="gramEnd"/>
      <w:r w:rsidRPr="0034785B">
        <w:t xml:space="preserve"> </w:t>
      </w:r>
    </w:p>
    <w:p w:rsidR="002E4682" w:rsidRPr="0034785B" w:rsidRDefault="000D762B" w:rsidP="002E4682">
      <w:pPr>
        <w:widowControl w:val="0"/>
        <w:outlineLvl w:val="0"/>
        <w:rPr>
          <w:color w:val="0000FF"/>
          <w:u w:val="single"/>
        </w:rPr>
      </w:pPr>
      <w:hyperlink r:id="rId21" w:history="1">
        <w:r w:rsidR="002E4682" w:rsidRPr="0034785B">
          <w:rPr>
            <w:rStyle w:val="Hyperlink"/>
          </w:rPr>
          <w:t>comments-commentaires@scc-csc.ca</w:t>
        </w:r>
      </w:hyperlink>
    </w:p>
    <w:p w:rsidR="002E4682" w:rsidRPr="0034785B" w:rsidRDefault="002E4682" w:rsidP="002E4682">
      <w:pPr>
        <w:widowControl w:val="0"/>
        <w:outlineLvl w:val="0"/>
      </w:pPr>
      <w:r w:rsidRPr="0034785B">
        <w:t>(613) 995-4330</w:t>
      </w:r>
    </w:p>
    <w:p w:rsidR="002E4682" w:rsidRPr="0034785B" w:rsidRDefault="002E4682" w:rsidP="002E4682">
      <w:pPr>
        <w:widowControl w:val="0"/>
        <w:rPr>
          <w:sz w:val="20"/>
        </w:rPr>
      </w:pPr>
    </w:p>
    <w:p w:rsidR="002E4682" w:rsidRPr="0034785B" w:rsidRDefault="002E4682" w:rsidP="002E4682">
      <w:pPr>
        <w:widowControl w:val="0"/>
        <w:rPr>
          <w:sz w:val="20"/>
        </w:rPr>
      </w:pPr>
    </w:p>
    <w:p w:rsidR="002E4682" w:rsidRPr="006D50F8" w:rsidRDefault="002E4682" w:rsidP="002E4682">
      <w:pPr>
        <w:pStyle w:val="Footer"/>
        <w:jc w:val="center"/>
      </w:pPr>
      <w:r w:rsidRPr="0034785B">
        <w:t>- 30 -</w:t>
      </w:r>
    </w:p>
    <w:p w:rsidR="002E4682" w:rsidRPr="006D50F8" w:rsidRDefault="002E4682" w:rsidP="002E4682">
      <w:pPr>
        <w:pStyle w:val="Footer"/>
        <w:jc w:val="center"/>
      </w:pPr>
    </w:p>
    <w:p w:rsidR="002E4682" w:rsidRPr="006D50F8" w:rsidRDefault="002E4682" w:rsidP="002E4682">
      <w:pPr>
        <w:pStyle w:val="Footer"/>
        <w:jc w:val="center"/>
      </w:pPr>
    </w:p>
    <w:p w:rsidR="003F43E6" w:rsidRPr="002E4682" w:rsidRDefault="003F43E6" w:rsidP="002E4682">
      <w:pPr>
        <w:widowControl w:val="0"/>
        <w:outlineLvl w:val="0"/>
        <w:rPr>
          <w:sz w:val="20"/>
          <w:lang w:val="fr-CA"/>
        </w:rPr>
      </w:pPr>
    </w:p>
    <w:sectPr w:rsidR="003F43E6" w:rsidRPr="002E4682"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4A" w:rsidRDefault="00BC2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4A" w:rsidRDefault="00BC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4A" w:rsidRDefault="00BC2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4A" w:rsidRDefault="00BC2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4A" w:rsidRDefault="00BC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6"/>
  </w:num>
  <w:num w:numId="6">
    <w:abstractNumId w:val="11"/>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4"/>
  </w:num>
  <w:num w:numId="13">
    <w:abstractNumId w:val="5"/>
  </w:num>
  <w:num w:numId="14">
    <w:abstractNumId w:val="3"/>
  </w:num>
  <w:num w:numId="15">
    <w:abstractNumId w:val="15"/>
  </w:num>
  <w:num w:numId="16">
    <w:abstractNumId w:val="8"/>
  </w:num>
  <w:num w:numId="17">
    <w:abstractNumId w:val="17"/>
  </w:num>
  <w:num w:numId="18">
    <w:abstractNumId w:val="9"/>
  </w:num>
  <w:num w:numId="19">
    <w:abstractNumId w:val="0"/>
  </w:num>
  <w:num w:numId="20">
    <w:abstractNumId w:val="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085B"/>
    <w:rsid w:val="00091A43"/>
    <w:rsid w:val="00092DBB"/>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C7F2F"/>
    <w:rsid w:val="000D3129"/>
    <w:rsid w:val="000D5A59"/>
    <w:rsid w:val="000D6566"/>
    <w:rsid w:val="000D762B"/>
    <w:rsid w:val="000E0BAB"/>
    <w:rsid w:val="000E1F2A"/>
    <w:rsid w:val="000E3305"/>
    <w:rsid w:val="000E35CD"/>
    <w:rsid w:val="000E50F2"/>
    <w:rsid w:val="000E5407"/>
    <w:rsid w:val="000F1164"/>
    <w:rsid w:val="000F22D3"/>
    <w:rsid w:val="000F3B4D"/>
    <w:rsid w:val="000F525E"/>
    <w:rsid w:val="00100CEE"/>
    <w:rsid w:val="00101E4B"/>
    <w:rsid w:val="001027F9"/>
    <w:rsid w:val="00102C52"/>
    <w:rsid w:val="00102F8F"/>
    <w:rsid w:val="001068F5"/>
    <w:rsid w:val="00107219"/>
    <w:rsid w:val="0011236E"/>
    <w:rsid w:val="00112997"/>
    <w:rsid w:val="00117AF3"/>
    <w:rsid w:val="0012101A"/>
    <w:rsid w:val="00121952"/>
    <w:rsid w:val="00123976"/>
    <w:rsid w:val="00124DEC"/>
    <w:rsid w:val="00127484"/>
    <w:rsid w:val="00132635"/>
    <w:rsid w:val="00132E67"/>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076B"/>
    <w:rsid w:val="003012A2"/>
    <w:rsid w:val="00301A43"/>
    <w:rsid w:val="00304091"/>
    <w:rsid w:val="00307DB0"/>
    <w:rsid w:val="00312D0B"/>
    <w:rsid w:val="003134D7"/>
    <w:rsid w:val="00313652"/>
    <w:rsid w:val="003151B5"/>
    <w:rsid w:val="00316DFA"/>
    <w:rsid w:val="003205B7"/>
    <w:rsid w:val="003235CC"/>
    <w:rsid w:val="00324F71"/>
    <w:rsid w:val="00325668"/>
    <w:rsid w:val="0033241A"/>
    <w:rsid w:val="00333C90"/>
    <w:rsid w:val="0033535C"/>
    <w:rsid w:val="00340D7B"/>
    <w:rsid w:val="003413DF"/>
    <w:rsid w:val="0034178A"/>
    <w:rsid w:val="003446AF"/>
    <w:rsid w:val="00344FD4"/>
    <w:rsid w:val="0034785B"/>
    <w:rsid w:val="00347ED2"/>
    <w:rsid w:val="003509E6"/>
    <w:rsid w:val="00351946"/>
    <w:rsid w:val="00352802"/>
    <w:rsid w:val="003535EF"/>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A35"/>
    <w:rsid w:val="00550CF9"/>
    <w:rsid w:val="005542A1"/>
    <w:rsid w:val="00554EC9"/>
    <w:rsid w:val="00557DCC"/>
    <w:rsid w:val="005617DA"/>
    <w:rsid w:val="00561B18"/>
    <w:rsid w:val="00566C79"/>
    <w:rsid w:val="00570169"/>
    <w:rsid w:val="005812EF"/>
    <w:rsid w:val="00583F19"/>
    <w:rsid w:val="0058734E"/>
    <w:rsid w:val="00587914"/>
    <w:rsid w:val="005925EC"/>
    <w:rsid w:val="0059611F"/>
    <w:rsid w:val="00597224"/>
    <w:rsid w:val="0059795B"/>
    <w:rsid w:val="005A1B7D"/>
    <w:rsid w:val="005A3592"/>
    <w:rsid w:val="005A4082"/>
    <w:rsid w:val="005A5BE4"/>
    <w:rsid w:val="005A7109"/>
    <w:rsid w:val="005B0AAB"/>
    <w:rsid w:val="005B0D9E"/>
    <w:rsid w:val="005B10FF"/>
    <w:rsid w:val="005B4EB8"/>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2A4A"/>
    <w:rsid w:val="00634573"/>
    <w:rsid w:val="00635A24"/>
    <w:rsid w:val="00636ADD"/>
    <w:rsid w:val="006406E5"/>
    <w:rsid w:val="00640B24"/>
    <w:rsid w:val="006442C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25B3"/>
    <w:rsid w:val="006E27D1"/>
    <w:rsid w:val="006E3FB5"/>
    <w:rsid w:val="006E4B08"/>
    <w:rsid w:val="006E4EB7"/>
    <w:rsid w:val="006E7F81"/>
    <w:rsid w:val="006F02B8"/>
    <w:rsid w:val="006F16DF"/>
    <w:rsid w:val="006F2579"/>
    <w:rsid w:val="006F2E4C"/>
    <w:rsid w:val="006F5483"/>
    <w:rsid w:val="006F6638"/>
    <w:rsid w:val="00704CDE"/>
    <w:rsid w:val="0070582E"/>
    <w:rsid w:val="00705E29"/>
    <w:rsid w:val="00706817"/>
    <w:rsid w:val="007129EA"/>
    <w:rsid w:val="00712D85"/>
    <w:rsid w:val="007140F8"/>
    <w:rsid w:val="00722455"/>
    <w:rsid w:val="007226F3"/>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3433"/>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913"/>
    <w:rsid w:val="00800DF8"/>
    <w:rsid w:val="008010EA"/>
    <w:rsid w:val="00801F8E"/>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90762"/>
    <w:rsid w:val="0089414D"/>
    <w:rsid w:val="008967C3"/>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834"/>
    <w:rsid w:val="008C7CD9"/>
    <w:rsid w:val="008D3B18"/>
    <w:rsid w:val="008D68D4"/>
    <w:rsid w:val="008D7908"/>
    <w:rsid w:val="008D7F59"/>
    <w:rsid w:val="008E10A7"/>
    <w:rsid w:val="008E30CD"/>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294A"/>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CEF"/>
    <w:rsid w:val="00C021BB"/>
    <w:rsid w:val="00C023F5"/>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5915"/>
    <w:rsid w:val="00C86AE1"/>
    <w:rsid w:val="00C93157"/>
    <w:rsid w:val="00C935F6"/>
    <w:rsid w:val="00C9530B"/>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1479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F0B9B"/>
    <w:rsid w:val="00DF1838"/>
    <w:rsid w:val="00DF2C09"/>
    <w:rsid w:val="00DF393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690F"/>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3ED3"/>
    <w:rsid w:val="00F857B4"/>
    <w:rsid w:val="00F86B26"/>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150" TargetMode="External"/><Relationship Id="rId18" Type="http://schemas.openxmlformats.org/officeDocument/2006/relationships/hyperlink" Target="http://www.scc-csc.ca/case-dossier/info/sum-som-eng.aspx?cas=37004"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mments-commentaires@scc-csc.ca"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126" TargetMode="External"/><Relationship Id="rId17" Type="http://schemas.openxmlformats.org/officeDocument/2006/relationships/hyperlink" Target="http://www.scc-csc.ca/case-dossier/info/sum-som-eng.aspx?cas=3712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eng.aspx?cas=37125" TargetMode="External"/><Relationship Id="rId20" Type="http://schemas.openxmlformats.org/officeDocument/2006/relationships/hyperlink" Target="http://www.scc-csc.ca/case-dossier/info/sum-som-fra.aspx?cas=369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686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c-csc.ca/case-dossier/info/sum-som-eng.aspx?cas=3710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c-csc.lexum.com/scc-csc/news/fr/item/5347/index.do" TargetMode="External"/><Relationship Id="rId19" Type="http://schemas.openxmlformats.org/officeDocument/2006/relationships/hyperlink" Target="http://www.scc-csc.ca/case-dossier/info/sum-som-eng.aspx?cas=37048" TargetMode="External"/><Relationship Id="rId4" Type="http://schemas.openxmlformats.org/officeDocument/2006/relationships/webSettings" Target="webSettings.xml"/><Relationship Id="rId9" Type="http://schemas.openxmlformats.org/officeDocument/2006/relationships/hyperlink" Target="http://scc-csc.lexum.com/scc-csc/news/en/item/5347/index.do" TargetMode="External"/><Relationship Id="rId14" Type="http://schemas.openxmlformats.org/officeDocument/2006/relationships/hyperlink" Target="http://www.scc-csc.ca/case-dossier/info/sum-som-fra.aspx?cas=3712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2016-11-02T18:51:00Z</dcterms:created>
  <dcterms:modified xsi:type="dcterms:W3CDTF">2016-11-03T12:20:00Z</dcterms:modified>
</cp:coreProperties>
</file>