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35769" w:rsidRDefault="003F43E6" w:rsidP="00122CE1">
      <w:pPr>
        <w:pStyle w:val="Header"/>
        <w:tabs>
          <w:tab w:val="left" w:pos="1620"/>
          <w:tab w:val="left" w:pos="1710"/>
        </w:tabs>
        <w:jc w:val="center"/>
        <w:rPr>
          <w:b/>
          <w:sz w:val="32"/>
        </w:rPr>
      </w:pPr>
      <w:r w:rsidRPr="00435769">
        <w:rPr>
          <w:b/>
          <w:sz w:val="32"/>
        </w:rPr>
        <w:t>Supreme Court of Canada / Cour suprême du Canada</w:t>
      </w:r>
    </w:p>
    <w:p w:rsidR="003F43E6" w:rsidRPr="00435769" w:rsidRDefault="003F43E6" w:rsidP="006F2579">
      <w:pPr>
        <w:widowControl w:val="0"/>
        <w:rPr>
          <w:i/>
        </w:rPr>
      </w:pPr>
    </w:p>
    <w:p w:rsidR="006F2579" w:rsidRPr="00435769" w:rsidRDefault="006F2579" w:rsidP="006F2579">
      <w:pPr>
        <w:widowControl w:val="0"/>
        <w:rPr>
          <w:i/>
        </w:rPr>
      </w:pPr>
      <w:r w:rsidRPr="00435769">
        <w:rPr>
          <w:i/>
        </w:rPr>
        <w:t>(le français suit)</w:t>
      </w:r>
    </w:p>
    <w:p w:rsidR="006F2579" w:rsidRPr="00435769" w:rsidRDefault="006F2579" w:rsidP="006F2579">
      <w:pPr>
        <w:widowControl w:val="0"/>
      </w:pPr>
    </w:p>
    <w:p w:rsidR="006F2579" w:rsidRPr="00435769" w:rsidRDefault="00B07908" w:rsidP="006F2579">
      <w:pPr>
        <w:widowControl w:val="0"/>
        <w:jc w:val="center"/>
        <w:rPr>
          <w:b/>
        </w:rPr>
      </w:pPr>
      <w:r w:rsidRPr="00435769">
        <w:fldChar w:fldCharType="begin"/>
      </w:r>
      <w:r w:rsidR="006F2579" w:rsidRPr="00435769">
        <w:instrText xml:space="preserve"> SEQ CHAPTER \h \r 1</w:instrText>
      </w:r>
      <w:r w:rsidRPr="00435769">
        <w:fldChar w:fldCharType="end"/>
      </w:r>
      <w:r w:rsidR="006F2579" w:rsidRPr="00435769">
        <w:rPr>
          <w:b/>
        </w:rPr>
        <w:t>JUDGMENT</w:t>
      </w:r>
      <w:r w:rsidR="00B17AAC" w:rsidRPr="00435769">
        <w:rPr>
          <w:b/>
        </w:rPr>
        <w:t>S</w:t>
      </w:r>
      <w:r w:rsidR="006F2579" w:rsidRPr="00435769">
        <w:rPr>
          <w:b/>
        </w:rPr>
        <w:t xml:space="preserve"> TO B</w:t>
      </w:r>
      <w:r w:rsidR="00001846" w:rsidRPr="00435769">
        <w:rPr>
          <w:b/>
        </w:rPr>
        <w:t>E RENDERED IN LEAVE APPLICATION</w:t>
      </w:r>
      <w:r w:rsidR="00AE4C09" w:rsidRPr="00435769">
        <w:rPr>
          <w:b/>
        </w:rPr>
        <w:t>S</w:t>
      </w:r>
    </w:p>
    <w:p w:rsidR="006F2579" w:rsidRPr="00435769" w:rsidRDefault="006F2579" w:rsidP="006F2579">
      <w:pPr>
        <w:widowControl w:val="0"/>
        <w:rPr>
          <w:b/>
        </w:rPr>
      </w:pPr>
    </w:p>
    <w:p w:rsidR="006F2579" w:rsidRPr="00435769" w:rsidRDefault="00A64A9B" w:rsidP="006F2579">
      <w:pPr>
        <w:widowControl w:val="0"/>
        <w:rPr>
          <w:b/>
        </w:rPr>
      </w:pPr>
      <w:r w:rsidRPr="00435769">
        <w:rPr>
          <w:b/>
        </w:rPr>
        <w:t>November</w:t>
      </w:r>
      <w:r w:rsidR="00FD37D0" w:rsidRPr="00435769">
        <w:rPr>
          <w:b/>
        </w:rPr>
        <w:t xml:space="preserve"> </w:t>
      </w:r>
      <w:r w:rsidR="00ED552A" w:rsidRPr="00435769">
        <w:rPr>
          <w:b/>
        </w:rPr>
        <w:t>2</w:t>
      </w:r>
      <w:r w:rsidR="00A91271" w:rsidRPr="00435769">
        <w:rPr>
          <w:b/>
        </w:rPr>
        <w:t>8</w:t>
      </w:r>
      <w:r w:rsidR="00AB5538" w:rsidRPr="00435769">
        <w:rPr>
          <w:b/>
        </w:rPr>
        <w:t>,</w:t>
      </w:r>
      <w:r w:rsidR="006F2579" w:rsidRPr="00435769">
        <w:rPr>
          <w:b/>
        </w:rPr>
        <w:t xml:space="preserve"> </w:t>
      </w:r>
      <w:r w:rsidR="0054689F" w:rsidRPr="00435769">
        <w:rPr>
          <w:b/>
        </w:rPr>
        <w:t>201</w:t>
      </w:r>
      <w:r w:rsidR="00674329" w:rsidRPr="00435769">
        <w:rPr>
          <w:b/>
        </w:rPr>
        <w:t>6</w:t>
      </w:r>
    </w:p>
    <w:p w:rsidR="006F2579" w:rsidRPr="00435769" w:rsidRDefault="006F2579" w:rsidP="006F2579">
      <w:pPr>
        <w:widowControl w:val="0"/>
        <w:rPr>
          <w:b/>
        </w:rPr>
      </w:pPr>
      <w:r w:rsidRPr="00435769">
        <w:rPr>
          <w:b/>
        </w:rPr>
        <w:t>For immediate release</w:t>
      </w:r>
      <w:bookmarkStart w:id="0" w:name="_GoBack"/>
      <w:bookmarkEnd w:id="0"/>
    </w:p>
    <w:p w:rsidR="006F2579" w:rsidRPr="00435769" w:rsidRDefault="006F2579" w:rsidP="006F2579">
      <w:pPr>
        <w:widowControl w:val="0"/>
      </w:pPr>
    </w:p>
    <w:p w:rsidR="006F2579" w:rsidRPr="00435769" w:rsidRDefault="006F2579" w:rsidP="006F2579">
      <w:pPr>
        <w:widowControl w:val="0"/>
        <w:rPr>
          <w:lang w:val="fr-CA"/>
        </w:rPr>
      </w:pPr>
      <w:r w:rsidRPr="00435769">
        <w:rPr>
          <w:b/>
        </w:rPr>
        <w:t>OTTAWA</w:t>
      </w:r>
      <w:r w:rsidRPr="00435769">
        <w:t xml:space="preserve"> – The Supreme Court of Canada announced today that judgment in the following application</w:t>
      </w:r>
      <w:r w:rsidR="008600ED" w:rsidRPr="00435769">
        <w:t>s</w:t>
      </w:r>
      <w:r w:rsidRPr="00435769">
        <w:t xml:space="preserve"> for leave to appeal will be delivered at 9:45 a.m. E</w:t>
      </w:r>
      <w:r w:rsidR="00A64A9B" w:rsidRPr="00435769">
        <w:t>S</w:t>
      </w:r>
      <w:r w:rsidRPr="00435769">
        <w:t xml:space="preserve">T on Thursday, </w:t>
      </w:r>
      <w:r w:rsidR="00A91271" w:rsidRPr="00435769">
        <w:t>Decemb</w:t>
      </w:r>
      <w:r w:rsidR="001F15CD" w:rsidRPr="00435769">
        <w:t>er</w:t>
      </w:r>
      <w:r w:rsidR="00FD37D0" w:rsidRPr="00435769">
        <w:t xml:space="preserve"> </w:t>
      </w:r>
      <w:r w:rsidR="00A91271" w:rsidRPr="00435769">
        <w:t>1</w:t>
      </w:r>
      <w:r w:rsidR="007E112F" w:rsidRPr="00435769">
        <w:t>,</w:t>
      </w:r>
      <w:r w:rsidR="002F38D7" w:rsidRPr="00435769">
        <w:t xml:space="preserve"> </w:t>
      </w:r>
      <w:r w:rsidR="006648D1" w:rsidRPr="00435769">
        <w:t>201</w:t>
      </w:r>
      <w:r w:rsidR="00674329" w:rsidRPr="00435769">
        <w:t>6</w:t>
      </w:r>
      <w:r w:rsidRPr="00435769">
        <w:t xml:space="preserve">. </w:t>
      </w:r>
      <w:r w:rsidRPr="00435769">
        <w:rPr>
          <w:lang w:val="fr-CA"/>
        </w:rPr>
        <w:t>This list is subject to change.</w:t>
      </w:r>
    </w:p>
    <w:p w:rsidR="00FF5AA4" w:rsidRPr="00435769" w:rsidRDefault="00FF5AA4" w:rsidP="006F2579">
      <w:pPr>
        <w:widowControl w:val="0"/>
        <w:rPr>
          <w:lang w:val="fr-CA"/>
        </w:rPr>
      </w:pPr>
    </w:p>
    <w:p w:rsidR="00B43418" w:rsidRPr="00435769" w:rsidRDefault="00B43418" w:rsidP="006F2579">
      <w:pPr>
        <w:widowControl w:val="0"/>
        <w:rPr>
          <w:lang w:val="fr-CA"/>
        </w:rPr>
      </w:pPr>
    </w:p>
    <w:p w:rsidR="006F2579" w:rsidRPr="00435769" w:rsidRDefault="006F2579" w:rsidP="006F2579">
      <w:pPr>
        <w:widowControl w:val="0"/>
        <w:jc w:val="center"/>
        <w:rPr>
          <w:lang w:val="fr-CA"/>
        </w:rPr>
      </w:pPr>
      <w:r w:rsidRPr="00435769">
        <w:rPr>
          <w:b/>
          <w:lang w:val="fr-CA"/>
        </w:rPr>
        <w:t>PROCHAIN</w:t>
      </w:r>
      <w:r w:rsidR="00B17AAC" w:rsidRPr="00435769">
        <w:rPr>
          <w:b/>
          <w:lang w:val="fr-CA"/>
        </w:rPr>
        <w:t>S</w:t>
      </w:r>
      <w:r w:rsidRPr="00435769">
        <w:rPr>
          <w:b/>
          <w:lang w:val="fr-CA"/>
        </w:rPr>
        <w:t xml:space="preserve"> JUGEMENT</w:t>
      </w:r>
      <w:r w:rsidR="00B17AAC" w:rsidRPr="00435769">
        <w:rPr>
          <w:b/>
          <w:lang w:val="fr-CA"/>
        </w:rPr>
        <w:t>S</w:t>
      </w:r>
      <w:r w:rsidR="00001846" w:rsidRPr="00435769">
        <w:rPr>
          <w:b/>
          <w:lang w:val="fr-CA"/>
        </w:rPr>
        <w:t xml:space="preserve"> SUR DEMANDE</w:t>
      </w:r>
      <w:r w:rsidR="00B17AAC" w:rsidRPr="00435769">
        <w:rPr>
          <w:b/>
          <w:lang w:val="fr-CA"/>
        </w:rPr>
        <w:t>S</w:t>
      </w:r>
      <w:r w:rsidRPr="00435769">
        <w:rPr>
          <w:b/>
          <w:lang w:val="fr-CA"/>
        </w:rPr>
        <w:t xml:space="preserve"> D’AUTORISATION</w:t>
      </w:r>
    </w:p>
    <w:p w:rsidR="006F2579" w:rsidRPr="00435769" w:rsidRDefault="006F2579" w:rsidP="006F2579">
      <w:pPr>
        <w:widowControl w:val="0"/>
        <w:rPr>
          <w:lang w:val="fr-CA"/>
        </w:rPr>
      </w:pPr>
    </w:p>
    <w:p w:rsidR="006F2579" w:rsidRPr="00435769" w:rsidRDefault="006F2579" w:rsidP="006F2579">
      <w:pPr>
        <w:widowControl w:val="0"/>
        <w:rPr>
          <w:b/>
          <w:lang w:val="fr-CA"/>
        </w:rPr>
      </w:pPr>
      <w:r w:rsidRPr="00435769">
        <w:rPr>
          <w:b/>
          <w:lang w:val="fr-CA"/>
        </w:rPr>
        <w:t>Le</w:t>
      </w:r>
      <w:r w:rsidR="00957A76" w:rsidRPr="00435769">
        <w:rPr>
          <w:b/>
          <w:lang w:val="fr-CA"/>
        </w:rPr>
        <w:t xml:space="preserve"> </w:t>
      </w:r>
      <w:r w:rsidR="00ED552A" w:rsidRPr="00435769">
        <w:rPr>
          <w:b/>
          <w:lang w:val="fr-CA"/>
        </w:rPr>
        <w:t>2</w:t>
      </w:r>
      <w:r w:rsidR="00A91271" w:rsidRPr="00435769">
        <w:rPr>
          <w:b/>
          <w:lang w:val="fr-CA"/>
        </w:rPr>
        <w:t>8</w:t>
      </w:r>
      <w:r w:rsidR="00FD37D0" w:rsidRPr="00435769">
        <w:rPr>
          <w:b/>
          <w:lang w:val="fr-CA"/>
        </w:rPr>
        <w:t xml:space="preserve"> </w:t>
      </w:r>
      <w:r w:rsidR="00A64A9B" w:rsidRPr="00435769">
        <w:rPr>
          <w:b/>
          <w:lang w:val="fr-CA"/>
        </w:rPr>
        <w:t>novem</w:t>
      </w:r>
      <w:r w:rsidR="00E31DD1" w:rsidRPr="00435769">
        <w:rPr>
          <w:b/>
          <w:lang w:val="fr-CA"/>
        </w:rPr>
        <w:t>bre</w:t>
      </w:r>
      <w:r w:rsidR="00674329" w:rsidRPr="00435769">
        <w:rPr>
          <w:b/>
          <w:lang w:val="fr-CA"/>
        </w:rPr>
        <w:t xml:space="preserve"> 2016</w:t>
      </w:r>
    </w:p>
    <w:p w:rsidR="006F2579" w:rsidRPr="00435769" w:rsidRDefault="006F2579" w:rsidP="006F2579">
      <w:pPr>
        <w:widowControl w:val="0"/>
        <w:rPr>
          <w:b/>
          <w:lang w:val="fr-CA"/>
        </w:rPr>
      </w:pPr>
      <w:r w:rsidRPr="00435769">
        <w:rPr>
          <w:b/>
          <w:lang w:val="fr-CA"/>
        </w:rPr>
        <w:t>Pour diffusion immédiate</w:t>
      </w:r>
    </w:p>
    <w:p w:rsidR="006F2579" w:rsidRPr="00435769" w:rsidRDefault="006F2579" w:rsidP="006F2579">
      <w:pPr>
        <w:widowControl w:val="0"/>
        <w:rPr>
          <w:b/>
          <w:lang w:val="fr-CA"/>
        </w:rPr>
      </w:pPr>
    </w:p>
    <w:p w:rsidR="006F2579" w:rsidRPr="00435769" w:rsidRDefault="006F2579" w:rsidP="006F2579">
      <w:pPr>
        <w:widowControl w:val="0"/>
        <w:rPr>
          <w:lang w:val="fr-CA"/>
        </w:rPr>
      </w:pPr>
      <w:r w:rsidRPr="00435769">
        <w:rPr>
          <w:b/>
          <w:lang w:val="fr-CA"/>
        </w:rPr>
        <w:t>OTTAWA</w:t>
      </w:r>
      <w:r w:rsidRPr="00435769">
        <w:rPr>
          <w:lang w:val="fr-CA"/>
        </w:rPr>
        <w:t xml:space="preserve"> – La Cour suprême du Canada annonce que jugement ser</w:t>
      </w:r>
      <w:r w:rsidR="004259F9" w:rsidRPr="00435769">
        <w:rPr>
          <w:lang w:val="fr-CA"/>
        </w:rPr>
        <w:t>a</w:t>
      </w:r>
      <w:r w:rsidRPr="00435769">
        <w:rPr>
          <w:lang w:val="fr-CA"/>
        </w:rPr>
        <w:t xml:space="preserve"> rendu dans l</w:t>
      </w:r>
      <w:r w:rsidR="008600ED" w:rsidRPr="00435769">
        <w:rPr>
          <w:lang w:val="fr-CA"/>
        </w:rPr>
        <w:t>es</w:t>
      </w:r>
      <w:r w:rsidRPr="00435769">
        <w:rPr>
          <w:lang w:val="fr-CA"/>
        </w:rPr>
        <w:t xml:space="preserve"> demande</w:t>
      </w:r>
      <w:r w:rsidR="008600ED" w:rsidRPr="00435769">
        <w:rPr>
          <w:lang w:val="fr-CA"/>
        </w:rPr>
        <w:t>s</w:t>
      </w:r>
      <w:r w:rsidRPr="00435769">
        <w:rPr>
          <w:lang w:val="fr-CA"/>
        </w:rPr>
        <w:t xml:space="preserve"> d</w:t>
      </w:r>
      <w:r w:rsidR="00001846" w:rsidRPr="00435769">
        <w:rPr>
          <w:lang w:val="fr-CA"/>
        </w:rPr>
        <w:t>’autorisation d’appel suivante</w:t>
      </w:r>
      <w:r w:rsidR="008600ED" w:rsidRPr="00435769">
        <w:rPr>
          <w:lang w:val="fr-CA"/>
        </w:rPr>
        <w:t>s</w:t>
      </w:r>
      <w:r w:rsidRPr="00435769">
        <w:rPr>
          <w:lang w:val="fr-CA"/>
        </w:rPr>
        <w:t xml:space="preserve"> le jeudi </w:t>
      </w:r>
      <w:r w:rsidR="00A91271" w:rsidRPr="00435769">
        <w:rPr>
          <w:lang w:val="fr-CA"/>
        </w:rPr>
        <w:t>1</w:t>
      </w:r>
      <w:r w:rsidR="0025030E" w:rsidRPr="00435769">
        <w:rPr>
          <w:lang w:val="fr-CA"/>
        </w:rPr>
        <w:t xml:space="preserve"> </w:t>
      </w:r>
      <w:r w:rsidR="00A91271" w:rsidRPr="00435769">
        <w:rPr>
          <w:lang w:val="fr-CA"/>
        </w:rPr>
        <w:t>déce</w:t>
      </w:r>
      <w:r w:rsidR="001F15CD" w:rsidRPr="00435769">
        <w:rPr>
          <w:lang w:val="fr-CA"/>
        </w:rPr>
        <w:t>m</w:t>
      </w:r>
      <w:r w:rsidR="00E31DD1" w:rsidRPr="00435769">
        <w:rPr>
          <w:lang w:val="fr-CA"/>
        </w:rPr>
        <w:t>bre</w:t>
      </w:r>
      <w:r w:rsidR="00674329" w:rsidRPr="00435769">
        <w:rPr>
          <w:lang w:val="fr-CA"/>
        </w:rPr>
        <w:t xml:space="preserve"> </w:t>
      </w:r>
      <w:r w:rsidR="006648D1" w:rsidRPr="00435769">
        <w:rPr>
          <w:lang w:val="fr-CA"/>
        </w:rPr>
        <w:t>201</w:t>
      </w:r>
      <w:r w:rsidR="00674329" w:rsidRPr="00435769">
        <w:rPr>
          <w:lang w:val="fr-CA"/>
        </w:rPr>
        <w:t>6</w:t>
      </w:r>
      <w:r w:rsidRPr="00435769">
        <w:rPr>
          <w:lang w:val="fr-CA"/>
        </w:rPr>
        <w:t xml:space="preserve">, à 9 h 45 </w:t>
      </w:r>
      <w:r w:rsidR="000627A2" w:rsidRPr="00435769">
        <w:rPr>
          <w:lang w:val="fr-CA"/>
        </w:rPr>
        <w:t>H</w:t>
      </w:r>
      <w:r w:rsidR="00A64A9B" w:rsidRPr="00435769">
        <w:rPr>
          <w:lang w:val="fr-CA"/>
        </w:rPr>
        <w:t>N</w:t>
      </w:r>
      <w:r w:rsidRPr="00435769">
        <w:rPr>
          <w:lang w:val="fr-CA"/>
        </w:rPr>
        <w:t>E. Cette liste est sujette à modifications.</w:t>
      </w:r>
    </w:p>
    <w:p w:rsidR="0080556B" w:rsidRPr="00435769" w:rsidRDefault="0080556B" w:rsidP="009B14F4">
      <w:pPr>
        <w:widowControl w:val="0"/>
        <w:jc w:val="both"/>
        <w:rPr>
          <w:sz w:val="20"/>
          <w:lang w:val="fr-CA"/>
        </w:rPr>
      </w:pPr>
    </w:p>
    <w:p w:rsidR="001838E0" w:rsidRPr="00435769" w:rsidRDefault="003D353C" w:rsidP="009B14F4">
      <w:pPr>
        <w:widowControl w:val="0"/>
        <w:jc w:val="both"/>
        <w:rPr>
          <w:sz w:val="20"/>
          <w:lang w:val="fr-CA"/>
        </w:rPr>
      </w:pPr>
      <w:r w:rsidRPr="00435769">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8164A8" w:rsidRPr="00435769" w:rsidRDefault="008164A8" w:rsidP="00FD0A9D">
      <w:pPr>
        <w:ind w:left="360" w:hanging="360"/>
        <w:jc w:val="both"/>
        <w:rPr>
          <w:sz w:val="20"/>
          <w:lang w:val="fr-CA" w:eastAsia="en-CA"/>
        </w:rPr>
      </w:pPr>
    </w:p>
    <w:p w:rsidR="00A91271" w:rsidRPr="00435769" w:rsidRDefault="00A91271" w:rsidP="00FD0F14">
      <w:pPr>
        <w:pStyle w:val="ListParagraph"/>
        <w:numPr>
          <w:ilvl w:val="0"/>
          <w:numId w:val="38"/>
        </w:numPr>
        <w:ind w:left="360"/>
        <w:jc w:val="both"/>
        <w:rPr>
          <w:sz w:val="20"/>
          <w:lang w:val="en-CA" w:eastAsia="en-CA"/>
        </w:rPr>
      </w:pPr>
      <w:r w:rsidRPr="00435769">
        <w:rPr>
          <w:i/>
          <w:sz w:val="20"/>
          <w:lang w:val="en-CA" w:eastAsia="en-CA"/>
        </w:rPr>
        <w:t>Donald Joseph Boutilier v. Her Majesty the Queen</w:t>
      </w:r>
      <w:r w:rsidRPr="00435769">
        <w:rPr>
          <w:sz w:val="20"/>
          <w:lang w:val="en-CA" w:eastAsia="en-CA"/>
        </w:rPr>
        <w:t xml:space="preserve"> (B.C.) (Criminal) (By Leave)</w:t>
      </w:r>
      <w:r w:rsidR="00A731D2" w:rsidRPr="00435769">
        <w:rPr>
          <w:sz w:val="20"/>
          <w:lang w:val="en-CA" w:eastAsia="en-CA"/>
        </w:rPr>
        <w:t xml:space="preserve"> </w:t>
      </w:r>
      <w:r w:rsidR="00A731D2" w:rsidRPr="00435769">
        <w:rPr>
          <w:sz w:val="20"/>
        </w:rPr>
        <w:t>(</w:t>
      </w:r>
      <w:hyperlink r:id="rId8" w:history="1">
        <w:r w:rsidR="00A731D2" w:rsidRPr="00435769">
          <w:rPr>
            <w:rStyle w:val="Hyperlink"/>
            <w:sz w:val="20"/>
          </w:rPr>
          <w:t>37168</w:t>
        </w:r>
      </w:hyperlink>
      <w:r w:rsidR="00A731D2" w:rsidRPr="00435769">
        <w:rPr>
          <w:sz w:val="20"/>
        </w:rPr>
        <w:t>)</w:t>
      </w:r>
    </w:p>
    <w:p w:rsidR="00A91271" w:rsidRPr="00435769" w:rsidRDefault="00A91271" w:rsidP="00FD0F14">
      <w:pPr>
        <w:ind w:left="360" w:hanging="360"/>
        <w:jc w:val="both"/>
        <w:rPr>
          <w:sz w:val="20"/>
          <w:lang w:val="en-CA" w:eastAsia="en-CA"/>
        </w:rPr>
      </w:pPr>
    </w:p>
    <w:p w:rsidR="00A91271" w:rsidRPr="00435769" w:rsidRDefault="00A91271" w:rsidP="00FD0F14">
      <w:pPr>
        <w:pStyle w:val="ListParagraph"/>
        <w:numPr>
          <w:ilvl w:val="0"/>
          <w:numId w:val="38"/>
        </w:numPr>
        <w:ind w:left="360"/>
        <w:jc w:val="both"/>
        <w:rPr>
          <w:sz w:val="20"/>
          <w:lang w:val="en-CA" w:eastAsia="en-CA"/>
        </w:rPr>
      </w:pPr>
      <w:r w:rsidRPr="00435769">
        <w:rPr>
          <w:i/>
          <w:sz w:val="20"/>
          <w:lang w:val="en-CA" w:eastAsia="en-CA"/>
        </w:rPr>
        <w:t>Kevin Donald Kerfoot v. Attorney General of Canada on behalf of the United States of America et al.</w:t>
      </w:r>
      <w:r w:rsidRPr="00435769">
        <w:rPr>
          <w:sz w:val="20"/>
          <w:lang w:val="en-CA" w:eastAsia="en-CA"/>
        </w:rPr>
        <w:t xml:space="preserve"> (B.C.) (Criminal) (By Leave)</w:t>
      </w:r>
      <w:r w:rsidR="003F77FC" w:rsidRPr="00435769">
        <w:rPr>
          <w:sz w:val="20"/>
          <w:lang w:val="en-CA" w:eastAsia="en-CA"/>
        </w:rPr>
        <w:t xml:space="preserve"> </w:t>
      </w:r>
      <w:r w:rsidR="003F77FC" w:rsidRPr="00435769">
        <w:rPr>
          <w:sz w:val="20"/>
        </w:rPr>
        <w:t>(</w:t>
      </w:r>
      <w:hyperlink r:id="rId9" w:history="1">
        <w:r w:rsidR="003F77FC" w:rsidRPr="00435769">
          <w:rPr>
            <w:rStyle w:val="Hyperlink"/>
            <w:sz w:val="20"/>
          </w:rPr>
          <w:t>37102</w:t>
        </w:r>
      </w:hyperlink>
      <w:r w:rsidR="003F77FC" w:rsidRPr="00435769">
        <w:rPr>
          <w:sz w:val="20"/>
        </w:rPr>
        <w:t>)</w:t>
      </w:r>
    </w:p>
    <w:p w:rsidR="00A91271" w:rsidRPr="00435769" w:rsidRDefault="00A91271" w:rsidP="00FD0F14">
      <w:pPr>
        <w:ind w:left="360" w:hanging="360"/>
        <w:jc w:val="both"/>
        <w:rPr>
          <w:sz w:val="20"/>
          <w:lang w:val="en-CA" w:eastAsia="en-CA"/>
        </w:rPr>
      </w:pPr>
    </w:p>
    <w:p w:rsidR="00A91271" w:rsidRPr="00435769" w:rsidRDefault="00A91271" w:rsidP="00FD0F14">
      <w:pPr>
        <w:pStyle w:val="ListParagraph"/>
        <w:numPr>
          <w:ilvl w:val="0"/>
          <w:numId w:val="38"/>
        </w:numPr>
        <w:ind w:left="360"/>
        <w:jc w:val="both"/>
        <w:rPr>
          <w:sz w:val="20"/>
          <w:lang w:val="en-CA" w:eastAsia="en-CA"/>
        </w:rPr>
      </w:pPr>
      <w:r w:rsidRPr="00435769">
        <w:rPr>
          <w:i/>
          <w:sz w:val="20"/>
          <w:lang w:val="en-CA" w:eastAsia="en-CA"/>
        </w:rPr>
        <w:t>Max Wayne Cowper-Smith et al. v. Gloria Lyn</w:t>
      </w:r>
      <w:r w:rsidR="003F77FC" w:rsidRPr="00435769">
        <w:rPr>
          <w:i/>
          <w:sz w:val="20"/>
          <w:lang w:val="en-CA" w:eastAsia="en-CA"/>
        </w:rPr>
        <w:t xml:space="preserve">n </w:t>
      </w:r>
      <w:r w:rsidRPr="00435769">
        <w:rPr>
          <w:i/>
          <w:sz w:val="20"/>
          <w:lang w:val="en-CA" w:eastAsia="en-CA"/>
        </w:rPr>
        <w:t>Morgan and Gloria Lynn Morgan Executor of the Will of the Late Elizabeth Flora Cowper-Smith, Deceased</w:t>
      </w:r>
      <w:r w:rsidR="00CE2CC9" w:rsidRPr="00435769">
        <w:rPr>
          <w:i/>
          <w:sz w:val="20"/>
          <w:lang w:val="en-CA" w:eastAsia="en-CA"/>
        </w:rPr>
        <w:t xml:space="preserve"> et al.</w:t>
      </w:r>
      <w:r w:rsidRPr="00435769">
        <w:rPr>
          <w:sz w:val="20"/>
          <w:lang w:val="en-CA" w:eastAsia="en-CA"/>
        </w:rPr>
        <w:t xml:space="preserve"> (B.C.) (Civil) (By Leave)</w:t>
      </w:r>
      <w:r w:rsidR="00805224" w:rsidRPr="00435769">
        <w:rPr>
          <w:sz w:val="20"/>
          <w:lang w:val="en-CA" w:eastAsia="en-CA"/>
        </w:rPr>
        <w:t xml:space="preserve"> </w:t>
      </w:r>
      <w:r w:rsidR="00805224" w:rsidRPr="00435769">
        <w:rPr>
          <w:sz w:val="20"/>
        </w:rPr>
        <w:t>(</w:t>
      </w:r>
      <w:hyperlink r:id="rId10" w:history="1">
        <w:r w:rsidR="00805224" w:rsidRPr="00435769">
          <w:rPr>
            <w:rStyle w:val="Hyperlink"/>
            <w:sz w:val="20"/>
          </w:rPr>
          <w:t>37120</w:t>
        </w:r>
      </w:hyperlink>
      <w:r w:rsidR="00805224" w:rsidRPr="00435769">
        <w:rPr>
          <w:sz w:val="20"/>
        </w:rPr>
        <w:t>)</w:t>
      </w:r>
    </w:p>
    <w:p w:rsidR="00A91271" w:rsidRPr="00435769" w:rsidRDefault="00A91271" w:rsidP="00FD0F14">
      <w:pPr>
        <w:tabs>
          <w:tab w:val="center" w:pos="720"/>
        </w:tabs>
        <w:ind w:left="360" w:hanging="360"/>
        <w:rPr>
          <w:sz w:val="20"/>
          <w:lang w:val="en-CA"/>
        </w:rPr>
      </w:pPr>
    </w:p>
    <w:p w:rsidR="00A91271" w:rsidRPr="00435769" w:rsidRDefault="00A91271" w:rsidP="00FD0F14">
      <w:pPr>
        <w:pStyle w:val="ListParagraph"/>
        <w:numPr>
          <w:ilvl w:val="0"/>
          <w:numId w:val="38"/>
        </w:numPr>
        <w:tabs>
          <w:tab w:val="left" w:pos="6888"/>
        </w:tabs>
        <w:ind w:left="360"/>
        <w:jc w:val="both"/>
        <w:rPr>
          <w:sz w:val="20"/>
          <w:lang w:val="en-CA" w:eastAsia="en-CA"/>
        </w:rPr>
      </w:pPr>
      <w:r w:rsidRPr="00435769">
        <w:rPr>
          <w:i/>
          <w:sz w:val="20"/>
          <w:lang w:val="en-CA" w:eastAsia="en-CA"/>
        </w:rPr>
        <w:t>Raymond Lapple v. Her Majesty the Queen</w:t>
      </w:r>
      <w:r w:rsidRPr="00435769">
        <w:rPr>
          <w:sz w:val="20"/>
          <w:lang w:val="en-CA" w:eastAsia="en-CA"/>
        </w:rPr>
        <w:t xml:space="preserve"> (Ont.) (Criminal) (By Leave)</w:t>
      </w:r>
      <w:r w:rsidR="005F4B38" w:rsidRPr="00435769">
        <w:rPr>
          <w:sz w:val="20"/>
          <w:lang w:val="en-CA" w:eastAsia="en-CA"/>
        </w:rPr>
        <w:t xml:space="preserve"> </w:t>
      </w:r>
      <w:r w:rsidR="005F4B38" w:rsidRPr="00435769">
        <w:rPr>
          <w:sz w:val="20"/>
        </w:rPr>
        <w:t>(</w:t>
      </w:r>
      <w:hyperlink r:id="rId11" w:history="1">
        <w:r w:rsidR="005F4B38" w:rsidRPr="00435769">
          <w:rPr>
            <w:rStyle w:val="Hyperlink"/>
            <w:sz w:val="20"/>
          </w:rPr>
          <w:t>37242</w:t>
        </w:r>
      </w:hyperlink>
      <w:r w:rsidR="005F4B38" w:rsidRPr="00435769">
        <w:rPr>
          <w:sz w:val="20"/>
        </w:rPr>
        <w:t>)</w:t>
      </w:r>
    </w:p>
    <w:p w:rsidR="00A91271" w:rsidRPr="00435769" w:rsidRDefault="00A91271" w:rsidP="00FD0F14">
      <w:pPr>
        <w:ind w:left="360" w:hanging="360"/>
        <w:jc w:val="both"/>
        <w:rPr>
          <w:sz w:val="20"/>
          <w:lang w:val="en-CA" w:eastAsia="en-CA"/>
        </w:rPr>
      </w:pPr>
    </w:p>
    <w:p w:rsidR="00A91271" w:rsidRPr="00435769" w:rsidRDefault="00A91271" w:rsidP="00FD0F14">
      <w:pPr>
        <w:pStyle w:val="ListParagraph"/>
        <w:numPr>
          <w:ilvl w:val="0"/>
          <w:numId w:val="38"/>
        </w:numPr>
        <w:ind w:left="360"/>
        <w:jc w:val="both"/>
        <w:rPr>
          <w:sz w:val="20"/>
          <w:lang w:val="en-CA" w:eastAsia="en-CA"/>
        </w:rPr>
      </w:pPr>
      <w:r w:rsidRPr="00435769">
        <w:rPr>
          <w:i/>
          <w:sz w:val="20"/>
          <w:lang w:val="en-CA" w:eastAsia="en-CA"/>
        </w:rPr>
        <w:t>Gregory Marshall v. Julie Robbins</w:t>
      </w:r>
      <w:r w:rsidRPr="00435769">
        <w:rPr>
          <w:sz w:val="20"/>
          <w:lang w:val="en-CA" w:eastAsia="en-CA"/>
        </w:rPr>
        <w:t xml:space="preserve"> (N.S.) (Civil) (By Leave)</w:t>
      </w:r>
      <w:r w:rsidR="005F4B38" w:rsidRPr="00435769">
        <w:rPr>
          <w:sz w:val="20"/>
          <w:lang w:val="en-CA" w:eastAsia="en-CA"/>
        </w:rPr>
        <w:t xml:space="preserve"> </w:t>
      </w:r>
      <w:r w:rsidR="005F4B38" w:rsidRPr="00435769">
        <w:rPr>
          <w:sz w:val="20"/>
        </w:rPr>
        <w:t>(</w:t>
      </w:r>
      <w:hyperlink r:id="rId12" w:history="1">
        <w:r w:rsidR="005F4B38" w:rsidRPr="00435769">
          <w:rPr>
            <w:rStyle w:val="Hyperlink"/>
            <w:sz w:val="20"/>
          </w:rPr>
          <w:t>37243</w:t>
        </w:r>
      </w:hyperlink>
      <w:r w:rsidR="005F4B38" w:rsidRPr="00435769">
        <w:rPr>
          <w:sz w:val="20"/>
        </w:rPr>
        <w:t>)</w:t>
      </w:r>
    </w:p>
    <w:p w:rsidR="00A91271" w:rsidRPr="00435769" w:rsidRDefault="00A91271" w:rsidP="00FD0F14">
      <w:pPr>
        <w:ind w:left="360" w:hanging="360"/>
        <w:jc w:val="both"/>
        <w:rPr>
          <w:sz w:val="20"/>
          <w:lang w:val="fr-CA" w:eastAsia="en-CA"/>
        </w:rPr>
      </w:pPr>
    </w:p>
    <w:p w:rsidR="00A91271" w:rsidRPr="00435769" w:rsidRDefault="00A91271" w:rsidP="00FD0F14">
      <w:pPr>
        <w:pStyle w:val="SCCAppellantInfoAppellantInfo"/>
        <w:numPr>
          <w:ilvl w:val="0"/>
          <w:numId w:val="38"/>
        </w:numPr>
        <w:tabs>
          <w:tab w:val="left" w:pos="7260"/>
        </w:tabs>
        <w:ind w:left="360"/>
        <w:jc w:val="both"/>
        <w:rPr>
          <w:sz w:val="20"/>
          <w:szCs w:val="20"/>
        </w:rPr>
      </w:pPr>
      <w:r w:rsidRPr="00435769">
        <w:rPr>
          <w:i/>
          <w:sz w:val="20"/>
          <w:szCs w:val="20"/>
        </w:rPr>
        <w:t>Christopher Sheriffe v. Her Majesty the Queen</w:t>
      </w:r>
      <w:r w:rsidRPr="00435769">
        <w:rPr>
          <w:sz w:val="20"/>
          <w:szCs w:val="20"/>
        </w:rPr>
        <w:t xml:space="preserve"> (Ont.) (Criminal) (By Leave)</w:t>
      </w:r>
      <w:r w:rsidR="0061009A" w:rsidRPr="00435769">
        <w:rPr>
          <w:sz w:val="20"/>
          <w:szCs w:val="20"/>
        </w:rPr>
        <w:t xml:space="preserve"> </w:t>
      </w:r>
      <w:r w:rsidR="0061009A" w:rsidRPr="00435769">
        <w:rPr>
          <w:sz w:val="20"/>
        </w:rPr>
        <w:t>(</w:t>
      </w:r>
      <w:hyperlink r:id="rId13" w:history="1">
        <w:r w:rsidR="0061009A" w:rsidRPr="00435769">
          <w:rPr>
            <w:rStyle w:val="Hyperlink"/>
            <w:sz w:val="20"/>
          </w:rPr>
          <w:t>37101</w:t>
        </w:r>
      </w:hyperlink>
      <w:r w:rsidR="0061009A" w:rsidRPr="00435769">
        <w:rPr>
          <w:sz w:val="20"/>
        </w:rPr>
        <w:t>)</w:t>
      </w:r>
    </w:p>
    <w:p w:rsidR="00A91271" w:rsidRPr="00435769" w:rsidRDefault="00A91271" w:rsidP="00FD0F14">
      <w:pPr>
        <w:ind w:left="360" w:hanging="360"/>
        <w:jc w:val="both"/>
        <w:rPr>
          <w:sz w:val="20"/>
          <w:lang w:val="en-CA"/>
        </w:rPr>
      </w:pPr>
    </w:p>
    <w:p w:rsidR="00A91271" w:rsidRPr="00435769" w:rsidRDefault="00A91271" w:rsidP="00FD0F14">
      <w:pPr>
        <w:pStyle w:val="ListParagraph"/>
        <w:numPr>
          <w:ilvl w:val="0"/>
          <w:numId w:val="38"/>
        </w:numPr>
        <w:ind w:left="360"/>
        <w:jc w:val="both"/>
        <w:rPr>
          <w:sz w:val="20"/>
          <w:lang w:val="fr-FR"/>
        </w:rPr>
      </w:pPr>
      <w:r w:rsidRPr="00435769">
        <w:rPr>
          <w:i/>
          <w:sz w:val="20"/>
        </w:rPr>
        <w:t>Federal Government Dockyard Trades and Labour Council (Esquimalt, B.C.) et al. v. Her Majesty the Queen in Right of Canada as Represented by the Attorney General of Canada et al.</w:t>
      </w:r>
      <w:r w:rsidRPr="00435769">
        <w:rPr>
          <w:sz w:val="20"/>
        </w:rPr>
        <w:t xml:space="preserve"> </w:t>
      </w:r>
      <w:r w:rsidRPr="00435769">
        <w:rPr>
          <w:sz w:val="20"/>
          <w:lang w:val="fr-FR"/>
        </w:rPr>
        <w:t>(B.C.) (Civil) (By Leave)</w:t>
      </w:r>
      <w:r w:rsidR="003E5F4F" w:rsidRPr="00435769">
        <w:rPr>
          <w:sz w:val="20"/>
          <w:lang w:val="fr-FR"/>
        </w:rPr>
        <w:t xml:space="preserve"> </w:t>
      </w:r>
      <w:r w:rsidR="003E5F4F" w:rsidRPr="00435769">
        <w:rPr>
          <w:sz w:val="20"/>
        </w:rPr>
        <w:t>(</w:t>
      </w:r>
      <w:hyperlink r:id="rId14" w:history="1">
        <w:r w:rsidR="003E5F4F" w:rsidRPr="00435769">
          <w:rPr>
            <w:rStyle w:val="Hyperlink"/>
            <w:sz w:val="20"/>
          </w:rPr>
          <w:t>35569</w:t>
        </w:r>
      </w:hyperlink>
      <w:r w:rsidR="003E5F4F" w:rsidRPr="00435769">
        <w:rPr>
          <w:sz w:val="20"/>
        </w:rPr>
        <w:t>)</w:t>
      </w:r>
    </w:p>
    <w:p w:rsidR="00A91271" w:rsidRPr="00435769" w:rsidRDefault="00A91271" w:rsidP="00FD0F14">
      <w:pPr>
        <w:ind w:left="360" w:hanging="360"/>
        <w:jc w:val="both"/>
        <w:rPr>
          <w:sz w:val="20"/>
          <w:lang w:val="fr-FR"/>
        </w:rPr>
      </w:pPr>
    </w:p>
    <w:p w:rsidR="00A91271" w:rsidRPr="00435769" w:rsidRDefault="00A91271" w:rsidP="00FD0F14">
      <w:pPr>
        <w:pStyle w:val="SCCAppellantInfoAppellantInfo"/>
        <w:numPr>
          <w:ilvl w:val="0"/>
          <w:numId w:val="38"/>
        </w:numPr>
        <w:ind w:left="360"/>
        <w:jc w:val="both"/>
        <w:rPr>
          <w:sz w:val="20"/>
          <w:szCs w:val="20"/>
          <w:lang w:val="fr-CA"/>
        </w:rPr>
      </w:pPr>
      <w:r w:rsidRPr="00435769">
        <w:rPr>
          <w:i/>
          <w:sz w:val="20"/>
          <w:szCs w:val="20"/>
          <w:lang w:val="fr-CA"/>
        </w:rPr>
        <w:t>Centrale des syndicats du Québec et a</w:t>
      </w:r>
      <w:r w:rsidR="00187119" w:rsidRPr="00435769">
        <w:rPr>
          <w:i/>
          <w:sz w:val="20"/>
          <w:szCs w:val="20"/>
          <w:lang w:val="fr-CA"/>
        </w:rPr>
        <w:t>utres</w:t>
      </w:r>
      <w:r w:rsidRPr="00435769">
        <w:rPr>
          <w:i/>
          <w:sz w:val="20"/>
          <w:szCs w:val="20"/>
          <w:lang w:val="fr-CA"/>
        </w:rPr>
        <w:t xml:space="preserve"> c. Procureure générale du Québec</w:t>
      </w:r>
      <w:r w:rsidRPr="00435769">
        <w:rPr>
          <w:sz w:val="20"/>
          <w:szCs w:val="20"/>
          <w:lang w:val="fr-CA"/>
        </w:rPr>
        <w:t xml:space="preserve"> (Qc) (Civile) (Autorisation)</w:t>
      </w:r>
      <w:r w:rsidR="00187119" w:rsidRPr="00435769">
        <w:rPr>
          <w:sz w:val="20"/>
          <w:szCs w:val="20"/>
          <w:lang w:val="fr-CA"/>
        </w:rPr>
        <w:t xml:space="preserve"> </w:t>
      </w:r>
      <w:r w:rsidR="00187119" w:rsidRPr="00435769">
        <w:rPr>
          <w:sz w:val="20"/>
          <w:lang w:val="fr-CA"/>
        </w:rPr>
        <w:t>(</w:t>
      </w:r>
      <w:hyperlink r:id="rId15" w:history="1">
        <w:r w:rsidR="00187119" w:rsidRPr="00435769">
          <w:rPr>
            <w:rStyle w:val="Hyperlink"/>
            <w:sz w:val="20"/>
            <w:lang w:val="fr-CA"/>
          </w:rPr>
          <w:t>37002</w:t>
        </w:r>
      </w:hyperlink>
      <w:r w:rsidR="00187119" w:rsidRPr="00435769">
        <w:rPr>
          <w:sz w:val="20"/>
          <w:lang w:val="fr-CA"/>
        </w:rPr>
        <w:t>)</w:t>
      </w:r>
    </w:p>
    <w:p w:rsidR="00A91271" w:rsidRPr="00435769" w:rsidRDefault="00A91271" w:rsidP="00FD0F14">
      <w:pPr>
        <w:ind w:left="360" w:hanging="360"/>
        <w:rPr>
          <w:sz w:val="20"/>
          <w:lang w:val="fr-CA"/>
        </w:rPr>
      </w:pPr>
    </w:p>
    <w:p w:rsidR="00A91271" w:rsidRPr="00435769" w:rsidRDefault="00A91271" w:rsidP="00FD0F14">
      <w:pPr>
        <w:pStyle w:val="SCCAppellantInfoAppellantInfo"/>
        <w:numPr>
          <w:ilvl w:val="0"/>
          <w:numId w:val="38"/>
        </w:numPr>
        <w:ind w:left="360"/>
        <w:jc w:val="both"/>
        <w:rPr>
          <w:sz w:val="20"/>
          <w:szCs w:val="20"/>
        </w:rPr>
      </w:pPr>
      <w:r w:rsidRPr="00435769">
        <w:rPr>
          <w:i/>
          <w:sz w:val="20"/>
          <w:szCs w:val="20"/>
        </w:rPr>
        <w:t>Anita Marianne Dunkers v. Her Majesty the Queen</w:t>
      </w:r>
      <w:r w:rsidRPr="00435769">
        <w:rPr>
          <w:sz w:val="20"/>
          <w:szCs w:val="20"/>
        </w:rPr>
        <w:t xml:space="preserve"> (B.C.) (Criminal) (By Leave)</w:t>
      </w:r>
      <w:r w:rsidR="0017751F" w:rsidRPr="00435769">
        <w:rPr>
          <w:sz w:val="20"/>
          <w:szCs w:val="20"/>
        </w:rPr>
        <w:t xml:space="preserve"> </w:t>
      </w:r>
      <w:r w:rsidR="0017751F" w:rsidRPr="00435769">
        <w:rPr>
          <w:sz w:val="20"/>
        </w:rPr>
        <w:t>(</w:t>
      </w:r>
      <w:hyperlink r:id="rId16" w:history="1">
        <w:r w:rsidR="0017751F" w:rsidRPr="00435769">
          <w:rPr>
            <w:rStyle w:val="Hyperlink"/>
            <w:sz w:val="20"/>
          </w:rPr>
          <w:t>37133</w:t>
        </w:r>
      </w:hyperlink>
      <w:r w:rsidR="0017751F" w:rsidRPr="00435769">
        <w:rPr>
          <w:sz w:val="20"/>
        </w:rPr>
        <w:t>)</w:t>
      </w:r>
    </w:p>
    <w:p w:rsidR="00A91271" w:rsidRPr="00435769" w:rsidRDefault="00A91271" w:rsidP="00FD0F14">
      <w:pPr>
        <w:ind w:left="360" w:hanging="360"/>
        <w:rPr>
          <w:sz w:val="20"/>
          <w:lang w:val="en-CA"/>
        </w:rPr>
      </w:pPr>
    </w:p>
    <w:p w:rsidR="00A91271" w:rsidRPr="00435769" w:rsidRDefault="00A91271" w:rsidP="00FD0F14">
      <w:pPr>
        <w:pStyle w:val="SCCAppellantInfoAppellantInfo"/>
        <w:numPr>
          <w:ilvl w:val="0"/>
          <w:numId w:val="38"/>
        </w:numPr>
        <w:ind w:left="360"/>
        <w:jc w:val="both"/>
        <w:rPr>
          <w:sz w:val="20"/>
          <w:szCs w:val="20"/>
        </w:rPr>
      </w:pPr>
      <w:r w:rsidRPr="00435769">
        <w:rPr>
          <w:i/>
          <w:sz w:val="20"/>
          <w:szCs w:val="20"/>
        </w:rPr>
        <w:t xml:space="preserve">Roderick John Byrnes v. Law Society of Upper Canada </w:t>
      </w:r>
      <w:r w:rsidRPr="00435769">
        <w:rPr>
          <w:sz w:val="20"/>
          <w:szCs w:val="20"/>
        </w:rPr>
        <w:t>(Ont.) (Civil) (By Leave) (37095)</w:t>
      </w:r>
      <w:r w:rsidR="00E97CCA" w:rsidRPr="00435769">
        <w:rPr>
          <w:sz w:val="20"/>
          <w:szCs w:val="20"/>
        </w:rPr>
        <w:t xml:space="preserve"> </w:t>
      </w:r>
      <w:r w:rsidR="00E97CCA" w:rsidRPr="00435769">
        <w:rPr>
          <w:sz w:val="20"/>
        </w:rPr>
        <w:t>(</w:t>
      </w:r>
      <w:hyperlink r:id="rId17" w:history="1">
        <w:r w:rsidR="00E97CCA" w:rsidRPr="00435769">
          <w:rPr>
            <w:rStyle w:val="Hyperlink"/>
            <w:sz w:val="20"/>
          </w:rPr>
          <w:t>37095</w:t>
        </w:r>
      </w:hyperlink>
      <w:r w:rsidR="00E97CCA" w:rsidRPr="00435769">
        <w:rPr>
          <w:sz w:val="20"/>
        </w:rPr>
        <w:t>)</w:t>
      </w:r>
    </w:p>
    <w:p w:rsidR="00A91271" w:rsidRPr="00435769" w:rsidRDefault="00A91271" w:rsidP="00FD0F14">
      <w:pPr>
        <w:ind w:left="360" w:hanging="360"/>
        <w:rPr>
          <w:sz w:val="20"/>
          <w:lang w:val="en-CA"/>
        </w:rPr>
      </w:pPr>
    </w:p>
    <w:p w:rsidR="00A91271" w:rsidRPr="00435769" w:rsidRDefault="00A91271" w:rsidP="00FD0F14">
      <w:pPr>
        <w:pStyle w:val="SCCAppellantInfoAppellantInfo"/>
        <w:numPr>
          <w:ilvl w:val="0"/>
          <w:numId w:val="38"/>
        </w:numPr>
        <w:ind w:left="360"/>
        <w:rPr>
          <w:sz w:val="20"/>
          <w:szCs w:val="20"/>
        </w:rPr>
      </w:pPr>
      <w:r w:rsidRPr="00435769">
        <w:rPr>
          <w:i/>
          <w:sz w:val="20"/>
          <w:szCs w:val="20"/>
        </w:rPr>
        <w:t>Monica Loughlin v. Abigail Gordon et al.</w:t>
      </w:r>
      <w:r w:rsidRPr="00435769">
        <w:rPr>
          <w:sz w:val="20"/>
          <w:szCs w:val="20"/>
        </w:rPr>
        <w:t xml:space="preserve"> (N.B.) (Civil) (By Leave)</w:t>
      </w:r>
      <w:r w:rsidR="00097C55" w:rsidRPr="00435769">
        <w:rPr>
          <w:sz w:val="20"/>
          <w:szCs w:val="20"/>
        </w:rPr>
        <w:t xml:space="preserve"> </w:t>
      </w:r>
      <w:r w:rsidR="00097C55" w:rsidRPr="00435769">
        <w:rPr>
          <w:sz w:val="20"/>
        </w:rPr>
        <w:t>(</w:t>
      </w:r>
      <w:hyperlink r:id="rId18" w:history="1">
        <w:r w:rsidR="00097C55" w:rsidRPr="00435769">
          <w:rPr>
            <w:rStyle w:val="Hyperlink"/>
            <w:sz w:val="20"/>
          </w:rPr>
          <w:t>37131</w:t>
        </w:r>
      </w:hyperlink>
      <w:r w:rsidR="00097C55" w:rsidRPr="00435769">
        <w:rPr>
          <w:sz w:val="20"/>
        </w:rPr>
        <w:t>)</w:t>
      </w:r>
    </w:p>
    <w:p w:rsidR="00A91271" w:rsidRPr="00435769" w:rsidRDefault="00A91271" w:rsidP="00FD0F14">
      <w:pPr>
        <w:ind w:left="360" w:hanging="360"/>
        <w:rPr>
          <w:sz w:val="20"/>
          <w:lang w:val="en-CA"/>
        </w:rPr>
      </w:pPr>
    </w:p>
    <w:p w:rsidR="00A91271" w:rsidRPr="00435769" w:rsidRDefault="00032BD3" w:rsidP="00FD0F14">
      <w:pPr>
        <w:pStyle w:val="SCCAppellantInfoAppellantInfo"/>
        <w:numPr>
          <w:ilvl w:val="0"/>
          <w:numId w:val="38"/>
        </w:numPr>
        <w:ind w:left="360"/>
        <w:rPr>
          <w:sz w:val="20"/>
          <w:szCs w:val="20"/>
          <w:lang w:val="fr-FR"/>
        </w:rPr>
      </w:pPr>
      <w:r w:rsidRPr="00435769">
        <w:rPr>
          <w:i/>
          <w:sz w:val="20"/>
          <w:szCs w:val="20"/>
          <w:lang w:val="fr-FR"/>
        </w:rPr>
        <w:lastRenderedPageBreak/>
        <w:t>Réjean Trottier</w:t>
      </w:r>
      <w:r w:rsidR="00A91271" w:rsidRPr="00435769">
        <w:rPr>
          <w:i/>
          <w:sz w:val="20"/>
          <w:szCs w:val="20"/>
          <w:lang w:val="fr-FR"/>
        </w:rPr>
        <w:t xml:space="preserve"> et a</w:t>
      </w:r>
      <w:r w:rsidR="007E7432" w:rsidRPr="00435769">
        <w:rPr>
          <w:i/>
          <w:sz w:val="20"/>
          <w:szCs w:val="20"/>
          <w:lang w:val="fr-FR"/>
        </w:rPr>
        <w:t>utres</w:t>
      </w:r>
      <w:r w:rsidR="00A91271" w:rsidRPr="00435769">
        <w:rPr>
          <w:i/>
          <w:sz w:val="20"/>
          <w:szCs w:val="20"/>
          <w:lang w:val="fr-FR"/>
        </w:rPr>
        <w:t xml:space="preserve"> c. Pierre Pépin</w:t>
      </w:r>
      <w:r w:rsidR="00A91271" w:rsidRPr="00435769">
        <w:rPr>
          <w:sz w:val="20"/>
          <w:szCs w:val="20"/>
          <w:lang w:val="fr-FR"/>
        </w:rPr>
        <w:t xml:space="preserve"> (Qc) (Civile) (Autorisation)</w:t>
      </w:r>
      <w:r w:rsidR="007E7432" w:rsidRPr="00435769">
        <w:rPr>
          <w:sz w:val="20"/>
          <w:szCs w:val="20"/>
          <w:lang w:val="fr-FR"/>
        </w:rPr>
        <w:t xml:space="preserve"> </w:t>
      </w:r>
      <w:r w:rsidR="007E7432" w:rsidRPr="00435769">
        <w:rPr>
          <w:sz w:val="20"/>
          <w:lang w:val="fr-CA"/>
        </w:rPr>
        <w:t>(</w:t>
      </w:r>
      <w:hyperlink r:id="rId19" w:history="1">
        <w:r w:rsidR="007E7432" w:rsidRPr="00435769">
          <w:rPr>
            <w:rStyle w:val="Hyperlink"/>
            <w:sz w:val="20"/>
            <w:lang w:val="fr-CA"/>
          </w:rPr>
          <w:t>37104</w:t>
        </w:r>
      </w:hyperlink>
      <w:r w:rsidR="007E7432" w:rsidRPr="00435769">
        <w:rPr>
          <w:sz w:val="20"/>
          <w:lang w:val="fr-CA"/>
        </w:rPr>
        <w:t>)</w:t>
      </w:r>
    </w:p>
    <w:p w:rsidR="00A91271" w:rsidRPr="00435769" w:rsidRDefault="00A91271" w:rsidP="00FD0F14">
      <w:pPr>
        <w:ind w:left="360" w:hanging="360"/>
        <w:rPr>
          <w:sz w:val="20"/>
          <w:lang w:val="fr-FR"/>
        </w:rPr>
      </w:pPr>
    </w:p>
    <w:p w:rsidR="00A91271" w:rsidRPr="00435769" w:rsidRDefault="00A91271" w:rsidP="00FD0F14">
      <w:pPr>
        <w:pStyle w:val="SCCAppellantInfoAppellantInfo"/>
        <w:numPr>
          <w:ilvl w:val="0"/>
          <w:numId w:val="38"/>
        </w:numPr>
        <w:ind w:left="360"/>
        <w:rPr>
          <w:sz w:val="20"/>
          <w:szCs w:val="20"/>
        </w:rPr>
      </w:pPr>
      <w:r w:rsidRPr="00435769">
        <w:rPr>
          <w:i/>
          <w:sz w:val="20"/>
          <w:szCs w:val="20"/>
        </w:rPr>
        <w:t>Kevin Karl Morrill v. Nadine Nicole Morrill</w:t>
      </w:r>
      <w:r w:rsidRPr="00435769">
        <w:rPr>
          <w:sz w:val="20"/>
          <w:szCs w:val="20"/>
        </w:rPr>
        <w:t xml:space="preserve"> (Man.) (Civil) (By Leave)</w:t>
      </w:r>
      <w:r w:rsidR="004744D7" w:rsidRPr="00435769">
        <w:rPr>
          <w:sz w:val="20"/>
          <w:szCs w:val="20"/>
        </w:rPr>
        <w:t xml:space="preserve"> </w:t>
      </w:r>
      <w:r w:rsidR="004744D7" w:rsidRPr="00435769">
        <w:rPr>
          <w:sz w:val="20"/>
        </w:rPr>
        <w:t>(</w:t>
      </w:r>
      <w:hyperlink r:id="rId20" w:history="1">
        <w:r w:rsidR="004744D7" w:rsidRPr="00435769">
          <w:rPr>
            <w:rStyle w:val="Hyperlink"/>
            <w:sz w:val="20"/>
          </w:rPr>
          <w:t>37195</w:t>
        </w:r>
      </w:hyperlink>
      <w:r w:rsidR="004744D7" w:rsidRPr="00435769">
        <w:rPr>
          <w:sz w:val="20"/>
        </w:rPr>
        <w:t>)</w:t>
      </w:r>
    </w:p>
    <w:p w:rsidR="00A91271" w:rsidRPr="00435769" w:rsidRDefault="00A91271" w:rsidP="00FD0F14">
      <w:pPr>
        <w:ind w:left="360" w:hanging="360"/>
        <w:rPr>
          <w:sz w:val="20"/>
          <w:lang w:val="en-CA"/>
        </w:rPr>
      </w:pPr>
    </w:p>
    <w:p w:rsidR="00A91271" w:rsidRPr="00435769" w:rsidRDefault="00A91271" w:rsidP="00FD0F14">
      <w:pPr>
        <w:pStyle w:val="SCCAppellantInfoAppellantInfo"/>
        <w:numPr>
          <w:ilvl w:val="0"/>
          <w:numId w:val="38"/>
        </w:numPr>
        <w:ind w:left="360"/>
        <w:rPr>
          <w:sz w:val="20"/>
          <w:szCs w:val="20"/>
          <w:lang w:val="fr-CA"/>
        </w:rPr>
      </w:pPr>
      <w:r w:rsidRPr="00435769">
        <w:rPr>
          <w:i/>
          <w:sz w:val="20"/>
          <w:szCs w:val="20"/>
          <w:lang w:val="fr-CA"/>
        </w:rPr>
        <w:t>Edens Kénol c. Sa Majesté la Reine</w:t>
      </w:r>
      <w:r w:rsidRPr="00435769">
        <w:rPr>
          <w:sz w:val="20"/>
          <w:szCs w:val="20"/>
          <w:lang w:val="fr-CA"/>
        </w:rPr>
        <w:t xml:space="preserve"> (Qc) (Criminelle) (Autorisation)</w:t>
      </w:r>
      <w:r w:rsidR="005B66C5" w:rsidRPr="00435769">
        <w:rPr>
          <w:sz w:val="20"/>
          <w:szCs w:val="20"/>
          <w:lang w:val="fr-CA"/>
        </w:rPr>
        <w:t xml:space="preserve"> </w:t>
      </w:r>
      <w:r w:rsidR="005B66C5" w:rsidRPr="00435769">
        <w:rPr>
          <w:sz w:val="20"/>
          <w:lang w:val="fr-CA"/>
        </w:rPr>
        <w:t>(</w:t>
      </w:r>
      <w:hyperlink r:id="rId21" w:history="1">
        <w:r w:rsidR="005B66C5" w:rsidRPr="00435769">
          <w:rPr>
            <w:rStyle w:val="Hyperlink"/>
            <w:sz w:val="20"/>
            <w:lang w:val="fr-CA"/>
          </w:rPr>
          <w:t>37139</w:t>
        </w:r>
      </w:hyperlink>
      <w:r w:rsidR="005B66C5" w:rsidRPr="00435769">
        <w:rPr>
          <w:sz w:val="20"/>
          <w:lang w:val="fr-CA"/>
        </w:rPr>
        <w:t>)</w:t>
      </w:r>
    </w:p>
    <w:p w:rsidR="00A91271" w:rsidRPr="00435769" w:rsidRDefault="00A91271" w:rsidP="00FD0F14">
      <w:pPr>
        <w:ind w:left="360" w:hanging="360"/>
        <w:rPr>
          <w:sz w:val="20"/>
          <w:lang w:val="fr-CA"/>
        </w:rPr>
      </w:pPr>
    </w:p>
    <w:p w:rsidR="00A91271" w:rsidRPr="00435769" w:rsidRDefault="00A91271" w:rsidP="00FD0F14">
      <w:pPr>
        <w:pStyle w:val="ListParagraph"/>
        <w:numPr>
          <w:ilvl w:val="0"/>
          <w:numId w:val="38"/>
        </w:numPr>
        <w:ind w:left="360"/>
        <w:rPr>
          <w:sz w:val="20"/>
          <w:lang w:val="en-CA"/>
        </w:rPr>
      </w:pPr>
      <w:r w:rsidRPr="00435769">
        <w:rPr>
          <w:i/>
          <w:sz w:val="20"/>
        </w:rPr>
        <w:t>Ismail Alex Murwanashyaka v. Her Majesty the Queen</w:t>
      </w:r>
      <w:r w:rsidRPr="00435769">
        <w:rPr>
          <w:sz w:val="20"/>
        </w:rPr>
        <w:t xml:space="preserve"> (N.B.) (Criminal) (By Leave)</w:t>
      </w:r>
      <w:r w:rsidR="00E631DE" w:rsidRPr="00435769">
        <w:rPr>
          <w:sz w:val="20"/>
        </w:rPr>
        <w:t xml:space="preserve"> (</w:t>
      </w:r>
      <w:hyperlink r:id="rId22" w:history="1">
        <w:r w:rsidR="00E631DE" w:rsidRPr="00435769">
          <w:rPr>
            <w:rStyle w:val="Hyperlink"/>
            <w:sz w:val="20"/>
          </w:rPr>
          <w:t>37137</w:t>
        </w:r>
      </w:hyperlink>
      <w:r w:rsidR="00E631DE" w:rsidRPr="00435769">
        <w:rPr>
          <w:sz w:val="20"/>
        </w:rPr>
        <w:t>)</w:t>
      </w:r>
    </w:p>
    <w:p w:rsidR="00A91271" w:rsidRPr="00435769" w:rsidRDefault="00A91271" w:rsidP="00FD0F14">
      <w:pPr>
        <w:ind w:left="360" w:hanging="360"/>
        <w:rPr>
          <w:sz w:val="20"/>
          <w:lang w:val="en-CA"/>
        </w:rPr>
      </w:pPr>
    </w:p>
    <w:p w:rsidR="00A91271" w:rsidRPr="00435769" w:rsidRDefault="00A91271" w:rsidP="00FD0F14">
      <w:pPr>
        <w:pStyle w:val="SCCAppellantInfoAppellantInfo"/>
        <w:numPr>
          <w:ilvl w:val="0"/>
          <w:numId w:val="38"/>
        </w:numPr>
        <w:tabs>
          <w:tab w:val="center" w:pos="4680"/>
        </w:tabs>
        <w:ind w:left="360"/>
        <w:rPr>
          <w:sz w:val="20"/>
          <w:szCs w:val="20"/>
        </w:rPr>
      </w:pPr>
      <w:r w:rsidRPr="00435769">
        <w:rPr>
          <w:i/>
          <w:sz w:val="20"/>
          <w:szCs w:val="20"/>
        </w:rPr>
        <w:t xml:space="preserve">F.H. v. </w:t>
      </w:r>
      <w:r w:rsidRPr="00435769">
        <w:rPr>
          <w:i/>
          <w:sz w:val="20"/>
          <w:szCs w:val="20"/>
          <w:lang w:val="en-US"/>
        </w:rPr>
        <w:t>J.A.</w:t>
      </w:r>
      <w:r w:rsidRPr="00435769">
        <w:rPr>
          <w:sz w:val="20"/>
          <w:szCs w:val="20"/>
          <w:lang w:val="en-US"/>
        </w:rPr>
        <w:t xml:space="preserve"> </w:t>
      </w:r>
      <w:r w:rsidRPr="00435769">
        <w:rPr>
          <w:sz w:val="20"/>
          <w:szCs w:val="20"/>
        </w:rPr>
        <w:t>(Que.) (Civil) (By Leave)</w:t>
      </w:r>
      <w:r w:rsidR="00E631DE" w:rsidRPr="00435769">
        <w:rPr>
          <w:sz w:val="20"/>
          <w:szCs w:val="20"/>
        </w:rPr>
        <w:t xml:space="preserve"> </w:t>
      </w:r>
      <w:r w:rsidR="00E631DE" w:rsidRPr="00435769">
        <w:rPr>
          <w:sz w:val="20"/>
        </w:rPr>
        <w:t>(</w:t>
      </w:r>
      <w:hyperlink r:id="rId23" w:history="1">
        <w:r w:rsidR="00E631DE" w:rsidRPr="00435769">
          <w:rPr>
            <w:rStyle w:val="Hyperlink"/>
            <w:sz w:val="20"/>
          </w:rPr>
          <w:t>37092</w:t>
        </w:r>
      </w:hyperlink>
      <w:r w:rsidR="00E631DE" w:rsidRPr="00435769">
        <w:rPr>
          <w:sz w:val="20"/>
        </w:rPr>
        <w:t>)</w:t>
      </w:r>
    </w:p>
    <w:p w:rsidR="00003072" w:rsidRPr="00435769" w:rsidRDefault="00003072" w:rsidP="00FD0F14">
      <w:pPr>
        <w:ind w:left="360" w:hanging="360"/>
        <w:jc w:val="both"/>
        <w:rPr>
          <w:i/>
          <w:sz w:val="20"/>
        </w:rPr>
      </w:pPr>
    </w:p>
    <w:p w:rsidR="00A91271" w:rsidRPr="00435769" w:rsidRDefault="00A91271" w:rsidP="00FD0F14">
      <w:pPr>
        <w:pStyle w:val="ListParagraph"/>
        <w:numPr>
          <w:ilvl w:val="0"/>
          <w:numId w:val="38"/>
        </w:numPr>
        <w:ind w:left="360"/>
        <w:jc w:val="both"/>
        <w:rPr>
          <w:sz w:val="20"/>
        </w:rPr>
      </w:pPr>
      <w:r w:rsidRPr="00435769">
        <w:rPr>
          <w:i/>
          <w:sz w:val="20"/>
        </w:rPr>
        <w:t xml:space="preserve">Andrew Orr </w:t>
      </w:r>
      <w:r w:rsidR="000437B4" w:rsidRPr="00435769">
        <w:rPr>
          <w:i/>
          <w:sz w:val="20"/>
        </w:rPr>
        <w:t>et al.</w:t>
      </w:r>
      <w:r w:rsidRPr="00435769">
        <w:rPr>
          <w:i/>
          <w:sz w:val="20"/>
        </w:rPr>
        <w:t xml:space="preserve"> v. Peerless Trout First Nation </w:t>
      </w:r>
      <w:r w:rsidRPr="00435769">
        <w:rPr>
          <w:sz w:val="20"/>
        </w:rPr>
        <w:t>(F</w:t>
      </w:r>
      <w:r w:rsidR="00BD00C4" w:rsidRPr="00435769">
        <w:rPr>
          <w:sz w:val="20"/>
        </w:rPr>
        <w:t>.</w:t>
      </w:r>
      <w:r w:rsidRPr="00435769">
        <w:rPr>
          <w:sz w:val="20"/>
        </w:rPr>
        <w:t>C</w:t>
      </w:r>
      <w:r w:rsidR="00BD00C4" w:rsidRPr="00435769">
        <w:rPr>
          <w:sz w:val="20"/>
        </w:rPr>
        <w:t>.</w:t>
      </w:r>
      <w:r w:rsidRPr="00435769">
        <w:rPr>
          <w:sz w:val="20"/>
        </w:rPr>
        <w:t>) (Civil) (By Leave)</w:t>
      </w:r>
      <w:r w:rsidR="000437B4" w:rsidRPr="00435769">
        <w:rPr>
          <w:sz w:val="20"/>
        </w:rPr>
        <w:t xml:space="preserve"> (</w:t>
      </w:r>
      <w:hyperlink r:id="rId24" w:history="1">
        <w:r w:rsidR="000437B4" w:rsidRPr="00435769">
          <w:rPr>
            <w:rStyle w:val="Hyperlink"/>
            <w:sz w:val="20"/>
          </w:rPr>
          <w:t>37087</w:t>
        </w:r>
      </w:hyperlink>
      <w:r w:rsidR="000437B4" w:rsidRPr="00435769">
        <w:rPr>
          <w:sz w:val="20"/>
        </w:rPr>
        <w:t>)</w:t>
      </w:r>
    </w:p>
    <w:p w:rsidR="00A91271" w:rsidRPr="00435769" w:rsidRDefault="00A91271" w:rsidP="00FD0F14">
      <w:pPr>
        <w:ind w:left="360" w:hanging="360"/>
        <w:jc w:val="both"/>
        <w:rPr>
          <w:sz w:val="20"/>
          <w:lang w:val="en-CA"/>
        </w:rPr>
      </w:pPr>
    </w:p>
    <w:p w:rsidR="00A91271" w:rsidRPr="00435769" w:rsidRDefault="00A91271" w:rsidP="00FD0F14">
      <w:pPr>
        <w:pStyle w:val="ListParagraph"/>
        <w:numPr>
          <w:ilvl w:val="0"/>
          <w:numId w:val="38"/>
        </w:numPr>
        <w:ind w:left="360"/>
        <w:jc w:val="both"/>
        <w:rPr>
          <w:sz w:val="20"/>
          <w:lang w:val="en-CA"/>
        </w:rPr>
      </w:pPr>
      <w:r w:rsidRPr="00435769">
        <w:rPr>
          <w:i/>
          <w:sz w:val="20"/>
          <w:lang w:val="en-CA"/>
        </w:rPr>
        <w:t xml:space="preserve">Joseph Sciascia v. Her Majesty the Queen </w:t>
      </w:r>
      <w:r w:rsidRPr="00435769">
        <w:rPr>
          <w:sz w:val="20"/>
          <w:lang w:val="en-CA"/>
        </w:rPr>
        <w:t>(Ont.) (Criminal) (By Leave)</w:t>
      </w:r>
      <w:r w:rsidR="00D13678" w:rsidRPr="00435769">
        <w:rPr>
          <w:sz w:val="20"/>
          <w:lang w:val="en-CA"/>
        </w:rPr>
        <w:t xml:space="preserve"> </w:t>
      </w:r>
      <w:r w:rsidR="00D13678" w:rsidRPr="00435769">
        <w:rPr>
          <w:sz w:val="20"/>
        </w:rPr>
        <w:t>(</w:t>
      </w:r>
      <w:hyperlink r:id="rId25" w:history="1">
        <w:r w:rsidR="00D13678" w:rsidRPr="00435769">
          <w:rPr>
            <w:rStyle w:val="Hyperlink"/>
            <w:sz w:val="20"/>
          </w:rPr>
          <w:t>37155</w:t>
        </w:r>
      </w:hyperlink>
      <w:r w:rsidR="00D13678" w:rsidRPr="00435769">
        <w:rPr>
          <w:sz w:val="20"/>
        </w:rPr>
        <w:t>)</w:t>
      </w:r>
    </w:p>
    <w:p w:rsidR="00A91271" w:rsidRPr="00435769" w:rsidRDefault="00A91271" w:rsidP="00FD0F14">
      <w:pPr>
        <w:ind w:left="360" w:hanging="360"/>
        <w:jc w:val="both"/>
        <w:rPr>
          <w:sz w:val="20"/>
          <w:lang w:val="en-CA"/>
        </w:rPr>
      </w:pPr>
    </w:p>
    <w:p w:rsidR="00A91271" w:rsidRPr="00435769" w:rsidRDefault="00A91271" w:rsidP="00FD0F14">
      <w:pPr>
        <w:pStyle w:val="ListParagraph"/>
        <w:numPr>
          <w:ilvl w:val="0"/>
          <w:numId w:val="38"/>
        </w:numPr>
        <w:ind w:left="360"/>
        <w:jc w:val="both"/>
        <w:rPr>
          <w:sz w:val="20"/>
          <w:lang w:val="en-CA"/>
        </w:rPr>
      </w:pPr>
      <w:r w:rsidRPr="00435769">
        <w:rPr>
          <w:i/>
          <w:sz w:val="20"/>
        </w:rPr>
        <w:t>British Columbia Civil Liberties Association et al. v. University of Victoria et al.</w:t>
      </w:r>
      <w:r w:rsidRPr="00435769">
        <w:rPr>
          <w:sz w:val="20"/>
        </w:rPr>
        <w:t xml:space="preserve"> (B.C.) (Civil) (By Leave)</w:t>
      </w:r>
      <w:r w:rsidR="003D6472" w:rsidRPr="00435769">
        <w:rPr>
          <w:sz w:val="20"/>
        </w:rPr>
        <w:t xml:space="preserve"> (</w:t>
      </w:r>
      <w:hyperlink r:id="rId26" w:history="1">
        <w:r w:rsidR="003D6472" w:rsidRPr="00435769">
          <w:rPr>
            <w:rStyle w:val="Hyperlink"/>
            <w:sz w:val="20"/>
          </w:rPr>
          <w:t>37094</w:t>
        </w:r>
      </w:hyperlink>
      <w:r w:rsidR="003D6472" w:rsidRPr="00435769">
        <w:rPr>
          <w:sz w:val="20"/>
        </w:rPr>
        <w:t>)</w:t>
      </w:r>
    </w:p>
    <w:p w:rsidR="00A91271" w:rsidRPr="00435769" w:rsidRDefault="00A91271" w:rsidP="00FD0F14">
      <w:pPr>
        <w:ind w:left="360" w:hanging="360"/>
        <w:jc w:val="both"/>
        <w:rPr>
          <w:sz w:val="20"/>
          <w:lang w:val="en-CA"/>
        </w:rPr>
      </w:pPr>
    </w:p>
    <w:p w:rsidR="00A91271" w:rsidRPr="00435769" w:rsidRDefault="00A91271" w:rsidP="00FD0F14">
      <w:pPr>
        <w:pStyle w:val="ListParagraph"/>
        <w:numPr>
          <w:ilvl w:val="0"/>
          <w:numId w:val="38"/>
        </w:numPr>
        <w:ind w:left="360"/>
        <w:jc w:val="both"/>
        <w:rPr>
          <w:sz w:val="20"/>
          <w:lang w:val="en-CA"/>
        </w:rPr>
      </w:pPr>
      <w:r w:rsidRPr="00435769">
        <w:rPr>
          <w:i/>
          <w:sz w:val="20"/>
        </w:rPr>
        <w:t>Aleh Bortnikov v. Marina Rakitova</w:t>
      </w:r>
      <w:r w:rsidRPr="00435769">
        <w:rPr>
          <w:sz w:val="20"/>
        </w:rPr>
        <w:t xml:space="preserve"> (Ont.) (Civil) (By Leave)</w:t>
      </w:r>
      <w:r w:rsidR="003D6472" w:rsidRPr="00435769">
        <w:rPr>
          <w:sz w:val="20"/>
        </w:rPr>
        <w:t xml:space="preserve"> (</w:t>
      </w:r>
      <w:hyperlink r:id="rId27" w:history="1">
        <w:r w:rsidR="003D6472" w:rsidRPr="00435769">
          <w:rPr>
            <w:rStyle w:val="Hyperlink"/>
            <w:sz w:val="20"/>
          </w:rPr>
          <w:t>37138</w:t>
        </w:r>
      </w:hyperlink>
      <w:r w:rsidR="003D6472" w:rsidRPr="00435769">
        <w:rPr>
          <w:sz w:val="20"/>
        </w:rPr>
        <w:t>)</w:t>
      </w:r>
    </w:p>
    <w:p w:rsidR="00A91271" w:rsidRPr="00435769" w:rsidRDefault="00A91271" w:rsidP="00FD0F14">
      <w:pPr>
        <w:ind w:left="360" w:hanging="360"/>
        <w:jc w:val="both"/>
        <w:rPr>
          <w:sz w:val="20"/>
          <w:lang w:val="en-CA"/>
        </w:rPr>
      </w:pPr>
    </w:p>
    <w:p w:rsidR="00A91271" w:rsidRPr="00435769" w:rsidRDefault="00A91271" w:rsidP="00FD0F14">
      <w:pPr>
        <w:pStyle w:val="ListParagraph"/>
        <w:numPr>
          <w:ilvl w:val="0"/>
          <w:numId w:val="38"/>
        </w:numPr>
        <w:ind w:left="360"/>
        <w:rPr>
          <w:sz w:val="20"/>
        </w:rPr>
      </w:pPr>
      <w:r w:rsidRPr="00435769">
        <w:rPr>
          <w:i/>
          <w:sz w:val="20"/>
        </w:rPr>
        <w:t>Rosemary Anne Hood v. Attorney General of Canada et al.</w:t>
      </w:r>
      <w:r w:rsidRPr="00435769">
        <w:rPr>
          <w:sz w:val="20"/>
        </w:rPr>
        <w:t xml:space="preserve"> (F</w:t>
      </w:r>
      <w:r w:rsidR="00BD00C4" w:rsidRPr="00435769">
        <w:rPr>
          <w:sz w:val="20"/>
        </w:rPr>
        <w:t>.</w:t>
      </w:r>
      <w:r w:rsidRPr="00435769">
        <w:rPr>
          <w:sz w:val="20"/>
        </w:rPr>
        <w:t>C</w:t>
      </w:r>
      <w:r w:rsidR="00BD00C4" w:rsidRPr="00435769">
        <w:rPr>
          <w:sz w:val="20"/>
        </w:rPr>
        <w:t>.</w:t>
      </w:r>
      <w:r w:rsidRPr="00435769">
        <w:rPr>
          <w:sz w:val="20"/>
        </w:rPr>
        <w:t>) (Civil) (By Leave)</w:t>
      </w:r>
      <w:r w:rsidR="00015958" w:rsidRPr="00435769">
        <w:rPr>
          <w:sz w:val="20"/>
        </w:rPr>
        <w:t xml:space="preserve"> (</w:t>
      </w:r>
      <w:hyperlink r:id="rId28" w:history="1">
        <w:r w:rsidR="00015958" w:rsidRPr="00435769">
          <w:rPr>
            <w:rStyle w:val="Hyperlink"/>
            <w:sz w:val="20"/>
          </w:rPr>
          <w:t>37143</w:t>
        </w:r>
      </w:hyperlink>
      <w:r w:rsidR="00015958" w:rsidRPr="00435769">
        <w:rPr>
          <w:sz w:val="20"/>
        </w:rPr>
        <w:t>)</w:t>
      </w:r>
    </w:p>
    <w:p w:rsidR="00A91271" w:rsidRPr="00435769" w:rsidRDefault="00A91271" w:rsidP="00FD0F14">
      <w:pPr>
        <w:ind w:left="360" w:hanging="360"/>
        <w:jc w:val="both"/>
        <w:rPr>
          <w:sz w:val="20"/>
        </w:rPr>
      </w:pPr>
    </w:p>
    <w:p w:rsidR="00A91271" w:rsidRPr="00435769" w:rsidRDefault="00A91271" w:rsidP="00FD0F14">
      <w:pPr>
        <w:pStyle w:val="ListParagraph"/>
        <w:numPr>
          <w:ilvl w:val="0"/>
          <w:numId w:val="38"/>
        </w:numPr>
        <w:ind w:left="360"/>
        <w:jc w:val="both"/>
        <w:rPr>
          <w:sz w:val="20"/>
        </w:rPr>
      </w:pPr>
      <w:r w:rsidRPr="00435769">
        <w:rPr>
          <w:i/>
          <w:sz w:val="20"/>
        </w:rPr>
        <w:t>Chantal Trudel v. Her Majesty the Queen</w:t>
      </w:r>
      <w:r w:rsidRPr="00435769">
        <w:rPr>
          <w:sz w:val="20"/>
        </w:rPr>
        <w:t xml:space="preserve"> (Ont.) (Criminal) (By Leave) </w:t>
      </w:r>
      <w:r w:rsidR="00015958" w:rsidRPr="00435769">
        <w:rPr>
          <w:sz w:val="20"/>
        </w:rPr>
        <w:t>(</w:t>
      </w:r>
      <w:hyperlink r:id="rId29" w:history="1">
        <w:r w:rsidR="00015958" w:rsidRPr="00435769">
          <w:rPr>
            <w:rStyle w:val="Hyperlink"/>
            <w:sz w:val="20"/>
          </w:rPr>
          <w:t>37098</w:t>
        </w:r>
      </w:hyperlink>
      <w:r w:rsidR="00015958" w:rsidRPr="00435769">
        <w:rPr>
          <w:sz w:val="20"/>
        </w:rPr>
        <w:t>)</w:t>
      </w:r>
    </w:p>
    <w:p w:rsidR="00A91271" w:rsidRPr="00435769" w:rsidRDefault="00A91271" w:rsidP="00FD0F14">
      <w:pPr>
        <w:ind w:left="360" w:hanging="360"/>
        <w:jc w:val="both"/>
        <w:rPr>
          <w:sz w:val="20"/>
          <w:lang w:val="en-CA"/>
        </w:rPr>
      </w:pPr>
    </w:p>
    <w:p w:rsidR="00A91271" w:rsidRPr="00435769" w:rsidRDefault="00A91271" w:rsidP="00FD0F14">
      <w:pPr>
        <w:pStyle w:val="ListParagraph"/>
        <w:numPr>
          <w:ilvl w:val="0"/>
          <w:numId w:val="38"/>
        </w:numPr>
        <w:ind w:left="360"/>
        <w:jc w:val="both"/>
        <w:rPr>
          <w:sz w:val="20"/>
          <w:lang w:val="en-CA"/>
        </w:rPr>
      </w:pPr>
      <w:r w:rsidRPr="00435769">
        <w:rPr>
          <w:i/>
          <w:sz w:val="20"/>
        </w:rPr>
        <w:t xml:space="preserve">Daryle William Haug v. Warden of Dorchester Institution </w:t>
      </w:r>
      <w:r w:rsidRPr="00435769">
        <w:rPr>
          <w:sz w:val="20"/>
        </w:rPr>
        <w:t>(N.B.) (Civil) (By Leave)</w:t>
      </w:r>
      <w:r w:rsidR="00015958" w:rsidRPr="00435769">
        <w:rPr>
          <w:sz w:val="20"/>
        </w:rPr>
        <w:t xml:space="preserve"> (</w:t>
      </w:r>
      <w:hyperlink r:id="rId30" w:history="1">
        <w:r w:rsidR="00015958" w:rsidRPr="00435769">
          <w:rPr>
            <w:rStyle w:val="Hyperlink"/>
            <w:sz w:val="20"/>
          </w:rPr>
          <w:t>37183</w:t>
        </w:r>
      </w:hyperlink>
      <w:r w:rsidR="00015958" w:rsidRPr="00435769">
        <w:rPr>
          <w:sz w:val="20"/>
        </w:rPr>
        <w:t>)</w:t>
      </w:r>
    </w:p>
    <w:p w:rsidR="00A91271" w:rsidRPr="00435769" w:rsidRDefault="00A91271" w:rsidP="00FD0F14">
      <w:pPr>
        <w:ind w:left="360" w:hanging="360"/>
        <w:jc w:val="both"/>
        <w:rPr>
          <w:sz w:val="20"/>
          <w:lang w:val="en-CA"/>
        </w:rPr>
      </w:pPr>
    </w:p>
    <w:p w:rsidR="00A91271" w:rsidRPr="00435769" w:rsidRDefault="00A91271" w:rsidP="00FD0F14">
      <w:pPr>
        <w:pStyle w:val="ListParagraph"/>
        <w:numPr>
          <w:ilvl w:val="0"/>
          <w:numId w:val="38"/>
        </w:numPr>
        <w:ind w:left="360"/>
        <w:jc w:val="both"/>
        <w:rPr>
          <w:sz w:val="20"/>
        </w:rPr>
      </w:pPr>
      <w:r w:rsidRPr="00435769">
        <w:rPr>
          <w:i/>
          <w:sz w:val="20"/>
        </w:rPr>
        <w:t>Paul Abi-Mansour v. Chief Executive Officer of Passport Canada</w:t>
      </w:r>
      <w:r w:rsidRPr="00435769">
        <w:rPr>
          <w:sz w:val="20"/>
        </w:rPr>
        <w:t xml:space="preserve"> (F</w:t>
      </w:r>
      <w:r w:rsidR="00BD00C4" w:rsidRPr="00435769">
        <w:rPr>
          <w:sz w:val="20"/>
        </w:rPr>
        <w:t>.</w:t>
      </w:r>
      <w:r w:rsidRPr="00435769">
        <w:rPr>
          <w:sz w:val="20"/>
        </w:rPr>
        <w:t>C</w:t>
      </w:r>
      <w:r w:rsidR="00BD00C4" w:rsidRPr="00435769">
        <w:rPr>
          <w:sz w:val="20"/>
        </w:rPr>
        <w:t xml:space="preserve">.) </w:t>
      </w:r>
      <w:r w:rsidRPr="00435769">
        <w:rPr>
          <w:sz w:val="20"/>
        </w:rPr>
        <w:t>(Civil) (By Leave)</w:t>
      </w:r>
      <w:r w:rsidR="00015958" w:rsidRPr="00435769">
        <w:rPr>
          <w:sz w:val="20"/>
        </w:rPr>
        <w:t xml:space="preserve"> (</w:t>
      </w:r>
      <w:hyperlink r:id="rId31" w:history="1">
        <w:r w:rsidR="00015958" w:rsidRPr="00435769">
          <w:rPr>
            <w:rStyle w:val="Hyperlink"/>
            <w:sz w:val="20"/>
          </w:rPr>
          <w:t>37130</w:t>
        </w:r>
      </w:hyperlink>
      <w:r w:rsidR="00015958" w:rsidRPr="00435769">
        <w:rPr>
          <w:sz w:val="20"/>
        </w:rPr>
        <w:t>)</w:t>
      </w:r>
    </w:p>
    <w:p w:rsidR="00A91271" w:rsidRPr="00435769" w:rsidRDefault="00A91271" w:rsidP="00FD0F14">
      <w:pPr>
        <w:ind w:left="360" w:hanging="360"/>
        <w:jc w:val="both"/>
        <w:rPr>
          <w:sz w:val="20"/>
          <w:lang w:val="en-CA"/>
        </w:rPr>
      </w:pPr>
    </w:p>
    <w:p w:rsidR="00A91271" w:rsidRPr="00435769" w:rsidRDefault="00A91271" w:rsidP="00FD0F14">
      <w:pPr>
        <w:pStyle w:val="ListParagraph"/>
        <w:numPr>
          <w:ilvl w:val="0"/>
          <w:numId w:val="38"/>
        </w:numPr>
        <w:ind w:left="360"/>
        <w:jc w:val="both"/>
        <w:rPr>
          <w:sz w:val="20"/>
        </w:rPr>
      </w:pPr>
      <w:r w:rsidRPr="00435769">
        <w:rPr>
          <w:i/>
          <w:sz w:val="20"/>
        </w:rPr>
        <w:t xml:space="preserve">Jaswinder Singh Bagri v. Her Majesty the Queen </w:t>
      </w:r>
      <w:r w:rsidRPr="00435769">
        <w:rPr>
          <w:sz w:val="20"/>
        </w:rPr>
        <w:t>(B.C.) (Criminal) (By Leave)</w:t>
      </w:r>
      <w:r w:rsidR="00A6008D" w:rsidRPr="00435769">
        <w:rPr>
          <w:sz w:val="20"/>
        </w:rPr>
        <w:t xml:space="preserve"> (</w:t>
      </w:r>
      <w:hyperlink r:id="rId32" w:history="1">
        <w:r w:rsidR="00A6008D" w:rsidRPr="00435769">
          <w:rPr>
            <w:rStyle w:val="Hyperlink"/>
            <w:sz w:val="20"/>
          </w:rPr>
          <w:t>37199</w:t>
        </w:r>
      </w:hyperlink>
      <w:r w:rsidR="00A6008D" w:rsidRPr="00435769">
        <w:rPr>
          <w:sz w:val="20"/>
        </w:rPr>
        <w:t>)</w:t>
      </w:r>
    </w:p>
    <w:p w:rsidR="00A91271" w:rsidRPr="00435769" w:rsidRDefault="00A91271" w:rsidP="00FD0F14">
      <w:pPr>
        <w:ind w:left="360" w:hanging="360"/>
        <w:jc w:val="both"/>
        <w:rPr>
          <w:sz w:val="20"/>
        </w:rPr>
      </w:pPr>
    </w:p>
    <w:p w:rsidR="00A91271" w:rsidRPr="00435769" w:rsidRDefault="00A91271" w:rsidP="00FD0F14">
      <w:pPr>
        <w:pStyle w:val="ListParagraph"/>
        <w:numPr>
          <w:ilvl w:val="0"/>
          <w:numId w:val="38"/>
        </w:numPr>
        <w:tabs>
          <w:tab w:val="left" w:pos="0"/>
        </w:tabs>
        <w:ind w:left="360"/>
        <w:jc w:val="both"/>
        <w:rPr>
          <w:sz w:val="20"/>
        </w:rPr>
      </w:pPr>
      <w:r w:rsidRPr="00435769">
        <w:rPr>
          <w:i/>
          <w:sz w:val="20"/>
        </w:rPr>
        <w:t xml:space="preserve">Yasmen Al Atawnah et al. v. Minister of Public Safety and Emergency Preparedness et al. </w:t>
      </w:r>
      <w:r w:rsidRPr="00435769">
        <w:rPr>
          <w:sz w:val="20"/>
        </w:rPr>
        <w:t>(F</w:t>
      </w:r>
      <w:r w:rsidR="00BD00C4" w:rsidRPr="00435769">
        <w:rPr>
          <w:sz w:val="20"/>
        </w:rPr>
        <w:t>.</w:t>
      </w:r>
      <w:r w:rsidRPr="00435769">
        <w:rPr>
          <w:sz w:val="20"/>
        </w:rPr>
        <w:t>C</w:t>
      </w:r>
      <w:r w:rsidR="00BD00C4" w:rsidRPr="00435769">
        <w:rPr>
          <w:sz w:val="20"/>
        </w:rPr>
        <w:t>.</w:t>
      </w:r>
      <w:r w:rsidRPr="00435769">
        <w:rPr>
          <w:sz w:val="20"/>
        </w:rPr>
        <w:t>) (Civil) (By Leave)</w:t>
      </w:r>
      <w:r w:rsidR="008A790C" w:rsidRPr="00435769">
        <w:rPr>
          <w:sz w:val="20"/>
        </w:rPr>
        <w:t xml:space="preserve"> (</w:t>
      </w:r>
      <w:hyperlink r:id="rId33" w:history="1">
        <w:r w:rsidR="008A790C" w:rsidRPr="00435769">
          <w:rPr>
            <w:rStyle w:val="Hyperlink"/>
            <w:sz w:val="20"/>
          </w:rPr>
          <w:t>37122</w:t>
        </w:r>
      </w:hyperlink>
      <w:r w:rsidR="008A790C" w:rsidRPr="00435769">
        <w:rPr>
          <w:sz w:val="20"/>
        </w:rPr>
        <w:t>)</w:t>
      </w:r>
    </w:p>
    <w:p w:rsidR="00A91271" w:rsidRPr="00435769" w:rsidRDefault="00A91271" w:rsidP="00FD0F14">
      <w:pPr>
        <w:ind w:left="360" w:hanging="360"/>
        <w:jc w:val="both"/>
        <w:rPr>
          <w:sz w:val="20"/>
          <w:lang w:val="en-CA"/>
        </w:rPr>
      </w:pPr>
    </w:p>
    <w:p w:rsidR="00A91271" w:rsidRPr="00435769" w:rsidRDefault="00A91271" w:rsidP="00FD0F14">
      <w:pPr>
        <w:pStyle w:val="ListParagraph"/>
        <w:numPr>
          <w:ilvl w:val="0"/>
          <w:numId w:val="38"/>
        </w:numPr>
        <w:ind w:left="360"/>
        <w:jc w:val="both"/>
        <w:rPr>
          <w:sz w:val="20"/>
          <w:lang w:val="en-CA"/>
        </w:rPr>
      </w:pPr>
      <w:r w:rsidRPr="00435769">
        <w:rPr>
          <w:i/>
          <w:sz w:val="20"/>
        </w:rPr>
        <w:t xml:space="preserve">Scott Roberts et al. v. Superintendent of Motor Vehicles et al. </w:t>
      </w:r>
      <w:r w:rsidRPr="00435769">
        <w:rPr>
          <w:sz w:val="20"/>
        </w:rPr>
        <w:t>(B.C.) (Civil) (By Leave)</w:t>
      </w:r>
      <w:r w:rsidR="008A790C" w:rsidRPr="00435769">
        <w:rPr>
          <w:sz w:val="20"/>
        </w:rPr>
        <w:t xml:space="preserve"> (</w:t>
      </w:r>
      <w:hyperlink r:id="rId34" w:history="1">
        <w:r w:rsidR="008A790C" w:rsidRPr="00435769">
          <w:rPr>
            <w:rStyle w:val="Hyperlink"/>
            <w:sz w:val="20"/>
          </w:rPr>
          <w:t>37128</w:t>
        </w:r>
      </w:hyperlink>
      <w:r w:rsidR="008A790C" w:rsidRPr="00435769">
        <w:rPr>
          <w:sz w:val="20"/>
        </w:rPr>
        <w:t>)</w:t>
      </w:r>
    </w:p>
    <w:p w:rsidR="00A91271" w:rsidRPr="00435769" w:rsidRDefault="00A91271" w:rsidP="007932B2">
      <w:pPr>
        <w:ind w:left="720" w:hanging="720"/>
        <w:jc w:val="both"/>
        <w:rPr>
          <w:sz w:val="20"/>
          <w:lang w:val="en-CA"/>
        </w:rPr>
      </w:pPr>
    </w:p>
    <w:p w:rsidR="007932B2" w:rsidRPr="00435769" w:rsidRDefault="007932B2" w:rsidP="007932B2">
      <w:pPr>
        <w:ind w:left="720" w:hanging="720"/>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rPr>
            </w:pPr>
            <w:r w:rsidRPr="00435769">
              <w:rPr>
                <w:rStyle w:val="SCCFileNumberChar"/>
                <w:sz w:val="20"/>
                <w:szCs w:val="20"/>
              </w:rPr>
              <w:t>37168</w:t>
            </w:r>
          </w:p>
        </w:tc>
        <w:tc>
          <w:tcPr>
            <w:tcW w:w="4457" w:type="pct"/>
            <w:gridSpan w:val="3"/>
          </w:tcPr>
          <w:p w:rsidR="005A6497" w:rsidRPr="00435769" w:rsidRDefault="005A6497" w:rsidP="007932B2">
            <w:pPr>
              <w:pStyle w:val="SCCLsocParty"/>
              <w:jc w:val="both"/>
              <w:rPr>
                <w:b/>
                <w:sz w:val="20"/>
                <w:szCs w:val="20"/>
                <w:lang w:val="en-US"/>
              </w:rPr>
            </w:pPr>
            <w:r w:rsidRPr="00435769">
              <w:rPr>
                <w:b/>
                <w:sz w:val="20"/>
                <w:szCs w:val="20"/>
                <w:lang w:val="en-US"/>
              </w:rPr>
              <w:t>Donald Joseph Boutilier v. Her Majesty the Queen</w:t>
            </w:r>
          </w:p>
          <w:p w:rsidR="005A6497" w:rsidRPr="00435769" w:rsidRDefault="005A6497" w:rsidP="007932B2">
            <w:pPr>
              <w:jc w:val="both"/>
              <w:rPr>
                <w:sz w:val="20"/>
              </w:rPr>
            </w:pPr>
            <w:r w:rsidRPr="00435769">
              <w:rPr>
                <w:sz w:val="20"/>
              </w:rPr>
              <w:t>(B.C.) (Criminal) (By Leave)</w:t>
            </w:r>
          </w:p>
        </w:tc>
      </w:tr>
      <w:tr w:rsidR="005A6497" w:rsidRPr="00435769" w:rsidTr="005A6497">
        <w:tc>
          <w:tcPr>
            <w:tcW w:w="5000" w:type="pct"/>
            <w:gridSpan w:val="4"/>
          </w:tcPr>
          <w:p w:rsidR="005A6497" w:rsidRPr="00435769" w:rsidRDefault="005A6497" w:rsidP="007932B2">
            <w:pPr>
              <w:jc w:val="both"/>
              <w:rPr>
                <w:sz w:val="20"/>
              </w:rPr>
            </w:pPr>
            <w:r w:rsidRPr="00435769">
              <w:rPr>
                <w:i/>
                <w:sz w:val="20"/>
              </w:rPr>
              <w:t>Charter of Rights and Freedoms</w:t>
            </w:r>
            <w:r w:rsidRPr="00435769">
              <w:rPr>
                <w:sz w:val="20"/>
              </w:rPr>
              <w:t xml:space="preserve"> – Right to life, liberty and security of the person – Cruel and unusual punishment – Dangerous offender designation and sentencing provisions – Constitutionality of ss. 753(1) and 753(4.1) of the </w:t>
            </w:r>
            <w:r w:rsidRPr="00435769">
              <w:rPr>
                <w:i/>
                <w:sz w:val="20"/>
              </w:rPr>
              <w:t>Criminal Code</w:t>
            </w:r>
            <w:r w:rsidRPr="00435769">
              <w:rPr>
                <w:sz w:val="20"/>
              </w:rPr>
              <w:t xml:space="preserve">, R.S.C. 1985, c. C-46 – Whether the designation criteria in s. 753(1) of the </w:t>
            </w:r>
            <w:r w:rsidRPr="00435769">
              <w:rPr>
                <w:i/>
                <w:sz w:val="20"/>
              </w:rPr>
              <w:t xml:space="preserve">Criminal Code </w:t>
            </w:r>
            <w:r w:rsidRPr="00435769">
              <w:rPr>
                <w:sz w:val="20"/>
              </w:rPr>
              <w:t xml:space="preserve">is overbroad under s. 7 of the </w:t>
            </w:r>
            <w:r w:rsidRPr="00435769">
              <w:rPr>
                <w:i/>
                <w:sz w:val="20"/>
              </w:rPr>
              <w:t>Charter</w:t>
            </w:r>
            <w:r w:rsidRPr="00435769">
              <w:rPr>
                <w:sz w:val="20"/>
              </w:rPr>
              <w:t xml:space="preserve"> – Whether an offender’s future treatment prospects are to be considered at the “designation phase” in s. 753(1) of the </w:t>
            </w:r>
            <w:r w:rsidRPr="00435769">
              <w:rPr>
                <w:i/>
                <w:sz w:val="20"/>
              </w:rPr>
              <w:t>Criminal Code</w:t>
            </w:r>
            <w:r w:rsidRPr="00435769">
              <w:rPr>
                <w:sz w:val="20"/>
              </w:rPr>
              <w:t xml:space="preserve"> – Whether s. 753(4.1) of the </w:t>
            </w:r>
            <w:r w:rsidRPr="00435769">
              <w:rPr>
                <w:i/>
                <w:sz w:val="20"/>
              </w:rPr>
              <w:t>Criminal</w:t>
            </w:r>
            <w:r w:rsidRPr="00435769">
              <w:rPr>
                <w:sz w:val="20"/>
              </w:rPr>
              <w:t xml:space="preserve"> </w:t>
            </w:r>
            <w:r w:rsidRPr="00435769">
              <w:rPr>
                <w:i/>
                <w:sz w:val="20"/>
              </w:rPr>
              <w:t>Code</w:t>
            </w:r>
            <w:r w:rsidRPr="00435769">
              <w:rPr>
                <w:sz w:val="20"/>
              </w:rPr>
              <w:t xml:space="preserve"> is overbroad under s. 7 of the </w:t>
            </w:r>
            <w:r w:rsidRPr="00435769">
              <w:rPr>
                <w:i/>
                <w:sz w:val="20"/>
              </w:rPr>
              <w:t>Charter</w:t>
            </w:r>
            <w:r w:rsidRPr="00435769">
              <w:rPr>
                <w:sz w:val="20"/>
              </w:rPr>
              <w:t xml:space="preserve"> or grossly disproportionate under s. 12 of the </w:t>
            </w:r>
            <w:r w:rsidRPr="00435769">
              <w:rPr>
                <w:i/>
                <w:sz w:val="20"/>
              </w:rPr>
              <w:t>Charter</w:t>
            </w:r>
            <w:r w:rsidRPr="00435769">
              <w:rPr>
                <w:sz w:val="20"/>
              </w:rPr>
              <w:t xml:space="preserve"> – </w:t>
            </w:r>
            <w:r w:rsidRPr="00435769">
              <w:rPr>
                <w:i/>
                <w:sz w:val="20"/>
              </w:rPr>
              <w:t>Charter</w:t>
            </w:r>
            <w:r w:rsidRPr="00435769">
              <w:rPr>
                <w:sz w:val="20"/>
              </w:rPr>
              <w:t xml:space="preserve"> ss. 7 and 12.</w:t>
            </w:r>
          </w:p>
        </w:tc>
      </w:tr>
      <w:tr w:rsidR="005A6497" w:rsidRPr="00435769" w:rsidTr="005A6497">
        <w:tc>
          <w:tcPr>
            <w:tcW w:w="5000" w:type="pct"/>
            <w:gridSpan w:val="4"/>
          </w:tcPr>
          <w:p w:rsidR="005A6497" w:rsidRPr="00435769" w:rsidRDefault="005A6497" w:rsidP="007932B2">
            <w:pPr>
              <w:jc w:val="both"/>
              <w:rPr>
                <w:sz w:val="20"/>
              </w:rPr>
            </w:pPr>
          </w:p>
        </w:tc>
      </w:tr>
      <w:tr w:rsidR="005A6497" w:rsidRPr="00435769" w:rsidTr="005A6497">
        <w:tc>
          <w:tcPr>
            <w:tcW w:w="5000" w:type="pct"/>
            <w:gridSpan w:val="4"/>
          </w:tcPr>
          <w:p w:rsidR="005A6497" w:rsidRPr="00435769" w:rsidRDefault="005A6497" w:rsidP="007932B2">
            <w:pPr>
              <w:jc w:val="both"/>
              <w:rPr>
                <w:sz w:val="20"/>
              </w:rPr>
            </w:pPr>
            <w:r w:rsidRPr="00435769">
              <w:rPr>
                <w:sz w:val="20"/>
              </w:rPr>
              <w:t xml:space="preserve">The Crown brought a dangerous offender application. Pursuant to s. 752.1 of the </w:t>
            </w:r>
            <w:r w:rsidRPr="00435769">
              <w:rPr>
                <w:i/>
                <w:sz w:val="20"/>
              </w:rPr>
              <w:t>Criminal Code</w:t>
            </w:r>
            <w:r w:rsidRPr="00435769">
              <w:rPr>
                <w:sz w:val="20"/>
              </w:rPr>
              <w:t xml:space="preserve">, R.S.C. 1985, c. C-46, the applicant was remanded for an assessment. After the evidence in the dangerous offender hearing was completed, and after the Crown had completed its submissions, counsel for the applicant served a notice of constitutional question in relation to several amendments to s. 753 of the </w:t>
            </w:r>
            <w:r w:rsidRPr="00435769">
              <w:rPr>
                <w:i/>
                <w:sz w:val="20"/>
              </w:rPr>
              <w:t xml:space="preserve">Criminal </w:t>
            </w:r>
            <w:r w:rsidRPr="00435769">
              <w:rPr>
                <w:i/>
                <w:iCs/>
                <w:sz w:val="20"/>
              </w:rPr>
              <w:t>Code.</w:t>
            </w:r>
            <w:r w:rsidRPr="00435769">
              <w:rPr>
                <w:sz w:val="20"/>
              </w:rPr>
              <w:t xml:space="preserve"> The judge concluded that an aspect of s. 753(1) infringed s. 7 of the </w:t>
            </w:r>
            <w:r w:rsidRPr="00435769">
              <w:rPr>
                <w:i/>
                <w:sz w:val="20"/>
              </w:rPr>
              <w:t>Charter</w:t>
            </w:r>
            <w:r w:rsidRPr="00435769">
              <w:rPr>
                <w:i/>
                <w:iCs/>
                <w:sz w:val="20"/>
              </w:rPr>
              <w:t xml:space="preserve"> </w:t>
            </w:r>
            <w:r w:rsidRPr="00435769">
              <w:rPr>
                <w:iCs/>
                <w:sz w:val="20"/>
              </w:rPr>
              <w:t xml:space="preserve">and could not be saved under s. 1 of the </w:t>
            </w:r>
            <w:r w:rsidRPr="00435769">
              <w:rPr>
                <w:i/>
                <w:iCs/>
                <w:sz w:val="20"/>
              </w:rPr>
              <w:t>Charter</w:t>
            </w:r>
            <w:r w:rsidRPr="00435769">
              <w:rPr>
                <w:iCs/>
                <w:sz w:val="20"/>
              </w:rPr>
              <w:t>.</w:t>
            </w:r>
            <w:r w:rsidRPr="00435769">
              <w:rPr>
                <w:sz w:val="20"/>
              </w:rPr>
              <w:t xml:space="preserve"> Accordingly, s. 753(1) was declared to be inconsistent with the </w:t>
            </w:r>
            <w:r w:rsidRPr="00435769">
              <w:rPr>
                <w:i/>
                <w:sz w:val="20"/>
              </w:rPr>
              <w:t>Charter</w:t>
            </w:r>
            <w:r w:rsidRPr="00435769">
              <w:rPr>
                <w:sz w:val="20"/>
              </w:rPr>
              <w:t xml:space="preserve"> and hence void. In consideration of the interests at stake, the judge held that this declaration of invalidity would be suspended for one year. The judge also designated the applicant a dangerous offender and sentenced him to an indeterminate prison term. The respondent appealed the declaration of constitutional invalidity with respect to s. 753(1). The applicant appealed the dismissal of his </w:t>
            </w:r>
            <w:r w:rsidRPr="00435769">
              <w:rPr>
                <w:sz w:val="20"/>
              </w:rPr>
              <w:lastRenderedPageBreak/>
              <w:t xml:space="preserve">application to have s. 753(4.1) declared constitutionally invalid as well as his designation as a dangerous offender and indeterminate sentence. </w:t>
            </w:r>
            <w:r w:rsidRPr="00435769">
              <w:rPr>
                <w:iCs/>
                <w:sz w:val="20"/>
              </w:rPr>
              <w:t>The respondent’s appeal was allowed. The applicant’s appeal was dismissed.</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lastRenderedPageBreak/>
              <w:t>November 21, 2014</w:t>
            </w:r>
          </w:p>
          <w:p w:rsidR="005A6497" w:rsidRPr="00435769" w:rsidRDefault="005A6497" w:rsidP="007932B2">
            <w:pPr>
              <w:jc w:val="both"/>
              <w:rPr>
                <w:sz w:val="20"/>
              </w:rPr>
            </w:pPr>
            <w:r w:rsidRPr="00435769">
              <w:rPr>
                <w:sz w:val="20"/>
              </w:rPr>
              <w:t>Supreme Court of British Columbia</w:t>
            </w:r>
          </w:p>
          <w:p w:rsidR="005A6497" w:rsidRPr="00435769" w:rsidRDefault="005A6497" w:rsidP="007932B2">
            <w:pPr>
              <w:jc w:val="both"/>
              <w:rPr>
                <w:sz w:val="20"/>
              </w:rPr>
            </w:pPr>
            <w:r w:rsidRPr="00435769">
              <w:rPr>
                <w:sz w:val="20"/>
              </w:rPr>
              <w:t>(Voith J.)</w:t>
            </w:r>
          </w:p>
          <w:p w:rsidR="005A6497" w:rsidRPr="00435769" w:rsidRDefault="005A6497" w:rsidP="007932B2">
            <w:pPr>
              <w:jc w:val="both"/>
              <w:rPr>
                <w:sz w:val="20"/>
              </w:rPr>
            </w:pPr>
            <w:r w:rsidRPr="00435769">
              <w:rPr>
                <w:sz w:val="20"/>
              </w:rPr>
              <w:t xml:space="preserve">2014 BCSC 2187 </w:t>
            </w:r>
          </w:p>
          <w:p w:rsidR="005A6497" w:rsidRPr="00435769" w:rsidRDefault="00435769" w:rsidP="007932B2">
            <w:pPr>
              <w:jc w:val="both"/>
              <w:rPr>
                <w:rStyle w:val="Hyperlink"/>
                <w:rFonts w:eastAsiaTheme="majorEastAsia"/>
                <w:sz w:val="20"/>
              </w:rPr>
            </w:pPr>
            <w:hyperlink r:id="rId35" w:history="1">
              <w:r w:rsidR="005A6497" w:rsidRPr="00435769">
                <w:rPr>
                  <w:rStyle w:val="Hyperlink"/>
                  <w:rFonts w:eastAsiaTheme="majorEastAsia"/>
                  <w:sz w:val="20"/>
                </w:rPr>
                <w:t>http://canlii.ca/t/gjc0f</w:t>
              </w:r>
            </w:hyperlink>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 xml:space="preserve">Ruling: s. 753(1) of the </w:t>
            </w:r>
            <w:r w:rsidRPr="00435769">
              <w:rPr>
                <w:i/>
                <w:sz w:val="20"/>
              </w:rPr>
              <w:t>Criminal Code</w:t>
            </w:r>
            <w:r w:rsidRPr="00435769">
              <w:rPr>
                <w:sz w:val="20"/>
              </w:rPr>
              <w:t xml:space="preserve"> violates s. 7 of the </w:t>
            </w:r>
            <w:r w:rsidRPr="00435769">
              <w:rPr>
                <w:i/>
                <w:sz w:val="20"/>
              </w:rPr>
              <w:t>Charter</w:t>
            </w:r>
          </w:p>
          <w:p w:rsidR="005A6497" w:rsidRPr="00435769" w:rsidRDefault="005A6497" w:rsidP="007932B2">
            <w:pPr>
              <w:jc w:val="both"/>
              <w:rPr>
                <w:sz w:val="20"/>
              </w:rPr>
            </w:pP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May 29, 2015</w:t>
            </w:r>
          </w:p>
          <w:p w:rsidR="005A6497" w:rsidRPr="00435769" w:rsidRDefault="005A6497" w:rsidP="007932B2">
            <w:pPr>
              <w:jc w:val="both"/>
              <w:rPr>
                <w:sz w:val="20"/>
              </w:rPr>
            </w:pPr>
            <w:r w:rsidRPr="00435769">
              <w:rPr>
                <w:sz w:val="20"/>
              </w:rPr>
              <w:t>Supreme Court of British Columbia</w:t>
            </w:r>
          </w:p>
          <w:p w:rsidR="005A6497" w:rsidRPr="00435769" w:rsidRDefault="005A6497" w:rsidP="007932B2">
            <w:pPr>
              <w:jc w:val="both"/>
              <w:rPr>
                <w:sz w:val="20"/>
              </w:rPr>
            </w:pPr>
            <w:r w:rsidRPr="00435769">
              <w:rPr>
                <w:sz w:val="20"/>
              </w:rPr>
              <w:t>(Voith J.)</w:t>
            </w:r>
          </w:p>
          <w:p w:rsidR="005A6497" w:rsidRPr="00435769" w:rsidRDefault="005A6497" w:rsidP="007932B2">
            <w:pPr>
              <w:jc w:val="both"/>
              <w:rPr>
                <w:sz w:val="20"/>
              </w:rPr>
            </w:pPr>
            <w:r w:rsidRPr="00435769">
              <w:rPr>
                <w:sz w:val="20"/>
              </w:rPr>
              <w:t>2015 BCSC 901, 25686</w:t>
            </w:r>
          </w:p>
          <w:p w:rsidR="005A6497" w:rsidRPr="00435769" w:rsidRDefault="00435769" w:rsidP="007932B2">
            <w:pPr>
              <w:jc w:val="both"/>
              <w:rPr>
                <w:sz w:val="20"/>
              </w:rPr>
            </w:pPr>
            <w:hyperlink r:id="rId36" w:history="1">
              <w:r w:rsidR="005A6497" w:rsidRPr="00435769">
                <w:rPr>
                  <w:rStyle w:val="Hyperlink"/>
                  <w:rFonts w:eastAsiaTheme="majorEastAsia"/>
                  <w:sz w:val="20"/>
                </w:rPr>
                <w:t>http://canlii.ca/t/gjc0f</w:t>
              </w:r>
            </w:hyperlink>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 xml:space="preserve">Ruling: s. 753(1) of the </w:t>
            </w:r>
            <w:r w:rsidRPr="00435769">
              <w:rPr>
                <w:i/>
                <w:sz w:val="20"/>
              </w:rPr>
              <w:t>Criminal Code</w:t>
            </w:r>
            <w:r w:rsidRPr="00435769">
              <w:rPr>
                <w:sz w:val="20"/>
              </w:rPr>
              <w:t xml:space="preserve"> cannot be saved under s.   of the </w:t>
            </w:r>
            <w:r w:rsidRPr="00435769">
              <w:rPr>
                <w:i/>
                <w:sz w:val="20"/>
              </w:rPr>
              <w:t>Charter</w:t>
            </w:r>
          </w:p>
          <w:p w:rsidR="005A6497" w:rsidRPr="00435769" w:rsidRDefault="005A6497" w:rsidP="007932B2">
            <w:pPr>
              <w:jc w:val="both"/>
              <w:rPr>
                <w:sz w:val="20"/>
              </w:rPr>
            </w:pP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June 2, 2016</w:t>
            </w:r>
          </w:p>
          <w:p w:rsidR="005A6497" w:rsidRPr="00435769" w:rsidRDefault="005A6497" w:rsidP="007932B2">
            <w:pPr>
              <w:jc w:val="both"/>
              <w:rPr>
                <w:sz w:val="20"/>
              </w:rPr>
            </w:pPr>
            <w:r w:rsidRPr="00435769">
              <w:rPr>
                <w:sz w:val="20"/>
              </w:rPr>
              <w:t xml:space="preserve">Court of Appeal for British Columbia </w:t>
            </w:r>
          </w:p>
          <w:p w:rsidR="005A6497" w:rsidRPr="00435769" w:rsidRDefault="005A6497" w:rsidP="007932B2">
            <w:pPr>
              <w:jc w:val="both"/>
              <w:rPr>
                <w:sz w:val="20"/>
              </w:rPr>
            </w:pPr>
            <w:r w:rsidRPr="00435769">
              <w:rPr>
                <w:sz w:val="20"/>
              </w:rPr>
              <w:t>(Vancouver)</w:t>
            </w:r>
          </w:p>
          <w:p w:rsidR="005A6497" w:rsidRPr="00435769" w:rsidRDefault="005A6497" w:rsidP="007932B2">
            <w:pPr>
              <w:jc w:val="both"/>
              <w:rPr>
                <w:sz w:val="20"/>
              </w:rPr>
            </w:pPr>
            <w:r w:rsidRPr="00435769">
              <w:rPr>
                <w:sz w:val="20"/>
              </w:rPr>
              <w:t>(Smith, Groberman, Goepel JJ.A.)</w:t>
            </w:r>
          </w:p>
          <w:p w:rsidR="005A6497" w:rsidRPr="00435769" w:rsidRDefault="005A6497" w:rsidP="007932B2">
            <w:pPr>
              <w:jc w:val="both"/>
              <w:rPr>
                <w:sz w:val="20"/>
              </w:rPr>
            </w:pPr>
            <w:r w:rsidRPr="00435769">
              <w:rPr>
                <w:sz w:val="20"/>
              </w:rPr>
              <w:t>2016 BCCA 235; CA42891</w:t>
            </w:r>
          </w:p>
          <w:p w:rsidR="005A6497" w:rsidRPr="00435769" w:rsidRDefault="00435769" w:rsidP="007932B2">
            <w:pPr>
              <w:jc w:val="both"/>
              <w:rPr>
                <w:rStyle w:val="Hyperlink"/>
                <w:rFonts w:eastAsiaTheme="majorEastAsia"/>
                <w:sz w:val="20"/>
              </w:rPr>
            </w:pPr>
            <w:hyperlink r:id="rId37" w:history="1">
              <w:r w:rsidR="005A6497" w:rsidRPr="00435769">
                <w:rPr>
                  <w:rStyle w:val="Hyperlink"/>
                  <w:rFonts w:eastAsiaTheme="majorEastAsia"/>
                  <w:sz w:val="20"/>
                </w:rPr>
                <w:t>http://canlii.ca/t/grx23</w:t>
              </w:r>
            </w:hyperlink>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 xml:space="preserve">Respondent’s appeal allowed: order declaring s. 753(1) of the </w:t>
            </w:r>
            <w:r w:rsidRPr="00435769">
              <w:rPr>
                <w:i/>
                <w:sz w:val="20"/>
              </w:rPr>
              <w:t>Criminal Code</w:t>
            </w:r>
            <w:r w:rsidRPr="00435769">
              <w:rPr>
                <w:sz w:val="20"/>
              </w:rPr>
              <w:t xml:space="preserve"> infringed s. 7 of the </w:t>
            </w:r>
            <w:r w:rsidRPr="00435769">
              <w:rPr>
                <w:i/>
                <w:sz w:val="20"/>
              </w:rPr>
              <w:t>Charter</w:t>
            </w:r>
            <w:r w:rsidRPr="00435769">
              <w:rPr>
                <w:sz w:val="20"/>
              </w:rPr>
              <w:t xml:space="preserve"> and that s. 753(1) of the </w:t>
            </w:r>
            <w:r w:rsidRPr="00435769">
              <w:rPr>
                <w:i/>
                <w:sz w:val="20"/>
              </w:rPr>
              <w:t>Criminal Code</w:t>
            </w:r>
            <w:r w:rsidRPr="00435769">
              <w:rPr>
                <w:sz w:val="20"/>
              </w:rPr>
              <w:t xml:space="preserve"> was of no force and effect set aside; and applicant’s appeal dismissed</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August 31, 2016</w:t>
            </w:r>
          </w:p>
          <w:p w:rsidR="005A6497" w:rsidRPr="00435769" w:rsidRDefault="005A6497" w:rsidP="007932B2">
            <w:pPr>
              <w:jc w:val="both"/>
              <w:rPr>
                <w:sz w:val="20"/>
              </w:rPr>
            </w:pPr>
            <w:r w:rsidRPr="00435769">
              <w:rPr>
                <w:sz w:val="20"/>
              </w:rPr>
              <w:t>Supreme Court of Canada</w:t>
            </w: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Application for leave to appeal filed</w:t>
            </w:r>
          </w:p>
          <w:p w:rsidR="005A6497" w:rsidRPr="00435769" w:rsidRDefault="005A6497" w:rsidP="007932B2">
            <w:pPr>
              <w:jc w:val="both"/>
              <w:rPr>
                <w:sz w:val="20"/>
              </w:rPr>
            </w:pPr>
          </w:p>
        </w:tc>
      </w:tr>
    </w:tbl>
    <w:p w:rsidR="005A6497" w:rsidRPr="00435769" w:rsidRDefault="005A6497" w:rsidP="007932B2">
      <w:pPr>
        <w:jc w:val="both"/>
        <w:rPr>
          <w:sz w:val="20"/>
        </w:rPr>
      </w:pPr>
    </w:p>
    <w:p w:rsidR="009E248E" w:rsidRPr="00435769" w:rsidRDefault="009E248E" w:rsidP="007932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lang w:val="fr-CA"/>
              </w:rPr>
            </w:pPr>
            <w:r w:rsidRPr="00435769">
              <w:rPr>
                <w:rStyle w:val="SCCFileNumberChar"/>
                <w:sz w:val="20"/>
                <w:szCs w:val="20"/>
                <w:lang w:val="fr-CA"/>
              </w:rPr>
              <w:t>37168</w:t>
            </w:r>
          </w:p>
        </w:tc>
        <w:tc>
          <w:tcPr>
            <w:tcW w:w="4457" w:type="pct"/>
            <w:gridSpan w:val="3"/>
          </w:tcPr>
          <w:p w:rsidR="005A6497" w:rsidRPr="00435769" w:rsidRDefault="005A6497" w:rsidP="007932B2">
            <w:pPr>
              <w:pStyle w:val="SCCLsocParty"/>
              <w:jc w:val="both"/>
              <w:rPr>
                <w:b/>
                <w:sz w:val="20"/>
                <w:szCs w:val="20"/>
              </w:rPr>
            </w:pPr>
            <w:r w:rsidRPr="00435769">
              <w:rPr>
                <w:b/>
                <w:sz w:val="20"/>
                <w:szCs w:val="20"/>
              </w:rPr>
              <w:t>Donald Joseph Boutilier c. Sa Majesté la Reine</w:t>
            </w:r>
          </w:p>
          <w:p w:rsidR="005A6497" w:rsidRPr="00435769" w:rsidRDefault="005A6497" w:rsidP="007932B2">
            <w:pPr>
              <w:jc w:val="both"/>
              <w:rPr>
                <w:sz w:val="20"/>
                <w:lang w:val="fr-CA"/>
              </w:rPr>
            </w:pPr>
            <w:r w:rsidRPr="00435769">
              <w:rPr>
                <w:sz w:val="20"/>
                <w:lang w:val="fr-CA"/>
              </w:rPr>
              <w:t>(C.-B.) (Criminelle) (Sur autorisation)</w:t>
            </w:r>
          </w:p>
        </w:tc>
      </w:tr>
      <w:tr w:rsidR="005A6497" w:rsidRPr="00435769" w:rsidTr="005A6497">
        <w:tc>
          <w:tcPr>
            <w:tcW w:w="5000" w:type="pct"/>
            <w:gridSpan w:val="4"/>
          </w:tcPr>
          <w:p w:rsidR="005A6497" w:rsidRPr="00435769" w:rsidRDefault="005A6497" w:rsidP="007932B2">
            <w:pPr>
              <w:jc w:val="both"/>
              <w:rPr>
                <w:sz w:val="20"/>
                <w:lang w:val="fr-CA"/>
              </w:rPr>
            </w:pPr>
            <w:r w:rsidRPr="00435769">
              <w:rPr>
                <w:i/>
                <w:sz w:val="20"/>
                <w:lang w:val="fr-CA"/>
              </w:rPr>
              <w:t>Charte des droits et libertés</w:t>
            </w:r>
            <w:r w:rsidRPr="00435769">
              <w:rPr>
                <w:sz w:val="20"/>
                <w:lang w:val="fr-CA"/>
              </w:rPr>
              <w:t xml:space="preserve"> – Droit à la vie, à la liberté et à la sécurité de la personne – Peine cruelle et inusitée – Déclaration de délinquant dangereux et dispositions relatives à la détermination de la peine – Constitutionnalité des par. 753(1) et 753(4.1) du </w:t>
            </w:r>
            <w:r w:rsidRPr="00435769">
              <w:rPr>
                <w:i/>
                <w:sz w:val="20"/>
                <w:lang w:val="fr-CA"/>
              </w:rPr>
              <w:t>Code criminel</w:t>
            </w:r>
            <w:r w:rsidRPr="00435769">
              <w:rPr>
                <w:sz w:val="20"/>
                <w:lang w:val="fr-CA"/>
              </w:rPr>
              <w:t xml:space="preserve">, L.R.C. 1985, ch. C-46 – Les critères de désignation prévus au par. 753(1) du </w:t>
            </w:r>
            <w:r w:rsidRPr="00435769">
              <w:rPr>
                <w:i/>
                <w:sz w:val="20"/>
                <w:lang w:val="fr-CA"/>
              </w:rPr>
              <w:t xml:space="preserve">Code criminel </w:t>
            </w:r>
            <w:r w:rsidRPr="00435769">
              <w:rPr>
                <w:sz w:val="20"/>
                <w:lang w:val="fr-CA"/>
              </w:rPr>
              <w:t xml:space="preserve">ont-ils une portée excessive au regard de l’art. 7 de la </w:t>
            </w:r>
            <w:r w:rsidRPr="00435769">
              <w:rPr>
                <w:i/>
                <w:sz w:val="20"/>
                <w:lang w:val="fr-CA"/>
              </w:rPr>
              <w:t>Charte</w:t>
            </w:r>
            <w:r w:rsidRPr="00435769">
              <w:rPr>
                <w:sz w:val="20"/>
                <w:lang w:val="fr-CA"/>
              </w:rPr>
              <w:t xml:space="preserve">? – Les perspectives de traitement d’un délinquant doivent-elles être prises en compte à la « phase de désignation » en application du par. 753(1) du </w:t>
            </w:r>
            <w:r w:rsidRPr="00435769">
              <w:rPr>
                <w:i/>
                <w:sz w:val="20"/>
                <w:lang w:val="fr-CA"/>
              </w:rPr>
              <w:t>Code criminel</w:t>
            </w:r>
            <w:r w:rsidRPr="00435769">
              <w:rPr>
                <w:sz w:val="20"/>
                <w:lang w:val="fr-CA"/>
              </w:rPr>
              <w:t xml:space="preserve">? – Le par. 753(4.1) du </w:t>
            </w:r>
            <w:r w:rsidRPr="00435769">
              <w:rPr>
                <w:i/>
                <w:sz w:val="20"/>
                <w:lang w:val="fr-CA"/>
              </w:rPr>
              <w:t>Code criminel</w:t>
            </w:r>
            <w:r w:rsidRPr="00435769">
              <w:rPr>
                <w:sz w:val="20"/>
                <w:lang w:val="fr-CA"/>
              </w:rPr>
              <w:t xml:space="preserve"> a-t-il une portée excessive au regard de l’art. 7 de la </w:t>
            </w:r>
            <w:r w:rsidRPr="00435769">
              <w:rPr>
                <w:i/>
                <w:sz w:val="20"/>
                <w:lang w:val="fr-CA"/>
              </w:rPr>
              <w:t>Charte</w:t>
            </w:r>
            <w:r w:rsidRPr="00435769">
              <w:rPr>
                <w:sz w:val="20"/>
                <w:lang w:val="fr-CA"/>
              </w:rPr>
              <w:t xml:space="preserve"> ou est-il totalement disproportionné sur le fondement de l’art. 12 de la </w:t>
            </w:r>
            <w:r w:rsidRPr="00435769">
              <w:rPr>
                <w:i/>
                <w:sz w:val="20"/>
                <w:lang w:val="fr-CA"/>
              </w:rPr>
              <w:t>Charte</w:t>
            </w:r>
            <w:r w:rsidRPr="00435769">
              <w:rPr>
                <w:sz w:val="20"/>
                <w:lang w:val="fr-CA"/>
              </w:rPr>
              <w:t xml:space="preserve">? – </w:t>
            </w:r>
            <w:r w:rsidRPr="00435769">
              <w:rPr>
                <w:i/>
                <w:sz w:val="20"/>
                <w:lang w:val="fr-CA"/>
              </w:rPr>
              <w:t>Charte</w:t>
            </w:r>
            <w:r w:rsidRPr="00435769">
              <w:rPr>
                <w:sz w:val="20"/>
                <w:lang w:val="fr-CA"/>
              </w:rPr>
              <w:t xml:space="preserve"> art. 7 et 12.</w:t>
            </w:r>
          </w:p>
        </w:tc>
      </w:tr>
      <w:tr w:rsidR="005A6497" w:rsidRPr="00435769" w:rsidTr="005A6497">
        <w:tc>
          <w:tcPr>
            <w:tcW w:w="5000" w:type="pct"/>
            <w:gridSpan w:val="4"/>
          </w:tcPr>
          <w:p w:rsidR="005A6497" w:rsidRPr="00435769" w:rsidRDefault="005A6497" w:rsidP="007932B2">
            <w:pPr>
              <w:jc w:val="both"/>
              <w:rPr>
                <w:sz w:val="20"/>
                <w:lang w:val="fr-CA"/>
              </w:rPr>
            </w:pPr>
          </w:p>
        </w:tc>
      </w:tr>
      <w:tr w:rsidR="005A6497" w:rsidRPr="00435769" w:rsidTr="005A6497">
        <w:tc>
          <w:tcPr>
            <w:tcW w:w="5000" w:type="pct"/>
            <w:gridSpan w:val="4"/>
          </w:tcPr>
          <w:p w:rsidR="005A6497" w:rsidRPr="00435769" w:rsidRDefault="005A6497" w:rsidP="007932B2">
            <w:pPr>
              <w:jc w:val="both"/>
              <w:rPr>
                <w:sz w:val="20"/>
                <w:lang w:val="fr-CA"/>
              </w:rPr>
            </w:pPr>
            <w:r w:rsidRPr="00435769">
              <w:rPr>
                <w:sz w:val="20"/>
                <w:lang w:val="fr-CA"/>
              </w:rPr>
              <w:t xml:space="preserve">Le ministère public présenté une demande de déclaration de délinquant dangereux. En application de l’art. 752.1 du </w:t>
            </w:r>
            <w:r w:rsidRPr="00435769">
              <w:rPr>
                <w:i/>
                <w:sz w:val="20"/>
                <w:lang w:val="fr-CA"/>
              </w:rPr>
              <w:t>Code criminel</w:t>
            </w:r>
            <w:r w:rsidRPr="00435769">
              <w:rPr>
                <w:sz w:val="20"/>
                <w:lang w:val="fr-CA"/>
              </w:rPr>
              <w:t xml:space="preserve">, L.R.C. 1985, ch. C-46, le demandeur a été renvoyé pour évaluation. Après la présentation de la preuve à l’audition de la demande de déclaration de délinquant dangereux, et après que le ministère public a présenté ses arguments, l’avocat du demandeur a signifié un avis de question constitutionnelle en lien avec plusieurs modifications au par. 753 du </w:t>
            </w:r>
            <w:r w:rsidRPr="00435769">
              <w:rPr>
                <w:i/>
                <w:sz w:val="20"/>
                <w:lang w:val="fr-CA"/>
              </w:rPr>
              <w:t>Code criminel</w:t>
            </w:r>
            <w:r w:rsidRPr="00435769">
              <w:rPr>
                <w:i/>
                <w:iCs/>
                <w:sz w:val="20"/>
                <w:lang w:val="fr-CA"/>
              </w:rPr>
              <w:t>.</w:t>
            </w:r>
            <w:r w:rsidRPr="00435769">
              <w:rPr>
                <w:sz w:val="20"/>
                <w:lang w:val="fr-CA"/>
              </w:rPr>
              <w:t xml:space="preserve"> Le juge a conclu qu’un aspect du par. 753(1) violait l’art. 7 de la </w:t>
            </w:r>
            <w:r w:rsidRPr="00435769">
              <w:rPr>
                <w:i/>
                <w:sz w:val="20"/>
                <w:lang w:val="fr-CA"/>
              </w:rPr>
              <w:t>Charte</w:t>
            </w:r>
            <w:r w:rsidRPr="00435769">
              <w:rPr>
                <w:i/>
                <w:iCs/>
                <w:sz w:val="20"/>
                <w:lang w:val="fr-CA"/>
              </w:rPr>
              <w:t xml:space="preserve"> </w:t>
            </w:r>
            <w:r w:rsidRPr="00435769">
              <w:rPr>
                <w:iCs/>
                <w:sz w:val="20"/>
                <w:lang w:val="fr-CA"/>
              </w:rPr>
              <w:t xml:space="preserve">et ne pouvait être sauvegardé en application de l’article premier de la </w:t>
            </w:r>
            <w:r w:rsidRPr="00435769">
              <w:rPr>
                <w:i/>
                <w:iCs/>
                <w:sz w:val="20"/>
                <w:lang w:val="fr-CA"/>
              </w:rPr>
              <w:t>Charte</w:t>
            </w:r>
            <w:r w:rsidRPr="00435769">
              <w:rPr>
                <w:iCs/>
                <w:sz w:val="20"/>
                <w:lang w:val="fr-CA"/>
              </w:rPr>
              <w:t>.</w:t>
            </w:r>
            <w:r w:rsidRPr="00435769">
              <w:rPr>
                <w:sz w:val="20"/>
                <w:lang w:val="fr-CA"/>
              </w:rPr>
              <w:t xml:space="preserve"> En conséquence, il a déclaré le par. 753(1) incompatible avec la </w:t>
            </w:r>
            <w:r w:rsidRPr="00435769">
              <w:rPr>
                <w:i/>
                <w:sz w:val="20"/>
                <w:lang w:val="fr-CA"/>
              </w:rPr>
              <w:t>Charte</w:t>
            </w:r>
            <w:r w:rsidRPr="00435769">
              <w:rPr>
                <w:sz w:val="20"/>
                <w:lang w:val="fr-CA"/>
              </w:rPr>
              <w:t xml:space="preserve"> et donc nul. Prenant en considération les intérêts en jeu, le juge a statué que cette déclaration allait être suspendue pendant un an. Le juge a également désigné le demandeur délinquant dangereux et l’a condamné à une peine de détention pour une période indéterminée. L’intimée a interjeté appel de la déclaration d’invalidité constitutionnelle du par. 753(1). Le demandeur a interjeté appel de sa demande visant à faire déclarer le par. 753(4.1) constitutionnellement invalide, de sa désignation de délinquant dangereux et de sa peine de détention pour une période indéterminée. </w:t>
            </w:r>
            <w:r w:rsidRPr="00435769">
              <w:rPr>
                <w:iCs/>
                <w:sz w:val="20"/>
                <w:lang w:val="fr-CA"/>
              </w:rPr>
              <w:t>L’appel de l’intimée a été accueilli. L’appel du demandeur a été rejeté.</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21 novembre 2014</w:t>
            </w:r>
          </w:p>
          <w:p w:rsidR="005A6497" w:rsidRPr="00435769" w:rsidRDefault="005A6497" w:rsidP="007932B2">
            <w:pPr>
              <w:jc w:val="both"/>
              <w:rPr>
                <w:sz w:val="20"/>
                <w:lang w:val="fr-CA"/>
              </w:rPr>
            </w:pPr>
            <w:r w:rsidRPr="00435769">
              <w:rPr>
                <w:sz w:val="20"/>
                <w:lang w:val="fr-CA"/>
              </w:rPr>
              <w:t>Cour suprême de la Colombie-Britannique</w:t>
            </w:r>
          </w:p>
          <w:p w:rsidR="005A6497" w:rsidRPr="00435769" w:rsidRDefault="005A6497" w:rsidP="007932B2">
            <w:pPr>
              <w:jc w:val="both"/>
              <w:rPr>
                <w:sz w:val="20"/>
                <w:lang w:val="fr-CA"/>
              </w:rPr>
            </w:pPr>
            <w:r w:rsidRPr="00435769">
              <w:rPr>
                <w:sz w:val="20"/>
                <w:lang w:val="fr-CA"/>
              </w:rPr>
              <w:t>(Juge Voith)</w:t>
            </w:r>
          </w:p>
          <w:p w:rsidR="005A6497" w:rsidRPr="00435769" w:rsidRDefault="005A6497" w:rsidP="007932B2">
            <w:pPr>
              <w:jc w:val="both"/>
              <w:rPr>
                <w:sz w:val="20"/>
                <w:lang w:val="fr-CA"/>
              </w:rPr>
            </w:pPr>
            <w:r w:rsidRPr="00435769">
              <w:rPr>
                <w:sz w:val="20"/>
                <w:lang w:val="fr-CA"/>
              </w:rPr>
              <w:lastRenderedPageBreak/>
              <w:t xml:space="preserve">2014 BCSC 2187 </w:t>
            </w:r>
          </w:p>
          <w:p w:rsidR="005A6497" w:rsidRPr="00435769" w:rsidRDefault="00435769" w:rsidP="007932B2">
            <w:pPr>
              <w:jc w:val="both"/>
              <w:rPr>
                <w:rStyle w:val="Hyperlink"/>
                <w:rFonts w:eastAsiaTheme="majorEastAsia"/>
                <w:sz w:val="20"/>
                <w:lang w:val="fr-CA"/>
              </w:rPr>
            </w:pPr>
            <w:hyperlink r:id="rId38" w:history="1">
              <w:r w:rsidR="005A6497" w:rsidRPr="00435769">
                <w:rPr>
                  <w:rStyle w:val="Hyperlink"/>
                  <w:rFonts w:eastAsiaTheme="majorEastAsia"/>
                  <w:sz w:val="20"/>
                  <w:lang w:val="fr-CA"/>
                </w:rPr>
                <w:t>http://canlii.ca/t/gjc0f</w:t>
              </w:r>
            </w:hyperlink>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 xml:space="preserve">Jugement portant que le par. 753(1) du </w:t>
            </w:r>
            <w:r w:rsidRPr="00435769">
              <w:rPr>
                <w:i/>
                <w:sz w:val="20"/>
                <w:lang w:val="fr-CA"/>
              </w:rPr>
              <w:t>Code criminel</w:t>
            </w:r>
            <w:r w:rsidRPr="00435769">
              <w:rPr>
                <w:sz w:val="20"/>
                <w:lang w:val="fr-CA"/>
              </w:rPr>
              <w:t xml:space="preserve"> viole l’art. 7 de la </w:t>
            </w:r>
            <w:r w:rsidRPr="00435769">
              <w:rPr>
                <w:i/>
                <w:sz w:val="20"/>
                <w:lang w:val="fr-CA"/>
              </w:rPr>
              <w:t>Charte</w:t>
            </w:r>
          </w:p>
          <w:p w:rsidR="005A6497" w:rsidRPr="00435769" w:rsidRDefault="005A6497" w:rsidP="007932B2">
            <w:pPr>
              <w:jc w:val="both"/>
              <w:rPr>
                <w:sz w:val="20"/>
                <w:lang w:val="fr-CA"/>
              </w:rPr>
            </w:pP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lastRenderedPageBreak/>
              <w:t>29 mai 2015</w:t>
            </w:r>
          </w:p>
          <w:p w:rsidR="005A6497" w:rsidRPr="00435769" w:rsidRDefault="005A6497" w:rsidP="007932B2">
            <w:pPr>
              <w:jc w:val="both"/>
              <w:rPr>
                <w:sz w:val="20"/>
                <w:lang w:val="fr-CA"/>
              </w:rPr>
            </w:pPr>
            <w:r w:rsidRPr="00435769">
              <w:rPr>
                <w:sz w:val="20"/>
                <w:lang w:val="fr-CA"/>
              </w:rPr>
              <w:t>Cour suprême de la Colombie-Britannique</w:t>
            </w:r>
          </w:p>
          <w:p w:rsidR="005A6497" w:rsidRPr="00435769" w:rsidRDefault="005A6497" w:rsidP="007932B2">
            <w:pPr>
              <w:jc w:val="both"/>
              <w:rPr>
                <w:sz w:val="20"/>
                <w:lang w:val="fr-CA"/>
              </w:rPr>
            </w:pPr>
            <w:r w:rsidRPr="00435769">
              <w:rPr>
                <w:sz w:val="20"/>
                <w:lang w:val="fr-CA"/>
              </w:rPr>
              <w:t>(Juge Voith)</w:t>
            </w:r>
          </w:p>
          <w:p w:rsidR="005A6497" w:rsidRPr="00435769" w:rsidRDefault="005A6497" w:rsidP="007932B2">
            <w:pPr>
              <w:jc w:val="both"/>
              <w:rPr>
                <w:sz w:val="20"/>
                <w:lang w:val="fr-CA"/>
              </w:rPr>
            </w:pPr>
            <w:r w:rsidRPr="00435769">
              <w:rPr>
                <w:sz w:val="20"/>
                <w:lang w:val="fr-CA"/>
              </w:rPr>
              <w:t>2015 BCSC 901, 25686</w:t>
            </w:r>
          </w:p>
          <w:p w:rsidR="005A6497" w:rsidRPr="00435769" w:rsidRDefault="00435769" w:rsidP="007932B2">
            <w:pPr>
              <w:jc w:val="both"/>
              <w:rPr>
                <w:sz w:val="20"/>
                <w:lang w:val="fr-CA"/>
              </w:rPr>
            </w:pPr>
            <w:hyperlink r:id="rId39" w:history="1">
              <w:r w:rsidR="005A6497" w:rsidRPr="00435769">
                <w:rPr>
                  <w:rStyle w:val="Hyperlink"/>
                  <w:rFonts w:eastAsiaTheme="majorEastAsia"/>
                  <w:sz w:val="20"/>
                  <w:lang w:val="fr-CA"/>
                </w:rPr>
                <w:t>http://canlii.ca/t/gjc0f</w:t>
              </w:r>
            </w:hyperlink>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 xml:space="preserve">Jugement portant que le par. 753(1) du </w:t>
            </w:r>
            <w:r w:rsidRPr="00435769">
              <w:rPr>
                <w:i/>
                <w:sz w:val="20"/>
                <w:lang w:val="fr-CA"/>
              </w:rPr>
              <w:t>Code criminel</w:t>
            </w:r>
            <w:r w:rsidRPr="00435769">
              <w:rPr>
                <w:sz w:val="20"/>
                <w:lang w:val="fr-CA"/>
              </w:rPr>
              <w:t xml:space="preserve"> ne peut être sauvegardé en application de l’article premier de la </w:t>
            </w:r>
            <w:r w:rsidRPr="00435769">
              <w:rPr>
                <w:i/>
                <w:sz w:val="20"/>
                <w:lang w:val="fr-CA"/>
              </w:rPr>
              <w:t>Charte</w:t>
            </w:r>
          </w:p>
          <w:p w:rsidR="005A6497" w:rsidRPr="00435769" w:rsidRDefault="005A6497" w:rsidP="007932B2">
            <w:pPr>
              <w:jc w:val="both"/>
              <w:rPr>
                <w:sz w:val="20"/>
                <w:lang w:val="fr-CA"/>
              </w:rPr>
            </w:pP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2 juin 2016</w:t>
            </w:r>
          </w:p>
          <w:p w:rsidR="005A6497" w:rsidRPr="00435769" w:rsidRDefault="005A6497" w:rsidP="007932B2">
            <w:pPr>
              <w:jc w:val="both"/>
              <w:rPr>
                <w:sz w:val="20"/>
                <w:lang w:val="fr-CA"/>
              </w:rPr>
            </w:pPr>
            <w:r w:rsidRPr="00435769">
              <w:rPr>
                <w:sz w:val="20"/>
                <w:lang w:val="fr-CA"/>
              </w:rPr>
              <w:t>Cour d’appel de la Colombie-Britannique</w:t>
            </w:r>
          </w:p>
          <w:p w:rsidR="005A6497" w:rsidRPr="00435769" w:rsidRDefault="005A6497" w:rsidP="007932B2">
            <w:pPr>
              <w:jc w:val="both"/>
              <w:rPr>
                <w:sz w:val="20"/>
                <w:lang w:val="fr-CA"/>
              </w:rPr>
            </w:pPr>
            <w:r w:rsidRPr="00435769">
              <w:rPr>
                <w:sz w:val="20"/>
                <w:lang w:val="fr-CA"/>
              </w:rPr>
              <w:t>(Vancouver)</w:t>
            </w:r>
          </w:p>
          <w:p w:rsidR="005A6497" w:rsidRPr="00435769" w:rsidRDefault="005A6497" w:rsidP="007932B2">
            <w:pPr>
              <w:jc w:val="both"/>
              <w:rPr>
                <w:sz w:val="20"/>
                <w:lang w:val="fr-CA"/>
              </w:rPr>
            </w:pPr>
            <w:r w:rsidRPr="00435769">
              <w:rPr>
                <w:sz w:val="20"/>
                <w:lang w:val="fr-CA"/>
              </w:rPr>
              <w:t>(Juges Smith, Groberman et Goepel)</w:t>
            </w:r>
          </w:p>
          <w:p w:rsidR="005A6497" w:rsidRPr="00435769" w:rsidRDefault="005A6497" w:rsidP="007932B2">
            <w:pPr>
              <w:jc w:val="both"/>
              <w:rPr>
                <w:sz w:val="20"/>
              </w:rPr>
            </w:pPr>
            <w:r w:rsidRPr="00435769">
              <w:rPr>
                <w:sz w:val="20"/>
              </w:rPr>
              <w:t>2016 BCCA 235; CA42891</w:t>
            </w:r>
          </w:p>
          <w:p w:rsidR="005A6497" w:rsidRPr="00435769" w:rsidRDefault="00435769" w:rsidP="007932B2">
            <w:pPr>
              <w:jc w:val="both"/>
              <w:rPr>
                <w:rStyle w:val="Hyperlink"/>
                <w:rFonts w:eastAsiaTheme="majorEastAsia"/>
                <w:sz w:val="20"/>
              </w:rPr>
            </w:pPr>
            <w:hyperlink r:id="rId40" w:history="1">
              <w:r w:rsidR="005A6497" w:rsidRPr="00435769">
                <w:rPr>
                  <w:rStyle w:val="Hyperlink"/>
                  <w:rFonts w:eastAsiaTheme="majorEastAsia"/>
                  <w:sz w:val="20"/>
                </w:rPr>
                <w:t>http://canlii.ca/t/grx23</w:t>
              </w:r>
            </w:hyperlink>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lang w:val="fr-CA"/>
              </w:rPr>
            </w:pPr>
            <w:r w:rsidRPr="00435769">
              <w:rPr>
                <w:sz w:val="20"/>
                <w:lang w:val="fr-CA"/>
              </w:rPr>
              <w:t xml:space="preserve">Arrêt accueillant l’appel de l’intimée, annulant la déclaration portant que le par. 753(1) du </w:t>
            </w:r>
            <w:r w:rsidRPr="00435769">
              <w:rPr>
                <w:i/>
                <w:sz w:val="20"/>
                <w:lang w:val="fr-CA"/>
              </w:rPr>
              <w:t>Code criminel</w:t>
            </w:r>
            <w:r w:rsidRPr="00435769">
              <w:rPr>
                <w:sz w:val="20"/>
                <w:lang w:val="fr-CA"/>
              </w:rPr>
              <w:t xml:space="preserve"> viole l’art. 7 de la </w:t>
            </w:r>
            <w:r w:rsidRPr="00435769">
              <w:rPr>
                <w:i/>
                <w:sz w:val="20"/>
                <w:lang w:val="fr-CA"/>
              </w:rPr>
              <w:t>Charte</w:t>
            </w:r>
            <w:r w:rsidRPr="00435769">
              <w:rPr>
                <w:sz w:val="20"/>
                <w:lang w:val="fr-CA"/>
              </w:rPr>
              <w:t xml:space="preserve"> et que le par. 753(1) du </w:t>
            </w:r>
            <w:r w:rsidRPr="00435769">
              <w:rPr>
                <w:i/>
                <w:sz w:val="20"/>
                <w:lang w:val="fr-CA"/>
              </w:rPr>
              <w:t>Code criminel</w:t>
            </w:r>
            <w:r w:rsidRPr="00435769">
              <w:rPr>
                <w:sz w:val="20"/>
                <w:lang w:val="fr-CA"/>
              </w:rPr>
              <w:t xml:space="preserve"> est inopérant et rejetant l’appel du demandeur</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31 août 2016</w:t>
            </w:r>
          </w:p>
          <w:p w:rsidR="005A6497" w:rsidRPr="00435769" w:rsidRDefault="005A6497" w:rsidP="007932B2">
            <w:pPr>
              <w:jc w:val="both"/>
              <w:rPr>
                <w:sz w:val="20"/>
                <w:lang w:val="fr-CA"/>
              </w:rPr>
            </w:pPr>
            <w:r w:rsidRPr="00435769">
              <w:rPr>
                <w:sz w:val="20"/>
                <w:lang w:val="fr-CA"/>
              </w:rPr>
              <w:t>Cour suprême du Canada</w:t>
            </w: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Dépôt de la demande d’autorisation d’appel</w:t>
            </w:r>
          </w:p>
        </w:tc>
      </w:tr>
    </w:tbl>
    <w:p w:rsidR="005A6497" w:rsidRPr="00435769" w:rsidRDefault="005A6497" w:rsidP="007932B2">
      <w:pPr>
        <w:jc w:val="both"/>
        <w:rPr>
          <w:sz w:val="20"/>
          <w:lang w:val="fr-CA"/>
        </w:rPr>
      </w:pPr>
    </w:p>
    <w:p w:rsidR="00FD0A9D" w:rsidRPr="00435769" w:rsidRDefault="00FD0A9D" w:rsidP="007932B2">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rPr>
            </w:pPr>
            <w:r w:rsidRPr="00435769">
              <w:rPr>
                <w:rStyle w:val="SCCFileNumberChar"/>
                <w:sz w:val="20"/>
                <w:szCs w:val="20"/>
              </w:rPr>
              <w:t>37102</w:t>
            </w:r>
          </w:p>
        </w:tc>
        <w:tc>
          <w:tcPr>
            <w:tcW w:w="4457" w:type="pct"/>
            <w:gridSpan w:val="3"/>
          </w:tcPr>
          <w:p w:rsidR="005A6497" w:rsidRPr="00435769" w:rsidRDefault="005A6497" w:rsidP="007932B2">
            <w:pPr>
              <w:pStyle w:val="SCCLsocParty"/>
              <w:jc w:val="both"/>
              <w:rPr>
                <w:b/>
                <w:sz w:val="20"/>
                <w:szCs w:val="20"/>
                <w:lang w:val="en-US"/>
              </w:rPr>
            </w:pPr>
            <w:r w:rsidRPr="00435769">
              <w:rPr>
                <w:b/>
                <w:sz w:val="20"/>
                <w:szCs w:val="20"/>
                <w:lang w:val="en-US"/>
              </w:rPr>
              <w:t>Kevin Donald Kerfoot v. Attorney General of Canada on behalf of the United States of America</w:t>
            </w:r>
          </w:p>
          <w:p w:rsidR="005A6497" w:rsidRPr="00435769" w:rsidRDefault="005A6497" w:rsidP="007932B2">
            <w:pPr>
              <w:pStyle w:val="SCCLsocSubfileSeparator"/>
              <w:rPr>
                <w:sz w:val="20"/>
                <w:szCs w:val="20"/>
              </w:rPr>
            </w:pPr>
            <w:r w:rsidRPr="00435769">
              <w:rPr>
                <w:sz w:val="20"/>
                <w:szCs w:val="20"/>
              </w:rPr>
              <w:t>- and between -</w:t>
            </w:r>
          </w:p>
          <w:p w:rsidR="005A6497" w:rsidRPr="00435769" w:rsidRDefault="005A6497" w:rsidP="007932B2">
            <w:pPr>
              <w:pStyle w:val="SCCLsocParty"/>
              <w:jc w:val="both"/>
              <w:rPr>
                <w:b/>
                <w:sz w:val="20"/>
                <w:szCs w:val="20"/>
                <w:lang w:val="en-US"/>
              </w:rPr>
            </w:pPr>
            <w:r w:rsidRPr="00435769">
              <w:rPr>
                <w:b/>
                <w:sz w:val="20"/>
                <w:szCs w:val="20"/>
                <w:lang w:val="en-US"/>
              </w:rPr>
              <w:t>Kevin Donald Kerfoot v. Minister of Justice</w:t>
            </w:r>
          </w:p>
          <w:p w:rsidR="005A6497" w:rsidRPr="00435769" w:rsidRDefault="005A6497" w:rsidP="007932B2">
            <w:pPr>
              <w:jc w:val="both"/>
              <w:rPr>
                <w:sz w:val="20"/>
              </w:rPr>
            </w:pPr>
            <w:r w:rsidRPr="00435769">
              <w:rPr>
                <w:sz w:val="20"/>
              </w:rPr>
              <w:t>(B.C.) (Criminal) (By Leave)</w:t>
            </w:r>
          </w:p>
        </w:tc>
      </w:tr>
      <w:tr w:rsidR="005A6497" w:rsidRPr="00435769" w:rsidTr="005A6497">
        <w:tc>
          <w:tcPr>
            <w:tcW w:w="5000" w:type="pct"/>
            <w:gridSpan w:val="4"/>
          </w:tcPr>
          <w:p w:rsidR="005A6497" w:rsidRPr="00435769" w:rsidRDefault="005A6497" w:rsidP="007932B2">
            <w:pPr>
              <w:jc w:val="both"/>
              <w:rPr>
                <w:sz w:val="20"/>
              </w:rPr>
            </w:pPr>
            <w:r w:rsidRPr="00435769">
              <w:rPr>
                <w:i/>
                <w:sz w:val="20"/>
              </w:rPr>
              <w:t xml:space="preserve">Charter of Rights </w:t>
            </w:r>
            <w:r w:rsidRPr="00435769">
              <w:rPr>
                <w:sz w:val="20"/>
              </w:rPr>
              <w:t xml:space="preserve">– Fundamental justice – Criminal law – Extradition – Committal hearings – Evidence – Applicant sought by U.S. authorities for alleged involvement in drug smuggling conspiracy – Judge ordering committal of applicant and Minister ordering surrender of applicant – Death and purported recantation of witnesses – Whether requesting state initiating proceedings in Canada to obtain extradition committal order is subject to jurisdiction of Canadian courts with respect to disclosure of documents – Whether evidence of witness is still reliable and available for trial where witness recants and avers they will under no circumstances testify against extradition target – Whether evidence on record sufficient to justify committal when evidence was not in record, unavailable for trial and manifestly unreliable – </w:t>
            </w:r>
            <w:r w:rsidRPr="00435769">
              <w:rPr>
                <w:i/>
                <w:sz w:val="20"/>
              </w:rPr>
              <w:t>Extradition Act</w:t>
            </w:r>
            <w:r w:rsidRPr="00435769">
              <w:rPr>
                <w:sz w:val="20"/>
              </w:rPr>
              <w:t xml:space="preserve">, S.C. 1999, c. 18, s. 29(1) – </w:t>
            </w:r>
            <w:r w:rsidRPr="00435769">
              <w:rPr>
                <w:i/>
                <w:sz w:val="20"/>
              </w:rPr>
              <w:t>Canadian Charter of Rights and Freedoms</w:t>
            </w:r>
            <w:r w:rsidRPr="00435769">
              <w:rPr>
                <w:sz w:val="20"/>
              </w:rPr>
              <w:t>, s. 7.</w:t>
            </w:r>
          </w:p>
        </w:tc>
      </w:tr>
      <w:tr w:rsidR="005A6497" w:rsidRPr="00435769" w:rsidTr="005A6497">
        <w:tc>
          <w:tcPr>
            <w:tcW w:w="5000" w:type="pct"/>
            <w:gridSpan w:val="4"/>
          </w:tcPr>
          <w:p w:rsidR="005A6497" w:rsidRPr="00435769" w:rsidRDefault="005A6497" w:rsidP="007932B2">
            <w:pPr>
              <w:jc w:val="both"/>
              <w:rPr>
                <w:sz w:val="20"/>
              </w:rPr>
            </w:pPr>
          </w:p>
        </w:tc>
      </w:tr>
      <w:tr w:rsidR="005A6497" w:rsidRPr="00435769" w:rsidTr="005A6497">
        <w:tc>
          <w:tcPr>
            <w:tcW w:w="5000" w:type="pct"/>
            <w:gridSpan w:val="4"/>
          </w:tcPr>
          <w:p w:rsidR="005A6497" w:rsidRPr="00435769" w:rsidRDefault="005A6497" w:rsidP="007932B2">
            <w:pPr>
              <w:jc w:val="both"/>
              <w:rPr>
                <w:sz w:val="20"/>
              </w:rPr>
            </w:pPr>
            <w:r w:rsidRPr="00435769">
              <w:rPr>
                <w:sz w:val="20"/>
              </w:rPr>
              <w:t>The U.S. sought the applicant’s extradition for conduct corresponding to the Canadian offences of conspiracy to traffic in a controlled substance and trafficking in a controlled substance – i.e., cocaine and MDMA (ecstasy). On August 4, 2009, the B.C. Supreme Court ordered the committal of the applicant; on February 18, 2010, the Minister of Justice issued a surrender order. The applicant successfully appealed the committal order, in light of fresh evidence adduced to the effect that one key witness had died and another purported to recant his evidence. The surrender order was set aside, and a new committal hearing was ordered.</w:t>
            </w:r>
          </w:p>
          <w:p w:rsidR="005A6497" w:rsidRPr="00435769" w:rsidRDefault="005A6497" w:rsidP="007932B2">
            <w:pPr>
              <w:jc w:val="both"/>
              <w:rPr>
                <w:sz w:val="20"/>
              </w:rPr>
            </w:pPr>
          </w:p>
          <w:p w:rsidR="005A6497" w:rsidRPr="00435769" w:rsidRDefault="005A6497" w:rsidP="007932B2">
            <w:pPr>
              <w:jc w:val="both"/>
              <w:rPr>
                <w:sz w:val="20"/>
              </w:rPr>
            </w:pPr>
            <w:r w:rsidRPr="00435769">
              <w:rPr>
                <w:sz w:val="20"/>
              </w:rPr>
              <w:t xml:space="preserve">On October 3, 2014, the B.C. Supreme Court issued a second committal order for the applicant, concluding that the recantation of the witness did not render his evidence manifestly unreliable. The purported recantation was not sufficient to rebut the presumed reliability of the evidence, nor to rebut the presumed availability of the evidence in the record of the case for the eventual trial. Any contradictory evidence or recantation only raised questions concerning the credibility of the witness, which was an issue for the trial court in the U.S. to resolve. In response to an application by the applicant for disclosure of certain documents pertaining to the witnesses in the case, the judge concluded that she lacked the requisite jurisdiction to compel disclosure from U.S. authorities. On June 5, 2015, the Minister of Justice issued a second surrender order. </w:t>
            </w:r>
          </w:p>
          <w:p w:rsidR="005A6497" w:rsidRPr="00435769" w:rsidRDefault="005A6497" w:rsidP="007932B2">
            <w:pPr>
              <w:jc w:val="both"/>
              <w:rPr>
                <w:sz w:val="20"/>
              </w:rPr>
            </w:pPr>
          </w:p>
          <w:p w:rsidR="005A6497" w:rsidRPr="00435769" w:rsidRDefault="005A6497" w:rsidP="007932B2">
            <w:pPr>
              <w:jc w:val="both"/>
              <w:rPr>
                <w:sz w:val="20"/>
              </w:rPr>
            </w:pPr>
            <w:r w:rsidRPr="00435769">
              <w:rPr>
                <w:sz w:val="20"/>
              </w:rPr>
              <w:t xml:space="preserve">The Court of Appeal dismissed the applicant’s appeal from the second committal order and his judicial review of the surrender order, agreeing with the committal judge’s conclusions with respect to the disclosure order and the </w:t>
            </w:r>
            <w:r w:rsidRPr="00435769">
              <w:rPr>
                <w:sz w:val="20"/>
              </w:rPr>
              <w:lastRenderedPageBreak/>
              <w:t>reliability and availability of the evidence of the recanting witness. Furthermore, the Court of Appeal noted that if the recanting witness would not testify voluntarily, there are other avenues by which he could be compelled to testify.</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lastRenderedPageBreak/>
              <w:t>August 4, 2009</w:t>
            </w:r>
          </w:p>
          <w:p w:rsidR="005A6497" w:rsidRPr="00435769" w:rsidRDefault="005A6497" w:rsidP="007932B2">
            <w:pPr>
              <w:jc w:val="both"/>
              <w:rPr>
                <w:sz w:val="20"/>
              </w:rPr>
            </w:pPr>
            <w:r w:rsidRPr="00435769">
              <w:rPr>
                <w:sz w:val="20"/>
              </w:rPr>
              <w:t>Supreme Court of British Columbia (Ker J.)</w:t>
            </w:r>
          </w:p>
          <w:p w:rsidR="005A6497" w:rsidRPr="00435769" w:rsidRDefault="005A6497" w:rsidP="007932B2">
            <w:pPr>
              <w:jc w:val="both"/>
              <w:rPr>
                <w:sz w:val="20"/>
              </w:rPr>
            </w:pPr>
            <w:r w:rsidRPr="00435769">
              <w:rPr>
                <w:sz w:val="20"/>
              </w:rPr>
              <w:t>(Court file number 24183)</w:t>
            </w:r>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First committal order</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January 21, 2011</w:t>
            </w:r>
          </w:p>
          <w:p w:rsidR="005A6497" w:rsidRPr="00435769" w:rsidRDefault="005A6497" w:rsidP="007932B2">
            <w:pPr>
              <w:jc w:val="both"/>
              <w:rPr>
                <w:sz w:val="20"/>
              </w:rPr>
            </w:pPr>
            <w:r w:rsidRPr="00435769">
              <w:rPr>
                <w:sz w:val="20"/>
              </w:rPr>
              <w:t>Court of Appeal for British Columbia</w:t>
            </w:r>
          </w:p>
          <w:p w:rsidR="005A6497" w:rsidRPr="00435769" w:rsidRDefault="005A6497" w:rsidP="007932B2">
            <w:pPr>
              <w:jc w:val="both"/>
              <w:rPr>
                <w:sz w:val="20"/>
              </w:rPr>
            </w:pPr>
            <w:r w:rsidRPr="00435769">
              <w:rPr>
                <w:sz w:val="20"/>
              </w:rPr>
              <w:t>(Vancouver)</w:t>
            </w:r>
          </w:p>
          <w:p w:rsidR="005A6497" w:rsidRPr="00435769" w:rsidRDefault="005A6497" w:rsidP="007932B2">
            <w:pPr>
              <w:jc w:val="both"/>
              <w:rPr>
                <w:sz w:val="20"/>
              </w:rPr>
            </w:pPr>
            <w:r w:rsidRPr="00435769">
              <w:rPr>
                <w:sz w:val="20"/>
              </w:rPr>
              <w:t>(Hall, Levine and Tysoe JJ.A.)</w:t>
            </w:r>
          </w:p>
          <w:p w:rsidR="005A6497" w:rsidRPr="00435769" w:rsidRDefault="00435769" w:rsidP="007932B2">
            <w:pPr>
              <w:jc w:val="both"/>
              <w:rPr>
                <w:sz w:val="20"/>
              </w:rPr>
            </w:pPr>
            <w:hyperlink r:id="rId41" w:history="1">
              <w:r w:rsidR="005A6497" w:rsidRPr="00435769">
                <w:rPr>
                  <w:rStyle w:val="Hyperlink"/>
                  <w:sz w:val="20"/>
                </w:rPr>
                <w:t>2011 BCCA 33</w:t>
              </w:r>
            </w:hyperlink>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Appeal from first committal order – allowed, new hearing ordered;</w:t>
            </w:r>
          </w:p>
          <w:p w:rsidR="005A6497" w:rsidRPr="00435769" w:rsidRDefault="005A6497" w:rsidP="007932B2">
            <w:pPr>
              <w:jc w:val="both"/>
              <w:rPr>
                <w:sz w:val="20"/>
              </w:rPr>
            </w:pPr>
            <w:r w:rsidRPr="00435769">
              <w:rPr>
                <w:sz w:val="20"/>
              </w:rPr>
              <w:t>Application for judicial review of first surrender order – allowed, order set aside</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November 2, 2012</w:t>
            </w:r>
          </w:p>
          <w:p w:rsidR="005A6497" w:rsidRPr="00435769" w:rsidRDefault="005A6497" w:rsidP="007932B2">
            <w:pPr>
              <w:jc w:val="both"/>
              <w:rPr>
                <w:sz w:val="20"/>
              </w:rPr>
            </w:pPr>
            <w:r w:rsidRPr="00435769">
              <w:rPr>
                <w:sz w:val="20"/>
              </w:rPr>
              <w:t>Supreme Court of British Columbia</w:t>
            </w:r>
          </w:p>
          <w:p w:rsidR="005A6497" w:rsidRPr="00435769" w:rsidRDefault="005A6497" w:rsidP="007932B2">
            <w:pPr>
              <w:jc w:val="both"/>
              <w:rPr>
                <w:sz w:val="20"/>
              </w:rPr>
            </w:pPr>
            <w:r w:rsidRPr="00435769">
              <w:rPr>
                <w:sz w:val="20"/>
              </w:rPr>
              <w:t>(Maisonville J.)</w:t>
            </w:r>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Order for production of materials in possession of Attorney General of Canada and/or to be sought from Requesting State</w:t>
            </w:r>
          </w:p>
        </w:tc>
      </w:tr>
      <w:tr w:rsidR="005A6497" w:rsidRPr="00435769" w:rsidTr="005A6497">
        <w:tc>
          <w:tcPr>
            <w:tcW w:w="2427" w:type="pct"/>
            <w:gridSpan w:val="2"/>
          </w:tcPr>
          <w:p w:rsidR="005A6497" w:rsidRPr="00435769" w:rsidRDefault="005A6497" w:rsidP="007932B2">
            <w:pPr>
              <w:jc w:val="both"/>
              <w:rPr>
                <w:sz w:val="20"/>
              </w:rPr>
            </w:pPr>
            <w:r w:rsidRPr="00435769">
              <w:rPr>
                <w:sz w:val="20"/>
              </w:rPr>
              <w:t>October 3, 2014</w:t>
            </w:r>
          </w:p>
          <w:p w:rsidR="005A6497" w:rsidRPr="00435769" w:rsidRDefault="005A6497" w:rsidP="007932B2">
            <w:pPr>
              <w:jc w:val="both"/>
              <w:rPr>
                <w:sz w:val="20"/>
              </w:rPr>
            </w:pPr>
            <w:r w:rsidRPr="00435769">
              <w:rPr>
                <w:sz w:val="20"/>
              </w:rPr>
              <w:t>Supreme Court of British Columbia</w:t>
            </w:r>
          </w:p>
          <w:p w:rsidR="005A6497" w:rsidRPr="00435769" w:rsidRDefault="005A6497" w:rsidP="007932B2">
            <w:pPr>
              <w:jc w:val="both"/>
              <w:rPr>
                <w:sz w:val="20"/>
                <w:lang w:val="fr-CA"/>
              </w:rPr>
            </w:pPr>
            <w:r w:rsidRPr="00435769">
              <w:rPr>
                <w:sz w:val="20"/>
                <w:lang w:val="fr-CA"/>
              </w:rPr>
              <w:t>(Maisonville J.)</w:t>
            </w:r>
          </w:p>
          <w:p w:rsidR="005A6497" w:rsidRPr="00435769" w:rsidRDefault="00435769" w:rsidP="007932B2">
            <w:pPr>
              <w:jc w:val="both"/>
              <w:rPr>
                <w:sz w:val="20"/>
                <w:lang w:val="fr-CA"/>
              </w:rPr>
            </w:pPr>
            <w:hyperlink r:id="rId42" w:history="1">
              <w:r w:rsidR="005A6497" w:rsidRPr="00435769">
                <w:rPr>
                  <w:rStyle w:val="Hyperlink"/>
                  <w:sz w:val="20"/>
                  <w:lang w:val="fr-CA"/>
                </w:rPr>
                <w:t>2014 BCSC 2064</w:t>
              </w:r>
            </w:hyperlink>
            <w:r w:rsidR="005A6497" w:rsidRPr="00435769">
              <w:rPr>
                <w:sz w:val="20"/>
                <w:lang w:val="fr-CA"/>
              </w:rPr>
              <w:t xml:space="preserve"> </w:t>
            </w:r>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Second committal order</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July 14, 2016</w:t>
            </w:r>
          </w:p>
          <w:p w:rsidR="005A6497" w:rsidRPr="00435769" w:rsidRDefault="005A6497" w:rsidP="007932B2">
            <w:pPr>
              <w:jc w:val="both"/>
              <w:rPr>
                <w:sz w:val="20"/>
              </w:rPr>
            </w:pPr>
            <w:r w:rsidRPr="00435769">
              <w:rPr>
                <w:sz w:val="20"/>
              </w:rPr>
              <w:t>Court of Appeal for British Columbia (Vancouver)</w:t>
            </w:r>
          </w:p>
          <w:p w:rsidR="005A6497" w:rsidRPr="00435769" w:rsidRDefault="005A6497" w:rsidP="007932B2">
            <w:pPr>
              <w:jc w:val="both"/>
              <w:rPr>
                <w:sz w:val="20"/>
              </w:rPr>
            </w:pPr>
            <w:r w:rsidRPr="00435769">
              <w:rPr>
                <w:sz w:val="20"/>
              </w:rPr>
              <w:t>(Neilson, Bennett and Savage JJ.A.)</w:t>
            </w:r>
          </w:p>
          <w:p w:rsidR="005A6497" w:rsidRPr="00435769" w:rsidRDefault="00435769" w:rsidP="007932B2">
            <w:pPr>
              <w:jc w:val="both"/>
              <w:rPr>
                <w:sz w:val="20"/>
              </w:rPr>
            </w:pPr>
            <w:hyperlink r:id="rId43" w:history="1">
              <w:r w:rsidR="005A6497" w:rsidRPr="00435769">
                <w:rPr>
                  <w:rStyle w:val="Hyperlink"/>
                  <w:sz w:val="20"/>
                </w:rPr>
                <w:t>2016 BCCA 306</w:t>
              </w:r>
            </w:hyperlink>
            <w:r w:rsidR="005A6497" w:rsidRPr="00435769">
              <w:rPr>
                <w:sz w:val="20"/>
              </w:rPr>
              <w:t xml:space="preserve"> </w:t>
            </w:r>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Appeal from second committal order – dismissed;</w:t>
            </w:r>
          </w:p>
          <w:p w:rsidR="005A6497" w:rsidRPr="00435769" w:rsidRDefault="005A6497" w:rsidP="007932B2">
            <w:pPr>
              <w:jc w:val="both"/>
              <w:rPr>
                <w:sz w:val="20"/>
              </w:rPr>
            </w:pPr>
          </w:p>
          <w:p w:rsidR="005A6497" w:rsidRPr="00435769" w:rsidRDefault="005A6497" w:rsidP="007932B2">
            <w:pPr>
              <w:jc w:val="both"/>
              <w:rPr>
                <w:sz w:val="20"/>
              </w:rPr>
            </w:pPr>
            <w:r w:rsidRPr="00435769">
              <w:rPr>
                <w:sz w:val="20"/>
              </w:rPr>
              <w:t xml:space="preserve">Application for judicial review from second surrender order – dismissed </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September 29, 2016</w:t>
            </w:r>
          </w:p>
          <w:p w:rsidR="005A6497" w:rsidRPr="00435769" w:rsidRDefault="005A6497" w:rsidP="007932B2">
            <w:pPr>
              <w:jc w:val="both"/>
              <w:rPr>
                <w:sz w:val="20"/>
              </w:rPr>
            </w:pPr>
            <w:r w:rsidRPr="00435769">
              <w:rPr>
                <w:sz w:val="20"/>
              </w:rPr>
              <w:t>Supreme Court of Canada</w:t>
            </w: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Application for leave to appeal filed</w:t>
            </w:r>
          </w:p>
          <w:p w:rsidR="005A6497" w:rsidRPr="00435769" w:rsidRDefault="005A6497" w:rsidP="007932B2">
            <w:pPr>
              <w:jc w:val="both"/>
              <w:rPr>
                <w:sz w:val="20"/>
              </w:rPr>
            </w:pPr>
          </w:p>
        </w:tc>
      </w:tr>
    </w:tbl>
    <w:p w:rsidR="005A6497" w:rsidRPr="00435769" w:rsidRDefault="005A6497" w:rsidP="007932B2">
      <w:pPr>
        <w:jc w:val="both"/>
        <w:rPr>
          <w:sz w:val="20"/>
        </w:rPr>
      </w:pPr>
    </w:p>
    <w:p w:rsidR="009E248E" w:rsidRPr="00435769" w:rsidRDefault="009E248E" w:rsidP="007932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lang w:val="fr-CA"/>
              </w:rPr>
            </w:pPr>
            <w:r w:rsidRPr="00435769">
              <w:rPr>
                <w:rStyle w:val="SCCFileNumberChar"/>
                <w:sz w:val="20"/>
                <w:szCs w:val="20"/>
                <w:lang w:val="fr-CA"/>
              </w:rPr>
              <w:t>37102</w:t>
            </w:r>
          </w:p>
        </w:tc>
        <w:tc>
          <w:tcPr>
            <w:tcW w:w="4457" w:type="pct"/>
            <w:gridSpan w:val="3"/>
          </w:tcPr>
          <w:p w:rsidR="005A6497" w:rsidRPr="00435769" w:rsidRDefault="005A6497" w:rsidP="007932B2">
            <w:pPr>
              <w:pStyle w:val="SCCLsocParty"/>
              <w:jc w:val="both"/>
              <w:rPr>
                <w:b/>
                <w:sz w:val="20"/>
                <w:szCs w:val="20"/>
              </w:rPr>
            </w:pPr>
            <w:r w:rsidRPr="00435769">
              <w:rPr>
                <w:b/>
                <w:sz w:val="20"/>
                <w:szCs w:val="20"/>
              </w:rPr>
              <w:t>Kevin Donald Kerfoot c. Procureur général du Canada au nom des États-Unis d’Amérique</w:t>
            </w:r>
          </w:p>
          <w:p w:rsidR="005A6497" w:rsidRPr="00435769" w:rsidRDefault="005A6497" w:rsidP="007932B2">
            <w:pPr>
              <w:pStyle w:val="SCCLsocSubfileSeparator"/>
              <w:rPr>
                <w:sz w:val="20"/>
                <w:szCs w:val="20"/>
                <w:lang w:val="fr-CA"/>
              </w:rPr>
            </w:pPr>
            <w:r w:rsidRPr="00435769">
              <w:rPr>
                <w:sz w:val="20"/>
                <w:szCs w:val="20"/>
                <w:lang w:val="fr-CA"/>
              </w:rPr>
              <w:t>- et entre -</w:t>
            </w:r>
          </w:p>
          <w:p w:rsidR="005A6497" w:rsidRPr="00435769" w:rsidRDefault="005A6497" w:rsidP="007932B2">
            <w:pPr>
              <w:pStyle w:val="SCCLsocParty"/>
              <w:jc w:val="both"/>
              <w:rPr>
                <w:b/>
                <w:sz w:val="20"/>
                <w:szCs w:val="20"/>
              </w:rPr>
            </w:pPr>
            <w:r w:rsidRPr="00435769">
              <w:rPr>
                <w:b/>
                <w:sz w:val="20"/>
                <w:szCs w:val="20"/>
              </w:rPr>
              <w:t>Kevin Donald Kerfoot c. Ministre de la Justice</w:t>
            </w:r>
          </w:p>
          <w:p w:rsidR="005A6497" w:rsidRPr="00435769" w:rsidRDefault="005A6497" w:rsidP="007932B2">
            <w:pPr>
              <w:jc w:val="both"/>
              <w:rPr>
                <w:sz w:val="20"/>
                <w:lang w:val="fr-CA"/>
              </w:rPr>
            </w:pPr>
            <w:r w:rsidRPr="00435769">
              <w:rPr>
                <w:sz w:val="20"/>
                <w:lang w:val="fr-CA"/>
              </w:rPr>
              <w:t>(C.-B.) (Criminelle) (Sur autorisation)</w:t>
            </w:r>
          </w:p>
        </w:tc>
      </w:tr>
      <w:tr w:rsidR="005A6497" w:rsidRPr="00435769" w:rsidTr="005A6497">
        <w:tc>
          <w:tcPr>
            <w:tcW w:w="5000" w:type="pct"/>
            <w:gridSpan w:val="4"/>
          </w:tcPr>
          <w:p w:rsidR="005A6497" w:rsidRPr="00435769" w:rsidRDefault="005A6497" w:rsidP="007932B2">
            <w:pPr>
              <w:jc w:val="both"/>
              <w:rPr>
                <w:sz w:val="20"/>
                <w:lang w:val="fr-CA"/>
              </w:rPr>
            </w:pPr>
            <w:r w:rsidRPr="00435769">
              <w:rPr>
                <w:i/>
                <w:sz w:val="20"/>
                <w:lang w:val="fr-CA"/>
              </w:rPr>
              <w:t xml:space="preserve">Charte des droits </w:t>
            </w:r>
            <w:r w:rsidRPr="00435769">
              <w:rPr>
                <w:sz w:val="20"/>
                <w:lang w:val="fr-CA"/>
              </w:rPr>
              <w:t xml:space="preserve">– Justice fondamentale – Droit criminel – Extradition – Audiences relatives à l’incarcération – Preuve – Demandeur recherché par les autorités américaines en raison d’allégations de participation à un complot de contrebande de drogue – Ordonnance d’incarcération et ordonnance d’extradition contre le demandeur prononcées respectivement par un juge et par le ministre – Décès d’un témoin et prétendue rétractation de la part d’un autre – L’État requérant qui intente des procédures au Canada pour obtenir une ordonnance d’incarcération et un arrêté d’extradition est-il assujetti à la compétence des tribunaux canadiens pour ce qui est de la communication de documents? – La déposition d’un témoin est-elle toujours fiable et disponible en vue du procès lorsque ce témoin s’est rétracté et affirme qu’il ne témoignera jamais contre la personne susceptible d’extradition? – La preuve au dossier est-elle suffisante pour justifier l’incarcération lorsque des éléments ne sont pas au dossier, ne sont pas disponibles pour le procès ou sont manifestement peu fiables? – </w:t>
            </w:r>
            <w:r w:rsidRPr="00435769">
              <w:rPr>
                <w:i/>
                <w:sz w:val="20"/>
                <w:lang w:val="fr-CA"/>
              </w:rPr>
              <w:t>Loi sur l’extradition</w:t>
            </w:r>
            <w:r w:rsidRPr="00435769">
              <w:rPr>
                <w:sz w:val="20"/>
                <w:lang w:val="fr-CA"/>
              </w:rPr>
              <w:t xml:space="preserve">, L. C. 1999, c. 18, par. 29(1) – </w:t>
            </w:r>
            <w:r w:rsidRPr="00435769">
              <w:rPr>
                <w:i/>
                <w:sz w:val="20"/>
                <w:lang w:val="fr-CA"/>
              </w:rPr>
              <w:t>Charte canadienne sur les droits et libertés</w:t>
            </w:r>
            <w:r w:rsidRPr="00435769">
              <w:rPr>
                <w:sz w:val="20"/>
                <w:lang w:val="fr-CA"/>
              </w:rPr>
              <w:t>, art. 7.</w:t>
            </w:r>
          </w:p>
        </w:tc>
      </w:tr>
      <w:tr w:rsidR="005A6497" w:rsidRPr="00435769" w:rsidTr="005A6497">
        <w:tc>
          <w:tcPr>
            <w:tcW w:w="5000" w:type="pct"/>
            <w:gridSpan w:val="4"/>
          </w:tcPr>
          <w:p w:rsidR="005A6497" w:rsidRPr="00435769" w:rsidRDefault="005A6497" w:rsidP="007932B2">
            <w:pPr>
              <w:jc w:val="both"/>
              <w:rPr>
                <w:sz w:val="20"/>
                <w:lang w:val="fr-CA"/>
              </w:rPr>
            </w:pPr>
          </w:p>
        </w:tc>
      </w:tr>
      <w:tr w:rsidR="005A6497" w:rsidRPr="00435769" w:rsidTr="005A6497">
        <w:tc>
          <w:tcPr>
            <w:tcW w:w="5000" w:type="pct"/>
            <w:gridSpan w:val="4"/>
          </w:tcPr>
          <w:p w:rsidR="005A6497" w:rsidRPr="00435769" w:rsidRDefault="005A6497" w:rsidP="007932B2">
            <w:pPr>
              <w:jc w:val="both"/>
              <w:rPr>
                <w:sz w:val="20"/>
                <w:lang w:val="fr-CA"/>
              </w:rPr>
            </w:pPr>
            <w:r w:rsidRPr="00435769">
              <w:rPr>
                <w:sz w:val="20"/>
                <w:lang w:val="fr-CA"/>
              </w:rPr>
              <w:t xml:space="preserve">Les États-Unis ont sollicité l’extradition du demandeur à l’égard d’actes correspondant aux infractions canadiennes de complot en vue de faire le trafic de substances désignées et de trafic de substances désignées, c.-à-d. de la cocaïne et de l’ecstasy (MDMA). Le 4 août 2009, la Cour suprême de la C.-B. a ordonné l’incarcération du demandeur; le 18 février 2010, le ministre de la Justice a prononcé un arrêté d’extradition. Le demandeur a interjeté appel avec succès de l’ordonnance d’incarcération, sur la foi de nouveaux éléments de preuve selon lesquels un témoin clé était </w:t>
            </w:r>
            <w:r w:rsidRPr="00435769">
              <w:rPr>
                <w:sz w:val="20"/>
                <w:lang w:val="fr-CA"/>
              </w:rPr>
              <w:lastRenderedPageBreak/>
              <w:t>décédé et un autre témoin se serait apparemment rétracté. L’arrêté d’extradition a été annulé, et une nouvelle audience relative à l’incarcération a été ordonnée.</w:t>
            </w:r>
          </w:p>
          <w:p w:rsidR="005A6497" w:rsidRPr="00435769" w:rsidRDefault="005A6497" w:rsidP="007932B2">
            <w:pPr>
              <w:jc w:val="both"/>
              <w:rPr>
                <w:sz w:val="20"/>
                <w:lang w:val="fr-CA"/>
              </w:rPr>
            </w:pPr>
          </w:p>
          <w:p w:rsidR="005A6497" w:rsidRPr="00435769" w:rsidRDefault="005A6497" w:rsidP="007932B2">
            <w:pPr>
              <w:jc w:val="both"/>
              <w:rPr>
                <w:sz w:val="20"/>
                <w:lang w:val="fr-CA"/>
              </w:rPr>
            </w:pPr>
            <w:r w:rsidRPr="00435769">
              <w:rPr>
                <w:sz w:val="20"/>
                <w:lang w:val="fr-CA"/>
              </w:rPr>
              <w:t xml:space="preserve">Le 3 octobre 2014, la Cour suprême de la C.-B. a rendu une seconde ordonnance d’incarcération à l’endroit du demandeur, concluant que la rétractation du témoin ne rendait pas le témoignage de ce dernier manifestement peu fiable. La prétendue rétractation n’était pas suffisante pour réfuter la présomption de fiabilité du témoignage, ni pour réfuter la disponibilité présumée de la preuve dans le dossier en vue d’un procès éventuel. Un témoignage contradictoire ou une rétractation ne soulève que des questions touchant à la crédibilité du témoin, que le tribunal de première instance aux États-Unis devra trancher. En réponse à une requête présentée par le demandeur visant la communication de certains documents concernant les témoins en l’espèce, la juge a conclu qu’elle n’avait pas la compétence requise pour forcer les autorités américaines à communiquer ces documents. Le 5 juin 2015, le ministre de la Justice a prononcé un second arrêté d’extradition. </w:t>
            </w:r>
          </w:p>
          <w:p w:rsidR="005A6497" w:rsidRPr="00435769" w:rsidRDefault="005A6497" w:rsidP="007932B2">
            <w:pPr>
              <w:jc w:val="both"/>
              <w:rPr>
                <w:sz w:val="20"/>
                <w:lang w:val="fr-CA"/>
              </w:rPr>
            </w:pPr>
          </w:p>
          <w:p w:rsidR="005A6497" w:rsidRPr="00435769" w:rsidRDefault="005A6497" w:rsidP="007932B2">
            <w:pPr>
              <w:jc w:val="both"/>
              <w:rPr>
                <w:sz w:val="20"/>
                <w:lang w:val="fr-CA"/>
              </w:rPr>
            </w:pPr>
            <w:r w:rsidRPr="00435769">
              <w:rPr>
                <w:sz w:val="20"/>
                <w:lang w:val="fr-CA"/>
              </w:rPr>
              <w:t>La Cour d’appel a rejeté l’appel formé par le demandeur à l’encontre de la seconde ordonnance d’incarcération et du contrôle judiciaire de l’arrêté d’extradition, souscrivant aux conclusions de la juge d’incarcération relativement à l’ordonnance de communication et à la fiabilité et à la disponibilité de la déposition du témoin s’étant rétracté. De plus, la Cour d’appel a souligné que si le témoin qui s’est rétracté ne témoigne pas volontairement, il existe d’autres moyens de le contraindre à le faire.</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lastRenderedPageBreak/>
              <w:t>4 août 2009</w:t>
            </w:r>
          </w:p>
          <w:p w:rsidR="005A6497" w:rsidRPr="00435769" w:rsidRDefault="005A6497" w:rsidP="007932B2">
            <w:pPr>
              <w:jc w:val="both"/>
              <w:rPr>
                <w:sz w:val="20"/>
                <w:lang w:val="fr-CA"/>
              </w:rPr>
            </w:pPr>
            <w:r w:rsidRPr="00435769">
              <w:rPr>
                <w:sz w:val="20"/>
                <w:lang w:val="fr-CA"/>
              </w:rPr>
              <w:t>Cour suprême de la Colombie-Britannique (Juge Ker)</w:t>
            </w:r>
          </w:p>
          <w:p w:rsidR="005A6497" w:rsidRPr="00435769" w:rsidRDefault="005A6497" w:rsidP="007932B2">
            <w:pPr>
              <w:jc w:val="both"/>
              <w:rPr>
                <w:sz w:val="20"/>
                <w:lang w:val="fr-CA"/>
              </w:rPr>
            </w:pPr>
            <w:r w:rsidRPr="00435769">
              <w:rPr>
                <w:sz w:val="20"/>
                <w:lang w:val="fr-CA"/>
              </w:rPr>
              <w:t>(Numéro de greffe 24183)</w:t>
            </w:r>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 xml:space="preserve">Première ordonnance d’incarcération </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21 janvier 2011</w:t>
            </w:r>
          </w:p>
          <w:p w:rsidR="005A6497" w:rsidRPr="00435769" w:rsidRDefault="005A6497" w:rsidP="007932B2">
            <w:pPr>
              <w:jc w:val="both"/>
              <w:rPr>
                <w:sz w:val="20"/>
                <w:lang w:val="fr-CA"/>
              </w:rPr>
            </w:pPr>
            <w:r w:rsidRPr="00435769">
              <w:rPr>
                <w:sz w:val="20"/>
                <w:lang w:val="fr-CA"/>
              </w:rPr>
              <w:t>Cour d’appel de la Colombie-Britannique</w:t>
            </w:r>
          </w:p>
          <w:p w:rsidR="005A6497" w:rsidRPr="00435769" w:rsidRDefault="005A6497" w:rsidP="007932B2">
            <w:pPr>
              <w:jc w:val="both"/>
              <w:rPr>
                <w:sz w:val="20"/>
                <w:lang w:val="fr-CA"/>
              </w:rPr>
            </w:pPr>
            <w:r w:rsidRPr="00435769">
              <w:rPr>
                <w:sz w:val="20"/>
                <w:lang w:val="fr-CA"/>
              </w:rPr>
              <w:t>(Vancouver)</w:t>
            </w:r>
          </w:p>
          <w:p w:rsidR="005A6497" w:rsidRPr="00435769" w:rsidRDefault="005A6497" w:rsidP="007932B2">
            <w:pPr>
              <w:jc w:val="both"/>
              <w:rPr>
                <w:sz w:val="20"/>
                <w:lang w:val="fr-CA"/>
              </w:rPr>
            </w:pPr>
            <w:r w:rsidRPr="00435769">
              <w:rPr>
                <w:sz w:val="20"/>
                <w:lang w:val="fr-CA"/>
              </w:rPr>
              <w:t>(Juges d’appels Hall, Levine et Tysoe)</w:t>
            </w:r>
          </w:p>
          <w:p w:rsidR="005A6497" w:rsidRPr="00435769" w:rsidRDefault="00435769" w:rsidP="007932B2">
            <w:pPr>
              <w:jc w:val="both"/>
              <w:rPr>
                <w:sz w:val="20"/>
                <w:lang w:val="fr-CA"/>
              </w:rPr>
            </w:pPr>
            <w:hyperlink r:id="rId44" w:history="1">
              <w:r w:rsidR="005A6497" w:rsidRPr="00435769">
                <w:rPr>
                  <w:rStyle w:val="Hyperlink"/>
                  <w:sz w:val="20"/>
                  <w:lang w:val="fr-CA"/>
                </w:rPr>
                <w:t>2011 BCCA 33</w:t>
              </w:r>
            </w:hyperlink>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Appel de la première ordonnance d’incarcération – accueilli, nouvelle audience ordonnée;</w:t>
            </w:r>
          </w:p>
          <w:p w:rsidR="005A6497" w:rsidRPr="00435769" w:rsidRDefault="005A6497" w:rsidP="007932B2">
            <w:pPr>
              <w:jc w:val="both"/>
              <w:rPr>
                <w:sz w:val="20"/>
                <w:lang w:val="fr-CA"/>
              </w:rPr>
            </w:pPr>
            <w:r w:rsidRPr="00435769">
              <w:rPr>
                <w:sz w:val="20"/>
                <w:lang w:val="fr-CA"/>
              </w:rPr>
              <w:t>Demande de contrôle judiciaire visant le premier arrêté d’extradition – accueillie, ordonnance annulée</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2 novembre 2012</w:t>
            </w:r>
          </w:p>
          <w:p w:rsidR="005A6497" w:rsidRPr="00435769" w:rsidRDefault="005A6497" w:rsidP="007932B2">
            <w:pPr>
              <w:jc w:val="both"/>
              <w:rPr>
                <w:sz w:val="20"/>
                <w:lang w:val="fr-CA"/>
              </w:rPr>
            </w:pPr>
            <w:r w:rsidRPr="00435769">
              <w:rPr>
                <w:sz w:val="20"/>
                <w:lang w:val="fr-CA"/>
              </w:rPr>
              <w:t>Cour suprême de la Colombie-Britannique</w:t>
            </w:r>
          </w:p>
          <w:p w:rsidR="005A6497" w:rsidRPr="00435769" w:rsidRDefault="005A6497" w:rsidP="007932B2">
            <w:pPr>
              <w:jc w:val="both"/>
              <w:rPr>
                <w:sz w:val="20"/>
                <w:lang w:val="fr-CA"/>
              </w:rPr>
            </w:pPr>
            <w:r w:rsidRPr="00435769">
              <w:rPr>
                <w:sz w:val="20"/>
                <w:lang w:val="fr-CA"/>
              </w:rPr>
              <w:t>(Juge Maisonville)</w:t>
            </w:r>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 xml:space="preserve">Ordonnance de production de documents en la possession du procureur général du Canada et/ou devant être demandés à l’État requérant </w:t>
            </w: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3 octobre 2014</w:t>
            </w:r>
          </w:p>
          <w:p w:rsidR="005A6497" w:rsidRPr="00435769" w:rsidRDefault="005A6497" w:rsidP="007932B2">
            <w:pPr>
              <w:jc w:val="both"/>
              <w:rPr>
                <w:sz w:val="20"/>
                <w:lang w:val="fr-CA"/>
              </w:rPr>
            </w:pPr>
            <w:r w:rsidRPr="00435769">
              <w:rPr>
                <w:sz w:val="20"/>
                <w:lang w:val="fr-CA"/>
              </w:rPr>
              <w:t xml:space="preserve">Cour suprême de la Colombie-Britannique </w:t>
            </w:r>
          </w:p>
          <w:p w:rsidR="005A6497" w:rsidRPr="00435769" w:rsidRDefault="005A6497" w:rsidP="007932B2">
            <w:pPr>
              <w:jc w:val="both"/>
              <w:rPr>
                <w:sz w:val="20"/>
                <w:lang w:val="fr-CA"/>
              </w:rPr>
            </w:pPr>
            <w:r w:rsidRPr="00435769">
              <w:rPr>
                <w:sz w:val="20"/>
                <w:lang w:val="fr-CA"/>
              </w:rPr>
              <w:t>(Juge Maisonville)</w:t>
            </w:r>
          </w:p>
          <w:p w:rsidR="005A6497" w:rsidRPr="00435769" w:rsidRDefault="00435769" w:rsidP="007932B2">
            <w:pPr>
              <w:jc w:val="both"/>
              <w:rPr>
                <w:sz w:val="20"/>
                <w:lang w:val="fr-CA"/>
              </w:rPr>
            </w:pPr>
            <w:hyperlink r:id="rId45" w:history="1">
              <w:r w:rsidR="005A6497" w:rsidRPr="00435769">
                <w:rPr>
                  <w:rStyle w:val="Hyperlink"/>
                  <w:sz w:val="20"/>
                  <w:lang w:val="fr-CA"/>
                </w:rPr>
                <w:t>2014 BCSC 2064</w:t>
              </w:r>
            </w:hyperlink>
            <w:r w:rsidR="005A6497" w:rsidRPr="00435769">
              <w:rPr>
                <w:sz w:val="20"/>
                <w:lang w:val="fr-CA"/>
              </w:rPr>
              <w:t xml:space="preserve"> </w:t>
            </w:r>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Seconde ordonnance d’incarcération</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14 juillet 2016</w:t>
            </w:r>
          </w:p>
          <w:p w:rsidR="005A6497" w:rsidRPr="00435769" w:rsidRDefault="005A6497" w:rsidP="007932B2">
            <w:pPr>
              <w:jc w:val="both"/>
              <w:rPr>
                <w:sz w:val="20"/>
                <w:lang w:val="fr-CA"/>
              </w:rPr>
            </w:pPr>
            <w:r w:rsidRPr="00435769">
              <w:rPr>
                <w:sz w:val="20"/>
                <w:lang w:val="fr-CA"/>
              </w:rPr>
              <w:t>Cour d’appel de la Colombie-Britannique (Vancouver)</w:t>
            </w:r>
          </w:p>
          <w:p w:rsidR="005A6497" w:rsidRPr="00435769" w:rsidRDefault="005A6497" w:rsidP="007932B2">
            <w:pPr>
              <w:jc w:val="both"/>
              <w:rPr>
                <w:sz w:val="20"/>
                <w:lang w:val="fr-CA"/>
              </w:rPr>
            </w:pPr>
            <w:r w:rsidRPr="00435769">
              <w:rPr>
                <w:sz w:val="20"/>
                <w:lang w:val="fr-CA"/>
              </w:rPr>
              <w:t>(Juges d’appel Neilson, Bennett et Savage)</w:t>
            </w:r>
          </w:p>
          <w:p w:rsidR="005A6497" w:rsidRPr="00435769" w:rsidRDefault="00435769" w:rsidP="007932B2">
            <w:pPr>
              <w:jc w:val="both"/>
              <w:rPr>
                <w:sz w:val="20"/>
                <w:lang w:val="fr-CA"/>
              </w:rPr>
            </w:pPr>
            <w:hyperlink r:id="rId46" w:history="1">
              <w:r w:rsidR="005A6497" w:rsidRPr="00435769">
                <w:rPr>
                  <w:rStyle w:val="Hyperlink"/>
                  <w:sz w:val="20"/>
                  <w:lang w:val="fr-CA"/>
                </w:rPr>
                <w:t>2016 BCCA 306</w:t>
              </w:r>
            </w:hyperlink>
            <w:r w:rsidR="005A6497" w:rsidRPr="00435769">
              <w:rPr>
                <w:sz w:val="20"/>
                <w:lang w:val="fr-CA"/>
              </w:rPr>
              <w:t xml:space="preserve"> </w:t>
            </w:r>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Appel de la seconde ordonnance d’incarcération  – rejeté;</w:t>
            </w:r>
          </w:p>
          <w:p w:rsidR="005A6497" w:rsidRPr="00435769" w:rsidRDefault="005A6497" w:rsidP="007932B2">
            <w:pPr>
              <w:jc w:val="both"/>
              <w:rPr>
                <w:sz w:val="20"/>
                <w:lang w:val="fr-CA"/>
              </w:rPr>
            </w:pPr>
          </w:p>
          <w:p w:rsidR="005A6497" w:rsidRPr="00435769" w:rsidRDefault="005A6497" w:rsidP="007932B2">
            <w:pPr>
              <w:jc w:val="both"/>
              <w:rPr>
                <w:sz w:val="20"/>
                <w:lang w:val="fr-CA"/>
              </w:rPr>
            </w:pPr>
            <w:r w:rsidRPr="00435769">
              <w:rPr>
                <w:sz w:val="20"/>
                <w:lang w:val="fr-CA"/>
              </w:rPr>
              <w:t xml:space="preserve">Demande de contrôle judiciaire visant le second arrêté d’extradition – rejetée </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29 septembre 2016</w:t>
            </w:r>
          </w:p>
          <w:p w:rsidR="005A6497" w:rsidRPr="00435769" w:rsidRDefault="005A6497" w:rsidP="007932B2">
            <w:pPr>
              <w:jc w:val="both"/>
              <w:rPr>
                <w:sz w:val="20"/>
                <w:lang w:val="fr-CA"/>
              </w:rPr>
            </w:pPr>
            <w:r w:rsidRPr="00435769">
              <w:rPr>
                <w:sz w:val="20"/>
                <w:lang w:val="fr-CA"/>
              </w:rPr>
              <w:t>Cour suprême du Canada</w:t>
            </w: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Demande d’autorisation d’appel déposée</w:t>
            </w:r>
          </w:p>
          <w:p w:rsidR="005A6497" w:rsidRPr="00435769" w:rsidRDefault="005A6497" w:rsidP="007932B2">
            <w:pPr>
              <w:jc w:val="both"/>
              <w:rPr>
                <w:sz w:val="20"/>
                <w:lang w:val="fr-CA"/>
              </w:rPr>
            </w:pPr>
          </w:p>
        </w:tc>
      </w:tr>
    </w:tbl>
    <w:p w:rsidR="005A6497" w:rsidRPr="00435769" w:rsidRDefault="005A6497" w:rsidP="007932B2">
      <w:pPr>
        <w:jc w:val="both"/>
        <w:rPr>
          <w:sz w:val="20"/>
          <w:lang w:val="fr-CA"/>
        </w:rPr>
      </w:pPr>
    </w:p>
    <w:p w:rsidR="008E7E00" w:rsidRPr="00435769" w:rsidRDefault="008E7E00" w:rsidP="007932B2">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rPr>
            </w:pPr>
            <w:r w:rsidRPr="00435769">
              <w:rPr>
                <w:rStyle w:val="SCCFileNumberChar"/>
                <w:sz w:val="20"/>
                <w:szCs w:val="20"/>
              </w:rPr>
              <w:t>37120</w:t>
            </w:r>
          </w:p>
        </w:tc>
        <w:tc>
          <w:tcPr>
            <w:tcW w:w="4457" w:type="pct"/>
            <w:gridSpan w:val="3"/>
          </w:tcPr>
          <w:p w:rsidR="005A6497" w:rsidRPr="00435769" w:rsidRDefault="005A6497" w:rsidP="007932B2">
            <w:pPr>
              <w:pStyle w:val="SCCLsocParty"/>
              <w:jc w:val="both"/>
              <w:rPr>
                <w:b/>
                <w:sz w:val="20"/>
                <w:szCs w:val="20"/>
                <w:lang w:val="en-US"/>
              </w:rPr>
            </w:pPr>
            <w:r w:rsidRPr="00435769">
              <w:rPr>
                <w:b/>
                <w:sz w:val="20"/>
                <w:szCs w:val="20"/>
                <w:lang w:val="en-US"/>
              </w:rPr>
              <w:t>Max Wayne Cowper-Smith v. Gloria Lynn Morgan and Gloria Lynn Morgan Executor of the Will of the Late Elizabeth Flora Cowper-Smith, Deceased, et al</w:t>
            </w:r>
          </w:p>
          <w:p w:rsidR="005A6497" w:rsidRPr="00435769" w:rsidRDefault="005A6497" w:rsidP="007932B2">
            <w:pPr>
              <w:jc w:val="both"/>
              <w:rPr>
                <w:sz w:val="20"/>
              </w:rPr>
            </w:pPr>
            <w:r w:rsidRPr="00435769">
              <w:rPr>
                <w:sz w:val="20"/>
              </w:rPr>
              <w:t>(B.C.) (Civil) (By Leave)</w:t>
            </w:r>
          </w:p>
        </w:tc>
      </w:tr>
      <w:tr w:rsidR="005A6497" w:rsidRPr="00435769" w:rsidTr="005A6497">
        <w:tc>
          <w:tcPr>
            <w:tcW w:w="5000" w:type="pct"/>
            <w:gridSpan w:val="4"/>
          </w:tcPr>
          <w:p w:rsidR="005A6497" w:rsidRPr="00435769" w:rsidRDefault="005A6497" w:rsidP="007932B2">
            <w:pPr>
              <w:jc w:val="both"/>
              <w:rPr>
                <w:sz w:val="20"/>
              </w:rPr>
            </w:pPr>
            <w:r w:rsidRPr="00435769">
              <w:rPr>
                <w:sz w:val="20"/>
              </w:rPr>
              <w:t xml:space="preserve">Wills and estates – Wills – Beneficiaries – Undue influence – Property – Proprietary estoppel – Elderly testatrix executing will dividing estate into equal shares between her three children – Testatrix effecting certain </w:t>
            </w:r>
            <w:r w:rsidRPr="00435769">
              <w:rPr>
                <w:i/>
                <w:sz w:val="20"/>
              </w:rPr>
              <w:t>inter vivos</w:t>
            </w:r>
            <w:r w:rsidRPr="00435769">
              <w:rPr>
                <w:sz w:val="20"/>
              </w:rPr>
              <w:t xml:space="preserve"> </w:t>
            </w:r>
            <w:r w:rsidRPr="00435769">
              <w:rPr>
                <w:sz w:val="20"/>
              </w:rPr>
              <w:lastRenderedPageBreak/>
              <w:t>transfers of her bulk of her property in favour of respondent after receiving legal advice – Applicant residing with and caring for testatrix in years prior to her death believing he would be entitled to one third of estate and that respondent would permit him to purchase her interest in testatrix’s home – After testatrix’s death, respondent maintaining assets were hers absolutely – Siblings seeking declaration that respondent held the assets in trust for estate to be equally divided – What is the proper test for proprietary estoppel in Canada? – Should promise-based proprietary estoppel include claims where, at the time the promise was made, the promisor’s interest in the property was a contingent future interest?</w:t>
            </w:r>
          </w:p>
        </w:tc>
      </w:tr>
      <w:tr w:rsidR="005A6497" w:rsidRPr="00435769" w:rsidTr="005A6497">
        <w:tc>
          <w:tcPr>
            <w:tcW w:w="5000" w:type="pct"/>
            <w:gridSpan w:val="4"/>
          </w:tcPr>
          <w:p w:rsidR="005A6497" w:rsidRPr="00435769" w:rsidRDefault="005A6497" w:rsidP="007932B2">
            <w:pPr>
              <w:jc w:val="both"/>
              <w:rPr>
                <w:sz w:val="20"/>
              </w:rPr>
            </w:pPr>
          </w:p>
        </w:tc>
      </w:tr>
      <w:tr w:rsidR="005A6497" w:rsidRPr="00435769" w:rsidTr="005A6497">
        <w:tc>
          <w:tcPr>
            <w:tcW w:w="5000" w:type="pct"/>
            <w:gridSpan w:val="4"/>
          </w:tcPr>
          <w:p w:rsidR="005A6497" w:rsidRPr="00435769" w:rsidRDefault="005A6497" w:rsidP="007932B2">
            <w:pPr>
              <w:jc w:val="both"/>
              <w:rPr>
                <w:sz w:val="20"/>
              </w:rPr>
            </w:pPr>
            <w:r w:rsidRPr="00435769">
              <w:rPr>
                <w:iCs/>
                <w:sz w:val="20"/>
              </w:rPr>
              <w:t>The late Elizabeth Cowper-Smith, who died in 2010 at the age of 86, was survived by her two sons, Max and Nathan and her daughter, Gloria. Her two major assets were her residence in Victoria and her investments. She relied upon Gloria and her brother-in-law to manage her financial affairs. In 2001, after receiving legal advice, Elizabeth executed a title transfer and Declaration of Trust, effectively providing that her home and investments would became Gloria’s property “absolutely” upon her death, leaving her estate devoid of any significant assets. In 2002, Elizabeth executed a will, leaving one-third of her estate to each of her children. In 2007, Gloria convinced Max to leave his home and life in England to care for Elizabeth on a full-time basis in her home. Gloria in turn, agreed that she would allow Max to purchase her one third interest in the house after Elizabeth’s death</w:t>
            </w:r>
            <w:r w:rsidRPr="00435769">
              <w:rPr>
                <w:sz w:val="20"/>
              </w:rPr>
              <w:t>. Upon learning that Gloria was a joint owner on title, Max and Nathan expressed concerns about the property transfer but were reassured by Gloria that this was done simply to provide her with greater ease in the management of their mother’s affairs and eventually her estate. A</w:t>
            </w:r>
            <w:r w:rsidRPr="00435769">
              <w:rPr>
                <w:iCs/>
                <w:sz w:val="20"/>
              </w:rPr>
              <w:t>fter Elizabeth’s death, however, Gloria maintained that the residence and investments were hers absolutely.</w:t>
            </w:r>
            <w:r w:rsidRPr="00435769">
              <w:rPr>
                <w:sz w:val="20"/>
              </w:rPr>
              <w:t xml:space="preserve"> Max and Nathan brought an action against Gloria for declarations that the assets held by Gloria were subject to a trust in favour of the estate. Max also sought a declaration that on the basis of proprietary estoppel, he was entitled to purchase Gloria’s interest in the house.</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July 6, 2015</w:t>
            </w:r>
          </w:p>
          <w:p w:rsidR="005A6497" w:rsidRPr="00435769" w:rsidRDefault="005A6497" w:rsidP="007932B2">
            <w:pPr>
              <w:jc w:val="both"/>
              <w:rPr>
                <w:sz w:val="20"/>
              </w:rPr>
            </w:pPr>
            <w:r w:rsidRPr="00435769">
              <w:rPr>
                <w:sz w:val="20"/>
              </w:rPr>
              <w:t>Supreme Court of British Columbia</w:t>
            </w:r>
          </w:p>
          <w:p w:rsidR="005A6497" w:rsidRPr="00435769" w:rsidRDefault="005A6497" w:rsidP="007932B2">
            <w:pPr>
              <w:jc w:val="both"/>
              <w:rPr>
                <w:sz w:val="20"/>
              </w:rPr>
            </w:pPr>
            <w:r w:rsidRPr="00435769">
              <w:rPr>
                <w:sz w:val="20"/>
              </w:rPr>
              <w:t>(Brown J.)</w:t>
            </w:r>
          </w:p>
          <w:p w:rsidR="005A6497" w:rsidRPr="00435769" w:rsidRDefault="00435769" w:rsidP="007932B2">
            <w:pPr>
              <w:jc w:val="both"/>
              <w:rPr>
                <w:sz w:val="20"/>
              </w:rPr>
            </w:pPr>
            <w:hyperlink r:id="rId47" w:history="1">
              <w:r w:rsidR="005A6497" w:rsidRPr="00435769">
                <w:rPr>
                  <w:rStyle w:val="Hyperlink"/>
                  <w:sz w:val="20"/>
                </w:rPr>
                <w:t>2015 BCSC 1170</w:t>
              </w:r>
            </w:hyperlink>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Applicant’s action for declaration of trust over assets held by respondent, to be distributed in equal shares in accordance with Testatrix’s will, granted. Applicant entitled to purchase respondent’s interest in Testatrix’s home on basis of proprietary estoppel</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May 9, 2016</w:t>
            </w:r>
          </w:p>
          <w:p w:rsidR="005A6497" w:rsidRPr="00435769" w:rsidRDefault="005A6497" w:rsidP="007932B2">
            <w:pPr>
              <w:jc w:val="both"/>
              <w:rPr>
                <w:sz w:val="20"/>
              </w:rPr>
            </w:pPr>
            <w:r w:rsidRPr="00435769">
              <w:rPr>
                <w:sz w:val="20"/>
              </w:rPr>
              <w:t xml:space="preserve">Court of Appeal for British Columbia </w:t>
            </w:r>
          </w:p>
          <w:p w:rsidR="005A6497" w:rsidRPr="00435769" w:rsidRDefault="005A6497" w:rsidP="007932B2">
            <w:pPr>
              <w:jc w:val="both"/>
              <w:rPr>
                <w:sz w:val="20"/>
              </w:rPr>
            </w:pPr>
            <w:r w:rsidRPr="00435769">
              <w:rPr>
                <w:sz w:val="20"/>
              </w:rPr>
              <w:t>(Victoria)</w:t>
            </w:r>
          </w:p>
          <w:p w:rsidR="005A6497" w:rsidRPr="00435769" w:rsidRDefault="005A6497" w:rsidP="007932B2">
            <w:pPr>
              <w:jc w:val="both"/>
              <w:rPr>
                <w:sz w:val="20"/>
              </w:rPr>
            </w:pPr>
            <w:r w:rsidRPr="00435769">
              <w:rPr>
                <w:sz w:val="20"/>
              </w:rPr>
              <w:t>(Saunders, Smith [dissenting] and Willcock JJ.A.)</w:t>
            </w:r>
          </w:p>
          <w:p w:rsidR="005A6497" w:rsidRPr="00435769" w:rsidRDefault="00435769" w:rsidP="007932B2">
            <w:pPr>
              <w:jc w:val="both"/>
              <w:rPr>
                <w:sz w:val="20"/>
              </w:rPr>
            </w:pPr>
            <w:hyperlink r:id="rId48" w:history="1">
              <w:r w:rsidR="005A6497" w:rsidRPr="00435769">
                <w:rPr>
                  <w:rStyle w:val="Hyperlink"/>
                  <w:sz w:val="20"/>
                </w:rPr>
                <w:t>2016 BCCA 200</w:t>
              </w:r>
            </w:hyperlink>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Respondent’s appeal allowed in part. Applicant not entitled to purchase respondent’s interest in property from estate</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August 5, 2016</w:t>
            </w:r>
          </w:p>
          <w:p w:rsidR="005A6497" w:rsidRPr="00435769" w:rsidRDefault="005A6497" w:rsidP="007932B2">
            <w:pPr>
              <w:jc w:val="both"/>
              <w:rPr>
                <w:sz w:val="20"/>
              </w:rPr>
            </w:pPr>
            <w:r w:rsidRPr="00435769">
              <w:rPr>
                <w:sz w:val="20"/>
              </w:rPr>
              <w:t>Supreme Court of Canada</w:t>
            </w:r>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Application for leave to appeal filed</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September 1, 2016</w:t>
            </w:r>
          </w:p>
          <w:p w:rsidR="005A6497" w:rsidRPr="00435769" w:rsidRDefault="005A6497" w:rsidP="007932B2">
            <w:pPr>
              <w:jc w:val="both"/>
              <w:rPr>
                <w:sz w:val="20"/>
              </w:rPr>
            </w:pPr>
            <w:r w:rsidRPr="00435769">
              <w:rPr>
                <w:sz w:val="20"/>
              </w:rPr>
              <w:t>Supreme Court of Canada</w:t>
            </w: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Application for leave to cross-appeal filed</w:t>
            </w:r>
          </w:p>
        </w:tc>
      </w:tr>
    </w:tbl>
    <w:p w:rsidR="005A6497" w:rsidRPr="00435769" w:rsidRDefault="005A6497" w:rsidP="007932B2">
      <w:pPr>
        <w:jc w:val="both"/>
        <w:rPr>
          <w:sz w:val="20"/>
        </w:rPr>
      </w:pPr>
    </w:p>
    <w:p w:rsidR="009E248E" w:rsidRPr="00435769" w:rsidRDefault="009E248E" w:rsidP="007932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lang w:val="fr-CA"/>
              </w:rPr>
            </w:pPr>
            <w:r w:rsidRPr="00435769">
              <w:rPr>
                <w:rStyle w:val="SCCFileNumberChar"/>
                <w:sz w:val="20"/>
                <w:szCs w:val="20"/>
                <w:lang w:val="fr-CA"/>
              </w:rPr>
              <w:t>37120</w:t>
            </w:r>
          </w:p>
        </w:tc>
        <w:tc>
          <w:tcPr>
            <w:tcW w:w="4457" w:type="pct"/>
            <w:gridSpan w:val="3"/>
          </w:tcPr>
          <w:p w:rsidR="005A6497" w:rsidRPr="00435769" w:rsidRDefault="005A6497" w:rsidP="007932B2">
            <w:pPr>
              <w:pStyle w:val="SCCLsocParty"/>
              <w:jc w:val="both"/>
              <w:rPr>
                <w:b/>
                <w:sz w:val="20"/>
                <w:szCs w:val="20"/>
              </w:rPr>
            </w:pPr>
            <w:r w:rsidRPr="00435769">
              <w:rPr>
                <w:b/>
                <w:sz w:val="20"/>
                <w:szCs w:val="20"/>
              </w:rPr>
              <w:t>Max Wayne Cowper-Smith c. Gloria Lynn Morgan et Gloria Lynn Morgan exécutrice du testament de feue Elizabeth Flora Cowper-Smith, décédée, et al</w:t>
            </w:r>
          </w:p>
          <w:p w:rsidR="005A6497" w:rsidRPr="00435769" w:rsidRDefault="005A6497" w:rsidP="007932B2">
            <w:pPr>
              <w:jc w:val="both"/>
              <w:rPr>
                <w:sz w:val="20"/>
                <w:lang w:val="fr-CA"/>
              </w:rPr>
            </w:pPr>
            <w:r w:rsidRPr="00435769">
              <w:rPr>
                <w:sz w:val="20"/>
                <w:lang w:val="fr-CA"/>
              </w:rPr>
              <w:t>(C.-B.) (Civile) (Sur autorisation)</w:t>
            </w:r>
          </w:p>
        </w:tc>
      </w:tr>
      <w:tr w:rsidR="005A6497" w:rsidRPr="00435769" w:rsidTr="005A6497">
        <w:tc>
          <w:tcPr>
            <w:tcW w:w="5000" w:type="pct"/>
            <w:gridSpan w:val="4"/>
          </w:tcPr>
          <w:p w:rsidR="005A6497" w:rsidRPr="00435769" w:rsidRDefault="005A6497" w:rsidP="007932B2">
            <w:pPr>
              <w:jc w:val="both"/>
              <w:rPr>
                <w:sz w:val="20"/>
                <w:lang w:val="fr-CA"/>
              </w:rPr>
            </w:pPr>
            <w:r w:rsidRPr="00435769">
              <w:rPr>
                <w:sz w:val="20"/>
                <w:lang w:val="fr-CA"/>
              </w:rPr>
              <w:t xml:space="preserve">Successions – Testaments – Bénéficiaires – Influence indue – Biens – Préclusion propriétale – La testatrice âgée a fait un testament dans lequel elle a légué ses biens à ses trois enfants en parts égales – La testatrice a effectué certains transferts entre vifs portant sur l’ensemble de ses biens en faveur de l’intimée après avoir reçu des conseils juridiques – Le demandeur résidait avec la testatrice et prenait soin d’elle dans les années qui ont précédé son décès, croyant qu’il aurait droit à un tiers de la succession et que l’intimée lui permettrait d’acheter la part de cette dernière dans la maison de la testatrice – Après le décès de la testatrice, l’intimée a soutenu que les biens lui appartenaient à titre absolu – Les frères de l’intimée demandent un jugement déclarant que l’intimée détenait les biens en fiducie pour la </w:t>
            </w:r>
            <w:r w:rsidRPr="00435769">
              <w:rPr>
                <w:sz w:val="20"/>
                <w:lang w:val="fr-CA"/>
              </w:rPr>
              <w:lastRenderedPageBreak/>
              <w:t xml:space="preserve">succession en vue de leur partage en parts égales – Quel est le critère à appliquer pour analyser la préclusion propriétale au Canada? – La préclusion propriétale fondée sur une promesse doit-elle comprendre les demandes où, au moment où la promesse a été faite, l’intérêt du promettant à l’égard des biens était un intérêt futur éventuel? </w:t>
            </w:r>
          </w:p>
        </w:tc>
      </w:tr>
      <w:tr w:rsidR="005A6497" w:rsidRPr="00435769" w:rsidTr="005A6497">
        <w:tc>
          <w:tcPr>
            <w:tcW w:w="5000" w:type="pct"/>
            <w:gridSpan w:val="4"/>
          </w:tcPr>
          <w:p w:rsidR="005A6497" w:rsidRPr="00435769" w:rsidRDefault="005A6497" w:rsidP="007932B2">
            <w:pPr>
              <w:jc w:val="both"/>
              <w:rPr>
                <w:sz w:val="20"/>
                <w:lang w:val="fr-CA"/>
              </w:rPr>
            </w:pPr>
          </w:p>
        </w:tc>
      </w:tr>
      <w:tr w:rsidR="005A6497" w:rsidRPr="00435769" w:rsidTr="005A6497">
        <w:tc>
          <w:tcPr>
            <w:tcW w:w="5000" w:type="pct"/>
            <w:gridSpan w:val="4"/>
          </w:tcPr>
          <w:p w:rsidR="005A6497" w:rsidRPr="00435769" w:rsidRDefault="005A6497" w:rsidP="007932B2">
            <w:pPr>
              <w:jc w:val="both"/>
              <w:rPr>
                <w:sz w:val="20"/>
                <w:lang w:val="fr-CA"/>
              </w:rPr>
            </w:pPr>
            <w:r w:rsidRPr="00435769">
              <w:rPr>
                <w:iCs/>
                <w:sz w:val="20"/>
                <w:lang w:val="fr-CA"/>
              </w:rPr>
              <w:t>Feue Elizabeth Cowper-Smith, décédée en 2010 à l’âge de 86 ans, a laissé deux fils, Max et Nathan et une fille, Gloria. Ses deux principaux biens étaient sa résidence à Victoria et ses placements. Elle s’appuyait sur Gloria et son beau-frère pour la gestion de ses finances. En 2001, après avoir reçu des conseils juridiques, Elizabeth a signé un transfert de titre et une déclaration de fiducie, prévoyant effectivement que sa maison et ses placements deviendraient la propriété de Gloria « à titre absolu » à son décès, laissant sa succession dépourvue d’actifs importants. En 2002, Elizabeth a fait un testament dans lequel elle léguait un tiers de sa succession à chacun de ses enfants. En 2007, Gloria a convaincu Max de laisser sa maison et sa vie en Angleterre pour prendre soin d’Elizabeth à temps plein dans sa maison. En contrepartie, Gloria a convenu qu’elle permettrait à Max d’acheter sa part d’un tiers dans la maison au décès d’Elizabeth</w:t>
            </w:r>
            <w:r w:rsidRPr="00435769">
              <w:rPr>
                <w:sz w:val="20"/>
                <w:lang w:val="fr-CA"/>
              </w:rPr>
              <w:t>. Après avoir appris que Gloria était propriétaire conjointe du titre, Max et Nathan ont fait part de leurs préoccupations à l’égard du transfert de propriété, mais Gloria les a rassurés que ce transfert avait eu pour seul but de lui faciliter la gestion des affaires de leur mère et de sa succession plus tard. Toutefois, après le décès d’Elizabeth, Gloria a soutenu que la résidence et les placements lui appartenaient à titre absolu</w:t>
            </w:r>
            <w:r w:rsidRPr="00435769">
              <w:rPr>
                <w:iCs/>
                <w:sz w:val="20"/>
                <w:lang w:val="fr-CA"/>
              </w:rPr>
              <w:t>.</w:t>
            </w:r>
            <w:r w:rsidRPr="00435769">
              <w:rPr>
                <w:sz w:val="20"/>
                <w:lang w:val="fr-CA"/>
              </w:rPr>
              <w:t xml:space="preserve"> Max et Nathan ont intenté une action contre Gloria, sollicitant un jugement déclarant que les biens détenus par Gloria faisaient l’objet d’une fiducie en faveur de la succession. Max a également demandé un jugement déclarant que sur le fondement de la préclusion propriétale, il avait le droit d’acheter la part de Gloria dans la maison.</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6 juillet 2015</w:t>
            </w:r>
          </w:p>
          <w:p w:rsidR="005A6497" w:rsidRPr="00435769" w:rsidRDefault="005A6497" w:rsidP="007932B2">
            <w:pPr>
              <w:jc w:val="both"/>
              <w:rPr>
                <w:sz w:val="20"/>
                <w:lang w:val="fr-CA"/>
              </w:rPr>
            </w:pPr>
            <w:r w:rsidRPr="00435769">
              <w:rPr>
                <w:sz w:val="20"/>
                <w:lang w:val="fr-CA"/>
              </w:rPr>
              <w:t xml:space="preserve">Cour suprême de la Colombie-Britannique </w:t>
            </w:r>
          </w:p>
          <w:p w:rsidR="005A6497" w:rsidRPr="00435769" w:rsidRDefault="005A6497" w:rsidP="007932B2">
            <w:pPr>
              <w:jc w:val="both"/>
              <w:rPr>
                <w:sz w:val="20"/>
                <w:lang w:val="fr-CA"/>
              </w:rPr>
            </w:pPr>
            <w:r w:rsidRPr="00435769">
              <w:rPr>
                <w:sz w:val="20"/>
                <w:lang w:val="fr-CA"/>
              </w:rPr>
              <w:t>(Juge Brown)</w:t>
            </w:r>
          </w:p>
          <w:p w:rsidR="005A6497" w:rsidRPr="00435769" w:rsidRDefault="00435769" w:rsidP="007932B2">
            <w:pPr>
              <w:jc w:val="both"/>
              <w:rPr>
                <w:sz w:val="20"/>
                <w:lang w:val="fr-CA"/>
              </w:rPr>
            </w:pPr>
            <w:hyperlink r:id="rId49" w:history="1">
              <w:r w:rsidR="005A6497" w:rsidRPr="00435769">
                <w:rPr>
                  <w:rStyle w:val="Hyperlink"/>
                  <w:sz w:val="20"/>
                  <w:lang w:val="fr-CA"/>
                </w:rPr>
                <w:t>2015 BCSC 1170</w:t>
              </w:r>
            </w:hyperlink>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Jugement accueillant l’action du demandeur en jugement déclaratoire de fiducie à l’égard des biens détenus par l’intimée pour être distribués en parts égales conformément au testament de la testatrice et statuant que le demandeur a droit d’acheter la part de l’intimée dans la maison de la testatrice sur le fondement de la préclusion propriétale</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9 mai 2016</w:t>
            </w:r>
          </w:p>
          <w:p w:rsidR="005A6497" w:rsidRPr="00435769" w:rsidRDefault="005A6497" w:rsidP="007932B2">
            <w:pPr>
              <w:jc w:val="both"/>
              <w:rPr>
                <w:sz w:val="20"/>
                <w:lang w:val="fr-CA"/>
              </w:rPr>
            </w:pPr>
            <w:r w:rsidRPr="00435769">
              <w:rPr>
                <w:sz w:val="20"/>
                <w:lang w:val="fr-CA"/>
              </w:rPr>
              <w:t>Cour d’appel de la Colombie-Britannique</w:t>
            </w:r>
          </w:p>
          <w:p w:rsidR="005A6497" w:rsidRPr="00435769" w:rsidRDefault="005A6497" w:rsidP="007932B2">
            <w:pPr>
              <w:jc w:val="both"/>
              <w:rPr>
                <w:sz w:val="20"/>
                <w:lang w:val="fr-CA"/>
              </w:rPr>
            </w:pPr>
            <w:r w:rsidRPr="00435769">
              <w:rPr>
                <w:sz w:val="20"/>
                <w:lang w:val="fr-CA"/>
              </w:rPr>
              <w:t>(Victoria)</w:t>
            </w:r>
          </w:p>
          <w:p w:rsidR="005A6497" w:rsidRPr="00435769" w:rsidRDefault="005A6497" w:rsidP="007932B2">
            <w:pPr>
              <w:jc w:val="both"/>
              <w:rPr>
                <w:sz w:val="20"/>
                <w:lang w:val="fr-CA"/>
              </w:rPr>
            </w:pPr>
            <w:r w:rsidRPr="00435769">
              <w:rPr>
                <w:sz w:val="20"/>
                <w:lang w:val="fr-CA"/>
              </w:rPr>
              <w:t>(Juges Saunders, Smith [dissidente] et Willcock)</w:t>
            </w:r>
          </w:p>
          <w:p w:rsidR="005A6497" w:rsidRPr="00435769" w:rsidRDefault="00435769" w:rsidP="007932B2">
            <w:pPr>
              <w:jc w:val="both"/>
              <w:rPr>
                <w:sz w:val="20"/>
                <w:lang w:val="fr-CA"/>
              </w:rPr>
            </w:pPr>
            <w:hyperlink r:id="rId50" w:history="1">
              <w:r w:rsidR="005A6497" w:rsidRPr="00435769">
                <w:rPr>
                  <w:rStyle w:val="Hyperlink"/>
                  <w:sz w:val="20"/>
                  <w:lang w:val="fr-CA"/>
                </w:rPr>
                <w:t>2016 BCCA 200</w:t>
              </w:r>
            </w:hyperlink>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 xml:space="preserve">Arrêt accueillant en partie l’appel de l’intimée et statuant que le demandeur n’a pas le droit d’acheter la part de l’intimée dans les biens de la succession </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5 août 2016</w:t>
            </w:r>
          </w:p>
          <w:p w:rsidR="005A6497" w:rsidRPr="00435769" w:rsidRDefault="005A6497" w:rsidP="007932B2">
            <w:pPr>
              <w:jc w:val="both"/>
              <w:rPr>
                <w:sz w:val="20"/>
                <w:lang w:val="fr-CA"/>
              </w:rPr>
            </w:pPr>
            <w:r w:rsidRPr="00435769">
              <w:rPr>
                <w:sz w:val="20"/>
                <w:lang w:val="fr-CA"/>
              </w:rPr>
              <w:t>Cour suprême du Canada</w:t>
            </w:r>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Dépôt de la demande d’autorisation d’appel</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1</w:t>
            </w:r>
            <w:r w:rsidRPr="00435769">
              <w:rPr>
                <w:sz w:val="20"/>
                <w:vertAlign w:val="superscript"/>
                <w:lang w:val="fr-CA"/>
              </w:rPr>
              <w:t>er</w:t>
            </w:r>
            <w:r w:rsidRPr="00435769">
              <w:rPr>
                <w:sz w:val="20"/>
                <w:lang w:val="fr-CA"/>
              </w:rPr>
              <w:t xml:space="preserve"> septembre 2016</w:t>
            </w:r>
          </w:p>
          <w:p w:rsidR="005A6497" w:rsidRPr="00435769" w:rsidRDefault="005A6497" w:rsidP="007932B2">
            <w:pPr>
              <w:jc w:val="both"/>
              <w:rPr>
                <w:sz w:val="20"/>
                <w:lang w:val="fr-CA"/>
              </w:rPr>
            </w:pPr>
            <w:r w:rsidRPr="00435769">
              <w:rPr>
                <w:sz w:val="20"/>
                <w:lang w:val="fr-CA"/>
              </w:rPr>
              <w:t>Cour suprême du Canada</w:t>
            </w: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Dépôt de la demande d’autorisation d’appel incident</w:t>
            </w:r>
          </w:p>
        </w:tc>
      </w:tr>
    </w:tbl>
    <w:p w:rsidR="005A6497" w:rsidRPr="00435769" w:rsidRDefault="005A6497" w:rsidP="007932B2">
      <w:pPr>
        <w:jc w:val="both"/>
        <w:rPr>
          <w:sz w:val="20"/>
          <w:lang w:val="fr-CA"/>
        </w:rPr>
      </w:pPr>
    </w:p>
    <w:p w:rsidR="008E7E00" w:rsidRPr="00435769" w:rsidRDefault="008E7E00" w:rsidP="007932B2">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5A6497" w:rsidRPr="00435769" w:rsidTr="005A6497">
        <w:tc>
          <w:tcPr>
            <w:tcW w:w="543" w:type="pct"/>
          </w:tcPr>
          <w:p w:rsidR="005A6497" w:rsidRPr="00435769" w:rsidRDefault="005A6497" w:rsidP="007932B2">
            <w:pPr>
              <w:jc w:val="both"/>
              <w:rPr>
                <w:sz w:val="20"/>
              </w:rPr>
            </w:pPr>
            <w:r w:rsidRPr="00435769">
              <w:rPr>
                <w:rStyle w:val="SCCFileNumberChar"/>
                <w:sz w:val="20"/>
                <w:szCs w:val="20"/>
              </w:rPr>
              <w:t>37242</w:t>
            </w:r>
          </w:p>
        </w:tc>
        <w:tc>
          <w:tcPr>
            <w:tcW w:w="4457" w:type="pct"/>
            <w:gridSpan w:val="3"/>
          </w:tcPr>
          <w:p w:rsidR="005A6497" w:rsidRPr="00435769" w:rsidRDefault="005A6497" w:rsidP="007932B2">
            <w:pPr>
              <w:pStyle w:val="SCCLsocParty"/>
              <w:jc w:val="both"/>
              <w:rPr>
                <w:b/>
                <w:sz w:val="20"/>
                <w:szCs w:val="20"/>
                <w:lang w:val="en-US"/>
              </w:rPr>
            </w:pPr>
            <w:r w:rsidRPr="00435769">
              <w:rPr>
                <w:b/>
                <w:sz w:val="20"/>
                <w:szCs w:val="20"/>
                <w:lang w:val="en-US"/>
              </w:rPr>
              <w:t>Raymond Lapple v. Her Majesty the Queen</w:t>
            </w:r>
          </w:p>
          <w:p w:rsidR="005A6497" w:rsidRPr="00435769" w:rsidRDefault="005A6497" w:rsidP="007932B2">
            <w:pPr>
              <w:jc w:val="both"/>
              <w:rPr>
                <w:sz w:val="20"/>
              </w:rPr>
            </w:pPr>
            <w:r w:rsidRPr="00435769">
              <w:rPr>
                <w:sz w:val="20"/>
              </w:rPr>
              <w:t>(Ont.) (Criminal) (By Leave)</w:t>
            </w:r>
          </w:p>
        </w:tc>
      </w:tr>
      <w:tr w:rsidR="005A6497" w:rsidRPr="00435769" w:rsidTr="005A6497">
        <w:tc>
          <w:tcPr>
            <w:tcW w:w="5000" w:type="pct"/>
            <w:gridSpan w:val="4"/>
          </w:tcPr>
          <w:p w:rsidR="005A6497" w:rsidRPr="00435769" w:rsidRDefault="005A6497" w:rsidP="007932B2">
            <w:pPr>
              <w:jc w:val="both"/>
              <w:rPr>
                <w:sz w:val="20"/>
              </w:rPr>
            </w:pPr>
            <w:r w:rsidRPr="00435769">
              <w:rPr>
                <w:i/>
                <w:sz w:val="20"/>
              </w:rPr>
              <w:t>Canadian Charter of Rights and Freedoms</w:t>
            </w:r>
            <w:r w:rsidRPr="00435769">
              <w:rPr>
                <w:sz w:val="20"/>
              </w:rPr>
              <w:t xml:space="preserve"> – Criminal law – Search and seizure – Applicant convicted of drug-related offences – Applicant seeking exclusion of evidence at trial and stay of proceedings – Whether the trial judge erred in dismissing the</w:t>
            </w:r>
            <w:r w:rsidRPr="00435769">
              <w:rPr>
                <w:i/>
                <w:sz w:val="20"/>
              </w:rPr>
              <w:t xml:space="preserve"> Charter</w:t>
            </w:r>
            <w:r w:rsidRPr="00435769">
              <w:rPr>
                <w:sz w:val="20"/>
              </w:rPr>
              <w:t xml:space="preserve"> section 11(b) application – Whether the trial judge erred in failing to consider that the execution of the controlled delivery constituted a </w:t>
            </w:r>
            <w:r w:rsidRPr="00435769">
              <w:rPr>
                <w:i/>
                <w:sz w:val="20"/>
              </w:rPr>
              <w:t xml:space="preserve">Charter </w:t>
            </w:r>
            <w:r w:rsidRPr="00435769">
              <w:rPr>
                <w:sz w:val="20"/>
              </w:rPr>
              <w:t>section 8 violation – Whether the trial judge erred in finding investigative necessity to support wiretap authorization – Whether the trial judge erred in concluding that the issuing judge did not act impartially when issuing the search warrant.</w:t>
            </w:r>
          </w:p>
        </w:tc>
      </w:tr>
      <w:tr w:rsidR="005A6497" w:rsidRPr="00435769" w:rsidTr="005A6497">
        <w:tc>
          <w:tcPr>
            <w:tcW w:w="5000" w:type="pct"/>
            <w:gridSpan w:val="4"/>
          </w:tcPr>
          <w:p w:rsidR="005A6497" w:rsidRPr="00435769" w:rsidRDefault="005A6497" w:rsidP="007932B2">
            <w:pPr>
              <w:pStyle w:val="SCCBanSummary"/>
              <w:rPr>
                <w:sz w:val="20"/>
                <w:szCs w:val="20"/>
              </w:rPr>
            </w:pPr>
          </w:p>
        </w:tc>
      </w:tr>
      <w:tr w:rsidR="005A6497" w:rsidRPr="00435769" w:rsidTr="009E248E">
        <w:trPr>
          <w:trHeight w:val="1980"/>
        </w:trPr>
        <w:tc>
          <w:tcPr>
            <w:tcW w:w="5000" w:type="pct"/>
            <w:gridSpan w:val="4"/>
          </w:tcPr>
          <w:p w:rsidR="005A6497" w:rsidRPr="00435769" w:rsidRDefault="005A6497" w:rsidP="007932B2">
            <w:pPr>
              <w:jc w:val="both"/>
              <w:rPr>
                <w:sz w:val="20"/>
              </w:rPr>
            </w:pPr>
            <w:r w:rsidRPr="00435769">
              <w:rPr>
                <w:sz w:val="20"/>
              </w:rPr>
              <w:lastRenderedPageBreak/>
              <w:t xml:space="preserve">Mr. Lapple imported 43 kilograms of cocaine into Canada from Peru, hidden inside wooden crates in a shipping container. He was convicted of conspiracy to import cocaine, importing cocaine and possession of cocaine for the purpose of trafficking. At trial, Mr. Lapple brought various pre-trial applications. He challenged the search of the container by the customs officials pursuant to s. 99(1) of the </w:t>
            </w:r>
            <w:r w:rsidRPr="00435769">
              <w:rPr>
                <w:i/>
                <w:sz w:val="20"/>
              </w:rPr>
              <w:t>Customs Act</w:t>
            </w:r>
            <w:r w:rsidRPr="00435769">
              <w:rPr>
                <w:sz w:val="20"/>
              </w:rPr>
              <w:t xml:space="preserve">, R.S.C. 1985, c. 1 (2nd Supp.), the wiretap authorization and the search warrants in respect of his premises and his car, as contrary to s. 8 of the </w:t>
            </w:r>
            <w:r w:rsidRPr="00435769">
              <w:rPr>
                <w:i/>
                <w:sz w:val="20"/>
              </w:rPr>
              <w:t>Charter</w:t>
            </w:r>
            <w:r w:rsidRPr="00435769">
              <w:rPr>
                <w:sz w:val="20"/>
              </w:rPr>
              <w:t>. Mr. Lapple argued that cumulatively those violations justified the exclusion of the incriminating evidence at trial. Mr. Lapple also sought a stay of proceedings pursuant to s. 11(b) of the</w:t>
            </w:r>
            <w:r w:rsidRPr="00435769">
              <w:rPr>
                <w:i/>
                <w:sz w:val="20"/>
              </w:rPr>
              <w:t xml:space="preserve"> Charter</w:t>
            </w:r>
            <w:r w:rsidRPr="00435769">
              <w:rPr>
                <w:sz w:val="20"/>
              </w:rPr>
              <w:t>. He alleged that there was an unreasonable delay before the case proceeded to trial.</w:t>
            </w:r>
          </w:p>
          <w:p w:rsidR="009E248E" w:rsidRPr="00435769" w:rsidRDefault="009E248E" w:rsidP="007932B2">
            <w:pPr>
              <w:jc w:val="both"/>
              <w:rPr>
                <w:sz w:val="20"/>
              </w:rPr>
            </w:pPr>
          </w:p>
        </w:tc>
      </w:tr>
      <w:tr w:rsidR="005A6497" w:rsidRPr="00435769" w:rsidTr="005A6497">
        <w:tblPrEx>
          <w:tblCellMar>
            <w:bottom w:w="0" w:type="dxa"/>
          </w:tblCellMar>
        </w:tblPrEx>
        <w:tc>
          <w:tcPr>
            <w:tcW w:w="2390" w:type="pct"/>
            <w:gridSpan w:val="2"/>
          </w:tcPr>
          <w:p w:rsidR="005A6497" w:rsidRPr="00435769" w:rsidRDefault="005A6497" w:rsidP="007932B2">
            <w:pPr>
              <w:jc w:val="both"/>
              <w:rPr>
                <w:sz w:val="20"/>
              </w:rPr>
            </w:pPr>
            <w:r w:rsidRPr="00435769">
              <w:rPr>
                <w:sz w:val="20"/>
              </w:rPr>
              <w:t>December 12, 2011</w:t>
            </w:r>
          </w:p>
          <w:p w:rsidR="005A6497" w:rsidRPr="00435769" w:rsidRDefault="005A6497" w:rsidP="007932B2">
            <w:pPr>
              <w:jc w:val="both"/>
              <w:rPr>
                <w:sz w:val="20"/>
              </w:rPr>
            </w:pPr>
            <w:r w:rsidRPr="00435769">
              <w:rPr>
                <w:sz w:val="20"/>
              </w:rPr>
              <w:t>Ontario Superior Court of Justice</w:t>
            </w:r>
          </w:p>
          <w:p w:rsidR="005A6497" w:rsidRPr="00435769" w:rsidRDefault="005A6497" w:rsidP="007932B2">
            <w:pPr>
              <w:jc w:val="both"/>
              <w:rPr>
                <w:sz w:val="20"/>
              </w:rPr>
            </w:pPr>
            <w:r w:rsidRPr="00435769">
              <w:rPr>
                <w:sz w:val="20"/>
              </w:rPr>
              <w:t>(Lemon J.)</w:t>
            </w:r>
          </w:p>
          <w:p w:rsidR="005A6497" w:rsidRPr="00435769" w:rsidRDefault="005A6497" w:rsidP="007932B2">
            <w:pPr>
              <w:jc w:val="both"/>
              <w:rPr>
                <w:rStyle w:val="reflex3-alt"/>
                <w:rFonts w:eastAsiaTheme="minorHAnsi"/>
                <w:sz w:val="20"/>
              </w:rPr>
            </w:pPr>
            <w:r w:rsidRPr="00435769">
              <w:rPr>
                <w:rStyle w:val="reflex3-alt"/>
                <w:rFonts w:eastAsiaTheme="minorHAnsi"/>
                <w:sz w:val="20"/>
              </w:rPr>
              <w:t xml:space="preserve">2011 ONSC 6549, 2011 ONSC 7302 and 2011 </w:t>
            </w:r>
          </w:p>
          <w:p w:rsidR="005A6497" w:rsidRPr="00435769" w:rsidRDefault="005A6497" w:rsidP="007932B2">
            <w:pPr>
              <w:jc w:val="both"/>
              <w:rPr>
                <w:sz w:val="20"/>
              </w:rPr>
            </w:pPr>
            <w:r w:rsidRPr="00435769">
              <w:rPr>
                <w:rStyle w:val="reflex3-alt"/>
                <w:rFonts w:eastAsiaTheme="minorHAnsi"/>
                <w:sz w:val="20"/>
              </w:rPr>
              <w:t xml:space="preserve">ONSC 6550 (unreported in CanLII) </w:t>
            </w:r>
          </w:p>
          <w:p w:rsidR="005A6497" w:rsidRPr="00435769" w:rsidRDefault="005A6497" w:rsidP="007932B2">
            <w:pPr>
              <w:jc w:val="both"/>
              <w:rPr>
                <w:sz w:val="20"/>
              </w:rPr>
            </w:pPr>
          </w:p>
        </w:tc>
        <w:tc>
          <w:tcPr>
            <w:tcW w:w="270" w:type="pct"/>
          </w:tcPr>
          <w:p w:rsidR="005A6497" w:rsidRPr="00435769" w:rsidRDefault="005A6497" w:rsidP="007932B2">
            <w:pPr>
              <w:jc w:val="both"/>
              <w:rPr>
                <w:sz w:val="20"/>
              </w:rPr>
            </w:pPr>
          </w:p>
        </w:tc>
        <w:tc>
          <w:tcPr>
            <w:tcW w:w="2340" w:type="pct"/>
          </w:tcPr>
          <w:p w:rsidR="005A6497" w:rsidRPr="00435769" w:rsidRDefault="005A6497" w:rsidP="007932B2">
            <w:pPr>
              <w:jc w:val="both"/>
              <w:rPr>
                <w:sz w:val="20"/>
              </w:rPr>
            </w:pPr>
            <w:r w:rsidRPr="00435769">
              <w:rPr>
                <w:sz w:val="20"/>
              </w:rPr>
              <w:t xml:space="preserve">Applications challenging search by customs officials, wiretap authorization and search warrants dismissed </w:t>
            </w:r>
          </w:p>
          <w:p w:rsidR="005A6497" w:rsidRPr="00435769" w:rsidRDefault="005A6497" w:rsidP="007932B2">
            <w:pPr>
              <w:jc w:val="both"/>
              <w:rPr>
                <w:sz w:val="20"/>
              </w:rPr>
            </w:pPr>
          </w:p>
        </w:tc>
      </w:tr>
      <w:tr w:rsidR="005A6497" w:rsidRPr="00435769" w:rsidTr="005A6497">
        <w:tblPrEx>
          <w:tblCellMar>
            <w:bottom w:w="0" w:type="dxa"/>
          </w:tblCellMar>
        </w:tblPrEx>
        <w:tc>
          <w:tcPr>
            <w:tcW w:w="2390" w:type="pct"/>
            <w:gridSpan w:val="2"/>
          </w:tcPr>
          <w:p w:rsidR="005A6497" w:rsidRPr="00435769" w:rsidRDefault="005A6497" w:rsidP="007932B2">
            <w:pPr>
              <w:jc w:val="both"/>
              <w:rPr>
                <w:sz w:val="20"/>
              </w:rPr>
            </w:pPr>
            <w:r w:rsidRPr="00435769">
              <w:rPr>
                <w:sz w:val="20"/>
              </w:rPr>
              <w:t>November 15, 2012</w:t>
            </w:r>
          </w:p>
          <w:p w:rsidR="005A6497" w:rsidRPr="00435769" w:rsidRDefault="005A6497" w:rsidP="007932B2">
            <w:pPr>
              <w:jc w:val="both"/>
              <w:rPr>
                <w:sz w:val="20"/>
              </w:rPr>
            </w:pPr>
            <w:r w:rsidRPr="00435769">
              <w:rPr>
                <w:sz w:val="20"/>
              </w:rPr>
              <w:t>Ontario Superior Court of Justice</w:t>
            </w:r>
          </w:p>
          <w:p w:rsidR="005A6497" w:rsidRPr="00435769" w:rsidRDefault="005A6497" w:rsidP="007932B2">
            <w:pPr>
              <w:jc w:val="both"/>
              <w:rPr>
                <w:sz w:val="20"/>
              </w:rPr>
            </w:pPr>
            <w:r w:rsidRPr="00435769">
              <w:rPr>
                <w:sz w:val="20"/>
              </w:rPr>
              <w:t>(Lemon J.)</w:t>
            </w:r>
          </w:p>
          <w:p w:rsidR="005A6497" w:rsidRPr="00435769" w:rsidRDefault="005A6497" w:rsidP="007932B2">
            <w:pPr>
              <w:jc w:val="both"/>
              <w:rPr>
                <w:sz w:val="20"/>
              </w:rPr>
            </w:pPr>
            <w:r w:rsidRPr="00435769">
              <w:rPr>
                <w:rStyle w:val="reflex3-alt"/>
                <w:rFonts w:eastAsiaTheme="minorHAnsi"/>
                <w:sz w:val="20"/>
              </w:rPr>
              <w:t>2012 ONSC 6357 (unreported in CanLII)</w:t>
            </w:r>
          </w:p>
          <w:p w:rsidR="005A6497" w:rsidRPr="00435769" w:rsidRDefault="005A6497" w:rsidP="007932B2">
            <w:pPr>
              <w:jc w:val="both"/>
              <w:rPr>
                <w:sz w:val="20"/>
              </w:rPr>
            </w:pPr>
          </w:p>
        </w:tc>
        <w:tc>
          <w:tcPr>
            <w:tcW w:w="270" w:type="pct"/>
          </w:tcPr>
          <w:p w:rsidR="005A6497" w:rsidRPr="00435769" w:rsidRDefault="005A6497" w:rsidP="007932B2">
            <w:pPr>
              <w:jc w:val="both"/>
              <w:rPr>
                <w:sz w:val="20"/>
              </w:rPr>
            </w:pPr>
          </w:p>
        </w:tc>
        <w:tc>
          <w:tcPr>
            <w:tcW w:w="2340" w:type="pct"/>
          </w:tcPr>
          <w:p w:rsidR="005A6497" w:rsidRPr="00435769" w:rsidRDefault="005A6497" w:rsidP="007932B2">
            <w:pPr>
              <w:jc w:val="both"/>
              <w:rPr>
                <w:sz w:val="20"/>
              </w:rPr>
            </w:pPr>
            <w:r w:rsidRPr="00435769">
              <w:rPr>
                <w:sz w:val="20"/>
              </w:rPr>
              <w:t>Application for stay of proceedings dismissed</w:t>
            </w:r>
          </w:p>
        </w:tc>
      </w:tr>
      <w:tr w:rsidR="005A6497" w:rsidRPr="00435769" w:rsidTr="005A6497">
        <w:tblPrEx>
          <w:tblCellMar>
            <w:bottom w:w="0" w:type="dxa"/>
          </w:tblCellMar>
        </w:tblPrEx>
        <w:tc>
          <w:tcPr>
            <w:tcW w:w="2390" w:type="pct"/>
            <w:gridSpan w:val="2"/>
          </w:tcPr>
          <w:p w:rsidR="005A6497" w:rsidRPr="00435769" w:rsidRDefault="005A6497" w:rsidP="007932B2">
            <w:pPr>
              <w:jc w:val="both"/>
              <w:rPr>
                <w:sz w:val="20"/>
              </w:rPr>
            </w:pPr>
            <w:r w:rsidRPr="00435769">
              <w:rPr>
                <w:sz w:val="20"/>
              </w:rPr>
              <w:t>April 11, 2016</w:t>
            </w:r>
          </w:p>
          <w:p w:rsidR="005A6497" w:rsidRPr="00435769" w:rsidRDefault="005A6497" w:rsidP="007932B2">
            <w:pPr>
              <w:jc w:val="both"/>
              <w:rPr>
                <w:sz w:val="20"/>
              </w:rPr>
            </w:pPr>
            <w:r w:rsidRPr="00435769">
              <w:rPr>
                <w:sz w:val="20"/>
              </w:rPr>
              <w:t>Court of Appeal for Ontario</w:t>
            </w:r>
          </w:p>
          <w:p w:rsidR="005A6497" w:rsidRPr="00435769" w:rsidRDefault="005A6497" w:rsidP="007932B2">
            <w:pPr>
              <w:jc w:val="both"/>
              <w:rPr>
                <w:sz w:val="20"/>
              </w:rPr>
            </w:pPr>
            <w:r w:rsidRPr="00435769">
              <w:rPr>
                <w:sz w:val="20"/>
              </w:rPr>
              <w:t>(Doherty, Watt and Miller JJ.A.)</w:t>
            </w:r>
          </w:p>
          <w:p w:rsidR="005A6497" w:rsidRPr="00435769" w:rsidRDefault="00435769" w:rsidP="007932B2">
            <w:pPr>
              <w:jc w:val="both"/>
              <w:rPr>
                <w:sz w:val="20"/>
              </w:rPr>
            </w:pPr>
            <w:hyperlink r:id="rId51" w:history="1">
              <w:r w:rsidR="005A6497" w:rsidRPr="00435769">
                <w:rPr>
                  <w:rStyle w:val="Hyperlink"/>
                  <w:sz w:val="20"/>
                </w:rPr>
                <w:t>2016 ONCA 289</w:t>
              </w:r>
            </w:hyperlink>
          </w:p>
          <w:p w:rsidR="005A6497" w:rsidRPr="00435769" w:rsidRDefault="005A6497" w:rsidP="007932B2">
            <w:pPr>
              <w:jc w:val="both"/>
              <w:rPr>
                <w:sz w:val="20"/>
              </w:rPr>
            </w:pPr>
          </w:p>
        </w:tc>
        <w:tc>
          <w:tcPr>
            <w:tcW w:w="270" w:type="pct"/>
          </w:tcPr>
          <w:p w:rsidR="005A6497" w:rsidRPr="00435769" w:rsidRDefault="005A6497" w:rsidP="007932B2">
            <w:pPr>
              <w:jc w:val="both"/>
              <w:rPr>
                <w:sz w:val="20"/>
              </w:rPr>
            </w:pPr>
          </w:p>
        </w:tc>
        <w:tc>
          <w:tcPr>
            <w:tcW w:w="2340" w:type="pct"/>
          </w:tcPr>
          <w:p w:rsidR="005A6497" w:rsidRPr="00435769" w:rsidRDefault="005A6497" w:rsidP="007932B2">
            <w:pPr>
              <w:jc w:val="both"/>
              <w:rPr>
                <w:sz w:val="20"/>
              </w:rPr>
            </w:pPr>
            <w:r w:rsidRPr="00435769">
              <w:rPr>
                <w:sz w:val="20"/>
              </w:rPr>
              <w:t xml:space="preserve">Appeal dismissed </w:t>
            </w:r>
          </w:p>
          <w:p w:rsidR="005A6497" w:rsidRPr="00435769" w:rsidRDefault="005A6497" w:rsidP="007932B2">
            <w:pPr>
              <w:jc w:val="both"/>
              <w:rPr>
                <w:sz w:val="20"/>
              </w:rPr>
            </w:pPr>
          </w:p>
        </w:tc>
      </w:tr>
      <w:tr w:rsidR="005A6497" w:rsidRPr="00435769" w:rsidTr="005A6497">
        <w:tblPrEx>
          <w:tblCellMar>
            <w:bottom w:w="0" w:type="dxa"/>
          </w:tblCellMar>
        </w:tblPrEx>
        <w:tc>
          <w:tcPr>
            <w:tcW w:w="2390" w:type="pct"/>
            <w:gridSpan w:val="2"/>
          </w:tcPr>
          <w:p w:rsidR="005A6497" w:rsidRPr="00435769" w:rsidRDefault="005A6497" w:rsidP="007932B2">
            <w:pPr>
              <w:jc w:val="both"/>
              <w:rPr>
                <w:sz w:val="20"/>
              </w:rPr>
            </w:pPr>
            <w:r w:rsidRPr="00435769">
              <w:rPr>
                <w:sz w:val="20"/>
              </w:rPr>
              <w:t>July 20, 2016</w:t>
            </w:r>
          </w:p>
          <w:p w:rsidR="005A6497" w:rsidRPr="00435769" w:rsidRDefault="005A6497" w:rsidP="007932B2">
            <w:pPr>
              <w:jc w:val="both"/>
              <w:rPr>
                <w:sz w:val="20"/>
              </w:rPr>
            </w:pPr>
            <w:r w:rsidRPr="00435769">
              <w:rPr>
                <w:sz w:val="20"/>
              </w:rPr>
              <w:t>Supreme Court of Canada</w:t>
            </w:r>
          </w:p>
          <w:p w:rsidR="005A6497" w:rsidRPr="00435769" w:rsidRDefault="005A6497" w:rsidP="007932B2">
            <w:pPr>
              <w:jc w:val="both"/>
              <w:rPr>
                <w:sz w:val="20"/>
              </w:rPr>
            </w:pPr>
          </w:p>
        </w:tc>
        <w:tc>
          <w:tcPr>
            <w:tcW w:w="270" w:type="pct"/>
          </w:tcPr>
          <w:p w:rsidR="005A6497" w:rsidRPr="00435769" w:rsidRDefault="005A6497" w:rsidP="007932B2">
            <w:pPr>
              <w:jc w:val="both"/>
              <w:rPr>
                <w:sz w:val="20"/>
              </w:rPr>
            </w:pPr>
          </w:p>
        </w:tc>
        <w:tc>
          <w:tcPr>
            <w:tcW w:w="2340" w:type="pct"/>
          </w:tcPr>
          <w:p w:rsidR="005A6497" w:rsidRPr="00435769" w:rsidRDefault="005A6497" w:rsidP="007932B2">
            <w:pPr>
              <w:jc w:val="both"/>
              <w:rPr>
                <w:sz w:val="20"/>
              </w:rPr>
            </w:pPr>
            <w:r w:rsidRPr="00435769">
              <w:rPr>
                <w:sz w:val="20"/>
              </w:rPr>
              <w:t>Motion to extend time to serve and file application for leave to appeal and application for leave to appeal filed</w:t>
            </w:r>
          </w:p>
        </w:tc>
      </w:tr>
    </w:tbl>
    <w:p w:rsidR="005A6497" w:rsidRPr="00435769" w:rsidRDefault="005A6497" w:rsidP="007932B2">
      <w:pPr>
        <w:jc w:val="both"/>
        <w:rPr>
          <w:sz w:val="20"/>
        </w:rPr>
      </w:pPr>
    </w:p>
    <w:p w:rsidR="009E248E" w:rsidRPr="00435769" w:rsidRDefault="009E248E" w:rsidP="007932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5A6497" w:rsidRPr="00435769" w:rsidTr="005A6497">
        <w:tc>
          <w:tcPr>
            <w:tcW w:w="543" w:type="pct"/>
          </w:tcPr>
          <w:p w:rsidR="005A6497" w:rsidRPr="00435769" w:rsidRDefault="005A6497" w:rsidP="007932B2">
            <w:pPr>
              <w:jc w:val="both"/>
              <w:rPr>
                <w:sz w:val="20"/>
                <w:lang w:val="fr-CA"/>
              </w:rPr>
            </w:pPr>
            <w:r w:rsidRPr="00435769">
              <w:rPr>
                <w:rStyle w:val="SCCFileNumberChar"/>
                <w:sz w:val="20"/>
                <w:szCs w:val="20"/>
                <w:lang w:val="fr-CA"/>
              </w:rPr>
              <w:t>37242</w:t>
            </w:r>
          </w:p>
        </w:tc>
        <w:tc>
          <w:tcPr>
            <w:tcW w:w="4457" w:type="pct"/>
            <w:gridSpan w:val="3"/>
          </w:tcPr>
          <w:p w:rsidR="005A6497" w:rsidRPr="00435769" w:rsidRDefault="005A6497" w:rsidP="007932B2">
            <w:pPr>
              <w:pStyle w:val="SCCLsocParty"/>
              <w:jc w:val="both"/>
              <w:rPr>
                <w:b/>
                <w:sz w:val="20"/>
                <w:szCs w:val="20"/>
              </w:rPr>
            </w:pPr>
            <w:r w:rsidRPr="00435769">
              <w:rPr>
                <w:b/>
                <w:sz w:val="20"/>
                <w:szCs w:val="20"/>
              </w:rPr>
              <w:t>Raymond Lapple c. Sa Majesté la Reine</w:t>
            </w:r>
          </w:p>
          <w:p w:rsidR="005A6497" w:rsidRPr="00435769" w:rsidRDefault="005A6497" w:rsidP="007932B2">
            <w:pPr>
              <w:jc w:val="both"/>
              <w:rPr>
                <w:sz w:val="20"/>
                <w:lang w:val="fr-CA"/>
              </w:rPr>
            </w:pPr>
            <w:r w:rsidRPr="00435769">
              <w:rPr>
                <w:sz w:val="20"/>
                <w:lang w:val="fr-CA"/>
              </w:rPr>
              <w:t>(Ont.) (Criminelle) (Sur autorisation)</w:t>
            </w:r>
          </w:p>
        </w:tc>
      </w:tr>
      <w:tr w:rsidR="005A6497" w:rsidRPr="00435769" w:rsidTr="005A6497">
        <w:tc>
          <w:tcPr>
            <w:tcW w:w="5000" w:type="pct"/>
            <w:gridSpan w:val="4"/>
          </w:tcPr>
          <w:p w:rsidR="005A6497" w:rsidRPr="00435769" w:rsidRDefault="005A6497" w:rsidP="007932B2">
            <w:pPr>
              <w:jc w:val="both"/>
              <w:rPr>
                <w:sz w:val="20"/>
                <w:lang w:val="fr-CA"/>
              </w:rPr>
            </w:pPr>
            <w:r w:rsidRPr="00435769">
              <w:rPr>
                <w:i/>
                <w:sz w:val="20"/>
                <w:lang w:val="fr-CA"/>
              </w:rPr>
              <w:t xml:space="preserve">Charte canadienne des droits et libertés </w:t>
            </w:r>
            <w:r w:rsidRPr="00435769">
              <w:rPr>
                <w:sz w:val="20"/>
                <w:lang w:val="fr-CA"/>
              </w:rPr>
              <w:t xml:space="preserve">– Droit criminel – Fouilles, perquisitions et saisies – Le demandeur a été déclaré coupable d’infractions liées à la drogue – Le demandeur sollicite l’exclusion de la preuve au procès et l’arrêt des procédures – Le juge du procès a-t-il eu tort de rejeter la demande fondée sur l’al. 11b) de la </w:t>
            </w:r>
            <w:r w:rsidRPr="00435769">
              <w:rPr>
                <w:i/>
                <w:sz w:val="20"/>
                <w:lang w:val="fr-CA"/>
              </w:rPr>
              <w:t>Charte</w:t>
            </w:r>
            <w:r w:rsidRPr="00435769">
              <w:rPr>
                <w:sz w:val="20"/>
                <w:lang w:val="fr-CA"/>
              </w:rPr>
              <w:t xml:space="preserve">? – Le juge du procès a-t-il eu tort de ne pas avoir pris en compte le fait que l’exécution de la livraison contrôlée constituait une violation de l’art. 8 de la </w:t>
            </w:r>
            <w:r w:rsidRPr="00435769">
              <w:rPr>
                <w:i/>
                <w:sz w:val="20"/>
                <w:lang w:val="fr-CA"/>
              </w:rPr>
              <w:t>Charte</w:t>
            </w:r>
            <w:r w:rsidRPr="00435769">
              <w:rPr>
                <w:sz w:val="20"/>
                <w:lang w:val="fr-CA"/>
              </w:rPr>
              <w:t>? – Le juge du procès a-t-il eu tort de conclure que l’écoute électronique était nécessaire pour l’enquête et justifiait ainsi son autorisation? – Le juge du procès a-t-il eu tort de conclure que le juge qui a délivré le mandat de perquisition n’a pas agi de façon impartiale lorsqu’il l’a fait?</w:t>
            </w:r>
          </w:p>
        </w:tc>
      </w:tr>
      <w:tr w:rsidR="005A6497" w:rsidRPr="00435769" w:rsidTr="005A6497">
        <w:tc>
          <w:tcPr>
            <w:tcW w:w="5000" w:type="pct"/>
            <w:gridSpan w:val="4"/>
          </w:tcPr>
          <w:p w:rsidR="005A6497" w:rsidRPr="00435769" w:rsidRDefault="005A6497" w:rsidP="007932B2">
            <w:pPr>
              <w:pStyle w:val="SCCBanSummary"/>
              <w:rPr>
                <w:sz w:val="20"/>
                <w:szCs w:val="20"/>
                <w:lang w:val="fr-CA"/>
              </w:rPr>
            </w:pPr>
          </w:p>
        </w:tc>
      </w:tr>
      <w:tr w:rsidR="005A6497" w:rsidRPr="00435769" w:rsidTr="005A6497">
        <w:trPr>
          <w:trHeight w:val="2016"/>
        </w:trPr>
        <w:tc>
          <w:tcPr>
            <w:tcW w:w="5000" w:type="pct"/>
            <w:gridSpan w:val="4"/>
          </w:tcPr>
          <w:p w:rsidR="005A6497" w:rsidRPr="00435769" w:rsidRDefault="005A6497" w:rsidP="007932B2">
            <w:pPr>
              <w:jc w:val="both"/>
              <w:rPr>
                <w:sz w:val="20"/>
                <w:lang w:val="fr-CA"/>
              </w:rPr>
            </w:pPr>
            <w:r w:rsidRPr="00435769">
              <w:rPr>
                <w:sz w:val="20"/>
                <w:lang w:val="fr-CA"/>
              </w:rPr>
              <w:t xml:space="preserve">Monsieur Lapple a importé du Pérou au Canada 43 kg de cocaïne, cachée à l’intérieur de caisses de bois dans un conteneur d’expédition. Il a été déclaré coupable de complot en vue d’importer de la cocaïne, d’importation de cocaïne et de possession de cocaïne en vue d’en faire le trafic. Au procès, M. Lapple a présenté diverses demandes préliminaires. Il a contesté la fouille du conteneur par des fonctionnaires des douanes en application du par. 99(1) de la </w:t>
            </w:r>
            <w:r w:rsidRPr="00435769">
              <w:rPr>
                <w:i/>
                <w:sz w:val="20"/>
                <w:lang w:val="fr-CA"/>
              </w:rPr>
              <w:t>Loi sur les douanes</w:t>
            </w:r>
            <w:r w:rsidRPr="00435769">
              <w:rPr>
                <w:sz w:val="20"/>
                <w:lang w:val="fr-CA"/>
              </w:rPr>
              <w:t>, L.R.C. 1985, ch. 1 (2</w:t>
            </w:r>
            <w:r w:rsidRPr="00435769">
              <w:rPr>
                <w:sz w:val="20"/>
                <w:vertAlign w:val="superscript"/>
                <w:lang w:val="fr-CA"/>
              </w:rPr>
              <w:t>e</w:t>
            </w:r>
            <w:r w:rsidRPr="00435769">
              <w:rPr>
                <w:sz w:val="20"/>
                <w:lang w:val="fr-CA"/>
              </w:rPr>
              <w:t xml:space="preserve"> suppl.), l’autorisation d’écoute électronique et les mandats de perquisition de son domicile et de sa voiture, comme contraires à l’art. 8 de la </w:t>
            </w:r>
            <w:r w:rsidRPr="00435769">
              <w:rPr>
                <w:i/>
                <w:sz w:val="20"/>
                <w:lang w:val="fr-CA"/>
              </w:rPr>
              <w:t>Charte</w:t>
            </w:r>
            <w:r w:rsidRPr="00435769">
              <w:rPr>
                <w:sz w:val="20"/>
                <w:lang w:val="fr-CA"/>
              </w:rPr>
              <w:t>. Monsieur Lapple a plaidé que cumulativement, ces violations justifiaient l’exclusion de la preuve incriminante au procès. Monsieur Lapple a également demandé l’arrêt des procédures en application de l’al. 11b) de la</w:t>
            </w:r>
            <w:r w:rsidRPr="00435769">
              <w:rPr>
                <w:i/>
                <w:sz w:val="20"/>
                <w:lang w:val="fr-CA"/>
              </w:rPr>
              <w:t xml:space="preserve"> Charte</w:t>
            </w:r>
            <w:r w:rsidRPr="00435769">
              <w:rPr>
                <w:sz w:val="20"/>
                <w:lang w:val="fr-CA"/>
              </w:rPr>
              <w:t>. Il a allégué qu’un délai déraisonnable s’était écoulé avant que l’affaire ait donné lieu à un procès.</w:t>
            </w:r>
          </w:p>
          <w:p w:rsidR="009E248E" w:rsidRPr="00435769" w:rsidRDefault="009E248E" w:rsidP="007932B2">
            <w:pPr>
              <w:jc w:val="both"/>
              <w:rPr>
                <w:sz w:val="20"/>
                <w:lang w:val="fr-CA"/>
              </w:rPr>
            </w:pPr>
          </w:p>
        </w:tc>
      </w:tr>
      <w:tr w:rsidR="005A6497" w:rsidRPr="00435769" w:rsidTr="005A6497">
        <w:tblPrEx>
          <w:tblCellMar>
            <w:bottom w:w="0" w:type="dxa"/>
          </w:tblCellMar>
        </w:tblPrEx>
        <w:tc>
          <w:tcPr>
            <w:tcW w:w="2390" w:type="pct"/>
            <w:gridSpan w:val="2"/>
          </w:tcPr>
          <w:p w:rsidR="005A6497" w:rsidRPr="00435769" w:rsidRDefault="005A6497" w:rsidP="007932B2">
            <w:pPr>
              <w:jc w:val="both"/>
              <w:rPr>
                <w:sz w:val="20"/>
                <w:lang w:val="fr-CA"/>
              </w:rPr>
            </w:pPr>
            <w:r w:rsidRPr="00435769">
              <w:rPr>
                <w:sz w:val="20"/>
                <w:lang w:val="fr-CA"/>
              </w:rPr>
              <w:t>12 décembre 2011</w:t>
            </w:r>
          </w:p>
          <w:p w:rsidR="005A6497" w:rsidRPr="00435769" w:rsidRDefault="005A6497" w:rsidP="007932B2">
            <w:pPr>
              <w:jc w:val="both"/>
              <w:rPr>
                <w:sz w:val="20"/>
                <w:lang w:val="fr-CA"/>
              </w:rPr>
            </w:pPr>
            <w:r w:rsidRPr="00435769">
              <w:rPr>
                <w:sz w:val="20"/>
                <w:lang w:val="fr-CA"/>
              </w:rPr>
              <w:t xml:space="preserve">Cour supérieure de justice de l’Ontario </w:t>
            </w:r>
          </w:p>
          <w:p w:rsidR="005A6497" w:rsidRPr="00435769" w:rsidRDefault="005A6497" w:rsidP="007932B2">
            <w:pPr>
              <w:jc w:val="both"/>
              <w:rPr>
                <w:sz w:val="20"/>
                <w:lang w:val="fr-CA"/>
              </w:rPr>
            </w:pPr>
            <w:r w:rsidRPr="00435769">
              <w:rPr>
                <w:sz w:val="20"/>
                <w:lang w:val="fr-CA"/>
              </w:rPr>
              <w:t>(Juge Lemon)</w:t>
            </w:r>
          </w:p>
          <w:p w:rsidR="005A6497" w:rsidRPr="00435769" w:rsidRDefault="005A6497" w:rsidP="007932B2">
            <w:pPr>
              <w:jc w:val="both"/>
              <w:rPr>
                <w:rStyle w:val="reflex3-alt"/>
                <w:rFonts w:eastAsiaTheme="minorHAnsi"/>
                <w:sz w:val="20"/>
                <w:lang w:val="fr-CA"/>
              </w:rPr>
            </w:pPr>
            <w:r w:rsidRPr="00435769">
              <w:rPr>
                <w:rStyle w:val="reflex3-alt"/>
                <w:rFonts w:eastAsiaTheme="minorHAnsi"/>
                <w:sz w:val="20"/>
                <w:lang w:val="fr-CA"/>
              </w:rPr>
              <w:t xml:space="preserve">2011 ONSC 6549, 2011 ONSC 7302 et 2011 </w:t>
            </w:r>
          </w:p>
          <w:p w:rsidR="005A6497" w:rsidRPr="00435769" w:rsidRDefault="005A6497" w:rsidP="007932B2">
            <w:pPr>
              <w:jc w:val="both"/>
              <w:rPr>
                <w:sz w:val="20"/>
                <w:lang w:val="fr-CA"/>
              </w:rPr>
            </w:pPr>
            <w:r w:rsidRPr="00435769">
              <w:rPr>
                <w:rStyle w:val="reflex3-alt"/>
                <w:rFonts w:eastAsiaTheme="minorHAnsi"/>
                <w:sz w:val="20"/>
                <w:lang w:val="fr-CA"/>
              </w:rPr>
              <w:lastRenderedPageBreak/>
              <w:t xml:space="preserve">ONSC 6550 (non publié dans CanLII) </w:t>
            </w:r>
          </w:p>
          <w:p w:rsidR="005A6497" w:rsidRPr="00435769" w:rsidRDefault="005A6497" w:rsidP="007932B2">
            <w:pPr>
              <w:jc w:val="both"/>
              <w:rPr>
                <w:sz w:val="20"/>
                <w:lang w:val="fr-CA"/>
              </w:rPr>
            </w:pPr>
          </w:p>
        </w:tc>
        <w:tc>
          <w:tcPr>
            <w:tcW w:w="270" w:type="pct"/>
          </w:tcPr>
          <w:p w:rsidR="005A6497" w:rsidRPr="00435769" w:rsidRDefault="005A6497" w:rsidP="007932B2">
            <w:pPr>
              <w:jc w:val="both"/>
              <w:rPr>
                <w:sz w:val="20"/>
                <w:lang w:val="fr-CA"/>
              </w:rPr>
            </w:pPr>
          </w:p>
        </w:tc>
        <w:tc>
          <w:tcPr>
            <w:tcW w:w="2340" w:type="pct"/>
          </w:tcPr>
          <w:p w:rsidR="005A6497" w:rsidRPr="00435769" w:rsidRDefault="005A6497" w:rsidP="007932B2">
            <w:pPr>
              <w:jc w:val="both"/>
              <w:rPr>
                <w:sz w:val="20"/>
                <w:lang w:val="fr-CA"/>
              </w:rPr>
            </w:pPr>
            <w:r w:rsidRPr="00435769">
              <w:rPr>
                <w:sz w:val="20"/>
                <w:lang w:val="fr-CA"/>
              </w:rPr>
              <w:t>Rejet des demandes contestant la fouille effectuée par des fonctionnaires des douanes, l’autorisation d’écoute électronique et le mandat de perquisition</w:t>
            </w:r>
          </w:p>
          <w:p w:rsidR="005A6497" w:rsidRPr="00435769" w:rsidRDefault="005A6497" w:rsidP="007932B2">
            <w:pPr>
              <w:jc w:val="both"/>
              <w:rPr>
                <w:sz w:val="20"/>
                <w:lang w:val="fr-CA"/>
              </w:rPr>
            </w:pPr>
          </w:p>
        </w:tc>
      </w:tr>
      <w:tr w:rsidR="005A6497" w:rsidRPr="00435769" w:rsidTr="005A6497">
        <w:tblPrEx>
          <w:tblCellMar>
            <w:bottom w:w="0" w:type="dxa"/>
          </w:tblCellMar>
        </w:tblPrEx>
        <w:tc>
          <w:tcPr>
            <w:tcW w:w="2390" w:type="pct"/>
            <w:gridSpan w:val="2"/>
          </w:tcPr>
          <w:p w:rsidR="005A6497" w:rsidRPr="00435769" w:rsidRDefault="005A6497" w:rsidP="007932B2">
            <w:pPr>
              <w:jc w:val="both"/>
              <w:rPr>
                <w:sz w:val="20"/>
                <w:lang w:val="fr-CA"/>
              </w:rPr>
            </w:pPr>
            <w:r w:rsidRPr="00435769">
              <w:rPr>
                <w:sz w:val="20"/>
                <w:lang w:val="fr-CA"/>
              </w:rPr>
              <w:t>15 novembre 2012</w:t>
            </w:r>
          </w:p>
          <w:p w:rsidR="005A6497" w:rsidRPr="00435769" w:rsidRDefault="005A6497" w:rsidP="007932B2">
            <w:pPr>
              <w:jc w:val="both"/>
              <w:rPr>
                <w:sz w:val="20"/>
                <w:lang w:val="fr-CA"/>
              </w:rPr>
            </w:pPr>
            <w:r w:rsidRPr="00435769">
              <w:rPr>
                <w:sz w:val="20"/>
                <w:lang w:val="fr-CA"/>
              </w:rPr>
              <w:t>Cour supérieure de justice de l’Ontario</w:t>
            </w:r>
          </w:p>
          <w:p w:rsidR="005A6497" w:rsidRPr="00435769" w:rsidRDefault="005A6497" w:rsidP="007932B2">
            <w:pPr>
              <w:jc w:val="both"/>
              <w:rPr>
                <w:sz w:val="20"/>
                <w:lang w:val="fr-CA"/>
              </w:rPr>
            </w:pPr>
            <w:r w:rsidRPr="00435769">
              <w:rPr>
                <w:sz w:val="20"/>
                <w:lang w:val="fr-CA"/>
              </w:rPr>
              <w:t>(Juge Lemon)</w:t>
            </w:r>
          </w:p>
          <w:p w:rsidR="005A6497" w:rsidRPr="00435769" w:rsidRDefault="005A6497" w:rsidP="007932B2">
            <w:pPr>
              <w:jc w:val="both"/>
              <w:rPr>
                <w:sz w:val="20"/>
                <w:lang w:val="fr-CA"/>
              </w:rPr>
            </w:pPr>
            <w:r w:rsidRPr="00435769">
              <w:rPr>
                <w:rStyle w:val="reflex3-alt"/>
                <w:rFonts w:eastAsiaTheme="minorHAnsi"/>
                <w:sz w:val="20"/>
                <w:lang w:val="fr-CA"/>
              </w:rPr>
              <w:t>2012 ONSC 6357 (non publié dans CanLII)</w:t>
            </w:r>
          </w:p>
          <w:p w:rsidR="005A6497" w:rsidRPr="00435769" w:rsidRDefault="005A6497" w:rsidP="007932B2">
            <w:pPr>
              <w:jc w:val="both"/>
              <w:rPr>
                <w:sz w:val="20"/>
                <w:lang w:val="fr-CA"/>
              </w:rPr>
            </w:pPr>
          </w:p>
        </w:tc>
        <w:tc>
          <w:tcPr>
            <w:tcW w:w="270" w:type="pct"/>
          </w:tcPr>
          <w:p w:rsidR="005A6497" w:rsidRPr="00435769" w:rsidRDefault="005A6497" w:rsidP="007932B2">
            <w:pPr>
              <w:jc w:val="both"/>
              <w:rPr>
                <w:sz w:val="20"/>
                <w:lang w:val="fr-CA"/>
              </w:rPr>
            </w:pPr>
          </w:p>
        </w:tc>
        <w:tc>
          <w:tcPr>
            <w:tcW w:w="2340" w:type="pct"/>
          </w:tcPr>
          <w:p w:rsidR="005A6497" w:rsidRPr="00435769" w:rsidRDefault="005A6497" w:rsidP="007932B2">
            <w:pPr>
              <w:jc w:val="both"/>
              <w:rPr>
                <w:sz w:val="20"/>
                <w:lang w:val="fr-CA"/>
              </w:rPr>
            </w:pPr>
            <w:r w:rsidRPr="00435769">
              <w:rPr>
                <w:sz w:val="20"/>
                <w:lang w:val="fr-CA"/>
              </w:rPr>
              <w:t>Rejet de la demande d’arrêt des procédures</w:t>
            </w:r>
          </w:p>
        </w:tc>
      </w:tr>
      <w:tr w:rsidR="005A6497" w:rsidRPr="00435769" w:rsidTr="005A6497">
        <w:tblPrEx>
          <w:tblCellMar>
            <w:bottom w:w="0" w:type="dxa"/>
          </w:tblCellMar>
        </w:tblPrEx>
        <w:tc>
          <w:tcPr>
            <w:tcW w:w="2390" w:type="pct"/>
            <w:gridSpan w:val="2"/>
          </w:tcPr>
          <w:p w:rsidR="005A6497" w:rsidRPr="00435769" w:rsidRDefault="005A6497" w:rsidP="007932B2">
            <w:pPr>
              <w:jc w:val="both"/>
              <w:rPr>
                <w:sz w:val="20"/>
                <w:lang w:val="fr-CA"/>
              </w:rPr>
            </w:pPr>
            <w:r w:rsidRPr="00435769">
              <w:rPr>
                <w:sz w:val="20"/>
                <w:lang w:val="fr-CA"/>
              </w:rPr>
              <w:t>11 avril 2016</w:t>
            </w:r>
          </w:p>
          <w:p w:rsidR="005A6497" w:rsidRPr="00435769" w:rsidRDefault="005A6497" w:rsidP="007932B2">
            <w:pPr>
              <w:jc w:val="both"/>
              <w:rPr>
                <w:sz w:val="20"/>
                <w:lang w:val="fr-CA"/>
              </w:rPr>
            </w:pPr>
            <w:r w:rsidRPr="00435769">
              <w:rPr>
                <w:sz w:val="20"/>
                <w:lang w:val="fr-CA"/>
              </w:rPr>
              <w:t xml:space="preserve">Cour d’appel de l’Ontario </w:t>
            </w:r>
          </w:p>
          <w:p w:rsidR="005A6497" w:rsidRPr="00435769" w:rsidRDefault="005A6497" w:rsidP="007932B2">
            <w:pPr>
              <w:jc w:val="both"/>
              <w:rPr>
                <w:sz w:val="20"/>
                <w:lang w:val="fr-CA"/>
              </w:rPr>
            </w:pPr>
            <w:r w:rsidRPr="00435769">
              <w:rPr>
                <w:sz w:val="20"/>
                <w:lang w:val="fr-CA"/>
              </w:rPr>
              <w:t>(Juges Doherty, Watt et Miller)</w:t>
            </w:r>
          </w:p>
          <w:p w:rsidR="005A6497" w:rsidRPr="00435769" w:rsidRDefault="00435769" w:rsidP="007932B2">
            <w:pPr>
              <w:jc w:val="both"/>
              <w:rPr>
                <w:sz w:val="20"/>
                <w:lang w:val="fr-CA"/>
              </w:rPr>
            </w:pPr>
            <w:hyperlink r:id="rId52" w:history="1">
              <w:r w:rsidR="005A6497" w:rsidRPr="00435769">
                <w:rPr>
                  <w:rStyle w:val="Hyperlink"/>
                  <w:sz w:val="20"/>
                  <w:lang w:val="fr-CA"/>
                </w:rPr>
                <w:t>2016 ONCA 289</w:t>
              </w:r>
            </w:hyperlink>
          </w:p>
          <w:p w:rsidR="005A6497" w:rsidRPr="00435769" w:rsidRDefault="005A6497" w:rsidP="007932B2">
            <w:pPr>
              <w:jc w:val="both"/>
              <w:rPr>
                <w:sz w:val="20"/>
                <w:lang w:val="fr-CA"/>
              </w:rPr>
            </w:pPr>
          </w:p>
        </w:tc>
        <w:tc>
          <w:tcPr>
            <w:tcW w:w="270" w:type="pct"/>
          </w:tcPr>
          <w:p w:rsidR="005A6497" w:rsidRPr="00435769" w:rsidRDefault="005A6497" w:rsidP="007932B2">
            <w:pPr>
              <w:jc w:val="both"/>
              <w:rPr>
                <w:sz w:val="20"/>
                <w:lang w:val="fr-CA"/>
              </w:rPr>
            </w:pPr>
          </w:p>
        </w:tc>
        <w:tc>
          <w:tcPr>
            <w:tcW w:w="2340" w:type="pct"/>
          </w:tcPr>
          <w:p w:rsidR="005A6497" w:rsidRPr="00435769" w:rsidRDefault="005A6497" w:rsidP="007932B2">
            <w:pPr>
              <w:jc w:val="both"/>
              <w:rPr>
                <w:sz w:val="20"/>
                <w:lang w:val="fr-CA"/>
              </w:rPr>
            </w:pPr>
            <w:r w:rsidRPr="00435769">
              <w:rPr>
                <w:sz w:val="20"/>
                <w:lang w:val="fr-CA"/>
              </w:rPr>
              <w:t>Rejet de l’appel</w:t>
            </w:r>
          </w:p>
          <w:p w:rsidR="005A6497" w:rsidRPr="00435769" w:rsidRDefault="005A6497" w:rsidP="007932B2">
            <w:pPr>
              <w:jc w:val="both"/>
              <w:rPr>
                <w:sz w:val="20"/>
                <w:lang w:val="fr-CA"/>
              </w:rPr>
            </w:pPr>
          </w:p>
        </w:tc>
      </w:tr>
      <w:tr w:rsidR="005A6497" w:rsidRPr="00435769" w:rsidTr="005A6497">
        <w:tblPrEx>
          <w:tblCellMar>
            <w:bottom w:w="0" w:type="dxa"/>
          </w:tblCellMar>
        </w:tblPrEx>
        <w:tc>
          <w:tcPr>
            <w:tcW w:w="2390" w:type="pct"/>
            <w:gridSpan w:val="2"/>
          </w:tcPr>
          <w:p w:rsidR="005A6497" w:rsidRPr="00435769" w:rsidRDefault="005A6497" w:rsidP="007932B2">
            <w:pPr>
              <w:jc w:val="both"/>
              <w:rPr>
                <w:sz w:val="20"/>
                <w:lang w:val="fr-CA"/>
              </w:rPr>
            </w:pPr>
            <w:r w:rsidRPr="00435769">
              <w:rPr>
                <w:sz w:val="20"/>
                <w:lang w:val="fr-CA"/>
              </w:rPr>
              <w:t>20 juillet 2016</w:t>
            </w:r>
          </w:p>
          <w:p w:rsidR="005A6497" w:rsidRPr="00435769" w:rsidRDefault="005A6497" w:rsidP="007932B2">
            <w:pPr>
              <w:jc w:val="both"/>
              <w:rPr>
                <w:sz w:val="20"/>
                <w:lang w:val="fr-CA"/>
              </w:rPr>
            </w:pPr>
            <w:r w:rsidRPr="00435769">
              <w:rPr>
                <w:sz w:val="20"/>
                <w:lang w:val="fr-CA"/>
              </w:rPr>
              <w:t>Cour suprême du Canada</w:t>
            </w:r>
          </w:p>
          <w:p w:rsidR="005A6497" w:rsidRPr="00435769" w:rsidRDefault="005A6497" w:rsidP="007932B2">
            <w:pPr>
              <w:jc w:val="both"/>
              <w:rPr>
                <w:sz w:val="20"/>
                <w:lang w:val="fr-CA"/>
              </w:rPr>
            </w:pPr>
          </w:p>
        </w:tc>
        <w:tc>
          <w:tcPr>
            <w:tcW w:w="270" w:type="pct"/>
          </w:tcPr>
          <w:p w:rsidR="005A6497" w:rsidRPr="00435769" w:rsidRDefault="005A6497" w:rsidP="007932B2">
            <w:pPr>
              <w:jc w:val="both"/>
              <w:rPr>
                <w:sz w:val="20"/>
                <w:lang w:val="fr-CA"/>
              </w:rPr>
            </w:pPr>
          </w:p>
        </w:tc>
        <w:tc>
          <w:tcPr>
            <w:tcW w:w="2340" w:type="pct"/>
          </w:tcPr>
          <w:p w:rsidR="005A6497" w:rsidRPr="00435769" w:rsidRDefault="005A6497" w:rsidP="007932B2">
            <w:pPr>
              <w:jc w:val="both"/>
              <w:rPr>
                <w:sz w:val="20"/>
                <w:lang w:val="fr-CA"/>
              </w:rPr>
            </w:pPr>
            <w:r w:rsidRPr="00435769">
              <w:rPr>
                <w:sz w:val="20"/>
                <w:lang w:val="fr-CA"/>
              </w:rPr>
              <w:t>Dépôt de la demande de prorogation du délai de signification et dépôt de la demande d’autorisation d’appel et de la demande d’autorisation d’appel</w:t>
            </w:r>
          </w:p>
        </w:tc>
      </w:tr>
    </w:tbl>
    <w:p w:rsidR="005A6497" w:rsidRPr="00435769" w:rsidRDefault="005A6497" w:rsidP="007932B2">
      <w:pPr>
        <w:jc w:val="both"/>
        <w:rPr>
          <w:sz w:val="20"/>
          <w:lang w:val="fr-CA"/>
        </w:rPr>
      </w:pPr>
    </w:p>
    <w:p w:rsidR="008E7E00" w:rsidRPr="00435769" w:rsidRDefault="008E7E00" w:rsidP="007932B2">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rPr>
            </w:pPr>
            <w:r w:rsidRPr="00435769">
              <w:rPr>
                <w:rStyle w:val="SCCFileNumberChar"/>
                <w:sz w:val="20"/>
                <w:szCs w:val="20"/>
              </w:rPr>
              <w:t>37243</w:t>
            </w:r>
          </w:p>
        </w:tc>
        <w:tc>
          <w:tcPr>
            <w:tcW w:w="4457" w:type="pct"/>
            <w:gridSpan w:val="3"/>
          </w:tcPr>
          <w:p w:rsidR="005A6497" w:rsidRPr="00435769" w:rsidRDefault="005A6497" w:rsidP="007932B2">
            <w:pPr>
              <w:pStyle w:val="SCCLsocParty"/>
              <w:jc w:val="both"/>
              <w:rPr>
                <w:b/>
                <w:sz w:val="20"/>
                <w:szCs w:val="20"/>
                <w:lang w:val="en-US"/>
              </w:rPr>
            </w:pPr>
            <w:r w:rsidRPr="00435769">
              <w:rPr>
                <w:b/>
                <w:sz w:val="20"/>
                <w:szCs w:val="20"/>
                <w:lang w:val="en-US"/>
              </w:rPr>
              <w:t>Gregory Marshall v. Julie Robbins</w:t>
            </w:r>
          </w:p>
          <w:p w:rsidR="005A6497" w:rsidRPr="00435769" w:rsidRDefault="005A6497" w:rsidP="007932B2">
            <w:pPr>
              <w:jc w:val="both"/>
              <w:rPr>
                <w:sz w:val="20"/>
              </w:rPr>
            </w:pPr>
            <w:r w:rsidRPr="00435769">
              <w:rPr>
                <w:sz w:val="20"/>
              </w:rPr>
              <w:t>(N.S.) (Civil) (By Leave)</w:t>
            </w:r>
          </w:p>
        </w:tc>
      </w:tr>
      <w:tr w:rsidR="005A6497" w:rsidRPr="00435769" w:rsidTr="005A6497">
        <w:tc>
          <w:tcPr>
            <w:tcW w:w="5000" w:type="pct"/>
            <w:gridSpan w:val="4"/>
          </w:tcPr>
          <w:p w:rsidR="005A6497" w:rsidRPr="00435769" w:rsidRDefault="005A6497" w:rsidP="007932B2">
            <w:pPr>
              <w:jc w:val="both"/>
              <w:rPr>
                <w:sz w:val="20"/>
              </w:rPr>
            </w:pPr>
            <w:r w:rsidRPr="00435769">
              <w:rPr>
                <w:i/>
                <w:sz w:val="20"/>
              </w:rPr>
              <w:t>Canadian Charter of Rights and Freedoms</w:t>
            </w:r>
            <w:r w:rsidRPr="00435769">
              <w:rPr>
                <w:sz w:val="20"/>
              </w:rPr>
              <w:t xml:space="preserve"> – Family law – Support – Practice and procedure – Discovery – </w:t>
            </w:r>
            <w:r w:rsidRPr="00435769">
              <w:rPr>
                <w:rStyle w:val="italic1"/>
                <w:color w:val="000000"/>
                <w:sz w:val="20"/>
              </w:rPr>
              <w:t xml:space="preserve">In seeking spousal support and arguing against paying child support, husband asserted proceedings causing extreme medical problems amounting to undue hardship – Whether the Court of Appeal erred in refusing extension of time – Whether </w:t>
            </w:r>
            <w:r w:rsidRPr="00435769">
              <w:rPr>
                <w:sz w:val="20"/>
              </w:rPr>
              <w:t xml:space="preserve">Rule 90.13 of the </w:t>
            </w:r>
            <w:r w:rsidRPr="00435769">
              <w:rPr>
                <w:i/>
                <w:sz w:val="20"/>
              </w:rPr>
              <w:t>Nova Scotia Civil Procedure Rules</w:t>
            </w:r>
            <w:r w:rsidRPr="00435769">
              <w:rPr>
                <w:sz w:val="20"/>
              </w:rPr>
              <w:t xml:space="preserve"> violates Sections 7 and 15 of the </w:t>
            </w:r>
            <w:r w:rsidRPr="00435769">
              <w:rPr>
                <w:i/>
                <w:sz w:val="20"/>
              </w:rPr>
              <w:t>Charter of Rights and Freedoms</w:t>
            </w:r>
            <w:r w:rsidRPr="00435769">
              <w:rPr>
                <w:sz w:val="20"/>
              </w:rPr>
              <w:t xml:space="preserve"> – as well as the principles and rules of natural justice and fundamental justice – because it purports to deny an individual’s “as-of-right” appeal in the absence of actual notice – Whether the Court of first instance erred in law by failing to consider the Applicant’s (quasi) Constitutionally-protected right to privacy when ordering third-party confidential records.</w:t>
            </w:r>
          </w:p>
        </w:tc>
      </w:tr>
      <w:tr w:rsidR="005A6497" w:rsidRPr="00435769" w:rsidTr="005A6497">
        <w:tc>
          <w:tcPr>
            <w:tcW w:w="5000" w:type="pct"/>
            <w:gridSpan w:val="4"/>
          </w:tcPr>
          <w:p w:rsidR="005A6497" w:rsidRPr="00435769" w:rsidRDefault="005A6497" w:rsidP="007932B2">
            <w:pPr>
              <w:jc w:val="both"/>
              <w:rPr>
                <w:sz w:val="20"/>
              </w:rPr>
            </w:pPr>
          </w:p>
        </w:tc>
      </w:tr>
      <w:tr w:rsidR="005A6497" w:rsidRPr="00435769" w:rsidTr="005A6497">
        <w:tc>
          <w:tcPr>
            <w:tcW w:w="5000" w:type="pct"/>
            <w:gridSpan w:val="4"/>
          </w:tcPr>
          <w:p w:rsidR="005A6497" w:rsidRPr="00435769" w:rsidRDefault="005A6497" w:rsidP="007932B2">
            <w:pPr>
              <w:jc w:val="both"/>
              <w:rPr>
                <w:sz w:val="20"/>
              </w:rPr>
            </w:pPr>
            <w:r w:rsidRPr="00435769">
              <w:rPr>
                <w:color w:val="000000"/>
                <w:sz w:val="20"/>
              </w:rPr>
              <w:t>The parties separated in 2014 after a 19-year common law relationship. They had two children. The Respondent wife applied for custody, access and child support. An interim order was issued but the parties were unable to settle issues between them, and the interim order remained in place over two years, when the Applicant husband filed a response to wife's initial application. He sought spousal support and a finding of undue hardship based on his medical problems. He claimed the Respondent's conduct was causing him life-threatening stress-related problems. Production orders were discussed and the Applicant acknowledged that further medical information was needed to support his assertions. No information was forthcoming from him following issuance of orders. The Applicant’s legal aid counsel deposed he learned of orders when he first met with the Applicant in May, 2016. The Applicant indicated that he had medical information in his possession since January 2016, but did not explain why he had not provided information to the wife.</w:t>
            </w:r>
          </w:p>
        </w:tc>
      </w:tr>
      <w:tr w:rsidR="005A6497" w:rsidRPr="00435769" w:rsidTr="005A6497">
        <w:tc>
          <w:tcPr>
            <w:tcW w:w="5000" w:type="pct"/>
            <w:gridSpan w:val="4"/>
          </w:tcPr>
          <w:p w:rsidR="005A6497" w:rsidRPr="00435769" w:rsidRDefault="005A6497" w:rsidP="007932B2">
            <w:pPr>
              <w:jc w:val="both"/>
              <w:rPr>
                <w:color w:val="000000"/>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April 27, 2016</w:t>
            </w:r>
          </w:p>
          <w:p w:rsidR="005A6497" w:rsidRPr="00435769" w:rsidRDefault="005A6497" w:rsidP="007932B2">
            <w:pPr>
              <w:jc w:val="both"/>
              <w:rPr>
                <w:sz w:val="20"/>
              </w:rPr>
            </w:pPr>
            <w:r w:rsidRPr="00435769">
              <w:rPr>
                <w:sz w:val="20"/>
              </w:rPr>
              <w:t>Family Court of Nova Scotia</w:t>
            </w:r>
          </w:p>
          <w:p w:rsidR="005A6497" w:rsidRPr="00435769" w:rsidRDefault="005A6497" w:rsidP="007932B2">
            <w:pPr>
              <w:jc w:val="both"/>
              <w:rPr>
                <w:sz w:val="20"/>
              </w:rPr>
            </w:pPr>
            <w:r w:rsidRPr="00435769">
              <w:rPr>
                <w:sz w:val="20"/>
              </w:rPr>
              <w:t>(Hubley J.)</w:t>
            </w:r>
          </w:p>
          <w:p w:rsidR="005A6497" w:rsidRPr="00435769" w:rsidRDefault="005A6497" w:rsidP="007932B2">
            <w:pPr>
              <w:jc w:val="both"/>
              <w:rPr>
                <w:sz w:val="20"/>
              </w:rPr>
            </w:pPr>
            <w:r w:rsidRPr="00435769">
              <w:rPr>
                <w:sz w:val="20"/>
              </w:rPr>
              <w:t>Unreported</w:t>
            </w:r>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lang w:eastAsia="en-CA"/>
              </w:rPr>
            </w:pPr>
            <w:r w:rsidRPr="00435769">
              <w:rPr>
                <w:sz w:val="20"/>
                <w:lang w:eastAsia="en-CA"/>
              </w:rPr>
              <w:t>Production orders requested by Respondent granted.</w:t>
            </w:r>
          </w:p>
          <w:p w:rsidR="005A6497" w:rsidRPr="00435769" w:rsidRDefault="005A6497" w:rsidP="007932B2">
            <w:pPr>
              <w:jc w:val="both"/>
              <w:rPr>
                <w:sz w:val="20"/>
              </w:rPr>
            </w:pP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June 7, 2016</w:t>
            </w:r>
          </w:p>
          <w:p w:rsidR="005A6497" w:rsidRPr="00435769" w:rsidRDefault="005A6497" w:rsidP="007932B2">
            <w:pPr>
              <w:jc w:val="both"/>
              <w:rPr>
                <w:sz w:val="20"/>
              </w:rPr>
            </w:pPr>
            <w:r w:rsidRPr="00435769">
              <w:rPr>
                <w:sz w:val="20"/>
              </w:rPr>
              <w:t>Nova Scotia Court of Appeal</w:t>
            </w:r>
          </w:p>
          <w:p w:rsidR="005A6497" w:rsidRPr="00435769" w:rsidRDefault="005A6497" w:rsidP="007932B2">
            <w:pPr>
              <w:jc w:val="both"/>
              <w:rPr>
                <w:sz w:val="20"/>
              </w:rPr>
            </w:pPr>
            <w:r w:rsidRPr="00435769">
              <w:rPr>
                <w:sz w:val="20"/>
              </w:rPr>
              <w:t>(Farrar J.A.)</w:t>
            </w:r>
          </w:p>
          <w:p w:rsidR="005A6497" w:rsidRPr="00435769" w:rsidRDefault="005A6497" w:rsidP="007932B2">
            <w:pPr>
              <w:jc w:val="both"/>
              <w:rPr>
                <w:sz w:val="20"/>
                <w:lang w:eastAsia="en-CA"/>
              </w:rPr>
            </w:pPr>
            <w:r w:rsidRPr="00435769">
              <w:rPr>
                <w:color w:val="000000"/>
                <w:sz w:val="20"/>
                <w:lang w:eastAsia="en-CA"/>
              </w:rPr>
              <w:t>2016 NSCA 51</w:t>
            </w:r>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lang w:eastAsia="en-CA"/>
              </w:rPr>
            </w:pPr>
            <w:r w:rsidRPr="00435769">
              <w:rPr>
                <w:sz w:val="20"/>
                <w:lang w:eastAsia="en-CA"/>
              </w:rPr>
              <w:t>Applicant’s motion to extend time to appeal five orders for production issued by family court judge dismissed.</w:t>
            </w:r>
          </w:p>
          <w:p w:rsidR="005A6497" w:rsidRPr="00435769" w:rsidRDefault="005A6497" w:rsidP="007932B2">
            <w:pPr>
              <w:jc w:val="both"/>
              <w:rPr>
                <w:sz w:val="20"/>
              </w:rPr>
            </w:pP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June 27, 2016</w:t>
            </w:r>
          </w:p>
          <w:p w:rsidR="005A6497" w:rsidRPr="00435769" w:rsidRDefault="005A6497" w:rsidP="007932B2">
            <w:pPr>
              <w:jc w:val="both"/>
              <w:rPr>
                <w:sz w:val="20"/>
              </w:rPr>
            </w:pPr>
            <w:r w:rsidRPr="00435769">
              <w:rPr>
                <w:sz w:val="20"/>
              </w:rPr>
              <w:t>Nova Scotia Court of Appeal</w:t>
            </w:r>
          </w:p>
          <w:p w:rsidR="005A6497" w:rsidRPr="00435769" w:rsidRDefault="005A6497" w:rsidP="007932B2">
            <w:pPr>
              <w:jc w:val="both"/>
              <w:rPr>
                <w:sz w:val="20"/>
              </w:rPr>
            </w:pPr>
            <w:r w:rsidRPr="00435769">
              <w:rPr>
                <w:sz w:val="20"/>
              </w:rPr>
              <w:t>(MacDonald C.J.)</w:t>
            </w:r>
          </w:p>
          <w:p w:rsidR="005A6497" w:rsidRPr="00435769" w:rsidRDefault="005A6497" w:rsidP="007932B2">
            <w:pPr>
              <w:jc w:val="both"/>
              <w:rPr>
                <w:sz w:val="20"/>
              </w:rPr>
            </w:pPr>
            <w:r w:rsidRPr="00435769">
              <w:rPr>
                <w:sz w:val="20"/>
              </w:rPr>
              <w:lastRenderedPageBreak/>
              <w:t>Unreported</w:t>
            </w:r>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lang w:eastAsia="en-CA"/>
              </w:rPr>
            </w:pPr>
            <w:r w:rsidRPr="00435769">
              <w:rPr>
                <w:sz w:val="20"/>
                <w:lang w:eastAsia="en-CA"/>
              </w:rPr>
              <w:t>Application for leave to review Court of Appeal order dismissing motion to extend time dismissed.</w:t>
            </w:r>
          </w:p>
          <w:p w:rsidR="005A6497" w:rsidRPr="00435769" w:rsidRDefault="005A6497" w:rsidP="007932B2">
            <w:pPr>
              <w:jc w:val="both"/>
              <w:rPr>
                <w:sz w:val="20"/>
              </w:rPr>
            </w:pP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lastRenderedPageBreak/>
              <w:t>September 27, 2016</w:t>
            </w:r>
          </w:p>
          <w:p w:rsidR="005A6497" w:rsidRPr="00435769" w:rsidRDefault="005A6497" w:rsidP="007932B2">
            <w:pPr>
              <w:jc w:val="both"/>
              <w:rPr>
                <w:sz w:val="20"/>
              </w:rPr>
            </w:pPr>
            <w:r w:rsidRPr="00435769">
              <w:rPr>
                <w:sz w:val="20"/>
              </w:rPr>
              <w:t>Supreme Court of Canada</w:t>
            </w: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Motion for a stay of execution and Application for leave to appeal filed.</w:t>
            </w:r>
          </w:p>
        </w:tc>
      </w:tr>
    </w:tbl>
    <w:p w:rsidR="005A6497" w:rsidRPr="00435769" w:rsidRDefault="005A6497" w:rsidP="007932B2">
      <w:pPr>
        <w:jc w:val="both"/>
        <w:rPr>
          <w:sz w:val="20"/>
        </w:rPr>
      </w:pPr>
    </w:p>
    <w:p w:rsidR="009E248E" w:rsidRPr="00435769" w:rsidRDefault="009E248E" w:rsidP="007932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lang w:val="fr-CA"/>
              </w:rPr>
            </w:pPr>
            <w:r w:rsidRPr="00435769">
              <w:rPr>
                <w:rStyle w:val="SCCFileNumberChar"/>
                <w:sz w:val="20"/>
                <w:szCs w:val="20"/>
                <w:lang w:val="fr-CA"/>
              </w:rPr>
              <w:t>37243</w:t>
            </w:r>
          </w:p>
        </w:tc>
        <w:tc>
          <w:tcPr>
            <w:tcW w:w="4457" w:type="pct"/>
            <w:gridSpan w:val="3"/>
          </w:tcPr>
          <w:p w:rsidR="005A6497" w:rsidRPr="00435769" w:rsidRDefault="005A6497" w:rsidP="007932B2">
            <w:pPr>
              <w:pStyle w:val="SCCLsocParty"/>
              <w:jc w:val="both"/>
              <w:rPr>
                <w:b/>
                <w:sz w:val="20"/>
                <w:szCs w:val="20"/>
                <w:lang w:val="en-US"/>
              </w:rPr>
            </w:pPr>
            <w:r w:rsidRPr="00435769">
              <w:rPr>
                <w:b/>
                <w:sz w:val="20"/>
                <w:szCs w:val="20"/>
                <w:lang w:val="en-US"/>
              </w:rPr>
              <w:t>Gregory Marshall c. Julie Robbins</w:t>
            </w:r>
          </w:p>
          <w:p w:rsidR="005A6497" w:rsidRPr="00435769" w:rsidRDefault="005A6497" w:rsidP="007932B2">
            <w:pPr>
              <w:jc w:val="both"/>
              <w:rPr>
                <w:sz w:val="20"/>
                <w:lang w:val="fr-CA"/>
              </w:rPr>
            </w:pPr>
            <w:r w:rsidRPr="00435769">
              <w:rPr>
                <w:sz w:val="20"/>
              </w:rPr>
              <w:t xml:space="preserve">(N.-É.) </w:t>
            </w:r>
            <w:r w:rsidRPr="00435769">
              <w:rPr>
                <w:sz w:val="20"/>
                <w:lang w:val="fr-CA"/>
              </w:rPr>
              <w:t>(Civile) (Sur autorisation)</w:t>
            </w:r>
          </w:p>
        </w:tc>
      </w:tr>
      <w:tr w:rsidR="005A6497" w:rsidRPr="00435769" w:rsidTr="005A6497">
        <w:tc>
          <w:tcPr>
            <w:tcW w:w="5000" w:type="pct"/>
            <w:gridSpan w:val="4"/>
          </w:tcPr>
          <w:p w:rsidR="005A6497" w:rsidRPr="00435769" w:rsidRDefault="005A6497" w:rsidP="007932B2">
            <w:pPr>
              <w:jc w:val="both"/>
              <w:rPr>
                <w:sz w:val="20"/>
                <w:lang w:val="fr-CA"/>
              </w:rPr>
            </w:pPr>
            <w:r w:rsidRPr="00435769">
              <w:rPr>
                <w:i/>
                <w:sz w:val="20"/>
                <w:lang w:val="fr-CA"/>
              </w:rPr>
              <w:t xml:space="preserve">Charte canadienne des droits et libertés </w:t>
            </w:r>
            <w:r w:rsidRPr="00435769">
              <w:rPr>
                <w:sz w:val="20"/>
                <w:lang w:val="fr-CA"/>
              </w:rPr>
              <w:t xml:space="preserve">– Droit de la famille – Aliments – Pratique et procédure – Enquête préalable – </w:t>
            </w:r>
            <w:r w:rsidRPr="00435769">
              <w:rPr>
                <w:rStyle w:val="italic1"/>
                <w:color w:val="000000"/>
                <w:sz w:val="20"/>
                <w:lang w:val="fr-CA"/>
              </w:rPr>
              <w:t xml:space="preserve">En demandant une pension alimentaire pour lui-même et en s’opposant au paiement d’une pension alimentaire pour enfants, l’époux a prétendu que l’instance lui causait des problèmes médicaux extrêmes qui équivalaient à un préjudice indu – La Cour d’appel a-t-elle eu tort de refuser une prorogation de délai? – La règle </w:t>
            </w:r>
            <w:r w:rsidRPr="00435769">
              <w:rPr>
                <w:sz w:val="20"/>
                <w:lang w:val="fr-CA"/>
              </w:rPr>
              <w:t xml:space="preserve">90.13 des </w:t>
            </w:r>
            <w:r w:rsidRPr="00435769">
              <w:rPr>
                <w:i/>
                <w:sz w:val="20"/>
                <w:lang w:val="fr-CA"/>
              </w:rPr>
              <w:t>Nova Scotia Civil Procedure Rules</w:t>
            </w:r>
            <w:r w:rsidRPr="00435769">
              <w:rPr>
                <w:sz w:val="20"/>
                <w:lang w:val="fr-CA"/>
              </w:rPr>
              <w:t xml:space="preserve"> viole-t-elle les articles 7 et 15 de la</w:t>
            </w:r>
            <w:r w:rsidRPr="00435769">
              <w:rPr>
                <w:i/>
                <w:sz w:val="20"/>
                <w:lang w:val="fr-CA"/>
              </w:rPr>
              <w:t xml:space="preserve"> Charte des droits et libertés </w:t>
            </w:r>
            <w:r w:rsidRPr="00435769">
              <w:rPr>
                <w:sz w:val="20"/>
                <w:lang w:val="fr-CA"/>
              </w:rPr>
              <w:t>– ainsi que les principes et règles de la justice naturelle et de la justice fondamentale – parce qu’elle vise à refuser l’appel « de plein droit » de quelqu’un en absence d’avis réel? – Le tribunal de première instance a-t-il commis une erreur de droit en omettant de prendre en considération le droit (quasi) constitutionnel à la vie privée du demandeur en ordonnant des dossiers confidentiels d’un tiers?</w:t>
            </w:r>
          </w:p>
        </w:tc>
      </w:tr>
      <w:tr w:rsidR="005A6497" w:rsidRPr="00435769" w:rsidTr="005A6497">
        <w:tc>
          <w:tcPr>
            <w:tcW w:w="5000" w:type="pct"/>
            <w:gridSpan w:val="4"/>
          </w:tcPr>
          <w:p w:rsidR="005A6497" w:rsidRPr="00435769" w:rsidRDefault="005A6497" w:rsidP="007932B2">
            <w:pPr>
              <w:jc w:val="both"/>
              <w:rPr>
                <w:sz w:val="20"/>
                <w:lang w:val="fr-CA"/>
              </w:rPr>
            </w:pPr>
          </w:p>
        </w:tc>
      </w:tr>
      <w:tr w:rsidR="005A6497" w:rsidRPr="00435769" w:rsidTr="005A6497">
        <w:tc>
          <w:tcPr>
            <w:tcW w:w="5000" w:type="pct"/>
            <w:gridSpan w:val="4"/>
          </w:tcPr>
          <w:p w:rsidR="005A6497" w:rsidRPr="00435769" w:rsidRDefault="005A6497" w:rsidP="007932B2">
            <w:pPr>
              <w:jc w:val="both"/>
              <w:rPr>
                <w:sz w:val="20"/>
                <w:lang w:val="fr-CA"/>
              </w:rPr>
            </w:pPr>
            <w:r w:rsidRPr="00435769">
              <w:rPr>
                <w:color w:val="000000"/>
                <w:sz w:val="20"/>
                <w:lang w:val="fr-CA"/>
              </w:rPr>
              <w:t>Les parties se sont séparées en 2014 après une union de fait de 19 ans. Ils ont eu deux enfants. L’épouse intimée a demandé la garde des enfants, l’accès à ceux-ci et une pension alimentaire pour les enfants. Une ordonnance provisoire a été délivrée, mais les parties n’ont pas pu régler à l’amiable les questions qui les opposaient et l’ordonnance provisoire est demeurée en place pendant deux ans lorsque l’époux demandeur a déposé une réponse à la demande initiale de l’épouse. Il a demandé une pension alimentaire pour lui-même et une conclusion de préjudice indu sur le fondement de ses problèmes de santé. Il a prétendu que le comportement de l’intimée lui causait des problèmes liés au stress qui mettaient sa vie en danger. Des ordonnances de production ont été discutées et le demandeur a reconnu que des renseignements médicaux complémentaires étaient nécessaires au soutien de ses allégations. Il n’a produit aucun renseignement à la suite de la délivrance des ordonnances. L’avocat de l’aide juridique du demandeur a affirmé qu’il avait pris connaissance des ordonnances lorsqu’il a rencontré le demandeur pour la première fois en mai 2016. Le demandeur a fait savoir qu’il avait des renseignements médicaux en sa possession depuis janvier 2016, mais n’a pas expliqué pourquoi il n’avait pas fourni ces renseignements à l’épouse.</w:t>
            </w:r>
          </w:p>
        </w:tc>
      </w:tr>
      <w:tr w:rsidR="005A6497" w:rsidRPr="00435769" w:rsidTr="005A6497">
        <w:tc>
          <w:tcPr>
            <w:tcW w:w="5000" w:type="pct"/>
            <w:gridSpan w:val="4"/>
          </w:tcPr>
          <w:p w:rsidR="005A6497" w:rsidRPr="00435769" w:rsidRDefault="005A6497" w:rsidP="007932B2">
            <w:pPr>
              <w:jc w:val="both"/>
              <w:rPr>
                <w:color w:val="000000"/>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27 avril 2016</w:t>
            </w:r>
          </w:p>
          <w:p w:rsidR="005A6497" w:rsidRPr="00435769" w:rsidRDefault="005A6497" w:rsidP="007932B2">
            <w:pPr>
              <w:jc w:val="both"/>
              <w:rPr>
                <w:sz w:val="20"/>
                <w:lang w:val="fr-CA"/>
              </w:rPr>
            </w:pPr>
            <w:r w:rsidRPr="00435769">
              <w:rPr>
                <w:sz w:val="20"/>
                <w:lang w:val="fr-CA"/>
              </w:rPr>
              <w:t xml:space="preserve">Tribunal de famille de la Nouvelle-Écosse </w:t>
            </w:r>
          </w:p>
          <w:p w:rsidR="005A6497" w:rsidRPr="00435769" w:rsidRDefault="005A6497" w:rsidP="007932B2">
            <w:pPr>
              <w:jc w:val="both"/>
              <w:rPr>
                <w:sz w:val="20"/>
                <w:lang w:val="fr-CA"/>
              </w:rPr>
            </w:pPr>
            <w:r w:rsidRPr="00435769">
              <w:rPr>
                <w:sz w:val="20"/>
                <w:lang w:val="fr-CA"/>
              </w:rPr>
              <w:t>(Juge Hubley)</w:t>
            </w:r>
          </w:p>
          <w:p w:rsidR="005A6497" w:rsidRPr="00435769" w:rsidRDefault="005A6497" w:rsidP="007932B2">
            <w:pPr>
              <w:jc w:val="both"/>
              <w:rPr>
                <w:sz w:val="20"/>
                <w:lang w:val="fr-CA"/>
              </w:rPr>
            </w:pPr>
            <w:r w:rsidRPr="00435769">
              <w:rPr>
                <w:sz w:val="20"/>
                <w:lang w:val="fr-CA"/>
              </w:rPr>
              <w:t>Non publié</w:t>
            </w:r>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eastAsia="en-CA"/>
              </w:rPr>
            </w:pPr>
            <w:r w:rsidRPr="00435769">
              <w:rPr>
                <w:sz w:val="20"/>
                <w:lang w:val="fr-CA" w:eastAsia="en-CA"/>
              </w:rPr>
              <w:t>Ordonnances de production à la demande de l’intimée.</w:t>
            </w:r>
          </w:p>
          <w:p w:rsidR="005A6497" w:rsidRPr="00435769" w:rsidRDefault="005A6497" w:rsidP="007932B2">
            <w:pPr>
              <w:jc w:val="both"/>
              <w:rPr>
                <w:sz w:val="20"/>
                <w:lang w:val="fr-CA"/>
              </w:rPr>
            </w:pP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7 juin 2016</w:t>
            </w:r>
          </w:p>
          <w:p w:rsidR="005A6497" w:rsidRPr="00435769" w:rsidRDefault="005A6497" w:rsidP="007932B2">
            <w:pPr>
              <w:jc w:val="both"/>
              <w:rPr>
                <w:sz w:val="20"/>
                <w:lang w:val="fr-CA"/>
              </w:rPr>
            </w:pPr>
            <w:r w:rsidRPr="00435769">
              <w:rPr>
                <w:sz w:val="20"/>
                <w:lang w:val="fr-CA"/>
              </w:rPr>
              <w:t xml:space="preserve">Cour d’appel de la Nouvelle-Écosse </w:t>
            </w:r>
          </w:p>
          <w:p w:rsidR="005A6497" w:rsidRPr="00435769" w:rsidRDefault="005A6497" w:rsidP="007932B2">
            <w:pPr>
              <w:jc w:val="both"/>
              <w:rPr>
                <w:sz w:val="20"/>
                <w:lang w:val="fr-CA"/>
              </w:rPr>
            </w:pPr>
            <w:r w:rsidRPr="00435769">
              <w:rPr>
                <w:sz w:val="20"/>
                <w:lang w:val="fr-CA"/>
              </w:rPr>
              <w:t>(Juge Farrar)</w:t>
            </w:r>
          </w:p>
          <w:p w:rsidR="005A6497" w:rsidRPr="00435769" w:rsidRDefault="005A6497" w:rsidP="007932B2">
            <w:pPr>
              <w:jc w:val="both"/>
              <w:rPr>
                <w:sz w:val="20"/>
                <w:lang w:val="fr-CA" w:eastAsia="en-CA"/>
              </w:rPr>
            </w:pPr>
            <w:r w:rsidRPr="00435769">
              <w:rPr>
                <w:color w:val="000000"/>
                <w:sz w:val="20"/>
                <w:lang w:val="fr-CA" w:eastAsia="en-CA"/>
              </w:rPr>
              <w:t>2016 NSCA 51</w:t>
            </w:r>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eastAsia="en-CA"/>
              </w:rPr>
            </w:pPr>
            <w:r w:rsidRPr="00435769">
              <w:rPr>
                <w:sz w:val="20"/>
                <w:lang w:val="fr-CA" w:eastAsia="en-CA"/>
              </w:rPr>
              <w:t>Rejet de la requête du demandeur en prorogation du délai d’appel de cinq ordonnances de production prononcées par le juge du tribunal de la famille.</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27 juin 2016</w:t>
            </w:r>
          </w:p>
          <w:p w:rsidR="005A6497" w:rsidRPr="00435769" w:rsidRDefault="005A6497" w:rsidP="007932B2">
            <w:pPr>
              <w:jc w:val="both"/>
              <w:rPr>
                <w:sz w:val="20"/>
                <w:lang w:val="fr-CA"/>
              </w:rPr>
            </w:pPr>
            <w:r w:rsidRPr="00435769">
              <w:rPr>
                <w:sz w:val="20"/>
                <w:lang w:val="fr-CA"/>
              </w:rPr>
              <w:t xml:space="preserve">Cour d’appel de la Nouvelle-Écosse </w:t>
            </w:r>
          </w:p>
          <w:p w:rsidR="005A6497" w:rsidRPr="00435769" w:rsidRDefault="005A6497" w:rsidP="007932B2">
            <w:pPr>
              <w:jc w:val="both"/>
              <w:rPr>
                <w:sz w:val="20"/>
                <w:lang w:val="fr-CA"/>
              </w:rPr>
            </w:pPr>
            <w:r w:rsidRPr="00435769">
              <w:rPr>
                <w:sz w:val="20"/>
                <w:lang w:val="fr-CA"/>
              </w:rPr>
              <w:t>(Juge en chef MacDonald.)</w:t>
            </w:r>
          </w:p>
          <w:p w:rsidR="005A6497" w:rsidRPr="00435769" w:rsidRDefault="005A6497" w:rsidP="007932B2">
            <w:pPr>
              <w:jc w:val="both"/>
              <w:rPr>
                <w:sz w:val="20"/>
                <w:lang w:val="fr-CA"/>
              </w:rPr>
            </w:pPr>
            <w:r w:rsidRPr="00435769">
              <w:rPr>
                <w:sz w:val="20"/>
                <w:lang w:val="fr-CA"/>
              </w:rPr>
              <w:t>Non publié</w:t>
            </w:r>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eastAsia="en-CA"/>
              </w:rPr>
            </w:pPr>
            <w:r w:rsidRPr="00435769">
              <w:rPr>
                <w:sz w:val="20"/>
                <w:lang w:val="fr-CA" w:eastAsia="en-CA"/>
              </w:rPr>
              <w:t>Rejet de la demande d’autorisation de révision de l’ordonnance de la Cour d’appel rejetant la requête en prorogation de délai.</w:t>
            </w:r>
          </w:p>
          <w:p w:rsidR="005A6497" w:rsidRPr="00435769" w:rsidRDefault="005A6497" w:rsidP="007932B2">
            <w:pPr>
              <w:jc w:val="both"/>
              <w:rPr>
                <w:sz w:val="20"/>
                <w:lang w:val="fr-CA"/>
              </w:rPr>
            </w:pP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27 septembre 2016</w:t>
            </w:r>
          </w:p>
          <w:p w:rsidR="005A6497" w:rsidRPr="00435769" w:rsidRDefault="005A6497" w:rsidP="007932B2">
            <w:pPr>
              <w:jc w:val="both"/>
              <w:rPr>
                <w:sz w:val="20"/>
                <w:lang w:val="fr-CA"/>
              </w:rPr>
            </w:pPr>
            <w:r w:rsidRPr="00435769">
              <w:rPr>
                <w:sz w:val="20"/>
                <w:lang w:val="fr-CA"/>
              </w:rPr>
              <w:t>Cour suprême du Canada</w:t>
            </w: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Dépôt de la requête en vue d’obtenir un sursis à l’exécution et de la demande d’autorisation d’appel</w:t>
            </w:r>
          </w:p>
        </w:tc>
      </w:tr>
    </w:tbl>
    <w:p w:rsidR="005A6497" w:rsidRPr="00435769" w:rsidRDefault="005A6497" w:rsidP="007932B2">
      <w:pPr>
        <w:jc w:val="both"/>
        <w:rPr>
          <w:sz w:val="20"/>
          <w:lang w:val="fr-CA"/>
        </w:rPr>
      </w:pPr>
    </w:p>
    <w:p w:rsidR="008E7E00" w:rsidRPr="00435769" w:rsidRDefault="008E7E00" w:rsidP="007932B2">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rPr>
            </w:pPr>
            <w:r w:rsidRPr="00435769">
              <w:rPr>
                <w:rStyle w:val="SCCFileNumberChar"/>
                <w:sz w:val="20"/>
                <w:szCs w:val="20"/>
              </w:rPr>
              <w:t>37101</w:t>
            </w:r>
          </w:p>
        </w:tc>
        <w:tc>
          <w:tcPr>
            <w:tcW w:w="4457" w:type="pct"/>
            <w:gridSpan w:val="3"/>
          </w:tcPr>
          <w:p w:rsidR="005A6497" w:rsidRPr="00435769" w:rsidRDefault="005A6497" w:rsidP="007932B2">
            <w:pPr>
              <w:pStyle w:val="SCCLsocParty"/>
              <w:jc w:val="both"/>
              <w:rPr>
                <w:b/>
                <w:sz w:val="20"/>
                <w:szCs w:val="20"/>
                <w:lang w:val="en-US"/>
              </w:rPr>
            </w:pPr>
            <w:r w:rsidRPr="00435769">
              <w:rPr>
                <w:b/>
                <w:sz w:val="20"/>
                <w:szCs w:val="20"/>
                <w:lang w:val="en-US"/>
              </w:rPr>
              <w:t>Christopher Sheriffe v. Her Majesty the Queen</w:t>
            </w:r>
          </w:p>
          <w:p w:rsidR="005A6497" w:rsidRPr="00435769" w:rsidRDefault="005A6497" w:rsidP="007932B2">
            <w:pPr>
              <w:jc w:val="both"/>
              <w:rPr>
                <w:sz w:val="20"/>
              </w:rPr>
            </w:pPr>
            <w:r w:rsidRPr="00435769">
              <w:rPr>
                <w:sz w:val="20"/>
              </w:rPr>
              <w:lastRenderedPageBreak/>
              <w:t>(Ont.) (Criminal) (By Leave)</w:t>
            </w:r>
          </w:p>
        </w:tc>
      </w:tr>
      <w:tr w:rsidR="005A6497" w:rsidRPr="00435769" w:rsidTr="005A6497">
        <w:tc>
          <w:tcPr>
            <w:tcW w:w="5000" w:type="pct"/>
            <w:gridSpan w:val="4"/>
          </w:tcPr>
          <w:p w:rsidR="005A6497" w:rsidRPr="00435769" w:rsidRDefault="005A6497" w:rsidP="007932B2">
            <w:pPr>
              <w:jc w:val="both"/>
              <w:rPr>
                <w:sz w:val="20"/>
              </w:rPr>
            </w:pPr>
            <w:r w:rsidRPr="00435769">
              <w:rPr>
                <w:sz w:val="20"/>
              </w:rPr>
              <w:lastRenderedPageBreak/>
              <w:t xml:space="preserve">Criminal Law – Evidence – Hearsay – Courts – Jurisdiction – Jury Selection – Under the principled exception to the hearsay rule, whether information from confidential informants can be considered necessary because they cannot be identified or called as witnesses and whether reliability can be established by their police handler – Whether the jury selection procedure in this case resulted in the jury being improperly constituted? </w:t>
            </w:r>
          </w:p>
        </w:tc>
      </w:tr>
      <w:tr w:rsidR="005A6497" w:rsidRPr="00435769" w:rsidTr="005A6497">
        <w:tc>
          <w:tcPr>
            <w:tcW w:w="5000" w:type="pct"/>
            <w:gridSpan w:val="4"/>
          </w:tcPr>
          <w:p w:rsidR="005A6497" w:rsidRPr="00435769" w:rsidRDefault="005A6497" w:rsidP="007932B2">
            <w:pPr>
              <w:jc w:val="both"/>
              <w:rPr>
                <w:sz w:val="20"/>
              </w:rPr>
            </w:pPr>
          </w:p>
        </w:tc>
      </w:tr>
      <w:tr w:rsidR="005A6497" w:rsidRPr="00435769" w:rsidTr="005A6497">
        <w:tc>
          <w:tcPr>
            <w:tcW w:w="5000" w:type="pct"/>
            <w:gridSpan w:val="4"/>
          </w:tcPr>
          <w:p w:rsidR="005A6497" w:rsidRPr="00435769" w:rsidRDefault="005A6497" w:rsidP="007932B2">
            <w:pPr>
              <w:autoSpaceDE w:val="0"/>
              <w:autoSpaceDN w:val="0"/>
              <w:adjustRightInd w:val="0"/>
              <w:jc w:val="both"/>
              <w:rPr>
                <w:sz w:val="20"/>
              </w:rPr>
            </w:pPr>
            <w:r w:rsidRPr="00435769">
              <w:rPr>
                <w:sz w:val="20"/>
              </w:rPr>
              <w:t>Mr. Sheriffe and Mr. Asfaha were jointly tried for first degree murder in relation to the fatal shooting of Bishen Golaub. During selection of a jury, defence counsel intended to challenge members of the jury panel. Counsel for Mr. Sheriffe requested rotating triers with the jury panel excluded from the room during the selection of the jury. After a discussion with counsel regarding the jury selection process, the trial judge chose to use static triers with the jury panel excluded from the room. At trial, a police expert in street gangs testified that, according to confidential informants, Mr. Sheriffe was a member of a gang involved in a gang war. The Crown argued that Mr. Golaub was shot by Mr. Asfaha after he was mistakenly identified as a member of the rival gang and Mr. Sheriffe drove the get-away car. Mr. Sheriffe and Mr. Asfaha testified. Each claimed innocence and gave testimony incriminating the other. Both were convicted by the jury of first degree murder. They appealed jointly and their appeal was dismissed.</w:t>
            </w:r>
          </w:p>
          <w:p w:rsidR="005A6497" w:rsidRPr="00435769" w:rsidRDefault="005A6497" w:rsidP="007932B2">
            <w:pPr>
              <w:autoSpaceDE w:val="0"/>
              <w:autoSpaceDN w:val="0"/>
              <w:adjustRightInd w:val="0"/>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July 5, 2012</w:t>
            </w:r>
          </w:p>
          <w:p w:rsidR="005A6497" w:rsidRPr="00435769" w:rsidRDefault="005A6497" w:rsidP="007932B2">
            <w:pPr>
              <w:jc w:val="both"/>
              <w:rPr>
                <w:sz w:val="20"/>
              </w:rPr>
            </w:pPr>
            <w:r w:rsidRPr="00435769">
              <w:rPr>
                <w:sz w:val="20"/>
              </w:rPr>
              <w:t>Ontario Superior Court of Justice</w:t>
            </w:r>
          </w:p>
          <w:p w:rsidR="005A6497" w:rsidRPr="00435769" w:rsidRDefault="005A6497" w:rsidP="007932B2">
            <w:pPr>
              <w:jc w:val="both"/>
              <w:rPr>
                <w:sz w:val="20"/>
              </w:rPr>
            </w:pPr>
            <w:r w:rsidRPr="00435769">
              <w:rPr>
                <w:sz w:val="20"/>
              </w:rPr>
              <w:t>(Ewaschuk J.)</w:t>
            </w:r>
          </w:p>
          <w:p w:rsidR="005A6497" w:rsidRPr="00435769" w:rsidRDefault="005A6497" w:rsidP="007932B2">
            <w:pPr>
              <w:tabs>
                <w:tab w:val="left" w:pos="1110"/>
              </w:tabs>
              <w:jc w:val="both"/>
              <w:rPr>
                <w:sz w:val="20"/>
              </w:rPr>
            </w:pPr>
            <w:r w:rsidRPr="00435769">
              <w:rPr>
                <w:sz w:val="20"/>
              </w:rPr>
              <w:t>5-133-12 (unreported)</w:t>
            </w:r>
          </w:p>
          <w:p w:rsidR="005A6497" w:rsidRPr="00435769" w:rsidRDefault="005A6497" w:rsidP="007932B2">
            <w:pPr>
              <w:tabs>
                <w:tab w:val="left" w:pos="1110"/>
              </w:tabs>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Conviction by jury, First degree murder</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December 14, 2015</w:t>
            </w:r>
          </w:p>
          <w:p w:rsidR="005A6497" w:rsidRPr="00435769" w:rsidRDefault="005A6497" w:rsidP="007932B2">
            <w:pPr>
              <w:jc w:val="both"/>
              <w:rPr>
                <w:sz w:val="20"/>
              </w:rPr>
            </w:pPr>
            <w:r w:rsidRPr="00435769">
              <w:rPr>
                <w:sz w:val="20"/>
              </w:rPr>
              <w:t>Court of Appeal for Ontario</w:t>
            </w:r>
          </w:p>
          <w:p w:rsidR="005A6497" w:rsidRPr="00435769" w:rsidRDefault="005A6497" w:rsidP="007932B2">
            <w:pPr>
              <w:jc w:val="both"/>
              <w:rPr>
                <w:sz w:val="20"/>
              </w:rPr>
            </w:pPr>
            <w:r w:rsidRPr="00435769">
              <w:rPr>
                <w:sz w:val="20"/>
              </w:rPr>
              <w:t>(Strathy, MacPherson, Watt JJ.A.)</w:t>
            </w:r>
          </w:p>
          <w:p w:rsidR="005A6497" w:rsidRPr="00435769" w:rsidRDefault="005A6497" w:rsidP="007932B2">
            <w:pPr>
              <w:jc w:val="both"/>
              <w:rPr>
                <w:sz w:val="20"/>
              </w:rPr>
            </w:pPr>
            <w:r w:rsidRPr="00435769">
              <w:rPr>
                <w:sz w:val="20"/>
              </w:rPr>
              <w:t xml:space="preserve">C56713; </w:t>
            </w:r>
            <w:hyperlink r:id="rId53" w:history="1">
              <w:r w:rsidRPr="00435769">
                <w:rPr>
                  <w:rStyle w:val="Hyperlink"/>
                  <w:sz w:val="20"/>
                </w:rPr>
                <w:t>2015 ONCA 880</w:t>
              </w:r>
            </w:hyperlink>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Appeal dismissed</w:t>
            </w:r>
          </w:p>
        </w:tc>
      </w:tr>
      <w:tr w:rsidR="005A6497" w:rsidRPr="00435769" w:rsidTr="005A6497">
        <w:tc>
          <w:tcPr>
            <w:tcW w:w="2427" w:type="pct"/>
            <w:gridSpan w:val="2"/>
          </w:tcPr>
          <w:p w:rsidR="005A6497" w:rsidRPr="00435769" w:rsidRDefault="005A6497" w:rsidP="007932B2">
            <w:pPr>
              <w:jc w:val="both"/>
              <w:rPr>
                <w:sz w:val="20"/>
              </w:rPr>
            </w:pPr>
            <w:r w:rsidRPr="00435769">
              <w:rPr>
                <w:sz w:val="20"/>
              </w:rPr>
              <w:t>July 15, 2016</w:t>
            </w:r>
          </w:p>
          <w:p w:rsidR="005A6497" w:rsidRPr="00435769" w:rsidRDefault="005A6497" w:rsidP="007932B2">
            <w:pPr>
              <w:jc w:val="both"/>
              <w:rPr>
                <w:sz w:val="20"/>
              </w:rPr>
            </w:pPr>
            <w:r w:rsidRPr="00435769">
              <w:rPr>
                <w:sz w:val="20"/>
              </w:rPr>
              <w:t>Supreme Court of Canada</w:t>
            </w: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Application for extension of time to serve and file application for leave to appeal and Application for leave to appeal filed</w:t>
            </w:r>
          </w:p>
        </w:tc>
      </w:tr>
    </w:tbl>
    <w:p w:rsidR="005A6497" w:rsidRPr="00435769" w:rsidRDefault="005A6497" w:rsidP="007932B2">
      <w:pPr>
        <w:jc w:val="both"/>
        <w:rPr>
          <w:sz w:val="20"/>
        </w:rPr>
      </w:pPr>
    </w:p>
    <w:p w:rsidR="009E248E" w:rsidRPr="00435769" w:rsidRDefault="009E248E" w:rsidP="007932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lang w:val="fr-CA"/>
              </w:rPr>
            </w:pPr>
            <w:r w:rsidRPr="00435769">
              <w:rPr>
                <w:rStyle w:val="SCCFileNumberChar"/>
                <w:sz w:val="20"/>
                <w:szCs w:val="20"/>
                <w:lang w:val="fr-CA"/>
              </w:rPr>
              <w:t>37101</w:t>
            </w:r>
          </w:p>
        </w:tc>
        <w:tc>
          <w:tcPr>
            <w:tcW w:w="4457" w:type="pct"/>
            <w:gridSpan w:val="3"/>
          </w:tcPr>
          <w:p w:rsidR="005A6497" w:rsidRPr="00435769" w:rsidRDefault="005A6497" w:rsidP="007932B2">
            <w:pPr>
              <w:pStyle w:val="SCCLsocParty"/>
              <w:jc w:val="both"/>
              <w:rPr>
                <w:b/>
                <w:sz w:val="20"/>
                <w:szCs w:val="20"/>
              </w:rPr>
            </w:pPr>
            <w:r w:rsidRPr="00435769">
              <w:rPr>
                <w:b/>
                <w:sz w:val="20"/>
                <w:szCs w:val="20"/>
              </w:rPr>
              <w:t>Christopher Sheriffe c. Sa Majesté la Reine</w:t>
            </w:r>
          </w:p>
          <w:p w:rsidR="005A6497" w:rsidRPr="00435769" w:rsidRDefault="005A6497" w:rsidP="007932B2">
            <w:pPr>
              <w:jc w:val="both"/>
              <w:rPr>
                <w:sz w:val="20"/>
                <w:lang w:val="fr-CA"/>
              </w:rPr>
            </w:pPr>
            <w:r w:rsidRPr="00435769">
              <w:rPr>
                <w:sz w:val="20"/>
                <w:lang w:val="fr-CA"/>
              </w:rPr>
              <w:t>(Ont.) (Criminelle) (Sur autorisation)</w:t>
            </w:r>
          </w:p>
        </w:tc>
      </w:tr>
      <w:tr w:rsidR="005A6497" w:rsidRPr="00435769" w:rsidTr="005A6497">
        <w:tc>
          <w:tcPr>
            <w:tcW w:w="5000" w:type="pct"/>
            <w:gridSpan w:val="4"/>
          </w:tcPr>
          <w:p w:rsidR="005A6497" w:rsidRPr="00435769" w:rsidRDefault="005A6497" w:rsidP="007932B2">
            <w:pPr>
              <w:jc w:val="both"/>
              <w:rPr>
                <w:sz w:val="20"/>
                <w:lang w:val="fr-CA"/>
              </w:rPr>
            </w:pPr>
            <w:r w:rsidRPr="00435769">
              <w:rPr>
                <w:sz w:val="20"/>
                <w:lang w:val="fr-CA"/>
              </w:rPr>
              <w:t xml:space="preserve">Droit criminel – Preuve – Ouï-dire – Tribunaux – Compétence – Sélection des jurés – En application de l’exception de principe à la règle du ouï-dire, peut-on considérer que des renseignements obtenus d’informateurs dont l’identité est confidentielle sont nécessaires parce que ces informateurs ne peuvent être identifiés ou assignés comme témoin et la fiabilité peut-elle être établie par le policier dont ils relèvent? – La procédure de sélection des jurés employée en l’espèce a-t-elle fait en sorte que le jury a été irrégulièrement constitué? </w:t>
            </w:r>
          </w:p>
        </w:tc>
      </w:tr>
      <w:tr w:rsidR="005A6497" w:rsidRPr="00435769" w:rsidTr="005A6497">
        <w:tc>
          <w:tcPr>
            <w:tcW w:w="5000" w:type="pct"/>
            <w:gridSpan w:val="4"/>
          </w:tcPr>
          <w:p w:rsidR="005A6497" w:rsidRPr="00435769" w:rsidRDefault="005A6497" w:rsidP="007932B2">
            <w:pPr>
              <w:jc w:val="both"/>
              <w:rPr>
                <w:sz w:val="20"/>
                <w:lang w:val="fr-CA"/>
              </w:rPr>
            </w:pPr>
          </w:p>
        </w:tc>
      </w:tr>
      <w:tr w:rsidR="005A6497" w:rsidRPr="00435769" w:rsidTr="005A6497">
        <w:tc>
          <w:tcPr>
            <w:tcW w:w="5000" w:type="pct"/>
            <w:gridSpan w:val="4"/>
          </w:tcPr>
          <w:p w:rsidR="005A6497" w:rsidRPr="00435769" w:rsidRDefault="005A6497" w:rsidP="007932B2">
            <w:pPr>
              <w:autoSpaceDE w:val="0"/>
              <w:autoSpaceDN w:val="0"/>
              <w:adjustRightInd w:val="0"/>
              <w:jc w:val="both"/>
              <w:rPr>
                <w:sz w:val="20"/>
                <w:lang w:val="fr-CA"/>
              </w:rPr>
            </w:pPr>
            <w:r w:rsidRPr="00435769">
              <w:rPr>
                <w:sz w:val="20"/>
                <w:lang w:val="fr-CA"/>
              </w:rPr>
              <w:t>Monsieur Sheriffe et M. Asfaha ont été jugés conjointement pour meurtre au premier degré en lien avec la mort par balle de Bishen Golaub. Pendant la sélection des jurés, l’avocat de la défense entendait récuser des membres de la liste des jurés. L’avocat de Monsieur Sheriffe a demandé des vérificateurs en rotation pendant que les membres de la liste étaient exclus de la salle d’audience pendant la sélection des jurés. Après une discussion avec les avocats relativement au processus de sélection des jurés, le juge du procès a choisi de faire appel à des vérificateurs sans rotation pendant que les membres de la liste des jurés étaient exclus de la salle d’audience. Au procès, un policier expert en gangs de rue a affirmé dans son témoignage que, selon des informateurs dont l’identité était confidentielle, M. Sheriffe était membre d’un gang impliqué dans une guerre de gangs. Le ministère public a plaidé que M. Golaub avait été abattu par M. Asfaha après avoir et été identifié par erreur comme membre du gang rival et que M. Sheriffe avait conduit la voiture utilisée pour fuir. MM. Sheriffe et Asfaha ont témoigné. Chacun a clamé son innocence et livré un témoignage incriminant l’autre. Les deux ont été déclarés coupables par le jury de meurtre au premier degré. Ils ont interjeté appel conjointement et leur appel a été rejeté.</w:t>
            </w:r>
          </w:p>
          <w:p w:rsidR="005A6497" w:rsidRPr="00435769" w:rsidRDefault="005A6497" w:rsidP="007932B2">
            <w:pPr>
              <w:autoSpaceDE w:val="0"/>
              <w:autoSpaceDN w:val="0"/>
              <w:adjustRightInd w:val="0"/>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lastRenderedPageBreak/>
              <w:t>5 juillet 2012</w:t>
            </w:r>
          </w:p>
          <w:p w:rsidR="005A6497" w:rsidRPr="00435769" w:rsidRDefault="005A6497" w:rsidP="007932B2">
            <w:pPr>
              <w:jc w:val="both"/>
              <w:rPr>
                <w:sz w:val="20"/>
                <w:lang w:val="fr-CA"/>
              </w:rPr>
            </w:pPr>
            <w:r w:rsidRPr="00435769">
              <w:rPr>
                <w:sz w:val="20"/>
                <w:lang w:val="fr-CA"/>
              </w:rPr>
              <w:t xml:space="preserve">Cour supérieure de justice de l’Ontario </w:t>
            </w:r>
          </w:p>
          <w:p w:rsidR="005A6497" w:rsidRPr="00435769" w:rsidRDefault="005A6497" w:rsidP="007932B2">
            <w:pPr>
              <w:jc w:val="both"/>
              <w:rPr>
                <w:sz w:val="20"/>
                <w:lang w:val="fr-CA"/>
              </w:rPr>
            </w:pPr>
            <w:r w:rsidRPr="00435769">
              <w:rPr>
                <w:sz w:val="20"/>
                <w:lang w:val="fr-CA"/>
              </w:rPr>
              <w:t>(Juge Ewaschuk)</w:t>
            </w:r>
          </w:p>
          <w:p w:rsidR="005A6497" w:rsidRPr="00435769" w:rsidRDefault="005A6497" w:rsidP="007932B2">
            <w:pPr>
              <w:tabs>
                <w:tab w:val="left" w:pos="1110"/>
              </w:tabs>
              <w:jc w:val="both"/>
              <w:rPr>
                <w:sz w:val="20"/>
                <w:lang w:val="fr-CA"/>
              </w:rPr>
            </w:pPr>
            <w:r w:rsidRPr="00435769">
              <w:rPr>
                <w:sz w:val="20"/>
                <w:lang w:val="fr-CA"/>
              </w:rPr>
              <w:t>5-133-12 (non publié)</w:t>
            </w:r>
          </w:p>
          <w:p w:rsidR="005A6497" w:rsidRPr="00435769" w:rsidRDefault="005A6497" w:rsidP="007932B2">
            <w:pPr>
              <w:tabs>
                <w:tab w:val="left" w:pos="1110"/>
              </w:tabs>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Déclaration de culpabilité par un jury de meurtre au premier degré</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14 décembre 2015</w:t>
            </w:r>
          </w:p>
          <w:p w:rsidR="005A6497" w:rsidRPr="00435769" w:rsidRDefault="005A6497" w:rsidP="007932B2">
            <w:pPr>
              <w:jc w:val="both"/>
              <w:rPr>
                <w:sz w:val="20"/>
                <w:lang w:val="fr-CA"/>
              </w:rPr>
            </w:pPr>
            <w:r w:rsidRPr="00435769">
              <w:rPr>
                <w:sz w:val="20"/>
                <w:lang w:val="fr-CA"/>
              </w:rPr>
              <w:t xml:space="preserve">Cour d’appel de l’Ontario </w:t>
            </w:r>
          </w:p>
          <w:p w:rsidR="005A6497" w:rsidRPr="00435769" w:rsidRDefault="005A6497" w:rsidP="007932B2">
            <w:pPr>
              <w:jc w:val="both"/>
              <w:rPr>
                <w:sz w:val="20"/>
                <w:lang w:val="fr-CA"/>
              </w:rPr>
            </w:pPr>
            <w:r w:rsidRPr="00435769">
              <w:rPr>
                <w:sz w:val="20"/>
                <w:lang w:val="fr-CA"/>
              </w:rPr>
              <w:t>(Juges Strathy, MacPherson et Watt)</w:t>
            </w:r>
          </w:p>
          <w:p w:rsidR="005A6497" w:rsidRPr="00435769" w:rsidRDefault="005A6497" w:rsidP="007932B2">
            <w:pPr>
              <w:jc w:val="both"/>
              <w:rPr>
                <w:sz w:val="20"/>
                <w:lang w:val="fr-CA"/>
              </w:rPr>
            </w:pPr>
            <w:r w:rsidRPr="00435769">
              <w:rPr>
                <w:sz w:val="20"/>
                <w:lang w:val="fr-CA"/>
              </w:rPr>
              <w:t xml:space="preserve">C56713; </w:t>
            </w:r>
            <w:hyperlink r:id="rId54" w:history="1">
              <w:r w:rsidRPr="00435769">
                <w:rPr>
                  <w:rStyle w:val="Hyperlink"/>
                  <w:sz w:val="20"/>
                  <w:lang w:val="fr-CA"/>
                </w:rPr>
                <w:t>2015 ONCA 880</w:t>
              </w:r>
            </w:hyperlink>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Rejet de l’appel</w:t>
            </w: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15 juillet 2016</w:t>
            </w:r>
          </w:p>
          <w:p w:rsidR="005A6497" w:rsidRPr="00435769" w:rsidRDefault="005A6497" w:rsidP="007932B2">
            <w:pPr>
              <w:jc w:val="both"/>
              <w:rPr>
                <w:sz w:val="20"/>
                <w:lang w:val="fr-CA"/>
              </w:rPr>
            </w:pPr>
            <w:r w:rsidRPr="00435769">
              <w:rPr>
                <w:sz w:val="20"/>
                <w:lang w:val="fr-CA"/>
              </w:rPr>
              <w:t>Cour suprême du Canada</w:t>
            </w: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Dépôt de la demande de prorogation du délai de signification et de dépôt de la demande d’autorisation d’appel et de la demande d’autorisation d’appel</w:t>
            </w:r>
          </w:p>
        </w:tc>
      </w:tr>
    </w:tbl>
    <w:p w:rsidR="005A6497" w:rsidRPr="00435769" w:rsidRDefault="005A6497" w:rsidP="007932B2">
      <w:pPr>
        <w:jc w:val="both"/>
        <w:rPr>
          <w:sz w:val="20"/>
          <w:lang w:val="fr-CA"/>
        </w:rPr>
      </w:pPr>
    </w:p>
    <w:p w:rsidR="008E7E00" w:rsidRPr="00435769" w:rsidRDefault="008E7E00" w:rsidP="007932B2">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5A6497" w:rsidRPr="00435769" w:rsidTr="005A6497">
        <w:tc>
          <w:tcPr>
            <w:tcW w:w="543" w:type="pct"/>
          </w:tcPr>
          <w:p w:rsidR="005A6497" w:rsidRPr="00435769" w:rsidRDefault="005A6497" w:rsidP="009E248E">
            <w:pPr>
              <w:jc w:val="both"/>
              <w:rPr>
                <w:sz w:val="20"/>
              </w:rPr>
            </w:pPr>
            <w:r w:rsidRPr="00435769">
              <w:rPr>
                <w:rStyle w:val="SCCFileNumberChar"/>
                <w:sz w:val="20"/>
                <w:szCs w:val="20"/>
              </w:rPr>
              <w:t>35569</w:t>
            </w:r>
          </w:p>
        </w:tc>
        <w:tc>
          <w:tcPr>
            <w:tcW w:w="4457" w:type="pct"/>
            <w:gridSpan w:val="3"/>
          </w:tcPr>
          <w:p w:rsidR="005A6497" w:rsidRPr="00435769" w:rsidRDefault="005A6497" w:rsidP="007932B2">
            <w:pPr>
              <w:pStyle w:val="SCCLsocParty"/>
              <w:jc w:val="both"/>
              <w:rPr>
                <w:b/>
                <w:sz w:val="20"/>
                <w:szCs w:val="20"/>
                <w:lang w:val="en-US"/>
              </w:rPr>
            </w:pPr>
            <w:r w:rsidRPr="00435769">
              <w:rPr>
                <w:b/>
                <w:sz w:val="20"/>
                <w:szCs w:val="20"/>
                <w:lang w:val="en-US"/>
              </w:rPr>
              <w:t>Federal Government Dockyard Trades and Labour Council (Esquimalt, B.C.), Des Rogers v. Her Majesty the Queen in Right of Canada as Represented by the Attorney General of Canada, Attorney General of the Province of British Columbia</w:t>
            </w:r>
          </w:p>
          <w:p w:rsidR="005A6497" w:rsidRPr="00435769" w:rsidRDefault="005A6497" w:rsidP="009E248E">
            <w:pPr>
              <w:jc w:val="both"/>
              <w:rPr>
                <w:sz w:val="20"/>
              </w:rPr>
            </w:pPr>
            <w:r w:rsidRPr="00435769">
              <w:rPr>
                <w:sz w:val="20"/>
              </w:rPr>
              <w:t>(B.C.) (Civil) (By Leave)</w:t>
            </w:r>
          </w:p>
        </w:tc>
      </w:tr>
      <w:tr w:rsidR="005A6497" w:rsidRPr="00435769" w:rsidTr="005A6497">
        <w:tc>
          <w:tcPr>
            <w:tcW w:w="5000" w:type="pct"/>
            <w:gridSpan w:val="4"/>
          </w:tcPr>
          <w:p w:rsidR="005A6497" w:rsidRPr="00435769" w:rsidRDefault="005A6497" w:rsidP="007932B2">
            <w:pPr>
              <w:jc w:val="both"/>
              <w:rPr>
                <w:sz w:val="20"/>
              </w:rPr>
            </w:pPr>
            <w:r w:rsidRPr="00435769">
              <w:rPr>
                <w:i/>
                <w:sz w:val="20"/>
              </w:rPr>
              <w:t xml:space="preserve">Canadian Charter of Rights and Freedoms </w:t>
            </w:r>
            <w:r w:rsidRPr="00435769">
              <w:rPr>
                <w:sz w:val="20"/>
              </w:rPr>
              <w:t xml:space="preserve">— Freedom of association — Arbitration Board awarding members of applicant union a series of wage increases for 2006 to 2009 — </w:t>
            </w:r>
            <w:r w:rsidRPr="00435769">
              <w:rPr>
                <w:i/>
                <w:sz w:val="20"/>
              </w:rPr>
              <w:t xml:space="preserve">Expenditure Restraint Act </w:t>
            </w:r>
            <w:r w:rsidRPr="00435769">
              <w:rPr>
                <w:sz w:val="20"/>
              </w:rPr>
              <w:t xml:space="preserve">having effect of nullifying wage increases awarded for 2006-2007 fiscal year — Whether a wage restraint legislation that eliminates a wage increase established under the collective bargaining process infringe s. 2(d) of the </w:t>
            </w:r>
            <w:r w:rsidRPr="00435769">
              <w:rPr>
                <w:i/>
                <w:sz w:val="20"/>
              </w:rPr>
              <w:t>Charter</w:t>
            </w:r>
            <w:r w:rsidRPr="00435769">
              <w:rPr>
                <w:sz w:val="20"/>
              </w:rPr>
              <w:t xml:space="preserve">? — </w:t>
            </w:r>
            <w:r w:rsidRPr="00435769">
              <w:rPr>
                <w:i/>
                <w:sz w:val="20"/>
              </w:rPr>
              <w:t>Expenditure Restraint Act</w:t>
            </w:r>
            <w:r w:rsidRPr="00435769">
              <w:rPr>
                <w:sz w:val="20"/>
              </w:rPr>
              <w:t>, S.C. 2009, c. 2, s. 393, ss. 16, 35, 38, 43, 46 and 49.</w:t>
            </w:r>
          </w:p>
          <w:p w:rsidR="005A6497" w:rsidRPr="00435769" w:rsidRDefault="005A6497" w:rsidP="007932B2">
            <w:pPr>
              <w:jc w:val="both"/>
              <w:rPr>
                <w:sz w:val="20"/>
              </w:rPr>
            </w:pPr>
          </w:p>
          <w:p w:rsidR="005A6497" w:rsidRPr="00435769" w:rsidRDefault="005A6497" w:rsidP="007932B2">
            <w:pPr>
              <w:tabs>
                <w:tab w:val="left" w:pos="-1200"/>
                <w:tab w:val="left" w:pos="-720"/>
                <w:tab w:val="left" w:pos="720"/>
              </w:tabs>
              <w:jc w:val="both"/>
              <w:rPr>
                <w:bCs/>
                <w:sz w:val="20"/>
                <w:lang w:val="en-GB"/>
              </w:rPr>
            </w:pPr>
            <w:r w:rsidRPr="00435769">
              <w:rPr>
                <w:bCs/>
                <w:sz w:val="20"/>
                <w:lang w:val="en-GB"/>
              </w:rPr>
              <w:t xml:space="preserve">In response to the global financial crisis that occurred in the fall of 2008 and winter of 2008-2009, the Government of Canada enacted wage restraint legislation. The </w:t>
            </w:r>
            <w:r w:rsidRPr="00435769">
              <w:rPr>
                <w:bCs/>
                <w:i/>
                <w:sz w:val="20"/>
                <w:lang w:val="en-GB"/>
              </w:rPr>
              <w:t xml:space="preserve">Expenditure Restraint Act </w:t>
            </w:r>
            <w:r w:rsidRPr="00435769">
              <w:rPr>
                <w:bCs/>
                <w:sz w:val="20"/>
                <w:lang w:val="en-GB"/>
              </w:rPr>
              <w:t xml:space="preserve">had the effect of nullifying much of a 5.2% wage increase for the 2006-2007 fiscal year that had previously been awarded through binding arbitration to federal employees working in naval dockyards on the west coast. The applicant, the Federal Government Dockyard Trades and Labour Council (“the Council”), is the bargaining agent for those employees. </w:t>
            </w:r>
          </w:p>
          <w:p w:rsidR="005A6497" w:rsidRPr="00435769" w:rsidRDefault="005A6497" w:rsidP="007932B2">
            <w:pPr>
              <w:tabs>
                <w:tab w:val="left" w:pos="-1200"/>
                <w:tab w:val="left" w:pos="-720"/>
                <w:tab w:val="left" w:pos="720"/>
              </w:tabs>
              <w:jc w:val="both"/>
              <w:rPr>
                <w:bCs/>
                <w:sz w:val="20"/>
                <w:lang w:val="en-GB"/>
              </w:rPr>
            </w:pPr>
          </w:p>
          <w:p w:rsidR="005A6497" w:rsidRPr="00435769" w:rsidRDefault="005A6497" w:rsidP="007932B2">
            <w:pPr>
              <w:tabs>
                <w:tab w:val="left" w:pos="-1200"/>
                <w:tab w:val="left" w:pos="-720"/>
                <w:tab w:val="left" w:pos="720"/>
              </w:tabs>
              <w:jc w:val="both"/>
              <w:rPr>
                <w:bCs/>
                <w:sz w:val="20"/>
                <w:lang w:val="en-GB"/>
              </w:rPr>
            </w:pPr>
            <w:r w:rsidRPr="00435769">
              <w:rPr>
                <w:bCs/>
                <w:sz w:val="20"/>
                <w:lang w:val="en-GB"/>
              </w:rPr>
              <w:t xml:space="preserve">The Council commenced an action seeking a declaration that the Act is unconstitutional because it breached the freedom of association guaranteed by s. 2(d) of the </w:t>
            </w:r>
            <w:r w:rsidRPr="00435769">
              <w:rPr>
                <w:bCs/>
                <w:i/>
                <w:sz w:val="20"/>
                <w:lang w:val="en-GB"/>
              </w:rPr>
              <w:t>Charter</w:t>
            </w:r>
            <w:r w:rsidRPr="00435769">
              <w:rPr>
                <w:bCs/>
                <w:sz w:val="20"/>
                <w:lang w:val="en-GB"/>
              </w:rPr>
              <w:t>.</w:t>
            </w:r>
          </w:p>
          <w:p w:rsidR="005A6497" w:rsidRPr="00435769" w:rsidRDefault="005A6497" w:rsidP="007932B2">
            <w:pPr>
              <w:jc w:val="both"/>
              <w:rPr>
                <w:sz w:val="20"/>
              </w:rPr>
            </w:pPr>
          </w:p>
        </w:tc>
      </w:tr>
      <w:tr w:rsidR="005A6497" w:rsidRPr="00435769" w:rsidTr="005A6497">
        <w:tblPrEx>
          <w:tblCellMar>
            <w:bottom w:w="0" w:type="dxa"/>
          </w:tblCellMar>
        </w:tblPrEx>
        <w:tc>
          <w:tcPr>
            <w:tcW w:w="2390" w:type="pct"/>
            <w:gridSpan w:val="2"/>
          </w:tcPr>
          <w:p w:rsidR="005A6497" w:rsidRPr="00435769" w:rsidRDefault="005A6497" w:rsidP="007932B2">
            <w:pPr>
              <w:jc w:val="both"/>
              <w:rPr>
                <w:sz w:val="20"/>
              </w:rPr>
            </w:pPr>
            <w:r w:rsidRPr="00435769">
              <w:rPr>
                <w:sz w:val="20"/>
              </w:rPr>
              <w:t>September 8, 2011</w:t>
            </w:r>
          </w:p>
          <w:p w:rsidR="005A6497" w:rsidRPr="00435769" w:rsidRDefault="005A6497" w:rsidP="007932B2">
            <w:pPr>
              <w:jc w:val="both"/>
              <w:rPr>
                <w:sz w:val="20"/>
              </w:rPr>
            </w:pPr>
            <w:r w:rsidRPr="00435769">
              <w:rPr>
                <w:sz w:val="20"/>
              </w:rPr>
              <w:t>Supreme Court of British Columbia</w:t>
            </w:r>
          </w:p>
          <w:p w:rsidR="005A6497" w:rsidRPr="00435769" w:rsidRDefault="005A6497" w:rsidP="007932B2">
            <w:pPr>
              <w:jc w:val="both"/>
              <w:rPr>
                <w:sz w:val="20"/>
              </w:rPr>
            </w:pPr>
            <w:r w:rsidRPr="00435769">
              <w:rPr>
                <w:sz w:val="20"/>
              </w:rPr>
              <w:t>(Harris J.)</w:t>
            </w:r>
          </w:p>
          <w:p w:rsidR="005A6497" w:rsidRPr="00435769" w:rsidRDefault="00435769" w:rsidP="007932B2">
            <w:pPr>
              <w:jc w:val="both"/>
              <w:rPr>
                <w:sz w:val="20"/>
              </w:rPr>
            </w:pPr>
            <w:hyperlink r:id="rId55" w:history="1">
              <w:r w:rsidR="005A6497" w:rsidRPr="00435769">
                <w:rPr>
                  <w:rStyle w:val="Hyperlink"/>
                  <w:sz w:val="20"/>
                </w:rPr>
                <w:t>2011 BCSC 1210</w:t>
              </w:r>
            </w:hyperlink>
          </w:p>
          <w:p w:rsidR="005A6497" w:rsidRPr="00435769" w:rsidRDefault="005A6497" w:rsidP="007932B2">
            <w:pPr>
              <w:jc w:val="both"/>
              <w:rPr>
                <w:sz w:val="20"/>
              </w:rPr>
            </w:pPr>
          </w:p>
        </w:tc>
        <w:tc>
          <w:tcPr>
            <w:tcW w:w="270" w:type="pct"/>
          </w:tcPr>
          <w:p w:rsidR="005A6497" w:rsidRPr="00435769" w:rsidRDefault="005A6497" w:rsidP="007932B2">
            <w:pPr>
              <w:jc w:val="both"/>
              <w:rPr>
                <w:sz w:val="20"/>
              </w:rPr>
            </w:pPr>
          </w:p>
        </w:tc>
        <w:tc>
          <w:tcPr>
            <w:tcW w:w="2340" w:type="pct"/>
          </w:tcPr>
          <w:p w:rsidR="005A6497" w:rsidRPr="00435769" w:rsidRDefault="005A6497" w:rsidP="007932B2">
            <w:pPr>
              <w:jc w:val="both"/>
              <w:rPr>
                <w:sz w:val="20"/>
              </w:rPr>
            </w:pPr>
            <w:r w:rsidRPr="00435769">
              <w:rPr>
                <w:sz w:val="20"/>
              </w:rPr>
              <w:t xml:space="preserve">Action challenging constitutional validity of the </w:t>
            </w:r>
            <w:r w:rsidRPr="00435769">
              <w:rPr>
                <w:i/>
                <w:sz w:val="20"/>
              </w:rPr>
              <w:t>Expenditure Restraint Act</w:t>
            </w:r>
            <w:r w:rsidRPr="00435769">
              <w:rPr>
                <w:sz w:val="20"/>
              </w:rPr>
              <w:t>, dismissed</w:t>
            </w:r>
          </w:p>
          <w:p w:rsidR="005A6497" w:rsidRPr="00435769" w:rsidRDefault="005A6497" w:rsidP="007932B2">
            <w:pPr>
              <w:jc w:val="both"/>
              <w:rPr>
                <w:sz w:val="20"/>
              </w:rPr>
            </w:pPr>
          </w:p>
        </w:tc>
      </w:tr>
      <w:tr w:rsidR="005A6497" w:rsidRPr="00435769" w:rsidTr="005A6497">
        <w:tblPrEx>
          <w:tblCellMar>
            <w:bottom w:w="0" w:type="dxa"/>
          </w:tblCellMar>
        </w:tblPrEx>
        <w:trPr>
          <w:trHeight w:val="68"/>
        </w:trPr>
        <w:tc>
          <w:tcPr>
            <w:tcW w:w="2390" w:type="pct"/>
            <w:gridSpan w:val="2"/>
          </w:tcPr>
          <w:p w:rsidR="005A6497" w:rsidRPr="00435769" w:rsidRDefault="005A6497" w:rsidP="007932B2">
            <w:pPr>
              <w:jc w:val="both"/>
              <w:rPr>
                <w:sz w:val="20"/>
              </w:rPr>
            </w:pPr>
            <w:r w:rsidRPr="00435769">
              <w:rPr>
                <w:sz w:val="20"/>
              </w:rPr>
              <w:t>August 19, 2013</w:t>
            </w:r>
          </w:p>
          <w:p w:rsidR="005A6497" w:rsidRPr="00435769" w:rsidRDefault="005A6497" w:rsidP="007932B2">
            <w:pPr>
              <w:jc w:val="both"/>
              <w:rPr>
                <w:sz w:val="20"/>
              </w:rPr>
            </w:pPr>
            <w:r w:rsidRPr="00435769">
              <w:rPr>
                <w:sz w:val="20"/>
              </w:rPr>
              <w:t xml:space="preserve">Court of Appeal for British Columbia </w:t>
            </w:r>
          </w:p>
          <w:p w:rsidR="005A6497" w:rsidRPr="00435769" w:rsidRDefault="005A6497" w:rsidP="007932B2">
            <w:pPr>
              <w:jc w:val="both"/>
              <w:rPr>
                <w:sz w:val="20"/>
              </w:rPr>
            </w:pPr>
            <w:r w:rsidRPr="00435769">
              <w:rPr>
                <w:sz w:val="20"/>
              </w:rPr>
              <w:t>(Victoria)</w:t>
            </w:r>
          </w:p>
          <w:p w:rsidR="005A6497" w:rsidRPr="00435769" w:rsidRDefault="005A6497" w:rsidP="007932B2">
            <w:pPr>
              <w:jc w:val="both"/>
              <w:rPr>
                <w:sz w:val="20"/>
              </w:rPr>
            </w:pPr>
            <w:r w:rsidRPr="00435769">
              <w:rPr>
                <w:sz w:val="20"/>
              </w:rPr>
              <w:t>(Saunders, Kirkpatrick and Garson JJ.A.)</w:t>
            </w:r>
          </w:p>
          <w:p w:rsidR="005A6497" w:rsidRPr="00435769" w:rsidRDefault="00435769" w:rsidP="007932B2">
            <w:pPr>
              <w:jc w:val="both"/>
              <w:rPr>
                <w:sz w:val="20"/>
              </w:rPr>
            </w:pPr>
            <w:hyperlink r:id="rId56" w:history="1">
              <w:r w:rsidR="005A6497" w:rsidRPr="00435769">
                <w:rPr>
                  <w:rStyle w:val="Hyperlink"/>
                  <w:sz w:val="20"/>
                </w:rPr>
                <w:t>2013 BCCA 371</w:t>
              </w:r>
            </w:hyperlink>
          </w:p>
          <w:p w:rsidR="005A6497" w:rsidRPr="00435769" w:rsidRDefault="005A6497" w:rsidP="007932B2">
            <w:pPr>
              <w:jc w:val="both"/>
              <w:rPr>
                <w:sz w:val="20"/>
              </w:rPr>
            </w:pPr>
          </w:p>
        </w:tc>
        <w:tc>
          <w:tcPr>
            <w:tcW w:w="270" w:type="pct"/>
          </w:tcPr>
          <w:p w:rsidR="005A6497" w:rsidRPr="00435769" w:rsidRDefault="005A6497" w:rsidP="007932B2">
            <w:pPr>
              <w:jc w:val="both"/>
              <w:rPr>
                <w:sz w:val="20"/>
              </w:rPr>
            </w:pPr>
          </w:p>
        </w:tc>
        <w:tc>
          <w:tcPr>
            <w:tcW w:w="2340" w:type="pct"/>
          </w:tcPr>
          <w:p w:rsidR="005A6497" w:rsidRPr="00435769" w:rsidRDefault="005A6497" w:rsidP="007932B2">
            <w:pPr>
              <w:jc w:val="both"/>
              <w:rPr>
                <w:sz w:val="20"/>
              </w:rPr>
            </w:pPr>
            <w:r w:rsidRPr="00435769">
              <w:rPr>
                <w:sz w:val="20"/>
              </w:rPr>
              <w:t>Appeal dismissed</w:t>
            </w:r>
          </w:p>
          <w:p w:rsidR="005A6497" w:rsidRPr="00435769" w:rsidRDefault="005A6497" w:rsidP="007932B2">
            <w:pPr>
              <w:jc w:val="both"/>
              <w:rPr>
                <w:sz w:val="20"/>
              </w:rPr>
            </w:pPr>
          </w:p>
        </w:tc>
      </w:tr>
      <w:tr w:rsidR="005A6497" w:rsidRPr="00435769" w:rsidTr="005A6497">
        <w:tblPrEx>
          <w:tblCellMar>
            <w:bottom w:w="0" w:type="dxa"/>
          </w:tblCellMar>
        </w:tblPrEx>
        <w:tc>
          <w:tcPr>
            <w:tcW w:w="2390" w:type="pct"/>
            <w:gridSpan w:val="2"/>
          </w:tcPr>
          <w:p w:rsidR="005A6497" w:rsidRPr="00435769" w:rsidRDefault="005A6497" w:rsidP="007932B2">
            <w:pPr>
              <w:jc w:val="both"/>
              <w:rPr>
                <w:sz w:val="20"/>
              </w:rPr>
            </w:pPr>
            <w:r w:rsidRPr="00435769">
              <w:rPr>
                <w:sz w:val="20"/>
              </w:rPr>
              <w:t>October 3, 2013</w:t>
            </w:r>
          </w:p>
          <w:p w:rsidR="005A6497" w:rsidRPr="00435769" w:rsidRDefault="005A6497" w:rsidP="007932B2">
            <w:pPr>
              <w:jc w:val="both"/>
              <w:rPr>
                <w:sz w:val="20"/>
              </w:rPr>
            </w:pPr>
            <w:r w:rsidRPr="00435769">
              <w:rPr>
                <w:sz w:val="20"/>
              </w:rPr>
              <w:t>Supreme Court of Canada</w:t>
            </w:r>
          </w:p>
          <w:p w:rsidR="005A6497" w:rsidRPr="00435769" w:rsidRDefault="005A6497" w:rsidP="007932B2">
            <w:pPr>
              <w:jc w:val="both"/>
              <w:rPr>
                <w:sz w:val="20"/>
              </w:rPr>
            </w:pPr>
          </w:p>
        </w:tc>
        <w:tc>
          <w:tcPr>
            <w:tcW w:w="270" w:type="pct"/>
          </w:tcPr>
          <w:p w:rsidR="005A6497" w:rsidRPr="00435769" w:rsidRDefault="005A6497" w:rsidP="007932B2">
            <w:pPr>
              <w:jc w:val="both"/>
              <w:rPr>
                <w:sz w:val="20"/>
              </w:rPr>
            </w:pPr>
          </w:p>
        </w:tc>
        <w:tc>
          <w:tcPr>
            <w:tcW w:w="2340" w:type="pct"/>
          </w:tcPr>
          <w:p w:rsidR="005A6497" w:rsidRPr="00435769" w:rsidRDefault="005A6497" w:rsidP="007932B2">
            <w:pPr>
              <w:jc w:val="both"/>
              <w:rPr>
                <w:sz w:val="20"/>
              </w:rPr>
            </w:pPr>
            <w:r w:rsidRPr="00435769">
              <w:rPr>
                <w:sz w:val="20"/>
              </w:rPr>
              <w:t>Application for leave to appeal filed</w:t>
            </w:r>
          </w:p>
          <w:p w:rsidR="005A6497" w:rsidRPr="00435769" w:rsidRDefault="005A6497" w:rsidP="007932B2">
            <w:pPr>
              <w:jc w:val="both"/>
              <w:rPr>
                <w:sz w:val="20"/>
              </w:rPr>
            </w:pPr>
          </w:p>
        </w:tc>
      </w:tr>
      <w:tr w:rsidR="005A6497" w:rsidRPr="00435769" w:rsidTr="005A6497">
        <w:tblPrEx>
          <w:tblCellMar>
            <w:bottom w:w="0" w:type="dxa"/>
          </w:tblCellMar>
        </w:tblPrEx>
        <w:tc>
          <w:tcPr>
            <w:tcW w:w="2390" w:type="pct"/>
            <w:gridSpan w:val="2"/>
          </w:tcPr>
          <w:p w:rsidR="005A6497" w:rsidRPr="00435769" w:rsidRDefault="005A6497" w:rsidP="007932B2">
            <w:pPr>
              <w:jc w:val="both"/>
              <w:rPr>
                <w:sz w:val="20"/>
              </w:rPr>
            </w:pPr>
            <w:r w:rsidRPr="00435769">
              <w:rPr>
                <w:sz w:val="20"/>
              </w:rPr>
              <w:t>January 29, 2015</w:t>
            </w:r>
          </w:p>
          <w:p w:rsidR="005A6497" w:rsidRPr="00435769" w:rsidRDefault="005A6497" w:rsidP="007932B2">
            <w:pPr>
              <w:jc w:val="both"/>
              <w:rPr>
                <w:sz w:val="20"/>
              </w:rPr>
            </w:pPr>
            <w:r w:rsidRPr="00435769">
              <w:rPr>
                <w:sz w:val="20"/>
              </w:rPr>
              <w:t>Supreme Court of Canada</w:t>
            </w:r>
          </w:p>
          <w:p w:rsidR="005A6497" w:rsidRPr="00435769" w:rsidRDefault="005A6497" w:rsidP="007932B2">
            <w:pPr>
              <w:jc w:val="both"/>
              <w:rPr>
                <w:sz w:val="20"/>
              </w:rPr>
            </w:pPr>
            <w:r w:rsidRPr="00435769">
              <w:rPr>
                <w:sz w:val="20"/>
              </w:rPr>
              <w:t>(Lebel, Karakatsanis and Wagner JJ.)</w:t>
            </w:r>
          </w:p>
          <w:p w:rsidR="005A6497" w:rsidRPr="00435769" w:rsidRDefault="005A6497" w:rsidP="007932B2">
            <w:pPr>
              <w:jc w:val="both"/>
              <w:rPr>
                <w:sz w:val="20"/>
              </w:rPr>
            </w:pPr>
          </w:p>
        </w:tc>
        <w:tc>
          <w:tcPr>
            <w:tcW w:w="270" w:type="pct"/>
          </w:tcPr>
          <w:p w:rsidR="005A6497" w:rsidRPr="00435769" w:rsidRDefault="005A6497" w:rsidP="007932B2">
            <w:pPr>
              <w:jc w:val="both"/>
              <w:rPr>
                <w:sz w:val="20"/>
              </w:rPr>
            </w:pPr>
          </w:p>
        </w:tc>
        <w:tc>
          <w:tcPr>
            <w:tcW w:w="2340" w:type="pct"/>
          </w:tcPr>
          <w:p w:rsidR="005A6497" w:rsidRPr="00435769" w:rsidRDefault="005A6497" w:rsidP="007932B2">
            <w:pPr>
              <w:jc w:val="both"/>
              <w:rPr>
                <w:sz w:val="20"/>
              </w:rPr>
            </w:pPr>
            <w:r w:rsidRPr="00435769">
              <w:rPr>
                <w:sz w:val="20"/>
              </w:rPr>
              <w:t xml:space="preserve">Decision on application for leave to appeal: Case remanded to the Court of Appeal of British Columbia pursuant to s. 43(1.1) of </w:t>
            </w:r>
            <w:r w:rsidRPr="00435769">
              <w:rPr>
                <w:i/>
                <w:sz w:val="20"/>
              </w:rPr>
              <w:t>Supreme Court Act</w:t>
            </w:r>
          </w:p>
          <w:p w:rsidR="005A6497" w:rsidRPr="00435769" w:rsidRDefault="005A6497" w:rsidP="007932B2">
            <w:pPr>
              <w:jc w:val="both"/>
              <w:rPr>
                <w:sz w:val="20"/>
              </w:rPr>
            </w:pPr>
          </w:p>
        </w:tc>
      </w:tr>
      <w:tr w:rsidR="005A6497" w:rsidRPr="00435769" w:rsidTr="005A6497">
        <w:tblPrEx>
          <w:tblCellMar>
            <w:bottom w:w="0" w:type="dxa"/>
          </w:tblCellMar>
        </w:tblPrEx>
        <w:tc>
          <w:tcPr>
            <w:tcW w:w="2390" w:type="pct"/>
            <w:gridSpan w:val="2"/>
          </w:tcPr>
          <w:p w:rsidR="005A6497" w:rsidRPr="00435769" w:rsidRDefault="005A6497" w:rsidP="007932B2">
            <w:pPr>
              <w:jc w:val="both"/>
              <w:rPr>
                <w:sz w:val="20"/>
              </w:rPr>
            </w:pPr>
            <w:r w:rsidRPr="00435769">
              <w:rPr>
                <w:sz w:val="20"/>
              </w:rPr>
              <w:lastRenderedPageBreak/>
              <w:t>April 13, 2016</w:t>
            </w:r>
          </w:p>
          <w:p w:rsidR="005A6497" w:rsidRPr="00435769" w:rsidRDefault="005A6497" w:rsidP="007932B2">
            <w:pPr>
              <w:jc w:val="both"/>
              <w:rPr>
                <w:sz w:val="20"/>
              </w:rPr>
            </w:pPr>
            <w:r w:rsidRPr="00435769">
              <w:rPr>
                <w:sz w:val="20"/>
              </w:rPr>
              <w:t xml:space="preserve">Court of Appeal for British Columbia </w:t>
            </w:r>
          </w:p>
          <w:p w:rsidR="005A6497" w:rsidRPr="00435769" w:rsidRDefault="005A6497" w:rsidP="007932B2">
            <w:pPr>
              <w:jc w:val="both"/>
              <w:rPr>
                <w:sz w:val="20"/>
              </w:rPr>
            </w:pPr>
            <w:r w:rsidRPr="00435769">
              <w:rPr>
                <w:sz w:val="20"/>
              </w:rPr>
              <w:t>(Vancouver)</w:t>
            </w:r>
          </w:p>
          <w:p w:rsidR="005A6497" w:rsidRPr="00435769" w:rsidRDefault="005A6497" w:rsidP="007932B2">
            <w:pPr>
              <w:jc w:val="both"/>
              <w:rPr>
                <w:sz w:val="20"/>
              </w:rPr>
            </w:pPr>
            <w:r w:rsidRPr="00435769">
              <w:rPr>
                <w:sz w:val="20"/>
              </w:rPr>
              <w:t>(Saunders, Kirkpatrick and Garson JJ.A.)</w:t>
            </w:r>
          </w:p>
          <w:p w:rsidR="005A6497" w:rsidRPr="00435769" w:rsidRDefault="00435769" w:rsidP="007932B2">
            <w:pPr>
              <w:jc w:val="both"/>
              <w:rPr>
                <w:sz w:val="20"/>
              </w:rPr>
            </w:pPr>
            <w:hyperlink r:id="rId57" w:history="1">
              <w:r w:rsidR="005A6497" w:rsidRPr="00435769">
                <w:rPr>
                  <w:rStyle w:val="Hyperlink"/>
                  <w:sz w:val="20"/>
                </w:rPr>
                <w:t>2016 BCCA 156</w:t>
              </w:r>
            </w:hyperlink>
          </w:p>
          <w:p w:rsidR="005A6497" w:rsidRPr="00435769" w:rsidRDefault="005A6497" w:rsidP="007932B2">
            <w:pPr>
              <w:jc w:val="both"/>
              <w:rPr>
                <w:sz w:val="20"/>
              </w:rPr>
            </w:pPr>
          </w:p>
        </w:tc>
        <w:tc>
          <w:tcPr>
            <w:tcW w:w="270" w:type="pct"/>
          </w:tcPr>
          <w:p w:rsidR="005A6497" w:rsidRPr="00435769" w:rsidRDefault="005A6497" w:rsidP="007932B2">
            <w:pPr>
              <w:jc w:val="both"/>
              <w:rPr>
                <w:sz w:val="20"/>
              </w:rPr>
            </w:pPr>
          </w:p>
        </w:tc>
        <w:tc>
          <w:tcPr>
            <w:tcW w:w="2340" w:type="pct"/>
          </w:tcPr>
          <w:p w:rsidR="005A6497" w:rsidRPr="00435769" w:rsidRDefault="005A6497" w:rsidP="007932B2">
            <w:pPr>
              <w:jc w:val="both"/>
              <w:rPr>
                <w:sz w:val="20"/>
              </w:rPr>
            </w:pPr>
            <w:r w:rsidRPr="00435769">
              <w:rPr>
                <w:sz w:val="20"/>
              </w:rPr>
              <w:t>Appeal dismissed</w:t>
            </w:r>
          </w:p>
        </w:tc>
      </w:tr>
      <w:tr w:rsidR="005A6497" w:rsidRPr="00435769" w:rsidTr="005A6497">
        <w:tblPrEx>
          <w:tblCellMar>
            <w:bottom w:w="0" w:type="dxa"/>
          </w:tblCellMar>
        </w:tblPrEx>
        <w:tc>
          <w:tcPr>
            <w:tcW w:w="2390" w:type="pct"/>
            <w:gridSpan w:val="2"/>
          </w:tcPr>
          <w:p w:rsidR="005A6497" w:rsidRPr="00435769" w:rsidRDefault="005A6497" w:rsidP="007932B2">
            <w:pPr>
              <w:jc w:val="both"/>
              <w:rPr>
                <w:sz w:val="20"/>
              </w:rPr>
            </w:pPr>
            <w:r w:rsidRPr="00435769">
              <w:rPr>
                <w:sz w:val="20"/>
              </w:rPr>
              <w:t>June 13, 2016</w:t>
            </w:r>
          </w:p>
          <w:p w:rsidR="005A6497" w:rsidRPr="00435769" w:rsidRDefault="005A6497" w:rsidP="007932B2">
            <w:pPr>
              <w:jc w:val="both"/>
              <w:rPr>
                <w:sz w:val="20"/>
              </w:rPr>
            </w:pPr>
            <w:r w:rsidRPr="00435769">
              <w:rPr>
                <w:sz w:val="20"/>
              </w:rPr>
              <w:t>Supreme Court of Canada</w:t>
            </w:r>
          </w:p>
        </w:tc>
        <w:tc>
          <w:tcPr>
            <w:tcW w:w="270" w:type="pct"/>
          </w:tcPr>
          <w:p w:rsidR="005A6497" w:rsidRPr="00435769" w:rsidRDefault="005A6497" w:rsidP="007932B2">
            <w:pPr>
              <w:jc w:val="both"/>
              <w:rPr>
                <w:sz w:val="20"/>
              </w:rPr>
            </w:pPr>
          </w:p>
        </w:tc>
        <w:tc>
          <w:tcPr>
            <w:tcW w:w="2340" w:type="pct"/>
          </w:tcPr>
          <w:p w:rsidR="005A6497" w:rsidRPr="00435769" w:rsidRDefault="005A6497" w:rsidP="007932B2">
            <w:pPr>
              <w:jc w:val="both"/>
              <w:rPr>
                <w:sz w:val="20"/>
              </w:rPr>
            </w:pPr>
            <w:r w:rsidRPr="00435769">
              <w:rPr>
                <w:sz w:val="20"/>
              </w:rPr>
              <w:t>Application for leave to appeal filed</w:t>
            </w:r>
          </w:p>
          <w:p w:rsidR="005A6497" w:rsidRPr="00435769" w:rsidRDefault="005A6497" w:rsidP="007932B2">
            <w:pPr>
              <w:jc w:val="both"/>
              <w:rPr>
                <w:sz w:val="20"/>
              </w:rPr>
            </w:pPr>
          </w:p>
        </w:tc>
      </w:tr>
    </w:tbl>
    <w:p w:rsidR="005A6497" w:rsidRPr="00435769" w:rsidRDefault="005A6497" w:rsidP="007932B2">
      <w:pPr>
        <w:jc w:val="both"/>
        <w:rPr>
          <w:sz w:val="20"/>
        </w:rPr>
      </w:pPr>
    </w:p>
    <w:p w:rsidR="009E248E" w:rsidRPr="00435769" w:rsidRDefault="009E248E" w:rsidP="007932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5A6497" w:rsidRPr="00435769" w:rsidTr="005A6497">
        <w:tc>
          <w:tcPr>
            <w:tcW w:w="543" w:type="pct"/>
          </w:tcPr>
          <w:p w:rsidR="005A6497" w:rsidRPr="00435769" w:rsidRDefault="005A6497" w:rsidP="009E248E">
            <w:pPr>
              <w:jc w:val="both"/>
              <w:rPr>
                <w:sz w:val="20"/>
                <w:lang w:val="fr-CA"/>
              </w:rPr>
            </w:pPr>
            <w:r w:rsidRPr="00435769">
              <w:rPr>
                <w:rStyle w:val="SCCFileNumberChar"/>
                <w:sz w:val="20"/>
                <w:szCs w:val="20"/>
                <w:lang w:val="fr-CA"/>
              </w:rPr>
              <w:t>35569</w:t>
            </w:r>
          </w:p>
        </w:tc>
        <w:tc>
          <w:tcPr>
            <w:tcW w:w="4457" w:type="pct"/>
            <w:gridSpan w:val="3"/>
          </w:tcPr>
          <w:p w:rsidR="005A6497" w:rsidRPr="00435769" w:rsidRDefault="005A6497" w:rsidP="007932B2">
            <w:pPr>
              <w:pStyle w:val="SCCLsocParty"/>
              <w:jc w:val="both"/>
              <w:rPr>
                <w:b/>
                <w:sz w:val="20"/>
                <w:szCs w:val="20"/>
              </w:rPr>
            </w:pPr>
            <w:r w:rsidRPr="00435769">
              <w:rPr>
                <w:b/>
                <w:sz w:val="20"/>
                <w:szCs w:val="20"/>
              </w:rPr>
              <w:t>Conseil des métiers et du travail des chantiers maritimes du gouvernement fédéral (Esquimalt, C.-B.), Des Rogers c. Sa Majesté la Reine du chef du Canada, représentée par le procureur général du Canada, procureur général de la province de la Colombie-Britannique</w:t>
            </w:r>
          </w:p>
          <w:p w:rsidR="005A6497" w:rsidRPr="00435769" w:rsidRDefault="005A6497" w:rsidP="009E248E">
            <w:pPr>
              <w:jc w:val="both"/>
              <w:rPr>
                <w:sz w:val="20"/>
                <w:lang w:val="fr-CA"/>
              </w:rPr>
            </w:pPr>
            <w:r w:rsidRPr="00435769">
              <w:rPr>
                <w:sz w:val="20"/>
                <w:lang w:val="fr-CA"/>
              </w:rPr>
              <w:t>(C.-B.) (Civile) (Sur autorisation)</w:t>
            </w:r>
          </w:p>
        </w:tc>
      </w:tr>
      <w:tr w:rsidR="005A6497" w:rsidRPr="00435769" w:rsidTr="005A6497">
        <w:tc>
          <w:tcPr>
            <w:tcW w:w="5000" w:type="pct"/>
            <w:gridSpan w:val="4"/>
          </w:tcPr>
          <w:p w:rsidR="005A6497" w:rsidRPr="00435769" w:rsidRDefault="005A6497" w:rsidP="007932B2">
            <w:pPr>
              <w:jc w:val="both"/>
              <w:rPr>
                <w:sz w:val="20"/>
                <w:lang w:val="fr-CA"/>
              </w:rPr>
            </w:pPr>
            <w:r w:rsidRPr="00435769">
              <w:rPr>
                <w:i/>
                <w:sz w:val="20"/>
                <w:lang w:val="fr-CA"/>
              </w:rPr>
              <w:t>Charte canadienne des droits et libertés</w:t>
            </w:r>
            <w:r w:rsidRPr="00435769">
              <w:rPr>
                <w:sz w:val="20"/>
                <w:lang w:val="fr-CA"/>
              </w:rPr>
              <w:t xml:space="preserve"> — Liberté d’association — La commission d’arbitrage a accordé aux membres du syndicat demandeur une série d’augmentations de salaire pour les années 2006 à 2009</w:t>
            </w:r>
            <w:r w:rsidRPr="00435769">
              <w:rPr>
                <w:i/>
                <w:sz w:val="20"/>
                <w:lang w:val="fr-CA"/>
              </w:rPr>
              <w:t xml:space="preserve"> </w:t>
            </w:r>
            <w:r w:rsidRPr="00435769">
              <w:rPr>
                <w:sz w:val="20"/>
                <w:lang w:val="fr-CA"/>
              </w:rPr>
              <w:t>—</w:t>
            </w:r>
            <w:r w:rsidRPr="00435769">
              <w:rPr>
                <w:i/>
                <w:sz w:val="20"/>
                <w:lang w:val="fr-CA"/>
              </w:rPr>
              <w:t xml:space="preserve"> </w:t>
            </w:r>
            <w:r w:rsidRPr="00435769">
              <w:rPr>
                <w:sz w:val="20"/>
                <w:lang w:val="fr-CA"/>
              </w:rPr>
              <w:t>La</w:t>
            </w:r>
            <w:r w:rsidRPr="00435769">
              <w:rPr>
                <w:i/>
                <w:sz w:val="20"/>
                <w:lang w:val="fr-CA"/>
              </w:rPr>
              <w:t xml:space="preserve"> Loi sur le contrôle des dépenses</w:t>
            </w:r>
            <w:r w:rsidRPr="00435769">
              <w:rPr>
                <w:sz w:val="20"/>
                <w:lang w:val="fr-CA"/>
              </w:rPr>
              <w:t xml:space="preserve"> a eu pour effet d’annuler les augmentations de salaire accordées pour l’exercice 2006-2007 — Une loi sur le contrôle des salaires qui élimine une augmentation de salaire établie en application du processus de négociation collective porte-t-elle atteinte à l’al. 2d) de la </w:t>
            </w:r>
            <w:r w:rsidRPr="00435769">
              <w:rPr>
                <w:i/>
                <w:sz w:val="20"/>
                <w:lang w:val="fr-CA"/>
              </w:rPr>
              <w:t>Charte</w:t>
            </w:r>
            <w:r w:rsidRPr="00435769">
              <w:rPr>
                <w:sz w:val="20"/>
                <w:lang w:val="fr-CA"/>
              </w:rPr>
              <w:t xml:space="preserve">? — </w:t>
            </w:r>
            <w:r w:rsidRPr="00435769">
              <w:rPr>
                <w:i/>
                <w:sz w:val="20"/>
                <w:lang w:val="fr-CA"/>
              </w:rPr>
              <w:t>Loi sur le contrôle des dépenses</w:t>
            </w:r>
            <w:r w:rsidRPr="00435769">
              <w:rPr>
                <w:sz w:val="20"/>
                <w:lang w:val="fr-CA"/>
              </w:rPr>
              <w:t>, L.C. 2009, ch. 2, art. 393, art. 16, 35, 38, 43, 46 et 49.</w:t>
            </w:r>
          </w:p>
          <w:p w:rsidR="005A6497" w:rsidRPr="00435769" w:rsidRDefault="005A6497" w:rsidP="007932B2">
            <w:pPr>
              <w:jc w:val="both"/>
              <w:rPr>
                <w:sz w:val="20"/>
                <w:lang w:val="fr-CA"/>
              </w:rPr>
            </w:pPr>
          </w:p>
          <w:p w:rsidR="005A6497" w:rsidRPr="00435769" w:rsidRDefault="005A6497" w:rsidP="007932B2">
            <w:pPr>
              <w:tabs>
                <w:tab w:val="left" w:pos="-1200"/>
                <w:tab w:val="left" w:pos="-720"/>
                <w:tab w:val="left" w:pos="720"/>
              </w:tabs>
              <w:jc w:val="both"/>
              <w:rPr>
                <w:bCs/>
                <w:sz w:val="20"/>
                <w:lang w:val="fr-CA"/>
              </w:rPr>
            </w:pPr>
            <w:r w:rsidRPr="00435769">
              <w:rPr>
                <w:bCs/>
                <w:sz w:val="20"/>
                <w:lang w:val="fr-CA"/>
              </w:rPr>
              <w:t xml:space="preserve">En réponse à la crise financière mondiale qui s’est produite à l’automne 2008 et à l’hiver 2008-2009, le gouvernement a édicté une loi sur le contrôle des salaires. La </w:t>
            </w:r>
            <w:r w:rsidRPr="00435769">
              <w:rPr>
                <w:bCs/>
                <w:i/>
                <w:sz w:val="20"/>
                <w:lang w:val="fr-CA"/>
              </w:rPr>
              <w:t>Loi sur le contrôle des dépenses</w:t>
            </w:r>
            <w:r w:rsidRPr="00435769">
              <w:rPr>
                <w:bCs/>
                <w:sz w:val="20"/>
                <w:lang w:val="fr-CA"/>
              </w:rPr>
              <w:t xml:space="preserve"> a eu pour effet d’annuler une bonne partie de l’augmentation des salaires de 5,2 % pour l’exercice 2006-2007 qui avait été accordée précédemment par arbitrage obligatoire aux employés fédéraux qui travaillaient dans les chantiers maritimes de la côte ouest. Le demandeur, le Conseil des métiers et du travail des chantiers maritimes du gouvernement fédéral (« le Conseil »), est l’agent négociateur de ces employés. </w:t>
            </w:r>
          </w:p>
          <w:p w:rsidR="005A6497" w:rsidRPr="00435769" w:rsidRDefault="005A6497" w:rsidP="007932B2">
            <w:pPr>
              <w:tabs>
                <w:tab w:val="left" w:pos="-1200"/>
                <w:tab w:val="left" w:pos="-720"/>
                <w:tab w:val="left" w:pos="720"/>
              </w:tabs>
              <w:jc w:val="both"/>
              <w:rPr>
                <w:bCs/>
                <w:sz w:val="20"/>
                <w:lang w:val="fr-CA"/>
              </w:rPr>
            </w:pPr>
          </w:p>
          <w:p w:rsidR="005A6497" w:rsidRPr="00435769" w:rsidRDefault="005A6497" w:rsidP="007932B2">
            <w:pPr>
              <w:tabs>
                <w:tab w:val="left" w:pos="-1200"/>
                <w:tab w:val="left" w:pos="-720"/>
                <w:tab w:val="left" w:pos="720"/>
              </w:tabs>
              <w:jc w:val="both"/>
              <w:rPr>
                <w:bCs/>
                <w:sz w:val="20"/>
                <w:lang w:val="fr-CA"/>
              </w:rPr>
            </w:pPr>
            <w:r w:rsidRPr="00435769">
              <w:rPr>
                <w:bCs/>
                <w:sz w:val="20"/>
                <w:lang w:val="fr-CA"/>
              </w:rPr>
              <w:t xml:space="preserve">Le Conseil a intenté une action pour obtenir un jugement déclarant que la Loi était inconstitutionnelle parce qu’elle portait atteinte à la liberté d’association garantie par l’al. 2d) de la </w:t>
            </w:r>
            <w:r w:rsidRPr="00435769">
              <w:rPr>
                <w:bCs/>
                <w:i/>
                <w:sz w:val="20"/>
                <w:lang w:val="fr-CA"/>
              </w:rPr>
              <w:t>Charte</w:t>
            </w:r>
            <w:r w:rsidRPr="00435769">
              <w:rPr>
                <w:bCs/>
                <w:sz w:val="20"/>
                <w:lang w:val="fr-CA"/>
              </w:rPr>
              <w:t>.</w:t>
            </w:r>
          </w:p>
          <w:p w:rsidR="005A6497" w:rsidRPr="00435769" w:rsidRDefault="005A6497" w:rsidP="007932B2">
            <w:pPr>
              <w:jc w:val="both"/>
              <w:rPr>
                <w:sz w:val="20"/>
                <w:lang w:val="fr-CA"/>
              </w:rPr>
            </w:pPr>
          </w:p>
        </w:tc>
      </w:tr>
      <w:tr w:rsidR="005A6497" w:rsidRPr="00435769" w:rsidTr="005A6497">
        <w:tblPrEx>
          <w:tblCellMar>
            <w:bottom w:w="0" w:type="dxa"/>
          </w:tblCellMar>
        </w:tblPrEx>
        <w:tc>
          <w:tcPr>
            <w:tcW w:w="2390" w:type="pct"/>
            <w:gridSpan w:val="2"/>
          </w:tcPr>
          <w:p w:rsidR="005A6497" w:rsidRPr="00435769" w:rsidRDefault="005A6497" w:rsidP="007932B2">
            <w:pPr>
              <w:jc w:val="both"/>
              <w:rPr>
                <w:sz w:val="20"/>
                <w:lang w:val="fr-CA"/>
              </w:rPr>
            </w:pPr>
            <w:r w:rsidRPr="00435769">
              <w:rPr>
                <w:sz w:val="20"/>
                <w:lang w:val="fr-CA"/>
              </w:rPr>
              <w:t>8 septembre 2011</w:t>
            </w:r>
          </w:p>
          <w:p w:rsidR="005A6497" w:rsidRPr="00435769" w:rsidRDefault="005A6497" w:rsidP="007932B2">
            <w:pPr>
              <w:jc w:val="both"/>
              <w:rPr>
                <w:sz w:val="20"/>
                <w:lang w:val="fr-CA"/>
              </w:rPr>
            </w:pPr>
            <w:r w:rsidRPr="00435769">
              <w:rPr>
                <w:sz w:val="20"/>
                <w:lang w:val="fr-CA"/>
              </w:rPr>
              <w:t xml:space="preserve">Cour suprême de la Colombie-Britannique </w:t>
            </w:r>
          </w:p>
          <w:p w:rsidR="005A6497" w:rsidRPr="00435769" w:rsidRDefault="005A6497" w:rsidP="007932B2">
            <w:pPr>
              <w:jc w:val="both"/>
              <w:rPr>
                <w:sz w:val="20"/>
                <w:lang w:val="fr-CA"/>
              </w:rPr>
            </w:pPr>
            <w:r w:rsidRPr="00435769">
              <w:rPr>
                <w:sz w:val="20"/>
                <w:lang w:val="fr-CA"/>
              </w:rPr>
              <w:t>(Juge Harris)</w:t>
            </w:r>
          </w:p>
          <w:p w:rsidR="005A6497" w:rsidRPr="00435769" w:rsidRDefault="00435769" w:rsidP="007932B2">
            <w:pPr>
              <w:jc w:val="both"/>
              <w:rPr>
                <w:sz w:val="20"/>
                <w:lang w:val="fr-CA"/>
              </w:rPr>
            </w:pPr>
            <w:hyperlink r:id="rId58" w:history="1">
              <w:r w:rsidR="005A6497" w:rsidRPr="00435769">
                <w:rPr>
                  <w:rStyle w:val="Hyperlink"/>
                  <w:sz w:val="20"/>
                  <w:lang w:val="fr-CA"/>
                </w:rPr>
                <w:t>2011 BCSC 1210</w:t>
              </w:r>
            </w:hyperlink>
          </w:p>
          <w:p w:rsidR="005A6497" w:rsidRPr="00435769" w:rsidRDefault="005A6497" w:rsidP="007932B2">
            <w:pPr>
              <w:jc w:val="both"/>
              <w:rPr>
                <w:sz w:val="20"/>
                <w:lang w:val="fr-CA"/>
              </w:rPr>
            </w:pPr>
          </w:p>
        </w:tc>
        <w:tc>
          <w:tcPr>
            <w:tcW w:w="270" w:type="pct"/>
          </w:tcPr>
          <w:p w:rsidR="005A6497" w:rsidRPr="00435769" w:rsidRDefault="005A6497" w:rsidP="007932B2">
            <w:pPr>
              <w:jc w:val="both"/>
              <w:rPr>
                <w:sz w:val="20"/>
                <w:lang w:val="fr-CA"/>
              </w:rPr>
            </w:pPr>
          </w:p>
        </w:tc>
        <w:tc>
          <w:tcPr>
            <w:tcW w:w="2340" w:type="pct"/>
          </w:tcPr>
          <w:p w:rsidR="005A6497" w:rsidRPr="00435769" w:rsidRDefault="005A6497" w:rsidP="007932B2">
            <w:pPr>
              <w:jc w:val="both"/>
              <w:rPr>
                <w:sz w:val="20"/>
                <w:lang w:val="fr-CA"/>
              </w:rPr>
            </w:pPr>
            <w:r w:rsidRPr="00435769">
              <w:rPr>
                <w:sz w:val="20"/>
                <w:lang w:val="fr-CA"/>
              </w:rPr>
              <w:t xml:space="preserve">Rejet de l’action contestant la validité constitutionnelle de la </w:t>
            </w:r>
            <w:r w:rsidRPr="00435769">
              <w:rPr>
                <w:i/>
                <w:sz w:val="20"/>
                <w:lang w:val="fr-CA"/>
              </w:rPr>
              <w:t>Loi sur le contrôle des dépenses</w:t>
            </w:r>
          </w:p>
          <w:p w:rsidR="005A6497" w:rsidRPr="00435769" w:rsidRDefault="005A6497" w:rsidP="007932B2">
            <w:pPr>
              <w:jc w:val="both"/>
              <w:rPr>
                <w:sz w:val="20"/>
                <w:lang w:val="fr-CA"/>
              </w:rPr>
            </w:pPr>
          </w:p>
        </w:tc>
      </w:tr>
      <w:tr w:rsidR="005A6497" w:rsidRPr="00435769" w:rsidTr="005A6497">
        <w:tblPrEx>
          <w:tblCellMar>
            <w:bottom w:w="0" w:type="dxa"/>
          </w:tblCellMar>
        </w:tblPrEx>
        <w:trPr>
          <w:trHeight w:val="68"/>
        </w:trPr>
        <w:tc>
          <w:tcPr>
            <w:tcW w:w="2390" w:type="pct"/>
            <w:gridSpan w:val="2"/>
          </w:tcPr>
          <w:p w:rsidR="005A6497" w:rsidRPr="00435769" w:rsidRDefault="005A6497" w:rsidP="007932B2">
            <w:pPr>
              <w:jc w:val="both"/>
              <w:rPr>
                <w:sz w:val="20"/>
                <w:lang w:val="fr-CA"/>
              </w:rPr>
            </w:pPr>
            <w:r w:rsidRPr="00435769">
              <w:rPr>
                <w:sz w:val="20"/>
                <w:lang w:val="fr-CA"/>
              </w:rPr>
              <w:t>19 août 2013</w:t>
            </w:r>
          </w:p>
          <w:p w:rsidR="005A6497" w:rsidRPr="00435769" w:rsidRDefault="005A6497" w:rsidP="007932B2">
            <w:pPr>
              <w:jc w:val="both"/>
              <w:rPr>
                <w:sz w:val="20"/>
                <w:lang w:val="fr-CA"/>
              </w:rPr>
            </w:pPr>
            <w:r w:rsidRPr="00435769">
              <w:rPr>
                <w:sz w:val="20"/>
                <w:lang w:val="fr-CA"/>
              </w:rPr>
              <w:t xml:space="preserve">Cour d’appel de la Colombie-Britannique </w:t>
            </w:r>
          </w:p>
          <w:p w:rsidR="005A6497" w:rsidRPr="00435769" w:rsidRDefault="005A6497" w:rsidP="007932B2">
            <w:pPr>
              <w:jc w:val="both"/>
              <w:rPr>
                <w:sz w:val="20"/>
                <w:lang w:val="fr-CA"/>
              </w:rPr>
            </w:pPr>
            <w:r w:rsidRPr="00435769">
              <w:rPr>
                <w:sz w:val="20"/>
                <w:lang w:val="fr-CA"/>
              </w:rPr>
              <w:t>(Victoria)</w:t>
            </w:r>
          </w:p>
          <w:p w:rsidR="005A6497" w:rsidRPr="00435769" w:rsidRDefault="005A6497" w:rsidP="007932B2">
            <w:pPr>
              <w:jc w:val="both"/>
              <w:rPr>
                <w:sz w:val="20"/>
                <w:lang w:val="fr-CA"/>
              </w:rPr>
            </w:pPr>
            <w:r w:rsidRPr="00435769">
              <w:rPr>
                <w:sz w:val="20"/>
                <w:lang w:val="fr-CA"/>
              </w:rPr>
              <w:t>(Juges Saunders, Kirkpatrick et Garson)</w:t>
            </w:r>
          </w:p>
          <w:p w:rsidR="005A6497" w:rsidRPr="00435769" w:rsidRDefault="00435769" w:rsidP="007932B2">
            <w:pPr>
              <w:jc w:val="both"/>
              <w:rPr>
                <w:sz w:val="20"/>
                <w:lang w:val="fr-CA"/>
              </w:rPr>
            </w:pPr>
            <w:hyperlink r:id="rId59" w:history="1">
              <w:r w:rsidR="005A6497" w:rsidRPr="00435769">
                <w:rPr>
                  <w:rStyle w:val="Hyperlink"/>
                  <w:sz w:val="20"/>
                  <w:lang w:val="fr-CA"/>
                </w:rPr>
                <w:t>2013 BCCA 371</w:t>
              </w:r>
            </w:hyperlink>
          </w:p>
          <w:p w:rsidR="005A6497" w:rsidRPr="00435769" w:rsidRDefault="005A6497" w:rsidP="007932B2">
            <w:pPr>
              <w:jc w:val="both"/>
              <w:rPr>
                <w:sz w:val="20"/>
                <w:lang w:val="fr-CA"/>
              </w:rPr>
            </w:pPr>
          </w:p>
        </w:tc>
        <w:tc>
          <w:tcPr>
            <w:tcW w:w="270" w:type="pct"/>
          </w:tcPr>
          <w:p w:rsidR="005A6497" w:rsidRPr="00435769" w:rsidRDefault="005A6497" w:rsidP="007932B2">
            <w:pPr>
              <w:jc w:val="both"/>
              <w:rPr>
                <w:sz w:val="20"/>
                <w:lang w:val="fr-CA"/>
              </w:rPr>
            </w:pPr>
          </w:p>
        </w:tc>
        <w:tc>
          <w:tcPr>
            <w:tcW w:w="2340" w:type="pct"/>
          </w:tcPr>
          <w:p w:rsidR="005A6497" w:rsidRPr="00435769" w:rsidRDefault="005A6497" w:rsidP="007932B2">
            <w:pPr>
              <w:jc w:val="both"/>
              <w:rPr>
                <w:sz w:val="20"/>
                <w:lang w:val="fr-CA"/>
              </w:rPr>
            </w:pPr>
            <w:r w:rsidRPr="00435769">
              <w:rPr>
                <w:sz w:val="20"/>
                <w:lang w:val="fr-CA"/>
              </w:rPr>
              <w:t>Rejet de l’appel</w:t>
            </w:r>
          </w:p>
          <w:p w:rsidR="005A6497" w:rsidRPr="00435769" w:rsidRDefault="005A6497" w:rsidP="007932B2">
            <w:pPr>
              <w:jc w:val="both"/>
              <w:rPr>
                <w:sz w:val="20"/>
                <w:lang w:val="fr-CA"/>
              </w:rPr>
            </w:pPr>
          </w:p>
        </w:tc>
      </w:tr>
      <w:tr w:rsidR="005A6497" w:rsidRPr="00435769" w:rsidTr="005A6497">
        <w:tblPrEx>
          <w:tblCellMar>
            <w:bottom w:w="0" w:type="dxa"/>
          </w:tblCellMar>
        </w:tblPrEx>
        <w:tc>
          <w:tcPr>
            <w:tcW w:w="2390" w:type="pct"/>
            <w:gridSpan w:val="2"/>
          </w:tcPr>
          <w:p w:rsidR="005A6497" w:rsidRPr="00435769" w:rsidRDefault="005A6497" w:rsidP="007932B2">
            <w:pPr>
              <w:jc w:val="both"/>
              <w:rPr>
                <w:sz w:val="20"/>
                <w:lang w:val="fr-CA"/>
              </w:rPr>
            </w:pPr>
            <w:r w:rsidRPr="00435769">
              <w:rPr>
                <w:sz w:val="20"/>
                <w:lang w:val="fr-CA"/>
              </w:rPr>
              <w:t>3 octobre 2013</w:t>
            </w:r>
          </w:p>
          <w:p w:rsidR="005A6497" w:rsidRPr="00435769" w:rsidRDefault="005A6497" w:rsidP="007932B2">
            <w:pPr>
              <w:jc w:val="both"/>
              <w:rPr>
                <w:sz w:val="20"/>
                <w:lang w:val="fr-CA"/>
              </w:rPr>
            </w:pPr>
            <w:r w:rsidRPr="00435769">
              <w:rPr>
                <w:sz w:val="20"/>
                <w:lang w:val="fr-CA"/>
              </w:rPr>
              <w:t>Cour suprême du Canada</w:t>
            </w:r>
          </w:p>
          <w:p w:rsidR="005A6497" w:rsidRPr="00435769" w:rsidRDefault="005A6497" w:rsidP="007932B2">
            <w:pPr>
              <w:jc w:val="both"/>
              <w:rPr>
                <w:sz w:val="20"/>
                <w:lang w:val="fr-CA"/>
              </w:rPr>
            </w:pPr>
          </w:p>
        </w:tc>
        <w:tc>
          <w:tcPr>
            <w:tcW w:w="270" w:type="pct"/>
          </w:tcPr>
          <w:p w:rsidR="005A6497" w:rsidRPr="00435769" w:rsidRDefault="005A6497" w:rsidP="007932B2">
            <w:pPr>
              <w:jc w:val="both"/>
              <w:rPr>
                <w:sz w:val="20"/>
                <w:lang w:val="fr-CA"/>
              </w:rPr>
            </w:pPr>
          </w:p>
        </w:tc>
        <w:tc>
          <w:tcPr>
            <w:tcW w:w="2340" w:type="pct"/>
          </w:tcPr>
          <w:p w:rsidR="005A6497" w:rsidRPr="00435769" w:rsidRDefault="005A6497" w:rsidP="007932B2">
            <w:pPr>
              <w:jc w:val="both"/>
              <w:rPr>
                <w:sz w:val="20"/>
                <w:lang w:val="fr-CA"/>
              </w:rPr>
            </w:pPr>
            <w:r w:rsidRPr="00435769">
              <w:rPr>
                <w:sz w:val="20"/>
                <w:lang w:val="fr-CA"/>
              </w:rPr>
              <w:t>Dépôt de la demande d’autorisation d’appel</w:t>
            </w:r>
          </w:p>
          <w:p w:rsidR="005A6497" w:rsidRPr="00435769" w:rsidRDefault="005A6497" w:rsidP="007932B2">
            <w:pPr>
              <w:jc w:val="both"/>
              <w:rPr>
                <w:sz w:val="20"/>
                <w:lang w:val="fr-CA"/>
              </w:rPr>
            </w:pPr>
          </w:p>
        </w:tc>
      </w:tr>
      <w:tr w:rsidR="005A6497" w:rsidRPr="00435769" w:rsidTr="005A6497">
        <w:tblPrEx>
          <w:tblCellMar>
            <w:bottom w:w="0" w:type="dxa"/>
          </w:tblCellMar>
        </w:tblPrEx>
        <w:tc>
          <w:tcPr>
            <w:tcW w:w="2390" w:type="pct"/>
            <w:gridSpan w:val="2"/>
          </w:tcPr>
          <w:p w:rsidR="005A6497" w:rsidRPr="00435769" w:rsidRDefault="005A6497" w:rsidP="007932B2">
            <w:pPr>
              <w:jc w:val="both"/>
              <w:rPr>
                <w:sz w:val="20"/>
                <w:lang w:val="fr-CA"/>
              </w:rPr>
            </w:pPr>
            <w:r w:rsidRPr="00435769">
              <w:rPr>
                <w:sz w:val="20"/>
                <w:lang w:val="fr-CA"/>
              </w:rPr>
              <w:t>29 janvier 2015</w:t>
            </w:r>
          </w:p>
          <w:p w:rsidR="005A6497" w:rsidRPr="00435769" w:rsidRDefault="005A6497" w:rsidP="007932B2">
            <w:pPr>
              <w:jc w:val="both"/>
              <w:rPr>
                <w:sz w:val="20"/>
                <w:lang w:val="fr-CA"/>
              </w:rPr>
            </w:pPr>
            <w:r w:rsidRPr="00435769">
              <w:rPr>
                <w:sz w:val="20"/>
                <w:lang w:val="fr-CA"/>
              </w:rPr>
              <w:t xml:space="preserve">Cour suprême du Canada </w:t>
            </w:r>
          </w:p>
          <w:p w:rsidR="005A6497" w:rsidRPr="00435769" w:rsidRDefault="005A6497" w:rsidP="007932B2">
            <w:pPr>
              <w:jc w:val="both"/>
              <w:rPr>
                <w:sz w:val="20"/>
                <w:lang w:val="fr-CA"/>
              </w:rPr>
            </w:pPr>
            <w:r w:rsidRPr="00435769">
              <w:rPr>
                <w:sz w:val="20"/>
                <w:lang w:val="fr-CA"/>
              </w:rPr>
              <w:t>(Juges Lebel, Karakatsanis et Wagner)</w:t>
            </w:r>
          </w:p>
          <w:p w:rsidR="005A6497" w:rsidRPr="00435769" w:rsidRDefault="005A6497" w:rsidP="007932B2">
            <w:pPr>
              <w:jc w:val="both"/>
              <w:rPr>
                <w:sz w:val="20"/>
                <w:lang w:val="fr-CA"/>
              </w:rPr>
            </w:pPr>
          </w:p>
        </w:tc>
        <w:tc>
          <w:tcPr>
            <w:tcW w:w="270" w:type="pct"/>
          </w:tcPr>
          <w:p w:rsidR="005A6497" w:rsidRPr="00435769" w:rsidRDefault="005A6497" w:rsidP="007932B2">
            <w:pPr>
              <w:jc w:val="both"/>
              <w:rPr>
                <w:sz w:val="20"/>
                <w:lang w:val="fr-CA"/>
              </w:rPr>
            </w:pPr>
          </w:p>
        </w:tc>
        <w:tc>
          <w:tcPr>
            <w:tcW w:w="2340" w:type="pct"/>
          </w:tcPr>
          <w:p w:rsidR="005A6497" w:rsidRPr="00435769" w:rsidRDefault="005A6497" w:rsidP="007932B2">
            <w:pPr>
              <w:jc w:val="both"/>
              <w:rPr>
                <w:sz w:val="20"/>
                <w:lang w:val="fr-CA"/>
              </w:rPr>
            </w:pPr>
            <w:r w:rsidRPr="00435769">
              <w:rPr>
                <w:sz w:val="20"/>
                <w:lang w:val="fr-CA"/>
              </w:rPr>
              <w:t xml:space="preserve">Décision sur la demande d’autorisation d’appel : l’affaire est renvoyée à la Cour d’appel de la Colombie-Britannique conformément au par. 43(1.1) de la </w:t>
            </w:r>
            <w:r w:rsidRPr="00435769">
              <w:rPr>
                <w:i/>
                <w:sz w:val="20"/>
                <w:lang w:val="fr-CA"/>
              </w:rPr>
              <w:t>Loi sur la Cour suprême</w:t>
            </w:r>
          </w:p>
          <w:p w:rsidR="005A6497" w:rsidRPr="00435769" w:rsidRDefault="005A6497" w:rsidP="007932B2">
            <w:pPr>
              <w:jc w:val="both"/>
              <w:rPr>
                <w:sz w:val="20"/>
                <w:lang w:val="fr-CA"/>
              </w:rPr>
            </w:pPr>
          </w:p>
        </w:tc>
      </w:tr>
      <w:tr w:rsidR="005A6497" w:rsidRPr="00435769" w:rsidTr="005A6497">
        <w:tblPrEx>
          <w:tblCellMar>
            <w:bottom w:w="0" w:type="dxa"/>
          </w:tblCellMar>
        </w:tblPrEx>
        <w:tc>
          <w:tcPr>
            <w:tcW w:w="2390" w:type="pct"/>
            <w:gridSpan w:val="2"/>
          </w:tcPr>
          <w:p w:rsidR="005A6497" w:rsidRPr="00435769" w:rsidRDefault="005A6497" w:rsidP="007932B2">
            <w:pPr>
              <w:jc w:val="both"/>
              <w:rPr>
                <w:sz w:val="20"/>
                <w:lang w:val="fr-CA"/>
              </w:rPr>
            </w:pPr>
            <w:r w:rsidRPr="00435769">
              <w:rPr>
                <w:sz w:val="20"/>
                <w:lang w:val="fr-CA"/>
              </w:rPr>
              <w:t>13 avril 2016</w:t>
            </w:r>
          </w:p>
          <w:p w:rsidR="005A6497" w:rsidRPr="00435769" w:rsidRDefault="005A6497" w:rsidP="007932B2">
            <w:pPr>
              <w:jc w:val="both"/>
              <w:rPr>
                <w:sz w:val="20"/>
                <w:lang w:val="fr-CA"/>
              </w:rPr>
            </w:pPr>
            <w:r w:rsidRPr="00435769">
              <w:rPr>
                <w:sz w:val="20"/>
                <w:lang w:val="fr-CA"/>
              </w:rPr>
              <w:t xml:space="preserve">Cour d’appel de la Colombie-Britannique </w:t>
            </w:r>
          </w:p>
          <w:p w:rsidR="005A6497" w:rsidRPr="00435769" w:rsidRDefault="005A6497" w:rsidP="007932B2">
            <w:pPr>
              <w:jc w:val="both"/>
              <w:rPr>
                <w:sz w:val="20"/>
                <w:lang w:val="fr-CA"/>
              </w:rPr>
            </w:pPr>
            <w:r w:rsidRPr="00435769">
              <w:rPr>
                <w:sz w:val="20"/>
                <w:lang w:val="fr-CA"/>
              </w:rPr>
              <w:t>(Vancouver)</w:t>
            </w:r>
          </w:p>
          <w:p w:rsidR="005A6497" w:rsidRPr="00435769" w:rsidRDefault="005A6497" w:rsidP="007932B2">
            <w:pPr>
              <w:jc w:val="both"/>
              <w:rPr>
                <w:sz w:val="20"/>
                <w:lang w:val="fr-CA"/>
              </w:rPr>
            </w:pPr>
            <w:r w:rsidRPr="00435769">
              <w:rPr>
                <w:sz w:val="20"/>
                <w:lang w:val="fr-CA"/>
              </w:rPr>
              <w:t>(Juges Saunders, Kirkpatrick et Garson)</w:t>
            </w:r>
          </w:p>
          <w:p w:rsidR="005A6497" w:rsidRPr="00435769" w:rsidRDefault="00435769" w:rsidP="007932B2">
            <w:pPr>
              <w:jc w:val="both"/>
              <w:rPr>
                <w:sz w:val="20"/>
                <w:lang w:val="fr-CA"/>
              </w:rPr>
            </w:pPr>
            <w:hyperlink r:id="rId60" w:history="1">
              <w:r w:rsidR="005A6497" w:rsidRPr="00435769">
                <w:rPr>
                  <w:rStyle w:val="Hyperlink"/>
                  <w:sz w:val="20"/>
                  <w:lang w:val="fr-CA"/>
                </w:rPr>
                <w:t>2016 BCCA 156</w:t>
              </w:r>
            </w:hyperlink>
          </w:p>
          <w:p w:rsidR="005A6497" w:rsidRPr="00435769" w:rsidRDefault="005A6497" w:rsidP="007932B2">
            <w:pPr>
              <w:jc w:val="both"/>
              <w:rPr>
                <w:sz w:val="20"/>
                <w:lang w:val="fr-CA"/>
              </w:rPr>
            </w:pPr>
          </w:p>
        </w:tc>
        <w:tc>
          <w:tcPr>
            <w:tcW w:w="270" w:type="pct"/>
          </w:tcPr>
          <w:p w:rsidR="005A6497" w:rsidRPr="00435769" w:rsidRDefault="005A6497" w:rsidP="007932B2">
            <w:pPr>
              <w:jc w:val="both"/>
              <w:rPr>
                <w:sz w:val="20"/>
                <w:lang w:val="fr-CA"/>
              </w:rPr>
            </w:pPr>
          </w:p>
        </w:tc>
        <w:tc>
          <w:tcPr>
            <w:tcW w:w="2340" w:type="pct"/>
          </w:tcPr>
          <w:p w:rsidR="005A6497" w:rsidRPr="00435769" w:rsidRDefault="005A6497" w:rsidP="007932B2">
            <w:pPr>
              <w:jc w:val="both"/>
              <w:rPr>
                <w:sz w:val="20"/>
                <w:lang w:val="fr-CA"/>
              </w:rPr>
            </w:pPr>
            <w:r w:rsidRPr="00435769">
              <w:rPr>
                <w:sz w:val="20"/>
                <w:lang w:val="fr-CA"/>
              </w:rPr>
              <w:t>Rejet de l’appel</w:t>
            </w:r>
          </w:p>
        </w:tc>
      </w:tr>
      <w:tr w:rsidR="005A6497" w:rsidRPr="00435769" w:rsidTr="005A6497">
        <w:tblPrEx>
          <w:tblCellMar>
            <w:bottom w:w="0" w:type="dxa"/>
          </w:tblCellMar>
        </w:tblPrEx>
        <w:tc>
          <w:tcPr>
            <w:tcW w:w="2390" w:type="pct"/>
            <w:gridSpan w:val="2"/>
          </w:tcPr>
          <w:p w:rsidR="005A6497" w:rsidRPr="00435769" w:rsidRDefault="005A6497" w:rsidP="007932B2">
            <w:pPr>
              <w:jc w:val="both"/>
              <w:rPr>
                <w:sz w:val="20"/>
                <w:lang w:val="fr-CA"/>
              </w:rPr>
            </w:pPr>
            <w:r w:rsidRPr="00435769">
              <w:rPr>
                <w:sz w:val="20"/>
                <w:lang w:val="fr-CA"/>
              </w:rPr>
              <w:t>13 juin 2016</w:t>
            </w:r>
          </w:p>
          <w:p w:rsidR="005A6497" w:rsidRPr="00435769" w:rsidRDefault="005A6497" w:rsidP="007932B2">
            <w:pPr>
              <w:jc w:val="both"/>
              <w:rPr>
                <w:sz w:val="20"/>
                <w:lang w:val="fr-CA"/>
              </w:rPr>
            </w:pPr>
            <w:r w:rsidRPr="00435769">
              <w:rPr>
                <w:sz w:val="20"/>
                <w:lang w:val="fr-CA"/>
              </w:rPr>
              <w:t>Cour suprême du Canada</w:t>
            </w:r>
          </w:p>
        </w:tc>
        <w:tc>
          <w:tcPr>
            <w:tcW w:w="270" w:type="pct"/>
          </w:tcPr>
          <w:p w:rsidR="005A6497" w:rsidRPr="00435769" w:rsidRDefault="005A6497" w:rsidP="007932B2">
            <w:pPr>
              <w:jc w:val="both"/>
              <w:rPr>
                <w:sz w:val="20"/>
                <w:lang w:val="fr-CA"/>
              </w:rPr>
            </w:pPr>
          </w:p>
        </w:tc>
        <w:tc>
          <w:tcPr>
            <w:tcW w:w="2340" w:type="pct"/>
          </w:tcPr>
          <w:p w:rsidR="005A6497" w:rsidRPr="00435769" w:rsidRDefault="005A6497" w:rsidP="007932B2">
            <w:pPr>
              <w:jc w:val="both"/>
              <w:rPr>
                <w:sz w:val="20"/>
                <w:lang w:val="fr-CA"/>
              </w:rPr>
            </w:pPr>
            <w:r w:rsidRPr="00435769">
              <w:rPr>
                <w:sz w:val="20"/>
                <w:lang w:val="fr-CA"/>
              </w:rPr>
              <w:t>Dépôt de la demande d’autorisation d’appel</w:t>
            </w:r>
          </w:p>
          <w:p w:rsidR="005A6497" w:rsidRPr="00435769" w:rsidRDefault="005A6497" w:rsidP="007932B2">
            <w:pPr>
              <w:jc w:val="both"/>
              <w:rPr>
                <w:sz w:val="20"/>
                <w:lang w:val="fr-CA"/>
              </w:rPr>
            </w:pPr>
          </w:p>
        </w:tc>
      </w:tr>
    </w:tbl>
    <w:p w:rsidR="005A6497" w:rsidRPr="00435769" w:rsidRDefault="005A6497" w:rsidP="007932B2">
      <w:pPr>
        <w:jc w:val="both"/>
        <w:rPr>
          <w:sz w:val="20"/>
          <w:lang w:val="fr-CA"/>
        </w:rPr>
      </w:pPr>
    </w:p>
    <w:p w:rsidR="008E7E00" w:rsidRPr="00435769" w:rsidRDefault="008E7E00" w:rsidP="007932B2">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lang w:val="en-CA"/>
              </w:rPr>
            </w:pPr>
            <w:r w:rsidRPr="00435769">
              <w:rPr>
                <w:rStyle w:val="SCCFileNumberChar"/>
                <w:sz w:val="20"/>
                <w:szCs w:val="20"/>
              </w:rPr>
              <w:t>37002</w:t>
            </w:r>
          </w:p>
        </w:tc>
        <w:tc>
          <w:tcPr>
            <w:tcW w:w="4457" w:type="pct"/>
            <w:gridSpan w:val="3"/>
          </w:tcPr>
          <w:p w:rsidR="005A6497" w:rsidRPr="00435769" w:rsidRDefault="005A6497" w:rsidP="007932B2">
            <w:pPr>
              <w:pStyle w:val="SCCLsocParty"/>
              <w:jc w:val="both"/>
              <w:rPr>
                <w:b/>
                <w:sz w:val="20"/>
                <w:szCs w:val="20"/>
              </w:rPr>
            </w:pPr>
            <w:r w:rsidRPr="00435769">
              <w:rPr>
                <w:b/>
                <w:sz w:val="20"/>
                <w:szCs w:val="20"/>
              </w:rPr>
              <w:t>Centrale des Syndicats du Québec, Fédération des intervenantes en petite enfance du Québec (FIPEQ-CSQ), Syndicat des intervenantes en petite enfance de Montréal (SIPEM-CSQ), Syndicat des intervenantes en petite enfance de Québec (SIPEQ-CSQ), Syndicat des intervenantes en petite enfance de l’Estrie (SIPEE-CSQ), Francine Joly, Nathalie Fillion, Louise Fréchette, Fédération du personnel du soutien de l’enseignement supérieur (FPSES) (CSQ), Syndicat des interprètes professionnels du Sivet (CSQ), Chantal Bousquet and Yannick François v. Attorney General of Quebec</w:t>
            </w:r>
          </w:p>
          <w:p w:rsidR="005A6497" w:rsidRPr="00435769" w:rsidRDefault="005A6497" w:rsidP="007932B2">
            <w:pPr>
              <w:pStyle w:val="SCCLsocSubfileSeparator"/>
              <w:rPr>
                <w:sz w:val="20"/>
                <w:szCs w:val="20"/>
                <w:lang w:val="fr-CA"/>
              </w:rPr>
            </w:pPr>
            <w:r w:rsidRPr="00435769">
              <w:rPr>
                <w:sz w:val="20"/>
                <w:szCs w:val="20"/>
                <w:lang w:val="fr-CA"/>
              </w:rPr>
              <w:t>- and between -</w:t>
            </w:r>
          </w:p>
          <w:p w:rsidR="005A6497" w:rsidRPr="00435769" w:rsidRDefault="005A6497" w:rsidP="007932B2">
            <w:pPr>
              <w:pStyle w:val="SCCLsocParty"/>
              <w:jc w:val="both"/>
              <w:rPr>
                <w:b/>
                <w:sz w:val="20"/>
                <w:szCs w:val="20"/>
              </w:rPr>
            </w:pPr>
            <w:r w:rsidRPr="00435769">
              <w:rPr>
                <w:b/>
                <w:sz w:val="20"/>
                <w:szCs w:val="20"/>
              </w:rPr>
              <w:t>Confédération des syndicats nationaux, Fédération de la santé et des services sociaux, Syndicat des travailleuses et travailleurs des CPE de la Montérégie, Syndicat des travailleuses des CPE de Montréal et de Laval, France Laniel, Ginette Lavoie and Danielle Paré v. Attorney General of Quebec</w:t>
            </w:r>
          </w:p>
          <w:p w:rsidR="005A6497" w:rsidRPr="00435769" w:rsidRDefault="005A6497" w:rsidP="007932B2">
            <w:pPr>
              <w:jc w:val="both"/>
              <w:rPr>
                <w:sz w:val="20"/>
                <w:lang w:val="en-CA"/>
              </w:rPr>
            </w:pPr>
            <w:r w:rsidRPr="00435769">
              <w:rPr>
                <w:sz w:val="20"/>
                <w:lang w:val="en-CA"/>
              </w:rPr>
              <w:t>(Que.) (Civil) (By Leave)</w:t>
            </w:r>
          </w:p>
        </w:tc>
      </w:tr>
      <w:tr w:rsidR="005A6497" w:rsidRPr="00435769" w:rsidTr="005A6497">
        <w:tc>
          <w:tcPr>
            <w:tcW w:w="5000" w:type="pct"/>
            <w:gridSpan w:val="4"/>
          </w:tcPr>
          <w:p w:rsidR="005A6497" w:rsidRPr="00435769" w:rsidRDefault="005A6497" w:rsidP="007932B2">
            <w:pPr>
              <w:pStyle w:val="SCCBanSummary"/>
              <w:rPr>
                <w:sz w:val="20"/>
                <w:szCs w:val="20"/>
              </w:rPr>
            </w:pPr>
            <w:r w:rsidRPr="00435769">
              <w:rPr>
                <w:i/>
                <w:smallCaps w:val="0"/>
                <w:sz w:val="20"/>
                <w:szCs w:val="20"/>
              </w:rPr>
              <w:t>Canadian Charter of Rights and Freedoms</w:t>
            </w:r>
            <w:r w:rsidRPr="00435769">
              <w:rPr>
                <w:smallCaps w:val="0"/>
                <w:sz w:val="20"/>
                <w:szCs w:val="20"/>
              </w:rPr>
              <w:t xml:space="preserve"> ‒ Right to equality ‒ Pay equity ‒ Time limit for compensation adjustments different for enterprises with no predominantly male job class ‒ Whether s. 38 of </w:t>
            </w:r>
            <w:r w:rsidRPr="00435769">
              <w:rPr>
                <w:i/>
                <w:smallCaps w:val="0"/>
                <w:sz w:val="20"/>
                <w:szCs w:val="20"/>
              </w:rPr>
              <w:t xml:space="preserve">Pay Equity Act </w:t>
            </w:r>
            <w:r w:rsidRPr="00435769">
              <w:rPr>
                <w:smallCaps w:val="0"/>
                <w:sz w:val="20"/>
                <w:szCs w:val="20"/>
              </w:rPr>
              <w:t xml:space="preserve">(P.E.A.), through its combined effect with s. 71, infringes right to equality protected by s. 15 of </w:t>
            </w:r>
            <w:r w:rsidRPr="00435769">
              <w:rPr>
                <w:i/>
                <w:smallCaps w:val="0"/>
                <w:sz w:val="20"/>
                <w:szCs w:val="20"/>
              </w:rPr>
              <w:t>Canadian Charter</w:t>
            </w:r>
            <w:r w:rsidRPr="00435769">
              <w:rPr>
                <w:smallCaps w:val="0"/>
                <w:sz w:val="20"/>
                <w:szCs w:val="20"/>
              </w:rPr>
              <w:t xml:space="preserve"> for women holding predominantly female job in enterprise with no male comparator ‒ Whether distinction created by combined effect of ss. 38 and 71 </w:t>
            </w:r>
            <w:r w:rsidRPr="00435769">
              <w:rPr>
                <w:i/>
                <w:smallCaps w:val="0"/>
                <w:sz w:val="20"/>
                <w:szCs w:val="20"/>
              </w:rPr>
              <w:t>P.E.A.</w:t>
            </w:r>
            <w:r w:rsidRPr="00435769">
              <w:rPr>
                <w:smallCaps w:val="0"/>
                <w:sz w:val="20"/>
                <w:szCs w:val="20"/>
              </w:rPr>
              <w:t xml:space="preserve"> is distinction based on sex or analogous ground ‒ </w:t>
            </w:r>
            <w:r w:rsidRPr="00435769">
              <w:rPr>
                <w:i/>
                <w:smallCaps w:val="0"/>
                <w:sz w:val="20"/>
                <w:szCs w:val="20"/>
              </w:rPr>
              <w:t>Pay Equity Act</w:t>
            </w:r>
            <w:r w:rsidRPr="00435769">
              <w:rPr>
                <w:smallCaps w:val="0"/>
                <w:sz w:val="20"/>
                <w:szCs w:val="20"/>
              </w:rPr>
              <w:t>, CQLR, c. E</w:t>
            </w:r>
            <w:r w:rsidRPr="00435769">
              <w:rPr>
                <w:smallCaps w:val="0"/>
                <w:sz w:val="20"/>
                <w:szCs w:val="20"/>
              </w:rPr>
              <w:noBreakHyphen/>
              <w:t>12.001, ss. 1, 37, 38, 71 and 114.</w:t>
            </w:r>
          </w:p>
        </w:tc>
      </w:tr>
      <w:tr w:rsidR="005A6497" w:rsidRPr="00435769" w:rsidTr="005A6497">
        <w:tc>
          <w:tcPr>
            <w:tcW w:w="5000" w:type="pct"/>
            <w:gridSpan w:val="4"/>
          </w:tcPr>
          <w:p w:rsidR="005A6497" w:rsidRPr="00435769" w:rsidRDefault="005A6497" w:rsidP="007932B2">
            <w:pPr>
              <w:jc w:val="both"/>
              <w:rPr>
                <w:sz w:val="20"/>
                <w:lang w:val="en-CA"/>
              </w:rPr>
            </w:pPr>
          </w:p>
        </w:tc>
      </w:tr>
      <w:tr w:rsidR="005A6497" w:rsidRPr="00435769" w:rsidTr="005A6497">
        <w:tc>
          <w:tcPr>
            <w:tcW w:w="5000" w:type="pct"/>
            <w:gridSpan w:val="4"/>
          </w:tcPr>
          <w:p w:rsidR="005A6497" w:rsidRPr="00435769" w:rsidRDefault="005A6497" w:rsidP="007932B2">
            <w:pPr>
              <w:jc w:val="both"/>
              <w:rPr>
                <w:color w:val="000000"/>
                <w:sz w:val="20"/>
                <w:lang w:val="en-CA"/>
              </w:rPr>
            </w:pPr>
            <w:r w:rsidRPr="00435769">
              <w:rPr>
                <w:sz w:val="20"/>
                <w:lang w:val="en-CA"/>
              </w:rPr>
              <w:t xml:space="preserve">The applicants, the </w:t>
            </w:r>
            <w:r w:rsidRPr="00435769">
              <w:rPr>
                <w:color w:val="000000"/>
                <w:sz w:val="20"/>
                <w:lang w:val="en-CA"/>
              </w:rPr>
              <w:t>Centrale des syndicats du Québec et al.,</w:t>
            </w:r>
            <w:r w:rsidRPr="00435769">
              <w:rPr>
                <w:sz w:val="20"/>
                <w:lang w:val="en-CA"/>
              </w:rPr>
              <w:t xml:space="preserve"> primarily represent employees working in childcare centres, most of whom are employed as day care educators and sign language interpreters. Under the </w:t>
            </w:r>
            <w:r w:rsidRPr="00435769">
              <w:rPr>
                <w:i/>
                <w:sz w:val="20"/>
                <w:lang w:val="en-CA"/>
              </w:rPr>
              <w:t>Pay Equity Act</w:t>
            </w:r>
            <w:r w:rsidRPr="00435769">
              <w:rPr>
                <w:sz w:val="20"/>
                <w:lang w:val="en-CA"/>
              </w:rPr>
              <w:t>, CQLR, c. E</w:t>
            </w:r>
            <w:r w:rsidRPr="00435769">
              <w:rPr>
                <w:sz w:val="20"/>
                <w:lang w:val="en-CA"/>
              </w:rPr>
              <w:noBreakHyphen/>
              <w:t>12.001 (P.E.A.), those enterprises have no predominantly male job class (PMJC), or in other words, no male comparator, for the purposes of women’s right to pay equity. Under s. </w:t>
            </w:r>
            <w:r w:rsidRPr="00435769">
              <w:rPr>
                <w:color w:val="000000"/>
                <w:sz w:val="20"/>
                <w:lang w:val="en-CA"/>
              </w:rPr>
              <w:t xml:space="preserve">37 P.E.A., enterprises with a PMJC had until December 21, 2001, or four years after the coming into force of the Act, to complete their pay equity plan and start paying the resulting compensation adjustments. However, s. 38 of the P.E.A. required enterprises with no male comparator to complete the exercise within a maximum of two years after the coming into force of a regulation on the subject, with no effect retroactive to December 21, 2001. The applicants argued that s. 38 of the P.E.A. and that time gap created discrimination contrary to s. 15(1) of the </w:t>
            </w:r>
            <w:r w:rsidRPr="00435769">
              <w:rPr>
                <w:i/>
                <w:color w:val="000000"/>
                <w:sz w:val="20"/>
                <w:lang w:val="en-CA"/>
              </w:rPr>
              <w:t>Canadian Charter</w:t>
            </w:r>
            <w:r w:rsidRPr="00435769">
              <w:rPr>
                <w:color w:val="000000"/>
                <w:sz w:val="20"/>
                <w:lang w:val="en-CA"/>
              </w:rPr>
              <w:t>.</w:t>
            </w:r>
          </w:p>
          <w:p w:rsidR="005A6497" w:rsidRPr="00435769" w:rsidRDefault="005A6497" w:rsidP="007932B2">
            <w:pPr>
              <w:jc w:val="both"/>
              <w:rPr>
                <w:sz w:val="20"/>
                <w:lang w:val="en-CA"/>
              </w:rPr>
            </w:pPr>
          </w:p>
        </w:tc>
      </w:tr>
      <w:tr w:rsidR="005A6497" w:rsidRPr="00435769" w:rsidTr="005A6497">
        <w:tc>
          <w:tcPr>
            <w:tcW w:w="2427" w:type="pct"/>
            <w:gridSpan w:val="2"/>
          </w:tcPr>
          <w:p w:rsidR="005A6497" w:rsidRPr="00435769" w:rsidRDefault="005A6497" w:rsidP="007932B2">
            <w:pPr>
              <w:jc w:val="both"/>
              <w:rPr>
                <w:sz w:val="20"/>
                <w:lang w:val="en-CA"/>
              </w:rPr>
            </w:pPr>
            <w:r w:rsidRPr="00435769">
              <w:rPr>
                <w:sz w:val="20"/>
                <w:lang w:val="en-CA"/>
              </w:rPr>
              <w:t>September 2, 2014</w:t>
            </w:r>
          </w:p>
          <w:p w:rsidR="005A6497" w:rsidRPr="00435769" w:rsidRDefault="005A6497" w:rsidP="007932B2">
            <w:pPr>
              <w:jc w:val="both"/>
              <w:rPr>
                <w:sz w:val="20"/>
                <w:lang w:val="en-CA"/>
              </w:rPr>
            </w:pPr>
            <w:r w:rsidRPr="00435769">
              <w:rPr>
                <w:sz w:val="20"/>
                <w:lang w:val="en-CA"/>
              </w:rPr>
              <w:t>Quebec Superior Court</w:t>
            </w:r>
          </w:p>
          <w:p w:rsidR="005A6497" w:rsidRPr="00435769" w:rsidRDefault="005A6497" w:rsidP="007932B2">
            <w:pPr>
              <w:jc w:val="both"/>
              <w:rPr>
                <w:sz w:val="20"/>
                <w:lang w:val="en-CA"/>
              </w:rPr>
            </w:pPr>
            <w:r w:rsidRPr="00435769">
              <w:rPr>
                <w:sz w:val="20"/>
                <w:lang w:val="en-CA"/>
              </w:rPr>
              <w:t>(Yergeau J.)</w:t>
            </w:r>
          </w:p>
          <w:p w:rsidR="005A6497" w:rsidRPr="00435769" w:rsidRDefault="00435769" w:rsidP="007932B2">
            <w:pPr>
              <w:jc w:val="both"/>
              <w:rPr>
                <w:sz w:val="20"/>
                <w:lang w:val="en-CA"/>
              </w:rPr>
            </w:pPr>
            <w:hyperlink r:id="rId61" w:history="1">
              <w:r w:rsidR="005A6497" w:rsidRPr="00435769">
                <w:rPr>
                  <w:rStyle w:val="Hyperlink"/>
                  <w:sz w:val="20"/>
                  <w:lang w:val="en-CA"/>
                </w:rPr>
                <w:t>2014 QCCS 4197</w:t>
              </w:r>
            </w:hyperlink>
          </w:p>
          <w:p w:rsidR="005A6497" w:rsidRPr="00435769" w:rsidRDefault="005A6497" w:rsidP="007932B2">
            <w:pPr>
              <w:jc w:val="both"/>
              <w:rPr>
                <w:sz w:val="20"/>
                <w:lang w:val="en-CA"/>
              </w:rPr>
            </w:pPr>
          </w:p>
        </w:tc>
        <w:tc>
          <w:tcPr>
            <w:tcW w:w="243" w:type="pct"/>
          </w:tcPr>
          <w:p w:rsidR="005A6497" w:rsidRPr="00435769" w:rsidRDefault="005A6497" w:rsidP="007932B2">
            <w:pPr>
              <w:jc w:val="both"/>
              <w:rPr>
                <w:sz w:val="20"/>
                <w:lang w:val="en-CA"/>
              </w:rPr>
            </w:pPr>
          </w:p>
        </w:tc>
        <w:tc>
          <w:tcPr>
            <w:tcW w:w="2330" w:type="pct"/>
          </w:tcPr>
          <w:p w:rsidR="005A6497" w:rsidRPr="00435769" w:rsidRDefault="005A6497" w:rsidP="007932B2">
            <w:pPr>
              <w:jc w:val="both"/>
              <w:rPr>
                <w:sz w:val="20"/>
                <w:lang w:val="en-CA"/>
              </w:rPr>
            </w:pPr>
            <w:r w:rsidRPr="00435769">
              <w:rPr>
                <w:sz w:val="20"/>
                <w:lang w:val="en-CA"/>
              </w:rPr>
              <w:t>Motions to institute proceedings dismissed</w:t>
            </w:r>
          </w:p>
          <w:p w:rsidR="005A6497" w:rsidRPr="00435769" w:rsidRDefault="005A6497" w:rsidP="007932B2">
            <w:pPr>
              <w:jc w:val="both"/>
              <w:rPr>
                <w:sz w:val="20"/>
                <w:lang w:val="en-CA"/>
              </w:rPr>
            </w:pPr>
          </w:p>
        </w:tc>
      </w:tr>
      <w:tr w:rsidR="005A6497" w:rsidRPr="00435769" w:rsidTr="005A6497">
        <w:tc>
          <w:tcPr>
            <w:tcW w:w="2427" w:type="pct"/>
            <w:gridSpan w:val="2"/>
          </w:tcPr>
          <w:p w:rsidR="005A6497" w:rsidRPr="00435769" w:rsidRDefault="005A6497" w:rsidP="007932B2">
            <w:pPr>
              <w:jc w:val="both"/>
              <w:rPr>
                <w:sz w:val="20"/>
                <w:lang w:val="en-CA"/>
              </w:rPr>
            </w:pPr>
            <w:r w:rsidRPr="00435769">
              <w:rPr>
                <w:sz w:val="20"/>
                <w:lang w:val="en-CA"/>
              </w:rPr>
              <w:t>March 8, 2016</w:t>
            </w:r>
          </w:p>
          <w:p w:rsidR="005A6497" w:rsidRPr="00435769" w:rsidRDefault="005A6497" w:rsidP="007932B2">
            <w:pPr>
              <w:jc w:val="both"/>
              <w:rPr>
                <w:sz w:val="20"/>
                <w:lang w:val="en-CA"/>
              </w:rPr>
            </w:pPr>
            <w:r w:rsidRPr="00435769">
              <w:rPr>
                <w:sz w:val="20"/>
                <w:lang w:val="en-CA"/>
              </w:rPr>
              <w:t>Quebec Court of Appeal (Québec)</w:t>
            </w:r>
          </w:p>
          <w:p w:rsidR="005A6497" w:rsidRPr="00435769" w:rsidRDefault="005A6497" w:rsidP="007932B2">
            <w:pPr>
              <w:jc w:val="both"/>
              <w:rPr>
                <w:sz w:val="20"/>
                <w:lang w:val="en-CA"/>
              </w:rPr>
            </w:pPr>
            <w:r w:rsidRPr="00435769">
              <w:rPr>
                <w:sz w:val="20"/>
                <w:lang w:val="en-CA"/>
              </w:rPr>
              <w:t>(Vézina, St-Pierre and Émond JJ.A.)</w:t>
            </w:r>
          </w:p>
          <w:p w:rsidR="005A6497" w:rsidRPr="00435769" w:rsidRDefault="00435769" w:rsidP="007932B2">
            <w:pPr>
              <w:jc w:val="both"/>
              <w:rPr>
                <w:sz w:val="20"/>
                <w:lang w:val="en-CA"/>
              </w:rPr>
            </w:pPr>
            <w:hyperlink r:id="rId62" w:history="1">
              <w:r w:rsidR="005A6497" w:rsidRPr="00435769">
                <w:rPr>
                  <w:rStyle w:val="Hyperlink"/>
                  <w:sz w:val="20"/>
                  <w:lang w:val="en-CA"/>
                </w:rPr>
                <w:t>2016 QCCA 424</w:t>
              </w:r>
            </w:hyperlink>
          </w:p>
          <w:p w:rsidR="005A6497" w:rsidRPr="00435769" w:rsidRDefault="005A6497" w:rsidP="007932B2">
            <w:pPr>
              <w:jc w:val="both"/>
              <w:rPr>
                <w:sz w:val="20"/>
                <w:lang w:val="en-CA"/>
              </w:rPr>
            </w:pPr>
          </w:p>
        </w:tc>
        <w:tc>
          <w:tcPr>
            <w:tcW w:w="243" w:type="pct"/>
          </w:tcPr>
          <w:p w:rsidR="005A6497" w:rsidRPr="00435769" w:rsidRDefault="005A6497" w:rsidP="007932B2">
            <w:pPr>
              <w:jc w:val="both"/>
              <w:rPr>
                <w:sz w:val="20"/>
                <w:lang w:val="en-CA"/>
              </w:rPr>
            </w:pPr>
          </w:p>
        </w:tc>
        <w:tc>
          <w:tcPr>
            <w:tcW w:w="2330" w:type="pct"/>
          </w:tcPr>
          <w:p w:rsidR="005A6497" w:rsidRPr="00435769" w:rsidRDefault="005A6497" w:rsidP="007932B2">
            <w:pPr>
              <w:jc w:val="both"/>
              <w:rPr>
                <w:sz w:val="20"/>
                <w:lang w:val="en-CA"/>
              </w:rPr>
            </w:pPr>
            <w:r w:rsidRPr="00435769">
              <w:rPr>
                <w:sz w:val="20"/>
                <w:lang w:val="en-CA"/>
              </w:rPr>
              <w:t>Appeal dismissed</w:t>
            </w:r>
          </w:p>
          <w:p w:rsidR="005A6497" w:rsidRPr="00435769" w:rsidRDefault="005A6497" w:rsidP="007932B2">
            <w:pPr>
              <w:jc w:val="both"/>
              <w:rPr>
                <w:sz w:val="20"/>
                <w:lang w:val="en-CA"/>
              </w:rPr>
            </w:pPr>
          </w:p>
          <w:p w:rsidR="005A6497" w:rsidRPr="00435769" w:rsidRDefault="005A6497" w:rsidP="007932B2">
            <w:pPr>
              <w:jc w:val="both"/>
              <w:rPr>
                <w:sz w:val="20"/>
                <w:lang w:val="en-CA"/>
              </w:rPr>
            </w:pPr>
          </w:p>
        </w:tc>
      </w:tr>
      <w:tr w:rsidR="005A6497" w:rsidRPr="00435769" w:rsidTr="005A6497">
        <w:tc>
          <w:tcPr>
            <w:tcW w:w="2427" w:type="pct"/>
            <w:gridSpan w:val="2"/>
          </w:tcPr>
          <w:p w:rsidR="005A6497" w:rsidRPr="00435769" w:rsidRDefault="005A6497" w:rsidP="007932B2">
            <w:pPr>
              <w:jc w:val="both"/>
              <w:rPr>
                <w:sz w:val="20"/>
                <w:lang w:val="en-CA"/>
              </w:rPr>
            </w:pPr>
            <w:r w:rsidRPr="00435769">
              <w:rPr>
                <w:sz w:val="20"/>
                <w:lang w:val="en-CA"/>
              </w:rPr>
              <w:t>May 9, 2016</w:t>
            </w:r>
          </w:p>
          <w:p w:rsidR="005A6497" w:rsidRPr="00435769" w:rsidRDefault="005A6497" w:rsidP="007932B2">
            <w:pPr>
              <w:jc w:val="both"/>
              <w:rPr>
                <w:sz w:val="20"/>
                <w:lang w:val="en-CA"/>
              </w:rPr>
            </w:pPr>
            <w:r w:rsidRPr="00435769">
              <w:rPr>
                <w:sz w:val="20"/>
                <w:lang w:val="en-CA"/>
              </w:rPr>
              <w:t>Supreme Court of Canada</w:t>
            </w:r>
          </w:p>
        </w:tc>
        <w:tc>
          <w:tcPr>
            <w:tcW w:w="243" w:type="pct"/>
          </w:tcPr>
          <w:p w:rsidR="005A6497" w:rsidRPr="00435769" w:rsidRDefault="005A6497" w:rsidP="007932B2">
            <w:pPr>
              <w:jc w:val="both"/>
              <w:rPr>
                <w:sz w:val="20"/>
                <w:lang w:val="en-CA"/>
              </w:rPr>
            </w:pPr>
          </w:p>
        </w:tc>
        <w:tc>
          <w:tcPr>
            <w:tcW w:w="2330" w:type="pct"/>
          </w:tcPr>
          <w:p w:rsidR="005A6497" w:rsidRPr="00435769" w:rsidRDefault="005A6497" w:rsidP="007932B2">
            <w:pPr>
              <w:jc w:val="both"/>
              <w:rPr>
                <w:sz w:val="20"/>
                <w:lang w:val="en-CA"/>
              </w:rPr>
            </w:pPr>
            <w:r w:rsidRPr="00435769">
              <w:rPr>
                <w:sz w:val="20"/>
                <w:lang w:val="en-CA"/>
              </w:rPr>
              <w:t>Application for leave to appeal filed</w:t>
            </w:r>
          </w:p>
        </w:tc>
      </w:tr>
    </w:tbl>
    <w:p w:rsidR="005A6497" w:rsidRPr="00435769" w:rsidRDefault="005A6497" w:rsidP="007932B2">
      <w:pPr>
        <w:jc w:val="both"/>
        <w:rPr>
          <w:sz w:val="20"/>
          <w:lang w:val="en-CA"/>
        </w:rPr>
      </w:pPr>
    </w:p>
    <w:p w:rsidR="009E248E" w:rsidRPr="00435769" w:rsidRDefault="009E248E" w:rsidP="007932B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rPr>
            </w:pPr>
            <w:r w:rsidRPr="00435769">
              <w:rPr>
                <w:rStyle w:val="SCCFileNumberChar"/>
                <w:sz w:val="20"/>
                <w:szCs w:val="20"/>
              </w:rPr>
              <w:t>37002</w:t>
            </w:r>
          </w:p>
        </w:tc>
        <w:tc>
          <w:tcPr>
            <w:tcW w:w="4457" w:type="pct"/>
            <w:gridSpan w:val="3"/>
          </w:tcPr>
          <w:p w:rsidR="005A6497" w:rsidRPr="00435769" w:rsidRDefault="005A6497" w:rsidP="007932B2">
            <w:pPr>
              <w:pStyle w:val="SCCLsocParty"/>
              <w:jc w:val="both"/>
              <w:rPr>
                <w:b/>
                <w:sz w:val="20"/>
                <w:szCs w:val="20"/>
              </w:rPr>
            </w:pPr>
            <w:r w:rsidRPr="00435769">
              <w:rPr>
                <w:b/>
                <w:sz w:val="20"/>
                <w:szCs w:val="20"/>
              </w:rPr>
              <w:t xml:space="preserve">Centrale des Syndicats du Québec, Fédération des intervenante en petite enfance du Québec (FIPEQ-CSQ), Syndicat des intervenantes en petite enfance de Montréal (SIPEM-CSQ), Syndicat des intervenantes en petite enfance de Québec (SIPEQ-CSQ), Syndicat des intervenantes en petite </w:t>
            </w:r>
            <w:r w:rsidRPr="00435769">
              <w:rPr>
                <w:b/>
                <w:sz w:val="20"/>
                <w:szCs w:val="20"/>
              </w:rPr>
              <w:lastRenderedPageBreak/>
              <w:t>enfance de l’Estrie (SIPEE-CSQ), Francine Joly, Nathalie Fillion, Louise Fréchette, Fédération du personnel du soutien de l’enseignement supérieur (FPSES) (CSQ), Syndicat des interprètes professionnels du Sivet (CSQ), Chantal Bousquet et Yannick François c. Procureure générale du Québec</w:t>
            </w:r>
          </w:p>
          <w:p w:rsidR="005A6497" w:rsidRPr="00435769" w:rsidRDefault="005A6497" w:rsidP="007932B2">
            <w:pPr>
              <w:pStyle w:val="SCCLsocSubfileSeparator"/>
              <w:rPr>
                <w:sz w:val="20"/>
                <w:szCs w:val="20"/>
                <w:lang w:val="fr-CA"/>
              </w:rPr>
            </w:pPr>
            <w:r w:rsidRPr="00435769">
              <w:rPr>
                <w:sz w:val="20"/>
                <w:szCs w:val="20"/>
                <w:lang w:val="fr-CA"/>
              </w:rPr>
              <w:t>- et entre -</w:t>
            </w:r>
          </w:p>
          <w:p w:rsidR="005A6497" w:rsidRPr="00435769" w:rsidRDefault="005A6497" w:rsidP="007932B2">
            <w:pPr>
              <w:pStyle w:val="SCCLsocParty"/>
              <w:jc w:val="both"/>
              <w:rPr>
                <w:b/>
                <w:sz w:val="20"/>
                <w:szCs w:val="20"/>
              </w:rPr>
            </w:pPr>
            <w:r w:rsidRPr="00435769">
              <w:rPr>
                <w:b/>
                <w:sz w:val="20"/>
                <w:szCs w:val="20"/>
              </w:rPr>
              <w:t>Confédération des syndicats nationaux, Fédération de la santé et des services sociaux, Syndicat des travailleuses et travailleurs des CPE de la Montérégie, Syndicat des travailleuses des CPE de Montréal et de Laval, France Laniel, Ginette Lavoie et Danielle Paré c. Procureure générale du Québec</w:t>
            </w:r>
          </w:p>
          <w:p w:rsidR="005A6497" w:rsidRPr="00435769" w:rsidRDefault="005A6497" w:rsidP="007932B2">
            <w:pPr>
              <w:jc w:val="both"/>
              <w:rPr>
                <w:sz w:val="20"/>
              </w:rPr>
            </w:pPr>
            <w:r w:rsidRPr="00435769">
              <w:rPr>
                <w:sz w:val="20"/>
              </w:rPr>
              <w:t>(Qc) (Civile) (Autorisation)</w:t>
            </w:r>
          </w:p>
        </w:tc>
      </w:tr>
      <w:tr w:rsidR="005A6497" w:rsidRPr="00435769" w:rsidTr="005A6497">
        <w:tc>
          <w:tcPr>
            <w:tcW w:w="5000" w:type="pct"/>
            <w:gridSpan w:val="4"/>
          </w:tcPr>
          <w:p w:rsidR="005A6497" w:rsidRPr="00435769" w:rsidRDefault="005A6497" w:rsidP="007932B2">
            <w:pPr>
              <w:pStyle w:val="SCCBanSummary"/>
              <w:rPr>
                <w:sz w:val="20"/>
                <w:szCs w:val="20"/>
              </w:rPr>
            </w:pPr>
            <w:r w:rsidRPr="00435769">
              <w:rPr>
                <w:i/>
                <w:smallCaps w:val="0"/>
                <w:sz w:val="20"/>
                <w:szCs w:val="20"/>
                <w:lang w:val="fr-CA"/>
              </w:rPr>
              <w:lastRenderedPageBreak/>
              <w:t>Charte canadienne des droits et libertés</w:t>
            </w:r>
            <w:r w:rsidRPr="00435769">
              <w:rPr>
                <w:smallCaps w:val="0"/>
                <w:sz w:val="20"/>
                <w:szCs w:val="20"/>
                <w:lang w:val="fr-CA"/>
              </w:rPr>
              <w:t xml:space="preserve"> ‒ Droit à l’égalité ‒ Équité salariale ‒ Délai d’ajustement de salaire différent pour les entreprises sans catégorie d’emploi à prédominance masculine ‒ L’article 38 de la </w:t>
            </w:r>
            <w:r w:rsidRPr="00435769">
              <w:rPr>
                <w:i/>
                <w:smallCaps w:val="0"/>
                <w:sz w:val="20"/>
                <w:szCs w:val="20"/>
                <w:lang w:val="fr-CA"/>
              </w:rPr>
              <w:t xml:space="preserve">Loi sur l’équité salariale </w:t>
            </w:r>
            <w:r w:rsidRPr="00435769">
              <w:rPr>
                <w:smallCaps w:val="0"/>
                <w:sz w:val="20"/>
                <w:szCs w:val="20"/>
                <w:lang w:val="fr-CA"/>
              </w:rPr>
              <w:t xml:space="preserve">(L.É.S.), par son effet combiné avec l’article 71, porte-t-il atteinte au droit à l’égalité protégé par l’article 15 de la </w:t>
            </w:r>
            <w:r w:rsidRPr="00435769">
              <w:rPr>
                <w:i/>
                <w:smallCaps w:val="0"/>
                <w:sz w:val="20"/>
                <w:szCs w:val="20"/>
                <w:lang w:val="fr-CA"/>
              </w:rPr>
              <w:t>Charte canadienne</w:t>
            </w:r>
            <w:r w:rsidRPr="00435769">
              <w:rPr>
                <w:smallCaps w:val="0"/>
                <w:sz w:val="20"/>
                <w:szCs w:val="20"/>
                <w:lang w:val="fr-CA"/>
              </w:rPr>
              <w:t xml:space="preserve"> eu égard aux femmes occupant un emploi à prédominance féminine dans une entreprise sans comparateur masculin? ‒ La distinction créée par l’effet combiné des articles 38 et 71 </w:t>
            </w:r>
            <w:r w:rsidRPr="00435769">
              <w:rPr>
                <w:i/>
                <w:smallCaps w:val="0"/>
                <w:sz w:val="20"/>
                <w:szCs w:val="20"/>
                <w:lang w:val="fr-CA"/>
              </w:rPr>
              <w:t>L.É.S.</w:t>
            </w:r>
            <w:r w:rsidRPr="00435769">
              <w:rPr>
                <w:smallCaps w:val="0"/>
                <w:sz w:val="20"/>
                <w:szCs w:val="20"/>
                <w:lang w:val="fr-CA"/>
              </w:rPr>
              <w:t xml:space="preserve"> constitue-t-elle une distinction fondée sur le sexe ou sur un motif analogue? </w:t>
            </w:r>
            <w:r w:rsidRPr="00435769">
              <w:rPr>
                <w:smallCaps w:val="0"/>
                <w:sz w:val="20"/>
                <w:szCs w:val="20"/>
              </w:rPr>
              <w:t xml:space="preserve">‒ </w:t>
            </w:r>
            <w:r w:rsidRPr="00435769">
              <w:rPr>
                <w:i/>
                <w:smallCaps w:val="0"/>
                <w:sz w:val="20"/>
                <w:szCs w:val="20"/>
              </w:rPr>
              <w:t>Loi sur l’équité salariale</w:t>
            </w:r>
            <w:r w:rsidRPr="00435769">
              <w:rPr>
                <w:smallCaps w:val="0"/>
                <w:sz w:val="20"/>
                <w:szCs w:val="20"/>
              </w:rPr>
              <w:t>, RLRQ, c. E-12.001, art. 1, 37, 38, 71 et 114.</w:t>
            </w:r>
          </w:p>
        </w:tc>
      </w:tr>
      <w:tr w:rsidR="005A6497" w:rsidRPr="00435769" w:rsidTr="005A6497">
        <w:tc>
          <w:tcPr>
            <w:tcW w:w="5000" w:type="pct"/>
            <w:gridSpan w:val="4"/>
          </w:tcPr>
          <w:p w:rsidR="005A6497" w:rsidRPr="00435769" w:rsidRDefault="005A6497" w:rsidP="007932B2">
            <w:pPr>
              <w:jc w:val="both"/>
              <w:rPr>
                <w:sz w:val="20"/>
              </w:rPr>
            </w:pPr>
          </w:p>
        </w:tc>
      </w:tr>
      <w:tr w:rsidR="005A6497" w:rsidRPr="00435769" w:rsidTr="005A6497">
        <w:tc>
          <w:tcPr>
            <w:tcW w:w="5000" w:type="pct"/>
            <w:gridSpan w:val="4"/>
          </w:tcPr>
          <w:p w:rsidR="005A6497" w:rsidRPr="00435769" w:rsidRDefault="005A6497" w:rsidP="007932B2">
            <w:pPr>
              <w:jc w:val="both"/>
              <w:rPr>
                <w:sz w:val="20"/>
                <w:lang w:val="fr-CA"/>
              </w:rPr>
            </w:pPr>
            <w:r w:rsidRPr="00435769">
              <w:rPr>
                <w:sz w:val="20"/>
                <w:lang w:val="fr-CA"/>
              </w:rPr>
              <w:t xml:space="preserve">Les demanderesses, </w:t>
            </w:r>
            <w:r w:rsidRPr="00435769">
              <w:rPr>
                <w:color w:val="000000"/>
                <w:sz w:val="20"/>
                <w:lang w:val="fr-CA"/>
              </w:rPr>
              <w:t>La Centrale des syndicats du Québec et al,</w:t>
            </w:r>
            <w:r w:rsidRPr="00435769">
              <w:rPr>
                <w:sz w:val="20"/>
                <w:lang w:val="fr-CA"/>
              </w:rPr>
              <w:t xml:space="preserve"> représentent principalement des salariées oeuvrant dans des Centres de la petite enfance, dont la plupart exercent un emploi d’éducatrice en garderie et d’interprète en langage gestuel. Or, suivant la </w:t>
            </w:r>
            <w:r w:rsidRPr="00435769">
              <w:rPr>
                <w:i/>
                <w:sz w:val="20"/>
                <w:lang w:val="fr-CA"/>
              </w:rPr>
              <w:t>Loi sur l’équité salariale</w:t>
            </w:r>
            <w:r w:rsidRPr="00435769">
              <w:rPr>
                <w:sz w:val="20"/>
                <w:lang w:val="fr-CA"/>
              </w:rPr>
              <w:t xml:space="preserve">, RLRQ, c. E-12.001 (L.É.S.), ces entreprises ne comportent aucune catégorie d’emplois à prédominance masculine (CEPM), autrement dit aucun comparateur masculin, au regard du droit à l’équité salariale des femmes. </w:t>
            </w:r>
            <w:r w:rsidRPr="00435769">
              <w:rPr>
                <w:color w:val="000000"/>
                <w:sz w:val="20"/>
                <w:lang w:val="fr-CA"/>
              </w:rPr>
              <w:t xml:space="preserve">L’art. 37 L.É.S. donne aux entreprises avec CEPM jusqu’au 21 décembre 2001, soit quatre ans à compter de son entrée en vigueur, pour compléter leur programme d’équité salariale et commencer à verser les ajustements salariaux en découlant. Cependant, pour ce qui est des entreprises sans comparateur masculin, l’art. 38 de la L.É.S. leur alloue au maximum deux ans pour mener à terme l’exercice à compter de l’entrée en vigueur d’un règlement à ce propos, sans effet rétroactif au 21 décembre 2001. Les demanderesses voient dans l’art. 38 de la L.É.S. et dans ce hiatus temporel un cas de discrimination qui contrevient à l’art. 15(1) de la </w:t>
            </w:r>
            <w:r w:rsidRPr="00435769">
              <w:rPr>
                <w:i/>
                <w:color w:val="000000"/>
                <w:sz w:val="20"/>
                <w:lang w:val="fr-CA"/>
              </w:rPr>
              <w:t>Charte canadienne</w:t>
            </w:r>
            <w:r w:rsidRPr="00435769">
              <w:rPr>
                <w:color w:val="000000"/>
                <w:sz w:val="20"/>
                <w:lang w:val="fr-CA"/>
              </w:rPr>
              <w:t>.</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Le 2 septembre 2014</w:t>
            </w:r>
          </w:p>
          <w:p w:rsidR="005A6497" w:rsidRPr="00435769" w:rsidRDefault="005A6497" w:rsidP="007932B2">
            <w:pPr>
              <w:jc w:val="both"/>
              <w:rPr>
                <w:sz w:val="20"/>
                <w:lang w:val="fr-CA"/>
              </w:rPr>
            </w:pPr>
            <w:r w:rsidRPr="00435769">
              <w:rPr>
                <w:sz w:val="20"/>
                <w:lang w:val="fr-CA"/>
              </w:rPr>
              <w:t>Cour supérieure du Québec</w:t>
            </w:r>
          </w:p>
          <w:p w:rsidR="005A6497" w:rsidRPr="00435769" w:rsidRDefault="005A6497" w:rsidP="007932B2">
            <w:pPr>
              <w:jc w:val="both"/>
              <w:rPr>
                <w:sz w:val="20"/>
              </w:rPr>
            </w:pPr>
            <w:r w:rsidRPr="00435769">
              <w:rPr>
                <w:sz w:val="20"/>
              </w:rPr>
              <w:t>(Le juge Yergeau)</w:t>
            </w:r>
          </w:p>
          <w:p w:rsidR="005A6497" w:rsidRPr="00435769" w:rsidRDefault="00435769" w:rsidP="007932B2">
            <w:pPr>
              <w:jc w:val="both"/>
              <w:rPr>
                <w:sz w:val="20"/>
              </w:rPr>
            </w:pPr>
            <w:hyperlink r:id="rId63" w:history="1">
              <w:r w:rsidR="005A6497" w:rsidRPr="00435769">
                <w:rPr>
                  <w:rStyle w:val="Hyperlink"/>
                  <w:sz w:val="20"/>
                </w:rPr>
                <w:t>2014 QCCS 4197</w:t>
              </w:r>
            </w:hyperlink>
          </w:p>
          <w:p w:rsidR="005A6497" w:rsidRPr="00435769" w:rsidRDefault="005A6497" w:rsidP="007932B2">
            <w:pPr>
              <w:jc w:val="both"/>
              <w:rPr>
                <w:sz w:val="20"/>
                <w:lang w:val="fr-FR"/>
              </w:rPr>
            </w:pPr>
          </w:p>
        </w:tc>
        <w:tc>
          <w:tcPr>
            <w:tcW w:w="243" w:type="pct"/>
          </w:tcPr>
          <w:p w:rsidR="005A6497" w:rsidRPr="00435769" w:rsidRDefault="005A6497" w:rsidP="007932B2">
            <w:pPr>
              <w:jc w:val="both"/>
              <w:rPr>
                <w:sz w:val="20"/>
                <w:lang w:val="fr-FR"/>
              </w:rPr>
            </w:pPr>
          </w:p>
        </w:tc>
        <w:tc>
          <w:tcPr>
            <w:tcW w:w="2330" w:type="pct"/>
          </w:tcPr>
          <w:p w:rsidR="005A6497" w:rsidRPr="00435769" w:rsidRDefault="005A6497" w:rsidP="007932B2">
            <w:pPr>
              <w:jc w:val="both"/>
              <w:rPr>
                <w:sz w:val="20"/>
              </w:rPr>
            </w:pPr>
            <w:r w:rsidRPr="00435769">
              <w:rPr>
                <w:sz w:val="20"/>
              </w:rPr>
              <w:t>Requêtes introductives d’instances rejetées.</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Le 8 mars 2016</w:t>
            </w:r>
          </w:p>
          <w:p w:rsidR="005A6497" w:rsidRPr="00435769" w:rsidRDefault="005A6497" w:rsidP="007932B2">
            <w:pPr>
              <w:jc w:val="both"/>
              <w:rPr>
                <w:sz w:val="20"/>
                <w:lang w:val="fr-CA"/>
              </w:rPr>
            </w:pPr>
            <w:r w:rsidRPr="00435769">
              <w:rPr>
                <w:sz w:val="20"/>
                <w:lang w:val="fr-CA"/>
              </w:rPr>
              <w:t>Cour d’appel du Québec (Québec)</w:t>
            </w:r>
          </w:p>
          <w:p w:rsidR="005A6497" w:rsidRPr="00435769" w:rsidRDefault="005A6497" w:rsidP="007932B2">
            <w:pPr>
              <w:jc w:val="both"/>
              <w:rPr>
                <w:sz w:val="20"/>
                <w:lang w:val="fr-CA"/>
              </w:rPr>
            </w:pPr>
            <w:r w:rsidRPr="00435769">
              <w:rPr>
                <w:sz w:val="20"/>
                <w:lang w:val="fr-CA"/>
              </w:rPr>
              <w:t>(Les juges Vézina, St-Pierre et Émond)</w:t>
            </w:r>
          </w:p>
          <w:p w:rsidR="005A6497" w:rsidRPr="00435769" w:rsidRDefault="00435769" w:rsidP="007932B2">
            <w:pPr>
              <w:jc w:val="both"/>
              <w:rPr>
                <w:sz w:val="20"/>
              </w:rPr>
            </w:pPr>
            <w:hyperlink r:id="rId64" w:history="1">
              <w:r w:rsidR="005A6497" w:rsidRPr="00435769">
                <w:rPr>
                  <w:rStyle w:val="Hyperlink"/>
                  <w:sz w:val="20"/>
                </w:rPr>
                <w:t>2016 QCCA 424</w:t>
              </w:r>
            </w:hyperlink>
          </w:p>
          <w:p w:rsidR="005A6497" w:rsidRPr="00435769" w:rsidRDefault="005A6497" w:rsidP="007932B2">
            <w:pPr>
              <w:jc w:val="both"/>
              <w:rPr>
                <w:sz w:val="20"/>
                <w:lang w:val="fr-FR"/>
              </w:rPr>
            </w:pPr>
          </w:p>
        </w:tc>
        <w:tc>
          <w:tcPr>
            <w:tcW w:w="243" w:type="pct"/>
          </w:tcPr>
          <w:p w:rsidR="005A6497" w:rsidRPr="00435769" w:rsidRDefault="005A6497" w:rsidP="007932B2">
            <w:pPr>
              <w:jc w:val="both"/>
              <w:rPr>
                <w:sz w:val="20"/>
                <w:lang w:val="fr-FR"/>
              </w:rPr>
            </w:pPr>
          </w:p>
        </w:tc>
        <w:tc>
          <w:tcPr>
            <w:tcW w:w="2330" w:type="pct"/>
          </w:tcPr>
          <w:p w:rsidR="005A6497" w:rsidRPr="00435769" w:rsidRDefault="005A6497" w:rsidP="007932B2">
            <w:pPr>
              <w:jc w:val="both"/>
              <w:rPr>
                <w:sz w:val="20"/>
              </w:rPr>
            </w:pPr>
            <w:r w:rsidRPr="00435769">
              <w:rPr>
                <w:sz w:val="20"/>
              </w:rPr>
              <w:t>Appel rejeté.</w:t>
            </w:r>
          </w:p>
          <w:p w:rsidR="005A6497" w:rsidRPr="00435769" w:rsidRDefault="005A6497" w:rsidP="007932B2">
            <w:pPr>
              <w:jc w:val="both"/>
              <w:rPr>
                <w:sz w:val="20"/>
              </w:rPr>
            </w:pP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Le 9 mai 2016</w:t>
            </w:r>
          </w:p>
          <w:p w:rsidR="005A6497" w:rsidRPr="00435769" w:rsidRDefault="005A6497" w:rsidP="007932B2">
            <w:pPr>
              <w:jc w:val="both"/>
              <w:rPr>
                <w:sz w:val="20"/>
                <w:lang w:val="fr-FR"/>
              </w:rPr>
            </w:pPr>
            <w:r w:rsidRPr="00435769">
              <w:rPr>
                <w:sz w:val="20"/>
                <w:lang w:val="fr-CA"/>
              </w:rPr>
              <w:t>Cour suprême du Canada</w:t>
            </w:r>
          </w:p>
        </w:tc>
        <w:tc>
          <w:tcPr>
            <w:tcW w:w="243" w:type="pct"/>
          </w:tcPr>
          <w:p w:rsidR="005A6497" w:rsidRPr="00435769" w:rsidRDefault="005A6497" w:rsidP="007932B2">
            <w:pPr>
              <w:jc w:val="both"/>
              <w:rPr>
                <w:sz w:val="20"/>
                <w:lang w:val="fr-FR"/>
              </w:rPr>
            </w:pPr>
          </w:p>
        </w:tc>
        <w:tc>
          <w:tcPr>
            <w:tcW w:w="2330" w:type="pct"/>
          </w:tcPr>
          <w:p w:rsidR="005A6497" w:rsidRPr="00435769" w:rsidRDefault="005A6497" w:rsidP="007932B2">
            <w:pPr>
              <w:jc w:val="both"/>
              <w:rPr>
                <w:sz w:val="20"/>
              </w:rPr>
            </w:pPr>
            <w:r w:rsidRPr="00435769">
              <w:rPr>
                <w:sz w:val="20"/>
              </w:rPr>
              <w:t>Demande d’autorisation d’appel déposée.</w:t>
            </w:r>
          </w:p>
        </w:tc>
      </w:tr>
    </w:tbl>
    <w:p w:rsidR="005A6497" w:rsidRPr="00435769" w:rsidRDefault="005A6497" w:rsidP="007932B2">
      <w:pPr>
        <w:jc w:val="both"/>
        <w:rPr>
          <w:sz w:val="20"/>
        </w:rPr>
      </w:pPr>
    </w:p>
    <w:p w:rsidR="008E7E00" w:rsidRPr="00435769" w:rsidRDefault="008E7E00" w:rsidP="007932B2">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5A6497" w:rsidRPr="00435769" w:rsidTr="005A6497">
        <w:tc>
          <w:tcPr>
            <w:tcW w:w="543" w:type="pct"/>
          </w:tcPr>
          <w:p w:rsidR="005A6497" w:rsidRPr="00435769" w:rsidRDefault="005A6497" w:rsidP="007932B2">
            <w:pPr>
              <w:jc w:val="both"/>
              <w:rPr>
                <w:sz w:val="20"/>
              </w:rPr>
            </w:pPr>
            <w:r w:rsidRPr="00435769">
              <w:rPr>
                <w:rStyle w:val="SCCFileNumberChar"/>
                <w:sz w:val="20"/>
                <w:szCs w:val="20"/>
              </w:rPr>
              <w:t>37133</w:t>
            </w:r>
          </w:p>
        </w:tc>
        <w:tc>
          <w:tcPr>
            <w:tcW w:w="4457" w:type="pct"/>
          </w:tcPr>
          <w:p w:rsidR="005A6497" w:rsidRPr="00435769" w:rsidRDefault="005A6497" w:rsidP="007932B2">
            <w:pPr>
              <w:pStyle w:val="SCCLsocParty"/>
              <w:jc w:val="both"/>
              <w:rPr>
                <w:b/>
                <w:sz w:val="20"/>
                <w:szCs w:val="20"/>
                <w:lang w:val="en-US"/>
              </w:rPr>
            </w:pPr>
            <w:r w:rsidRPr="00435769">
              <w:rPr>
                <w:b/>
                <w:sz w:val="20"/>
                <w:szCs w:val="20"/>
                <w:lang w:val="en-US"/>
              </w:rPr>
              <w:t>Anita Marianne Dunkers v. Her Majesty the Queen</w:t>
            </w:r>
          </w:p>
          <w:p w:rsidR="005A6497" w:rsidRPr="00435769" w:rsidRDefault="005A6497" w:rsidP="007932B2">
            <w:pPr>
              <w:jc w:val="both"/>
              <w:rPr>
                <w:sz w:val="20"/>
              </w:rPr>
            </w:pPr>
            <w:r w:rsidRPr="00435769">
              <w:rPr>
                <w:sz w:val="20"/>
              </w:rPr>
              <w:t>(B.C.) (Criminal) (By Leave)</w:t>
            </w:r>
          </w:p>
        </w:tc>
      </w:tr>
      <w:tr w:rsidR="005A6497" w:rsidRPr="00435769" w:rsidTr="005A6497">
        <w:tc>
          <w:tcPr>
            <w:tcW w:w="5000" w:type="pct"/>
            <w:gridSpan w:val="2"/>
          </w:tcPr>
          <w:p w:rsidR="005A6497" w:rsidRPr="00435769" w:rsidRDefault="005A6497" w:rsidP="007932B2">
            <w:pPr>
              <w:jc w:val="both"/>
              <w:rPr>
                <w:sz w:val="20"/>
              </w:rPr>
            </w:pPr>
            <w:r w:rsidRPr="00435769">
              <w:rPr>
                <w:i/>
                <w:sz w:val="20"/>
              </w:rPr>
              <w:t>Charter of Rights</w:t>
            </w:r>
            <w:r w:rsidRPr="00435769">
              <w:rPr>
                <w:sz w:val="20"/>
              </w:rPr>
              <w:t xml:space="preserve"> – Criminal law – Appeals – Whether the applicant’s right to a fair trial was violated – Whether the applicant’s </w:t>
            </w:r>
            <w:r w:rsidRPr="00435769">
              <w:rPr>
                <w:i/>
                <w:sz w:val="20"/>
              </w:rPr>
              <w:t>Charter</w:t>
            </w:r>
            <w:r w:rsidRPr="00435769">
              <w:rPr>
                <w:sz w:val="20"/>
              </w:rPr>
              <w:t xml:space="preserve"> rights were infringed – Whether the appointment of counsel should have been ordered – </w:t>
            </w:r>
            <w:r w:rsidRPr="00435769">
              <w:rPr>
                <w:i/>
                <w:sz w:val="20"/>
              </w:rPr>
              <w:t xml:space="preserve">Charter </w:t>
            </w:r>
            <w:r w:rsidRPr="00435769">
              <w:rPr>
                <w:sz w:val="20"/>
              </w:rPr>
              <w:t>ss. 7, 11(d).</w:t>
            </w:r>
          </w:p>
        </w:tc>
      </w:tr>
      <w:tr w:rsidR="005A6497" w:rsidRPr="00435769" w:rsidTr="005A6497">
        <w:tc>
          <w:tcPr>
            <w:tcW w:w="5000" w:type="pct"/>
            <w:gridSpan w:val="2"/>
          </w:tcPr>
          <w:p w:rsidR="005A6497" w:rsidRPr="00435769" w:rsidRDefault="005A6497" w:rsidP="007932B2">
            <w:pPr>
              <w:jc w:val="both"/>
              <w:rPr>
                <w:sz w:val="20"/>
              </w:rPr>
            </w:pPr>
          </w:p>
        </w:tc>
      </w:tr>
      <w:tr w:rsidR="005A6497" w:rsidRPr="00435769" w:rsidTr="005A6497">
        <w:tc>
          <w:tcPr>
            <w:tcW w:w="5000" w:type="pct"/>
            <w:gridSpan w:val="2"/>
          </w:tcPr>
          <w:p w:rsidR="005A6497" w:rsidRPr="00435769" w:rsidRDefault="005A6497" w:rsidP="007932B2">
            <w:pPr>
              <w:jc w:val="both"/>
              <w:rPr>
                <w:sz w:val="20"/>
              </w:rPr>
            </w:pPr>
            <w:r w:rsidRPr="00435769">
              <w:rPr>
                <w:sz w:val="20"/>
              </w:rPr>
              <w:lastRenderedPageBreak/>
              <w:t xml:space="preserve">From April 2007 to January 2010, the applicant, Ms. Dunkers, worked as the bookkeeper for a non-profit society, the Capital Families Association (the “CFA”). On April 21, 2010, she was charged with defrauding the CFA of approximately $200,000. The applicant was convicted of one count of committing a fraud in excess of $5,000, contrary to s. 380(1)(a) of the </w:t>
            </w:r>
            <w:r w:rsidRPr="00435769">
              <w:rPr>
                <w:i/>
                <w:sz w:val="20"/>
              </w:rPr>
              <w:t>Criminal Code</w:t>
            </w:r>
            <w:r w:rsidRPr="00435769">
              <w:rPr>
                <w:sz w:val="20"/>
              </w:rPr>
              <w:t>, R.S.C. 1985, c. C-46. At the commencement of the trial, the applicant applied for a judicial stay of proceedings or, in the alternative, an order compelling the Crown to make further disclosure. The judge refused the stay application. The applicant applied unsuccessfully for the appointment of counsel.</w:t>
            </w:r>
          </w:p>
          <w:p w:rsidR="005A6497" w:rsidRPr="00435769" w:rsidRDefault="005A6497" w:rsidP="007932B2">
            <w:pPr>
              <w:jc w:val="both"/>
              <w:rPr>
                <w:sz w:val="20"/>
              </w:rPr>
            </w:pPr>
          </w:p>
        </w:tc>
      </w:tr>
      <w:tr w:rsidR="005A6497" w:rsidRPr="00435769" w:rsidTr="005A6497">
        <w:trPr>
          <w:trHeight w:val="1350"/>
        </w:trPr>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5A6497" w:rsidRPr="00435769" w:rsidTr="005A6497">
              <w:tc>
                <w:tcPr>
                  <w:tcW w:w="2367" w:type="pct"/>
                </w:tcPr>
                <w:p w:rsidR="005A6497" w:rsidRPr="00435769" w:rsidRDefault="005A6497" w:rsidP="007932B2">
                  <w:pPr>
                    <w:jc w:val="both"/>
                    <w:rPr>
                      <w:sz w:val="20"/>
                    </w:rPr>
                  </w:pPr>
                  <w:r w:rsidRPr="00435769">
                    <w:rPr>
                      <w:sz w:val="20"/>
                    </w:rPr>
                    <w:t>March 27, 2014</w:t>
                  </w:r>
                </w:p>
                <w:p w:rsidR="005A6497" w:rsidRPr="00435769" w:rsidRDefault="005A6497" w:rsidP="007932B2">
                  <w:pPr>
                    <w:jc w:val="both"/>
                    <w:rPr>
                      <w:sz w:val="20"/>
                    </w:rPr>
                  </w:pPr>
                  <w:r w:rsidRPr="00435769">
                    <w:rPr>
                      <w:sz w:val="20"/>
                    </w:rPr>
                    <w:t>Supreme Court of British Columbia</w:t>
                  </w:r>
                </w:p>
                <w:p w:rsidR="005A6497" w:rsidRPr="00435769" w:rsidRDefault="005A6497" w:rsidP="007932B2">
                  <w:pPr>
                    <w:jc w:val="both"/>
                    <w:rPr>
                      <w:sz w:val="20"/>
                      <w:lang w:val="fr-FR"/>
                    </w:rPr>
                  </w:pPr>
                  <w:r w:rsidRPr="00435769">
                    <w:rPr>
                      <w:sz w:val="20"/>
                      <w:lang w:val="fr-FR"/>
                    </w:rPr>
                    <w:t>(Gaul J.)</w:t>
                  </w:r>
                </w:p>
                <w:p w:rsidR="005A6497" w:rsidRPr="00435769" w:rsidRDefault="005A6497" w:rsidP="007932B2">
                  <w:pPr>
                    <w:jc w:val="both"/>
                    <w:rPr>
                      <w:sz w:val="20"/>
                      <w:lang w:val="fr-FR"/>
                    </w:rPr>
                  </w:pPr>
                  <w:r w:rsidRPr="00435769">
                    <w:rPr>
                      <w:sz w:val="20"/>
                      <w:lang w:val="fr-FR"/>
                    </w:rPr>
                    <w:t>2014 BCSC 1314</w:t>
                  </w:r>
                </w:p>
                <w:p w:rsidR="005A6497" w:rsidRPr="00435769" w:rsidRDefault="00435769" w:rsidP="007932B2">
                  <w:pPr>
                    <w:jc w:val="both"/>
                    <w:rPr>
                      <w:rStyle w:val="documentstaticurl"/>
                      <w:sz w:val="20"/>
                      <w:lang w:val="fr-FR"/>
                    </w:rPr>
                  </w:pPr>
                  <w:hyperlink r:id="rId65" w:history="1">
                    <w:r w:rsidR="005A6497" w:rsidRPr="00435769">
                      <w:rPr>
                        <w:rStyle w:val="Hyperlink"/>
                        <w:sz w:val="20"/>
                        <w:lang w:val="fr-FR"/>
                      </w:rPr>
                      <w:t>http://canlii.ca/t/g86b3</w:t>
                    </w:r>
                  </w:hyperlink>
                </w:p>
                <w:p w:rsidR="005A6497" w:rsidRPr="00435769" w:rsidRDefault="005A6497" w:rsidP="007932B2">
                  <w:pPr>
                    <w:jc w:val="both"/>
                    <w:rPr>
                      <w:sz w:val="20"/>
                      <w:lang w:val="fr-FR"/>
                    </w:rPr>
                  </w:pPr>
                </w:p>
              </w:tc>
              <w:tc>
                <w:tcPr>
                  <w:tcW w:w="267" w:type="pct"/>
                </w:tcPr>
                <w:p w:rsidR="005A6497" w:rsidRPr="00435769" w:rsidRDefault="005A6497" w:rsidP="007932B2">
                  <w:pPr>
                    <w:jc w:val="both"/>
                    <w:rPr>
                      <w:sz w:val="20"/>
                      <w:lang w:val="fr-FR"/>
                    </w:rPr>
                  </w:pPr>
                </w:p>
              </w:tc>
              <w:tc>
                <w:tcPr>
                  <w:tcW w:w="2366" w:type="pct"/>
                </w:tcPr>
                <w:p w:rsidR="005A6497" w:rsidRPr="00435769" w:rsidRDefault="005A6497" w:rsidP="007932B2">
                  <w:pPr>
                    <w:jc w:val="both"/>
                    <w:rPr>
                      <w:sz w:val="20"/>
                    </w:rPr>
                  </w:pPr>
                  <w:r w:rsidRPr="00435769">
                    <w:rPr>
                      <w:sz w:val="20"/>
                    </w:rPr>
                    <w:t>Applicant’s motion for a judicial stay of proceedings dismissed</w:t>
                  </w:r>
                </w:p>
                <w:p w:rsidR="005A6497" w:rsidRPr="00435769" w:rsidRDefault="005A6497" w:rsidP="007932B2">
                  <w:pPr>
                    <w:jc w:val="both"/>
                    <w:rPr>
                      <w:sz w:val="20"/>
                    </w:rPr>
                  </w:pPr>
                </w:p>
              </w:tc>
            </w:tr>
            <w:tr w:rsidR="005A6497" w:rsidRPr="00435769" w:rsidTr="005A6497">
              <w:tc>
                <w:tcPr>
                  <w:tcW w:w="2367" w:type="pct"/>
                </w:tcPr>
                <w:p w:rsidR="005A6497" w:rsidRPr="00435769" w:rsidRDefault="005A6497" w:rsidP="007932B2">
                  <w:pPr>
                    <w:jc w:val="both"/>
                    <w:rPr>
                      <w:sz w:val="20"/>
                    </w:rPr>
                  </w:pPr>
                  <w:r w:rsidRPr="00435769">
                    <w:rPr>
                      <w:sz w:val="20"/>
                    </w:rPr>
                    <w:t>March 27, 2014</w:t>
                  </w:r>
                </w:p>
                <w:p w:rsidR="005A6497" w:rsidRPr="00435769" w:rsidRDefault="005A6497" w:rsidP="007932B2">
                  <w:pPr>
                    <w:jc w:val="both"/>
                    <w:rPr>
                      <w:sz w:val="20"/>
                    </w:rPr>
                  </w:pPr>
                  <w:r w:rsidRPr="00435769">
                    <w:rPr>
                      <w:sz w:val="20"/>
                    </w:rPr>
                    <w:t>Supreme Court of British Columbia</w:t>
                  </w:r>
                </w:p>
                <w:p w:rsidR="005A6497" w:rsidRPr="00435769" w:rsidRDefault="005A6497" w:rsidP="007932B2">
                  <w:pPr>
                    <w:jc w:val="both"/>
                    <w:rPr>
                      <w:sz w:val="20"/>
                      <w:lang w:val="fr-FR"/>
                    </w:rPr>
                  </w:pPr>
                  <w:r w:rsidRPr="00435769">
                    <w:rPr>
                      <w:sz w:val="20"/>
                      <w:lang w:val="fr-FR"/>
                    </w:rPr>
                    <w:t>(Gaul J.)</w:t>
                  </w:r>
                </w:p>
                <w:p w:rsidR="005A6497" w:rsidRPr="00435769" w:rsidRDefault="005A6497" w:rsidP="007932B2">
                  <w:pPr>
                    <w:jc w:val="both"/>
                    <w:rPr>
                      <w:sz w:val="20"/>
                      <w:lang w:val="fr-FR"/>
                    </w:rPr>
                  </w:pPr>
                  <w:r w:rsidRPr="00435769">
                    <w:rPr>
                      <w:sz w:val="20"/>
                      <w:lang w:val="fr-FR"/>
                    </w:rPr>
                    <w:t>2014 BCSC 1315</w:t>
                  </w:r>
                </w:p>
                <w:p w:rsidR="005A6497" w:rsidRPr="00435769" w:rsidRDefault="00435769" w:rsidP="007932B2">
                  <w:pPr>
                    <w:jc w:val="both"/>
                    <w:rPr>
                      <w:rStyle w:val="documentstaticurl"/>
                      <w:sz w:val="20"/>
                      <w:lang w:val="fr-FR"/>
                    </w:rPr>
                  </w:pPr>
                  <w:hyperlink r:id="rId66" w:history="1">
                    <w:r w:rsidR="005A6497" w:rsidRPr="00435769">
                      <w:rPr>
                        <w:rStyle w:val="Hyperlink"/>
                        <w:sz w:val="20"/>
                        <w:lang w:val="fr-FR"/>
                      </w:rPr>
                      <w:t>http://canlii.ca/t/g8681</w:t>
                    </w:r>
                  </w:hyperlink>
                </w:p>
                <w:p w:rsidR="005A6497" w:rsidRPr="00435769" w:rsidRDefault="005A6497" w:rsidP="007932B2">
                  <w:pPr>
                    <w:jc w:val="both"/>
                    <w:rPr>
                      <w:sz w:val="20"/>
                      <w:lang w:val="fr-FR"/>
                    </w:rPr>
                  </w:pPr>
                </w:p>
              </w:tc>
              <w:tc>
                <w:tcPr>
                  <w:tcW w:w="267" w:type="pct"/>
                </w:tcPr>
                <w:p w:rsidR="005A6497" w:rsidRPr="00435769" w:rsidRDefault="005A6497" w:rsidP="007932B2">
                  <w:pPr>
                    <w:jc w:val="both"/>
                    <w:rPr>
                      <w:sz w:val="20"/>
                      <w:lang w:val="fr-FR"/>
                    </w:rPr>
                  </w:pPr>
                </w:p>
              </w:tc>
              <w:tc>
                <w:tcPr>
                  <w:tcW w:w="2366" w:type="pct"/>
                </w:tcPr>
                <w:p w:rsidR="005A6497" w:rsidRPr="00435769" w:rsidRDefault="005A6497" w:rsidP="007932B2">
                  <w:pPr>
                    <w:jc w:val="both"/>
                    <w:rPr>
                      <w:sz w:val="20"/>
                    </w:rPr>
                  </w:pPr>
                  <w:r w:rsidRPr="00435769">
                    <w:rPr>
                      <w:sz w:val="20"/>
                    </w:rPr>
                    <w:t>Conviction for fraud in excess of $5000</w:t>
                  </w:r>
                </w:p>
                <w:p w:rsidR="005A6497" w:rsidRPr="00435769" w:rsidRDefault="005A6497" w:rsidP="007932B2">
                  <w:pPr>
                    <w:jc w:val="both"/>
                    <w:rPr>
                      <w:sz w:val="20"/>
                    </w:rPr>
                  </w:pPr>
                </w:p>
              </w:tc>
            </w:tr>
            <w:tr w:rsidR="005A6497" w:rsidRPr="00435769" w:rsidTr="005A6497">
              <w:tc>
                <w:tcPr>
                  <w:tcW w:w="2367" w:type="pct"/>
                </w:tcPr>
                <w:p w:rsidR="005A6497" w:rsidRPr="00435769" w:rsidRDefault="005A6497" w:rsidP="007932B2">
                  <w:pPr>
                    <w:jc w:val="both"/>
                    <w:rPr>
                      <w:sz w:val="20"/>
                    </w:rPr>
                  </w:pPr>
                  <w:r w:rsidRPr="00435769">
                    <w:rPr>
                      <w:sz w:val="20"/>
                    </w:rPr>
                    <w:t>February 20, 2015</w:t>
                  </w:r>
                </w:p>
                <w:p w:rsidR="005A6497" w:rsidRPr="00435769" w:rsidRDefault="005A6497" w:rsidP="007932B2">
                  <w:pPr>
                    <w:jc w:val="both"/>
                    <w:rPr>
                      <w:sz w:val="20"/>
                    </w:rPr>
                  </w:pPr>
                  <w:r w:rsidRPr="00435769">
                    <w:rPr>
                      <w:sz w:val="20"/>
                    </w:rPr>
                    <w:t>Court of Appeal for British Columbia</w:t>
                  </w:r>
                </w:p>
                <w:p w:rsidR="005A6497" w:rsidRPr="00435769" w:rsidRDefault="005A6497" w:rsidP="007932B2">
                  <w:pPr>
                    <w:jc w:val="both"/>
                    <w:rPr>
                      <w:sz w:val="20"/>
                      <w:lang w:val="fr-FR"/>
                    </w:rPr>
                  </w:pPr>
                  <w:r w:rsidRPr="00435769">
                    <w:rPr>
                      <w:sz w:val="20"/>
                      <w:lang w:val="fr-FR"/>
                    </w:rPr>
                    <w:t>(Vancouver)</w:t>
                  </w:r>
                </w:p>
                <w:p w:rsidR="005A6497" w:rsidRPr="00435769" w:rsidRDefault="005A6497" w:rsidP="007932B2">
                  <w:pPr>
                    <w:jc w:val="both"/>
                    <w:rPr>
                      <w:sz w:val="20"/>
                      <w:lang w:val="fr-FR"/>
                    </w:rPr>
                  </w:pPr>
                  <w:r w:rsidRPr="00435769">
                    <w:rPr>
                      <w:sz w:val="20"/>
                      <w:lang w:val="fr-FR"/>
                    </w:rPr>
                    <w:t>(Bennett J.A.)</w:t>
                  </w:r>
                </w:p>
                <w:p w:rsidR="005A6497" w:rsidRPr="00435769" w:rsidRDefault="005A6497" w:rsidP="007932B2">
                  <w:pPr>
                    <w:jc w:val="both"/>
                    <w:rPr>
                      <w:sz w:val="20"/>
                      <w:lang w:val="fr-FR"/>
                    </w:rPr>
                  </w:pPr>
                  <w:r w:rsidRPr="00435769">
                    <w:rPr>
                      <w:sz w:val="20"/>
                      <w:lang w:val="fr-FR"/>
                    </w:rPr>
                    <w:t>2025 BCCA 241</w:t>
                  </w:r>
                </w:p>
                <w:p w:rsidR="005A6497" w:rsidRPr="00435769" w:rsidRDefault="00435769" w:rsidP="007932B2">
                  <w:pPr>
                    <w:jc w:val="both"/>
                    <w:rPr>
                      <w:rStyle w:val="documentstaticurl"/>
                      <w:sz w:val="20"/>
                    </w:rPr>
                  </w:pPr>
                  <w:hyperlink r:id="rId67" w:history="1">
                    <w:r w:rsidR="005A6497" w:rsidRPr="00435769">
                      <w:rPr>
                        <w:rStyle w:val="Hyperlink"/>
                        <w:sz w:val="20"/>
                      </w:rPr>
                      <w:t>http://canlii.ca/t/gjcsx</w:t>
                    </w:r>
                  </w:hyperlink>
                </w:p>
                <w:p w:rsidR="005A6497" w:rsidRPr="00435769" w:rsidRDefault="005A6497" w:rsidP="007932B2">
                  <w:pPr>
                    <w:jc w:val="both"/>
                    <w:rPr>
                      <w:sz w:val="20"/>
                    </w:rPr>
                  </w:pPr>
                </w:p>
              </w:tc>
              <w:tc>
                <w:tcPr>
                  <w:tcW w:w="267" w:type="pct"/>
                </w:tcPr>
                <w:p w:rsidR="005A6497" w:rsidRPr="00435769" w:rsidRDefault="005A6497" w:rsidP="007932B2">
                  <w:pPr>
                    <w:jc w:val="both"/>
                    <w:rPr>
                      <w:sz w:val="20"/>
                    </w:rPr>
                  </w:pPr>
                </w:p>
              </w:tc>
              <w:tc>
                <w:tcPr>
                  <w:tcW w:w="2366" w:type="pct"/>
                </w:tcPr>
                <w:p w:rsidR="005A6497" w:rsidRPr="00435769" w:rsidRDefault="005A6497" w:rsidP="007932B2">
                  <w:pPr>
                    <w:jc w:val="both"/>
                    <w:rPr>
                      <w:sz w:val="20"/>
                    </w:rPr>
                  </w:pPr>
                  <w:r w:rsidRPr="00435769">
                    <w:rPr>
                      <w:sz w:val="20"/>
                    </w:rPr>
                    <w:t>Applicant’s application for the appointment of counsel for the applicant’s sentence appeal dismissed</w:t>
                  </w:r>
                </w:p>
              </w:tc>
            </w:tr>
            <w:tr w:rsidR="005A6497" w:rsidRPr="00435769" w:rsidTr="005A6497">
              <w:tc>
                <w:tcPr>
                  <w:tcW w:w="2367" w:type="pct"/>
                </w:tcPr>
                <w:p w:rsidR="005A6497" w:rsidRPr="00435769" w:rsidRDefault="005A6497" w:rsidP="007932B2">
                  <w:pPr>
                    <w:jc w:val="both"/>
                    <w:rPr>
                      <w:sz w:val="20"/>
                    </w:rPr>
                  </w:pPr>
                  <w:r w:rsidRPr="00435769">
                    <w:rPr>
                      <w:sz w:val="20"/>
                    </w:rPr>
                    <w:t>April 21, 2016</w:t>
                  </w:r>
                </w:p>
                <w:p w:rsidR="005A6497" w:rsidRPr="00435769" w:rsidRDefault="005A6497" w:rsidP="007932B2">
                  <w:pPr>
                    <w:jc w:val="both"/>
                    <w:rPr>
                      <w:sz w:val="20"/>
                    </w:rPr>
                  </w:pPr>
                  <w:r w:rsidRPr="00435769">
                    <w:rPr>
                      <w:sz w:val="20"/>
                    </w:rPr>
                    <w:t xml:space="preserve">Court of Appeal for British Columbia </w:t>
                  </w:r>
                </w:p>
                <w:p w:rsidR="005A6497" w:rsidRPr="00435769" w:rsidRDefault="005A6497" w:rsidP="007932B2">
                  <w:pPr>
                    <w:jc w:val="both"/>
                    <w:rPr>
                      <w:sz w:val="20"/>
                    </w:rPr>
                  </w:pPr>
                  <w:r w:rsidRPr="00435769">
                    <w:rPr>
                      <w:sz w:val="20"/>
                    </w:rPr>
                    <w:t>(Vancouver)</w:t>
                  </w:r>
                </w:p>
                <w:p w:rsidR="005A6497" w:rsidRPr="00435769" w:rsidRDefault="005A6497" w:rsidP="007932B2">
                  <w:pPr>
                    <w:jc w:val="both"/>
                    <w:rPr>
                      <w:sz w:val="20"/>
                    </w:rPr>
                  </w:pPr>
                  <w:r w:rsidRPr="00435769">
                    <w:rPr>
                      <w:sz w:val="20"/>
                    </w:rPr>
                    <w:t>(Kirkpatrick J.A.)</w:t>
                  </w:r>
                </w:p>
                <w:p w:rsidR="005A6497" w:rsidRPr="00435769" w:rsidRDefault="005A6497" w:rsidP="007932B2">
                  <w:pPr>
                    <w:jc w:val="both"/>
                    <w:rPr>
                      <w:sz w:val="20"/>
                    </w:rPr>
                  </w:pPr>
                  <w:r w:rsidRPr="00435769">
                    <w:rPr>
                      <w:sz w:val="20"/>
                    </w:rPr>
                    <w:t>2016 BCCA 174</w:t>
                  </w:r>
                </w:p>
                <w:p w:rsidR="005A6497" w:rsidRPr="00435769" w:rsidRDefault="00435769" w:rsidP="007932B2">
                  <w:pPr>
                    <w:jc w:val="both"/>
                    <w:rPr>
                      <w:rStyle w:val="documentstaticurl"/>
                      <w:sz w:val="20"/>
                    </w:rPr>
                  </w:pPr>
                  <w:hyperlink r:id="rId68" w:history="1">
                    <w:r w:rsidR="005A6497" w:rsidRPr="00435769">
                      <w:rPr>
                        <w:rStyle w:val="Hyperlink"/>
                        <w:sz w:val="20"/>
                      </w:rPr>
                      <w:t>http://canlii.ca/t/gplv9</w:t>
                    </w:r>
                  </w:hyperlink>
                </w:p>
                <w:p w:rsidR="005A6497" w:rsidRPr="00435769" w:rsidRDefault="005A6497" w:rsidP="007932B2">
                  <w:pPr>
                    <w:jc w:val="both"/>
                    <w:rPr>
                      <w:sz w:val="20"/>
                    </w:rPr>
                  </w:pPr>
                </w:p>
              </w:tc>
              <w:tc>
                <w:tcPr>
                  <w:tcW w:w="267" w:type="pct"/>
                </w:tcPr>
                <w:p w:rsidR="005A6497" w:rsidRPr="00435769" w:rsidRDefault="005A6497" w:rsidP="007932B2">
                  <w:pPr>
                    <w:jc w:val="both"/>
                    <w:rPr>
                      <w:sz w:val="20"/>
                    </w:rPr>
                  </w:pPr>
                </w:p>
              </w:tc>
              <w:tc>
                <w:tcPr>
                  <w:tcW w:w="2366" w:type="pct"/>
                </w:tcPr>
                <w:p w:rsidR="005A6497" w:rsidRPr="00435769" w:rsidRDefault="005A6497" w:rsidP="007932B2">
                  <w:pPr>
                    <w:jc w:val="both"/>
                    <w:rPr>
                      <w:sz w:val="20"/>
                    </w:rPr>
                  </w:pPr>
                  <w:r w:rsidRPr="00435769">
                    <w:rPr>
                      <w:sz w:val="20"/>
                    </w:rPr>
                    <w:t>Applicant’s application for the appointment of counsel for the applicant’s conviction appeal dismissed</w:t>
                  </w:r>
                </w:p>
              </w:tc>
            </w:tr>
            <w:tr w:rsidR="005A6497" w:rsidRPr="00435769" w:rsidTr="005A6497">
              <w:trPr>
                <w:trHeight w:val="576"/>
              </w:trPr>
              <w:tc>
                <w:tcPr>
                  <w:tcW w:w="2367" w:type="pct"/>
                </w:tcPr>
                <w:p w:rsidR="005A6497" w:rsidRPr="00435769" w:rsidRDefault="005A6497" w:rsidP="007932B2">
                  <w:pPr>
                    <w:jc w:val="both"/>
                    <w:rPr>
                      <w:sz w:val="20"/>
                    </w:rPr>
                  </w:pPr>
                  <w:r w:rsidRPr="00435769">
                    <w:rPr>
                      <w:sz w:val="20"/>
                    </w:rPr>
                    <w:t>June 22, 2016</w:t>
                  </w:r>
                </w:p>
                <w:p w:rsidR="005A6497" w:rsidRPr="00435769" w:rsidRDefault="005A6497" w:rsidP="007932B2">
                  <w:pPr>
                    <w:jc w:val="both"/>
                    <w:rPr>
                      <w:sz w:val="20"/>
                    </w:rPr>
                  </w:pPr>
                  <w:r w:rsidRPr="00435769">
                    <w:rPr>
                      <w:sz w:val="20"/>
                    </w:rPr>
                    <w:t>Supreme Court of Canada</w:t>
                  </w:r>
                </w:p>
              </w:tc>
              <w:tc>
                <w:tcPr>
                  <w:tcW w:w="267" w:type="pct"/>
                </w:tcPr>
                <w:p w:rsidR="005A6497" w:rsidRPr="00435769" w:rsidRDefault="005A6497" w:rsidP="007932B2">
                  <w:pPr>
                    <w:jc w:val="both"/>
                    <w:rPr>
                      <w:sz w:val="20"/>
                    </w:rPr>
                  </w:pPr>
                </w:p>
              </w:tc>
              <w:tc>
                <w:tcPr>
                  <w:tcW w:w="2366" w:type="pct"/>
                </w:tcPr>
                <w:p w:rsidR="005A6497" w:rsidRPr="00435769" w:rsidRDefault="005A6497" w:rsidP="007932B2">
                  <w:pPr>
                    <w:jc w:val="both"/>
                    <w:rPr>
                      <w:sz w:val="20"/>
                    </w:rPr>
                  </w:pPr>
                  <w:r w:rsidRPr="00435769">
                    <w:rPr>
                      <w:sz w:val="20"/>
                    </w:rPr>
                    <w:t>Motion to appoint counsel filed</w:t>
                  </w:r>
                </w:p>
                <w:p w:rsidR="005A6497" w:rsidRPr="00435769" w:rsidRDefault="005A6497" w:rsidP="007932B2">
                  <w:pPr>
                    <w:jc w:val="both"/>
                    <w:rPr>
                      <w:sz w:val="20"/>
                    </w:rPr>
                  </w:pPr>
                </w:p>
                <w:p w:rsidR="005A6497" w:rsidRPr="00435769" w:rsidRDefault="005A6497" w:rsidP="007932B2">
                  <w:pPr>
                    <w:jc w:val="both"/>
                    <w:rPr>
                      <w:sz w:val="20"/>
                    </w:rPr>
                  </w:pPr>
                </w:p>
              </w:tc>
            </w:tr>
            <w:tr w:rsidR="005A6497" w:rsidRPr="00435769" w:rsidTr="005A6497">
              <w:tc>
                <w:tcPr>
                  <w:tcW w:w="2367" w:type="pct"/>
                </w:tcPr>
                <w:p w:rsidR="005A6497" w:rsidRPr="00435769" w:rsidRDefault="005A6497" w:rsidP="007932B2">
                  <w:pPr>
                    <w:jc w:val="both"/>
                    <w:rPr>
                      <w:sz w:val="20"/>
                    </w:rPr>
                  </w:pPr>
                  <w:r w:rsidRPr="00435769">
                    <w:rPr>
                      <w:sz w:val="20"/>
                    </w:rPr>
                    <w:t>July 29, 2016</w:t>
                  </w:r>
                </w:p>
                <w:p w:rsidR="005A6497" w:rsidRPr="00435769" w:rsidRDefault="005A6497" w:rsidP="007932B2">
                  <w:pPr>
                    <w:jc w:val="both"/>
                    <w:rPr>
                      <w:sz w:val="20"/>
                    </w:rPr>
                  </w:pPr>
                  <w:r w:rsidRPr="00435769">
                    <w:rPr>
                      <w:sz w:val="20"/>
                    </w:rPr>
                    <w:t>Supreme Court of Canada</w:t>
                  </w:r>
                </w:p>
              </w:tc>
              <w:tc>
                <w:tcPr>
                  <w:tcW w:w="267" w:type="pct"/>
                </w:tcPr>
                <w:p w:rsidR="005A6497" w:rsidRPr="00435769" w:rsidRDefault="005A6497" w:rsidP="007932B2">
                  <w:pPr>
                    <w:jc w:val="both"/>
                    <w:rPr>
                      <w:sz w:val="20"/>
                    </w:rPr>
                  </w:pPr>
                </w:p>
              </w:tc>
              <w:tc>
                <w:tcPr>
                  <w:tcW w:w="2366" w:type="pct"/>
                </w:tcPr>
                <w:p w:rsidR="005A6497" w:rsidRPr="00435769" w:rsidRDefault="005A6497" w:rsidP="007932B2">
                  <w:pPr>
                    <w:jc w:val="both"/>
                    <w:rPr>
                      <w:sz w:val="20"/>
                    </w:rPr>
                  </w:pPr>
                  <w:r w:rsidRPr="00435769">
                    <w:rPr>
                      <w:sz w:val="20"/>
                    </w:rPr>
                    <w:t>Motion for an extension of time to serve and file the application for leave to appeal and application for leave to appeal filed</w:t>
                  </w:r>
                </w:p>
                <w:p w:rsidR="005A6497" w:rsidRPr="00435769" w:rsidRDefault="005A6497" w:rsidP="007932B2">
                  <w:pPr>
                    <w:jc w:val="both"/>
                    <w:rPr>
                      <w:sz w:val="20"/>
                    </w:rPr>
                  </w:pPr>
                </w:p>
              </w:tc>
            </w:tr>
            <w:tr w:rsidR="005A6497" w:rsidRPr="00435769" w:rsidTr="005A6497">
              <w:tc>
                <w:tcPr>
                  <w:tcW w:w="2367" w:type="pct"/>
                </w:tcPr>
                <w:p w:rsidR="005A6497" w:rsidRPr="00435769" w:rsidRDefault="005A6497" w:rsidP="007932B2">
                  <w:pPr>
                    <w:jc w:val="both"/>
                    <w:rPr>
                      <w:sz w:val="20"/>
                    </w:rPr>
                  </w:pPr>
                  <w:r w:rsidRPr="00435769">
                    <w:rPr>
                      <w:sz w:val="20"/>
                    </w:rPr>
                    <w:t>October 14, 2016</w:t>
                  </w:r>
                </w:p>
                <w:p w:rsidR="005A6497" w:rsidRPr="00435769" w:rsidRDefault="005A6497" w:rsidP="007932B2">
                  <w:pPr>
                    <w:jc w:val="both"/>
                    <w:rPr>
                      <w:sz w:val="20"/>
                    </w:rPr>
                  </w:pPr>
                  <w:r w:rsidRPr="00435769">
                    <w:rPr>
                      <w:sz w:val="20"/>
                    </w:rPr>
                    <w:t>Supreme Court of Canada</w:t>
                  </w:r>
                </w:p>
              </w:tc>
              <w:tc>
                <w:tcPr>
                  <w:tcW w:w="267" w:type="pct"/>
                </w:tcPr>
                <w:p w:rsidR="005A6497" w:rsidRPr="00435769" w:rsidRDefault="005A6497" w:rsidP="007932B2">
                  <w:pPr>
                    <w:jc w:val="both"/>
                    <w:rPr>
                      <w:sz w:val="20"/>
                    </w:rPr>
                  </w:pPr>
                </w:p>
              </w:tc>
              <w:tc>
                <w:tcPr>
                  <w:tcW w:w="2366" w:type="pct"/>
                </w:tcPr>
                <w:p w:rsidR="005A6497" w:rsidRPr="00435769" w:rsidRDefault="005A6497" w:rsidP="007932B2">
                  <w:pPr>
                    <w:jc w:val="both"/>
                    <w:rPr>
                      <w:sz w:val="20"/>
                    </w:rPr>
                  </w:pPr>
                  <w:r w:rsidRPr="00435769">
                    <w:rPr>
                      <w:sz w:val="20"/>
                    </w:rPr>
                    <w:t>Motion for an extension of time to serve and file the response filed</w:t>
                  </w:r>
                </w:p>
              </w:tc>
            </w:tr>
          </w:tbl>
          <w:p w:rsidR="005A6497" w:rsidRPr="00435769" w:rsidRDefault="005A6497" w:rsidP="007932B2">
            <w:pPr>
              <w:jc w:val="both"/>
              <w:rPr>
                <w:sz w:val="20"/>
              </w:rPr>
            </w:pPr>
          </w:p>
        </w:tc>
      </w:tr>
    </w:tbl>
    <w:p w:rsidR="005A6497" w:rsidRPr="00435769" w:rsidRDefault="005A6497" w:rsidP="007932B2">
      <w:pPr>
        <w:jc w:val="both"/>
        <w:rPr>
          <w:sz w:val="20"/>
        </w:rPr>
      </w:pPr>
    </w:p>
    <w:p w:rsidR="009E248E" w:rsidRPr="00435769" w:rsidRDefault="009E248E" w:rsidP="007932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5A6497" w:rsidRPr="00435769" w:rsidTr="005A6497">
        <w:tc>
          <w:tcPr>
            <w:tcW w:w="543" w:type="pct"/>
          </w:tcPr>
          <w:p w:rsidR="005A6497" w:rsidRPr="00435769" w:rsidRDefault="005A6497" w:rsidP="007932B2">
            <w:pPr>
              <w:jc w:val="both"/>
              <w:rPr>
                <w:sz w:val="20"/>
              </w:rPr>
            </w:pPr>
            <w:r w:rsidRPr="00435769">
              <w:rPr>
                <w:rStyle w:val="SCCFileNumberChar"/>
                <w:sz w:val="20"/>
                <w:szCs w:val="20"/>
              </w:rPr>
              <w:t>37133</w:t>
            </w:r>
          </w:p>
        </w:tc>
        <w:tc>
          <w:tcPr>
            <w:tcW w:w="4457" w:type="pct"/>
          </w:tcPr>
          <w:p w:rsidR="005A6497" w:rsidRPr="00435769" w:rsidRDefault="005A6497" w:rsidP="007932B2">
            <w:pPr>
              <w:pStyle w:val="SCCLsocParty"/>
              <w:jc w:val="both"/>
              <w:rPr>
                <w:b/>
                <w:sz w:val="20"/>
                <w:szCs w:val="20"/>
              </w:rPr>
            </w:pPr>
            <w:r w:rsidRPr="00435769">
              <w:rPr>
                <w:b/>
                <w:sz w:val="20"/>
                <w:szCs w:val="20"/>
              </w:rPr>
              <w:t>Anita Marianne Dunkers c. Sa Majesté la Reine</w:t>
            </w:r>
          </w:p>
          <w:p w:rsidR="005A6497" w:rsidRPr="00435769" w:rsidRDefault="005A6497" w:rsidP="007932B2">
            <w:pPr>
              <w:jc w:val="both"/>
              <w:rPr>
                <w:sz w:val="20"/>
                <w:lang w:val="fr-CA"/>
              </w:rPr>
            </w:pPr>
            <w:r w:rsidRPr="00435769">
              <w:rPr>
                <w:sz w:val="20"/>
                <w:lang w:val="fr-CA"/>
              </w:rPr>
              <w:t>(C.-B.) (Criminelle) (Sur autorisation)</w:t>
            </w:r>
          </w:p>
        </w:tc>
      </w:tr>
      <w:tr w:rsidR="005A6497" w:rsidRPr="00435769" w:rsidTr="005A6497">
        <w:tc>
          <w:tcPr>
            <w:tcW w:w="5000" w:type="pct"/>
            <w:gridSpan w:val="2"/>
          </w:tcPr>
          <w:p w:rsidR="005A6497" w:rsidRPr="00435769" w:rsidRDefault="005A6497" w:rsidP="007932B2">
            <w:pPr>
              <w:jc w:val="both"/>
              <w:rPr>
                <w:sz w:val="20"/>
                <w:lang w:val="fr-CA"/>
              </w:rPr>
            </w:pPr>
            <w:r w:rsidRPr="00435769">
              <w:rPr>
                <w:i/>
                <w:sz w:val="20"/>
                <w:lang w:val="fr-CA"/>
              </w:rPr>
              <w:t>Charte des droits</w:t>
            </w:r>
            <w:r w:rsidRPr="00435769">
              <w:rPr>
                <w:sz w:val="20"/>
                <w:lang w:val="fr-CA"/>
              </w:rPr>
              <w:t xml:space="preserve"> – Droit criminel – Appels – Y a-t-il eu violation du droit de la demanderesse à un procès équitable? – Y a-t-il eu atteinte aux droits garantis par la </w:t>
            </w:r>
            <w:r w:rsidRPr="00435769">
              <w:rPr>
                <w:i/>
                <w:sz w:val="20"/>
                <w:lang w:val="fr-CA"/>
              </w:rPr>
              <w:t>Charte</w:t>
            </w:r>
            <w:r w:rsidRPr="00435769">
              <w:rPr>
                <w:sz w:val="20"/>
                <w:lang w:val="fr-CA"/>
              </w:rPr>
              <w:t xml:space="preserve"> à la demanderesse? – Convenait-il d’ordonner la nomination d’un procureur? – </w:t>
            </w:r>
            <w:r w:rsidRPr="00435769">
              <w:rPr>
                <w:i/>
                <w:sz w:val="20"/>
                <w:lang w:val="fr-CA"/>
              </w:rPr>
              <w:t>Charte</w:t>
            </w:r>
            <w:r w:rsidRPr="00435769">
              <w:rPr>
                <w:sz w:val="20"/>
                <w:lang w:val="fr-CA"/>
              </w:rPr>
              <w:t>, art. 7, 11</w:t>
            </w:r>
            <w:r w:rsidRPr="00435769">
              <w:rPr>
                <w:i/>
                <w:sz w:val="20"/>
                <w:lang w:val="fr-CA"/>
              </w:rPr>
              <w:t>d</w:t>
            </w:r>
            <w:r w:rsidRPr="00435769">
              <w:rPr>
                <w:sz w:val="20"/>
                <w:lang w:val="fr-CA"/>
              </w:rPr>
              <w:t>).</w:t>
            </w:r>
          </w:p>
        </w:tc>
      </w:tr>
      <w:tr w:rsidR="005A6497" w:rsidRPr="00435769" w:rsidTr="005A6497">
        <w:tc>
          <w:tcPr>
            <w:tcW w:w="5000" w:type="pct"/>
            <w:gridSpan w:val="2"/>
          </w:tcPr>
          <w:p w:rsidR="005A6497" w:rsidRPr="00435769" w:rsidRDefault="005A6497" w:rsidP="007932B2">
            <w:pPr>
              <w:jc w:val="both"/>
              <w:rPr>
                <w:sz w:val="20"/>
                <w:lang w:val="fr-CA"/>
              </w:rPr>
            </w:pPr>
          </w:p>
        </w:tc>
      </w:tr>
      <w:tr w:rsidR="005A6497" w:rsidRPr="00435769" w:rsidTr="005A6497">
        <w:tc>
          <w:tcPr>
            <w:tcW w:w="5000" w:type="pct"/>
            <w:gridSpan w:val="2"/>
          </w:tcPr>
          <w:p w:rsidR="005A6497" w:rsidRPr="00435769" w:rsidRDefault="005A6497" w:rsidP="007932B2">
            <w:pPr>
              <w:jc w:val="both"/>
              <w:rPr>
                <w:sz w:val="20"/>
                <w:lang w:val="fr-CA"/>
              </w:rPr>
            </w:pPr>
            <w:r w:rsidRPr="00435769">
              <w:rPr>
                <w:sz w:val="20"/>
                <w:lang w:val="fr-CA"/>
              </w:rPr>
              <w:t>La demanderesse, M</w:t>
            </w:r>
            <w:r w:rsidRPr="00435769">
              <w:rPr>
                <w:sz w:val="20"/>
                <w:vertAlign w:val="superscript"/>
                <w:lang w:val="fr-CA"/>
              </w:rPr>
              <w:t xml:space="preserve">me </w:t>
            </w:r>
            <w:r w:rsidRPr="00435769">
              <w:rPr>
                <w:sz w:val="20"/>
                <w:lang w:val="fr-CA"/>
              </w:rPr>
              <w:t xml:space="preserve">Dunkers, a travaillé d’avril 2007 à janvier 2010 comme aide-comptable pour une société à but non lucratif, la Capital Families Association (la « CFA »). Le 21 avril 2010, elle a été accusée d’avoir frustré la </w:t>
            </w:r>
            <w:r w:rsidRPr="00435769">
              <w:rPr>
                <w:sz w:val="20"/>
                <w:lang w:val="fr-CA"/>
              </w:rPr>
              <w:lastRenderedPageBreak/>
              <w:t>CFA d’environ 200 000 $. La demanderesse a été reconnue coupable d’un chef de fraude de plus de 5 000 $, une infraction à l’al. 380(1)</w:t>
            </w:r>
            <w:r w:rsidRPr="00435769">
              <w:rPr>
                <w:i/>
                <w:sz w:val="20"/>
                <w:lang w:val="fr-CA"/>
              </w:rPr>
              <w:t>a</w:t>
            </w:r>
            <w:r w:rsidRPr="00435769">
              <w:rPr>
                <w:sz w:val="20"/>
                <w:lang w:val="fr-CA"/>
              </w:rPr>
              <w:t xml:space="preserve">) du </w:t>
            </w:r>
            <w:r w:rsidRPr="00435769">
              <w:rPr>
                <w:i/>
                <w:sz w:val="20"/>
                <w:lang w:val="fr-CA"/>
              </w:rPr>
              <w:t>Code criminel</w:t>
            </w:r>
            <w:r w:rsidRPr="00435769">
              <w:rPr>
                <w:sz w:val="20"/>
                <w:lang w:val="fr-CA"/>
              </w:rPr>
              <w:t xml:space="preserve">, L.R.C. 1985, c. C-46. À l’ouverture du procès, la demanderesse a demandé un arrêt des procédures ou, subsidiairement, une ordonnance enjoignant au ministère public de communiquer d’autres renseignements. Le juge a refusé la demande d’arrêt des procédures. La demanderesse a demandé sans succès la nomination d’un procureur. </w:t>
            </w:r>
          </w:p>
          <w:p w:rsidR="005A6497" w:rsidRPr="00435769" w:rsidRDefault="005A6497" w:rsidP="007932B2">
            <w:pPr>
              <w:jc w:val="both"/>
              <w:rPr>
                <w:sz w:val="20"/>
                <w:lang w:val="fr-CA"/>
              </w:rPr>
            </w:pPr>
          </w:p>
        </w:tc>
      </w:tr>
      <w:tr w:rsidR="005A6497" w:rsidRPr="00435769" w:rsidTr="005A6497">
        <w:trPr>
          <w:trHeight w:val="1350"/>
        </w:trPr>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5A6497" w:rsidRPr="00435769" w:rsidTr="005A6497">
              <w:tc>
                <w:tcPr>
                  <w:tcW w:w="2367" w:type="pct"/>
                </w:tcPr>
                <w:p w:rsidR="005A6497" w:rsidRPr="00435769" w:rsidRDefault="005A6497" w:rsidP="007932B2">
                  <w:pPr>
                    <w:jc w:val="both"/>
                    <w:rPr>
                      <w:sz w:val="20"/>
                      <w:lang w:val="fr-CA"/>
                    </w:rPr>
                  </w:pPr>
                  <w:r w:rsidRPr="00435769">
                    <w:rPr>
                      <w:sz w:val="20"/>
                      <w:lang w:val="fr-CA"/>
                    </w:rPr>
                    <w:lastRenderedPageBreak/>
                    <w:t>27 mars 2014</w:t>
                  </w:r>
                </w:p>
                <w:p w:rsidR="005A6497" w:rsidRPr="00435769" w:rsidRDefault="005A6497" w:rsidP="007932B2">
                  <w:pPr>
                    <w:jc w:val="both"/>
                    <w:rPr>
                      <w:sz w:val="20"/>
                      <w:lang w:val="fr-CA"/>
                    </w:rPr>
                  </w:pPr>
                  <w:r w:rsidRPr="00435769">
                    <w:rPr>
                      <w:sz w:val="20"/>
                      <w:lang w:val="fr-CA"/>
                    </w:rPr>
                    <w:t>Cour suprême de la Colombie-Britannique</w:t>
                  </w:r>
                </w:p>
                <w:p w:rsidR="005A6497" w:rsidRPr="00435769" w:rsidRDefault="005A6497" w:rsidP="007932B2">
                  <w:pPr>
                    <w:jc w:val="both"/>
                    <w:rPr>
                      <w:sz w:val="20"/>
                      <w:lang w:val="fr-FR"/>
                    </w:rPr>
                  </w:pPr>
                  <w:r w:rsidRPr="00435769">
                    <w:rPr>
                      <w:sz w:val="20"/>
                      <w:lang w:val="fr-FR"/>
                    </w:rPr>
                    <w:t>(Juge Gaul)</w:t>
                  </w:r>
                </w:p>
                <w:p w:rsidR="005A6497" w:rsidRPr="00435769" w:rsidRDefault="005A6497" w:rsidP="007932B2">
                  <w:pPr>
                    <w:jc w:val="both"/>
                    <w:rPr>
                      <w:sz w:val="20"/>
                      <w:lang w:val="fr-FR"/>
                    </w:rPr>
                  </w:pPr>
                  <w:r w:rsidRPr="00435769">
                    <w:rPr>
                      <w:sz w:val="20"/>
                      <w:lang w:val="fr-FR"/>
                    </w:rPr>
                    <w:t>2014 BCSC 1314</w:t>
                  </w:r>
                </w:p>
                <w:p w:rsidR="005A6497" w:rsidRPr="00435769" w:rsidRDefault="00435769" w:rsidP="007932B2">
                  <w:pPr>
                    <w:jc w:val="both"/>
                    <w:rPr>
                      <w:rStyle w:val="documentstaticurl"/>
                      <w:sz w:val="20"/>
                      <w:lang w:val="fr-FR"/>
                    </w:rPr>
                  </w:pPr>
                  <w:hyperlink r:id="rId69" w:history="1">
                    <w:r w:rsidR="005A6497" w:rsidRPr="00435769">
                      <w:rPr>
                        <w:rStyle w:val="Hyperlink"/>
                        <w:sz w:val="20"/>
                        <w:lang w:val="fr-FR"/>
                      </w:rPr>
                      <w:t>http://canlii.ca/t/g86b3</w:t>
                    </w:r>
                  </w:hyperlink>
                </w:p>
                <w:p w:rsidR="005A6497" w:rsidRPr="00435769" w:rsidRDefault="005A6497" w:rsidP="007932B2">
                  <w:pPr>
                    <w:jc w:val="both"/>
                    <w:rPr>
                      <w:sz w:val="20"/>
                      <w:lang w:val="fr-FR"/>
                    </w:rPr>
                  </w:pPr>
                </w:p>
              </w:tc>
              <w:tc>
                <w:tcPr>
                  <w:tcW w:w="267" w:type="pct"/>
                </w:tcPr>
                <w:p w:rsidR="005A6497" w:rsidRPr="00435769" w:rsidRDefault="005A6497" w:rsidP="007932B2">
                  <w:pPr>
                    <w:jc w:val="both"/>
                    <w:rPr>
                      <w:sz w:val="20"/>
                      <w:lang w:val="fr-FR"/>
                    </w:rPr>
                  </w:pPr>
                </w:p>
              </w:tc>
              <w:tc>
                <w:tcPr>
                  <w:tcW w:w="2366" w:type="pct"/>
                </w:tcPr>
                <w:p w:rsidR="005A6497" w:rsidRPr="00435769" w:rsidRDefault="005A6497" w:rsidP="007932B2">
                  <w:pPr>
                    <w:jc w:val="both"/>
                    <w:rPr>
                      <w:sz w:val="20"/>
                      <w:lang w:val="fr-CA"/>
                    </w:rPr>
                  </w:pPr>
                  <w:r w:rsidRPr="00435769">
                    <w:rPr>
                      <w:sz w:val="20"/>
                      <w:lang w:val="fr-CA"/>
                    </w:rPr>
                    <w:t>Rejet de la requête de la demanderesse en arrêt des procédures</w:t>
                  </w:r>
                </w:p>
                <w:p w:rsidR="005A6497" w:rsidRPr="00435769" w:rsidRDefault="005A6497" w:rsidP="007932B2">
                  <w:pPr>
                    <w:jc w:val="both"/>
                    <w:rPr>
                      <w:sz w:val="20"/>
                      <w:lang w:val="fr-CA"/>
                    </w:rPr>
                  </w:pPr>
                </w:p>
              </w:tc>
            </w:tr>
            <w:tr w:rsidR="005A6497" w:rsidRPr="00435769" w:rsidTr="005A6497">
              <w:tc>
                <w:tcPr>
                  <w:tcW w:w="2367" w:type="pct"/>
                </w:tcPr>
                <w:p w:rsidR="005A6497" w:rsidRPr="00435769" w:rsidRDefault="005A6497" w:rsidP="007932B2">
                  <w:pPr>
                    <w:jc w:val="both"/>
                    <w:rPr>
                      <w:sz w:val="20"/>
                      <w:lang w:val="fr-CA"/>
                    </w:rPr>
                  </w:pPr>
                  <w:r w:rsidRPr="00435769">
                    <w:rPr>
                      <w:sz w:val="20"/>
                      <w:lang w:val="fr-CA"/>
                    </w:rPr>
                    <w:t>27 mars 2014</w:t>
                  </w:r>
                </w:p>
                <w:p w:rsidR="005A6497" w:rsidRPr="00435769" w:rsidRDefault="005A6497" w:rsidP="007932B2">
                  <w:pPr>
                    <w:jc w:val="both"/>
                    <w:rPr>
                      <w:sz w:val="20"/>
                      <w:lang w:val="fr-CA"/>
                    </w:rPr>
                  </w:pPr>
                  <w:r w:rsidRPr="00435769">
                    <w:rPr>
                      <w:sz w:val="20"/>
                      <w:lang w:val="fr-CA"/>
                    </w:rPr>
                    <w:t>Cour suprême de la Colombie-Britannique</w:t>
                  </w:r>
                </w:p>
                <w:p w:rsidR="005A6497" w:rsidRPr="00435769" w:rsidRDefault="005A6497" w:rsidP="007932B2">
                  <w:pPr>
                    <w:jc w:val="both"/>
                    <w:rPr>
                      <w:sz w:val="20"/>
                      <w:lang w:val="fr-FR"/>
                    </w:rPr>
                  </w:pPr>
                  <w:r w:rsidRPr="00435769">
                    <w:rPr>
                      <w:sz w:val="20"/>
                      <w:lang w:val="fr-FR"/>
                    </w:rPr>
                    <w:t>(Juge Gaul)</w:t>
                  </w:r>
                </w:p>
                <w:p w:rsidR="005A6497" w:rsidRPr="00435769" w:rsidRDefault="005A6497" w:rsidP="007932B2">
                  <w:pPr>
                    <w:jc w:val="both"/>
                    <w:rPr>
                      <w:sz w:val="20"/>
                      <w:lang w:val="fr-FR"/>
                    </w:rPr>
                  </w:pPr>
                  <w:r w:rsidRPr="00435769">
                    <w:rPr>
                      <w:sz w:val="20"/>
                      <w:lang w:val="fr-FR"/>
                    </w:rPr>
                    <w:t>2014 BCSC 1315</w:t>
                  </w:r>
                </w:p>
                <w:p w:rsidR="005A6497" w:rsidRPr="00435769" w:rsidRDefault="00435769" w:rsidP="007932B2">
                  <w:pPr>
                    <w:jc w:val="both"/>
                    <w:rPr>
                      <w:rStyle w:val="documentstaticurl"/>
                      <w:sz w:val="20"/>
                      <w:lang w:val="fr-FR"/>
                    </w:rPr>
                  </w:pPr>
                  <w:hyperlink r:id="rId70" w:history="1">
                    <w:r w:rsidR="005A6497" w:rsidRPr="00435769">
                      <w:rPr>
                        <w:rStyle w:val="Hyperlink"/>
                        <w:sz w:val="20"/>
                        <w:lang w:val="fr-FR"/>
                      </w:rPr>
                      <w:t>http://canlii.ca/t/g8681</w:t>
                    </w:r>
                  </w:hyperlink>
                </w:p>
                <w:p w:rsidR="005A6497" w:rsidRPr="00435769" w:rsidRDefault="005A6497" w:rsidP="007932B2">
                  <w:pPr>
                    <w:jc w:val="both"/>
                    <w:rPr>
                      <w:sz w:val="20"/>
                      <w:lang w:val="fr-FR"/>
                    </w:rPr>
                  </w:pPr>
                </w:p>
              </w:tc>
              <w:tc>
                <w:tcPr>
                  <w:tcW w:w="267" w:type="pct"/>
                </w:tcPr>
                <w:p w:rsidR="005A6497" w:rsidRPr="00435769" w:rsidRDefault="005A6497" w:rsidP="007932B2">
                  <w:pPr>
                    <w:jc w:val="both"/>
                    <w:rPr>
                      <w:sz w:val="20"/>
                      <w:lang w:val="fr-FR"/>
                    </w:rPr>
                  </w:pPr>
                </w:p>
              </w:tc>
              <w:tc>
                <w:tcPr>
                  <w:tcW w:w="2366" w:type="pct"/>
                </w:tcPr>
                <w:p w:rsidR="005A6497" w:rsidRPr="00435769" w:rsidRDefault="005A6497" w:rsidP="007932B2">
                  <w:pPr>
                    <w:jc w:val="both"/>
                    <w:rPr>
                      <w:sz w:val="20"/>
                      <w:lang w:val="fr-CA"/>
                    </w:rPr>
                  </w:pPr>
                  <w:r w:rsidRPr="00435769">
                    <w:rPr>
                      <w:sz w:val="20"/>
                      <w:lang w:val="fr-CA"/>
                    </w:rPr>
                    <w:t>Déclaration de culpabilité pour fraude de plus de 5 000 $</w:t>
                  </w:r>
                </w:p>
                <w:p w:rsidR="005A6497" w:rsidRPr="00435769" w:rsidRDefault="005A6497" w:rsidP="007932B2">
                  <w:pPr>
                    <w:jc w:val="both"/>
                    <w:rPr>
                      <w:sz w:val="20"/>
                      <w:lang w:val="fr-CA"/>
                    </w:rPr>
                  </w:pPr>
                </w:p>
              </w:tc>
            </w:tr>
            <w:tr w:rsidR="005A6497" w:rsidRPr="00435769" w:rsidTr="005A6497">
              <w:tc>
                <w:tcPr>
                  <w:tcW w:w="2367" w:type="pct"/>
                </w:tcPr>
                <w:p w:rsidR="005A6497" w:rsidRPr="00435769" w:rsidRDefault="005A6497" w:rsidP="007932B2">
                  <w:pPr>
                    <w:jc w:val="both"/>
                    <w:rPr>
                      <w:sz w:val="20"/>
                      <w:lang w:val="fr-CA"/>
                    </w:rPr>
                  </w:pPr>
                  <w:r w:rsidRPr="00435769">
                    <w:rPr>
                      <w:sz w:val="20"/>
                      <w:lang w:val="fr-CA"/>
                    </w:rPr>
                    <w:t>20 février 2015</w:t>
                  </w:r>
                </w:p>
                <w:p w:rsidR="005A6497" w:rsidRPr="00435769" w:rsidRDefault="005A6497" w:rsidP="007932B2">
                  <w:pPr>
                    <w:jc w:val="both"/>
                    <w:rPr>
                      <w:sz w:val="20"/>
                      <w:lang w:val="fr-CA"/>
                    </w:rPr>
                  </w:pPr>
                  <w:r w:rsidRPr="00435769">
                    <w:rPr>
                      <w:sz w:val="20"/>
                      <w:lang w:val="fr-CA"/>
                    </w:rPr>
                    <w:t>Cour d’appel de la Colombie-Britannique</w:t>
                  </w:r>
                </w:p>
                <w:p w:rsidR="005A6497" w:rsidRPr="00435769" w:rsidRDefault="005A6497" w:rsidP="007932B2">
                  <w:pPr>
                    <w:jc w:val="both"/>
                    <w:rPr>
                      <w:sz w:val="20"/>
                      <w:lang w:val="fr-FR"/>
                    </w:rPr>
                  </w:pPr>
                  <w:r w:rsidRPr="00435769">
                    <w:rPr>
                      <w:sz w:val="20"/>
                      <w:lang w:val="fr-FR"/>
                    </w:rPr>
                    <w:t>(Vancouver)</w:t>
                  </w:r>
                </w:p>
                <w:p w:rsidR="005A6497" w:rsidRPr="00435769" w:rsidRDefault="005A6497" w:rsidP="007932B2">
                  <w:pPr>
                    <w:jc w:val="both"/>
                    <w:rPr>
                      <w:sz w:val="20"/>
                      <w:lang w:val="fr-FR"/>
                    </w:rPr>
                  </w:pPr>
                  <w:r w:rsidRPr="00435769">
                    <w:rPr>
                      <w:sz w:val="20"/>
                      <w:lang w:val="fr-FR"/>
                    </w:rPr>
                    <w:t>(Juge Bennett)</w:t>
                  </w:r>
                </w:p>
                <w:p w:rsidR="005A6497" w:rsidRPr="00435769" w:rsidRDefault="005A6497" w:rsidP="007932B2">
                  <w:pPr>
                    <w:jc w:val="both"/>
                    <w:rPr>
                      <w:sz w:val="20"/>
                      <w:lang w:val="fr-FR"/>
                    </w:rPr>
                  </w:pPr>
                  <w:r w:rsidRPr="00435769">
                    <w:rPr>
                      <w:sz w:val="20"/>
                      <w:lang w:val="fr-FR"/>
                    </w:rPr>
                    <w:t>2025 BCCA 241</w:t>
                  </w:r>
                </w:p>
                <w:p w:rsidR="005A6497" w:rsidRPr="00435769" w:rsidRDefault="00435769" w:rsidP="007932B2">
                  <w:pPr>
                    <w:jc w:val="both"/>
                    <w:rPr>
                      <w:rStyle w:val="documentstaticurl"/>
                      <w:sz w:val="20"/>
                      <w:lang w:val="fr-CA"/>
                    </w:rPr>
                  </w:pPr>
                  <w:hyperlink r:id="rId71" w:history="1">
                    <w:r w:rsidR="005A6497" w:rsidRPr="00435769">
                      <w:rPr>
                        <w:rStyle w:val="Hyperlink"/>
                        <w:sz w:val="20"/>
                        <w:lang w:val="fr-CA"/>
                      </w:rPr>
                      <w:t>http://canlii.ca/t/gjcsx</w:t>
                    </w:r>
                  </w:hyperlink>
                </w:p>
                <w:p w:rsidR="005A6497" w:rsidRPr="00435769" w:rsidRDefault="005A6497" w:rsidP="007932B2">
                  <w:pPr>
                    <w:jc w:val="both"/>
                    <w:rPr>
                      <w:sz w:val="20"/>
                      <w:lang w:val="fr-CA"/>
                    </w:rPr>
                  </w:pPr>
                </w:p>
              </w:tc>
              <w:tc>
                <w:tcPr>
                  <w:tcW w:w="267" w:type="pct"/>
                </w:tcPr>
                <w:p w:rsidR="005A6497" w:rsidRPr="00435769" w:rsidRDefault="005A6497" w:rsidP="007932B2">
                  <w:pPr>
                    <w:jc w:val="both"/>
                    <w:rPr>
                      <w:sz w:val="20"/>
                      <w:lang w:val="fr-CA"/>
                    </w:rPr>
                  </w:pPr>
                </w:p>
              </w:tc>
              <w:tc>
                <w:tcPr>
                  <w:tcW w:w="2366" w:type="pct"/>
                </w:tcPr>
                <w:p w:rsidR="005A6497" w:rsidRPr="00435769" w:rsidRDefault="005A6497" w:rsidP="007932B2">
                  <w:pPr>
                    <w:jc w:val="both"/>
                    <w:rPr>
                      <w:sz w:val="20"/>
                      <w:lang w:val="fr-CA"/>
                    </w:rPr>
                  </w:pPr>
                  <w:r w:rsidRPr="00435769">
                    <w:rPr>
                      <w:sz w:val="20"/>
                      <w:lang w:val="fr-CA"/>
                    </w:rPr>
                    <w:t>Rejet de la demande présentée par la demanderesse pour faire nommer un procureur en vue de l’appel qu’elle a formé contre sa peine</w:t>
                  </w:r>
                </w:p>
              </w:tc>
            </w:tr>
            <w:tr w:rsidR="005A6497" w:rsidRPr="00435769" w:rsidTr="005A6497">
              <w:tc>
                <w:tcPr>
                  <w:tcW w:w="2367" w:type="pct"/>
                </w:tcPr>
                <w:p w:rsidR="005A6497" w:rsidRPr="00435769" w:rsidRDefault="005A6497" w:rsidP="007932B2">
                  <w:pPr>
                    <w:jc w:val="both"/>
                    <w:rPr>
                      <w:sz w:val="20"/>
                      <w:lang w:val="fr-CA"/>
                    </w:rPr>
                  </w:pPr>
                  <w:r w:rsidRPr="00435769">
                    <w:rPr>
                      <w:sz w:val="20"/>
                      <w:lang w:val="fr-CA"/>
                    </w:rPr>
                    <w:t>21 avril 2016</w:t>
                  </w:r>
                </w:p>
                <w:p w:rsidR="005A6497" w:rsidRPr="00435769" w:rsidRDefault="005A6497" w:rsidP="007932B2">
                  <w:pPr>
                    <w:jc w:val="both"/>
                    <w:rPr>
                      <w:sz w:val="20"/>
                      <w:lang w:val="fr-CA"/>
                    </w:rPr>
                  </w:pPr>
                  <w:r w:rsidRPr="00435769">
                    <w:rPr>
                      <w:sz w:val="20"/>
                      <w:lang w:val="fr-CA"/>
                    </w:rPr>
                    <w:t xml:space="preserve">Cour d’appel de la Colombie-Britannique </w:t>
                  </w:r>
                </w:p>
                <w:p w:rsidR="005A6497" w:rsidRPr="00435769" w:rsidRDefault="005A6497" w:rsidP="007932B2">
                  <w:pPr>
                    <w:jc w:val="both"/>
                    <w:rPr>
                      <w:sz w:val="20"/>
                    </w:rPr>
                  </w:pPr>
                  <w:r w:rsidRPr="00435769">
                    <w:rPr>
                      <w:sz w:val="20"/>
                    </w:rPr>
                    <w:t>(Vancouver)</w:t>
                  </w:r>
                </w:p>
                <w:p w:rsidR="005A6497" w:rsidRPr="00435769" w:rsidRDefault="005A6497" w:rsidP="007932B2">
                  <w:pPr>
                    <w:jc w:val="both"/>
                    <w:rPr>
                      <w:sz w:val="20"/>
                    </w:rPr>
                  </w:pPr>
                  <w:r w:rsidRPr="00435769">
                    <w:rPr>
                      <w:sz w:val="20"/>
                    </w:rPr>
                    <w:t>(Juge Kirkpatrick)</w:t>
                  </w:r>
                </w:p>
                <w:p w:rsidR="005A6497" w:rsidRPr="00435769" w:rsidRDefault="005A6497" w:rsidP="007932B2">
                  <w:pPr>
                    <w:jc w:val="both"/>
                    <w:rPr>
                      <w:sz w:val="20"/>
                    </w:rPr>
                  </w:pPr>
                  <w:r w:rsidRPr="00435769">
                    <w:rPr>
                      <w:sz w:val="20"/>
                    </w:rPr>
                    <w:t>2016 BCCA 174</w:t>
                  </w:r>
                </w:p>
                <w:p w:rsidR="005A6497" w:rsidRPr="00435769" w:rsidRDefault="00435769" w:rsidP="007932B2">
                  <w:pPr>
                    <w:jc w:val="both"/>
                    <w:rPr>
                      <w:rStyle w:val="documentstaticurl"/>
                      <w:sz w:val="20"/>
                    </w:rPr>
                  </w:pPr>
                  <w:hyperlink r:id="rId72" w:history="1">
                    <w:r w:rsidR="005A6497" w:rsidRPr="00435769">
                      <w:rPr>
                        <w:rStyle w:val="Hyperlink"/>
                        <w:sz w:val="20"/>
                      </w:rPr>
                      <w:t>http://canlii.ca/t/gplv9</w:t>
                    </w:r>
                  </w:hyperlink>
                </w:p>
                <w:p w:rsidR="005A6497" w:rsidRPr="00435769" w:rsidRDefault="005A6497" w:rsidP="007932B2">
                  <w:pPr>
                    <w:jc w:val="both"/>
                    <w:rPr>
                      <w:sz w:val="20"/>
                    </w:rPr>
                  </w:pPr>
                </w:p>
              </w:tc>
              <w:tc>
                <w:tcPr>
                  <w:tcW w:w="267" w:type="pct"/>
                </w:tcPr>
                <w:p w:rsidR="005A6497" w:rsidRPr="00435769" w:rsidRDefault="005A6497" w:rsidP="007932B2">
                  <w:pPr>
                    <w:jc w:val="both"/>
                    <w:rPr>
                      <w:sz w:val="20"/>
                    </w:rPr>
                  </w:pPr>
                </w:p>
              </w:tc>
              <w:tc>
                <w:tcPr>
                  <w:tcW w:w="2366" w:type="pct"/>
                </w:tcPr>
                <w:p w:rsidR="005A6497" w:rsidRPr="00435769" w:rsidRDefault="005A6497" w:rsidP="007932B2">
                  <w:pPr>
                    <w:jc w:val="both"/>
                    <w:rPr>
                      <w:sz w:val="20"/>
                      <w:lang w:val="fr-CA"/>
                    </w:rPr>
                  </w:pPr>
                  <w:r w:rsidRPr="00435769">
                    <w:rPr>
                      <w:sz w:val="20"/>
                      <w:lang w:val="fr-CA"/>
                    </w:rPr>
                    <w:t>Rejet de la demande présentée par la demanderesse pour faire nommer un procureur en vue de l’appel qu’elle a formé contre sa déclaration de culpabilité</w:t>
                  </w:r>
                </w:p>
              </w:tc>
            </w:tr>
            <w:tr w:rsidR="005A6497" w:rsidRPr="00435769" w:rsidTr="005A6497">
              <w:trPr>
                <w:trHeight w:val="576"/>
              </w:trPr>
              <w:tc>
                <w:tcPr>
                  <w:tcW w:w="2367" w:type="pct"/>
                </w:tcPr>
                <w:p w:rsidR="005A6497" w:rsidRPr="00435769" w:rsidRDefault="005A6497" w:rsidP="007932B2">
                  <w:pPr>
                    <w:jc w:val="both"/>
                    <w:rPr>
                      <w:sz w:val="20"/>
                      <w:lang w:val="fr-CA"/>
                    </w:rPr>
                  </w:pPr>
                  <w:r w:rsidRPr="00435769">
                    <w:rPr>
                      <w:sz w:val="20"/>
                      <w:lang w:val="fr-CA"/>
                    </w:rPr>
                    <w:t>22 juin 2016</w:t>
                  </w:r>
                </w:p>
                <w:p w:rsidR="005A6497" w:rsidRPr="00435769" w:rsidRDefault="005A6497" w:rsidP="007932B2">
                  <w:pPr>
                    <w:jc w:val="both"/>
                    <w:rPr>
                      <w:sz w:val="20"/>
                      <w:lang w:val="fr-CA"/>
                    </w:rPr>
                  </w:pPr>
                  <w:r w:rsidRPr="00435769">
                    <w:rPr>
                      <w:sz w:val="20"/>
                      <w:lang w:val="fr-CA"/>
                    </w:rPr>
                    <w:t>Cour suprême du Canada</w:t>
                  </w:r>
                </w:p>
              </w:tc>
              <w:tc>
                <w:tcPr>
                  <w:tcW w:w="267" w:type="pct"/>
                </w:tcPr>
                <w:p w:rsidR="005A6497" w:rsidRPr="00435769" w:rsidRDefault="005A6497" w:rsidP="007932B2">
                  <w:pPr>
                    <w:jc w:val="both"/>
                    <w:rPr>
                      <w:sz w:val="20"/>
                      <w:lang w:val="fr-CA"/>
                    </w:rPr>
                  </w:pPr>
                </w:p>
              </w:tc>
              <w:tc>
                <w:tcPr>
                  <w:tcW w:w="2366" w:type="pct"/>
                </w:tcPr>
                <w:p w:rsidR="005A6497" w:rsidRPr="00435769" w:rsidRDefault="005A6497" w:rsidP="007932B2">
                  <w:pPr>
                    <w:jc w:val="both"/>
                    <w:rPr>
                      <w:sz w:val="20"/>
                      <w:lang w:val="fr-CA"/>
                    </w:rPr>
                  </w:pPr>
                  <w:r w:rsidRPr="00435769">
                    <w:rPr>
                      <w:sz w:val="20"/>
                      <w:lang w:val="fr-CA"/>
                    </w:rPr>
                    <w:t xml:space="preserve">Dépôt de la requête en nomination d’un procureur </w:t>
                  </w:r>
                </w:p>
                <w:p w:rsidR="005A6497" w:rsidRPr="00435769" w:rsidRDefault="005A6497" w:rsidP="007932B2">
                  <w:pPr>
                    <w:jc w:val="both"/>
                    <w:rPr>
                      <w:sz w:val="20"/>
                      <w:lang w:val="fr-CA"/>
                    </w:rPr>
                  </w:pPr>
                </w:p>
                <w:p w:rsidR="005A6497" w:rsidRPr="00435769" w:rsidRDefault="005A6497" w:rsidP="007932B2">
                  <w:pPr>
                    <w:jc w:val="both"/>
                    <w:rPr>
                      <w:sz w:val="20"/>
                      <w:lang w:val="fr-CA"/>
                    </w:rPr>
                  </w:pPr>
                </w:p>
              </w:tc>
            </w:tr>
            <w:tr w:rsidR="005A6497" w:rsidRPr="00435769" w:rsidTr="005A6497">
              <w:tc>
                <w:tcPr>
                  <w:tcW w:w="2367" w:type="pct"/>
                </w:tcPr>
                <w:p w:rsidR="005A6497" w:rsidRPr="00435769" w:rsidRDefault="005A6497" w:rsidP="007932B2">
                  <w:pPr>
                    <w:jc w:val="both"/>
                    <w:rPr>
                      <w:sz w:val="20"/>
                      <w:lang w:val="fr-CA"/>
                    </w:rPr>
                  </w:pPr>
                  <w:r w:rsidRPr="00435769">
                    <w:rPr>
                      <w:sz w:val="20"/>
                      <w:lang w:val="fr-CA"/>
                    </w:rPr>
                    <w:t>29 juillet 2016</w:t>
                  </w:r>
                </w:p>
                <w:p w:rsidR="005A6497" w:rsidRPr="00435769" w:rsidRDefault="005A6497" w:rsidP="007932B2">
                  <w:pPr>
                    <w:jc w:val="both"/>
                    <w:rPr>
                      <w:sz w:val="20"/>
                      <w:lang w:val="fr-CA"/>
                    </w:rPr>
                  </w:pPr>
                  <w:r w:rsidRPr="00435769">
                    <w:rPr>
                      <w:sz w:val="20"/>
                      <w:lang w:val="fr-CA"/>
                    </w:rPr>
                    <w:t xml:space="preserve">Cour suprême du Canada </w:t>
                  </w:r>
                </w:p>
              </w:tc>
              <w:tc>
                <w:tcPr>
                  <w:tcW w:w="267" w:type="pct"/>
                </w:tcPr>
                <w:p w:rsidR="005A6497" w:rsidRPr="00435769" w:rsidRDefault="005A6497" w:rsidP="007932B2">
                  <w:pPr>
                    <w:jc w:val="both"/>
                    <w:rPr>
                      <w:sz w:val="20"/>
                      <w:lang w:val="fr-CA"/>
                    </w:rPr>
                  </w:pPr>
                </w:p>
              </w:tc>
              <w:tc>
                <w:tcPr>
                  <w:tcW w:w="2366" w:type="pct"/>
                </w:tcPr>
                <w:p w:rsidR="005A6497" w:rsidRPr="00435769" w:rsidRDefault="005A6497" w:rsidP="007932B2">
                  <w:pPr>
                    <w:jc w:val="both"/>
                    <w:rPr>
                      <w:sz w:val="20"/>
                      <w:lang w:val="fr-CA"/>
                    </w:rPr>
                  </w:pPr>
                  <w:r w:rsidRPr="00435769">
                    <w:rPr>
                      <w:sz w:val="20"/>
                      <w:lang w:val="fr-CA"/>
                    </w:rPr>
                    <w:t>Dépôt de la requête en prorogation du délai pour signifier et déposer la demande d’autorisation d’appel et de la demande d’autorisation d’appel</w:t>
                  </w:r>
                </w:p>
                <w:p w:rsidR="005A6497" w:rsidRPr="00435769" w:rsidRDefault="005A6497" w:rsidP="007932B2">
                  <w:pPr>
                    <w:jc w:val="both"/>
                    <w:rPr>
                      <w:sz w:val="20"/>
                      <w:lang w:val="fr-CA"/>
                    </w:rPr>
                  </w:pPr>
                </w:p>
              </w:tc>
            </w:tr>
            <w:tr w:rsidR="005A6497" w:rsidRPr="00435769" w:rsidTr="005A6497">
              <w:tc>
                <w:tcPr>
                  <w:tcW w:w="2367" w:type="pct"/>
                </w:tcPr>
                <w:p w:rsidR="005A6497" w:rsidRPr="00435769" w:rsidRDefault="005A6497" w:rsidP="007932B2">
                  <w:pPr>
                    <w:jc w:val="both"/>
                    <w:rPr>
                      <w:sz w:val="20"/>
                      <w:lang w:val="fr-CA"/>
                    </w:rPr>
                  </w:pPr>
                  <w:r w:rsidRPr="00435769">
                    <w:rPr>
                      <w:sz w:val="20"/>
                      <w:lang w:val="fr-CA"/>
                    </w:rPr>
                    <w:t>14 octobre 2016</w:t>
                  </w:r>
                </w:p>
                <w:p w:rsidR="005A6497" w:rsidRPr="00435769" w:rsidRDefault="005A6497" w:rsidP="007932B2">
                  <w:pPr>
                    <w:jc w:val="both"/>
                    <w:rPr>
                      <w:sz w:val="20"/>
                      <w:lang w:val="fr-CA"/>
                    </w:rPr>
                  </w:pPr>
                  <w:r w:rsidRPr="00435769">
                    <w:rPr>
                      <w:sz w:val="20"/>
                      <w:lang w:val="fr-CA"/>
                    </w:rPr>
                    <w:t xml:space="preserve">Cour suprême du Canada </w:t>
                  </w:r>
                </w:p>
              </w:tc>
              <w:tc>
                <w:tcPr>
                  <w:tcW w:w="267" w:type="pct"/>
                </w:tcPr>
                <w:p w:rsidR="005A6497" w:rsidRPr="00435769" w:rsidRDefault="005A6497" w:rsidP="007932B2">
                  <w:pPr>
                    <w:jc w:val="both"/>
                    <w:rPr>
                      <w:sz w:val="20"/>
                      <w:lang w:val="fr-CA"/>
                    </w:rPr>
                  </w:pPr>
                </w:p>
              </w:tc>
              <w:tc>
                <w:tcPr>
                  <w:tcW w:w="2366" w:type="pct"/>
                </w:tcPr>
                <w:p w:rsidR="005A6497" w:rsidRPr="00435769" w:rsidRDefault="005A6497" w:rsidP="007932B2">
                  <w:pPr>
                    <w:jc w:val="both"/>
                    <w:rPr>
                      <w:sz w:val="20"/>
                      <w:lang w:val="fr-CA"/>
                    </w:rPr>
                  </w:pPr>
                  <w:r w:rsidRPr="00435769">
                    <w:rPr>
                      <w:sz w:val="20"/>
                      <w:lang w:val="fr-CA"/>
                    </w:rPr>
                    <w:t>Dépôt de la requête en prorogation du délai pour signifier et déposer la réponse</w:t>
                  </w:r>
                </w:p>
              </w:tc>
            </w:tr>
          </w:tbl>
          <w:p w:rsidR="005A6497" w:rsidRPr="00435769" w:rsidRDefault="005A6497" w:rsidP="007932B2">
            <w:pPr>
              <w:jc w:val="both"/>
              <w:rPr>
                <w:sz w:val="20"/>
                <w:lang w:val="fr-CA"/>
              </w:rPr>
            </w:pPr>
          </w:p>
        </w:tc>
      </w:tr>
    </w:tbl>
    <w:p w:rsidR="005A6497" w:rsidRPr="00435769" w:rsidRDefault="005A6497" w:rsidP="007932B2">
      <w:pPr>
        <w:jc w:val="both"/>
        <w:rPr>
          <w:sz w:val="20"/>
          <w:lang w:val="fr-CA"/>
        </w:rPr>
      </w:pPr>
    </w:p>
    <w:p w:rsidR="008E7E00" w:rsidRPr="00435769" w:rsidRDefault="008E7E00" w:rsidP="007932B2">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6"/>
        <w:gridCol w:w="3493"/>
        <w:gridCol w:w="451"/>
        <w:gridCol w:w="4410"/>
      </w:tblGrid>
      <w:tr w:rsidR="005A6497" w:rsidRPr="00435769" w:rsidTr="005A6497">
        <w:tc>
          <w:tcPr>
            <w:tcW w:w="537" w:type="pct"/>
          </w:tcPr>
          <w:p w:rsidR="005A6497" w:rsidRPr="00435769" w:rsidRDefault="005A6497" w:rsidP="007932B2">
            <w:pPr>
              <w:jc w:val="both"/>
              <w:rPr>
                <w:sz w:val="20"/>
              </w:rPr>
            </w:pPr>
            <w:r w:rsidRPr="00435769">
              <w:rPr>
                <w:rStyle w:val="SCCFileNumberChar"/>
                <w:sz w:val="20"/>
                <w:szCs w:val="20"/>
              </w:rPr>
              <w:t>37095</w:t>
            </w:r>
          </w:p>
        </w:tc>
        <w:tc>
          <w:tcPr>
            <w:tcW w:w="4463" w:type="pct"/>
            <w:gridSpan w:val="3"/>
          </w:tcPr>
          <w:p w:rsidR="005A6497" w:rsidRPr="00435769" w:rsidRDefault="005A6497" w:rsidP="007932B2">
            <w:pPr>
              <w:pStyle w:val="SCCLsocParty"/>
              <w:jc w:val="both"/>
              <w:rPr>
                <w:b/>
                <w:sz w:val="20"/>
                <w:szCs w:val="20"/>
                <w:lang w:val="en-US"/>
              </w:rPr>
            </w:pPr>
            <w:r w:rsidRPr="00435769">
              <w:rPr>
                <w:b/>
                <w:sz w:val="20"/>
                <w:szCs w:val="20"/>
                <w:lang w:val="en-US"/>
              </w:rPr>
              <w:t>Roderick John Byrnes v. Law Society of Upper Canada</w:t>
            </w:r>
          </w:p>
          <w:p w:rsidR="005A6497" w:rsidRPr="00435769" w:rsidRDefault="005A6497" w:rsidP="007932B2">
            <w:pPr>
              <w:jc w:val="both"/>
              <w:rPr>
                <w:sz w:val="20"/>
              </w:rPr>
            </w:pPr>
            <w:r w:rsidRPr="00435769">
              <w:rPr>
                <w:sz w:val="20"/>
              </w:rPr>
              <w:t>(Ont.) (Civil) (By Leave)</w:t>
            </w:r>
          </w:p>
        </w:tc>
      </w:tr>
      <w:tr w:rsidR="005A6497" w:rsidRPr="00435769" w:rsidTr="005A6497">
        <w:tc>
          <w:tcPr>
            <w:tcW w:w="5000" w:type="pct"/>
            <w:gridSpan w:val="4"/>
          </w:tcPr>
          <w:p w:rsidR="005A6497" w:rsidRPr="00435769" w:rsidRDefault="005A6497" w:rsidP="007932B2">
            <w:pPr>
              <w:jc w:val="both"/>
              <w:rPr>
                <w:sz w:val="20"/>
              </w:rPr>
            </w:pPr>
            <w:r w:rsidRPr="00435769">
              <w:rPr>
                <w:sz w:val="20"/>
              </w:rPr>
              <w:t xml:space="preserve">Law of professions — Barristers and solicitors — Discipline — Legal fees — Law Society finding that lawyer violated </w:t>
            </w:r>
            <w:r w:rsidRPr="00435769">
              <w:rPr>
                <w:i/>
                <w:sz w:val="20"/>
              </w:rPr>
              <w:t>Rules of Professional Conduct</w:t>
            </w:r>
            <w:r w:rsidRPr="00435769">
              <w:rPr>
                <w:sz w:val="20"/>
              </w:rPr>
              <w:t xml:space="preserve"> by failing to keep client informed, failing to explain nature and effect of documents, failing to provide written estimate of fees, and charging unjust and unreasonable fees — Licence to practise law revoked — Decision upheld on appeal — Whether the decisions of the courts below were arbitrary — Whether the decisions failed to address the lawyer’s credibility in a case depending almost entirely on credibility, and so deprived the lawyer of a fair hearing — Whether the courts below, in not addressing the credibility issue, and although troubled by the client’s evidence and often rejecting the client’s evidence, encouraged the giving of false evidence under oath.</w:t>
            </w:r>
          </w:p>
        </w:tc>
      </w:tr>
      <w:tr w:rsidR="005A6497" w:rsidRPr="00435769" w:rsidTr="005A6497">
        <w:tc>
          <w:tcPr>
            <w:tcW w:w="5000" w:type="pct"/>
            <w:gridSpan w:val="4"/>
          </w:tcPr>
          <w:p w:rsidR="005A6497" w:rsidRPr="00435769" w:rsidRDefault="005A6497" w:rsidP="007932B2">
            <w:pPr>
              <w:jc w:val="both"/>
              <w:rPr>
                <w:sz w:val="20"/>
              </w:rPr>
            </w:pPr>
          </w:p>
        </w:tc>
      </w:tr>
      <w:tr w:rsidR="005A6497" w:rsidRPr="00435769" w:rsidTr="005A6497">
        <w:tc>
          <w:tcPr>
            <w:tcW w:w="5000" w:type="pct"/>
            <w:gridSpan w:val="4"/>
          </w:tcPr>
          <w:p w:rsidR="005A6497" w:rsidRPr="00435769" w:rsidRDefault="005A6497" w:rsidP="007932B2">
            <w:pPr>
              <w:jc w:val="both"/>
              <w:rPr>
                <w:sz w:val="20"/>
              </w:rPr>
            </w:pPr>
            <w:r w:rsidRPr="00435769">
              <w:rPr>
                <w:sz w:val="20"/>
              </w:rPr>
              <w:lastRenderedPageBreak/>
              <w:t xml:space="preserve">The Law Society of Upper Canada commenced proceedings against Mr. Byrnes, alleging that he violated various articles of the Law Society’s </w:t>
            </w:r>
            <w:r w:rsidRPr="00435769">
              <w:rPr>
                <w:i/>
                <w:sz w:val="20"/>
              </w:rPr>
              <w:t>Rules of Professional Conduct</w:t>
            </w:r>
            <w:r w:rsidRPr="00435769">
              <w:rPr>
                <w:sz w:val="20"/>
              </w:rPr>
              <w:t xml:space="preserve"> in respect of his work for a client on a matrimonial file — specifically, failing to keep his client informed, failing to explain the nature and effect of two irrevocable decisions signed by the client, failing to provide a written estimate of fees, and charging an amount for fees that was neither fair nor reasonable and which exceeded the reasonable expectations of his client. </w:t>
            </w:r>
          </w:p>
          <w:p w:rsidR="005A6497" w:rsidRPr="00435769" w:rsidRDefault="005A6497" w:rsidP="007932B2">
            <w:pPr>
              <w:jc w:val="both"/>
              <w:rPr>
                <w:sz w:val="20"/>
              </w:rPr>
            </w:pPr>
          </w:p>
          <w:p w:rsidR="005A6497" w:rsidRPr="00435769" w:rsidRDefault="005A6497" w:rsidP="007932B2">
            <w:pPr>
              <w:jc w:val="both"/>
              <w:rPr>
                <w:sz w:val="20"/>
              </w:rPr>
            </w:pPr>
            <w:r w:rsidRPr="00435769">
              <w:rPr>
                <w:sz w:val="20"/>
              </w:rPr>
              <w:t xml:space="preserve">A Hearing Panel of the Law Society found that Mr. Byrnes had in fact violated the </w:t>
            </w:r>
            <w:r w:rsidRPr="00435769">
              <w:rPr>
                <w:i/>
                <w:sz w:val="20"/>
              </w:rPr>
              <w:t>Rules</w:t>
            </w:r>
            <w:r w:rsidRPr="00435769">
              <w:rPr>
                <w:sz w:val="20"/>
              </w:rPr>
              <w:t>, and revoked his licence to practise law. An Appeal Division committee of the Law Society Tribunal upheld the decision, as did a panel of the Divisional Court of the Ontario Superior Court of Justice. The Ontario Court of Appeal refused leave to Mr. Byrnes to appeal the decisions.</w:t>
            </w:r>
          </w:p>
          <w:p w:rsidR="005A6497" w:rsidRPr="00435769" w:rsidRDefault="005A6497" w:rsidP="007932B2">
            <w:pPr>
              <w:jc w:val="both"/>
              <w:rPr>
                <w:sz w:val="20"/>
              </w:rPr>
            </w:pPr>
          </w:p>
        </w:tc>
      </w:tr>
      <w:tr w:rsidR="005A6497" w:rsidRPr="00435769" w:rsidTr="005A6497">
        <w:tc>
          <w:tcPr>
            <w:tcW w:w="2403" w:type="pct"/>
            <w:gridSpan w:val="2"/>
          </w:tcPr>
          <w:p w:rsidR="005A6497" w:rsidRPr="00435769" w:rsidRDefault="005A6497" w:rsidP="007932B2">
            <w:pPr>
              <w:jc w:val="both"/>
              <w:rPr>
                <w:sz w:val="20"/>
              </w:rPr>
            </w:pPr>
            <w:r w:rsidRPr="00435769">
              <w:rPr>
                <w:sz w:val="20"/>
              </w:rPr>
              <w:t>February 8, 2013</w:t>
            </w:r>
          </w:p>
          <w:p w:rsidR="005A6497" w:rsidRPr="00435769" w:rsidRDefault="005A6497" w:rsidP="007932B2">
            <w:pPr>
              <w:jc w:val="both"/>
              <w:rPr>
                <w:sz w:val="20"/>
              </w:rPr>
            </w:pPr>
            <w:r w:rsidRPr="00435769">
              <w:rPr>
                <w:sz w:val="20"/>
              </w:rPr>
              <w:t>Law Society Hearing Panel</w:t>
            </w:r>
          </w:p>
          <w:p w:rsidR="005A6497" w:rsidRPr="00435769" w:rsidRDefault="005A6497" w:rsidP="007932B2">
            <w:pPr>
              <w:jc w:val="both"/>
              <w:rPr>
                <w:sz w:val="20"/>
              </w:rPr>
            </w:pPr>
            <w:r w:rsidRPr="00435769">
              <w:rPr>
                <w:sz w:val="20"/>
              </w:rPr>
              <w:t>Law Society of Upper Canada</w:t>
            </w:r>
          </w:p>
          <w:p w:rsidR="005A6497" w:rsidRPr="00435769" w:rsidRDefault="005A6497" w:rsidP="007932B2">
            <w:pPr>
              <w:jc w:val="both"/>
              <w:rPr>
                <w:sz w:val="20"/>
              </w:rPr>
            </w:pPr>
            <w:r w:rsidRPr="00435769">
              <w:rPr>
                <w:sz w:val="20"/>
              </w:rPr>
              <w:t>(members Ménard, McDowell and Portelance)</w:t>
            </w:r>
          </w:p>
          <w:p w:rsidR="005A6497" w:rsidRPr="00435769" w:rsidRDefault="00435769" w:rsidP="007932B2">
            <w:pPr>
              <w:jc w:val="both"/>
              <w:rPr>
                <w:sz w:val="20"/>
              </w:rPr>
            </w:pPr>
            <w:hyperlink r:id="rId73" w:history="1">
              <w:r w:rsidR="005A6497" w:rsidRPr="00435769">
                <w:rPr>
                  <w:rStyle w:val="Hyperlink"/>
                  <w:sz w:val="20"/>
                </w:rPr>
                <w:t>2013 ONLSHP 21</w:t>
              </w:r>
            </w:hyperlink>
          </w:p>
          <w:p w:rsidR="005A6497" w:rsidRPr="00435769" w:rsidRDefault="005A6497" w:rsidP="007932B2">
            <w:pPr>
              <w:jc w:val="both"/>
              <w:rPr>
                <w:sz w:val="20"/>
              </w:rPr>
            </w:pPr>
          </w:p>
        </w:tc>
        <w:tc>
          <w:tcPr>
            <w:tcW w:w="241" w:type="pct"/>
          </w:tcPr>
          <w:p w:rsidR="005A6497" w:rsidRPr="00435769" w:rsidRDefault="005A6497" w:rsidP="007932B2">
            <w:pPr>
              <w:jc w:val="both"/>
              <w:rPr>
                <w:sz w:val="20"/>
              </w:rPr>
            </w:pPr>
          </w:p>
        </w:tc>
        <w:tc>
          <w:tcPr>
            <w:tcW w:w="2356" w:type="pct"/>
          </w:tcPr>
          <w:p w:rsidR="005A6497" w:rsidRPr="00435769" w:rsidRDefault="005A6497" w:rsidP="007932B2">
            <w:pPr>
              <w:jc w:val="both"/>
              <w:rPr>
                <w:i/>
                <w:sz w:val="20"/>
              </w:rPr>
            </w:pPr>
            <w:r w:rsidRPr="00435769">
              <w:rPr>
                <w:sz w:val="20"/>
              </w:rPr>
              <w:t xml:space="preserve">Order — Hearing Panel finding that Mr. Byrnes violated the Law Society of Upper Canada’s </w:t>
            </w:r>
            <w:r w:rsidRPr="00435769">
              <w:rPr>
                <w:i/>
                <w:sz w:val="20"/>
              </w:rPr>
              <w:t>Rules of Professional Conduct</w:t>
            </w:r>
          </w:p>
          <w:p w:rsidR="005A6497" w:rsidRPr="00435769" w:rsidRDefault="005A6497" w:rsidP="007932B2">
            <w:pPr>
              <w:jc w:val="both"/>
              <w:rPr>
                <w:sz w:val="20"/>
              </w:rPr>
            </w:pPr>
          </w:p>
        </w:tc>
      </w:tr>
      <w:tr w:rsidR="005A6497" w:rsidRPr="00435769" w:rsidTr="005A6497">
        <w:tc>
          <w:tcPr>
            <w:tcW w:w="2403" w:type="pct"/>
            <w:gridSpan w:val="2"/>
          </w:tcPr>
          <w:p w:rsidR="005A6497" w:rsidRPr="00435769" w:rsidRDefault="005A6497" w:rsidP="007932B2">
            <w:pPr>
              <w:jc w:val="both"/>
              <w:rPr>
                <w:sz w:val="20"/>
              </w:rPr>
            </w:pPr>
            <w:r w:rsidRPr="00435769">
              <w:rPr>
                <w:sz w:val="20"/>
              </w:rPr>
              <w:t>September 6, 2013</w:t>
            </w:r>
          </w:p>
          <w:p w:rsidR="005A6497" w:rsidRPr="00435769" w:rsidRDefault="005A6497" w:rsidP="007932B2">
            <w:pPr>
              <w:jc w:val="both"/>
              <w:rPr>
                <w:sz w:val="20"/>
              </w:rPr>
            </w:pPr>
            <w:r w:rsidRPr="00435769">
              <w:rPr>
                <w:sz w:val="20"/>
              </w:rPr>
              <w:t>Law Society Hearing Panel</w:t>
            </w:r>
          </w:p>
          <w:p w:rsidR="005A6497" w:rsidRPr="00435769" w:rsidRDefault="005A6497" w:rsidP="007932B2">
            <w:pPr>
              <w:jc w:val="both"/>
              <w:rPr>
                <w:sz w:val="20"/>
              </w:rPr>
            </w:pPr>
            <w:r w:rsidRPr="00435769">
              <w:rPr>
                <w:sz w:val="20"/>
              </w:rPr>
              <w:t>Law Society of Upper Canada</w:t>
            </w:r>
          </w:p>
          <w:p w:rsidR="005A6497" w:rsidRPr="00435769" w:rsidRDefault="005A6497" w:rsidP="007932B2">
            <w:pPr>
              <w:jc w:val="both"/>
              <w:rPr>
                <w:sz w:val="20"/>
              </w:rPr>
            </w:pPr>
            <w:r w:rsidRPr="00435769">
              <w:rPr>
                <w:sz w:val="20"/>
              </w:rPr>
              <w:t>(members Ménard, McDowell and Portelance)</w:t>
            </w:r>
          </w:p>
          <w:p w:rsidR="005A6497" w:rsidRPr="00435769" w:rsidRDefault="00435769" w:rsidP="007932B2">
            <w:pPr>
              <w:jc w:val="both"/>
              <w:rPr>
                <w:sz w:val="20"/>
              </w:rPr>
            </w:pPr>
            <w:hyperlink r:id="rId74" w:history="1">
              <w:r w:rsidR="005A6497" w:rsidRPr="00435769">
                <w:rPr>
                  <w:rStyle w:val="Hyperlink"/>
                  <w:sz w:val="20"/>
                </w:rPr>
                <w:t>2013 ONLSHIP 125</w:t>
              </w:r>
            </w:hyperlink>
          </w:p>
          <w:p w:rsidR="005A6497" w:rsidRPr="00435769" w:rsidRDefault="005A6497" w:rsidP="007932B2">
            <w:pPr>
              <w:jc w:val="both"/>
              <w:rPr>
                <w:sz w:val="20"/>
              </w:rPr>
            </w:pPr>
          </w:p>
        </w:tc>
        <w:tc>
          <w:tcPr>
            <w:tcW w:w="241" w:type="pct"/>
          </w:tcPr>
          <w:p w:rsidR="005A6497" w:rsidRPr="00435769" w:rsidRDefault="005A6497" w:rsidP="007932B2">
            <w:pPr>
              <w:jc w:val="both"/>
              <w:rPr>
                <w:sz w:val="20"/>
                <w:lang w:val="en-ZW"/>
              </w:rPr>
            </w:pPr>
          </w:p>
        </w:tc>
        <w:tc>
          <w:tcPr>
            <w:tcW w:w="2356" w:type="pct"/>
          </w:tcPr>
          <w:p w:rsidR="005A6497" w:rsidRPr="00435769" w:rsidRDefault="005A6497" w:rsidP="007932B2">
            <w:pPr>
              <w:jc w:val="both"/>
              <w:rPr>
                <w:sz w:val="20"/>
              </w:rPr>
            </w:pPr>
            <w:r w:rsidRPr="00435769">
              <w:rPr>
                <w:sz w:val="20"/>
              </w:rPr>
              <w:t>Penalty — Mr. Byrnes’ licence to practise law revoked by Hearing Panel</w:t>
            </w:r>
          </w:p>
          <w:p w:rsidR="005A6497" w:rsidRPr="00435769" w:rsidRDefault="005A6497" w:rsidP="007932B2">
            <w:pPr>
              <w:jc w:val="both"/>
              <w:rPr>
                <w:sz w:val="20"/>
              </w:rPr>
            </w:pPr>
          </w:p>
        </w:tc>
      </w:tr>
      <w:tr w:rsidR="005A6497" w:rsidRPr="00435769" w:rsidTr="005A6497">
        <w:tc>
          <w:tcPr>
            <w:tcW w:w="2403" w:type="pct"/>
            <w:gridSpan w:val="2"/>
          </w:tcPr>
          <w:p w:rsidR="005A6497" w:rsidRPr="00435769" w:rsidRDefault="005A6497" w:rsidP="007932B2">
            <w:pPr>
              <w:jc w:val="both"/>
              <w:rPr>
                <w:sz w:val="20"/>
              </w:rPr>
            </w:pPr>
            <w:r w:rsidRPr="00435769">
              <w:rPr>
                <w:sz w:val="20"/>
              </w:rPr>
              <w:t>May 9, 2014</w:t>
            </w:r>
          </w:p>
          <w:p w:rsidR="005A6497" w:rsidRPr="00435769" w:rsidRDefault="005A6497" w:rsidP="007932B2">
            <w:pPr>
              <w:jc w:val="both"/>
              <w:rPr>
                <w:sz w:val="20"/>
              </w:rPr>
            </w:pPr>
            <w:r w:rsidRPr="00435769">
              <w:rPr>
                <w:sz w:val="20"/>
              </w:rPr>
              <w:t xml:space="preserve">Law Society Tribunal Appeal Division </w:t>
            </w:r>
          </w:p>
          <w:p w:rsidR="005A6497" w:rsidRPr="00435769" w:rsidRDefault="005A6497" w:rsidP="007932B2">
            <w:pPr>
              <w:jc w:val="both"/>
              <w:rPr>
                <w:sz w:val="20"/>
              </w:rPr>
            </w:pPr>
            <w:r w:rsidRPr="00435769">
              <w:rPr>
                <w:sz w:val="20"/>
              </w:rPr>
              <w:t>Law Society of Upper Canada</w:t>
            </w:r>
          </w:p>
          <w:p w:rsidR="005A6497" w:rsidRPr="00435769" w:rsidRDefault="005A6497" w:rsidP="007932B2">
            <w:pPr>
              <w:jc w:val="both"/>
              <w:rPr>
                <w:sz w:val="20"/>
              </w:rPr>
            </w:pPr>
            <w:r w:rsidRPr="00435769">
              <w:rPr>
                <w:sz w:val="20"/>
              </w:rPr>
              <w:t xml:space="preserve">(members Wright, Anand, Bredt, Capelle, and </w:t>
            </w:r>
          </w:p>
          <w:p w:rsidR="005A6497" w:rsidRPr="00435769" w:rsidRDefault="005A6497" w:rsidP="007932B2">
            <w:pPr>
              <w:jc w:val="both"/>
              <w:rPr>
                <w:sz w:val="20"/>
              </w:rPr>
            </w:pPr>
            <w:r w:rsidRPr="00435769">
              <w:rPr>
                <w:sz w:val="20"/>
              </w:rPr>
              <w:t>Laskin)</w:t>
            </w:r>
          </w:p>
          <w:p w:rsidR="005A6497" w:rsidRPr="00435769" w:rsidRDefault="00435769" w:rsidP="007932B2">
            <w:pPr>
              <w:jc w:val="both"/>
              <w:rPr>
                <w:rStyle w:val="Hyperlink"/>
                <w:sz w:val="20"/>
              </w:rPr>
            </w:pPr>
            <w:hyperlink r:id="rId75" w:history="1">
              <w:r w:rsidR="005A6497" w:rsidRPr="00435769">
                <w:rPr>
                  <w:rStyle w:val="Hyperlink"/>
                  <w:sz w:val="20"/>
                </w:rPr>
                <w:t>2014 ONLSTA 20</w:t>
              </w:r>
            </w:hyperlink>
          </w:p>
          <w:p w:rsidR="005A6497" w:rsidRPr="00435769" w:rsidRDefault="005A6497" w:rsidP="007932B2">
            <w:pPr>
              <w:jc w:val="both"/>
              <w:rPr>
                <w:sz w:val="20"/>
              </w:rPr>
            </w:pPr>
          </w:p>
        </w:tc>
        <w:tc>
          <w:tcPr>
            <w:tcW w:w="241" w:type="pct"/>
          </w:tcPr>
          <w:p w:rsidR="005A6497" w:rsidRPr="00435769" w:rsidRDefault="005A6497" w:rsidP="007932B2">
            <w:pPr>
              <w:jc w:val="both"/>
              <w:rPr>
                <w:sz w:val="20"/>
                <w:lang w:val="en-ZW"/>
              </w:rPr>
            </w:pPr>
          </w:p>
        </w:tc>
        <w:tc>
          <w:tcPr>
            <w:tcW w:w="2356" w:type="pct"/>
          </w:tcPr>
          <w:p w:rsidR="005A6497" w:rsidRPr="00435769" w:rsidRDefault="005A6497" w:rsidP="007932B2">
            <w:pPr>
              <w:jc w:val="both"/>
              <w:rPr>
                <w:sz w:val="20"/>
              </w:rPr>
            </w:pPr>
            <w:r w:rsidRPr="00435769">
              <w:rPr>
                <w:sz w:val="20"/>
              </w:rPr>
              <w:t>Mr. Byrnes’ appeal from decision of Hearing Panel and penalty imposed — dismissed</w:t>
            </w:r>
          </w:p>
          <w:p w:rsidR="005A6497" w:rsidRPr="00435769" w:rsidRDefault="005A6497" w:rsidP="007932B2">
            <w:pPr>
              <w:jc w:val="both"/>
              <w:rPr>
                <w:sz w:val="20"/>
              </w:rPr>
            </w:pPr>
          </w:p>
        </w:tc>
      </w:tr>
      <w:tr w:rsidR="005A6497" w:rsidRPr="00435769" w:rsidTr="005A6497">
        <w:tc>
          <w:tcPr>
            <w:tcW w:w="2403" w:type="pct"/>
            <w:gridSpan w:val="2"/>
          </w:tcPr>
          <w:p w:rsidR="005A6497" w:rsidRPr="00435769" w:rsidRDefault="005A6497" w:rsidP="007932B2">
            <w:pPr>
              <w:jc w:val="both"/>
              <w:rPr>
                <w:sz w:val="20"/>
              </w:rPr>
            </w:pPr>
            <w:r w:rsidRPr="00435769">
              <w:rPr>
                <w:sz w:val="20"/>
              </w:rPr>
              <w:t>August 17, 2015</w:t>
            </w:r>
          </w:p>
          <w:p w:rsidR="005A6497" w:rsidRPr="00435769" w:rsidRDefault="005A6497" w:rsidP="007932B2">
            <w:pPr>
              <w:jc w:val="both"/>
              <w:rPr>
                <w:sz w:val="20"/>
              </w:rPr>
            </w:pPr>
            <w:r w:rsidRPr="00435769">
              <w:rPr>
                <w:sz w:val="20"/>
              </w:rPr>
              <w:t xml:space="preserve">Ontario Superior Court of Justice </w:t>
            </w:r>
          </w:p>
          <w:p w:rsidR="005A6497" w:rsidRPr="00435769" w:rsidRDefault="005A6497" w:rsidP="007932B2">
            <w:pPr>
              <w:jc w:val="both"/>
              <w:rPr>
                <w:sz w:val="20"/>
              </w:rPr>
            </w:pPr>
            <w:r w:rsidRPr="00435769">
              <w:rPr>
                <w:sz w:val="20"/>
              </w:rPr>
              <w:t>(Divisional Court)</w:t>
            </w:r>
          </w:p>
          <w:p w:rsidR="005A6497" w:rsidRPr="00435769" w:rsidRDefault="005A6497" w:rsidP="007932B2">
            <w:pPr>
              <w:jc w:val="both"/>
              <w:rPr>
                <w:sz w:val="20"/>
              </w:rPr>
            </w:pPr>
            <w:r w:rsidRPr="00435769">
              <w:rPr>
                <w:sz w:val="20"/>
              </w:rPr>
              <w:t>(Wilson, Harvison Young and Thorburn JJ.)</w:t>
            </w:r>
          </w:p>
          <w:p w:rsidR="005A6497" w:rsidRPr="00435769" w:rsidRDefault="00435769" w:rsidP="007932B2">
            <w:pPr>
              <w:jc w:val="both"/>
              <w:rPr>
                <w:sz w:val="20"/>
                <w:lang w:val="en-ZW"/>
              </w:rPr>
            </w:pPr>
            <w:hyperlink r:id="rId76" w:history="1">
              <w:r w:rsidR="005A6497" w:rsidRPr="00435769">
                <w:rPr>
                  <w:rStyle w:val="Hyperlink"/>
                  <w:sz w:val="20"/>
                </w:rPr>
                <w:t>2015 ONCS 2939</w:t>
              </w:r>
            </w:hyperlink>
          </w:p>
        </w:tc>
        <w:tc>
          <w:tcPr>
            <w:tcW w:w="241" w:type="pct"/>
          </w:tcPr>
          <w:p w:rsidR="005A6497" w:rsidRPr="00435769" w:rsidRDefault="005A6497" w:rsidP="007932B2">
            <w:pPr>
              <w:jc w:val="both"/>
              <w:rPr>
                <w:sz w:val="20"/>
                <w:lang w:val="en-ZW"/>
              </w:rPr>
            </w:pPr>
          </w:p>
        </w:tc>
        <w:tc>
          <w:tcPr>
            <w:tcW w:w="2356" w:type="pct"/>
          </w:tcPr>
          <w:p w:rsidR="005A6497" w:rsidRPr="00435769" w:rsidRDefault="005A6497" w:rsidP="007932B2">
            <w:pPr>
              <w:jc w:val="both"/>
              <w:rPr>
                <w:sz w:val="20"/>
              </w:rPr>
            </w:pPr>
            <w:r w:rsidRPr="00435769">
              <w:rPr>
                <w:sz w:val="20"/>
              </w:rPr>
              <w:t>Mr. Byrnes’ appeal from decision of Law Society Tribunal Appeal Division — dismissed</w:t>
            </w:r>
          </w:p>
          <w:p w:rsidR="005A6497" w:rsidRPr="00435769" w:rsidRDefault="005A6497" w:rsidP="007932B2">
            <w:pPr>
              <w:jc w:val="both"/>
              <w:rPr>
                <w:sz w:val="20"/>
              </w:rPr>
            </w:pPr>
          </w:p>
        </w:tc>
      </w:tr>
      <w:tr w:rsidR="005A6497" w:rsidRPr="00435769" w:rsidTr="005A6497">
        <w:tc>
          <w:tcPr>
            <w:tcW w:w="2403" w:type="pct"/>
            <w:gridSpan w:val="2"/>
          </w:tcPr>
          <w:p w:rsidR="005A6497" w:rsidRPr="00435769" w:rsidRDefault="005A6497" w:rsidP="007932B2">
            <w:pPr>
              <w:jc w:val="both"/>
              <w:rPr>
                <w:sz w:val="20"/>
              </w:rPr>
            </w:pPr>
            <w:r w:rsidRPr="00435769">
              <w:rPr>
                <w:sz w:val="20"/>
              </w:rPr>
              <w:t>February 5, 2016</w:t>
            </w:r>
          </w:p>
          <w:p w:rsidR="005A6497" w:rsidRPr="00435769" w:rsidRDefault="005A6497" w:rsidP="007932B2">
            <w:pPr>
              <w:jc w:val="both"/>
              <w:rPr>
                <w:sz w:val="20"/>
              </w:rPr>
            </w:pPr>
            <w:r w:rsidRPr="00435769">
              <w:rPr>
                <w:sz w:val="20"/>
              </w:rPr>
              <w:t>Court of Appeal for Ontario</w:t>
            </w:r>
          </w:p>
          <w:p w:rsidR="005A6497" w:rsidRPr="00435769" w:rsidRDefault="005A6497" w:rsidP="007932B2">
            <w:pPr>
              <w:jc w:val="both"/>
              <w:rPr>
                <w:sz w:val="20"/>
                <w:lang w:val="en-ZW"/>
              </w:rPr>
            </w:pPr>
            <w:r w:rsidRPr="00435769">
              <w:rPr>
                <w:sz w:val="20"/>
                <w:lang w:val="en-ZW"/>
              </w:rPr>
              <w:t>(Hoy A.C.J. and Pardu and Roberts JJ.A.)</w:t>
            </w:r>
          </w:p>
          <w:p w:rsidR="005A6497" w:rsidRPr="00435769" w:rsidRDefault="005A6497" w:rsidP="007932B2">
            <w:pPr>
              <w:jc w:val="both"/>
              <w:rPr>
                <w:sz w:val="20"/>
              </w:rPr>
            </w:pPr>
          </w:p>
        </w:tc>
        <w:tc>
          <w:tcPr>
            <w:tcW w:w="241" w:type="pct"/>
          </w:tcPr>
          <w:p w:rsidR="005A6497" w:rsidRPr="00435769" w:rsidRDefault="005A6497" w:rsidP="007932B2">
            <w:pPr>
              <w:jc w:val="both"/>
              <w:rPr>
                <w:sz w:val="20"/>
              </w:rPr>
            </w:pPr>
          </w:p>
        </w:tc>
        <w:tc>
          <w:tcPr>
            <w:tcW w:w="2356" w:type="pct"/>
          </w:tcPr>
          <w:p w:rsidR="005A6497" w:rsidRPr="00435769" w:rsidRDefault="005A6497" w:rsidP="007932B2">
            <w:pPr>
              <w:jc w:val="both"/>
              <w:rPr>
                <w:sz w:val="20"/>
              </w:rPr>
            </w:pPr>
            <w:r w:rsidRPr="00435769">
              <w:rPr>
                <w:sz w:val="20"/>
              </w:rPr>
              <w:t>Mr. Byrnes’ application for leave to appeal from order of Divisional Court — dismissed.</w:t>
            </w:r>
          </w:p>
          <w:p w:rsidR="005A6497" w:rsidRPr="00435769" w:rsidRDefault="005A6497" w:rsidP="007932B2">
            <w:pPr>
              <w:jc w:val="both"/>
              <w:rPr>
                <w:sz w:val="20"/>
              </w:rPr>
            </w:pPr>
          </w:p>
        </w:tc>
      </w:tr>
      <w:tr w:rsidR="005A6497" w:rsidRPr="00435769" w:rsidTr="005A6497">
        <w:tc>
          <w:tcPr>
            <w:tcW w:w="2403" w:type="pct"/>
            <w:gridSpan w:val="2"/>
          </w:tcPr>
          <w:p w:rsidR="005A6497" w:rsidRPr="00435769" w:rsidRDefault="005A6497" w:rsidP="007932B2">
            <w:pPr>
              <w:jc w:val="both"/>
              <w:rPr>
                <w:sz w:val="20"/>
              </w:rPr>
            </w:pPr>
            <w:r w:rsidRPr="00435769">
              <w:rPr>
                <w:sz w:val="20"/>
              </w:rPr>
              <w:t>April 5, 2016</w:t>
            </w:r>
          </w:p>
          <w:p w:rsidR="005A6497" w:rsidRPr="00435769" w:rsidRDefault="005A6497" w:rsidP="009E248E">
            <w:pPr>
              <w:jc w:val="both"/>
              <w:rPr>
                <w:sz w:val="20"/>
              </w:rPr>
            </w:pPr>
            <w:r w:rsidRPr="00435769">
              <w:rPr>
                <w:sz w:val="20"/>
              </w:rPr>
              <w:t>Supreme Court of Canada</w:t>
            </w:r>
          </w:p>
        </w:tc>
        <w:tc>
          <w:tcPr>
            <w:tcW w:w="241" w:type="pct"/>
          </w:tcPr>
          <w:p w:rsidR="005A6497" w:rsidRPr="00435769" w:rsidRDefault="005A6497" w:rsidP="007932B2">
            <w:pPr>
              <w:jc w:val="both"/>
              <w:rPr>
                <w:sz w:val="20"/>
              </w:rPr>
            </w:pPr>
          </w:p>
        </w:tc>
        <w:tc>
          <w:tcPr>
            <w:tcW w:w="2356" w:type="pct"/>
          </w:tcPr>
          <w:p w:rsidR="005A6497" w:rsidRPr="00435769" w:rsidRDefault="005A6497" w:rsidP="007932B2">
            <w:pPr>
              <w:jc w:val="both"/>
              <w:rPr>
                <w:sz w:val="20"/>
              </w:rPr>
            </w:pPr>
            <w:r w:rsidRPr="00435769">
              <w:rPr>
                <w:sz w:val="20"/>
              </w:rPr>
              <w:t>Application for leave to appeal filed</w:t>
            </w:r>
          </w:p>
          <w:p w:rsidR="005A6497" w:rsidRPr="00435769" w:rsidRDefault="005A6497" w:rsidP="007932B2">
            <w:pPr>
              <w:jc w:val="both"/>
              <w:rPr>
                <w:sz w:val="20"/>
              </w:rPr>
            </w:pPr>
          </w:p>
        </w:tc>
      </w:tr>
    </w:tbl>
    <w:p w:rsidR="005A6497" w:rsidRPr="00435769" w:rsidRDefault="005A6497" w:rsidP="007932B2">
      <w:pPr>
        <w:jc w:val="both"/>
        <w:rPr>
          <w:sz w:val="20"/>
        </w:rPr>
      </w:pPr>
    </w:p>
    <w:p w:rsidR="009E248E" w:rsidRPr="00435769" w:rsidRDefault="009E248E" w:rsidP="007932B2">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6"/>
        <w:gridCol w:w="3493"/>
        <w:gridCol w:w="451"/>
        <w:gridCol w:w="4410"/>
      </w:tblGrid>
      <w:tr w:rsidR="005A6497" w:rsidRPr="00435769" w:rsidTr="005A6497">
        <w:tc>
          <w:tcPr>
            <w:tcW w:w="537" w:type="pct"/>
          </w:tcPr>
          <w:p w:rsidR="005A6497" w:rsidRPr="00435769" w:rsidRDefault="005A6497" w:rsidP="007932B2">
            <w:pPr>
              <w:jc w:val="both"/>
              <w:rPr>
                <w:sz w:val="20"/>
              </w:rPr>
            </w:pPr>
            <w:r w:rsidRPr="00435769">
              <w:rPr>
                <w:rStyle w:val="SCCFileNumberChar"/>
                <w:sz w:val="20"/>
                <w:szCs w:val="20"/>
              </w:rPr>
              <w:t>37095</w:t>
            </w:r>
          </w:p>
        </w:tc>
        <w:tc>
          <w:tcPr>
            <w:tcW w:w="4463" w:type="pct"/>
            <w:gridSpan w:val="3"/>
          </w:tcPr>
          <w:p w:rsidR="005A6497" w:rsidRPr="00435769" w:rsidRDefault="005A6497" w:rsidP="007932B2">
            <w:pPr>
              <w:pStyle w:val="SCCLsocParty"/>
              <w:jc w:val="both"/>
              <w:rPr>
                <w:b/>
                <w:sz w:val="20"/>
                <w:szCs w:val="20"/>
              </w:rPr>
            </w:pPr>
            <w:r w:rsidRPr="00435769">
              <w:rPr>
                <w:b/>
                <w:sz w:val="20"/>
                <w:szCs w:val="20"/>
              </w:rPr>
              <w:t>Roderick John Byrnes c. Barreau du Haut-Canada</w:t>
            </w:r>
          </w:p>
          <w:p w:rsidR="005A6497" w:rsidRPr="00435769" w:rsidRDefault="005A6497" w:rsidP="007932B2">
            <w:pPr>
              <w:jc w:val="both"/>
              <w:rPr>
                <w:sz w:val="20"/>
                <w:lang w:val="fr-CA"/>
              </w:rPr>
            </w:pPr>
            <w:r w:rsidRPr="00435769">
              <w:rPr>
                <w:sz w:val="20"/>
                <w:lang w:val="fr-CA"/>
              </w:rPr>
              <w:t>(Ont.) (Civile) (Sur autorisation)</w:t>
            </w:r>
          </w:p>
        </w:tc>
      </w:tr>
      <w:tr w:rsidR="005A6497" w:rsidRPr="00435769" w:rsidTr="005A6497">
        <w:tc>
          <w:tcPr>
            <w:tcW w:w="5000" w:type="pct"/>
            <w:gridSpan w:val="4"/>
          </w:tcPr>
          <w:p w:rsidR="005A6497" w:rsidRPr="00435769" w:rsidRDefault="005A6497" w:rsidP="007932B2">
            <w:pPr>
              <w:jc w:val="both"/>
              <w:rPr>
                <w:sz w:val="20"/>
                <w:lang w:val="fr-CA"/>
              </w:rPr>
            </w:pPr>
            <w:r w:rsidRPr="00435769">
              <w:rPr>
                <w:sz w:val="20"/>
                <w:lang w:val="fr-CA"/>
              </w:rPr>
              <w:t xml:space="preserve">Droit des professions — Avocats et procureurs — Discipline — Honoraires — Conclusion du Barreau que l’avocat a violé les </w:t>
            </w:r>
            <w:r w:rsidRPr="00435769">
              <w:rPr>
                <w:i/>
                <w:sz w:val="20"/>
                <w:lang w:val="fr-CA"/>
              </w:rPr>
              <w:t>Règles de déontologie</w:t>
            </w:r>
            <w:r w:rsidRPr="00435769">
              <w:rPr>
                <w:sz w:val="20"/>
                <w:lang w:val="fr-CA"/>
              </w:rPr>
              <w:t xml:space="preserve"> en omettant de tenir son client au courant des progrès de l’affaire, de lui expliquer la nature et les répercussions de documents et de lui fournir par écrit une estimation de ses honoraires et en lui facturant des honoraires injustes et déraisonnables — Révocation du permis d’exercice du droit — Décision confirmée en appel — Les décisions des juridictions inférieures étaient-elles arbitraires? — Les décisions ont-elles fait abstraction de la crédibilité de l’avocat dans une cause fondée presque entièrement sur la crédibilité et privé ainsi l’avocat d’une </w:t>
            </w:r>
            <w:r w:rsidRPr="00435769">
              <w:rPr>
                <w:sz w:val="20"/>
                <w:lang w:val="fr-CA"/>
              </w:rPr>
              <w:lastRenderedPageBreak/>
              <w:t xml:space="preserve">audition équitable? — Les juridictions inférieures ont-elles encouragé les faux témoignages sous serment en ne traitant pas de la crédibilité et en rejetant à maintes reprises le témoignage du client même si ce témoignage les troublait? </w:t>
            </w:r>
          </w:p>
        </w:tc>
      </w:tr>
      <w:tr w:rsidR="005A6497" w:rsidRPr="00435769" w:rsidTr="005A6497">
        <w:tc>
          <w:tcPr>
            <w:tcW w:w="5000" w:type="pct"/>
            <w:gridSpan w:val="4"/>
          </w:tcPr>
          <w:p w:rsidR="005A6497" w:rsidRPr="00435769" w:rsidRDefault="005A6497" w:rsidP="007932B2">
            <w:pPr>
              <w:jc w:val="both"/>
              <w:rPr>
                <w:sz w:val="20"/>
                <w:lang w:val="fr-CA"/>
              </w:rPr>
            </w:pPr>
          </w:p>
        </w:tc>
      </w:tr>
      <w:tr w:rsidR="005A6497" w:rsidRPr="00435769" w:rsidTr="005A6497">
        <w:tc>
          <w:tcPr>
            <w:tcW w:w="5000" w:type="pct"/>
            <w:gridSpan w:val="4"/>
          </w:tcPr>
          <w:p w:rsidR="005A6497" w:rsidRPr="00435769" w:rsidRDefault="005A6497" w:rsidP="007932B2">
            <w:pPr>
              <w:jc w:val="both"/>
              <w:rPr>
                <w:sz w:val="20"/>
                <w:lang w:val="fr-CA"/>
              </w:rPr>
            </w:pPr>
            <w:r w:rsidRPr="00435769">
              <w:rPr>
                <w:sz w:val="20"/>
                <w:lang w:val="fr-CA"/>
              </w:rPr>
              <w:t>Le Barreau du Haut-Canada a intenté une procédure contre M</w:t>
            </w:r>
            <w:r w:rsidRPr="00435769">
              <w:rPr>
                <w:sz w:val="20"/>
                <w:vertAlign w:val="superscript"/>
                <w:lang w:val="fr-CA"/>
              </w:rPr>
              <w:t>e</w:t>
            </w:r>
            <w:r w:rsidRPr="00435769">
              <w:rPr>
                <w:sz w:val="20"/>
                <w:lang w:val="fr-CA"/>
              </w:rPr>
              <w:t xml:space="preserve"> Byrnes, alléguant qu’il avait violé plusieurs articles des </w:t>
            </w:r>
            <w:r w:rsidRPr="00435769">
              <w:rPr>
                <w:i/>
                <w:sz w:val="20"/>
                <w:lang w:val="fr-CA"/>
              </w:rPr>
              <w:t xml:space="preserve">Règles de déontologie </w:t>
            </w:r>
            <w:r w:rsidRPr="00435769">
              <w:rPr>
                <w:sz w:val="20"/>
                <w:lang w:val="fr-CA"/>
              </w:rPr>
              <w:t xml:space="preserve">du Barreau lorsqu’il a travaillé pour le compte d’un client dans un dossier matrimonial. Plus précisément, il aurait omis de tenir son client au courant des progrès de l’affaire, d’expliquer la nature et les répercussions de deux décisions irrévocables signées par le client et de lui fournir par écrit une estimation de ses honoraires et en facturant des honoraires qui n’étaient ni justes ni raisonnables et qui dépassaient les attentes raisonnables de son client. </w:t>
            </w:r>
          </w:p>
          <w:p w:rsidR="005A6497" w:rsidRPr="00435769" w:rsidRDefault="005A6497" w:rsidP="007932B2">
            <w:pPr>
              <w:jc w:val="both"/>
              <w:rPr>
                <w:sz w:val="20"/>
                <w:lang w:val="fr-CA"/>
              </w:rPr>
            </w:pPr>
          </w:p>
          <w:p w:rsidR="005A6497" w:rsidRPr="00435769" w:rsidRDefault="005A6497" w:rsidP="007932B2">
            <w:pPr>
              <w:jc w:val="both"/>
              <w:rPr>
                <w:sz w:val="20"/>
                <w:lang w:val="fr-CA"/>
              </w:rPr>
            </w:pPr>
            <w:r w:rsidRPr="00435769">
              <w:rPr>
                <w:sz w:val="20"/>
                <w:lang w:val="fr-CA"/>
              </w:rPr>
              <w:t>Une formation d’audition du Barreau a conclu que M</w:t>
            </w:r>
            <w:r w:rsidRPr="00435769">
              <w:rPr>
                <w:sz w:val="20"/>
                <w:vertAlign w:val="superscript"/>
                <w:lang w:val="fr-CA"/>
              </w:rPr>
              <w:t>e</w:t>
            </w:r>
            <w:r w:rsidRPr="00435769">
              <w:rPr>
                <w:sz w:val="20"/>
                <w:lang w:val="fr-CA"/>
              </w:rPr>
              <w:t xml:space="preserve"> Byrnes avait effectivement violé les </w:t>
            </w:r>
            <w:r w:rsidRPr="00435769">
              <w:rPr>
                <w:i/>
                <w:sz w:val="20"/>
                <w:lang w:val="fr-CA"/>
              </w:rPr>
              <w:t>Règles</w:t>
            </w:r>
            <w:r w:rsidRPr="00435769">
              <w:rPr>
                <w:sz w:val="20"/>
                <w:lang w:val="fr-CA"/>
              </w:rPr>
              <w:t xml:space="preserve"> et elle a révoqué son permis d’exercice du droit. Un comité de la Section d’appel du Tribunal du Barreau a confirmé la décision, tout comme une formation de la Cour divisionnaire de la Cour supérieure de justice de l’Ontario. La Cour d’appel de l’Ontario a refusé à M</w:t>
            </w:r>
            <w:r w:rsidRPr="00435769">
              <w:rPr>
                <w:sz w:val="20"/>
                <w:vertAlign w:val="superscript"/>
                <w:lang w:val="fr-CA"/>
              </w:rPr>
              <w:t>e</w:t>
            </w:r>
            <w:r w:rsidRPr="00435769">
              <w:rPr>
                <w:sz w:val="20"/>
                <w:lang w:val="fr-CA"/>
              </w:rPr>
              <w:t> Byrnes l’autorisation d’interjeter appel des décisions.</w:t>
            </w:r>
          </w:p>
          <w:p w:rsidR="005A6497" w:rsidRPr="00435769" w:rsidRDefault="005A6497" w:rsidP="007932B2">
            <w:pPr>
              <w:jc w:val="both"/>
              <w:rPr>
                <w:sz w:val="20"/>
                <w:lang w:val="fr-CA"/>
              </w:rPr>
            </w:pPr>
          </w:p>
        </w:tc>
      </w:tr>
      <w:tr w:rsidR="005A6497" w:rsidRPr="00435769" w:rsidTr="005A6497">
        <w:tc>
          <w:tcPr>
            <w:tcW w:w="2403" w:type="pct"/>
            <w:gridSpan w:val="2"/>
          </w:tcPr>
          <w:p w:rsidR="005A6497" w:rsidRPr="00435769" w:rsidRDefault="005A6497" w:rsidP="007932B2">
            <w:pPr>
              <w:jc w:val="both"/>
              <w:rPr>
                <w:sz w:val="20"/>
                <w:lang w:val="fr-CA"/>
              </w:rPr>
            </w:pPr>
            <w:r w:rsidRPr="00435769">
              <w:rPr>
                <w:sz w:val="20"/>
                <w:lang w:val="fr-CA"/>
              </w:rPr>
              <w:t>8 février 2013</w:t>
            </w:r>
          </w:p>
          <w:p w:rsidR="005A6497" w:rsidRPr="00435769" w:rsidRDefault="005A6497" w:rsidP="007932B2">
            <w:pPr>
              <w:jc w:val="both"/>
              <w:rPr>
                <w:sz w:val="20"/>
                <w:lang w:val="fr-CA"/>
              </w:rPr>
            </w:pPr>
            <w:r w:rsidRPr="00435769">
              <w:rPr>
                <w:sz w:val="20"/>
                <w:lang w:val="fr-CA"/>
              </w:rPr>
              <w:t>Formation d’audition du Barreau</w:t>
            </w:r>
          </w:p>
          <w:p w:rsidR="005A6497" w:rsidRPr="00435769" w:rsidRDefault="005A6497" w:rsidP="007932B2">
            <w:pPr>
              <w:jc w:val="both"/>
              <w:rPr>
                <w:sz w:val="20"/>
                <w:lang w:val="fr-CA"/>
              </w:rPr>
            </w:pPr>
            <w:r w:rsidRPr="00435769">
              <w:rPr>
                <w:sz w:val="20"/>
                <w:lang w:val="fr-CA"/>
              </w:rPr>
              <w:t>Barreau du Haut-Canada</w:t>
            </w:r>
          </w:p>
          <w:p w:rsidR="005A6497" w:rsidRPr="00435769" w:rsidRDefault="005A6497" w:rsidP="007932B2">
            <w:pPr>
              <w:jc w:val="both"/>
              <w:rPr>
                <w:sz w:val="20"/>
                <w:lang w:val="fr-CA"/>
              </w:rPr>
            </w:pPr>
            <w:r w:rsidRPr="00435769">
              <w:rPr>
                <w:sz w:val="20"/>
                <w:lang w:val="fr-CA"/>
              </w:rPr>
              <w:t>(Membres Ménard, McDowell et Portelance)</w:t>
            </w:r>
          </w:p>
          <w:p w:rsidR="005A6497" w:rsidRPr="00435769" w:rsidRDefault="00435769" w:rsidP="007932B2">
            <w:pPr>
              <w:jc w:val="both"/>
              <w:rPr>
                <w:sz w:val="20"/>
              </w:rPr>
            </w:pPr>
            <w:hyperlink r:id="rId77" w:history="1">
              <w:r w:rsidR="005A6497" w:rsidRPr="00435769">
                <w:rPr>
                  <w:rStyle w:val="Hyperlink"/>
                  <w:sz w:val="20"/>
                </w:rPr>
                <w:t>2013 ONLSHP 21</w:t>
              </w:r>
            </w:hyperlink>
          </w:p>
          <w:p w:rsidR="005A6497" w:rsidRPr="00435769" w:rsidRDefault="005A6497" w:rsidP="007932B2">
            <w:pPr>
              <w:jc w:val="both"/>
              <w:rPr>
                <w:sz w:val="20"/>
              </w:rPr>
            </w:pPr>
          </w:p>
        </w:tc>
        <w:tc>
          <w:tcPr>
            <w:tcW w:w="241" w:type="pct"/>
          </w:tcPr>
          <w:p w:rsidR="005A6497" w:rsidRPr="00435769" w:rsidRDefault="005A6497" w:rsidP="007932B2">
            <w:pPr>
              <w:jc w:val="both"/>
              <w:rPr>
                <w:sz w:val="20"/>
              </w:rPr>
            </w:pPr>
          </w:p>
        </w:tc>
        <w:tc>
          <w:tcPr>
            <w:tcW w:w="2356" w:type="pct"/>
          </w:tcPr>
          <w:p w:rsidR="005A6497" w:rsidRPr="00435769" w:rsidRDefault="005A6497" w:rsidP="007932B2">
            <w:pPr>
              <w:jc w:val="both"/>
              <w:rPr>
                <w:sz w:val="20"/>
                <w:lang w:val="fr-CA"/>
              </w:rPr>
            </w:pPr>
            <w:r w:rsidRPr="00435769">
              <w:rPr>
                <w:sz w:val="20"/>
                <w:lang w:val="fr-CA"/>
              </w:rPr>
              <w:t>Ordonnance — Conclusion de la formation d’audition que M</w:t>
            </w:r>
            <w:r w:rsidRPr="00435769">
              <w:rPr>
                <w:sz w:val="20"/>
                <w:vertAlign w:val="superscript"/>
                <w:lang w:val="fr-CA"/>
              </w:rPr>
              <w:t>e</w:t>
            </w:r>
            <w:r w:rsidRPr="00435769">
              <w:rPr>
                <w:sz w:val="20"/>
                <w:lang w:val="fr-CA"/>
              </w:rPr>
              <w:t xml:space="preserve"> Byrnes a violé les </w:t>
            </w:r>
            <w:r w:rsidRPr="00435769">
              <w:rPr>
                <w:i/>
                <w:sz w:val="20"/>
                <w:lang w:val="fr-CA"/>
              </w:rPr>
              <w:t xml:space="preserve">Règles de déontologie </w:t>
            </w:r>
            <w:r w:rsidRPr="00435769">
              <w:rPr>
                <w:sz w:val="20"/>
                <w:lang w:val="fr-CA"/>
              </w:rPr>
              <w:t>du Barreau du Haut-Canada</w:t>
            </w:r>
          </w:p>
          <w:p w:rsidR="005A6497" w:rsidRPr="00435769" w:rsidRDefault="005A6497" w:rsidP="007932B2">
            <w:pPr>
              <w:jc w:val="both"/>
              <w:rPr>
                <w:sz w:val="20"/>
                <w:lang w:val="fr-CA"/>
              </w:rPr>
            </w:pPr>
          </w:p>
        </w:tc>
      </w:tr>
      <w:tr w:rsidR="005A6497" w:rsidRPr="00435769" w:rsidTr="005A6497">
        <w:tc>
          <w:tcPr>
            <w:tcW w:w="2403" w:type="pct"/>
            <w:gridSpan w:val="2"/>
          </w:tcPr>
          <w:p w:rsidR="005A6497" w:rsidRPr="00435769" w:rsidRDefault="005A6497" w:rsidP="007932B2">
            <w:pPr>
              <w:jc w:val="both"/>
              <w:rPr>
                <w:sz w:val="20"/>
                <w:lang w:val="fr-CA"/>
              </w:rPr>
            </w:pPr>
            <w:r w:rsidRPr="00435769">
              <w:rPr>
                <w:sz w:val="20"/>
                <w:lang w:val="fr-CA"/>
              </w:rPr>
              <w:t>6 septembre 2013</w:t>
            </w:r>
          </w:p>
          <w:p w:rsidR="005A6497" w:rsidRPr="00435769" w:rsidRDefault="005A6497" w:rsidP="007932B2">
            <w:pPr>
              <w:jc w:val="both"/>
              <w:rPr>
                <w:sz w:val="20"/>
                <w:lang w:val="fr-CA"/>
              </w:rPr>
            </w:pPr>
            <w:r w:rsidRPr="00435769">
              <w:rPr>
                <w:sz w:val="20"/>
                <w:lang w:val="fr-CA"/>
              </w:rPr>
              <w:t>Formation d’audition du Barreau</w:t>
            </w:r>
          </w:p>
          <w:p w:rsidR="005A6497" w:rsidRPr="00435769" w:rsidRDefault="005A6497" w:rsidP="007932B2">
            <w:pPr>
              <w:jc w:val="both"/>
              <w:rPr>
                <w:sz w:val="20"/>
                <w:lang w:val="fr-CA"/>
              </w:rPr>
            </w:pPr>
            <w:r w:rsidRPr="00435769">
              <w:rPr>
                <w:sz w:val="20"/>
                <w:lang w:val="fr-CA"/>
              </w:rPr>
              <w:t>Barreau du Haut-Canada</w:t>
            </w:r>
          </w:p>
          <w:p w:rsidR="005A6497" w:rsidRPr="00435769" w:rsidRDefault="005A6497" w:rsidP="007932B2">
            <w:pPr>
              <w:jc w:val="both"/>
              <w:rPr>
                <w:sz w:val="20"/>
                <w:lang w:val="fr-CA"/>
              </w:rPr>
            </w:pPr>
            <w:r w:rsidRPr="00435769">
              <w:rPr>
                <w:sz w:val="20"/>
                <w:lang w:val="fr-CA"/>
              </w:rPr>
              <w:t>(Membres Ménard, McDowell et Portelance)</w:t>
            </w:r>
          </w:p>
          <w:p w:rsidR="005A6497" w:rsidRPr="00435769" w:rsidRDefault="00435769" w:rsidP="007932B2">
            <w:pPr>
              <w:jc w:val="both"/>
              <w:rPr>
                <w:sz w:val="20"/>
              </w:rPr>
            </w:pPr>
            <w:hyperlink r:id="rId78" w:history="1">
              <w:r w:rsidR="005A6497" w:rsidRPr="00435769">
                <w:rPr>
                  <w:rStyle w:val="Hyperlink"/>
                  <w:sz w:val="20"/>
                </w:rPr>
                <w:t>2013 ONLSHIP 125</w:t>
              </w:r>
            </w:hyperlink>
          </w:p>
          <w:p w:rsidR="005A6497" w:rsidRPr="00435769" w:rsidRDefault="005A6497" w:rsidP="007932B2">
            <w:pPr>
              <w:jc w:val="both"/>
              <w:rPr>
                <w:sz w:val="20"/>
              </w:rPr>
            </w:pPr>
          </w:p>
        </w:tc>
        <w:tc>
          <w:tcPr>
            <w:tcW w:w="241" w:type="pct"/>
          </w:tcPr>
          <w:p w:rsidR="005A6497" w:rsidRPr="00435769" w:rsidRDefault="005A6497" w:rsidP="007932B2">
            <w:pPr>
              <w:jc w:val="both"/>
              <w:rPr>
                <w:sz w:val="20"/>
                <w:lang w:val="en-ZW"/>
              </w:rPr>
            </w:pPr>
          </w:p>
        </w:tc>
        <w:tc>
          <w:tcPr>
            <w:tcW w:w="2356" w:type="pct"/>
          </w:tcPr>
          <w:p w:rsidR="005A6497" w:rsidRPr="00435769" w:rsidRDefault="005A6497" w:rsidP="007932B2">
            <w:pPr>
              <w:jc w:val="both"/>
              <w:rPr>
                <w:sz w:val="20"/>
                <w:lang w:val="fr-CA"/>
              </w:rPr>
            </w:pPr>
            <w:r w:rsidRPr="00435769">
              <w:rPr>
                <w:sz w:val="20"/>
                <w:lang w:val="fr-CA"/>
              </w:rPr>
              <w:t>Pénalité — Révocation du permis de M</w:t>
            </w:r>
            <w:r w:rsidRPr="00435769">
              <w:rPr>
                <w:sz w:val="20"/>
                <w:vertAlign w:val="superscript"/>
                <w:lang w:val="fr-CA"/>
              </w:rPr>
              <w:t>e</w:t>
            </w:r>
            <w:r w:rsidRPr="00435769">
              <w:rPr>
                <w:sz w:val="20"/>
                <w:lang w:val="fr-CA"/>
              </w:rPr>
              <w:t> Byrnes par la formation d’audition</w:t>
            </w:r>
          </w:p>
          <w:p w:rsidR="005A6497" w:rsidRPr="00435769" w:rsidRDefault="005A6497" w:rsidP="007932B2">
            <w:pPr>
              <w:jc w:val="both"/>
              <w:rPr>
                <w:sz w:val="20"/>
                <w:lang w:val="fr-CA"/>
              </w:rPr>
            </w:pPr>
          </w:p>
        </w:tc>
      </w:tr>
      <w:tr w:rsidR="005A6497" w:rsidRPr="00435769" w:rsidTr="005A6497">
        <w:tc>
          <w:tcPr>
            <w:tcW w:w="2403" w:type="pct"/>
            <w:gridSpan w:val="2"/>
          </w:tcPr>
          <w:p w:rsidR="005A6497" w:rsidRPr="00435769" w:rsidRDefault="005A6497" w:rsidP="007932B2">
            <w:pPr>
              <w:jc w:val="both"/>
              <w:rPr>
                <w:sz w:val="20"/>
                <w:lang w:val="fr-CA"/>
              </w:rPr>
            </w:pPr>
            <w:r w:rsidRPr="00435769">
              <w:rPr>
                <w:sz w:val="20"/>
                <w:lang w:val="fr-CA"/>
              </w:rPr>
              <w:t>9 mai 2014</w:t>
            </w:r>
          </w:p>
          <w:p w:rsidR="005A6497" w:rsidRPr="00435769" w:rsidRDefault="005A6497" w:rsidP="007932B2">
            <w:pPr>
              <w:jc w:val="both"/>
              <w:rPr>
                <w:sz w:val="20"/>
                <w:lang w:val="fr-CA"/>
              </w:rPr>
            </w:pPr>
            <w:r w:rsidRPr="00435769">
              <w:rPr>
                <w:sz w:val="20"/>
                <w:lang w:val="fr-CA"/>
              </w:rPr>
              <w:t xml:space="preserve">Section d’appel du Tribunal du Barreau  </w:t>
            </w:r>
          </w:p>
          <w:p w:rsidR="005A6497" w:rsidRPr="00435769" w:rsidRDefault="005A6497" w:rsidP="007932B2">
            <w:pPr>
              <w:jc w:val="both"/>
              <w:rPr>
                <w:sz w:val="20"/>
                <w:lang w:val="fr-CA"/>
              </w:rPr>
            </w:pPr>
            <w:r w:rsidRPr="00435769">
              <w:rPr>
                <w:sz w:val="20"/>
                <w:lang w:val="fr-CA"/>
              </w:rPr>
              <w:t>Barreau du Haut-Canada</w:t>
            </w:r>
          </w:p>
          <w:p w:rsidR="005A6497" w:rsidRPr="00435769" w:rsidRDefault="005A6497" w:rsidP="007932B2">
            <w:pPr>
              <w:jc w:val="both"/>
              <w:rPr>
                <w:sz w:val="20"/>
                <w:lang w:val="fr-CA"/>
              </w:rPr>
            </w:pPr>
            <w:r w:rsidRPr="00435769">
              <w:rPr>
                <w:sz w:val="20"/>
                <w:lang w:val="fr-CA"/>
              </w:rPr>
              <w:t xml:space="preserve">(Membres Wright, Anand, Bredt, Capelle et </w:t>
            </w:r>
          </w:p>
          <w:p w:rsidR="005A6497" w:rsidRPr="00435769" w:rsidRDefault="005A6497" w:rsidP="007932B2">
            <w:pPr>
              <w:jc w:val="both"/>
              <w:rPr>
                <w:sz w:val="20"/>
              </w:rPr>
            </w:pPr>
            <w:r w:rsidRPr="00435769">
              <w:rPr>
                <w:sz w:val="20"/>
              </w:rPr>
              <w:t>Laskin)</w:t>
            </w:r>
          </w:p>
          <w:p w:rsidR="005A6497" w:rsidRPr="00435769" w:rsidRDefault="00435769" w:rsidP="007932B2">
            <w:pPr>
              <w:jc w:val="both"/>
              <w:rPr>
                <w:rStyle w:val="Hyperlink"/>
                <w:sz w:val="20"/>
              </w:rPr>
            </w:pPr>
            <w:hyperlink r:id="rId79" w:history="1">
              <w:r w:rsidR="005A6497" w:rsidRPr="00435769">
                <w:rPr>
                  <w:rStyle w:val="Hyperlink"/>
                  <w:sz w:val="20"/>
                </w:rPr>
                <w:t>2014 ONLSTA 20</w:t>
              </w:r>
            </w:hyperlink>
          </w:p>
          <w:p w:rsidR="005A6497" w:rsidRPr="00435769" w:rsidRDefault="005A6497" w:rsidP="007932B2">
            <w:pPr>
              <w:jc w:val="both"/>
              <w:rPr>
                <w:sz w:val="20"/>
              </w:rPr>
            </w:pPr>
          </w:p>
        </w:tc>
        <w:tc>
          <w:tcPr>
            <w:tcW w:w="241" w:type="pct"/>
          </w:tcPr>
          <w:p w:rsidR="005A6497" w:rsidRPr="00435769" w:rsidRDefault="005A6497" w:rsidP="007932B2">
            <w:pPr>
              <w:jc w:val="both"/>
              <w:rPr>
                <w:sz w:val="20"/>
                <w:lang w:val="en-ZW"/>
              </w:rPr>
            </w:pPr>
          </w:p>
        </w:tc>
        <w:tc>
          <w:tcPr>
            <w:tcW w:w="2356" w:type="pct"/>
          </w:tcPr>
          <w:p w:rsidR="005A6497" w:rsidRPr="00435769" w:rsidRDefault="005A6497" w:rsidP="007932B2">
            <w:pPr>
              <w:jc w:val="both"/>
              <w:rPr>
                <w:sz w:val="20"/>
                <w:lang w:val="fr-CA"/>
              </w:rPr>
            </w:pPr>
            <w:r w:rsidRPr="00435769">
              <w:rPr>
                <w:sz w:val="20"/>
                <w:lang w:val="fr-CA"/>
              </w:rPr>
              <w:t>Rejet de l’appel formé par M</w:t>
            </w:r>
            <w:r w:rsidRPr="00435769">
              <w:rPr>
                <w:sz w:val="20"/>
                <w:vertAlign w:val="superscript"/>
                <w:lang w:val="fr-CA"/>
              </w:rPr>
              <w:t>e</w:t>
            </w:r>
            <w:r w:rsidRPr="00435769">
              <w:rPr>
                <w:sz w:val="20"/>
                <w:lang w:val="fr-CA"/>
              </w:rPr>
              <w:t xml:space="preserve"> Byrnes contre la décision de la formation d’audition et la pénalité qui lui a été imposée</w:t>
            </w:r>
          </w:p>
          <w:p w:rsidR="005A6497" w:rsidRPr="00435769" w:rsidRDefault="005A6497" w:rsidP="007932B2">
            <w:pPr>
              <w:jc w:val="both"/>
              <w:rPr>
                <w:sz w:val="20"/>
                <w:lang w:val="fr-CA"/>
              </w:rPr>
            </w:pPr>
          </w:p>
        </w:tc>
      </w:tr>
      <w:tr w:rsidR="005A6497" w:rsidRPr="00435769" w:rsidTr="005A6497">
        <w:tc>
          <w:tcPr>
            <w:tcW w:w="2403" w:type="pct"/>
            <w:gridSpan w:val="2"/>
          </w:tcPr>
          <w:p w:rsidR="005A6497" w:rsidRPr="00435769" w:rsidRDefault="005A6497" w:rsidP="007932B2">
            <w:pPr>
              <w:jc w:val="both"/>
              <w:rPr>
                <w:sz w:val="20"/>
                <w:lang w:val="fr-CA"/>
              </w:rPr>
            </w:pPr>
            <w:r w:rsidRPr="00435769">
              <w:rPr>
                <w:sz w:val="20"/>
                <w:lang w:val="fr-CA"/>
              </w:rPr>
              <w:t>17 août 2015</w:t>
            </w:r>
          </w:p>
          <w:p w:rsidR="005A6497" w:rsidRPr="00435769" w:rsidRDefault="005A6497" w:rsidP="007932B2">
            <w:pPr>
              <w:jc w:val="both"/>
              <w:rPr>
                <w:sz w:val="20"/>
                <w:lang w:val="fr-CA"/>
              </w:rPr>
            </w:pPr>
            <w:r w:rsidRPr="00435769">
              <w:rPr>
                <w:sz w:val="20"/>
                <w:lang w:val="fr-CA"/>
              </w:rPr>
              <w:t xml:space="preserve">Cour supérieure de justice de l’Ontario </w:t>
            </w:r>
          </w:p>
          <w:p w:rsidR="005A6497" w:rsidRPr="00435769" w:rsidRDefault="005A6497" w:rsidP="007932B2">
            <w:pPr>
              <w:jc w:val="both"/>
              <w:rPr>
                <w:sz w:val="20"/>
              </w:rPr>
            </w:pPr>
            <w:r w:rsidRPr="00435769">
              <w:rPr>
                <w:sz w:val="20"/>
              </w:rPr>
              <w:t>(Cour divisionnaire)</w:t>
            </w:r>
          </w:p>
          <w:p w:rsidR="005A6497" w:rsidRPr="00435769" w:rsidRDefault="005A6497" w:rsidP="007932B2">
            <w:pPr>
              <w:jc w:val="both"/>
              <w:rPr>
                <w:sz w:val="20"/>
              </w:rPr>
            </w:pPr>
            <w:r w:rsidRPr="00435769">
              <w:rPr>
                <w:sz w:val="20"/>
              </w:rPr>
              <w:t>(Juges Wilson, Harvison Young et Thorburn)</w:t>
            </w:r>
          </w:p>
          <w:p w:rsidR="005A6497" w:rsidRPr="00435769" w:rsidRDefault="00435769" w:rsidP="007932B2">
            <w:pPr>
              <w:jc w:val="both"/>
              <w:rPr>
                <w:sz w:val="20"/>
                <w:lang w:val="en-ZW"/>
              </w:rPr>
            </w:pPr>
            <w:hyperlink r:id="rId80" w:history="1">
              <w:r w:rsidR="005A6497" w:rsidRPr="00435769">
                <w:rPr>
                  <w:rStyle w:val="Hyperlink"/>
                  <w:sz w:val="20"/>
                </w:rPr>
                <w:t>2015 ONCS 2939</w:t>
              </w:r>
            </w:hyperlink>
          </w:p>
        </w:tc>
        <w:tc>
          <w:tcPr>
            <w:tcW w:w="241" w:type="pct"/>
          </w:tcPr>
          <w:p w:rsidR="005A6497" w:rsidRPr="00435769" w:rsidRDefault="005A6497" w:rsidP="007932B2">
            <w:pPr>
              <w:jc w:val="both"/>
              <w:rPr>
                <w:sz w:val="20"/>
                <w:lang w:val="en-ZW"/>
              </w:rPr>
            </w:pPr>
          </w:p>
        </w:tc>
        <w:tc>
          <w:tcPr>
            <w:tcW w:w="2356" w:type="pct"/>
          </w:tcPr>
          <w:p w:rsidR="005A6497" w:rsidRPr="00435769" w:rsidRDefault="005A6497" w:rsidP="007932B2">
            <w:pPr>
              <w:jc w:val="both"/>
              <w:rPr>
                <w:sz w:val="20"/>
                <w:lang w:val="fr-CA"/>
              </w:rPr>
            </w:pPr>
            <w:r w:rsidRPr="00435769">
              <w:rPr>
                <w:sz w:val="20"/>
                <w:lang w:val="fr-CA"/>
              </w:rPr>
              <w:t>Rejet de l’appel formé par M</w:t>
            </w:r>
            <w:r w:rsidRPr="00435769">
              <w:rPr>
                <w:sz w:val="20"/>
                <w:vertAlign w:val="superscript"/>
                <w:lang w:val="fr-CA"/>
              </w:rPr>
              <w:t>e</w:t>
            </w:r>
            <w:r w:rsidRPr="00435769">
              <w:rPr>
                <w:sz w:val="20"/>
                <w:lang w:val="fr-CA"/>
              </w:rPr>
              <w:t xml:space="preserve"> Byrnes contre la décision de la Section d’appel du Tribunal du Barreau</w:t>
            </w:r>
          </w:p>
          <w:p w:rsidR="005A6497" w:rsidRPr="00435769" w:rsidRDefault="005A6497" w:rsidP="007932B2">
            <w:pPr>
              <w:jc w:val="both"/>
              <w:rPr>
                <w:sz w:val="20"/>
                <w:lang w:val="fr-CA"/>
              </w:rPr>
            </w:pPr>
          </w:p>
        </w:tc>
      </w:tr>
      <w:tr w:rsidR="005A6497" w:rsidRPr="00435769" w:rsidTr="005A6497">
        <w:tc>
          <w:tcPr>
            <w:tcW w:w="2403" w:type="pct"/>
            <w:gridSpan w:val="2"/>
          </w:tcPr>
          <w:p w:rsidR="005A6497" w:rsidRPr="00435769" w:rsidRDefault="005A6497" w:rsidP="007932B2">
            <w:pPr>
              <w:jc w:val="both"/>
              <w:rPr>
                <w:sz w:val="20"/>
                <w:lang w:val="fr-CA"/>
              </w:rPr>
            </w:pPr>
            <w:r w:rsidRPr="00435769">
              <w:rPr>
                <w:sz w:val="20"/>
                <w:lang w:val="fr-CA"/>
              </w:rPr>
              <w:t>5 février 2016</w:t>
            </w:r>
          </w:p>
          <w:p w:rsidR="005A6497" w:rsidRPr="00435769" w:rsidRDefault="005A6497" w:rsidP="007932B2">
            <w:pPr>
              <w:jc w:val="both"/>
              <w:rPr>
                <w:sz w:val="20"/>
                <w:lang w:val="fr-CA"/>
              </w:rPr>
            </w:pPr>
            <w:r w:rsidRPr="00435769">
              <w:rPr>
                <w:sz w:val="20"/>
                <w:lang w:val="fr-CA"/>
              </w:rPr>
              <w:t>Cour d’appel de l’Ontario</w:t>
            </w:r>
          </w:p>
          <w:p w:rsidR="005A6497" w:rsidRPr="00435769" w:rsidRDefault="005A6497" w:rsidP="007932B2">
            <w:pPr>
              <w:jc w:val="both"/>
              <w:rPr>
                <w:sz w:val="20"/>
                <w:lang w:val="fr-CA"/>
              </w:rPr>
            </w:pPr>
            <w:r w:rsidRPr="00435769">
              <w:rPr>
                <w:sz w:val="20"/>
                <w:lang w:val="fr-CA"/>
              </w:rPr>
              <w:t>(Juge en chef adjointe Hoy et juges Pardu et Roberts)</w:t>
            </w:r>
          </w:p>
          <w:p w:rsidR="005A6497" w:rsidRPr="00435769" w:rsidRDefault="005A6497" w:rsidP="007932B2">
            <w:pPr>
              <w:jc w:val="both"/>
              <w:rPr>
                <w:sz w:val="20"/>
                <w:lang w:val="fr-CA"/>
              </w:rPr>
            </w:pPr>
          </w:p>
        </w:tc>
        <w:tc>
          <w:tcPr>
            <w:tcW w:w="241" w:type="pct"/>
          </w:tcPr>
          <w:p w:rsidR="005A6497" w:rsidRPr="00435769" w:rsidRDefault="005A6497" w:rsidP="007932B2">
            <w:pPr>
              <w:jc w:val="both"/>
              <w:rPr>
                <w:sz w:val="20"/>
                <w:lang w:val="fr-CA"/>
              </w:rPr>
            </w:pPr>
          </w:p>
        </w:tc>
        <w:tc>
          <w:tcPr>
            <w:tcW w:w="2356" w:type="pct"/>
          </w:tcPr>
          <w:p w:rsidR="005A6497" w:rsidRPr="00435769" w:rsidRDefault="005A6497" w:rsidP="007932B2">
            <w:pPr>
              <w:jc w:val="both"/>
              <w:rPr>
                <w:sz w:val="20"/>
                <w:lang w:val="fr-CA"/>
              </w:rPr>
            </w:pPr>
            <w:r w:rsidRPr="00435769">
              <w:rPr>
                <w:sz w:val="20"/>
                <w:lang w:val="fr-CA"/>
              </w:rPr>
              <w:t>Rejet de la demande présentée par M</w:t>
            </w:r>
            <w:r w:rsidRPr="00435769">
              <w:rPr>
                <w:sz w:val="20"/>
                <w:vertAlign w:val="superscript"/>
                <w:lang w:val="fr-CA"/>
              </w:rPr>
              <w:t>e</w:t>
            </w:r>
            <w:r w:rsidRPr="00435769">
              <w:rPr>
                <w:sz w:val="20"/>
                <w:lang w:val="fr-CA"/>
              </w:rPr>
              <w:t> Byrnes pour obtenir l’autorisation de porter en appel l’ordonnance de la Cour divisionnaire</w:t>
            </w:r>
          </w:p>
          <w:p w:rsidR="005A6497" w:rsidRPr="00435769" w:rsidRDefault="005A6497" w:rsidP="007932B2">
            <w:pPr>
              <w:jc w:val="both"/>
              <w:rPr>
                <w:sz w:val="20"/>
                <w:lang w:val="fr-CA"/>
              </w:rPr>
            </w:pPr>
          </w:p>
        </w:tc>
      </w:tr>
      <w:tr w:rsidR="005A6497" w:rsidRPr="00435769" w:rsidTr="005A6497">
        <w:tc>
          <w:tcPr>
            <w:tcW w:w="2403" w:type="pct"/>
            <w:gridSpan w:val="2"/>
          </w:tcPr>
          <w:p w:rsidR="005A6497" w:rsidRPr="00435769" w:rsidRDefault="005A6497" w:rsidP="007932B2">
            <w:pPr>
              <w:jc w:val="both"/>
              <w:rPr>
                <w:sz w:val="20"/>
                <w:lang w:val="fr-CA"/>
              </w:rPr>
            </w:pPr>
            <w:r w:rsidRPr="00435769">
              <w:rPr>
                <w:sz w:val="20"/>
                <w:lang w:val="fr-CA"/>
              </w:rPr>
              <w:t>5 avril 2016</w:t>
            </w:r>
          </w:p>
          <w:p w:rsidR="005A6497" w:rsidRPr="00435769" w:rsidRDefault="005A6497" w:rsidP="007932B2">
            <w:pPr>
              <w:jc w:val="both"/>
              <w:rPr>
                <w:sz w:val="20"/>
                <w:lang w:val="fr-CA"/>
              </w:rPr>
            </w:pPr>
            <w:r w:rsidRPr="00435769">
              <w:rPr>
                <w:sz w:val="20"/>
                <w:lang w:val="fr-CA"/>
              </w:rPr>
              <w:t xml:space="preserve">Cour suprême du </w:t>
            </w:r>
            <w:r w:rsidR="009E248E" w:rsidRPr="00435769">
              <w:rPr>
                <w:sz w:val="20"/>
                <w:lang w:val="fr-CA"/>
              </w:rPr>
              <w:t>Canada</w:t>
            </w:r>
          </w:p>
        </w:tc>
        <w:tc>
          <w:tcPr>
            <w:tcW w:w="241" w:type="pct"/>
          </w:tcPr>
          <w:p w:rsidR="005A6497" w:rsidRPr="00435769" w:rsidRDefault="005A6497" w:rsidP="007932B2">
            <w:pPr>
              <w:jc w:val="both"/>
              <w:rPr>
                <w:sz w:val="20"/>
                <w:lang w:val="fr-CA"/>
              </w:rPr>
            </w:pPr>
          </w:p>
        </w:tc>
        <w:tc>
          <w:tcPr>
            <w:tcW w:w="2356" w:type="pct"/>
          </w:tcPr>
          <w:p w:rsidR="005A6497" w:rsidRPr="00435769" w:rsidRDefault="005A6497" w:rsidP="007932B2">
            <w:pPr>
              <w:jc w:val="both"/>
              <w:rPr>
                <w:sz w:val="20"/>
                <w:lang w:val="fr-CA"/>
              </w:rPr>
            </w:pPr>
            <w:r w:rsidRPr="00435769">
              <w:rPr>
                <w:sz w:val="20"/>
                <w:lang w:val="fr-CA"/>
              </w:rPr>
              <w:t xml:space="preserve">Dépôt de la demande d’autorisation d’appel </w:t>
            </w:r>
          </w:p>
          <w:p w:rsidR="005A6497" w:rsidRPr="00435769" w:rsidRDefault="005A6497" w:rsidP="007932B2">
            <w:pPr>
              <w:jc w:val="both"/>
              <w:rPr>
                <w:sz w:val="20"/>
                <w:lang w:val="fr-CA"/>
              </w:rPr>
            </w:pPr>
          </w:p>
        </w:tc>
      </w:tr>
    </w:tbl>
    <w:p w:rsidR="005A6497" w:rsidRPr="00435769" w:rsidRDefault="005A6497" w:rsidP="007932B2">
      <w:pPr>
        <w:jc w:val="both"/>
        <w:rPr>
          <w:sz w:val="20"/>
          <w:lang w:val="fr-CA"/>
        </w:rPr>
      </w:pPr>
    </w:p>
    <w:p w:rsidR="008E7E00" w:rsidRPr="00435769" w:rsidRDefault="008E7E00" w:rsidP="007932B2">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rPr>
            </w:pPr>
            <w:r w:rsidRPr="00435769">
              <w:rPr>
                <w:rStyle w:val="SCCFileNumberChar"/>
                <w:sz w:val="20"/>
                <w:szCs w:val="20"/>
              </w:rPr>
              <w:t>37131</w:t>
            </w:r>
          </w:p>
        </w:tc>
        <w:tc>
          <w:tcPr>
            <w:tcW w:w="4457" w:type="pct"/>
            <w:gridSpan w:val="3"/>
          </w:tcPr>
          <w:p w:rsidR="005A6497" w:rsidRPr="00435769" w:rsidRDefault="005A6497" w:rsidP="007932B2">
            <w:pPr>
              <w:pStyle w:val="SCCLsocParty"/>
              <w:jc w:val="both"/>
              <w:rPr>
                <w:b/>
                <w:sz w:val="20"/>
                <w:szCs w:val="20"/>
                <w:lang w:val="en-US"/>
              </w:rPr>
            </w:pPr>
            <w:r w:rsidRPr="00435769">
              <w:rPr>
                <w:b/>
                <w:sz w:val="20"/>
                <w:szCs w:val="20"/>
                <w:lang w:val="en-US"/>
              </w:rPr>
              <w:t>Monica Loughlin v. Abigail Gordon, Colleen McLeod, Trademark Condominium Corporation 1024834</w:t>
            </w:r>
          </w:p>
          <w:p w:rsidR="005A6497" w:rsidRPr="00435769" w:rsidRDefault="005A6497" w:rsidP="007932B2">
            <w:pPr>
              <w:jc w:val="both"/>
              <w:rPr>
                <w:sz w:val="20"/>
              </w:rPr>
            </w:pPr>
            <w:r w:rsidRPr="00435769">
              <w:rPr>
                <w:sz w:val="20"/>
              </w:rPr>
              <w:t>(N.B.) (Civil) (By Leave)</w:t>
            </w:r>
          </w:p>
        </w:tc>
      </w:tr>
      <w:tr w:rsidR="005A6497" w:rsidRPr="00435769" w:rsidTr="005A6497">
        <w:tc>
          <w:tcPr>
            <w:tcW w:w="5000" w:type="pct"/>
            <w:gridSpan w:val="4"/>
          </w:tcPr>
          <w:p w:rsidR="005A6497" w:rsidRPr="00435769" w:rsidRDefault="005A6497" w:rsidP="007932B2">
            <w:pPr>
              <w:jc w:val="both"/>
              <w:rPr>
                <w:i/>
                <w:sz w:val="20"/>
              </w:rPr>
            </w:pPr>
          </w:p>
          <w:p w:rsidR="005A6497" w:rsidRPr="00435769" w:rsidRDefault="005A6497" w:rsidP="007932B2">
            <w:pPr>
              <w:jc w:val="both"/>
              <w:rPr>
                <w:sz w:val="20"/>
              </w:rPr>
            </w:pPr>
            <w:r w:rsidRPr="00435769">
              <w:rPr>
                <w:i/>
                <w:sz w:val="20"/>
              </w:rPr>
              <w:lastRenderedPageBreak/>
              <w:t>Charter of Rights</w:t>
            </w:r>
            <w:r w:rsidRPr="00435769">
              <w:rPr>
                <w:sz w:val="20"/>
              </w:rPr>
              <w:t xml:space="preserve"> — </w:t>
            </w:r>
            <w:r w:rsidRPr="00435769">
              <w:rPr>
                <w:rStyle w:val="italic1"/>
                <w:color w:val="000000"/>
                <w:sz w:val="20"/>
              </w:rPr>
              <w:t>Right to a fair hearing — Civil procedure — Costs — Appeals — Courts — Enforcement of orders — Summary judgment obtained against applicant, with costs award — Order for examination of applicant as judgment debtor for costs award — Whether</w:t>
            </w:r>
            <w:r w:rsidRPr="00435769">
              <w:rPr>
                <w:sz w:val="20"/>
              </w:rPr>
              <w:t xml:space="preserve"> application for leave raises legal issue and if so, whether issue is of public importance.</w:t>
            </w:r>
          </w:p>
        </w:tc>
      </w:tr>
      <w:tr w:rsidR="005A6497" w:rsidRPr="00435769" w:rsidTr="005A6497">
        <w:tc>
          <w:tcPr>
            <w:tcW w:w="5000" w:type="pct"/>
            <w:gridSpan w:val="4"/>
          </w:tcPr>
          <w:p w:rsidR="005A6497" w:rsidRPr="00435769" w:rsidRDefault="005A6497" w:rsidP="007932B2">
            <w:pPr>
              <w:jc w:val="both"/>
              <w:rPr>
                <w:sz w:val="20"/>
              </w:rPr>
            </w:pPr>
          </w:p>
        </w:tc>
      </w:tr>
      <w:tr w:rsidR="005A6497" w:rsidRPr="00435769" w:rsidTr="005A6497">
        <w:tc>
          <w:tcPr>
            <w:tcW w:w="5000" w:type="pct"/>
            <w:gridSpan w:val="4"/>
          </w:tcPr>
          <w:p w:rsidR="005A6497" w:rsidRPr="00435769" w:rsidRDefault="005A6497" w:rsidP="007932B2">
            <w:pPr>
              <w:jc w:val="both"/>
              <w:rPr>
                <w:sz w:val="20"/>
              </w:rPr>
            </w:pPr>
            <w:r w:rsidRPr="00435769">
              <w:rPr>
                <w:sz w:val="20"/>
              </w:rPr>
              <w:t xml:space="preserve">The applicant Monica Loughlin purchased a condominium unit in Alberta in 2011, and rented it to the respondent Abigail Gordon. After experiencing difficulties in obtaining rent from her tenant, Ms. Loughlin sold the unit in 2012; she then filed a statement of claim against Ms. Gordon and the condominium corporation, and against her former realtor </w:t>
            </w:r>
            <w:r w:rsidRPr="00435769">
              <w:rPr>
                <w:rStyle w:val="italic1"/>
                <w:color w:val="000000"/>
                <w:sz w:val="20"/>
              </w:rPr>
              <w:t xml:space="preserve">— </w:t>
            </w:r>
            <w:r w:rsidRPr="00435769">
              <w:rPr>
                <w:sz w:val="20"/>
              </w:rPr>
              <w:t xml:space="preserve">the respondent Colleen McLeod </w:t>
            </w:r>
            <w:r w:rsidRPr="00435769">
              <w:rPr>
                <w:rStyle w:val="italic1"/>
                <w:color w:val="000000"/>
                <w:sz w:val="20"/>
              </w:rPr>
              <w:t xml:space="preserve">— </w:t>
            </w:r>
            <w:r w:rsidRPr="00435769">
              <w:rPr>
                <w:sz w:val="20"/>
              </w:rPr>
              <w:t xml:space="preserve">alleging misrepresentation of fact, professional misconduct, and undue influence. Ms. McLeod obtained summary judgment against Ms. Loughlin, and the claim was dismissed. The Court of Appeal upheld the trial decision. Ms. Loughlin’s application for leave to appeal was then dismissed by the Supreme Court of Canada on June 5, 2014. Ms. McLeod was awarded her costs in the Alberta proceedings. Ms. McLeod then sought to enforce the costs award in Ms. Loughlin’s current province of residence </w:t>
            </w:r>
            <w:r w:rsidRPr="00435769">
              <w:rPr>
                <w:rStyle w:val="italic1"/>
                <w:color w:val="000000"/>
                <w:sz w:val="20"/>
              </w:rPr>
              <w:t xml:space="preserve">— </w:t>
            </w:r>
            <w:r w:rsidRPr="00435769">
              <w:rPr>
                <w:sz w:val="20"/>
              </w:rPr>
              <w:t xml:space="preserve">New Brunswick. </w:t>
            </w:r>
          </w:p>
          <w:p w:rsidR="005A6497" w:rsidRPr="00435769" w:rsidRDefault="005A6497" w:rsidP="007932B2">
            <w:pPr>
              <w:jc w:val="both"/>
              <w:rPr>
                <w:sz w:val="20"/>
              </w:rPr>
            </w:pPr>
          </w:p>
          <w:p w:rsidR="005A6497" w:rsidRPr="00435769" w:rsidRDefault="005A6497" w:rsidP="007932B2">
            <w:pPr>
              <w:jc w:val="both"/>
              <w:rPr>
                <w:sz w:val="20"/>
              </w:rPr>
            </w:pPr>
            <w:r w:rsidRPr="00435769">
              <w:rPr>
                <w:sz w:val="20"/>
              </w:rPr>
              <w:t>The Court of Queen’s Bench of New Brunswick issued an order for an examination of Ms. Loughlin as judgment debtor for the costs award, and ordered her to produce various financial documents. The New Brunswick Court of Appeal dismissed Ms. Loughlin’s motion for leave to appeal the examination order.</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November 5, 2015</w:t>
            </w:r>
          </w:p>
          <w:p w:rsidR="005A6497" w:rsidRPr="00435769" w:rsidRDefault="005A6497" w:rsidP="007932B2">
            <w:pPr>
              <w:jc w:val="both"/>
              <w:rPr>
                <w:sz w:val="20"/>
              </w:rPr>
            </w:pPr>
            <w:r w:rsidRPr="00435769">
              <w:rPr>
                <w:sz w:val="20"/>
              </w:rPr>
              <w:t>Court of Queen’s Bench of New Brunswick</w:t>
            </w:r>
          </w:p>
          <w:p w:rsidR="005A6497" w:rsidRPr="00435769" w:rsidRDefault="005A6497" w:rsidP="007932B2">
            <w:pPr>
              <w:jc w:val="both"/>
              <w:rPr>
                <w:sz w:val="20"/>
              </w:rPr>
            </w:pPr>
            <w:r w:rsidRPr="00435769">
              <w:rPr>
                <w:sz w:val="20"/>
              </w:rPr>
              <w:t>(Court file numbers: M/C/637/15, M/C/51/15)</w:t>
            </w:r>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Order for examination of Monica Loughlin</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June 6, 2016</w:t>
            </w:r>
          </w:p>
          <w:p w:rsidR="005A6497" w:rsidRPr="00435769" w:rsidRDefault="005A6497" w:rsidP="007932B2">
            <w:pPr>
              <w:jc w:val="both"/>
              <w:rPr>
                <w:sz w:val="20"/>
              </w:rPr>
            </w:pPr>
            <w:r w:rsidRPr="00435769">
              <w:rPr>
                <w:sz w:val="20"/>
              </w:rPr>
              <w:t>Court of Appeal of New Brunswick</w:t>
            </w:r>
          </w:p>
          <w:p w:rsidR="005A6497" w:rsidRPr="00435769" w:rsidRDefault="005A6497" w:rsidP="007932B2">
            <w:pPr>
              <w:jc w:val="both"/>
              <w:rPr>
                <w:sz w:val="20"/>
              </w:rPr>
            </w:pPr>
            <w:r w:rsidRPr="00435769">
              <w:rPr>
                <w:sz w:val="20"/>
              </w:rPr>
              <w:t>(Baird J.A.)</w:t>
            </w:r>
          </w:p>
          <w:p w:rsidR="005A6497" w:rsidRPr="00435769" w:rsidRDefault="005A6497" w:rsidP="007932B2">
            <w:pPr>
              <w:jc w:val="both"/>
              <w:rPr>
                <w:sz w:val="20"/>
              </w:rPr>
            </w:pPr>
            <w:r w:rsidRPr="00435769">
              <w:rPr>
                <w:sz w:val="20"/>
              </w:rPr>
              <w:t xml:space="preserve">(Court file number: 31-16-CA) </w:t>
            </w:r>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 xml:space="preserve">Motion for leave to appeal examination order </w:t>
            </w:r>
            <w:r w:rsidRPr="00435769">
              <w:rPr>
                <w:rStyle w:val="italic1"/>
                <w:color w:val="000000"/>
                <w:sz w:val="20"/>
              </w:rPr>
              <w:t xml:space="preserve">— </w:t>
            </w:r>
            <w:r w:rsidRPr="00435769">
              <w:rPr>
                <w:sz w:val="20"/>
              </w:rPr>
              <w:t>dismissed</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August 5, 2016</w:t>
            </w:r>
          </w:p>
          <w:p w:rsidR="005A6497" w:rsidRPr="00435769" w:rsidRDefault="005A6497" w:rsidP="007932B2">
            <w:pPr>
              <w:jc w:val="both"/>
              <w:rPr>
                <w:sz w:val="20"/>
              </w:rPr>
            </w:pPr>
            <w:r w:rsidRPr="00435769">
              <w:rPr>
                <w:sz w:val="20"/>
              </w:rPr>
              <w:t>Supreme Court of Canada</w:t>
            </w: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 xml:space="preserve">Application for leave to appeal filed </w:t>
            </w:r>
          </w:p>
        </w:tc>
      </w:tr>
    </w:tbl>
    <w:p w:rsidR="005A6497" w:rsidRPr="00435769" w:rsidRDefault="005A6497" w:rsidP="007932B2">
      <w:pPr>
        <w:jc w:val="both"/>
        <w:rPr>
          <w:sz w:val="20"/>
        </w:rPr>
      </w:pPr>
    </w:p>
    <w:p w:rsidR="009E248E" w:rsidRPr="00435769" w:rsidRDefault="009E248E" w:rsidP="007932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lang w:val="fr-CA"/>
              </w:rPr>
            </w:pPr>
            <w:r w:rsidRPr="00435769">
              <w:rPr>
                <w:rStyle w:val="SCCFileNumberChar"/>
                <w:sz w:val="20"/>
                <w:szCs w:val="20"/>
                <w:lang w:val="fr-CA"/>
              </w:rPr>
              <w:t>37131</w:t>
            </w:r>
          </w:p>
        </w:tc>
        <w:tc>
          <w:tcPr>
            <w:tcW w:w="4457" w:type="pct"/>
            <w:gridSpan w:val="3"/>
          </w:tcPr>
          <w:p w:rsidR="005A6497" w:rsidRPr="00435769" w:rsidRDefault="005A6497" w:rsidP="007932B2">
            <w:pPr>
              <w:pStyle w:val="SCCLsocParty"/>
              <w:jc w:val="both"/>
              <w:rPr>
                <w:b/>
                <w:sz w:val="20"/>
                <w:szCs w:val="20"/>
                <w:lang w:val="en-US"/>
              </w:rPr>
            </w:pPr>
            <w:r w:rsidRPr="00435769">
              <w:rPr>
                <w:b/>
                <w:sz w:val="20"/>
                <w:szCs w:val="20"/>
                <w:lang w:val="en-US"/>
              </w:rPr>
              <w:t>Monica Loughlin c. Abigail Gordon, Colleen McLeod, Trademark Condominium Corporation 1024834</w:t>
            </w:r>
          </w:p>
          <w:p w:rsidR="005A6497" w:rsidRPr="00435769" w:rsidRDefault="005A6497" w:rsidP="007932B2">
            <w:pPr>
              <w:jc w:val="both"/>
              <w:rPr>
                <w:sz w:val="20"/>
                <w:lang w:val="fr-CA"/>
              </w:rPr>
            </w:pPr>
            <w:r w:rsidRPr="00435769">
              <w:rPr>
                <w:sz w:val="20"/>
                <w:lang w:val="fr-CA"/>
              </w:rPr>
              <w:t>(N.-B.) (Civile) (Sur autorisation)</w:t>
            </w:r>
          </w:p>
        </w:tc>
      </w:tr>
      <w:tr w:rsidR="005A6497" w:rsidRPr="00435769" w:rsidTr="005A6497">
        <w:tc>
          <w:tcPr>
            <w:tcW w:w="5000" w:type="pct"/>
            <w:gridSpan w:val="4"/>
          </w:tcPr>
          <w:p w:rsidR="005A6497" w:rsidRPr="00435769" w:rsidRDefault="005A6497" w:rsidP="007932B2">
            <w:pPr>
              <w:jc w:val="both"/>
              <w:rPr>
                <w:iCs/>
                <w:color w:val="000000"/>
                <w:sz w:val="20"/>
                <w:lang w:val="fr-CA"/>
              </w:rPr>
            </w:pPr>
            <w:r w:rsidRPr="00435769">
              <w:rPr>
                <w:i/>
                <w:sz w:val="20"/>
                <w:lang w:val="fr-CA"/>
              </w:rPr>
              <w:t>Charte des droits</w:t>
            </w:r>
            <w:r w:rsidRPr="00435769">
              <w:rPr>
                <w:sz w:val="20"/>
                <w:lang w:val="fr-CA"/>
              </w:rPr>
              <w:t xml:space="preserve"> — </w:t>
            </w:r>
            <w:r w:rsidRPr="00435769">
              <w:rPr>
                <w:rStyle w:val="italic1"/>
                <w:color w:val="000000"/>
                <w:sz w:val="20"/>
                <w:lang w:val="fr-CA"/>
              </w:rPr>
              <w:t>Procès équitable — Procédure civile — Dépens — Appels — Tribunaux — Exécution forcée d’une ordonnance — Jugement sommaire obtenu contre la demanderesse, avec adjudication des dépens — Ordonnance d’interrogatoire visant la demanderesse à titre de débitrice judiciaire des dépens — Est-ce que la demande d’autorisation soulève une question de droit et, le cas échéant, cette question revêt-elle une importance pour le public?</w:t>
            </w:r>
          </w:p>
        </w:tc>
      </w:tr>
      <w:tr w:rsidR="005A6497" w:rsidRPr="00435769" w:rsidTr="005A6497">
        <w:tc>
          <w:tcPr>
            <w:tcW w:w="5000" w:type="pct"/>
            <w:gridSpan w:val="4"/>
          </w:tcPr>
          <w:p w:rsidR="005A6497" w:rsidRPr="00435769" w:rsidRDefault="005A6497" w:rsidP="007932B2">
            <w:pPr>
              <w:jc w:val="both"/>
              <w:rPr>
                <w:sz w:val="20"/>
                <w:lang w:val="fr-CA"/>
              </w:rPr>
            </w:pPr>
          </w:p>
        </w:tc>
      </w:tr>
      <w:tr w:rsidR="005A6497" w:rsidRPr="00435769" w:rsidTr="005A6497">
        <w:tc>
          <w:tcPr>
            <w:tcW w:w="5000" w:type="pct"/>
            <w:gridSpan w:val="4"/>
          </w:tcPr>
          <w:p w:rsidR="005A6497" w:rsidRPr="00435769" w:rsidRDefault="005A6497" w:rsidP="007932B2">
            <w:pPr>
              <w:jc w:val="both"/>
              <w:rPr>
                <w:sz w:val="20"/>
                <w:lang w:val="fr-CA"/>
              </w:rPr>
            </w:pPr>
            <w:r w:rsidRPr="00435769">
              <w:rPr>
                <w:sz w:val="20"/>
                <w:lang w:val="fr-CA"/>
              </w:rPr>
              <w:t>En 2011, la demanderesse Monica Loughlin a acheté une unité en copropriété en Alberta, et l’a louée à l’intimée Abigail Gordon. Après avoir eu des difficultés à obtenir le paiement du loyer de sa locataire, M</w:t>
            </w:r>
            <w:r w:rsidRPr="00435769">
              <w:rPr>
                <w:sz w:val="20"/>
                <w:vertAlign w:val="superscript"/>
                <w:lang w:val="fr-CA"/>
              </w:rPr>
              <w:t>me</w:t>
            </w:r>
            <w:r w:rsidRPr="00435769">
              <w:rPr>
                <w:sz w:val="20"/>
                <w:lang w:val="fr-CA"/>
              </w:rPr>
              <w:t xml:space="preserve"> Loughlin a vendu l’unité en 2012. Elle a ensuite déposé une déclaration contre M</w:t>
            </w:r>
            <w:r w:rsidRPr="00435769">
              <w:rPr>
                <w:sz w:val="20"/>
                <w:vertAlign w:val="superscript"/>
                <w:lang w:val="fr-CA"/>
              </w:rPr>
              <w:t>me</w:t>
            </w:r>
            <w:r w:rsidRPr="00435769">
              <w:rPr>
                <w:sz w:val="20"/>
                <w:lang w:val="fr-CA"/>
              </w:rPr>
              <w:t xml:space="preserve"> Gordon et la société condominiale, et contre son ancienne agente immobilière </w:t>
            </w:r>
            <w:r w:rsidRPr="00435769">
              <w:rPr>
                <w:rStyle w:val="italic1"/>
                <w:color w:val="000000"/>
                <w:sz w:val="20"/>
                <w:lang w:val="fr-CA"/>
              </w:rPr>
              <w:t xml:space="preserve">— </w:t>
            </w:r>
            <w:r w:rsidRPr="00435769">
              <w:rPr>
                <w:sz w:val="20"/>
                <w:lang w:val="fr-CA"/>
              </w:rPr>
              <w:t xml:space="preserve">l’intimée Colleen McLeod </w:t>
            </w:r>
            <w:r w:rsidRPr="00435769">
              <w:rPr>
                <w:rStyle w:val="italic1"/>
                <w:color w:val="000000"/>
                <w:sz w:val="20"/>
                <w:lang w:val="fr-CA"/>
              </w:rPr>
              <w:t xml:space="preserve">— </w:t>
            </w:r>
            <w:r w:rsidRPr="00435769">
              <w:rPr>
                <w:sz w:val="20"/>
                <w:lang w:val="fr-CA"/>
              </w:rPr>
              <w:t>alléguant de fausses indications sur des faits, une faute professionnelle et l’abus d’influence. M</w:t>
            </w:r>
            <w:r w:rsidRPr="00435769">
              <w:rPr>
                <w:sz w:val="20"/>
                <w:vertAlign w:val="superscript"/>
                <w:lang w:val="fr-CA"/>
              </w:rPr>
              <w:t>me</w:t>
            </w:r>
            <w:r w:rsidRPr="00435769">
              <w:rPr>
                <w:sz w:val="20"/>
                <w:lang w:val="fr-CA"/>
              </w:rPr>
              <w:t> McLeod a obtenu un jugement sommaire contre M</w:t>
            </w:r>
            <w:r w:rsidRPr="00435769">
              <w:rPr>
                <w:sz w:val="20"/>
                <w:vertAlign w:val="superscript"/>
                <w:lang w:val="fr-CA"/>
              </w:rPr>
              <w:t>me</w:t>
            </w:r>
            <w:r w:rsidRPr="00435769">
              <w:rPr>
                <w:sz w:val="20"/>
                <w:lang w:val="fr-CA"/>
              </w:rPr>
              <w:t> Loughlin, et l’action contre elle a été rejetée. La Cour d’appel a confirmé la décision de première instance. La Cour suprême du Canada a ensuite rejeté la demande d’autorisation d’appel de M</w:t>
            </w:r>
            <w:r w:rsidRPr="00435769">
              <w:rPr>
                <w:sz w:val="20"/>
                <w:vertAlign w:val="superscript"/>
                <w:lang w:val="fr-CA"/>
              </w:rPr>
              <w:t>me</w:t>
            </w:r>
            <w:r w:rsidRPr="00435769">
              <w:rPr>
                <w:sz w:val="20"/>
                <w:lang w:val="fr-CA"/>
              </w:rPr>
              <w:t> Loughlin le 5 juin 2014. M</w:t>
            </w:r>
            <w:r w:rsidRPr="00435769">
              <w:rPr>
                <w:sz w:val="20"/>
                <w:vertAlign w:val="superscript"/>
                <w:lang w:val="fr-CA"/>
              </w:rPr>
              <w:t>me</w:t>
            </w:r>
            <w:r w:rsidRPr="00435769">
              <w:rPr>
                <w:sz w:val="20"/>
                <w:lang w:val="fr-CA"/>
              </w:rPr>
              <w:t> McLeod a eu droit à ses dépens dans les procédures devant les tribunaux de l’Alberta. Elle a ensuite demandé l’exécution de l’ordonnance relative aux dépens dans la province où M</w:t>
            </w:r>
            <w:r w:rsidRPr="00435769">
              <w:rPr>
                <w:sz w:val="20"/>
                <w:vertAlign w:val="superscript"/>
                <w:lang w:val="fr-CA"/>
              </w:rPr>
              <w:t>me</w:t>
            </w:r>
            <w:r w:rsidRPr="00435769">
              <w:rPr>
                <w:sz w:val="20"/>
                <w:lang w:val="fr-CA"/>
              </w:rPr>
              <w:t xml:space="preserve"> McLeod réside actuellement, soit le Nouveau-Brunswick. </w:t>
            </w:r>
          </w:p>
          <w:p w:rsidR="005A6497" w:rsidRPr="00435769" w:rsidRDefault="005A6497" w:rsidP="007932B2">
            <w:pPr>
              <w:jc w:val="both"/>
              <w:rPr>
                <w:sz w:val="20"/>
                <w:lang w:val="fr-CA"/>
              </w:rPr>
            </w:pPr>
          </w:p>
          <w:p w:rsidR="005A6497" w:rsidRPr="00435769" w:rsidRDefault="005A6497" w:rsidP="007932B2">
            <w:pPr>
              <w:jc w:val="both"/>
              <w:rPr>
                <w:sz w:val="20"/>
                <w:lang w:val="fr-CA"/>
              </w:rPr>
            </w:pPr>
            <w:r w:rsidRPr="00435769">
              <w:rPr>
                <w:sz w:val="20"/>
                <w:lang w:val="fr-CA"/>
              </w:rPr>
              <w:t>La Cour du Banc de la Reine du Nouveau-Brunswick a rendu une ordonnance d’interrogatoire de M</w:t>
            </w:r>
            <w:r w:rsidRPr="00435769">
              <w:rPr>
                <w:sz w:val="20"/>
                <w:vertAlign w:val="superscript"/>
                <w:lang w:val="fr-CA"/>
              </w:rPr>
              <w:t>me</w:t>
            </w:r>
            <w:r w:rsidRPr="00435769">
              <w:rPr>
                <w:sz w:val="20"/>
                <w:lang w:val="fr-CA"/>
              </w:rPr>
              <w:t xml:space="preserve"> Loughlin à titre de débitrice judiciaire des dépens, et lui a ordonné de produire divers documents financiers. La Cour d’appel du </w:t>
            </w:r>
            <w:r w:rsidRPr="00435769">
              <w:rPr>
                <w:sz w:val="20"/>
                <w:lang w:val="fr-CA"/>
              </w:rPr>
              <w:lastRenderedPageBreak/>
              <w:t>Nouveau-Brunswick a rejeté la motion en autorisation d’appel présentée par M</w:t>
            </w:r>
            <w:r w:rsidRPr="00435769">
              <w:rPr>
                <w:sz w:val="20"/>
                <w:vertAlign w:val="superscript"/>
                <w:lang w:val="fr-CA"/>
              </w:rPr>
              <w:t>me</w:t>
            </w:r>
            <w:r w:rsidRPr="00435769">
              <w:rPr>
                <w:sz w:val="20"/>
                <w:lang w:val="fr-CA"/>
              </w:rPr>
              <w:t xml:space="preserve"> Loughlin à l’encontre de l’ordonnance d’interrogatoire. </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lastRenderedPageBreak/>
              <w:t>5 novembre 2015</w:t>
            </w:r>
          </w:p>
          <w:p w:rsidR="005A6497" w:rsidRPr="00435769" w:rsidRDefault="005A6497" w:rsidP="007932B2">
            <w:pPr>
              <w:jc w:val="both"/>
              <w:rPr>
                <w:sz w:val="20"/>
                <w:lang w:val="fr-CA"/>
              </w:rPr>
            </w:pPr>
            <w:r w:rsidRPr="00435769">
              <w:rPr>
                <w:sz w:val="20"/>
                <w:lang w:val="fr-CA"/>
              </w:rPr>
              <w:t>Cour du Banc de la Reine du Nouveau- Brunswick</w:t>
            </w:r>
          </w:p>
          <w:p w:rsidR="005A6497" w:rsidRPr="00435769" w:rsidRDefault="005A6497" w:rsidP="007932B2">
            <w:pPr>
              <w:jc w:val="both"/>
              <w:rPr>
                <w:sz w:val="20"/>
                <w:lang w:val="fr-CA"/>
              </w:rPr>
            </w:pPr>
            <w:r w:rsidRPr="00435769">
              <w:rPr>
                <w:sz w:val="20"/>
                <w:lang w:val="fr-CA"/>
              </w:rPr>
              <w:t>(Numéros du dossier : M/C/637/15, M/C/51/15)</w:t>
            </w:r>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Ordonnance d’interrogatoire de Monica Loughlin</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6 juin 2016</w:t>
            </w:r>
          </w:p>
          <w:p w:rsidR="005A6497" w:rsidRPr="00435769" w:rsidRDefault="005A6497" w:rsidP="007932B2">
            <w:pPr>
              <w:jc w:val="both"/>
              <w:rPr>
                <w:sz w:val="20"/>
                <w:lang w:val="fr-CA"/>
              </w:rPr>
            </w:pPr>
            <w:r w:rsidRPr="00435769">
              <w:rPr>
                <w:sz w:val="20"/>
                <w:lang w:val="fr-CA"/>
              </w:rPr>
              <w:t>Cour d’appel du Nouveau-Brunswick</w:t>
            </w:r>
          </w:p>
          <w:p w:rsidR="005A6497" w:rsidRPr="00435769" w:rsidRDefault="005A6497" w:rsidP="007932B2">
            <w:pPr>
              <w:jc w:val="both"/>
              <w:rPr>
                <w:sz w:val="20"/>
                <w:lang w:val="fr-CA"/>
              </w:rPr>
            </w:pPr>
            <w:r w:rsidRPr="00435769">
              <w:rPr>
                <w:sz w:val="20"/>
                <w:lang w:val="fr-CA"/>
              </w:rPr>
              <w:t>(Juge d’appel Baird)</w:t>
            </w:r>
          </w:p>
          <w:p w:rsidR="005A6497" w:rsidRPr="00435769" w:rsidRDefault="005A6497" w:rsidP="007932B2">
            <w:pPr>
              <w:jc w:val="both"/>
              <w:rPr>
                <w:sz w:val="20"/>
                <w:lang w:val="fr-CA"/>
              </w:rPr>
            </w:pPr>
            <w:r w:rsidRPr="00435769">
              <w:rPr>
                <w:sz w:val="20"/>
                <w:lang w:val="fr-CA"/>
              </w:rPr>
              <w:t xml:space="preserve">(Numéro de dossier : 31-16-CA) </w:t>
            </w:r>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Rejet de la motion en autorisation d’appel à l’encontre de l’ordonnance d’interrogatoire</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5 août 2016</w:t>
            </w:r>
          </w:p>
          <w:p w:rsidR="005A6497" w:rsidRPr="00435769" w:rsidRDefault="005A6497" w:rsidP="007932B2">
            <w:pPr>
              <w:jc w:val="both"/>
              <w:rPr>
                <w:sz w:val="20"/>
                <w:lang w:val="fr-CA"/>
              </w:rPr>
            </w:pPr>
            <w:r w:rsidRPr="00435769">
              <w:rPr>
                <w:sz w:val="20"/>
                <w:lang w:val="fr-CA"/>
              </w:rPr>
              <w:t>Cour suprême du Canada</w:t>
            </w: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 xml:space="preserve">Dépôt de la demande d’autorisation d’appel </w:t>
            </w:r>
          </w:p>
        </w:tc>
      </w:tr>
    </w:tbl>
    <w:p w:rsidR="005A6497" w:rsidRPr="00435769" w:rsidRDefault="005A6497" w:rsidP="007932B2">
      <w:pPr>
        <w:jc w:val="both"/>
        <w:rPr>
          <w:sz w:val="20"/>
          <w:lang w:val="fr-CA"/>
        </w:rPr>
      </w:pPr>
    </w:p>
    <w:p w:rsidR="008E7E00" w:rsidRPr="00435769" w:rsidRDefault="008E7E00" w:rsidP="007932B2">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lang w:val="en-CA"/>
              </w:rPr>
            </w:pPr>
            <w:r w:rsidRPr="00435769">
              <w:rPr>
                <w:rStyle w:val="SCCFileNumberChar"/>
                <w:sz w:val="20"/>
                <w:szCs w:val="20"/>
              </w:rPr>
              <w:t>37104</w:t>
            </w:r>
          </w:p>
        </w:tc>
        <w:tc>
          <w:tcPr>
            <w:tcW w:w="4457" w:type="pct"/>
            <w:gridSpan w:val="3"/>
          </w:tcPr>
          <w:p w:rsidR="005A6497" w:rsidRPr="00435769" w:rsidRDefault="005A6497" w:rsidP="007932B2">
            <w:pPr>
              <w:pStyle w:val="SCCLsocParty"/>
              <w:jc w:val="both"/>
              <w:rPr>
                <w:b/>
                <w:sz w:val="20"/>
                <w:szCs w:val="20"/>
              </w:rPr>
            </w:pPr>
            <w:r w:rsidRPr="00435769">
              <w:rPr>
                <w:b/>
                <w:sz w:val="20"/>
                <w:szCs w:val="20"/>
              </w:rPr>
              <w:t xml:space="preserve">Réjean Trottier, </w:t>
            </w:r>
            <w:r w:rsidR="009E248E" w:rsidRPr="00435769">
              <w:rPr>
                <w:b/>
                <w:sz w:val="20"/>
                <w:szCs w:val="20"/>
              </w:rPr>
              <w:t xml:space="preserve">Angèle Prince, </w:t>
            </w:r>
            <w:r w:rsidR="009C2F30" w:rsidRPr="00435769">
              <w:rPr>
                <w:b/>
                <w:sz w:val="20"/>
                <w:szCs w:val="20"/>
              </w:rPr>
              <w:t xml:space="preserve">Sylvain Daigle, Guillaume Trottier Daigle, </w:t>
            </w:r>
            <w:r w:rsidRPr="00435769">
              <w:rPr>
                <w:b/>
                <w:sz w:val="20"/>
                <w:szCs w:val="20"/>
              </w:rPr>
              <w:t>Émile Trottier Daigle, Sylvain Baril, v. Pierre Pépin</w:t>
            </w:r>
          </w:p>
          <w:p w:rsidR="005A6497" w:rsidRPr="00435769" w:rsidRDefault="005A6497" w:rsidP="007932B2">
            <w:pPr>
              <w:jc w:val="both"/>
              <w:rPr>
                <w:sz w:val="20"/>
                <w:lang w:val="en-CA"/>
              </w:rPr>
            </w:pPr>
            <w:r w:rsidRPr="00435769">
              <w:rPr>
                <w:sz w:val="20"/>
                <w:lang w:val="en-CA"/>
              </w:rPr>
              <w:t>(Que.) (Civil) (By Leave)</w:t>
            </w:r>
          </w:p>
        </w:tc>
      </w:tr>
      <w:tr w:rsidR="005A6497" w:rsidRPr="00435769" w:rsidTr="005A6497">
        <w:tc>
          <w:tcPr>
            <w:tcW w:w="5000" w:type="pct"/>
            <w:gridSpan w:val="4"/>
          </w:tcPr>
          <w:p w:rsidR="005A6497" w:rsidRPr="00435769" w:rsidRDefault="005A6497" w:rsidP="007932B2">
            <w:pPr>
              <w:jc w:val="both"/>
              <w:rPr>
                <w:sz w:val="20"/>
                <w:lang w:val="en-CA"/>
              </w:rPr>
            </w:pPr>
            <w:r w:rsidRPr="00435769">
              <w:rPr>
                <w:sz w:val="20"/>
                <w:lang w:val="en-CA"/>
              </w:rPr>
              <w:t>Civil procedure – Motion to dismiss appeal allowed and appeal dismissed.</w:t>
            </w:r>
          </w:p>
        </w:tc>
      </w:tr>
      <w:tr w:rsidR="005A6497" w:rsidRPr="00435769" w:rsidTr="005A6497">
        <w:tc>
          <w:tcPr>
            <w:tcW w:w="5000" w:type="pct"/>
            <w:gridSpan w:val="4"/>
          </w:tcPr>
          <w:p w:rsidR="005A6497" w:rsidRPr="00435769" w:rsidRDefault="005A6497" w:rsidP="007932B2">
            <w:pPr>
              <w:jc w:val="both"/>
              <w:rPr>
                <w:sz w:val="20"/>
                <w:lang w:val="en-CA"/>
              </w:rPr>
            </w:pPr>
          </w:p>
        </w:tc>
      </w:tr>
      <w:tr w:rsidR="005A6497" w:rsidRPr="00435769" w:rsidTr="005A6497">
        <w:tc>
          <w:tcPr>
            <w:tcW w:w="5000" w:type="pct"/>
            <w:gridSpan w:val="4"/>
          </w:tcPr>
          <w:p w:rsidR="005A6497" w:rsidRPr="00435769" w:rsidRDefault="005A6497" w:rsidP="007932B2">
            <w:pPr>
              <w:jc w:val="both"/>
              <w:rPr>
                <w:sz w:val="20"/>
                <w:lang w:val="en-CA"/>
              </w:rPr>
            </w:pPr>
            <w:r w:rsidRPr="00435769">
              <w:rPr>
                <w:sz w:val="20"/>
                <w:lang w:val="en-CA"/>
              </w:rPr>
              <w:t xml:space="preserve">On March 22, 2016, the Court of Québec allowed an action in damages instituted by the respondent Pierre Pépin and ordered the applicants to pay Mr. Pépin $22,150.96 plus interest. </w:t>
            </w:r>
          </w:p>
          <w:p w:rsidR="005A6497" w:rsidRPr="00435769" w:rsidRDefault="005A6497" w:rsidP="007932B2">
            <w:pPr>
              <w:jc w:val="both"/>
              <w:rPr>
                <w:sz w:val="20"/>
                <w:lang w:val="en-CA"/>
              </w:rPr>
            </w:pPr>
          </w:p>
          <w:p w:rsidR="005A6497" w:rsidRPr="00435769" w:rsidRDefault="005A6497" w:rsidP="007932B2">
            <w:pPr>
              <w:jc w:val="both"/>
              <w:rPr>
                <w:sz w:val="20"/>
                <w:lang w:val="en-CA"/>
              </w:rPr>
            </w:pPr>
            <w:r w:rsidRPr="00435769">
              <w:rPr>
                <w:sz w:val="20"/>
                <w:lang w:val="en-CA"/>
              </w:rPr>
              <w:t>The applicants appealed, but the Court of Appeal found that the appeal had been improperly initiated, since leave to appeal was required because of the value of the subject matter of the dispute. It also found that the appeal had no reasonable chance of success because the notice of appeal, like the oral and written submissions, raised no ground of appeal that could succeed. It therefore dismissed the appeal.</w:t>
            </w:r>
          </w:p>
          <w:p w:rsidR="005A6497" w:rsidRPr="00435769" w:rsidRDefault="005A6497" w:rsidP="007932B2">
            <w:pPr>
              <w:jc w:val="both"/>
              <w:rPr>
                <w:sz w:val="20"/>
                <w:lang w:val="en-CA"/>
              </w:rPr>
            </w:pPr>
          </w:p>
        </w:tc>
      </w:tr>
      <w:tr w:rsidR="005A6497" w:rsidRPr="00435769" w:rsidTr="005A6497">
        <w:tc>
          <w:tcPr>
            <w:tcW w:w="2427" w:type="pct"/>
            <w:gridSpan w:val="2"/>
          </w:tcPr>
          <w:p w:rsidR="005A6497" w:rsidRPr="00435769" w:rsidRDefault="005A6497" w:rsidP="007932B2">
            <w:pPr>
              <w:jc w:val="both"/>
              <w:rPr>
                <w:sz w:val="20"/>
                <w:lang w:val="en-CA"/>
              </w:rPr>
            </w:pPr>
            <w:r w:rsidRPr="00435769">
              <w:rPr>
                <w:sz w:val="20"/>
                <w:lang w:val="en-CA"/>
              </w:rPr>
              <w:t>March 22, 2016</w:t>
            </w:r>
          </w:p>
          <w:p w:rsidR="005A6497" w:rsidRPr="00435769" w:rsidRDefault="005A6497" w:rsidP="007932B2">
            <w:pPr>
              <w:jc w:val="both"/>
              <w:rPr>
                <w:sz w:val="20"/>
                <w:lang w:val="en-CA"/>
              </w:rPr>
            </w:pPr>
            <w:r w:rsidRPr="00435769">
              <w:rPr>
                <w:sz w:val="20"/>
                <w:lang w:val="en-CA"/>
              </w:rPr>
              <w:t>Court of Québec</w:t>
            </w:r>
          </w:p>
          <w:p w:rsidR="005A6497" w:rsidRPr="00435769" w:rsidRDefault="005A6497" w:rsidP="007932B2">
            <w:pPr>
              <w:jc w:val="both"/>
              <w:rPr>
                <w:sz w:val="20"/>
                <w:lang w:val="en-CA"/>
              </w:rPr>
            </w:pPr>
            <w:r w:rsidRPr="00435769">
              <w:rPr>
                <w:sz w:val="20"/>
                <w:lang w:val="en-CA"/>
              </w:rPr>
              <w:t>(Judge Trudel)</w:t>
            </w:r>
          </w:p>
          <w:p w:rsidR="005A6497" w:rsidRPr="00435769" w:rsidRDefault="005A6497" w:rsidP="007932B2">
            <w:pPr>
              <w:jc w:val="both"/>
              <w:rPr>
                <w:sz w:val="20"/>
                <w:lang w:val="en-CA"/>
              </w:rPr>
            </w:pPr>
          </w:p>
        </w:tc>
        <w:tc>
          <w:tcPr>
            <w:tcW w:w="243" w:type="pct"/>
          </w:tcPr>
          <w:p w:rsidR="005A6497" w:rsidRPr="00435769" w:rsidRDefault="005A6497" w:rsidP="007932B2">
            <w:pPr>
              <w:jc w:val="both"/>
              <w:rPr>
                <w:sz w:val="20"/>
                <w:lang w:val="en-CA"/>
              </w:rPr>
            </w:pPr>
          </w:p>
        </w:tc>
        <w:tc>
          <w:tcPr>
            <w:tcW w:w="2330" w:type="pct"/>
          </w:tcPr>
          <w:p w:rsidR="005A6497" w:rsidRPr="00435769" w:rsidRDefault="005A6497" w:rsidP="007932B2">
            <w:pPr>
              <w:jc w:val="both"/>
              <w:rPr>
                <w:sz w:val="20"/>
                <w:lang w:val="en-CA"/>
              </w:rPr>
            </w:pPr>
            <w:r w:rsidRPr="00435769">
              <w:rPr>
                <w:sz w:val="20"/>
                <w:lang w:val="en-CA"/>
              </w:rPr>
              <w:t>Action in damages allowed</w:t>
            </w:r>
          </w:p>
          <w:p w:rsidR="005A6497" w:rsidRPr="00435769" w:rsidRDefault="005A6497" w:rsidP="007932B2">
            <w:pPr>
              <w:jc w:val="both"/>
              <w:rPr>
                <w:sz w:val="20"/>
                <w:lang w:val="en-CA"/>
              </w:rPr>
            </w:pPr>
          </w:p>
        </w:tc>
      </w:tr>
      <w:tr w:rsidR="005A6497" w:rsidRPr="00435769" w:rsidTr="005A6497">
        <w:tc>
          <w:tcPr>
            <w:tcW w:w="2427" w:type="pct"/>
            <w:gridSpan w:val="2"/>
          </w:tcPr>
          <w:p w:rsidR="005A6497" w:rsidRPr="00435769" w:rsidRDefault="005A6497" w:rsidP="007932B2">
            <w:pPr>
              <w:jc w:val="both"/>
              <w:rPr>
                <w:sz w:val="20"/>
                <w:lang w:val="en-CA"/>
              </w:rPr>
            </w:pPr>
            <w:r w:rsidRPr="00435769">
              <w:rPr>
                <w:sz w:val="20"/>
                <w:lang w:val="en-CA"/>
              </w:rPr>
              <w:t>June 6, 2016</w:t>
            </w:r>
          </w:p>
          <w:p w:rsidR="005A6497" w:rsidRPr="00435769" w:rsidRDefault="005A6497" w:rsidP="007932B2">
            <w:pPr>
              <w:jc w:val="both"/>
              <w:rPr>
                <w:sz w:val="20"/>
                <w:lang w:val="en-CA"/>
              </w:rPr>
            </w:pPr>
            <w:r w:rsidRPr="00435769">
              <w:rPr>
                <w:sz w:val="20"/>
                <w:lang w:val="en-CA"/>
              </w:rPr>
              <w:t>Quebec Court of Appeal (Québec)</w:t>
            </w:r>
          </w:p>
          <w:p w:rsidR="005A6497" w:rsidRPr="00435769" w:rsidRDefault="005A6497" w:rsidP="007932B2">
            <w:pPr>
              <w:jc w:val="both"/>
              <w:rPr>
                <w:sz w:val="20"/>
                <w:lang w:val="en-CA"/>
              </w:rPr>
            </w:pPr>
            <w:r w:rsidRPr="00435769">
              <w:rPr>
                <w:sz w:val="20"/>
                <w:lang w:val="en-CA"/>
              </w:rPr>
              <w:t>(Thibault, Bouchard and Gagnon JJ.A.)</w:t>
            </w:r>
          </w:p>
          <w:p w:rsidR="005A6497" w:rsidRPr="00435769" w:rsidRDefault="005A6497" w:rsidP="007932B2">
            <w:pPr>
              <w:jc w:val="both"/>
              <w:rPr>
                <w:sz w:val="20"/>
                <w:lang w:val="en-CA"/>
              </w:rPr>
            </w:pPr>
            <w:r w:rsidRPr="00435769">
              <w:rPr>
                <w:sz w:val="20"/>
                <w:lang w:val="en-CA"/>
              </w:rPr>
              <w:t>200-09-009264-166</w:t>
            </w:r>
          </w:p>
          <w:p w:rsidR="005A6497" w:rsidRPr="00435769" w:rsidRDefault="005A6497" w:rsidP="007932B2">
            <w:pPr>
              <w:jc w:val="both"/>
              <w:rPr>
                <w:sz w:val="20"/>
                <w:lang w:val="en-CA"/>
              </w:rPr>
            </w:pPr>
          </w:p>
        </w:tc>
        <w:tc>
          <w:tcPr>
            <w:tcW w:w="243" w:type="pct"/>
          </w:tcPr>
          <w:p w:rsidR="005A6497" w:rsidRPr="00435769" w:rsidRDefault="005A6497" w:rsidP="007932B2">
            <w:pPr>
              <w:jc w:val="both"/>
              <w:rPr>
                <w:sz w:val="20"/>
                <w:lang w:val="en-CA"/>
              </w:rPr>
            </w:pPr>
          </w:p>
        </w:tc>
        <w:tc>
          <w:tcPr>
            <w:tcW w:w="2330" w:type="pct"/>
          </w:tcPr>
          <w:p w:rsidR="005A6497" w:rsidRPr="00435769" w:rsidRDefault="005A6497" w:rsidP="007932B2">
            <w:pPr>
              <w:jc w:val="both"/>
              <w:rPr>
                <w:sz w:val="20"/>
                <w:lang w:val="en-CA"/>
              </w:rPr>
            </w:pPr>
            <w:r w:rsidRPr="00435769">
              <w:rPr>
                <w:sz w:val="20"/>
                <w:lang w:val="en-CA"/>
              </w:rPr>
              <w:t>Motion to dismiss appeal allowed; appeal dismissed</w:t>
            </w:r>
          </w:p>
          <w:p w:rsidR="005A6497" w:rsidRPr="00435769" w:rsidRDefault="005A6497" w:rsidP="007932B2">
            <w:pPr>
              <w:jc w:val="both"/>
              <w:rPr>
                <w:sz w:val="20"/>
                <w:lang w:val="en-CA"/>
              </w:rPr>
            </w:pPr>
          </w:p>
        </w:tc>
      </w:tr>
      <w:tr w:rsidR="005A6497" w:rsidRPr="00435769" w:rsidTr="005A6497">
        <w:tc>
          <w:tcPr>
            <w:tcW w:w="2427" w:type="pct"/>
            <w:gridSpan w:val="2"/>
          </w:tcPr>
          <w:p w:rsidR="005A6497" w:rsidRPr="00435769" w:rsidRDefault="005A6497" w:rsidP="007932B2">
            <w:pPr>
              <w:jc w:val="both"/>
              <w:rPr>
                <w:sz w:val="20"/>
                <w:lang w:val="en-CA"/>
              </w:rPr>
            </w:pPr>
            <w:r w:rsidRPr="00435769">
              <w:rPr>
                <w:sz w:val="20"/>
                <w:lang w:val="en-CA"/>
              </w:rPr>
              <w:t>June 27, 2016</w:t>
            </w:r>
          </w:p>
          <w:p w:rsidR="005A6497" w:rsidRPr="00435769" w:rsidRDefault="005A6497" w:rsidP="007932B2">
            <w:pPr>
              <w:jc w:val="both"/>
              <w:rPr>
                <w:sz w:val="20"/>
                <w:lang w:val="en-CA"/>
              </w:rPr>
            </w:pPr>
            <w:r w:rsidRPr="00435769">
              <w:rPr>
                <w:sz w:val="20"/>
                <w:lang w:val="en-CA"/>
              </w:rPr>
              <w:t>Supreme Court of Canada</w:t>
            </w:r>
          </w:p>
        </w:tc>
        <w:tc>
          <w:tcPr>
            <w:tcW w:w="243" w:type="pct"/>
          </w:tcPr>
          <w:p w:rsidR="005A6497" w:rsidRPr="00435769" w:rsidRDefault="005A6497" w:rsidP="007932B2">
            <w:pPr>
              <w:jc w:val="both"/>
              <w:rPr>
                <w:sz w:val="20"/>
                <w:lang w:val="en-CA"/>
              </w:rPr>
            </w:pPr>
          </w:p>
        </w:tc>
        <w:tc>
          <w:tcPr>
            <w:tcW w:w="2330" w:type="pct"/>
          </w:tcPr>
          <w:p w:rsidR="005A6497" w:rsidRPr="00435769" w:rsidRDefault="005A6497" w:rsidP="007932B2">
            <w:pPr>
              <w:jc w:val="both"/>
              <w:rPr>
                <w:sz w:val="20"/>
                <w:lang w:val="en-CA"/>
              </w:rPr>
            </w:pPr>
            <w:r w:rsidRPr="00435769">
              <w:rPr>
                <w:sz w:val="20"/>
                <w:lang w:val="en-CA"/>
              </w:rPr>
              <w:t>Application for leave to appeal filed</w:t>
            </w:r>
          </w:p>
          <w:p w:rsidR="005A6497" w:rsidRPr="00435769" w:rsidRDefault="005A6497" w:rsidP="007932B2">
            <w:pPr>
              <w:jc w:val="both"/>
              <w:rPr>
                <w:sz w:val="20"/>
                <w:lang w:val="en-CA"/>
              </w:rPr>
            </w:pPr>
          </w:p>
        </w:tc>
      </w:tr>
    </w:tbl>
    <w:p w:rsidR="005A6497" w:rsidRPr="00435769" w:rsidRDefault="005A6497" w:rsidP="007932B2">
      <w:pPr>
        <w:jc w:val="both"/>
        <w:rPr>
          <w:sz w:val="20"/>
          <w:lang w:val="en-CA"/>
        </w:rPr>
      </w:pPr>
    </w:p>
    <w:p w:rsidR="009C2F30" w:rsidRPr="00435769" w:rsidRDefault="009C2F30" w:rsidP="007932B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rPr>
            </w:pPr>
            <w:r w:rsidRPr="00435769">
              <w:rPr>
                <w:rStyle w:val="SCCFileNumberChar"/>
                <w:sz w:val="20"/>
                <w:szCs w:val="20"/>
              </w:rPr>
              <w:t>37104</w:t>
            </w:r>
          </w:p>
        </w:tc>
        <w:tc>
          <w:tcPr>
            <w:tcW w:w="4457" w:type="pct"/>
            <w:gridSpan w:val="3"/>
          </w:tcPr>
          <w:p w:rsidR="005A6497" w:rsidRPr="00435769" w:rsidRDefault="005A6497" w:rsidP="007932B2">
            <w:pPr>
              <w:pStyle w:val="SCCLsocParty"/>
              <w:jc w:val="both"/>
              <w:rPr>
                <w:b/>
                <w:sz w:val="20"/>
                <w:szCs w:val="20"/>
              </w:rPr>
            </w:pPr>
            <w:r w:rsidRPr="00435769">
              <w:rPr>
                <w:b/>
                <w:sz w:val="20"/>
                <w:szCs w:val="20"/>
              </w:rPr>
              <w:t xml:space="preserve">Réjean Trottier, </w:t>
            </w:r>
            <w:r w:rsidR="009C2F30" w:rsidRPr="00435769">
              <w:rPr>
                <w:b/>
                <w:sz w:val="20"/>
                <w:szCs w:val="20"/>
              </w:rPr>
              <w:t xml:space="preserve">Angèle Prince, Sylvain Daigle, </w:t>
            </w:r>
            <w:r w:rsidRPr="00435769">
              <w:rPr>
                <w:b/>
                <w:sz w:val="20"/>
                <w:szCs w:val="20"/>
              </w:rPr>
              <w:t xml:space="preserve">Guillaume Trottier Daigle, </w:t>
            </w:r>
            <w:r w:rsidR="009C2F30" w:rsidRPr="00435769">
              <w:rPr>
                <w:b/>
                <w:sz w:val="20"/>
                <w:szCs w:val="20"/>
              </w:rPr>
              <w:t xml:space="preserve">Émile Trottier Daigle,  </w:t>
            </w:r>
            <w:r w:rsidRPr="00435769">
              <w:rPr>
                <w:b/>
                <w:sz w:val="20"/>
                <w:szCs w:val="20"/>
              </w:rPr>
              <w:t>Sylvain Baril, c. Pierre Pépin</w:t>
            </w:r>
          </w:p>
          <w:p w:rsidR="005A6497" w:rsidRPr="00435769" w:rsidRDefault="005A6497" w:rsidP="007932B2">
            <w:pPr>
              <w:jc w:val="both"/>
              <w:rPr>
                <w:sz w:val="20"/>
              </w:rPr>
            </w:pPr>
            <w:r w:rsidRPr="00435769">
              <w:rPr>
                <w:sz w:val="20"/>
              </w:rPr>
              <w:t>(Qc) (Civile) (Autorisation)</w:t>
            </w:r>
          </w:p>
        </w:tc>
      </w:tr>
      <w:tr w:rsidR="005A6497" w:rsidRPr="00435769" w:rsidTr="005A6497">
        <w:tc>
          <w:tcPr>
            <w:tcW w:w="5000" w:type="pct"/>
            <w:gridSpan w:val="4"/>
          </w:tcPr>
          <w:p w:rsidR="005A6497" w:rsidRPr="00435769" w:rsidRDefault="005A6497" w:rsidP="007932B2">
            <w:pPr>
              <w:jc w:val="both"/>
              <w:rPr>
                <w:sz w:val="20"/>
                <w:lang w:val="fr-CA"/>
              </w:rPr>
            </w:pPr>
            <w:r w:rsidRPr="00435769">
              <w:rPr>
                <w:sz w:val="20"/>
                <w:lang w:val="fr-CA"/>
              </w:rPr>
              <w:t>Procédure civile – Requête en rejet d’appel accueillie et appel rejeté.</w:t>
            </w:r>
          </w:p>
        </w:tc>
      </w:tr>
      <w:tr w:rsidR="005A6497" w:rsidRPr="00435769" w:rsidTr="005A6497">
        <w:tc>
          <w:tcPr>
            <w:tcW w:w="5000" w:type="pct"/>
            <w:gridSpan w:val="4"/>
          </w:tcPr>
          <w:p w:rsidR="005A6497" w:rsidRPr="00435769" w:rsidRDefault="005A6497" w:rsidP="007932B2">
            <w:pPr>
              <w:jc w:val="both"/>
              <w:rPr>
                <w:sz w:val="20"/>
                <w:lang w:val="fr-CA"/>
              </w:rPr>
            </w:pPr>
          </w:p>
        </w:tc>
      </w:tr>
      <w:tr w:rsidR="005A6497" w:rsidRPr="00435769" w:rsidTr="005A6497">
        <w:tc>
          <w:tcPr>
            <w:tcW w:w="5000" w:type="pct"/>
            <w:gridSpan w:val="4"/>
          </w:tcPr>
          <w:p w:rsidR="005A6497" w:rsidRPr="00435769" w:rsidRDefault="005A6497" w:rsidP="007932B2">
            <w:pPr>
              <w:jc w:val="both"/>
              <w:rPr>
                <w:sz w:val="20"/>
                <w:lang w:val="fr-CA"/>
              </w:rPr>
            </w:pPr>
            <w:r w:rsidRPr="00435769">
              <w:rPr>
                <w:sz w:val="20"/>
                <w:lang w:val="fr-CA"/>
              </w:rPr>
              <w:t xml:space="preserve">Le 22 mars 2016, la Cour du Québec accueille une action en dommages-intérêts intentée par l’intimé Pierre Pépin. Elle condamne les demandeurs à payer à M. Pépin une somme de 22 150,96 $, plus intérêts. </w:t>
            </w:r>
          </w:p>
          <w:p w:rsidR="005A6497" w:rsidRPr="00435769" w:rsidRDefault="005A6497" w:rsidP="007932B2">
            <w:pPr>
              <w:jc w:val="both"/>
              <w:rPr>
                <w:sz w:val="20"/>
                <w:lang w:val="fr-CA"/>
              </w:rPr>
            </w:pPr>
          </w:p>
          <w:p w:rsidR="005A6497" w:rsidRPr="00435769" w:rsidRDefault="005A6497" w:rsidP="007932B2">
            <w:pPr>
              <w:jc w:val="both"/>
              <w:rPr>
                <w:sz w:val="20"/>
              </w:rPr>
            </w:pPr>
            <w:r w:rsidRPr="00435769">
              <w:rPr>
                <w:sz w:val="20"/>
                <w:lang w:val="fr-CA"/>
              </w:rPr>
              <w:t xml:space="preserve">Les demandeurs se pourvoient en appel, mais la Cour d’appel estime que l’appel est irrégulièrement formé, car vu la valeur de l’objet en litige, une permission d’appeler était requise. Elle estime de plus que l’appel ne présente aucune chance raisonnable de succès, car la déclaration d’appel ne soulève aucun moyen d’appel recevable, pas plus que les représentations orales et écrites. </w:t>
            </w:r>
            <w:r w:rsidRPr="00435769">
              <w:rPr>
                <w:sz w:val="20"/>
              </w:rPr>
              <w:t>Elle rejette en conséquence l’appel.</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lastRenderedPageBreak/>
              <w:t>Le 22 mars 2016</w:t>
            </w:r>
          </w:p>
          <w:p w:rsidR="005A6497" w:rsidRPr="00435769" w:rsidRDefault="005A6497" w:rsidP="007932B2">
            <w:pPr>
              <w:jc w:val="both"/>
              <w:rPr>
                <w:sz w:val="20"/>
                <w:lang w:val="fr-CA"/>
              </w:rPr>
            </w:pPr>
            <w:r w:rsidRPr="00435769">
              <w:rPr>
                <w:sz w:val="20"/>
                <w:lang w:val="fr-CA"/>
              </w:rPr>
              <w:t>Cour du Québec</w:t>
            </w:r>
          </w:p>
          <w:p w:rsidR="005A6497" w:rsidRPr="00435769" w:rsidRDefault="005A6497" w:rsidP="007932B2">
            <w:pPr>
              <w:jc w:val="both"/>
              <w:rPr>
                <w:sz w:val="20"/>
                <w:lang w:val="fr-CA"/>
              </w:rPr>
            </w:pPr>
            <w:r w:rsidRPr="00435769">
              <w:rPr>
                <w:sz w:val="20"/>
                <w:lang w:val="fr-CA"/>
              </w:rPr>
              <w:t>(Le juge Trudel)</w:t>
            </w:r>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rPr>
            </w:pPr>
            <w:r w:rsidRPr="00435769">
              <w:rPr>
                <w:sz w:val="20"/>
              </w:rPr>
              <w:t>Action en dommages-intérêts accueillie</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Le 6 juin 2016</w:t>
            </w:r>
          </w:p>
          <w:p w:rsidR="005A6497" w:rsidRPr="00435769" w:rsidRDefault="005A6497" w:rsidP="007932B2">
            <w:pPr>
              <w:jc w:val="both"/>
              <w:rPr>
                <w:sz w:val="20"/>
                <w:lang w:val="fr-CA"/>
              </w:rPr>
            </w:pPr>
            <w:r w:rsidRPr="00435769">
              <w:rPr>
                <w:sz w:val="20"/>
                <w:lang w:val="fr-CA"/>
              </w:rPr>
              <w:t>Cour d’appel du Québec (Québec)</w:t>
            </w:r>
          </w:p>
          <w:p w:rsidR="005A6497" w:rsidRPr="00435769" w:rsidRDefault="005A6497" w:rsidP="007932B2">
            <w:pPr>
              <w:jc w:val="both"/>
              <w:rPr>
                <w:sz w:val="20"/>
                <w:lang w:val="fr-CA"/>
              </w:rPr>
            </w:pPr>
            <w:r w:rsidRPr="00435769">
              <w:rPr>
                <w:sz w:val="20"/>
                <w:lang w:val="fr-CA"/>
              </w:rPr>
              <w:t>(Les juges Thibault, Bouchard et Gagnon)</w:t>
            </w:r>
          </w:p>
          <w:p w:rsidR="005A6497" w:rsidRPr="00435769" w:rsidRDefault="005A6497" w:rsidP="007932B2">
            <w:pPr>
              <w:jc w:val="both"/>
              <w:rPr>
                <w:sz w:val="20"/>
              </w:rPr>
            </w:pPr>
            <w:r w:rsidRPr="00435769">
              <w:rPr>
                <w:sz w:val="20"/>
              </w:rPr>
              <w:t>200-09-009264-166</w:t>
            </w:r>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lang w:val="fr-CA"/>
              </w:rPr>
            </w:pPr>
            <w:r w:rsidRPr="00435769">
              <w:rPr>
                <w:sz w:val="20"/>
                <w:lang w:val="fr-CA"/>
              </w:rPr>
              <w:t>Requête en rejet d’appel accueillie; appel rejeté</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Le 27 juin 2016</w:t>
            </w:r>
          </w:p>
          <w:p w:rsidR="005A6497" w:rsidRPr="00435769" w:rsidRDefault="005A6497" w:rsidP="007932B2">
            <w:pPr>
              <w:jc w:val="both"/>
              <w:rPr>
                <w:sz w:val="20"/>
                <w:lang w:val="fr-CA"/>
              </w:rPr>
            </w:pPr>
            <w:r w:rsidRPr="00435769">
              <w:rPr>
                <w:sz w:val="20"/>
                <w:lang w:val="fr-CA"/>
              </w:rPr>
              <w:t>Cour suprême du Canada</w:t>
            </w: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rPr>
            </w:pPr>
            <w:r w:rsidRPr="00435769">
              <w:rPr>
                <w:sz w:val="20"/>
              </w:rPr>
              <w:t>Demande d’autorisation d’appel déposée</w:t>
            </w:r>
          </w:p>
          <w:p w:rsidR="005A6497" w:rsidRPr="00435769" w:rsidRDefault="005A6497" w:rsidP="007932B2">
            <w:pPr>
              <w:jc w:val="both"/>
              <w:rPr>
                <w:sz w:val="20"/>
              </w:rPr>
            </w:pPr>
          </w:p>
        </w:tc>
      </w:tr>
    </w:tbl>
    <w:p w:rsidR="005A6497" w:rsidRPr="00435769" w:rsidRDefault="005A6497" w:rsidP="007932B2">
      <w:pPr>
        <w:jc w:val="both"/>
        <w:rPr>
          <w:sz w:val="20"/>
        </w:rPr>
      </w:pPr>
    </w:p>
    <w:p w:rsidR="008E7E00" w:rsidRPr="00435769" w:rsidRDefault="008E7E00" w:rsidP="007932B2">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rPr>
            </w:pPr>
            <w:r w:rsidRPr="00435769">
              <w:rPr>
                <w:rStyle w:val="SCCFileNumberChar"/>
                <w:sz w:val="20"/>
                <w:szCs w:val="20"/>
              </w:rPr>
              <w:t>37195</w:t>
            </w:r>
          </w:p>
        </w:tc>
        <w:tc>
          <w:tcPr>
            <w:tcW w:w="4457" w:type="pct"/>
            <w:gridSpan w:val="3"/>
          </w:tcPr>
          <w:p w:rsidR="005A6497" w:rsidRPr="00435769" w:rsidRDefault="005A6497" w:rsidP="007932B2">
            <w:pPr>
              <w:pStyle w:val="SCCLsocParty"/>
              <w:jc w:val="both"/>
              <w:rPr>
                <w:b/>
                <w:sz w:val="20"/>
                <w:szCs w:val="20"/>
                <w:lang w:val="en-US"/>
              </w:rPr>
            </w:pPr>
            <w:r w:rsidRPr="00435769">
              <w:rPr>
                <w:b/>
                <w:sz w:val="20"/>
                <w:szCs w:val="20"/>
                <w:lang w:val="en-US"/>
              </w:rPr>
              <w:t>Kevin Karl Morrill v. Nadine Nicole Morrill</w:t>
            </w:r>
          </w:p>
          <w:p w:rsidR="005A6497" w:rsidRPr="00435769" w:rsidRDefault="005A6497" w:rsidP="007932B2">
            <w:pPr>
              <w:jc w:val="both"/>
              <w:rPr>
                <w:sz w:val="20"/>
              </w:rPr>
            </w:pPr>
            <w:r w:rsidRPr="00435769">
              <w:rPr>
                <w:sz w:val="20"/>
              </w:rPr>
              <w:t>(Man.) (Civil) (By Leave)</w:t>
            </w:r>
          </w:p>
        </w:tc>
      </w:tr>
      <w:tr w:rsidR="005A6497" w:rsidRPr="00435769" w:rsidTr="005A6497">
        <w:tc>
          <w:tcPr>
            <w:tcW w:w="5000" w:type="pct"/>
            <w:gridSpan w:val="4"/>
          </w:tcPr>
          <w:p w:rsidR="005A6497" w:rsidRPr="00435769" w:rsidRDefault="005A6497" w:rsidP="007932B2">
            <w:pPr>
              <w:autoSpaceDE w:val="0"/>
              <w:autoSpaceDN w:val="0"/>
              <w:adjustRightInd w:val="0"/>
              <w:jc w:val="both"/>
              <w:rPr>
                <w:sz w:val="20"/>
              </w:rPr>
            </w:pPr>
            <w:r w:rsidRPr="00435769">
              <w:rPr>
                <w:sz w:val="20"/>
              </w:rPr>
              <w:t>Family law – Custody – Mobility rights – Custodial parent seeking to relocate with children from Winnipeg to California – What is the scope of the Court’s gatekeeping function in mobility cases to ensure the child’s best interests are adequately considered? – On what basis can an appellate court substitute their finding on mobility for that of the court below?</w:t>
            </w:r>
          </w:p>
        </w:tc>
      </w:tr>
      <w:tr w:rsidR="005A6497" w:rsidRPr="00435769" w:rsidTr="005A6497">
        <w:tc>
          <w:tcPr>
            <w:tcW w:w="5000" w:type="pct"/>
            <w:gridSpan w:val="4"/>
          </w:tcPr>
          <w:p w:rsidR="005A6497" w:rsidRPr="00435769" w:rsidRDefault="005A6497" w:rsidP="007932B2">
            <w:pPr>
              <w:jc w:val="both"/>
              <w:rPr>
                <w:sz w:val="20"/>
              </w:rPr>
            </w:pPr>
          </w:p>
        </w:tc>
      </w:tr>
      <w:tr w:rsidR="005A6497" w:rsidRPr="00435769" w:rsidTr="005A6497">
        <w:tc>
          <w:tcPr>
            <w:tcW w:w="5000" w:type="pct"/>
            <w:gridSpan w:val="4"/>
          </w:tcPr>
          <w:p w:rsidR="005A6497" w:rsidRPr="00435769" w:rsidRDefault="005A6497" w:rsidP="007932B2">
            <w:pPr>
              <w:autoSpaceDE w:val="0"/>
              <w:autoSpaceDN w:val="0"/>
              <w:adjustRightInd w:val="0"/>
              <w:jc w:val="both"/>
              <w:rPr>
                <w:sz w:val="20"/>
              </w:rPr>
            </w:pPr>
            <w:r w:rsidRPr="00435769">
              <w:rPr>
                <w:sz w:val="20"/>
              </w:rPr>
              <w:t xml:space="preserve">The mother and the father were married in 2004. At that time, the mother had two daughters from previous relationships, then aged ten and six. The parties also had a son together who was born in May, 2007. The father legally adopted the younger daughter in 2009 and has stood in </w:t>
            </w:r>
            <w:r w:rsidRPr="00435769">
              <w:rPr>
                <w:i/>
                <w:iCs/>
                <w:sz w:val="20"/>
              </w:rPr>
              <w:t>loco parentis</w:t>
            </w:r>
            <w:r w:rsidRPr="00435769">
              <w:rPr>
                <w:sz w:val="20"/>
              </w:rPr>
              <w:t xml:space="preserve"> to the other since the time of the marriage. The parties separated in April, 2011 and the father moved out of the marital home. He had been suffering from depression and completely withdrew from the children’s lives between the time of separation and February, 2012. During that time, the children lived with the mother, who was solely responsible for their care. The parties retained a parenting coach to help the father reconcile with the two daughters who were refusing to see him, and to assist the father in resuming his relationship with the son. The visits with the son, which were initially supervised, eventually transitioned into overnight visits.</w:t>
            </w:r>
          </w:p>
          <w:p w:rsidR="005A6497" w:rsidRPr="00435769" w:rsidRDefault="005A6497" w:rsidP="007932B2">
            <w:pPr>
              <w:autoSpaceDE w:val="0"/>
              <w:autoSpaceDN w:val="0"/>
              <w:adjustRightInd w:val="0"/>
              <w:jc w:val="both"/>
              <w:rPr>
                <w:sz w:val="20"/>
              </w:rPr>
            </w:pPr>
          </w:p>
          <w:p w:rsidR="005A6497" w:rsidRPr="00435769" w:rsidRDefault="005A6497" w:rsidP="007932B2">
            <w:pPr>
              <w:autoSpaceDE w:val="0"/>
              <w:autoSpaceDN w:val="0"/>
              <w:adjustRightInd w:val="0"/>
              <w:jc w:val="both"/>
              <w:rPr>
                <w:sz w:val="20"/>
              </w:rPr>
            </w:pPr>
            <w:r w:rsidRPr="00435769">
              <w:rPr>
                <w:sz w:val="20"/>
              </w:rPr>
              <w:t>In October, 2012, the mother began a romantic relationship with a man who resided in Sacramento California with his children. They became engaged in 2014. The mother had been employed as an accountant in Manitoba, when her employer became subject to a merger. The mother, perceiving that this would result in a demotion, took a severance package. In the summer of 2013, she disclosed her desire to relocate to California with the two younger children, because she had found work there at a comparable salary. She did not disclose her intention to move the children into the home of her fiancé and his two children. The father opposed the move and the matter went to trial.</w:t>
            </w:r>
          </w:p>
          <w:p w:rsidR="005A6497" w:rsidRPr="00435769" w:rsidRDefault="005A6497" w:rsidP="007932B2">
            <w:pPr>
              <w:autoSpaceDE w:val="0"/>
              <w:autoSpaceDN w:val="0"/>
              <w:adjustRightInd w:val="0"/>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July 29, 2014</w:t>
            </w:r>
          </w:p>
          <w:p w:rsidR="005A6497" w:rsidRPr="00435769" w:rsidRDefault="005A6497" w:rsidP="007932B2">
            <w:pPr>
              <w:jc w:val="both"/>
              <w:rPr>
                <w:sz w:val="20"/>
              </w:rPr>
            </w:pPr>
            <w:r w:rsidRPr="00435769">
              <w:rPr>
                <w:sz w:val="20"/>
              </w:rPr>
              <w:t>Court of Queen’s Bench of Manitoba</w:t>
            </w:r>
          </w:p>
          <w:p w:rsidR="005A6497" w:rsidRPr="00435769" w:rsidRDefault="005A6497" w:rsidP="007932B2">
            <w:pPr>
              <w:jc w:val="both"/>
              <w:rPr>
                <w:sz w:val="20"/>
              </w:rPr>
            </w:pPr>
            <w:r w:rsidRPr="00435769">
              <w:rPr>
                <w:sz w:val="20"/>
              </w:rPr>
              <w:t>(Diamond J.)</w:t>
            </w:r>
          </w:p>
          <w:p w:rsidR="005A6497" w:rsidRPr="00435769" w:rsidRDefault="00435769" w:rsidP="007932B2">
            <w:pPr>
              <w:jc w:val="both"/>
              <w:rPr>
                <w:sz w:val="20"/>
              </w:rPr>
            </w:pPr>
            <w:hyperlink r:id="rId81" w:history="1">
              <w:r w:rsidR="005A6497" w:rsidRPr="00435769">
                <w:rPr>
                  <w:rStyle w:val="Hyperlink"/>
                  <w:sz w:val="20"/>
                </w:rPr>
                <w:t>2014 MBQB 161</w:t>
              </w:r>
            </w:hyperlink>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Joint custody of children ordered; Mother not permitted to relocate children to California</w:t>
            </w:r>
          </w:p>
          <w:p w:rsidR="005A6497" w:rsidRPr="00435769" w:rsidRDefault="005A6497" w:rsidP="007932B2">
            <w:pPr>
              <w:jc w:val="both"/>
              <w:rPr>
                <w:sz w:val="20"/>
              </w:rPr>
            </w:pP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June 20, 2016</w:t>
            </w:r>
          </w:p>
          <w:p w:rsidR="005A6497" w:rsidRPr="00435769" w:rsidRDefault="005A6497" w:rsidP="007932B2">
            <w:pPr>
              <w:jc w:val="both"/>
              <w:rPr>
                <w:sz w:val="20"/>
              </w:rPr>
            </w:pPr>
            <w:r w:rsidRPr="00435769">
              <w:rPr>
                <w:sz w:val="20"/>
              </w:rPr>
              <w:t>Court of Appeal of Manitoba</w:t>
            </w:r>
          </w:p>
          <w:p w:rsidR="005A6497" w:rsidRPr="00435769" w:rsidRDefault="005A6497" w:rsidP="007932B2">
            <w:pPr>
              <w:jc w:val="both"/>
              <w:rPr>
                <w:sz w:val="20"/>
                <w:lang w:val="fr-FR"/>
              </w:rPr>
            </w:pPr>
            <w:r w:rsidRPr="00435769">
              <w:rPr>
                <w:sz w:val="20"/>
                <w:lang w:val="fr-FR"/>
              </w:rPr>
              <w:t>(Monnin, Mainella and leMaistre JJ.A.)</w:t>
            </w:r>
          </w:p>
          <w:p w:rsidR="005A6497" w:rsidRPr="00435769" w:rsidRDefault="00435769" w:rsidP="007932B2">
            <w:pPr>
              <w:jc w:val="both"/>
              <w:rPr>
                <w:sz w:val="20"/>
                <w:lang w:val="fr-FR"/>
              </w:rPr>
            </w:pPr>
            <w:hyperlink r:id="rId82" w:history="1">
              <w:r w:rsidR="005A6497" w:rsidRPr="00435769">
                <w:rPr>
                  <w:rStyle w:val="Hyperlink"/>
                  <w:sz w:val="20"/>
                  <w:lang w:val="fr-FR"/>
                </w:rPr>
                <w:t>2016 MBCA 66</w:t>
              </w:r>
            </w:hyperlink>
          </w:p>
          <w:p w:rsidR="005A6497" w:rsidRPr="00435769" w:rsidRDefault="005A6497" w:rsidP="007932B2">
            <w:pPr>
              <w:jc w:val="both"/>
              <w:rPr>
                <w:sz w:val="20"/>
                <w:lang w:val="fr-FR"/>
              </w:rPr>
            </w:pPr>
          </w:p>
        </w:tc>
        <w:tc>
          <w:tcPr>
            <w:tcW w:w="243" w:type="pct"/>
          </w:tcPr>
          <w:p w:rsidR="005A6497" w:rsidRPr="00435769" w:rsidRDefault="005A6497" w:rsidP="007932B2">
            <w:pPr>
              <w:jc w:val="both"/>
              <w:rPr>
                <w:sz w:val="20"/>
                <w:lang w:val="fr-FR"/>
              </w:rPr>
            </w:pPr>
          </w:p>
        </w:tc>
        <w:tc>
          <w:tcPr>
            <w:tcW w:w="2330" w:type="pct"/>
          </w:tcPr>
          <w:p w:rsidR="005A6497" w:rsidRPr="00435769" w:rsidRDefault="005A6497" w:rsidP="007932B2">
            <w:pPr>
              <w:jc w:val="both"/>
              <w:rPr>
                <w:sz w:val="20"/>
              </w:rPr>
            </w:pPr>
            <w:r w:rsidRPr="00435769">
              <w:rPr>
                <w:sz w:val="20"/>
              </w:rPr>
              <w:t>Appeal allowed; Mother permitted to relocate to California with child</w:t>
            </w:r>
          </w:p>
          <w:p w:rsidR="005A6497" w:rsidRPr="00435769" w:rsidRDefault="005A6497" w:rsidP="007932B2">
            <w:pPr>
              <w:jc w:val="both"/>
              <w:rPr>
                <w:sz w:val="20"/>
              </w:rPr>
            </w:pP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September 19, 2016</w:t>
            </w:r>
          </w:p>
          <w:p w:rsidR="005A6497" w:rsidRPr="00435769" w:rsidRDefault="005A6497" w:rsidP="007932B2">
            <w:pPr>
              <w:jc w:val="both"/>
              <w:rPr>
                <w:sz w:val="20"/>
              </w:rPr>
            </w:pPr>
            <w:r w:rsidRPr="00435769">
              <w:rPr>
                <w:sz w:val="20"/>
              </w:rPr>
              <w:t>Supreme Court of Canada</w:t>
            </w: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Application for leave to appeal filed</w:t>
            </w:r>
          </w:p>
          <w:p w:rsidR="005A6497" w:rsidRPr="00435769" w:rsidRDefault="005A6497" w:rsidP="007932B2">
            <w:pPr>
              <w:jc w:val="both"/>
              <w:rPr>
                <w:sz w:val="20"/>
              </w:rPr>
            </w:pPr>
          </w:p>
        </w:tc>
      </w:tr>
    </w:tbl>
    <w:p w:rsidR="005A6497" w:rsidRPr="00435769" w:rsidRDefault="005A6497" w:rsidP="007932B2">
      <w:pPr>
        <w:jc w:val="both"/>
        <w:rPr>
          <w:sz w:val="20"/>
        </w:rPr>
      </w:pPr>
    </w:p>
    <w:p w:rsidR="009C2F30" w:rsidRPr="00435769" w:rsidRDefault="009C2F30" w:rsidP="007932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lang w:val="fr-CA"/>
              </w:rPr>
            </w:pPr>
            <w:r w:rsidRPr="00435769">
              <w:rPr>
                <w:rStyle w:val="SCCFileNumberChar"/>
                <w:sz w:val="20"/>
                <w:szCs w:val="20"/>
                <w:lang w:val="fr-CA"/>
              </w:rPr>
              <w:t>37195</w:t>
            </w:r>
          </w:p>
        </w:tc>
        <w:tc>
          <w:tcPr>
            <w:tcW w:w="4457" w:type="pct"/>
            <w:gridSpan w:val="3"/>
          </w:tcPr>
          <w:p w:rsidR="005A6497" w:rsidRPr="00435769" w:rsidRDefault="005A6497" w:rsidP="007932B2">
            <w:pPr>
              <w:pStyle w:val="SCCLsocParty"/>
              <w:jc w:val="both"/>
              <w:rPr>
                <w:b/>
                <w:sz w:val="20"/>
                <w:szCs w:val="20"/>
                <w:lang w:val="en-US"/>
              </w:rPr>
            </w:pPr>
            <w:r w:rsidRPr="00435769">
              <w:rPr>
                <w:b/>
                <w:sz w:val="20"/>
                <w:szCs w:val="20"/>
                <w:lang w:val="en-US"/>
              </w:rPr>
              <w:t>Kevin Karl Morrill c. Nadine Nicole Morrill</w:t>
            </w:r>
          </w:p>
          <w:p w:rsidR="005A6497" w:rsidRPr="00435769" w:rsidRDefault="005A6497" w:rsidP="007932B2">
            <w:pPr>
              <w:jc w:val="both"/>
              <w:rPr>
                <w:sz w:val="20"/>
                <w:lang w:val="fr-CA"/>
              </w:rPr>
            </w:pPr>
            <w:r w:rsidRPr="00435769">
              <w:rPr>
                <w:sz w:val="20"/>
                <w:lang w:val="fr-CA"/>
              </w:rPr>
              <w:t>(Man.) (Civile) (Sur autorisation)</w:t>
            </w:r>
          </w:p>
        </w:tc>
      </w:tr>
      <w:tr w:rsidR="005A6497" w:rsidRPr="00435769" w:rsidTr="005A6497">
        <w:tc>
          <w:tcPr>
            <w:tcW w:w="5000" w:type="pct"/>
            <w:gridSpan w:val="4"/>
          </w:tcPr>
          <w:p w:rsidR="005A6497" w:rsidRPr="00435769" w:rsidRDefault="005A6497" w:rsidP="007932B2">
            <w:pPr>
              <w:autoSpaceDE w:val="0"/>
              <w:autoSpaceDN w:val="0"/>
              <w:adjustRightInd w:val="0"/>
              <w:jc w:val="both"/>
              <w:rPr>
                <w:sz w:val="20"/>
                <w:lang w:val="fr-CA"/>
              </w:rPr>
            </w:pPr>
            <w:r w:rsidRPr="00435769">
              <w:rPr>
                <w:sz w:val="20"/>
                <w:lang w:val="fr-CA"/>
              </w:rPr>
              <w:t>Droit de la famille – Garde – Droits de circulation et d’établissement – Le parent ayant la garde des enfants veut quitter Winnipeg pour s’installer en Californie avec les enfants – Dans les affaires de circulation et d’établissement, dans quelle mesure le rôle de surveillance des tribunaux leur permet-il de s’assurer que l’intérêt de l’enfant a été adéquatement pris en compte? Sur quel fondement une cour d’appel peut-elle substituer sa conclusion sur la circulation et l’établissement à celle du tribunal d’instance inférieure?</w:t>
            </w:r>
          </w:p>
        </w:tc>
      </w:tr>
      <w:tr w:rsidR="005A6497" w:rsidRPr="00435769" w:rsidTr="005A6497">
        <w:tc>
          <w:tcPr>
            <w:tcW w:w="5000" w:type="pct"/>
            <w:gridSpan w:val="4"/>
          </w:tcPr>
          <w:p w:rsidR="005A6497" w:rsidRPr="00435769" w:rsidRDefault="005A6497" w:rsidP="007932B2">
            <w:pPr>
              <w:jc w:val="both"/>
              <w:rPr>
                <w:sz w:val="20"/>
                <w:lang w:val="fr-CA"/>
              </w:rPr>
            </w:pPr>
          </w:p>
        </w:tc>
      </w:tr>
      <w:tr w:rsidR="005A6497" w:rsidRPr="00435769" w:rsidTr="005A6497">
        <w:tc>
          <w:tcPr>
            <w:tcW w:w="5000" w:type="pct"/>
            <w:gridSpan w:val="4"/>
          </w:tcPr>
          <w:p w:rsidR="005A6497" w:rsidRPr="00435769" w:rsidRDefault="005A6497" w:rsidP="007932B2">
            <w:pPr>
              <w:autoSpaceDE w:val="0"/>
              <w:autoSpaceDN w:val="0"/>
              <w:adjustRightInd w:val="0"/>
              <w:jc w:val="both"/>
              <w:rPr>
                <w:sz w:val="20"/>
                <w:lang w:val="fr-CA"/>
              </w:rPr>
            </w:pPr>
            <w:r w:rsidRPr="00435769">
              <w:rPr>
                <w:sz w:val="20"/>
                <w:lang w:val="fr-CA"/>
              </w:rPr>
              <w:t>La mère et le père se sont mariés en 2004. La mère avait alors deux filles âgées de dix et six ans, issues de relations antérieures. Les parties ont également eu un fils ensemble, qui est né en mai 2007. Le père a adopté légalement la fille cadette en 2009, et a tenu lieu de parent à l’autre enfant depuis le mariage. Les parties se sont séparées en avril 2011, et le père a quitté le foyer conjugal. Il souffrait de dépression et il s’est complètement retiré de la vie des enfants entre la séparation et février 2012. Pendant cette période, les enfants vivaient avec la mère, qui était la seule responsable du soin des enfants. Les parties ont retenu les services d’un conseiller en éducation des enfants pour aider le père à se réconcilier avec les deux filles, qui refusaient de le voir, et pour l’aider à reprendre sa relation avec son fils. Au départ, les visites du fils étaient supervisées, et il y a ensuite eu visites avec nuitée.</w:t>
            </w:r>
          </w:p>
          <w:p w:rsidR="005A6497" w:rsidRPr="00435769" w:rsidRDefault="005A6497" w:rsidP="007932B2">
            <w:pPr>
              <w:autoSpaceDE w:val="0"/>
              <w:autoSpaceDN w:val="0"/>
              <w:adjustRightInd w:val="0"/>
              <w:jc w:val="both"/>
              <w:rPr>
                <w:sz w:val="20"/>
                <w:lang w:val="fr-CA"/>
              </w:rPr>
            </w:pPr>
          </w:p>
          <w:p w:rsidR="005A6497" w:rsidRPr="00435769" w:rsidRDefault="005A6497" w:rsidP="007932B2">
            <w:pPr>
              <w:autoSpaceDE w:val="0"/>
              <w:autoSpaceDN w:val="0"/>
              <w:adjustRightInd w:val="0"/>
              <w:jc w:val="both"/>
              <w:rPr>
                <w:sz w:val="20"/>
                <w:lang w:val="fr-CA"/>
              </w:rPr>
            </w:pPr>
            <w:r w:rsidRPr="00435769">
              <w:rPr>
                <w:sz w:val="20"/>
                <w:lang w:val="fr-CA"/>
              </w:rPr>
              <w:t>En octobre 2012, la mère a commencé à entretenir une relation amoureuse avec un homme résidant avec ses enfants à Sacramento, en Californie. Ils se sont fiancés en 2014. La mère occupait un poste de comptable au Manitoba, et son employeur a fait l’objet d’un regroupement d’entreprises. Considérant que ce regroupement pourrait entraîner une rétrogradation, la mère a accepté une indemnité de départ. Au cours de l’été 2013, elle a indiqué qu’elle voulait s’installer en Californie avec ses deux plus jeunes enfants, parce qu’elle y avait trouvé un emploi à un salaire comparable. Elle n’a pas dévoilé son intention de s’installer avec ses enfants dans la résidence de son fiancé et de ses deux enfants. Le père s’est opposé au déménagement et l’affaire a été portée devant les tribunaux.</w:t>
            </w:r>
          </w:p>
          <w:p w:rsidR="005A6497" w:rsidRPr="00435769" w:rsidRDefault="005A6497" w:rsidP="007932B2">
            <w:pPr>
              <w:autoSpaceDE w:val="0"/>
              <w:autoSpaceDN w:val="0"/>
              <w:adjustRightInd w:val="0"/>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29 juillet 2014</w:t>
            </w:r>
          </w:p>
          <w:p w:rsidR="005A6497" w:rsidRPr="00435769" w:rsidRDefault="005A6497" w:rsidP="007932B2">
            <w:pPr>
              <w:jc w:val="both"/>
              <w:rPr>
                <w:sz w:val="20"/>
                <w:lang w:val="fr-CA"/>
              </w:rPr>
            </w:pPr>
            <w:r w:rsidRPr="00435769">
              <w:rPr>
                <w:sz w:val="20"/>
                <w:lang w:val="fr-CA"/>
              </w:rPr>
              <w:t>Cour du Banc de la Reine du Manitoba</w:t>
            </w:r>
          </w:p>
          <w:p w:rsidR="005A6497" w:rsidRPr="00435769" w:rsidRDefault="005A6497" w:rsidP="007932B2">
            <w:pPr>
              <w:jc w:val="both"/>
              <w:rPr>
                <w:sz w:val="20"/>
                <w:lang w:val="fr-CA"/>
              </w:rPr>
            </w:pPr>
            <w:r w:rsidRPr="00435769">
              <w:rPr>
                <w:sz w:val="20"/>
                <w:lang w:val="fr-CA"/>
              </w:rPr>
              <w:t>(Juge Diamond)</w:t>
            </w:r>
          </w:p>
          <w:p w:rsidR="005A6497" w:rsidRPr="00435769" w:rsidRDefault="00435769" w:rsidP="007932B2">
            <w:pPr>
              <w:jc w:val="both"/>
              <w:rPr>
                <w:sz w:val="20"/>
                <w:lang w:val="fr-CA"/>
              </w:rPr>
            </w:pPr>
            <w:hyperlink r:id="rId83" w:history="1">
              <w:r w:rsidR="005A6497" w:rsidRPr="00435769">
                <w:rPr>
                  <w:rStyle w:val="Hyperlink"/>
                  <w:sz w:val="20"/>
                  <w:lang w:val="fr-CA"/>
                </w:rPr>
                <w:t>2014 MBQB 161</w:t>
              </w:r>
            </w:hyperlink>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Ordonnance de garde partagée; interdiction faite à la mère de déménager en Californie avec les enfants</w:t>
            </w:r>
          </w:p>
          <w:p w:rsidR="005A6497" w:rsidRPr="00435769" w:rsidRDefault="005A6497" w:rsidP="007932B2">
            <w:pPr>
              <w:jc w:val="both"/>
              <w:rPr>
                <w:sz w:val="20"/>
                <w:lang w:val="fr-CA"/>
              </w:rPr>
            </w:pP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20 juin 2016</w:t>
            </w:r>
          </w:p>
          <w:p w:rsidR="005A6497" w:rsidRPr="00435769" w:rsidRDefault="005A6497" w:rsidP="007932B2">
            <w:pPr>
              <w:jc w:val="both"/>
              <w:rPr>
                <w:sz w:val="20"/>
                <w:lang w:val="fr-CA"/>
              </w:rPr>
            </w:pPr>
            <w:r w:rsidRPr="00435769">
              <w:rPr>
                <w:sz w:val="20"/>
                <w:lang w:val="fr-CA"/>
              </w:rPr>
              <w:t>Cour d’appel du Manitoba</w:t>
            </w:r>
          </w:p>
          <w:p w:rsidR="005A6497" w:rsidRPr="00435769" w:rsidRDefault="005A6497" w:rsidP="007932B2">
            <w:pPr>
              <w:jc w:val="both"/>
              <w:rPr>
                <w:sz w:val="20"/>
                <w:lang w:val="fr-CA"/>
              </w:rPr>
            </w:pPr>
            <w:r w:rsidRPr="00435769">
              <w:rPr>
                <w:sz w:val="20"/>
                <w:lang w:val="fr-CA"/>
              </w:rPr>
              <w:t>(Juges Monnin, Mainella et leMaistre)</w:t>
            </w:r>
          </w:p>
          <w:p w:rsidR="005A6497" w:rsidRPr="00435769" w:rsidRDefault="00435769" w:rsidP="007932B2">
            <w:pPr>
              <w:jc w:val="both"/>
              <w:rPr>
                <w:sz w:val="20"/>
                <w:lang w:val="fr-CA"/>
              </w:rPr>
            </w:pPr>
            <w:hyperlink r:id="rId84" w:history="1">
              <w:r w:rsidR="005A6497" w:rsidRPr="00435769">
                <w:rPr>
                  <w:rStyle w:val="Hyperlink"/>
                  <w:sz w:val="20"/>
                  <w:lang w:val="fr-CA"/>
                </w:rPr>
                <w:t>2016 MBCA 66</w:t>
              </w:r>
            </w:hyperlink>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 xml:space="preserve">Appel accueilli; autorisation accordée à la mère de déménager en Californie avec les enfants </w:t>
            </w:r>
          </w:p>
          <w:p w:rsidR="005A6497" w:rsidRPr="00435769" w:rsidRDefault="005A6497" w:rsidP="007932B2">
            <w:pPr>
              <w:jc w:val="both"/>
              <w:rPr>
                <w:sz w:val="20"/>
                <w:lang w:val="fr-CA"/>
              </w:rPr>
            </w:pP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19 septembre 2016</w:t>
            </w:r>
          </w:p>
          <w:p w:rsidR="005A6497" w:rsidRPr="00435769" w:rsidRDefault="005A6497" w:rsidP="007932B2">
            <w:pPr>
              <w:jc w:val="both"/>
              <w:rPr>
                <w:sz w:val="20"/>
                <w:lang w:val="fr-CA"/>
              </w:rPr>
            </w:pPr>
            <w:r w:rsidRPr="00435769">
              <w:rPr>
                <w:sz w:val="20"/>
                <w:lang w:val="fr-CA"/>
              </w:rPr>
              <w:t>Cour suprême du Canada</w:t>
            </w: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Demande d’autorisation d’appel déposée</w:t>
            </w:r>
          </w:p>
          <w:p w:rsidR="005A6497" w:rsidRPr="00435769" w:rsidRDefault="005A6497" w:rsidP="007932B2">
            <w:pPr>
              <w:jc w:val="both"/>
              <w:rPr>
                <w:sz w:val="20"/>
                <w:lang w:val="fr-CA"/>
              </w:rPr>
            </w:pPr>
          </w:p>
        </w:tc>
      </w:tr>
    </w:tbl>
    <w:p w:rsidR="005A6497" w:rsidRPr="00435769" w:rsidRDefault="005A6497" w:rsidP="007932B2">
      <w:pPr>
        <w:jc w:val="both"/>
        <w:rPr>
          <w:sz w:val="20"/>
          <w:lang w:val="fr-CA"/>
        </w:rPr>
      </w:pPr>
    </w:p>
    <w:p w:rsidR="008E7E00" w:rsidRPr="00435769" w:rsidRDefault="008E7E00" w:rsidP="007932B2">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lang w:val="en-CA"/>
              </w:rPr>
            </w:pPr>
            <w:r w:rsidRPr="00435769">
              <w:rPr>
                <w:rStyle w:val="SCCFileNumberChar"/>
                <w:sz w:val="20"/>
                <w:szCs w:val="20"/>
              </w:rPr>
              <w:t>37139</w:t>
            </w:r>
          </w:p>
        </w:tc>
        <w:tc>
          <w:tcPr>
            <w:tcW w:w="4457" w:type="pct"/>
            <w:gridSpan w:val="3"/>
          </w:tcPr>
          <w:p w:rsidR="005A6497" w:rsidRPr="00435769" w:rsidRDefault="005A6497" w:rsidP="007932B2">
            <w:pPr>
              <w:pStyle w:val="SCCLsocParty"/>
              <w:jc w:val="both"/>
              <w:rPr>
                <w:b/>
                <w:sz w:val="20"/>
                <w:szCs w:val="20"/>
                <w:lang w:val="en-CA"/>
              </w:rPr>
            </w:pPr>
            <w:r w:rsidRPr="00435769">
              <w:rPr>
                <w:b/>
                <w:sz w:val="20"/>
                <w:szCs w:val="20"/>
                <w:lang w:val="en-CA"/>
              </w:rPr>
              <w:t>Edens Kénol v. Her Majesty the Queen</w:t>
            </w:r>
          </w:p>
          <w:p w:rsidR="005A6497" w:rsidRPr="00435769" w:rsidRDefault="005A6497" w:rsidP="007932B2">
            <w:pPr>
              <w:jc w:val="both"/>
              <w:rPr>
                <w:sz w:val="20"/>
                <w:lang w:val="en-CA"/>
              </w:rPr>
            </w:pPr>
            <w:r w:rsidRPr="00435769">
              <w:rPr>
                <w:sz w:val="20"/>
                <w:lang w:val="en-CA"/>
              </w:rPr>
              <w:t>(Que.) (Criminal) (By Leave)</w:t>
            </w:r>
          </w:p>
        </w:tc>
      </w:tr>
      <w:tr w:rsidR="005A6497" w:rsidRPr="00435769" w:rsidTr="005A6497">
        <w:tc>
          <w:tcPr>
            <w:tcW w:w="5000" w:type="pct"/>
            <w:gridSpan w:val="4"/>
          </w:tcPr>
          <w:p w:rsidR="005A6497" w:rsidRPr="00435769" w:rsidRDefault="005A6497" w:rsidP="007932B2">
            <w:pPr>
              <w:jc w:val="both"/>
              <w:rPr>
                <w:sz w:val="20"/>
                <w:lang w:val="en-CA" w:eastAsia="en-CA"/>
              </w:rPr>
            </w:pPr>
            <w:r w:rsidRPr="00435769">
              <w:rPr>
                <w:sz w:val="20"/>
                <w:lang w:val="en-CA" w:eastAsia="en-CA"/>
              </w:rPr>
              <w:t>Criminal law – Procedure – Jury – Document found in jury room – Whether jury usurped function of trier of law by consulting legal document dealing with legal issues applicable to case – In alternative, where trier of fact usurps function of trier of law, whether this irregularity in itself affects integrity of justice system and fairness of trial, without prejudice having to be proved – Whether jury’s conduct in this case affected fairness of trial, undermined public confidence in administration of justice and opened door to potential miscarriage of justice.</w:t>
            </w:r>
          </w:p>
        </w:tc>
      </w:tr>
      <w:tr w:rsidR="005A6497" w:rsidRPr="00435769" w:rsidTr="005A6497">
        <w:tc>
          <w:tcPr>
            <w:tcW w:w="5000" w:type="pct"/>
            <w:gridSpan w:val="4"/>
          </w:tcPr>
          <w:p w:rsidR="005A6497" w:rsidRPr="00435769" w:rsidRDefault="005A6497" w:rsidP="007932B2">
            <w:pPr>
              <w:jc w:val="both"/>
              <w:rPr>
                <w:sz w:val="20"/>
                <w:lang w:val="en-CA" w:eastAsia="en-CA"/>
              </w:rPr>
            </w:pPr>
          </w:p>
        </w:tc>
      </w:tr>
      <w:tr w:rsidR="005A6497" w:rsidRPr="00435769" w:rsidTr="005A6497">
        <w:tc>
          <w:tcPr>
            <w:tcW w:w="5000" w:type="pct"/>
            <w:gridSpan w:val="4"/>
          </w:tcPr>
          <w:p w:rsidR="009C2F30" w:rsidRPr="00435769" w:rsidRDefault="005A6497" w:rsidP="009C2F30">
            <w:pPr>
              <w:jc w:val="both"/>
              <w:rPr>
                <w:sz w:val="20"/>
                <w:lang w:val="en-CA"/>
              </w:rPr>
            </w:pPr>
            <w:r w:rsidRPr="00435769">
              <w:rPr>
                <w:sz w:val="20"/>
                <w:lang w:val="en-CA" w:eastAsia="en-CA"/>
              </w:rPr>
              <w:t>After the jury returned a verdict of guilty of first degree murder and the applicant was sentenced, a document was found in the jury room. The document was a handbook for police and Crown prosecutors on criminal harassment prepared by the Department of Justice, in which there were some highlighted passages and some handwritten notes. The trial judge was informed of this and called the parties’ counsel, in the applicant’s presence, to a hearing. The trial judge gave counsel a copy of the document. The handwritten notes were redacted. He swore in and examined the constable who had found the document and her supervisor. He allowed counsel to ask the witnesses their own questions. The constable thought she could identify the juror who had brought the document into the jury room, but she did not mention the juror’s name, and neither the judge nor counsel tried to obtain it. The trial judge ordered that the original document, including the handwritten notes, be placed in the file in a sealed envelope. No special request was made to the judge for more information, and the hearing ended.</w:t>
            </w:r>
          </w:p>
        </w:tc>
      </w:tr>
      <w:tr w:rsidR="005A6497" w:rsidRPr="00435769" w:rsidTr="005A6497">
        <w:tc>
          <w:tcPr>
            <w:tcW w:w="5000" w:type="pct"/>
            <w:gridSpan w:val="4"/>
          </w:tcPr>
          <w:p w:rsidR="005A6497" w:rsidRPr="00435769" w:rsidRDefault="005A6497" w:rsidP="007932B2">
            <w:pPr>
              <w:jc w:val="both"/>
              <w:rPr>
                <w:sz w:val="20"/>
                <w:lang w:val="en-CA"/>
              </w:rPr>
            </w:pPr>
          </w:p>
        </w:tc>
      </w:tr>
      <w:tr w:rsidR="005A6497" w:rsidRPr="00435769" w:rsidTr="005A6497">
        <w:tc>
          <w:tcPr>
            <w:tcW w:w="2427" w:type="pct"/>
            <w:gridSpan w:val="2"/>
          </w:tcPr>
          <w:p w:rsidR="005A6497" w:rsidRPr="00435769" w:rsidRDefault="005A6497" w:rsidP="007932B2">
            <w:pPr>
              <w:jc w:val="both"/>
              <w:rPr>
                <w:sz w:val="20"/>
                <w:lang w:val="en-CA"/>
              </w:rPr>
            </w:pPr>
            <w:r w:rsidRPr="00435769">
              <w:rPr>
                <w:sz w:val="20"/>
                <w:lang w:val="en-CA"/>
              </w:rPr>
              <w:t>May 16, 2013</w:t>
            </w:r>
          </w:p>
          <w:p w:rsidR="005A6497" w:rsidRPr="00435769" w:rsidRDefault="005A6497" w:rsidP="007932B2">
            <w:pPr>
              <w:jc w:val="both"/>
              <w:rPr>
                <w:sz w:val="20"/>
                <w:lang w:val="en-CA"/>
              </w:rPr>
            </w:pPr>
            <w:r w:rsidRPr="00435769">
              <w:rPr>
                <w:sz w:val="20"/>
                <w:lang w:val="en-CA"/>
              </w:rPr>
              <w:t>Quebec Superior Court</w:t>
            </w:r>
          </w:p>
          <w:p w:rsidR="005A6497" w:rsidRPr="00435769" w:rsidRDefault="005A6497" w:rsidP="007932B2">
            <w:pPr>
              <w:jc w:val="both"/>
              <w:rPr>
                <w:sz w:val="20"/>
                <w:lang w:val="en-CA"/>
              </w:rPr>
            </w:pPr>
            <w:r w:rsidRPr="00435769">
              <w:rPr>
                <w:sz w:val="20"/>
                <w:lang w:val="en-CA"/>
              </w:rPr>
              <w:t>(Stober J.)</w:t>
            </w:r>
          </w:p>
          <w:p w:rsidR="005A6497" w:rsidRPr="00435769" w:rsidRDefault="005A6497" w:rsidP="007932B2">
            <w:pPr>
              <w:jc w:val="both"/>
              <w:rPr>
                <w:sz w:val="20"/>
                <w:lang w:val="en-CA"/>
              </w:rPr>
            </w:pPr>
          </w:p>
        </w:tc>
        <w:tc>
          <w:tcPr>
            <w:tcW w:w="243" w:type="pct"/>
          </w:tcPr>
          <w:p w:rsidR="005A6497" w:rsidRPr="00435769" w:rsidRDefault="005A6497" w:rsidP="007932B2">
            <w:pPr>
              <w:jc w:val="both"/>
              <w:rPr>
                <w:sz w:val="20"/>
                <w:lang w:val="en-CA"/>
              </w:rPr>
            </w:pPr>
          </w:p>
        </w:tc>
        <w:tc>
          <w:tcPr>
            <w:tcW w:w="2330" w:type="pct"/>
          </w:tcPr>
          <w:p w:rsidR="005A6497" w:rsidRPr="00435769" w:rsidRDefault="005A6497" w:rsidP="007932B2">
            <w:pPr>
              <w:jc w:val="both"/>
              <w:rPr>
                <w:sz w:val="20"/>
                <w:lang w:val="en-CA" w:eastAsia="en-CA"/>
              </w:rPr>
            </w:pPr>
            <w:r w:rsidRPr="00435769">
              <w:rPr>
                <w:sz w:val="20"/>
                <w:lang w:val="en-CA" w:eastAsia="en-CA"/>
              </w:rPr>
              <w:t>Verdict of guilty of first degree murder returned</w:t>
            </w:r>
          </w:p>
          <w:p w:rsidR="005A6497" w:rsidRPr="00435769" w:rsidRDefault="005A6497" w:rsidP="007932B2">
            <w:pPr>
              <w:jc w:val="both"/>
              <w:rPr>
                <w:sz w:val="20"/>
                <w:lang w:val="en-CA"/>
              </w:rPr>
            </w:pPr>
          </w:p>
          <w:p w:rsidR="005A6497" w:rsidRPr="00435769" w:rsidRDefault="005A6497" w:rsidP="007932B2">
            <w:pPr>
              <w:jc w:val="both"/>
              <w:rPr>
                <w:sz w:val="20"/>
                <w:lang w:val="en-CA"/>
              </w:rPr>
            </w:pPr>
          </w:p>
        </w:tc>
      </w:tr>
      <w:tr w:rsidR="005A6497" w:rsidRPr="00435769" w:rsidTr="005A6497">
        <w:tc>
          <w:tcPr>
            <w:tcW w:w="2427" w:type="pct"/>
            <w:gridSpan w:val="2"/>
          </w:tcPr>
          <w:p w:rsidR="005A6497" w:rsidRPr="00435769" w:rsidRDefault="005A6497" w:rsidP="007932B2">
            <w:pPr>
              <w:jc w:val="both"/>
              <w:rPr>
                <w:sz w:val="20"/>
                <w:lang w:val="en-CA"/>
              </w:rPr>
            </w:pPr>
            <w:r w:rsidRPr="00435769">
              <w:rPr>
                <w:sz w:val="20"/>
                <w:lang w:val="en-CA"/>
              </w:rPr>
              <w:t>March 29, 2016</w:t>
            </w:r>
          </w:p>
          <w:p w:rsidR="005A6497" w:rsidRPr="00435769" w:rsidRDefault="005A6497" w:rsidP="007932B2">
            <w:pPr>
              <w:jc w:val="both"/>
              <w:rPr>
                <w:sz w:val="20"/>
                <w:lang w:val="en-CA"/>
              </w:rPr>
            </w:pPr>
            <w:r w:rsidRPr="00435769">
              <w:rPr>
                <w:sz w:val="20"/>
                <w:lang w:val="en-CA"/>
              </w:rPr>
              <w:t>Quebec Court of Appeal (Montréal)</w:t>
            </w:r>
          </w:p>
          <w:p w:rsidR="005A6497" w:rsidRPr="00435769" w:rsidRDefault="005A6497" w:rsidP="007932B2">
            <w:pPr>
              <w:jc w:val="both"/>
              <w:rPr>
                <w:sz w:val="20"/>
                <w:lang w:val="en-CA"/>
              </w:rPr>
            </w:pPr>
            <w:r w:rsidRPr="00435769">
              <w:rPr>
                <w:sz w:val="20"/>
                <w:lang w:val="en-CA"/>
              </w:rPr>
              <w:t>(Hilton, Kasirer and Gagnon JJ.A.)</w:t>
            </w:r>
          </w:p>
          <w:p w:rsidR="005A6497" w:rsidRPr="00435769" w:rsidRDefault="00435769" w:rsidP="007932B2">
            <w:pPr>
              <w:jc w:val="both"/>
              <w:rPr>
                <w:sz w:val="20"/>
                <w:lang w:val="en-CA" w:eastAsia="en-CA"/>
              </w:rPr>
            </w:pPr>
            <w:hyperlink r:id="rId85" w:history="1">
              <w:r w:rsidR="005A6497" w:rsidRPr="00435769">
                <w:rPr>
                  <w:color w:val="0000FF" w:themeColor="hyperlink"/>
                  <w:sz w:val="20"/>
                  <w:u w:val="single"/>
                  <w:lang w:val="en-CA" w:eastAsia="en-CA"/>
                </w:rPr>
                <w:t>2016 QCCA 509</w:t>
              </w:r>
            </w:hyperlink>
          </w:p>
          <w:p w:rsidR="005A6497" w:rsidRPr="00435769" w:rsidRDefault="005A6497" w:rsidP="007932B2">
            <w:pPr>
              <w:jc w:val="both"/>
              <w:rPr>
                <w:sz w:val="20"/>
                <w:lang w:val="en-CA"/>
              </w:rPr>
            </w:pPr>
          </w:p>
        </w:tc>
        <w:tc>
          <w:tcPr>
            <w:tcW w:w="243" w:type="pct"/>
          </w:tcPr>
          <w:p w:rsidR="005A6497" w:rsidRPr="00435769" w:rsidRDefault="005A6497" w:rsidP="007932B2">
            <w:pPr>
              <w:jc w:val="both"/>
              <w:rPr>
                <w:sz w:val="20"/>
                <w:lang w:val="en-CA"/>
              </w:rPr>
            </w:pPr>
          </w:p>
        </w:tc>
        <w:tc>
          <w:tcPr>
            <w:tcW w:w="2330" w:type="pct"/>
          </w:tcPr>
          <w:p w:rsidR="005A6497" w:rsidRPr="00435769" w:rsidRDefault="005A6497" w:rsidP="007932B2">
            <w:pPr>
              <w:jc w:val="both"/>
              <w:rPr>
                <w:sz w:val="20"/>
                <w:lang w:val="en-CA"/>
              </w:rPr>
            </w:pPr>
            <w:r w:rsidRPr="00435769">
              <w:rPr>
                <w:sz w:val="20"/>
                <w:lang w:val="en-CA"/>
              </w:rPr>
              <w:t>Appeal dismissed</w:t>
            </w:r>
          </w:p>
          <w:p w:rsidR="005A6497" w:rsidRPr="00435769" w:rsidRDefault="005A6497" w:rsidP="007932B2">
            <w:pPr>
              <w:jc w:val="both"/>
              <w:rPr>
                <w:sz w:val="20"/>
                <w:lang w:val="en-CA"/>
              </w:rPr>
            </w:pPr>
          </w:p>
        </w:tc>
      </w:tr>
      <w:tr w:rsidR="005A6497" w:rsidRPr="00435769" w:rsidTr="005A6497">
        <w:tc>
          <w:tcPr>
            <w:tcW w:w="2427" w:type="pct"/>
            <w:gridSpan w:val="2"/>
          </w:tcPr>
          <w:p w:rsidR="005A6497" w:rsidRPr="00435769" w:rsidRDefault="005A6497" w:rsidP="007932B2">
            <w:pPr>
              <w:jc w:val="both"/>
              <w:rPr>
                <w:sz w:val="20"/>
                <w:lang w:val="en-CA"/>
              </w:rPr>
            </w:pPr>
            <w:r w:rsidRPr="00435769">
              <w:rPr>
                <w:sz w:val="20"/>
                <w:lang w:val="en-CA"/>
              </w:rPr>
              <w:t>August 16, 2016</w:t>
            </w:r>
          </w:p>
          <w:p w:rsidR="005A6497" w:rsidRPr="00435769" w:rsidRDefault="005A6497" w:rsidP="007932B2">
            <w:pPr>
              <w:jc w:val="both"/>
              <w:rPr>
                <w:sz w:val="20"/>
                <w:lang w:val="en-CA"/>
              </w:rPr>
            </w:pPr>
            <w:r w:rsidRPr="00435769">
              <w:rPr>
                <w:sz w:val="20"/>
                <w:lang w:val="en-CA"/>
              </w:rPr>
              <w:t>Supreme Court of Canada</w:t>
            </w:r>
          </w:p>
          <w:p w:rsidR="005A6497" w:rsidRPr="00435769" w:rsidRDefault="005A6497" w:rsidP="007932B2">
            <w:pPr>
              <w:jc w:val="both"/>
              <w:rPr>
                <w:sz w:val="20"/>
                <w:lang w:val="en-CA"/>
              </w:rPr>
            </w:pPr>
          </w:p>
        </w:tc>
        <w:tc>
          <w:tcPr>
            <w:tcW w:w="243" w:type="pct"/>
          </w:tcPr>
          <w:p w:rsidR="005A6497" w:rsidRPr="00435769" w:rsidRDefault="005A6497" w:rsidP="007932B2">
            <w:pPr>
              <w:jc w:val="both"/>
              <w:rPr>
                <w:sz w:val="20"/>
                <w:lang w:val="en-CA"/>
              </w:rPr>
            </w:pPr>
          </w:p>
        </w:tc>
        <w:tc>
          <w:tcPr>
            <w:tcW w:w="2330" w:type="pct"/>
          </w:tcPr>
          <w:p w:rsidR="005A6497" w:rsidRPr="00435769" w:rsidRDefault="005A6497" w:rsidP="007932B2">
            <w:pPr>
              <w:jc w:val="both"/>
              <w:rPr>
                <w:sz w:val="20"/>
                <w:lang w:val="en-CA"/>
              </w:rPr>
            </w:pPr>
            <w:r w:rsidRPr="00435769">
              <w:rPr>
                <w:sz w:val="20"/>
                <w:lang w:val="en-CA"/>
              </w:rPr>
              <w:t>Application to extend time to serve and file application for leave to appeal and application for leave to appeal filed</w:t>
            </w:r>
          </w:p>
        </w:tc>
      </w:tr>
    </w:tbl>
    <w:p w:rsidR="005A6497" w:rsidRPr="00435769" w:rsidRDefault="005A6497" w:rsidP="007932B2">
      <w:pPr>
        <w:jc w:val="both"/>
        <w:rPr>
          <w:sz w:val="20"/>
          <w:lang w:val="en-CA"/>
        </w:rPr>
      </w:pPr>
    </w:p>
    <w:p w:rsidR="009C2F30" w:rsidRPr="00435769" w:rsidRDefault="009C2F30" w:rsidP="007932B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rPr>
            </w:pPr>
            <w:r w:rsidRPr="00435769">
              <w:rPr>
                <w:rStyle w:val="SCCFileNumberChar"/>
                <w:sz w:val="20"/>
                <w:szCs w:val="20"/>
              </w:rPr>
              <w:t>37139</w:t>
            </w:r>
          </w:p>
        </w:tc>
        <w:tc>
          <w:tcPr>
            <w:tcW w:w="4457" w:type="pct"/>
            <w:gridSpan w:val="3"/>
          </w:tcPr>
          <w:p w:rsidR="005A6497" w:rsidRPr="00435769" w:rsidRDefault="005A6497" w:rsidP="007932B2">
            <w:pPr>
              <w:pStyle w:val="SCCLsocParty"/>
              <w:jc w:val="both"/>
              <w:rPr>
                <w:b/>
                <w:sz w:val="20"/>
                <w:szCs w:val="20"/>
              </w:rPr>
            </w:pPr>
            <w:r w:rsidRPr="00435769">
              <w:rPr>
                <w:b/>
                <w:sz w:val="20"/>
                <w:szCs w:val="20"/>
              </w:rPr>
              <w:t>Edens Kénol c. Sa Majesté la Reine</w:t>
            </w:r>
          </w:p>
          <w:p w:rsidR="005A6497" w:rsidRPr="00435769" w:rsidRDefault="005A6497" w:rsidP="007932B2">
            <w:pPr>
              <w:jc w:val="both"/>
              <w:rPr>
                <w:sz w:val="20"/>
              </w:rPr>
            </w:pPr>
            <w:r w:rsidRPr="00435769">
              <w:rPr>
                <w:sz w:val="20"/>
              </w:rPr>
              <w:t>(Qc) (Criminelle) (Autorisation)</w:t>
            </w:r>
          </w:p>
        </w:tc>
      </w:tr>
      <w:tr w:rsidR="005A6497" w:rsidRPr="00435769" w:rsidTr="005A6497">
        <w:tc>
          <w:tcPr>
            <w:tcW w:w="5000" w:type="pct"/>
            <w:gridSpan w:val="4"/>
          </w:tcPr>
          <w:p w:rsidR="005A6497" w:rsidRPr="00435769" w:rsidRDefault="005A6497" w:rsidP="007932B2">
            <w:pPr>
              <w:jc w:val="both"/>
              <w:rPr>
                <w:sz w:val="20"/>
                <w:lang w:val="fr-CA" w:eastAsia="en-CA"/>
              </w:rPr>
            </w:pPr>
            <w:r w:rsidRPr="00435769">
              <w:rPr>
                <w:sz w:val="20"/>
                <w:lang w:val="fr-CA" w:eastAsia="en-CA"/>
              </w:rPr>
              <w:t>Droit criminel – Procédure – Jury – Document retrouvé dans la salle de délibération du jury – Le jury, en consultant un document juridique, traitant des questions juridiques litigieuses applicables à la cause, a-t-il usurpé la fonction du juge du droit? – Subsidiairement, lorsque le juge des faits usurpe la fonction du juge du droit, cette irrégularité affecte-t-elle en soi, l’intégrité du système de justice et l’équité du procès sans qu’il soit nécessaire de prouver un préjudice? – En l’espèce, la conduite du jury porte-t-elle atteinte à l’équité du procès, à la confiance du public dans l’administration de la justice et ouvre-t-elle la porte à une possible erreur judiciaire?</w:t>
            </w:r>
          </w:p>
        </w:tc>
      </w:tr>
      <w:tr w:rsidR="005A6497" w:rsidRPr="00435769" w:rsidTr="005A6497">
        <w:tc>
          <w:tcPr>
            <w:tcW w:w="5000" w:type="pct"/>
            <w:gridSpan w:val="4"/>
          </w:tcPr>
          <w:p w:rsidR="005A6497" w:rsidRPr="00435769" w:rsidRDefault="005A6497" w:rsidP="007932B2">
            <w:pPr>
              <w:jc w:val="both"/>
              <w:rPr>
                <w:sz w:val="20"/>
                <w:lang w:val="fr-CA" w:eastAsia="en-CA"/>
              </w:rPr>
            </w:pPr>
          </w:p>
        </w:tc>
      </w:tr>
      <w:tr w:rsidR="005A6497" w:rsidRPr="00435769" w:rsidTr="005A6497">
        <w:tc>
          <w:tcPr>
            <w:tcW w:w="5000" w:type="pct"/>
            <w:gridSpan w:val="4"/>
          </w:tcPr>
          <w:p w:rsidR="005A6497" w:rsidRPr="00435769" w:rsidRDefault="005A6497" w:rsidP="007932B2">
            <w:pPr>
              <w:jc w:val="both"/>
              <w:rPr>
                <w:sz w:val="20"/>
                <w:lang w:val="fr-CA"/>
              </w:rPr>
            </w:pPr>
            <w:r w:rsidRPr="00435769">
              <w:rPr>
                <w:sz w:val="20"/>
                <w:lang w:val="fr-CA" w:eastAsia="en-CA"/>
              </w:rPr>
              <w:t>Après le prononcé du verdict de culpabilité pour meurtre au premier degré et l’imposition de la peine, il s’avère qu’un document est trouvé dans la salle de délibération du jury, soit un guide à l’intention des policiers et des procureurs de la Couronne préparé par le ministère de la Justice portant sur le harcèlement criminel, dans lequel des extraits sont surlignés et des notes manuscrites sont apposées.</w:t>
            </w:r>
            <w:r w:rsidRPr="00435769">
              <w:rPr>
                <w:color w:val="000000"/>
                <w:sz w:val="20"/>
                <w:lang w:val="fr-CA" w:eastAsia="fr-CA"/>
              </w:rPr>
              <w:t xml:space="preserve"> Le juge du procès est avisé de ce fait, et convoque les avocats des parties, en présence du demandeur, à une audition. Le juge du procès remet une copie du document aux avocats. Les notes manuscrites sont caviardées. Il fait assermenter et interroge la constable qui a trouvé le document et sa superviseure. Il permet aux avocats de poser leurs propres questions aux témoins. La constable estime être en mesure d’identifier le membre du jury qui aurait apporté le document dans la salle des jurés, mais elle ne mentionne pas son nom, et ni le juge ni les avocats ne cherchent non plus à l’obtenir. Le juge du procès ordonne que l’original du document, incluant les notes manuscrites, soit déposé au dossier dans une enveloppe scellée. Aucune demande spéciale ne lui est formulée pour obtenir plus amples informations, et l’audition se termine ainsi.</w:t>
            </w:r>
          </w:p>
        </w:tc>
      </w:tr>
      <w:tr w:rsidR="005A6497" w:rsidRPr="00435769" w:rsidTr="005A6497">
        <w:tc>
          <w:tcPr>
            <w:tcW w:w="5000" w:type="pct"/>
            <w:gridSpan w:val="4"/>
          </w:tcPr>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Le 16 mai 2013</w:t>
            </w:r>
          </w:p>
          <w:p w:rsidR="005A6497" w:rsidRPr="00435769" w:rsidRDefault="005A6497" w:rsidP="007932B2">
            <w:pPr>
              <w:jc w:val="both"/>
              <w:rPr>
                <w:sz w:val="20"/>
                <w:lang w:val="fr-CA"/>
              </w:rPr>
            </w:pPr>
            <w:r w:rsidRPr="00435769">
              <w:rPr>
                <w:sz w:val="20"/>
                <w:lang w:val="fr-CA"/>
              </w:rPr>
              <w:t>Cour supérieure du Québec</w:t>
            </w:r>
          </w:p>
          <w:p w:rsidR="005A6497" w:rsidRPr="00435769" w:rsidRDefault="005A6497" w:rsidP="007932B2">
            <w:pPr>
              <w:jc w:val="both"/>
              <w:rPr>
                <w:sz w:val="20"/>
              </w:rPr>
            </w:pPr>
            <w:r w:rsidRPr="00435769">
              <w:rPr>
                <w:sz w:val="20"/>
              </w:rPr>
              <w:t>(Le juge Stober)</w:t>
            </w:r>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lang w:val="fr-CA" w:eastAsia="en-CA"/>
              </w:rPr>
            </w:pPr>
            <w:r w:rsidRPr="00435769">
              <w:rPr>
                <w:sz w:val="20"/>
                <w:lang w:val="fr-CA" w:eastAsia="en-CA"/>
              </w:rPr>
              <w:t>Verdict de culpabilité : meurtre au premier degré</w:t>
            </w:r>
          </w:p>
          <w:p w:rsidR="005A6497" w:rsidRPr="00435769" w:rsidRDefault="005A6497" w:rsidP="007932B2">
            <w:pPr>
              <w:jc w:val="both"/>
              <w:rPr>
                <w:sz w:val="20"/>
                <w:lang w:val="fr-CA"/>
              </w:rPr>
            </w:pP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lastRenderedPageBreak/>
              <w:t>Le 29 mars 2016</w:t>
            </w:r>
          </w:p>
          <w:p w:rsidR="005A6497" w:rsidRPr="00435769" w:rsidRDefault="005A6497" w:rsidP="007932B2">
            <w:pPr>
              <w:jc w:val="both"/>
              <w:rPr>
                <w:sz w:val="20"/>
                <w:lang w:val="fr-CA"/>
              </w:rPr>
            </w:pPr>
            <w:r w:rsidRPr="00435769">
              <w:rPr>
                <w:sz w:val="20"/>
                <w:lang w:val="fr-CA"/>
              </w:rPr>
              <w:t>Cour d’appel du Québec (Montréal)</w:t>
            </w:r>
          </w:p>
          <w:p w:rsidR="005A6497" w:rsidRPr="00435769" w:rsidRDefault="005A6497" w:rsidP="007932B2">
            <w:pPr>
              <w:jc w:val="both"/>
              <w:rPr>
                <w:sz w:val="20"/>
                <w:lang w:val="fr-CA"/>
              </w:rPr>
            </w:pPr>
            <w:r w:rsidRPr="00435769">
              <w:rPr>
                <w:sz w:val="20"/>
                <w:lang w:val="fr-CA"/>
              </w:rPr>
              <w:t>(Les juges Hilton, Kasirer et Gagnon)</w:t>
            </w:r>
          </w:p>
          <w:p w:rsidR="005A6497" w:rsidRPr="00435769" w:rsidRDefault="00435769" w:rsidP="007932B2">
            <w:pPr>
              <w:jc w:val="both"/>
              <w:rPr>
                <w:sz w:val="20"/>
                <w:lang w:eastAsia="en-CA"/>
              </w:rPr>
            </w:pPr>
            <w:hyperlink r:id="rId86" w:history="1">
              <w:r w:rsidR="005A6497" w:rsidRPr="00435769">
                <w:rPr>
                  <w:color w:val="0000FF" w:themeColor="hyperlink"/>
                  <w:sz w:val="20"/>
                  <w:u w:val="single"/>
                  <w:lang w:eastAsia="en-CA"/>
                </w:rPr>
                <w:t>2016 QCCA 509</w:t>
              </w:r>
            </w:hyperlink>
          </w:p>
          <w:p w:rsidR="005A6497" w:rsidRPr="00435769" w:rsidRDefault="005A6497" w:rsidP="007932B2">
            <w:pPr>
              <w:jc w:val="both"/>
              <w:rPr>
                <w:sz w:val="20"/>
                <w:lang w:val="fr-FR"/>
              </w:rPr>
            </w:pPr>
          </w:p>
        </w:tc>
        <w:tc>
          <w:tcPr>
            <w:tcW w:w="243" w:type="pct"/>
          </w:tcPr>
          <w:p w:rsidR="005A6497" w:rsidRPr="00435769" w:rsidRDefault="005A6497" w:rsidP="007932B2">
            <w:pPr>
              <w:jc w:val="both"/>
              <w:rPr>
                <w:sz w:val="20"/>
                <w:lang w:val="fr-FR"/>
              </w:rPr>
            </w:pPr>
          </w:p>
        </w:tc>
        <w:tc>
          <w:tcPr>
            <w:tcW w:w="2330" w:type="pct"/>
          </w:tcPr>
          <w:p w:rsidR="005A6497" w:rsidRPr="00435769" w:rsidRDefault="005A6497" w:rsidP="007932B2">
            <w:pPr>
              <w:jc w:val="both"/>
              <w:rPr>
                <w:sz w:val="20"/>
              </w:rPr>
            </w:pPr>
            <w:r w:rsidRPr="00435769">
              <w:rPr>
                <w:sz w:val="20"/>
              </w:rPr>
              <w:t>Appel rejeté</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Le 16 août 2016</w:t>
            </w:r>
          </w:p>
          <w:p w:rsidR="005A6497" w:rsidRPr="00435769" w:rsidRDefault="009C2F30" w:rsidP="009C2F30">
            <w:pPr>
              <w:jc w:val="both"/>
              <w:rPr>
                <w:sz w:val="20"/>
                <w:lang w:val="fr-FR"/>
              </w:rPr>
            </w:pPr>
            <w:r w:rsidRPr="00435769">
              <w:rPr>
                <w:sz w:val="20"/>
                <w:lang w:val="fr-CA"/>
              </w:rPr>
              <w:t>Cour suprême du Canada</w:t>
            </w:r>
          </w:p>
        </w:tc>
        <w:tc>
          <w:tcPr>
            <w:tcW w:w="243" w:type="pct"/>
          </w:tcPr>
          <w:p w:rsidR="005A6497" w:rsidRPr="00435769" w:rsidRDefault="005A6497" w:rsidP="007932B2">
            <w:pPr>
              <w:jc w:val="both"/>
              <w:rPr>
                <w:sz w:val="20"/>
                <w:lang w:val="fr-FR"/>
              </w:rPr>
            </w:pPr>
          </w:p>
        </w:tc>
        <w:tc>
          <w:tcPr>
            <w:tcW w:w="2330" w:type="pct"/>
          </w:tcPr>
          <w:p w:rsidR="005A6497" w:rsidRPr="00435769" w:rsidRDefault="005A6497" w:rsidP="007932B2">
            <w:pPr>
              <w:jc w:val="both"/>
              <w:rPr>
                <w:sz w:val="20"/>
                <w:lang w:val="fr-CA"/>
              </w:rPr>
            </w:pPr>
            <w:r w:rsidRPr="00435769">
              <w:rPr>
                <w:sz w:val="20"/>
                <w:lang w:val="fr-CA"/>
              </w:rPr>
              <w:t>Demande de prorogation de délai pour signifier et déposer demande d’autorisation d’appel et demande d’autorisation d’appel déposées</w:t>
            </w:r>
          </w:p>
        </w:tc>
      </w:tr>
    </w:tbl>
    <w:p w:rsidR="005A6497" w:rsidRPr="00435769" w:rsidRDefault="005A6497" w:rsidP="007932B2">
      <w:pPr>
        <w:jc w:val="both"/>
        <w:rPr>
          <w:sz w:val="20"/>
          <w:lang w:val="fr-CA"/>
        </w:rPr>
      </w:pPr>
    </w:p>
    <w:p w:rsidR="008E7E00" w:rsidRPr="00435769" w:rsidRDefault="008E7E00" w:rsidP="007932B2">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rPr>
            </w:pPr>
            <w:r w:rsidRPr="00435769">
              <w:rPr>
                <w:rStyle w:val="SCCFileNumberChar"/>
                <w:sz w:val="20"/>
                <w:szCs w:val="20"/>
              </w:rPr>
              <w:t>37137</w:t>
            </w:r>
          </w:p>
        </w:tc>
        <w:tc>
          <w:tcPr>
            <w:tcW w:w="4457" w:type="pct"/>
            <w:gridSpan w:val="3"/>
          </w:tcPr>
          <w:p w:rsidR="005A6497" w:rsidRPr="00435769" w:rsidRDefault="005A6497" w:rsidP="007932B2">
            <w:pPr>
              <w:pStyle w:val="SCCLsocParty"/>
              <w:jc w:val="both"/>
              <w:rPr>
                <w:b/>
                <w:sz w:val="20"/>
                <w:szCs w:val="20"/>
                <w:lang w:val="en-US"/>
              </w:rPr>
            </w:pPr>
            <w:r w:rsidRPr="00435769">
              <w:rPr>
                <w:b/>
                <w:sz w:val="20"/>
                <w:szCs w:val="20"/>
                <w:lang w:val="en-US"/>
              </w:rPr>
              <w:t>Ismail Alex Murwanashyaka v. Her Majesty the Queen</w:t>
            </w:r>
          </w:p>
          <w:p w:rsidR="005A6497" w:rsidRPr="00435769" w:rsidRDefault="005A6497" w:rsidP="007932B2">
            <w:pPr>
              <w:jc w:val="both"/>
              <w:rPr>
                <w:sz w:val="20"/>
              </w:rPr>
            </w:pPr>
            <w:r w:rsidRPr="00435769">
              <w:rPr>
                <w:sz w:val="20"/>
              </w:rPr>
              <w:t>(N.B.) (Criminal) (By Leave)</w:t>
            </w:r>
          </w:p>
        </w:tc>
      </w:tr>
      <w:tr w:rsidR="005A6497" w:rsidRPr="00435769" w:rsidTr="005A6497">
        <w:tc>
          <w:tcPr>
            <w:tcW w:w="5000" w:type="pct"/>
            <w:gridSpan w:val="4"/>
          </w:tcPr>
          <w:p w:rsidR="005A6497" w:rsidRPr="00435769" w:rsidRDefault="005A6497" w:rsidP="007932B2">
            <w:pPr>
              <w:jc w:val="both"/>
              <w:rPr>
                <w:sz w:val="20"/>
              </w:rPr>
            </w:pPr>
            <w:r w:rsidRPr="00435769">
              <w:rPr>
                <w:sz w:val="20"/>
              </w:rPr>
              <w:t>Criminal law – Sentence – Assaulting a peace officer – Applicant sentenced to 21 months’ incarceration for assaulting two peace officers – The Court of Appeal denied leave to appeal – Whether the sentencing judge erred in accepting evidence from the complainants that the liquid thrown was toilet water mixed with urine, and not water from the sink, and in failing to require the production of evidence in that respect – Whether the sentencing judge erred in accepting evidence that the officers followed the proper decontamination procedures for an incident involving urine – Whether the sentencing judge erred in dismissing evidence from the applicant regarding how he would be viewed by other inmates as a result of the assault – Whether the sentencing judge erred by requiring evidence to resolve the factual dispute as to the aggravating factors of the sentence – Whether the sentencing judge erred in failing to properly, equally and completely apply the doctrine of reasonable doubt when assessing the complainants’ and the applicant’s testimony during the pre-sentencing and sentencing hearings.</w:t>
            </w:r>
          </w:p>
        </w:tc>
      </w:tr>
      <w:tr w:rsidR="005A6497" w:rsidRPr="00435769" w:rsidTr="005A6497">
        <w:tc>
          <w:tcPr>
            <w:tcW w:w="5000" w:type="pct"/>
            <w:gridSpan w:val="4"/>
          </w:tcPr>
          <w:p w:rsidR="005A6497" w:rsidRPr="00435769" w:rsidRDefault="005A6497" w:rsidP="007932B2">
            <w:pPr>
              <w:jc w:val="both"/>
              <w:rPr>
                <w:sz w:val="20"/>
              </w:rPr>
            </w:pPr>
          </w:p>
        </w:tc>
      </w:tr>
      <w:tr w:rsidR="005A6497" w:rsidRPr="00435769" w:rsidTr="005A6497">
        <w:tc>
          <w:tcPr>
            <w:tcW w:w="5000" w:type="pct"/>
            <w:gridSpan w:val="4"/>
          </w:tcPr>
          <w:p w:rsidR="005A6497" w:rsidRPr="00435769" w:rsidRDefault="005A6497" w:rsidP="007932B2">
            <w:pPr>
              <w:jc w:val="both"/>
              <w:rPr>
                <w:sz w:val="20"/>
              </w:rPr>
            </w:pPr>
            <w:r w:rsidRPr="00435769">
              <w:rPr>
                <w:sz w:val="20"/>
              </w:rPr>
              <w:t>Mr. Murwanashyaka, applicant, pleaded guilty to two counts of assaulting a peace officer. He was sentenced to 21 months’ incarceration. The sentencing judge accepted that while he was incarcerated, Mr. Murwanashyaka threw his urine at two correctional officers. Mr. Murwanashyaka’s application for leave to appeal his sentence was dismissed.</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September 18, 2015</w:t>
            </w:r>
          </w:p>
          <w:p w:rsidR="005A6497" w:rsidRPr="00435769" w:rsidRDefault="005A6497" w:rsidP="007932B2">
            <w:pPr>
              <w:jc w:val="both"/>
              <w:rPr>
                <w:sz w:val="20"/>
              </w:rPr>
            </w:pPr>
            <w:r w:rsidRPr="00435769">
              <w:rPr>
                <w:sz w:val="20"/>
              </w:rPr>
              <w:t>Provincial Court of New Brunswick</w:t>
            </w:r>
          </w:p>
          <w:p w:rsidR="005A6497" w:rsidRPr="00435769" w:rsidRDefault="005A6497" w:rsidP="007932B2">
            <w:pPr>
              <w:jc w:val="both"/>
              <w:rPr>
                <w:sz w:val="20"/>
              </w:rPr>
            </w:pPr>
            <w:r w:rsidRPr="00435769">
              <w:rPr>
                <w:sz w:val="20"/>
              </w:rPr>
              <w:t>(Mahoney J.)</w:t>
            </w:r>
          </w:p>
          <w:p w:rsidR="005A6497" w:rsidRPr="00435769" w:rsidRDefault="005A6497" w:rsidP="007932B2">
            <w:pPr>
              <w:jc w:val="both"/>
              <w:rPr>
                <w:sz w:val="20"/>
              </w:rPr>
            </w:pPr>
            <w:r w:rsidRPr="00435769">
              <w:rPr>
                <w:sz w:val="20"/>
              </w:rPr>
              <w:t>(Unreported)</w:t>
            </w:r>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Applicant sentenced to 21 months’ incarceration after pleading guilty to two counts of assaulting a peace officer contrary to s. 270(1)(</w:t>
            </w:r>
            <w:r w:rsidRPr="00435769">
              <w:rPr>
                <w:i/>
                <w:sz w:val="20"/>
              </w:rPr>
              <w:t>a</w:t>
            </w:r>
            <w:r w:rsidRPr="00435769">
              <w:rPr>
                <w:sz w:val="20"/>
              </w:rPr>
              <w:t xml:space="preserve">) of the </w:t>
            </w:r>
            <w:r w:rsidRPr="00435769">
              <w:rPr>
                <w:i/>
                <w:sz w:val="20"/>
              </w:rPr>
              <w:t>Criminal Code</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June 21, 2016</w:t>
            </w:r>
          </w:p>
          <w:p w:rsidR="005A6497" w:rsidRPr="00435769" w:rsidRDefault="005A6497" w:rsidP="007932B2">
            <w:pPr>
              <w:jc w:val="both"/>
              <w:rPr>
                <w:sz w:val="20"/>
              </w:rPr>
            </w:pPr>
            <w:r w:rsidRPr="00435769">
              <w:rPr>
                <w:sz w:val="20"/>
              </w:rPr>
              <w:t>Court of Appeal of New Brunswick</w:t>
            </w:r>
          </w:p>
          <w:p w:rsidR="005A6497" w:rsidRPr="00435769" w:rsidRDefault="005A6497" w:rsidP="007932B2">
            <w:pPr>
              <w:jc w:val="both"/>
              <w:rPr>
                <w:sz w:val="20"/>
              </w:rPr>
            </w:pPr>
            <w:r w:rsidRPr="00435769">
              <w:rPr>
                <w:sz w:val="20"/>
              </w:rPr>
              <w:t>(Richard, Green and Baird JJ.A.)</w:t>
            </w:r>
          </w:p>
          <w:p w:rsidR="005A6497" w:rsidRPr="00435769" w:rsidRDefault="005A6497" w:rsidP="007932B2">
            <w:pPr>
              <w:jc w:val="both"/>
              <w:rPr>
                <w:sz w:val="20"/>
              </w:rPr>
            </w:pPr>
            <w:r w:rsidRPr="00435769">
              <w:rPr>
                <w:sz w:val="20"/>
              </w:rPr>
              <w:t>2016 NBCA 30 (Unreported)</w:t>
            </w:r>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Leave to appeal denied</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August 4, 2016</w:t>
            </w:r>
          </w:p>
          <w:p w:rsidR="005A6497" w:rsidRPr="00435769" w:rsidRDefault="005A6497" w:rsidP="009C2F30">
            <w:pPr>
              <w:jc w:val="both"/>
              <w:rPr>
                <w:sz w:val="20"/>
              </w:rPr>
            </w:pPr>
            <w:r w:rsidRPr="00435769">
              <w:rPr>
                <w:sz w:val="20"/>
              </w:rPr>
              <w:t>Supreme Court of Canada</w:t>
            </w: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Application for leave to appeal filed</w:t>
            </w:r>
          </w:p>
          <w:p w:rsidR="005A6497" w:rsidRPr="00435769" w:rsidRDefault="005A6497" w:rsidP="007932B2">
            <w:pPr>
              <w:jc w:val="both"/>
              <w:rPr>
                <w:sz w:val="20"/>
              </w:rPr>
            </w:pPr>
          </w:p>
        </w:tc>
      </w:tr>
    </w:tbl>
    <w:p w:rsidR="005A6497" w:rsidRPr="00435769" w:rsidRDefault="005A6497" w:rsidP="007932B2">
      <w:pPr>
        <w:jc w:val="both"/>
        <w:rPr>
          <w:sz w:val="20"/>
        </w:rPr>
      </w:pPr>
    </w:p>
    <w:p w:rsidR="009C2F30" w:rsidRPr="00435769" w:rsidRDefault="009C2F30" w:rsidP="007932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lang w:val="fr-CA"/>
              </w:rPr>
            </w:pPr>
            <w:r w:rsidRPr="00435769">
              <w:rPr>
                <w:rStyle w:val="SCCFileNumberChar"/>
                <w:sz w:val="20"/>
                <w:szCs w:val="20"/>
                <w:lang w:val="fr-CA"/>
              </w:rPr>
              <w:t>37137</w:t>
            </w:r>
          </w:p>
        </w:tc>
        <w:tc>
          <w:tcPr>
            <w:tcW w:w="4457" w:type="pct"/>
            <w:gridSpan w:val="3"/>
          </w:tcPr>
          <w:p w:rsidR="005A6497" w:rsidRPr="00435769" w:rsidRDefault="005A6497" w:rsidP="007932B2">
            <w:pPr>
              <w:pStyle w:val="SCCLsocParty"/>
              <w:jc w:val="both"/>
              <w:rPr>
                <w:b/>
                <w:sz w:val="20"/>
                <w:szCs w:val="20"/>
              </w:rPr>
            </w:pPr>
            <w:r w:rsidRPr="00435769">
              <w:rPr>
                <w:b/>
                <w:sz w:val="20"/>
                <w:szCs w:val="20"/>
              </w:rPr>
              <w:t>Ismail Alex Murwanashyaka c. Sa Majesté la Reine</w:t>
            </w:r>
          </w:p>
          <w:p w:rsidR="005A6497" w:rsidRPr="00435769" w:rsidRDefault="005A6497" w:rsidP="007932B2">
            <w:pPr>
              <w:jc w:val="both"/>
              <w:rPr>
                <w:sz w:val="20"/>
                <w:lang w:val="fr-CA"/>
              </w:rPr>
            </w:pPr>
            <w:r w:rsidRPr="00435769">
              <w:rPr>
                <w:sz w:val="20"/>
                <w:lang w:val="fr-CA"/>
              </w:rPr>
              <w:t>(N.-B.) (Criminelle) (Sur autorisation)</w:t>
            </w:r>
          </w:p>
        </w:tc>
      </w:tr>
      <w:tr w:rsidR="005A6497" w:rsidRPr="00435769" w:rsidTr="005A6497">
        <w:tc>
          <w:tcPr>
            <w:tcW w:w="5000" w:type="pct"/>
            <w:gridSpan w:val="4"/>
          </w:tcPr>
          <w:p w:rsidR="005A6497" w:rsidRPr="00435769" w:rsidRDefault="005A6497" w:rsidP="007932B2">
            <w:pPr>
              <w:jc w:val="both"/>
              <w:rPr>
                <w:sz w:val="20"/>
                <w:lang w:val="fr-CA"/>
              </w:rPr>
            </w:pPr>
            <w:r w:rsidRPr="00435769">
              <w:rPr>
                <w:sz w:val="20"/>
                <w:lang w:val="fr-CA"/>
              </w:rPr>
              <w:t xml:space="preserve">Droit criminel – Peine – Agression d’un agent de la paix – Le demandeur a été condamné à une peine d’emprisonnement de 21 mois pour avoir agressé deux agents de la paix – La Cour d’appel a refusé l’autorisation d’appel – Le juge chargé de la détermination de la peine a-t-il eu tort d’accepter le témoignage des plaignants selon lequel le liquide projeté était de l’eau des toilettes mélangée à de l’urine et non de l’eau du lavabo et de ne pas exiger la production d’éléments de preuve cet égard? – Le juge chargé de la détermination de la peine a-t-il eu tort d’accepter des témoignages selon lesquels les agents avaient respecté la procédure de décontamination pour un incident où il y a présence d’urine? – Le juge chargé de la détermination de la peine a-t-il eu tort de rejeter le témoignage du demandeur sur la manière dont il serait considéré par les autres détenus à la suite de l’agression? – Le juge chargé de </w:t>
            </w:r>
            <w:r w:rsidRPr="00435769">
              <w:rPr>
                <w:sz w:val="20"/>
                <w:lang w:val="fr-CA"/>
              </w:rPr>
              <w:lastRenderedPageBreak/>
              <w:t>la détermination de la peine a-t-il eu tort d’exiger des éléments de preuve pour régler le différend d’ordre factuel quant aux facteurs aggravants de la peine? – Le juge chargé de la détermination de la peine a-t-il commis une erreur en omettant d’appliquer correctement, également et complètement la doctrine du doute raisonnable dans son appréciation des témoignages des plaignants et celui du demandeur au cours de l’audience présentencielle et de l’audience portant sur la peine?</w:t>
            </w:r>
          </w:p>
        </w:tc>
      </w:tr>
      <w:tr w:rsidR="005A6497" w:rsidRPr="00435769" w:rsidTr="005A6497">
        <w:tc>
          <w:tcPr>
            <w:tcW w:w="5000" w:type="pct"/>
            <w:gridSpan w:val="4"/>
          </w:tcPr>
          <w:p w:rsidR="005A6497" w:rsidRPr="00435769" w:rsidRDefault="005A6497" w:rsidP="007932B2">
            <w:pPr>
              <w:jc w:val="both"/>
              <w:rPr>
                <w:sz w:val="20"/>
                <w:lang w:val="fr-CA"/>
              </w:rPr>
            </w:pPr>
          </w:p>
        </w:tc>
      </w:tr>
      <w:tr w:rsidR="005A6497" w:rsidRPr="00435769" w:rsidTr="005A6497">
        <w:tc>
          <w:tcPr>
            <w:tcW w:w="5000" w:type="pct"/>
            <w:gridSpan w:val="4"/>
          </w:tcPr>
          <w:p w:rsidR="005A6497" w:rsidRPr="00435769" w:rsidRDefault="005A6497" w:rsidP="007932B2">
            <w:pPr>
              <w:jc w:val="both"/>
              <w:rPr>
                <w:sz w:val="20"/>
                <w:lang w:val="fr-CA"/>
              </w:rPr>
            </w:pPr>
            <w:r w:rsidRPr="00435769">
              <w:rPr>
                <w:sz w:val="20"/>
                <w:lang w:val="fr-CA"/>
              </w:rPr>
              <w:t>Le demandeur, M. Murwanashyaka, a reconnu sa culpabilité à deux chefs d’accusation d’agression d’un agent de la paix. Il a été condamné à une peine d’emprisonnement de 21 mois. Le juge chargé de la détermination de la peine a accepté la preuve selon laquelle M. Murwanashyaka, pendant qu’il était incarcéré, avait projeté son urine sur des agents correctionnels. La demande d’autorisation d’appel de la peine de M. Murwanashyaka a été rejetée.</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18 septembre 2015</w:t>
            </w:r>
          </w:p>
          <w:p w:rsidR="005A6497" w:rsidRPr="00435769" w:rsidRDefault="005A6497" w:rsidP="007932B2">
            <w:pPr>
              <w:jc w:val="both"/>
              <w:rPr>
                <w:sz w:val="20"/>
                <w:lang w:val="fr-CA"/>
              </w:rPr>
            </w:pPr>
            <w:r w:rsidRPr="00435769">
              <w:rPr>
                <w:sz w:val="20"/>
                <w:lang w:val="fr-CA"/>
              </w:rPr>
              <w:t xml:space="preserve">Cour provinciale du Nouveau-Brunswick </w:t>
            </w:r>
          </w:p>
          <w:p w:rsidR="005A6497" w:rsidRPr="00435769" w:rsidRDefault="005A6497" w:rsidP="007932B2">
            <w:pPr>
              <w:jc w:val="both"/>
              <w:rPr>
                <w:sz w:val="20"/>
                <w:lang w:val="fr-CA"/>
              </w:rPr>
            </w:pPr>
            <w:r w:rsidRPr="00435769">
              <w:rPr>
                <w:sz w:val="20"/>
                <w:lang w:val="fr-CA"/>
              </w:rPr>
              <w:t>(Juge Mahoney)</w:t>
            </w:r>
          </w:p>
          <w:p w:rsidR="005A6497" w:rsidRPr="00435769" w:rsidRDefault="005A6497" w:rsidP="007932B2">
            <w:pPr>
              <w:jc w:val="both"/>
              <w:rPr>
                <w:sz w:val="20"/>
                <w:lang w:val="fr-CA"/>
              </w:rPr>
            </w:pPr>
            <w:r w:rsidRPr="00435769">
              <w:rPr>
                <w:sz w:val="20"/>
                <w:lang w:val="fr-CA"/>
              </w:rPr>
              <w:t>(Non publié)</w:t>
            </w:r>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Imposition au demandeur d’une peine d’emprisonnement de 21 mois pour avoir reconnu sa culpabilité à deux chefs d’accusation d’agression d’un agent de la paix, une infraction prévue à l’al. 270(1)</w:t>
            </w:r>
            <w:r w:rsidRPr="00435769">
              <w:rPr>
                <w:i/>
                <w:sz w:val="20"/>
                <w:lang w:val="fr-CA"/>
              </w:rPr>
              <w:t>a</w:t>
            </w:r>
            <w:r w:rsidRPr="00435769">
              <w:rPr>
                <w:sz w:val="20"/>
                <w:lang w:val="fr-CA"/>
              </w:rPr>
              <w:t xml:space="preserve">) du </w:t>
            </w:r>
            <w:r w:rsidRPr="00435769">
              <w:rPr>
                <w:i/>
                <w:sz w:val="20"/>
                <w:lang w:val="fr-CA"/>
              </w:rPr>
              <w:t>Code criminel</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21 juin 2016</w:t>
            </w:r>
          </w:p>
          <w:p w:rsidR="005A6497" w:rsidRPr="00435769" w:rsidRDefault="005A6497" w:rsidP="007932B2">
            <w:pPr>
              <w:jc w:val="both"/>
              <w:rPr>
                <w:sz w:val="20"/>
                <w:lang w:val="fr-CA"/>
              </w:rPr>
            </w:pPr>
            <w:r w:rsidRPr="00435769">
              <w:rPr>
                <w:sz w:val="20"/>
                <w:lang w:val="fr-CA"/>
              </w:rPr>
              <w:t>Cour d’appel du Nouveau-Brunswick</w:t>
            </w:r>
          </w:p>
          <w:p w:rsidR="005A6497" w:rsidRPr="00435769" w:rsidRDefault="005A6497" w:rsidP="007932B2">
            <w:pPr>
              <w:jc w:val="both"/>
              <w:rPr>
                <w:sz w:val="20"/>
                <w:lang w:val="fr-CA"/>
              </w:rPr>
            </w:pPr>
            <w:r w:rsidRPr="00435769">
              <w:rPr>
                <w:sz w:val="20"/>
                <w:lang w:val="fr-CA"/>
              </w:rPr>
              <w:t>(Juges Richard, Green et Baird)</w:t>
            </w:r>
          </w:p>
          <w:p w:rsidR="005A6497" w:rsidRPr="00435769" w:rsidRDefault="005A6497" w:rsidP="007932B2">
            <w:pPr>
              <w:jc w:val="both"/>
              <w:rPr>
                <w:sz w:val="20"/>
                <w:lang w:val="fr-CA"/>
              </w:rPr>
            </w:pPr>
            <w:r w:rsidRPr="00435769">
              <w:rPr>
                <w:sz w:val="20"/>
                <w:lang w:val="fr-CA"/>
              </w:rPr>
              <w:t>2016 NBCA 30 (Non publié)</w:t>
            </w:r>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Refus de l’autorisation d’appel</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4 août 2016</w:t>
            </w:r>
          </w:p>
          <w:p w:rsidR="005A6497" w:rsidRPr="00435769" w:rsidRDefault="005A6497" w:rsidP="009C2F30">
            <w:pPr>
              <w:jc w:val="both"/>
              <w:rPr>
                <w:sz w:val="20"/>
                <w:lang w:val="fr-CA"/>
              </w:rPr>
            </w:pPr>
            <w:r w:rsidRPr="00435769">
              <w:rPr>
                <w:sz w:val="20"/>
                <w:lang w:val="fr-CA"/>
              </w:rPr>
              <w:t>Cour suprême du Canada</w:t>
            </w: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Dépôt de la demande d’autorisation d’appel</w:t>
            </w:r>
          </w:p>
          <w:p w:rsidR="005A6497" w:rsidRPr="00435769" w:rsidRDefault="005A6497" w:rsidP="007932B2">
            <w:pPr>
              <w:jc w:val="both"/>
              <w:rPr>
                <w:sz w:val="20"/>
                <w:lang w:val="fr-CA"/>
              </w:rPr>
            </w:pPr>
          </w:p>
        </w:tc>
      </w:tr>
    </w:tbl>
    <w:p w:rsidR="005A6497" w:rsidRPr="00435769" w:rsidRDefault="005A6497" w:rsidP="007932B2">
      <w:pPr>
        <w:jc w:val="both"/>
        <w:rPr>
          <w:sz w:val="20"/>
          <w:lang w:val="fr-CA"/>
        </w:rPr>
      </w:pPr>
    </w:p>
    <w:p w:rsidR="008E7E00" w:rsidRPr="00435769" w:rsidRDefault="008E7E00" w:rsidP="007932B2">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5A6497" w:rsidRPr="00435769" w:rsidTr="005A6497">
        <w:trPr>
          <w:gridAfter w:val="1"/>
          <w:wAfter w:w="48" w:type="pct"/>
        </w:trPr>
        <w:tc>
          <w:tcPr>
            <w:tcW w:w="538" w:type="pct"/>
          </w:tcPr>
          <w:p w:rsidR="005A6497" w:rsidRPr="00435769" w:rsidRDefault="005A6497" w:rsidP="007932B2">
            <w:pPr>
              <w:jc w:val="both"/>
              <w:rPr>
                <w:sz w:val="20"/>
              </w:rPr>
            </w:pPr>
            <w:r w:rsidRPr="00435769">
              <w:rPr>
                <w:rStyle w:val="SCCFileNumberChar"/>
                <w:sz w:val="20"/>
                <w:szCs w:val="20"/>
              </w:rPr>
              <w:t>37092</w:t>
            </w:r>
          </w:p>
        </w:tc>
        <w:tc>
          <w:tcPr>
            <w:tcW w:w="4414" w:type="pct"/>
            <w:gridSpan w:val="3"/>
          </w:tcPr>
          <w:p w:rsidR="005A6497" w:rsidRPr="00435769" w:rsidRDefault="005A6497" w:rsidP="007932B2">
            <w:pPr>
              <w:pStyle w:val="SCCLsocParty"/>
              <w:jc w:val="both"/>
              <w:rPr>
                <w:b/>
                <w:sz w:val="20"/>
                <w:szCs w:val="20"/>
                <w:lang w:val="en-US"/>
              </w:rPr>
            </w:pPr>
            <w:r w:rsidRPr="00435769">
              <w:rPr>
                <w:b/>
                <w:sz w:val="20"/>
                <w:szCs w:val="20"/>
                <w:lang w:val="en-US"/>
              </w:rPr>
              <w:t>F.H. v. J.A.</w:t>
            </w:r>
          </w:p>
          <w:p w:rsidR="005A6497" w:rsidRPr="00435769" w:rsidRDefault="005A6497" w:rsidP="007932B2">
            <w:pPr>
              <w:jc w:val="both"/>
              <w:rPr>
                <w:sz w:val="20"/>
              </w:rPr>
            </w:pPr>
            <w:r w:rsidRPr="00435769">
              <w:rPr>
                <w:sz w:val="20"/>
              </w:rPr>
              <w:t>(Que.) (Civil) (By Leave)</w:t>
            </w:r>
          </w:p>
        </w:tc>
      </w:tr>
      <w:tr w:rsidR="005A6497" w:rsidRPr="00435769" w:rsidTr="005A6497">
        <w:trPr>
          <w:gridAfter w:val="1"/>
          <w:wAfter w:w="48" w:type="pct"/>
        </w:trPr>
        <w:tc>
          <w:tcPr>
            <w:tcW w:w="4952" w:type="pct"/>
            <w:gridSpan w:val="4"/>
          </w:tcPr>
          <w:p w:rsidR="005A6497" w:rsidRPr="00435769" w:rsidRDefault="005A6497" w:rsidP="007932B2">
            <w:pPr>
              <w:pStyle w:val="SCCBanSummary"/>
              <w:rPr>
                <w:sz w:val="20"/>
                <w:szCs w:val="20"/>
              </w:rPr>
            </w:pPr>
            <w:r w:rsidRPr="00435769">
              <w:rPr>
                <w:sz w:val="20"/>
                <w:szCs w:val="20"/>
              </w:rPr>
              <w:t>(Publication ban in case) (Publication ban on party) (Court file contains information that is not available for inspection by the public)</w:t>
            </w:r>
          </w:p>
          <w:p w:rsidR="005A6497" w:rsidRPr="00435769" w:rsidRDefault="005A6497" w:rsidP="007932B2">
            <w:pPr>
              <w:jc w:val="both"/>
              <w:rPr>
                <w:sz w:val="20"/>
              </w:rPr>
            </w:pPr>
          </w:p>
        </w:tc>
      </w:tr>
      <w:tr w:rsidR="005A6497" w:rsidRPr="00435769" w:rsidTr="005A6497">
        <w:trPr>
          <w:gridAfter w:val="1"/>
          <w:wAfter w:w="48" w:type="pct"/>
        </w:trPr>
        <w:tc>
          <w:tcPr>
            <w:tcW w:w="4952" w:type="pct"/>
            <w:gridSpan w:val="4"/>
          </w:tcPr>
          <w:p w:rsidR="005A6497" w:rsidRPr="00435769" w:rsidRDefault="005A6497" w:rsidP="007932B2">
            <w:pPr>
              <w:jc w:val="both"/>
              <w:rPr>
                <w:sz w:val="20"/>
              </w:rPr>
            </w:pPr>
            <w:r w:rsidRPr="00435769">
              <w:rPr>
                <w:sz w:val="20"/>
              </w:rPr>
              <w:t>Family law — Custody — Right to travel out of the country with the child — Whether the lower courts erred in their decisions regarding the best interests of the child — Whether the applicant raises an issue of public importance</w:t>
            </w:r>
          </w:p>
        </w:tc>
      </w:tr>
      <w:tr w:rsidR="005A6497" w:rsidRPr="00435769" w:rsidTr="005A6497">
        <w:trPr>
          <w:gridAfter w:val="1"/>
          <w:wAfter w:w="48" w:type="pct"/>
        </w:trPr>
        <w:tc>
          <w:tcPr>
            <w:tcW w:w="4952" w:type="pct"/>
            <w:gridSpan w:val="4"/>
          </w:tcPr>
          <w:p w:rsidR="005A6497" w:rsidRPr="00435769" w:rsidRDefault="005A6497" w:rsidP="007932B2">
            <w:pPr>
              <w:jc w:val="both"/>
              <w:rPr>
                <w:sz w:val="20"/>
              </w:rPr>
            </w:pPr>
          </w:p>
        </w:tc>
      </w:tr>
      <w:tr w:rsidR="005A6497" w:rsidRPr="00435769" w:rsidTr="005A6497">
        <w:trPr>
          <w:gridAfter w:val="1"/>
          <w:wAfter w:w="48" w:type="pct"/>
        </w:trPr>
        <w:tc>
          <w:tcPr>
            <w:tcW w:w="4952" w:type="pct"/>
            <w:gridSpan w:val="4"/>
          </w:tcPr>
          <w:p w:rsidR="005A6497" w:rsidRPr="00435769" w:rsidRDefault="005A6497" w:rsidP="007932B2">
            <w:pPr>
              <w:jc w:val="both"/>
              <w:rPr>
                <w:sz w:val="20"/>
              </w:rPr>
            </w:pPr>
            <w:r w:rsidRPr="00435769">
              <w:rPr>
                <w:sz w:val="20"/>
              </w:rPr>
              <w:t xml:space="preserve">Both J.A. and F.H. commenced proceedings for an order granting them sole custody of the child </w:t>
            </w:r>
            <w:r w:rsidRPr="00435769">
              <w:rPr>
                <w:sz w:val="20"/>
                <w:lang w:val="en"/>
              </w:rPr>
              <w:t xml:space="preserve">born from their union, </w:t>
            </w:r>
            <w:r w:rsidRPr="00435769">
              <w:rPr>
                <w:sz w:val="20"/>
              </w:rPr>
              <w:t xml:space="preserve">as well as for an order authorizing them to travel alone with the child outside the country. </w:t>
            </w:r>
          </w:p>
          <w:p w:rsidR="005A6497" w:rsidRPr="00435769" w:rsidRDefault="005A6497" w:rsidP="007932B2">
            <w:pPr>
              <w:jc w:val="both"/>
              <w:rPr>
                <w:sz w:val="20"/>
              </w:rPr>
            </w:pPr>
          </w:p>
        </w:tc>
      </w:tr>
      <w:tr w:rsidR="005A6497" w:rsidRPr="00435769" w:rsidTr="005A6497">
        <w:tblPrEx>
          <w:tblCellMar>
            <w:bottom w:w="0" w:type="dxa"/>
          </w:tblCellMar>
        </w:tblPrEx>
        <w:tc>
          <w:tcPr>
            <w:tcW w:w="2367" w:type="pct"/>
            <w:gridSpan w:val="2"/>
          </w:tcPr>
          <w:p w:rsidR="005A6497" w:rsidRPr="00435769" w:rsidRDefault="005A6497" w:rsidP="007932B2">
            <w:pPr>
              <w:jc w:val="both"/>
              <w:rPr>
                <w:sz w:val="20"/>
              </w:rPr>
            </w:pPr>
            <w:r w:rsidRPr="00435769">
              <w:rPr>
                <w:sz w:val="20"/>
              </w:rPr>
              <w:t>September 30, 2015</w:t>
            </w:r>
          </w:p>
          <w:p w:rsidR="005A6497" w:rsidRPr="00435769" w:rsidRDefault="005A6497" w:rsidP="007932B2">
            <w:pPr>
              <w:jc w:val="both"/>
              <w:rPr>
                <w:sz w:val="20"/>
              </w:rPr>
            </w:pPr>
            <w:r w:rsidRPr="00435769">
              <w:rPr>
                <w:sz w:val="20"/>
              </w:rPr>
              <w:t>Superior Court of Quebec</w:t>
            </w:r>
          </w:p>
          <w:p w:rsidR="005A6497" w:rsidRPr="00435769" w:rsidRDefault="005A6497" w:rsidP="007932B2">
            <w:pPr>
              <w:jc w:val="both"/>
              <w:rPr>
                <w:sz w:val="20"/>
              </w:rPr>
            </w:pPr>
            <w:r w:rsidRPr="00435769">
              <w:rPr>
                <w:sz w:val="20"/>
              </w:rPr>
              <w:t>(Crête J.)</w:t>
            </w:r>
          </w:p>
          <w:p w:rsidR="005A6497" w:rsidRPr="00435769" w:rsidRDefault="00435769" w:rsidP="007932B2">
            <w:pPr>
              <w:jc w:val="both"/>
              <w:rPr>
                <w:sz w:val="20"/>
              </w:rPr>
            </w:pPr>
            <w:hyperlink r:id="rId87" w:anchor="showHeadnotes" w:history="1">
              <w:r w:rsidR="005A6497" w:rsidRPr="00435769">
                <w:rPr>
                  <w:rStyle w:val="Hyperlink"/>
                  <w:sz w:val="20"/>
                </w:rPr>
                <w:t>2015 QCCS 4512</w:t>
              </w:r>
            </w:hyperlink>
          </w:p>
          <w:p w:rsidR="005A6497" w:rsidRPr="00435769" w:rsidRDefault="005A6497" w:rsidP="007932B2">
            <w:pPr>
              <w:jc w:val="both"/>
              <w:rPr>
                <w:sz w:val="20"/>
              </w:rPr>
            </w:pPr>
          </w:p>
        </w:tc>
        <w:tc>
          <w:tcPr>
            <w:tcW w:w="267" w:type="pct"/>
          </w:tcPr>
          <w:p w:rsidR="005A6497" w:rsidRPr="00435769" w:rsidRDefault="005A6497" w:rsidP="007932B2">
            <w:pPr>
              <w:jc w:val="both"/>
              <w:rPr>
                <w:sz w:val="20"/>
              </w:rPr>
            </w:pPr>
          </w:p>
        </w:tc>
        <w:tc>
          <w:tcPr>
            <w:tcW w:w="2366" w:type="pct"/>
            <w:gridSpan w:val="2"/>
          </w:tcPr>
          <w:p w:rsidR="005A6497" w:rsidRPr="00435769" w:rsidRDefault="005A6497" w:rsidP="007932B2">
            <w:pPr>
              <w:jc w:val="both"/>
              <w:rPr>
                <w:sz w:val="20"/>
              </w:rPr>
            </w:pPr>
            <w:r w:rsidRPr="00435769">
              <w:rPr>
                <w:sz w:val="20"/>
              </w:rPr>
              <w:t>Custody of the child granted to J.A.; Access rights granted to F.H.; Right to travel with the child outside the country without the permission of the other denied to both parties</w:t>
            </w:r>
          </w:p>
          <w:p w:rsidR="005A6497" w:rsidRPr="00435769" w:rsidRDefault="005A6497" w:rsidP="007932B2">
            <w:pPr>
              <w:jc w:val="both"/>
              <w:rPr>
                <w:sz w:val="20"/>
              </w:rPr>
            </w:pPr>
          </w:p>
        </w:tc>
      </w:tr>
      <w:tr w:rsidR="005A6497" w:rsidRPr="00435769" w:rsidTr="005A6497">
        <w:tblPrEx>
          <w:tblCellMar>
            <w:bottom w:w="0" w:type="dxa"/>
          </w:tblCellMar>
        </w:tblPrEx>
        <w:tc>
          <w:tcPr>
            <w:tcW w:w="2367" w:type="pct"/>
            <w:gridSpan w:val="2"/>
          </w:tcPr>
          <w:p w:rsidR="005A6497" w:rsidRPr="00435769" w:rsidRDefault="005A6497" w:rsidP="007932B2">
            <w:pPr>
              <w:jc w:val="both"/>
              <w:rPr>
                <w:sz w:val="20"/>
              </w:rPr>
            </w:pPr>
            <w:r w:rsidRPr="00435769">
              <w:rPr>
                <w:sz w:val="20"/>
              </w:rPr>
              <w:t>April 22, 2016</w:t>
            </w:r>
          </w:p>
          <w:p w:rsidR="005A6497" w:rsidRPr="00435769" w:rsidRDefault="005A6497" w:rsidP="007932B2">
            <w:pPr>
              <w:jc w:val="both"/>
              <w:rPr>
                <w:sz w:val="20"/>
              </w:rPr>
            </w:pPr>
            <w:r w:rsidRPr="00435769">
              <w:rPr>
                <w:sz w:val="20"/>
              </w:rPr>
              <w:t>Court of Appeal of Quebec (Montréal)</w:t>
            </w:r>
          </w:p>
          <w:p w:rsidR="005A6497" w:rsidRPr="00435769" w:rsidRDefault="005A6497" w:rsidP="007932B2">
            <w:pPr>
              <w:jc w:val="both"/>
              <w:rPr>
                <w:sz w:val="20"/>
              </w:rPr>
            </w:pPr>
            <w:r w:rsidRPr="00435769">
              <w:rPr>
                <w:sz w:val="20"/>
              </w:rPr>
              <w:t>(Kasirer, Bélanger and Hogue JJ.A.)</w:t>
            </w:r>
          </w:p>
          <w:p w:rsidR="005A6497" w:rsidRPr="00435769" w:rsidRDefault="00435769" w:rsidP="007932B2">
            <w:pPr>
              <w:jc w:val="both"/>
              <w:rPr>
                <w:sz w:val="20"/>
                <w:lang w:val="fr-FR"/>
              </w:rPr>
            </w:pPr>
            <w:hyperlink r:id="rId88" w:history="1">
              <w:r w:rsidR="005A6497" w:rsidRPr="00435769">
                <w:rPr>
                  <w:rStyle w:val="Hyperlink"/>
                  <w:sz w:val="20"/>
                </w:rPr>
                <w:t>2016 QCCA 708</w:t>
              </w:r>
            </w:hyperlink>
          </w:p>
          <w:p w:rsidR="005A6497" w:rsidRPr="00435769" w:rsidRDefault="005A6497" w:rsidP="007932B2">
            <w:pPr>
              <w:jc w:val="both"/>
              <w:rPr>
                <w:sz w:val="20"/>
              </w:rPr>
            </w:pPr>
          </w:p>
        </w:tc>
        <w:tc>
          <w:tcPr>
            <w:tcW w:w="267" w:type="pct"/>
          </w:tcPr>
          <w:p w:rsidR="005A6497" w:rsidRPr="00435769" w:rsidRDefault="005A6497" w:rsidP="007932B2">
            <w:pPr>
              <w:jc w:val="both"/>
              <w:rPr>
                <w:sz w:val="20"/>
              </w:rPr>
            </w:pPr>
          </w:p>
        </w:tc>
        <w:tc>
          <w:tcPr>
            <w:tcW w:w="2366" w:type="pct"/>
            <w:gridSpan w:val="2"/>
          </w:tcPr>
          <w:p w:rsidR="005A6497" w:rsidRPr="00435769" w:rsidRDefault="005A6497" w:rsidP="007932B2">
            <w:pPr>
              <w:jc w:val="both"/>
              <w:rPr>
                <w:sz w:val="20"/>
              </w:rPr>
            </w:pPr>
            <w:r w:rsidRPr="00435769">
              <w:rPr>
                <w:sz w:val="20"/>
              </w:rPr>
              <w:t>Appeal dismissed</w:t>
            </w:r>
          </w:p>
          <w:p w:rsidR="005A6497" w:rsidRPr="00435769" w:rsidRDefault="005A6497" w:rsidP="007932B2">
            <w:pPr>
              <w:jc w:val="both"/>
              <w:rPr>
                <w:sz w:val="20"/>
              </w:rPr>
            </w:pPr>
          </w:p>
        </w:tc>
      </w:tr>
      <w:tr w:rsidR="005A6497" w:rsidRPr="00435769" w:rsidTr="005A6497">
        <w:tblPrEx>
          <w:tblCellMar>
            <w:bottom w:w="0" w:type="dxa"/>
          </w:tblCellMar>
        </w:tblPrEx>
        <w:tc>
          <w:tcPr>
            <w:tcW w:w="2367" w:type="pct"/>
            <w:gridSpan w:val="2"/>
          </w:tcPr>
          <w:p w:rsidR="005A6497" w:rsidRPr="00435769" w:rsidRDefault="005A6497" w:rsidP="007932B2">
            <w:pPr>
              <w:jc w:val="both"/>
              <w:rPr>
                <w:sz w:val="20"/>
              </w:rPr>
            </w:pPr>
            <w:r w:rsidRPr="00435769">
              <w:rPr>
                <w:sz w:val="20"/>
              </w:rPr>
              <w:t>June 20, 2016</w:t>
            </w:r>
          </w:p>
          <w:p w:rsidR="005A6497" w:rsidRPr="00435769" w:rsidRDefault="005A6497" w:rsidP="007932B2">
            <w:pPr>
              <w:jc w:val="both"/>
              <w:rPr>
                <w:sz w:val="20"/>
              </w:rPr>
            </w:pPr>
            <w:r w:rsidRPr="00435769">
              <w:rPr>
                <w:sz w:val="20"/>
              </w:rPr>
              <w:t>Supreme Court of Canada</w:t>
            </w:r>
          </w:p>
          <w:p w:rsidR="005A6497" w:rsidRPr="00435769" w:rsidRDefault="005A6497" w:rsidP="007932B2">
            <w:pPr>
              <w:jc w:val="both"/>
              <w:rPr>
                <w:sz w:val="20"/>
              </w:rPr>
            </w:pPr>
          </w:p>
        </w:tc>
        <w:tc>
          <w:tcPr>
            <w:tcW w:w="267" w:type="pct"/>
          </w:tcPr>
          <w:p w:rsidR="005A6497" w:rsidRPr="00435769" w:rsidRDefault="005A6497" w:rsidP="007932B2">
            <w:pPr>
              <w:jc w:val="both"/>
              <w:rPr>
                <w:sz w:val="20"/>
              </w:rPr>
            </w:pPr>
          </w:p>
        </w:tc>
        <w:tc>
          <w:tcPr>
            <w:tcW w:w="2366" w:type="pct"/>
            <w:gridSpan w:val="2"/>
          </w:tcPr>
          <w:p w:rsidR="005A6497" w:rsidRPr="00435769" w:rsidRDefault="005A6497" w:rsidP="007932B2">
            <w:pPr>
              <w:jc w:val="both"/>
              <w:rPr>
                <w:sz w:val="20"/>
              </w:rPr>
            </w:pPr>
            <w:r w:rsidRPr="00435769">
              <w:rPr>
                <w:sz w:val="20"/>
              </w:rPr>
              <w:t>Application for leave to appeal filed</w:t>
            </w:r>
          </w:p>
          <w:p w:rsidR="005A6497" w:rsidRPr="00435769" w:rsidRDefault="005A6497" w:rsidP="007932B2">
            <w:pPr>
              <w:jc w:val="both"/>
              <w:rPr>
                <w:sz w:val="20"/>
              </w:rPr>
            </w:pPr>
          </w:p>
        </w:tc>
      </w:tr>
    </w:tbl>
    <w:p w:rsidR="005A6497" w:rsidRPr="00435769" w:rsidRDefault="005A6497" w:rsidP="007932B2">
      <w:pPr>
        <w:jc w:val="both"/>
        <w:rPr>
          <w:sz w:val="20"/>
        </w:rPr>
      </w:pPr>
    </w:p>
    <w:p w:rsidR="009C2F30" w:rsidRPr="00435769" w:rsidRDefault="009C2F30" w:rsidP="007932B2">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5A6497" w:rsidRPr="00435769" w:rsidTr="005A6497">
        <w:trPr>
          <w:gridAfter w:val="1"/>
          <w:wAfter w:w="48" w:type="pct"/>
        </w:trPr>
        <w:tc>
          <w:tcPr>
            <w:tcW w:w="538" w:type="pct"/>
          </w:tcPr>
          <w:p w:rsidR="005A6497" w:rsidRPr="00435769" w:rsidRDefault="005A6497" w:rsidP="007932B2">
            <w:pPr>
              <w:jc w:val="both"/>
              <w:rPr>
                <w:sz w:val="20"/>
                <w:lang w:val="fr-CA"/>
              </w:rPr>
            </w:pPr>
            <w:r w:rsidRPr="00435769">
              <w:rPr>
                <w:rStyle w:val="SCCFileNumberChar"/>
                <w:sz w:val="20"/>
                <w:szCs w:val="20"/>
                <w:lang w:val="fr-CA"/>
              </w:rPr>
              <w:t>37092</w:t>
            </w:r>
          </w:p>
        </w:tc>
        <w:tc>
          <w:tcPr>
            <w:tcW w:w="4414" w:type="pct"/>
            <w:gridSpan w:val="3"/>
          </w:tcPr>
          <w:p w:rsidR="005A6497" w:rsidRPr="00435769" w:rsidRDefault="005A6497" w:rsidP="007932B2">
            <w:pPr>
              <w:pStyle w:val="SCCLsocParty"/>
              <w:jc w:val="both"/>
              <w:rPr>
                <w:b/>
                <w:sz w:val="20"/>
                <w:szCs w:val="20"/>
              </w:rPr>
            </w:pPr>
            <w:r w:rsidRPr="00435769">
              <w:rPr>
                <w:b/>
                <w:sz w:val="20"/>
                <w:szCs w:val="20"/>
              </w:rPr>
              <w:t>F.H. c. J.A.</w:t>
            </w:r>
          </w:p>
          <w:p w:rsidR="005A6497" w:rsidRPr="00435769" w:rsidRDefault="005A6497" w:rsidP="007932B2">
            <w:pPr>
              <w:jc w:val="both"/>
              <w:rPr>
                <w:sz w:val="20"/>
                <w:lang w:val="fr-CA"/>
              </w:rPr>
            </w:pPr>
            <w:r w:rsidRPr="00435769">
              <w:rPr>
                <w:sz w:val="20"/>
                <w:lang w:val="fr-CA"/>
              </w:rPr>
              <w:t>(Qc) (Civile) (Sur autorisation)</w:t>
            </w:r>
          </w:p>
        </w:tc>
      </w:tr>
      <w:tr w:rsidR="005A6497" w:rsidRPr="00435769" w:rsidTr="005A6497">
        <w:trPr>
          <w:gridAfter w:val="1"/>
          <w:wAfter w:w="48" w:type="pct"/>
        </w:trPr>
        <w:tc>
          <w:tcPr>
            <w:tcW w:w="4952" w:type="pct"/>
            <w:gridSpan w:val="4"/>
          </w:tcPr>
          <w:p w:rsidR="005A6497" w:rsidRPr="00435769" w:rsidRDefault="005A6497" w:rsidP="007932B2">
            <w:pPr>
              <w:pStyle w:val="SCCBanSummary"/>
              <w:rPr>
                <w:sz w:val="20"/>
                <w:szCs w:val="20"/>
                <w:lang w:val="fr-CA"/>
              </w:rPr>
            </w:pPr>
            <w:r w:rsidRPr="00435769">
              <w:rPr>
                <w:sz w:val="20"/>
                <w:szCs w:val="20"/>
                <w:lang w:val="fr-CA"/>
              </w:rPr>
              <w:t>(Ordonnance de non-publication dans le dossier) (Ordonnance de non-publication visant une partie) (Le dossier de la cour renferme des données que le public n’est pas autorisé à consulter)</w:t>
            </w:r>
          </w:p>
          <w:p w:rsidR="005A6497" w:rsidRPr="00435769" w:rsidRDefault="005A6497" w:rsidP="007932B2">
            <w:pPr>
              <w:jc w:val="both"/>
              <w:rPr>
                <w:sz w:val="20"/>
                <w:lang w:val="fr-CA"/>
              </w:rPr>
            </w:pPr>
          </w:p>
        </w:tc>
      </w:tr>
      <w:tr w:rsidR="005A6497" w:rsidRPr="00435769" w:rsidTr="005A6497">
        <w:trPr>
          <w:gridAfter w:val="1"/>
          <w:wAfter w:w="48" w:type="pct"/>
        </w:trPr>
        <w:tc>
          <w:tcPr>
            <w:tcW w:w="4952" w:type="pct"/>
            <w:gridSpan w:val="4"/>
          </w:tcPr>
          <w:p w:rsidR="005A6497" w:rsidRPr="00435769" w:rsidRDefault="005A6497" w:rsidP="007932B2">
            <w:pPr>
              <w:jc w:val="both"/>
              <w:rPr>
                <w:sz w:val="20"/>
                <w:lang w:val="fr-CA"/>
              </w:rPr>
            </w:pPr>
            <w:r w:rsidRPr="00435769">
              <w:rPr>
                <w:sz w:val="20"/>
                <w:lang w:val="fr-CA"/>
              </w:rPr>
              <w:t>Droit familial — Garde — Droit de quitter le pays avec l’enfant — Les tribunaux inférieurs ont-ils commis une erreur dans leurs décisions concernant l’intérêt supérieur de l’enfant? — Le demandeur soulève-t-il une question d’importance pour le public?</w:t>
            </w:r>
          </w:p>
        </w:tc>
      </w:tr>
      <w:tr w:rsidR="005A6497" w:rsidRPr="00435769" w:rsidTr="005A6497">
        <w:trPr>
          <w:gridAfter w:val="1"/>
          <w:wAfter w:w="48" w:type="pct"/>
        </w:trPr>
        <w:tc>
          <w:tcPr>
            <w:tcW w:w="4952" w:type="pct"/>
            <w:gridSpan w:val="4"/>
          </w:tcPr>
          <w:p w:rsidR="005A6497" w:rsidRPr="00435769" w:rsidRDefault="005A6497" w:rsidP="007932B2">
            <w:pPr>
              <w:jc w:val="both"/>
              <w:rPr>
                <w:sz w:val="20"/>
                <w:lang w:val="fr-CA"/>
              </w:rPr>
            </w:pPr>
          </w:p>
        </w:tc>
      </w:tr>
      <w:tr w:rsidR="005A6497" w:rsidRPr="00435769" w:rsidTr="005A6497">
        <w:trPr>
          <w:gridAfter w:val="1"/>
          <w:wAfter w:w="48" w:type="pct"/>
        </w:trPr>
        <w:tc>
          <w:tcPr>
            <w:tcW w:w="4952" w:type="pct"/>
            <w:gridSpan w:val="4"/>
          </w:tcPr>
          <w:p w:rsidR="005A6497" w:rsidRPr="00435769" w:rsidRDefault="005A6497" w:rsidP="007932B2">
            <w:pPr>
              <w:jc w:val="both"/>
              <w:rPr>
                <w:sz w:val="20"/>
                <w:lang w:val="fr-CA"/>
              </w:rPr>
            </w:pPr>
            <w:r w:rsidRPr="00435769">
              <w:rPr>
                <w:sz w:val="20"/>
                <w:lang w:val="fr-CA"/>
              </w:rPr>
              <w:t>J.A. et F.H. ont chacun engagé une instance afin d’obtenir une ordonnance de garde exclusive de l’enfant issu de leur union, ainsi qu’une ordonnance les autorisant à voyager chacun seul avec l’enfant à l’extérieur du pays.</w:t>
            </w:r>
          </w:p>
          <w:p w:rsidR="005A6497" w:rsidRPr="00435769" w:rsidRDefault="005A6497" w:rsidP="007932B2">
            <w:pPr>
              <w:jc w:val="both"/>
              <w:rPr>
                <w:sz w:val="20"/>
                <w:lang w:val="fr-CA"/>
              </w:rPr>
            </w:pPr>
          </w:p>
        </w:tc>
      </w:tr>
      <w:tr w:rsidR="005A6497" w:rsidRPr="00435769" w:rsidTr="005A6497">
        <w:tblPrEx>
          <w:tblCellMar>
            <w:bottom w:w="0" w:type="dxa"/>
          </w:tblCellMar>
        </w:tblPrEx>
        <w:tc>
          <w:tcPr>
            <w:tcW w:w="2367" w:type="pct"/>
            <w:gridSpan w:val="2"/>
          </w:tcPr>
          <w:p w:rsidR="005A6497" w:rsidRPr="00435769" w:rsidRDefault="005A6497" w:rsidP="007932B2">
            <w:pPr>
              <w:jc w:val="both"/>
              <w:rPr>
                <w:sz w:val="20"/>
                <w:lang w:val="fr-CA"/>
              </w:rPr>
            </w:pPr>
            <w:r w:rsidRPr="00435769">
              <w:rPr>
                <w:sz w:val="20"/>
                <w:lang w:val="fr-CA"/>
              </w:rPr>
              <w:t>30 septembre 2015</w:t>
            </w:r>
          </w:p>
          <w:p w:rsidR="005A6497" w:rsidRPr="00435769" w:rsidRDefault="005A6497" w:rsidP="007932B2">
            <w:pPr>
              <w:jc w:val="both"/>
              <w:rPr>
                <w:sz w:val="20"/>
                <w:lang w:val="fr-CA"/>
              </w:rPr>
            </w:pPr>
            <w:r w:rsidRPr="00435769">
              <w:rPr>
                <w:sz w:val="20"/>
                <w:lang w:val="fr-CA"/>
              </w:rPr>
              <w:t>Cour supérieure du Québec</w:t>
            </w:r>
          </w:p>
          <w:p w:rsidR="005A6497" w:rsidRPr="00435769" w:rsidRDefault="005A6497" w:rsidP="007932B2">
            <w:pPr>
              <w:jc w:val="both"/>
              <w:rPr>
                <w:sz w:val="20"/>
                <w:lang w:val="fr-CA"/>
              </w:rPr>
            </w:pPr>
            <w:r w:rsidRPr="00435769">
              <w:rPr>
                <w:sz w:val="20"/>
                <w:lang w:val="fr-CA"/>
              </w:rPr>
              <w:t>(Juge Crête)</w:t>
            </w:r>
          </w:p>
          <w:p w:rsidR="005A6497" w:rsidRPr="00435769" w:rsidRDefault="00435769" w:rsidP="007932B2">
            <w:pPr>
              <w:jc w:val="both"/>
              <w:rPr>
                <w:sz w:val="20"/>
                <w:lang w:val="fr-CA"/>
              </w:rPr>
            </w:pPr>
            <w:hyperlink r:id="rId89" w:anchor="showHeadnotes" w:history="1">
              <w:r w:rsidR="005A6497" w:rsidRPr="00435769">
                <w:rPr>
                  <w:rStyle w:val="Hyperlink"/>
                  <w:sz w:val="20"/>
                  <w:lang w:val="fr-CA"/>
                </w:rPr>
                <w:t>2015 QCCS 4512</w:t>
              </w:r>
            </w:hyperlink>
          </w:p>
          <w:p w:rsidR="005A6497" w:rsidRPr="00435769" w:rsidRDefault="005A6497" w:rsidP="007932B2">
            <w:pPr>
              <w:jc w:val="both"/>
              <w:rPr>
                <w:sz w:val="20"/>
                <w:lang w:val="fr-CA"/>
              </w:rPr>
            </w:pPr>
          </w:p>
        </w:tc>
        <w:tc>
          <w:tcPr>
            <w:tcW w:w="267" w:type="pct"/>
          </w:tcPr>
          <w:p w:rsidR="005A6497" w:rsidRPr="00435769" w:rsidRDefault="005A6497" w:rsidP="007932B2">
            <w:pPr>
              <w:jc w:val="both"/>
              <w:rPr>
                <w:sz w:val="20"/>
                <w:lang w:val="fr-CA"/>
              </w:rPr>
            </w:pPr>
          </w:p>
        </w:tc>
        <w:tc>
          <w:tcPr>
            <w:tcW w:w="2366" w:type="pct"/>
            <w:gridSpan w:val="2"/>
          </w:tcPr>
          <w:p w:rsidR="005A6497" w:rsidRPr="00435769" w:rsidRDefault="005A6497" w:rsidP="007932B2">
            <w:pPr>
              <w:jc w:val="both"/>
              <w:rPr>
                <w:sz w:val="20"/>
                <w:lang w:val="fr-CA"/>
              </w:rPr>
            </w:pPr>
            <w:r w:rsidRPr="00435769">
              <w:rPr>
                <w:sz w:val="20"/>
                <w:lang w:val="fr-CA"/>
              </w:rPr>
              <w:t>Garde de l’enfant accordée à J.A.; droits de visite accordés à F.H.; droit de voyager avec l’enfant à l’extérieur du pays sans la permission de l’autre partie refusé aux deux parties</w:t>
            </w:r>
          </w:p>
          <w:p w:rsidR="005A6497" w:rsidRPr="00435769" w:rsidRDefault="005A6497" w:rsidP="007932B2">
            <w:pPr>
              <w:jc w:val="both"/>
              <w:rPr>
                <w:sz w:val="20"/>
                <w:lang w:val="fr-CA"/>
              </w:rPr>
            </w:pPr>
          </w:p>
        </w:tc>
      </w:tr>
      <w:tr w:rsidR="005A6497" w:rsidRPr="00435769" w:rsidTr="005A6497">
        <w:tblPrEx>
          <w:tblCellMar>
            <w:bottom w:w="0" w:type="dxa"/>
          </w:tblCellMar>
        </w:tblPrEx>
        <w:tc>
          <w:tcPr>
            <w:tcW w:w="2367" w:type="pct"/>
            <w:gridSpan w:val="2"/>
          </w:tcPr>
          <w:p w:rsidR="005A6497" w:rsidRPr="00435769" w:rsidRDefault="005A6497" w:rsidP="007932B2">
            <w:pPr>
              <w:jc w:val="both"/>
              <w:rPr>
                <w:sz w:val="20"/>
                <w:lang w:val="fr-CA"/>
              </w:rPr>
            </w:pPr>
            <w:r w:rsidRPr="00435769">
              <w:rPr>
                <w:sz w:val="20"/>
                <w:lang w:val="fr-CA"/>
              </w:rPr>
              <w:t>22 avril 2016</w:t>
            </w:r>
          </w:p>
          <w:p w:rsidR="005A6497" w:rsidRPr="00435769" w:rsidRDefault="005A6497" w:rsidP="007932B2">
            <w:pPr>
              <w:jc w:val="both"/>
              <w:rPr>
                <w:sz w:val="20"/>
                <w:lang w:val="fr-CA"/>
              </w:rPr>
            </w:pPr>
            <w:r w:rsidRPr="00435769">
              <w:rPr>
                <w:sz w:val="20"/>
                <w:lang w:val="fr-CA"/>
              </w:rPr>
              <w:t>Cour d’appel du Québec (Montréal)</w:t>
            </w:r>
          </w:p>
          <w:p w:rsidR="005A6497" w:rsidRPr="00435769" w:rsidRDefault="005A6497" w:rsidP="007932B2">
            <w:pPr>
              <w:jc w:val="both"/>
              <w:rPr>
                <w:sz w:val="20"/>
                <w:lang w:val="fr-CA"/>
              </w:rPr>
            </w:pPr>
            <w:r w:rsidRPr="00435769">
              <w:rPr>
                <w:sz w:val="20"/>
                <w:lang w:val="fr-CA"/>
              </w:rPr>
              <w:t>(Juges d’appel Kasirer, Bélanger et Hogue)</w:t>
            </w:r>
          </w:p>
          <w:p w:rsidR="005A6497" w:rsidRPr="00435769" w:rsidRDefault="00435769" w:rsidP="007932B2">
            <w:pPr>
              <w:jc w:val="both"/>
              <w:rPr>
                <w:sz w:val="20"/>
                <w:lang w:val="fr-CA"/>
              </w:rPr>
            </w:pPr>
            <w:hyperlink r:id="rId90" w:history="1">
              <w:r w:rsidR="005A6497" w:rsidRPr="00435769">
                <w:rPr>
                  <w:rStyle w:val="Hyperlink"/>
                  <w:sz w:val="20"/>
                  <w:lang w:val="fr-CA"/>
                </w:rPr>
                <w:t>2016 QCCA 708</w:t>
              </w:r>
            </w:hyperlink>
          </w:p>
          <w:p w:rsidR="005A6497" w:rsidRPr="00435769" w:rsidRDefault="005A6497" w:rsidP="007932B2">
            <w:pPr>
              <w:jc w:val="both"/>
              <w:rPr>
                <w:sz w:val="20"/>
                <w:lang w:val="fr-CA"/>
              </w:rPr>
            </w:pPr>
          </w:p>
        </w:tc>
        <w:tc>
          <w:tcPr>
            <w:tcW w:w="267" w:type="pct"/>
          </w:tcPr>
          <w:p w:rsidR="005A6497" w:rsidRPr="00435769" w:rsidRDefault="005A6497" w:rsidP="007932B2">
            <w:pPr>
              <w:jc w:val="both"/>
              <w:rPr>
                <w:sz w:val="20"/>
                <w:lang w:val="fr-CA"/>
              </w:rPr>
            </w:pPr>
          </w:p>
        </w:tc>
        <w:tc>
          <w:tcPr>
            <w:tcW w:w="2366" w:type="pct"/>
            <w:gridSpan w:val="2"/>
          </w:tcPr>
          <w:p w:rsidR="005A6497" w:rsidRPr="00435769" w:rsidRDefault="005A6497" w:rsidP="007932B2">
            <w:pPr>
              <w:jc w:val="both"/>
              <w:rPr>
                <w:sz w:val="20"/>
                <w:lang w:val="fr-CA"/>
              </w:rPr>
            </w:pPr>
            <w:r w:rsidRPr="00435769">
              <w:rPr>
                <w:sz w:val="20"/>
                <w:lang w:val="fr-CA"/>
              </w:rPr>
              <w:t xml:space="preserve">Rejet de l’appel </w:t>
            </w:r>
          </w:p>
          <w:p w:rsidR="005A6497" w:rsidRPr="00435769" w:rsidRDefault="005A6497" w:rsidP="007932B2">
            <w:pPr>
              <w:jc w:val="both"/>
              <w:rPr>
                <w:sz w:val="20"/>
                <w:lang w:val="fr-CA"/>
              </w:rPr>
            </w:pPr>
          </w:p>
        </w:tc>
      </w:tr>
      <w:tr w:rsidR="005A6497" w:rsidRPr="00435769" w:rsidTr="005A6497">
        <w:tblPrEx>
          <w:tblCellMar>
            <w:bottom w:w="0" w:type="dxa"/>
          </w:tblCellMar>
        </w:tblPrEx>
        <w:tc>
          <w:tcPr>
            <w:tcW w:w="2367" w:type="pct"/>
            <w:gridSpan w:val="2"/>
          </w:tcPr>
          <w:p w:rsidR="005A6497" w:rsidRPr="00435769" w:rsidRDefault="005A6497" w:rsidP="007932B2">
            <w:pPr>
              <w:jc w:val="both"/>
              <w:rPr>
                <w:sz w:val="20"/>
                <w:lang w:val="fr-CA"/>
              </w:rPr>
            </w:pPr>
            <w:r w:rsidRPr="00435769">
              <w:rPr>
                <w:sz w:val="20"/>
                <w:lang w:val="fr-CA"/>
              </w:rPr>
              <w:t>20 juin 2016</w:t>
            </w:r>
          </w:p>
          <w:p w:rsidR="005A6497" w:rsidRPr="00435769" w:rsidRDefault="005A6497" w:rsidP="009C2F30">
            <w:pPr>
              <w:jc w:val="both"/>
              <w:rPr>
                <w:sz w:val="20"/>
                <w:lang w:val="fr-CA"/>
              </w:rPr>
            </w:pPr>
            <w:r w:rsidRPr="00435769">
              <w:rPr>
                <w:sz w:val="20"/>
                <w:lang w:val="fr-CA"/>
              </w:rPr>
              <w:t>Cour suprême du Canada</w:t>
            </w:r>
          </w:p>
        </w:tc>
        <w:tc>
          <w:tcPr>
            <w:tcW w:w="267" w:type="pct"/>
          </w:tcPr>
          <w:p w:rsidR="005A6497" w:rsidRPr="00435769" w:rsidRDefault="005A6497" w:rsidP="007932B2">
            <w:pPr>
              <w:jc w:val="both"/>
              <w:rPr>
                <w:sz w:val="20"/>
                <w:lang w:val="fr-CA"/>
              </w:rPr>
            </w:pPr>
          </w:p>
        </w:tc>
        <w:tc>
          <w:tcPr>
            <w:tcW w:w="2366" w:type="pct"/>
            <w:gridSpan w:val="2"/>
          </w:tcPr>
          <w:p w:rsidR="005A6497" w:rsidRPr="00435769" w:rsidRDefault="005A6497" w:rsidP="007932B2">
            <w:pPr>
              <w:jc w:val="both"/>
              <w:rPr>
                <w:sz w:val="20"/>
                <w:lang w:val="fr-CA"/>
              </w:rPr>
            </w:pPr>
            <w:r w:rsidRPr="00435769">
              <w:rPr>
                <w:sz w:val="20"/>
                <w:lang w:val="fr-CA"/>
              </w:rPr>
              <w:t xml:space="preserve">Dépôt d’une demande d’autorisation d’appel </w:t>
            </w:r>
          </w:p>
          <w:p w:rsidR="005A6497" w:rsidRPr="00435769" w:rsidRDefault="005A6497" w:rsidP="007932B2">
            <w:pPr>
              <w:jc w:val="both"/>
              <w:rPr>
                <w:sz w:val="20"/>
                <w:lang w:val="fr-CA"/>
              </w:rPr>
            </w:pPr>
          </w:p>
        </w:tc>
      </w:tr>
    </w:tbl>
    <w:p w:rsidR="005A6497" w:rsidRPr="00435769" w:rsidRDefault="005A6497" w:rsidP="007932B2">
      <w:pPr>
        <w:jc w:val="both"/>
        <w:rPr>
          <w:sz w:val="20"/>
          <w:lang w:val="fr-CA"/>
        </w:rPr>
      </w:pPr>
    </w:p>
    <w:p w:rsidR="008E7E00" w:rsidRPr="00435769" w:rsidRDefault="008E7E00" w:rsidP="007932B2">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rPr>
            </w:pPr>
            <w:r w:rsidRPr="00435769">
              <w:rPr>
                <w:rStyle w:val="SCCFileNumberChar"/>
                <w:sz w:val="20"/>
                <w:szCs w:val="20"/>
              </w:rPr>
              <w:t>37087</w:t>
            </w:r>
          </w:p>
        </w:tc>
        <w:tc>
          <w:tcPr>
            <w:tcW w:w="4457" w:type="pct"/>
            <w:gridSpan w:val="3"/>
          </w:tcPr>
          <w:p w:rsidR="005A6497" w:rsidRPr="00435769" w:rsidRDefault="005A6497" w:rsidP="007932B2">
            <w:pPr>
              <w:pStyle w:val="SCCLsocParty"/>
              <w:jc w:val="both"/>
              <w:rPr>
                <w:b/>
                <w:sz w:val="20"/>
                <w:szCs w:val="20"/>
                <w:lang w:val="en-US"/>
              </w:rPr>
            </w:pPr>
            <w:r w:rsidRPr="00435769">
              <w:rPr>
                <w:b/>
                <w:sz w:val="20"/>
                <w:szCs w:val="20"/>
                <w:lang w:val="en-US"/>
              </w:rPr>
              <w:t>Andrew Orr and Paul Houle v. Peerless Trout First Nation</w:t>
            </w:r>
          </w:p>
          <w:p w:rsidR="005A6497" w:rsidRPr="00435769" w:rsidRDefault="005A6497" w:rsidP="007932B2">
            <w:pPr>
              <w:jc w:val="both"/>
              <w:rPr>
                <w:sz w:val="20"/>
              </w:rPr>
            </w:pPr>
            <w:r w:rsidRPr="00435769">
              <w:rPr>
                <w:sz w:val="20"/>
              </w:rPr>
              <w:t>(FC) (Civil) (By Leave)</w:t>
            </w:r>
          </w:p>
        </w:tc>
      </w:tr>
      <w:tr w:rsidR="005A6497" w:rsidRPr="00435769" w:rsidTr="005A6497">
        <w:tc>
          <w:tcPr>
            <w:tcW w:w="5000" w:type="pct"/>
            <w:gridSpan w:val="4"/>
          </w:tcPr>
          <w:p w:rsidR="005A6497" w:rsidRPr="00435769" w:rsidRDefault="005A6497" w:rsidP="007932B2">
            <w:pPr>
              <w:jc w:val="both"/>
              <w:rPr>
                <w:sz w:val="20"/>
              </w:rPr>
            </w:pPr>
            <w:r w:rsidRPr="00435769">
              <w:rPr>
                <w:i/>
                <w:sz w:val="20"/>
              </w:rPr>
              <w:t xml:space="preserve">Canadian Charter of Rights and Freedoms </w:t>
            </w:r>
            <w:r w:rsidRPr="00435769">
              <w:rPr>
                <w:sz w:val="20"/>
              </w:rPr>
              <w:t xml:space="preserve">– Constitutional law – Aboriginal peoples – Elections – Whether democracy is a fundamental constitutional principal that applies to First Nations elections so that every citizen of the Nation may participate in the electoral process including the right to be candidate – When elections are conducted so badly that it was not substantially in accordance with the law as to elections, whether it should be vitiated – </w:t>
            </w:r>
            <w:r w:rsidRPr="00435769">
              <w:rPr>
                <w:i/>
                <w:sz w:val="20"/>
              </w:rPr>
              <w:t>Canadian Charter of Rights and Freedoms</w:t>
            </w:r>
            <w:r w:rsidRPr="00435769">
              <w:rPr>
                <w:sz w:val="20"/>
              </w:rPr>
              <w:t>, s. 3.</w:t>
            </w:r>
          </w:p>
        </w:tc>
      </w:tr>
      <w:tr w:rsidR="005A6497" w:rsidRPr="00435769" w:rsidTr="005A6497">
        <w:tc>
          <w:tcPr>
            <w:tcW w:w="5000" w:type="pct"/>
            <w:gridSpan w:val="4"/>
          </w:tcPr>
          <w:p w:rsidR="005A6497" w:rsidRPr="00435769" w:rsidRDefault="005A6497" w:rsidP="007932B2">
            <w:pPr>
              <w:jc w:val="both"/>
              <w:rPr>
                <w:sz w:val="20"/>
              </w:rPr>
            </w:pPr>
          </w:p>
        </w:tc>
      </w:tr>
      <w:tr w:rsidR="005A6497" w:rsidRPr="00435769" w:rsidTr="005A6497">
        <w:tc>
          <w:tcPr>
            <w:tcW w:w="5000" w:type="pct"/>
            <w:gridSpan w:val="4"/>
          </w:tcPr>
          <w:p w:rsidR="005A6497" w:rsidRPr="00435769" w:rsidRDefault="005A6497" w:rsidP="007932B2">
            <w:pPr>
              <w:jc w:val="both"/>
              <w:rPr>
                <w:sz w:val="20"/>
              </w:rPr>
            </w:pPr>
            <w:r w:rsidRPr="00435769">
              <w:rPr>
                <w:sz w:val="20"/>
              </w:rPr>
              <w:t xml:space="preserve">In 2010, the Peerless Trout First Nation (“PTFN”) passed their first Customary Election Regulations. The Regulations are a complete written code governing PTFN elections addressing among other things, nominations of candidates for the position of Chief and Councillors and the appeal of an election by an elector. The Regulations set an election date of October 30, 2014 to elect a Chief and one Councillor from each of the Peerless Lake and Trout Lake communities. The election was held and subsequently two separate appeals were filed in accordance with the Regulations. </w:t>
            </w:r>
          </w:p>
          <w:p w:rsidR="005A6497" w:rsidRPr="00435769" w:rsidRDefault="005A6497" w:rsidP="007932B2">
            <w:pPr>
              <w:ind w:left="720"/>
              <w:jc w:val="both"/>
              <w:rPr>
                <w:sz w:val="20"/>
              </w:rPr>
            </w:pPr>
          </w:p>
          <w:p w:rsidR="005A6497" w:rsidRPr="00435769" w:rsidRDefault="005A6497" w:rsidP="007932B2">
            <w:pPr>
              <w:jc w:val="both"/>
              <w:rPr>
                <w:sz w:val="20"/>
              </w:rPr>
            </w:pPr>
            <w:r w:rsidRPr="00435769">
              <w:rPr>
                <w:sz w:val="20"/>
              </w:rPr>
              <w:t>In 2011, the Applicant, Mr. Orr had commenced a lawsuit against PTFN alleging that PTFN owes him monies according to the terms of a 1991 agreement addressing compensation for the time he spent working on the PTFN treaty land claim. Mr. Orr was nominated to run as Chief in the 2014 election but was ruled ineligible by the Elections Officer (“EO”). Section 9.3(c) of the Regulations states as follows:</w:t>
            </w:r>
          </w:p>
          <w:p w:rsidR="005A6497" w:rsidRPr="00435769" w:rsidRDefault="005A6497" w:rsidP="007932B2">
            <w:pPr>
              <w:jc w:val="both"/>
              <w:rPr>
                <w:sz w:val="20"/>
              </w:rPr>
            </w:pPr>
          </w:p>
          <w:p w:rsidR="005A6497" w:rsidRPr="00435769" w:rsidRDefault="005A6497" w:rsidP="007932B2">
            <w:pPr>
              <w:ind w:left="720"/>
              <w:jc w:val="both"/>
              <w:rPr>
                <w:sz w:val="20"/>
              </w:rPr>
            </w:pPr>
            <w:r w:rsidRPr="00435769">
              <w:rPr>
                <w:sz w:val="20"/>
              </w:rPr>
              <w:t>(c) Any Elector who is a Plaintiff in a civil action against PTFN is not eligible to be Nominated.</w:t>
            </w:r>
          </w:p>
          <w:p w:rsidR="005A6497" w:rsidRPr="00435769" w:rsidRDefault="005A6497" w:rsidP="007932B2">
            <w:pPr>
              <w:ind w:left="720"/>
              <w:jc w:val="both"/>
              <w:rPr>
                <w:sz w:val="20"/>
              </w:rPr>
            </w:pPr>
          </w:p>
          <w:p w:rsidR="005A6497" w:rsidRPr="00435769" w:rsidRDefault="005A6497" w:rsidP="007932B2">
            <w:pPr>
              <w:jc w:val="both"/>
              <w:rPr>
                <w:sz w:val="20"/>
              </w:rPr>
            </w:pPr>
            <w:r w:rsidRPr="00435769">
              <w:rPr>
                <w:sz w:val="20"/>
              </w:rPr>
              <w:t xml:space="preserve">Mr. Orr appealed the election of Mr. James Alook as Chief and argued that the EO made an error in interpreting or applying the Regulations which materially and directly affected the conduct and outcome of the election. Mr. Orr also argued that the section of the Regulations used to disqualify his nomination was unconstitutional and must be </w:t>
            </w:r>
            <w:r w:rsidRPr="00435769">
              <w:rPr>
                <w:sz w:val="20"/>
              </w:rPr>
              <w:lastRenderedPageBreak/>
              <w:t xml:space="preserve">struck as inconsistent with the Constitution. Mr. Orr also filed an action in the Court of Queen’s Bench of Alberta in July, 2014 asking to have s. 9.3(c) declared invalid on the grounds that it was contrary to the </w:t>
            </w:r>
            <w:r w:rsidRPr="00435769">
              <w:rPr>
                <w:i/>
                <w:sz w:val="20"/>
              </w:rPr>
              <w:t>Charter</w:t>
            </w:r>
            <w:r w:rsidRPr="00435769">
              <w:rPr>
                <w:sz w:val="20"/>
              </w:rPr>
              <w:t xml:space="preserve">. The Master rendered a decision in that matter and found that s. 9.3(c) did not offend the </w:t>
            </w:r>
            <w:r w:rsidRPr="00435769">
              <w:rPr>
                <w:i/>
                <w:sz w:val="20"/>
              </w:rPr>
              <w:t>Charter</w:t>
            </w:r>
            <w:r w:rsidRPr="00435769">
              <w:rPr>
                <w:sz w:val="20"/>
              </w:rPr>
              <w:t xml:space="preserve"> and it was not otherwise </w:t>
            </w:r>
            <w:r w:rsidRPr="00435769">
              <w:rPr>
                <w:i/>
                <w:sz w:val="20"/>
              </w:rPr>
              <w:t>ultra vires</w:t>
            </w:r>
            <w:r w:rsidRPr="00435769">
              <w:rPr>
                <w:sz w:val="20"/>
              </w:rPr>
              <w:t xml:space="preserve"> the PTFN Council. The Arbitrator agreed with this conclusion and disagreed with Mr. Orr’s position that s. 9.3(c) is intended to prevent PTFN members from suing the PTFN Council and instead found that the provision was directed towards ensuring that the Chief and Councillors fully and properly carry out their duties and responsibilities under the Regulations. The Arbitrator dismissed Mr. Orr’s appeal. The EO was found to have properly applied s. 9.3(c) of the Regulations to disqualify Mr. Orr’s nomination. The provision was also found to be constitutional and valid. In the event that he was wrong, the Arbitrator also found that the provision was reasonable and justified under s. 1 of the </w:t>
            </w:r>
            <w:r w:rsidRPr="00435769">
              <w:rPr>
                <w:i/>
                <w:sz w:val="20"/>
              </w:rPr>
              <w:t>Charter</w:t>
            </w:r>
            <w:r w:rsidRPr="00435769">
              <w:rPr>
                <w:sz w:val="20"/>
              </w:rPr>
              <w:t>. The subsequent application for judicial review and appeal were both dismissed.</w:t>
            </w:r>
          </w:p>
          <w:p w:rsidR="005A6497" w:rsidRPr="00435769" w:rsidRDefault="005A6497" w:rsidP="007932B2">
            <w:pPr>
              <w:jc w:val="both"/>
              <w:rPr>
                <w:sz w:val="20"/>
              </w:rPr>
            </w:pPr>
          </w:p>
          <w:p w:rsidR="005A6497" w:rsidRPr="00435769" w:rsidRDefault="005A6497" w:rsidP="007932B2">
            <w:pPr>
              <w:jc w:val="both"/>
              <w:rPr>
                <w:sz w:val="20"/>
              </w:rPr>
            </w:pPr>
            <w:r w:rsidRPr="00435769">
              <w:rPr>
                <w:sz w:val="20"/>
              </w:rPr>
              <w:t>A separate appeal was filed by the Applicant, Mr. Houle. Mr. Houle was nominated for and ran for Chief in the 2014 election. He claims that contrary to the Regulations, Mr. James Alook was guilty of a corrupt election practice or benefitted from and consented to a corrupt election practice. He also claims improper activities by the EO or polling clerks and a third and overlapping ground alleges improper activities by another individual. The Arbitrator upheld Mr. Houle’s appeal but allowed the result of the election to stand as the infractions did not materially affect the result of the election. He found that none of the infraction of the electoral process found could have materially affected the election and therefore the appeal was fundamentally lacking in merit. He ordered that Mr. Houle pay half of the Peerless Trout First Nation’s costs of the election appeal arbitration. The application for judicial review was dismissed and the Arbitrator’s decision was upheld with the exception of his order as to costs. The Federal Court of Appeal dismissed the appeal.</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lastRenderedPageBreak/>
              <w:t>September 8, 2015</w:t>
            </w:r>
          </w:p>
          <w:p w:rsidR="005A6497" w:rsidRPr="00435769" w:rsidRDefault="005A6497" w:rsidP="007932B2">
            <w:pPr>
              <w:jc w:val="both"/>
              <w:rPr>
                <w:sz w:val="20"/>
              </w:rPr>
            </w:pPr>
            <w:r w:rsidRPr="00435769">
              <w:rPr>
                <w:sz w:val="20"/>
              </w:rPr>
              <w:t>Federal Court</w:t>
            </w:r>
          </w:p>
          <w:p w:rsidR="005A6497" w:rsidRPr="00435769" w:rsidRDefault="005A6497" w:rsidP="007932B2">
            <w:pPr>
              <w:jc w:val="both"/>
              <w:rPr>
                <w:sz w:val="20"/>
              </w:rPr>
            </w:pPr>
            <w:r w:rsidRPr="00435769">
              <w:rPr>
                <w:sz w:val="20"/>
              </w:rPr>
              <w:t>(Strickland Cecily Y.)</w:t>
            </w:r>
          </w:p>
          <w:p w:rsidR="005A6497" w:rsidRPr="00435769" w:rsidRDefault="00435769" w:rsidP="007932B2">
            <w:pPr>
              <w:jc w:val="both"/>
              <w:rPr>
                <w:sz w:val="20"/>
              </w:rPr>
            </w:pPr>
            <w:hyperlink r:id="rId91" w:history="1">
              <w:r w:rsidR="005A6497" w:rsidRPr="00435769">
                <w:rPr>
                  <w:rStyle w:val="Hyperlink"/>
                  <w:sz w:val="20"/>
                </w:rPr>
                <w:t>2015 FC 1053</w:t>
              </w:r>
            </w:hyperlink>
            <w:r w:rsidR="005A6497" w:rsidRPr="00435769">
              <w:rPr>
                <w:sz w:val="20"/>
              </w:rPr>
              <w:t>; T-32-15</w:t>
            </w:r>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Application for judicial review dismissed; Arbitrator’s decision allowing election results to stand was upheld with the exception of the order as to costs</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May 9, 2016</w:t>
            </w:r>
          </w:p>
          <w:p w:rsidR="005A6497" w:rsidRPr="00435769" w:rsidRDefault="005A6497" w:rsidP="007932B2">
            <w:pPr>
              <w:jc w:val="both"/>
              <w:rPr>
                <w:sz w:val="20"/>
              </w:rPr>
            </w:pPr>
            <w:r w:rsidRPr="00435769">
              <w:rPr>
                <w:sz w:val="20"/>
              </w:rPr>
              <w:t>Federal Court of Appeal</w:t>
            </w:r>
          </w:p>
          <w:p w:rsidR="005A6497" w:rsidRPr="00435769" w:rsidRDefault="005A6497" w:rsidP="007932B2">
            <w:pPr>
              <w:jc w:val="both"/>
              <w:rPr>
                <w:sz w:val="20"/>
              </w:rPr>
            </w:pPr>
            <w:r w:rsidRPr="00435769">
              <w:rPr>
                <w:sz w:val="20"/>
              </w:rPr>
              <w:t>(Pelletier, Webb and De Montigny JJ.A.)</w:t>
            </w:r>
          </w:p>
          <w:p w:rsidR="005A6497" w:rsidRPr="00435769" w:rsidRDefault="00435769" w:rsidP="007932B2">
            <w:pPr>
              <w:jc w:val="both"/>
              <w:rPr>
                <w:sz w:val="20"/>
              </w:rPr>
            </w:pPr>
            <w:hyperlink r:id="rId92" w:history="1">
              <w:r w:rsidR="005A6497" w:rsidRPr="00435769">
                <w:rPr>
                  <w:rStyle w:val="Hyperlink"/>
                  <w:sz w:val="20"/>
                </w:rPr>
                <w:t>2016 FCA 146</w:t>
              </w:r>
            </w:hyperlink>
            <w:r w:rsidR="005A6497" w:rsidRPr="00435769">
              <w:rPr>
                <w:sz w:val="20"/>
              </w:rPr>
              <w:t>; A-428-15</w:t>
            </w:r>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Appeal dismissed</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June 24, 2016</w:t>
            </w:r>
          </w:p>
          <w:p w:rsidR="005A6497" w:rsidRPr="00435769" w:rsidRDefault="005A6497" w:rsidP="009C2F30">
            <w:pPr>
              <w:jc w:val="both"/>
              <w:rPr>
                <w:sz w:val="20"/>
              </w:rPr>
            </w:pPr>
            <w:r w:rsidRPr="00435769">
              <w:rPr>
                <w:sz w:val="20"/>
              </w:rPr>
              <w:t>Supreme Court of Canada</w:t>
            </w: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Application for leave to appeal filed</w:t>
            </w:r>
          </w:p>
          <w:p w:rsidR="005A6497" w:rsidRPr="00435769" w:rsidRDefault="005A6497" w:rsidP="007932B2">
            <w:pPr>
              <w:jc w:val="both"/>
              <w:rPr>
                <w:sz w:val="20"/>
              </w:rPr>
            </w:pPr>
          </w:p>
        </w:tc>
      </w:tr>
    </w:tbl>
    <w:p w:rsidR="005A6497" w:rsidRPr="00435769" w:rsidRDefault="005A6497" w:rsidP="007932B2">
      <w:pPr>
        <w:jc w:val="both"/>
        <w:rPr>
          <w:sz w:val="20"/>
        </w:rPr>
      </w:pPr>
    </w:p>
    <w:p w:rsidR="009C2F30" w:rsidRPr="00435769" w:rsidRDefault="009C2F30" w:rsidP="007932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lang w:val="fr-CA"/>
              </w:rPr>
            </w:pPr>
            <w:r w:rsidRPr="00435769">
              <w:rPr>
                <w:rStyle w:val="SCCFileNumberChar"/>
                <w:sz w:val="20"/>
                <w:szCs w:val="20"/>
                <w:lang w:val="fr-CA"/>
              </w:rPr>
              <w:t>37087</w:t>
            </w:r>
          </w:p>
        </w:tc>
        <w:tc>
          <w:tcPr>
            <w:tcW w:w="4457" w:type="pct"/>
            <w:gridSpan w:val="3"/>
          </w:tcPr>
          <w:p w:rsidR="005A6497" w:rsidRPr="00435769" w:rsidRDefault="005A6497" w:rsidP="007932B2">
            <w:pPr>
              <w:pStyle w:val="SCCLsocParty"/>
              <w:jc w:val="both"/>
              <w:rPr>
                <w:b/>
                <w:sz w:val="20"/>
                <w:szCs w:val="20"/>
              </w:rPr>
            </w:pPr>
            <w:r w:rsidRPr="00435769">
              <w:rPr>
                <w:b/>
                <w:sz w:val="20"/>
                <w:szCs w:val="20"/>
              </w:rPr>
              <w:t>Andrew Orr et Paul Houle c. Première Nation de Peerless Trout</w:t>
            </w:r>
          </w:p>
          <w:p w:rsidR="005A6497" w:rsidRPr="00435769" w:rsidRDefault="005A6497" w:rsidP="007932B2">
            <w:pPr>
              <w:jc w:val="both"/>
              <w:rPr>
                <w:sz w:val="20"/>
                <w:lang w:val="fr-CA"/>
              </w:rPr>
            </w:pPr>
            <w:r w:rsidRPr="00435769">
              <w:rPr>
                <w:sz w:val="20"/>
                <w:lang w:val="fr-CA"/>
              </w:rPr>
              <w:t>(CF) (Civile) (Sur autorisation)</w:t>
            </w:r>
          </w:p>
        </w:tc>
      </w:tr>
      <w:tr w:rsidR="005A6497" w:rsidRPr="00435769" w:rsidTr="005A6497">
        <w:tc>
          <w:tcPr>
            <w:tcW w:w="5000" w:type="pct"/>
            <w:gridSpan w:val="4"/>
          </w:tcPr>
          <w:p w:rsidR="005A6497" w:rsidRPr="00435769" w:rsidRDefault="005A6497" w:rsidP="007932B2">
            <w:pPr>
              <w:jc w:val="both"/>
              <w:rPr>
                <w:sz w:val="20"/>
                <w:lang w:val="fr-CA"/>
              </w:rPr>
            </w:pPr>
            <w:r w:rsidRPr="00435769">
              <w:rPr>
                <w:i/>
                <w:sz w:val="20"/>
                <w:lang w:val="fr-CA"/>
              </w:rPr>
              <w:t xml:space="preserve">Charte canadienne des droits et libertés </w:t>
            </w:r>
            <w:r w:rsidRPr="00435769">
              <w:rPr>
                <w:sz w:val="20"/>
                <w:lang w:val="fr-CA"/>
              </w:rPr>
              <w:t xml:space="preserve">– Droit constitutionnel – Peuples autochtones – Élections – La démocratie est-elle un principe constitutionnel fondamental qui s’applique aux élections des Premières Nations de manière à ce que tout citoyen de la Nation puisse participer au processus électoral, notamment en ayant le droit d’être candidat – Lorsqu’une élection s’est déroulée de façon si irrégulière qu’elle n’était pas pour l’essentiel conforme au droit des élections, y a-t-il lieu d’annuler l’élection? – </w:t>
            </w:r>
            <w:r w:rsidRPr="00435769">
              <w:rPr>
                <w:i/>
                <w:sz w:val="20"/>
                <w:lang w:val="fr-CA"/>
              </w:rPr>
              <w:t>Charte canadienne des droits et libertés</w:t>
            </w:r>
            <w:r w:rsidRPr="00435769">
              <w:rPr>
                <w:sz w:val="20"/>
                <w:lang w:val="fr-CA"/>
              </w:rPr>
              <w:t>, art. 3.</w:t>
            </w:r>
          </w:p>
        </w:tc>
      </w:tr>
      <w:tr w:rsidR="005A6497" w:rsidRPr="00435769" w:rsidTr="005A6497">
        <w:tc>
          <w:tcPr>
            <w:tcW w:w="5000" w:type="pct"/>
            <w:gridSpan w:val="4"/>
          </w:tcPr>
          <w:p w:rsidR="005A6497" w:rsidRPr="00435769" w:rsidRDefault="005A6497" w:rsidP="007932B2">
            <w:pPr>
              <w:jc w:val="both"/>
              <w:rPr>
                <w:sz w:val="20"/>
                <w:lang w:val="fr-CA"/>
              </w:rPr>
            </w:pPr>
          </w:p>
        </w:tc>
      </w:tr>
      <w:tr w:rsidR="005A6497" w:rsidRPr="00435769" w:rsidTr="005A6497">
        <w:tc>
          <w:tcPr>
            <w:tcW w:w="5000" w:type="pct"/>
            <w:gridSpan w:val="4"/>
          </w:tcPr>
          <w:p w:rsidR="005A6497" w:rsidRPr="00435769" w:rsidRDefault="005A6497" w:rsidP="007932B2">
            <w:pPr>
              <w:jc w:val="both"/>
              <w:rPr>
                <w:sz w:val="20"/>
                <w:lang w:val="fr-CA"/>
              </w:rPr>
            </w:pPr>
            <w:r w:rsidRPr="00435769">
              <w:rPr>
                <w:sz w:val="20"/>
                <w:lang w:val="fr-CA"/>
              </w:rPr>
              <w:t xml:space="preserve">En 2010, la Première Nation de Peerless Trout (« PNPT ») a adopté son premier Règlement sur les élections coutumières. Le règlement constitue un code écrit complet régissant les élections au sein de la PNPT et porte notamment sur la mise en candidature aux postes de chef et de conseillers et l’appel d’une élection par un électeur. Le règlement a fixé au 30 octobre 2014 la date d’élection du chef et d’un conseiller de chacune des communautés de Peerless Lake et de Trout Lake. L’élection a été tenue et deux appels distincts ont été interjetés par la suite conformément au règlement. </w:t>
            </w:r>
          </w:p>
          <w:p w:rsidR="005A6497" w:rsidRPr="00435769" w:rsidRDefault="005A6497" w:rsidP="007932B2">
            <w:pPr>
              <w:ind w:left="720"/>
              <w:jc w:val="both"/>
              <w:rPr>
                <w:sz w:val="20"/>
                <w:lang w:val="fr-CA"/>
              </w:rPr>
            </w:pPr>
          </w:p>
          <w:p w:rsidR="005A6497" w:rsidRPr="00435769" w:rsidRDefault="005A6497" w:rsidP="007932B2">
            <w:pPr>
              <w:jc w:val="both"/>
              <w:rPr>
                <w:sz w:val="20"/>
                <w:lang w:val="fr-CA"/>
              </w:rPr>
            </w:pPr>
            <w:r w:rsidRPr="00435769">
              <w:rPr>
                <w:sz w:val="20"/>
                <w:lang w:val="fr-CA"/>
              </w:rPr>
              <w:lastRenderedPageBreak/>
              <w:t>En 2011, le demandeur, M. Orr, avait intenté une poursuite en justice contre la PNPT, alléguant que la PNPT lui devait de l’argent conformément aux dispositions d’une entente de 1991 portant sur la rémunération du temps qu’il avait consacré à travailler sur la revendication territoriale de la PNPT. Monsieur Orr a été nommé candidat au poste de chef à l’élection de 2014, mais a été déclaré inhabile par le fonctionnaire électoral (« FO »). L’alinéa 9.3c) du Règlement dispose :</w:t>
            </w:r>
          </w:p>
          <w:p w:rsidR="005A6497" w:rsidRPr="00435769" w:rsidRDefault="005A6497" w:rsidP="007932B2">
            <w:pPr>
              <w:jc w:val="both"/>
              <w:rPr>
                <w:sz w:val="20"/>
                <w:lang w:val="fr-CA"/>
              </w:rPr>
            </w:pPr>
          </w:p>
          <w:p w:rsidR="005A6497" w:rsidRPr="00435769" w:rsidRDefault="005A6497" w:rsidP="007932B2">
            <w:pPr>
              <w:ind w:left="720"/>
              <w:jc w:val="both"/>
              <w:rPr>
                <w:sz w:val="20"/>
                <w:lang w:val="fr-CA"/>
              </w:rPr>
            </w:pPr>
            <w:r w:rsidRPr="00435769">
              <w:rPr>
                <w:sz w:val="20"/>
                <w:lang w:val="fr-CA"/>
              </w:rPr>
              <w:t>[</w:t>
            </w:r>
            <w:r w:rsidRPr="00435769">
              <w:rPr>
                <w:smallCaps/>
                <w:sz w:val="20"/>
                <w:lang w:val="fr-CA"/>
              </w:rPr>
              <w:t>traduction</w:t>
            </w:r>
            <w:r w:rsidRPr="00435769">
              <w:rPr>
                <w:sz w:val="20"/>
                <w:lang w:val="fr-CA"/>
              </w:rPr>
              <w:t>] c) nul électeur étant partie demanderesse dans une action civile contre la PNPT ne peut être nommé candidat.</w:t>
            </w:r>
          </w:p>
          <w:p w:rsidR="005A6497" w:rsidRPr="00435769" w:rsidRDefault="005A6497" w:rsidP="007932B2">
            <w:pPr>
              <w:ind w:left="720"/>
              <w:jc w:val="both"/>
              <w:rPr>
                <w:sz w:val="20"/>
                <w:lang w:val="fr-CA"/>
              </w:rPr>
            </w:pPr>
          </w:p>
          <w:p w:rsidR="005A6497" w:rsidRPr="00435769" w:rsidRDefault="005A6497" w:rsidP="007932B2">
            <w:pPr>
              <w:jc w:val="both"/>
              <w:rPr>
                <w:sz w:val="20"/>
                <w:lang w:val="fr-CA"/>
              </w:rPr>
            </w:pPr>
            <w:r w:rsidRPr="00435769">
              <w:rPr>
                <w:sz w:val="20"/>
                <w:lang w:val="fr-CA"/>
              </w:rPr>
              <w:t>Monsieur Orr a interjeté appel de l’élection de M. James Alook comme chef et a plaidé que le FO avait commis une erreur dans l’interprétation ou dans l’application du Règlement, ce qui a influé de façon importante et directe sur la tenue et le résultat de l’élection. Monsieur Orr a également fait valoir que l’article du Règlement invoqué pour rejeter sa mise en candidature était inconstitutionnel et qu’il devait être supprimé à ce titre. En juillet 2014, M. Orr a également introduit une action devant la Cour du Banc de la Reine de l’Alberta afin qu’elle déclare l’alinéa 9.3</w:t>
            </w:r>
            <w:r w:rsidRPr="00435769">
              <w:rPr>
                <w:i/>
                <w:iCs/>
                <w:sz w:val="20"/>
                <w:lang w:val="fr-CA"/>
              </w:rPr>
              <w:t>c</w:t>
            </w:r>
            <w:r w:rsidRPr="00435769">
              <w:rPr>
                <w:sz w:val="20"/>
                <w:lang w:val="fr-CA"/>
              </w:rPr>
              <w:t>) invalide parce qu’il contrevenait aux dispositions de la</w:t>
            </w:r>
            <w:r w:rsidRPr="00435769">
              <w:rPr>
                <w:i/>
                <w:sz w:val="20"/>
                <w:lang w:val="fr-CA"/>
              </w:rPr>
              <w:t xml:space="preserve"> Charte</w:t>
            </w:r>
            <w:r w:rsidRPr="00435769">
              <w:rPr>
                <w:sz w:val="20"/>
                <w:lang w:val="fr-CA"/>
              </w:rPr>
              <w:t>. Le protonotaire a rendu une décision dans cette affaire et a conclu que l’alinéa 9.3</w:t>
            </w:r>
            <w:r w:rsidRPr="00435769">
              <w:rPr>
                <w:i/>
                <w:iCs/>
                <w:sz w:val="20"/>
                <w:lang w:val="fr-CA"/>
              </w:rPr>
              <w:t>c</w:t>
            </w:r>
            <w:r w:rsidRPr="00435769">
              <w:rPr>
                <w:sz w:val="20"/>
                <w:lang w:val="fr-CA"/>
              </w:rPr>
              <w:t>) n’enfreignait pas la </w:t>
            </w:r>
            <w:r w:rsidRPr="00435769">
              <w:rPr>
                <w:i/>
                <w:sz w:val="20"/>
                <w:lang w:val="fr-CA"/>
              </w:rPr>
              <w:t>Charte</w:t>
            </w:r>
            <w:r w:rsidRPr="00435769">
              <w:rPr>
                <w:i/>
                <w:iCs/>
                <w:sz w:val="20"/>
                <w:lang w:val="fr-CA"/>
              </w:rPr>
              <w:t>,</w:t>
            </w:r>
            <w:r w:rsidRPr="00435769">
              <w:rPr>
                <w:sz w:val="20"/>
                <w:lang w:val="fr-CA"/>
              </w:rPr>
              <w:t> ni n’était par ailleurs </w:t>
            </w:r>
            <w:r w:rsidRPr="00435769">
              <w:rPr>
                <w:i/>
                <w:iCs/>
                <w:sz w:val="20"/>
                <w:lang w:val="fr-CA"/>
              </w:rPr>
              <w:t>ultra vires</w:t>
            </w:r>
            <w:r w:rsidRPr="00435769">
              <w:rPr>
                <w:sz w:val="20"/>
                <w:lang w:val="fr-CA"/>
              </w:rPr>
              <w:t> du conseil de la PNPT. L’arbitre s’est dit d’accord avec cette conclusion et n’a pas souscrit à l’argument de M. Orr selon lequel l’alinéa 9.3</w:t>
            </w:r>
            <w:r w:rsidRPr="00435769">
              <w:rPr>
                <w:i/>
                <w:iCs/>
                <w:sz w:val="20"/>
                <w:lang w:val="fr-CA"/>
              </w:rPr>
              <w:t>c</w:t>
            </w:r>
            <w:r w:rsidRPr="00435769">
              <w:rPr>
                <w:sz w:val="20"/>
                <w:lang w:val="fr-CA"/>
              </w:rPr>
              <w:t>) visait à empêcher les membres de la PNPT de poursuivre en justice le conseil de la PNPT, son objet étant plutôt de garantir, a</w:t>
            </w:r>
            <w:r w:rsidRPr="00435769">
              <w:rPr>
                <w:sz w:val="20"/>
                <w:lang w:val="fr-CA"/>
              </w:rPr>
              <w:noBreakHyphen/>
              <w:t>t</w:t>
            </w:r>
            <w:r w:rsidRPr="00435769">
              <w:rPr>
                <w:sz w:val="20"/>
                <w:lang w:val="fr-CA"/>
              </w:rPr>
              <w:noBreakHyphen/>
              <w:t>il conclu, que le chef et les conseillers s’acquittent pleinement et correctement des obligations que le Règlement leur impose. L’arbitre a rejeté l’appel de M. Orr. Il a conclu que le FO avait correctement appliqué l’al. 9.3c) du Règlement pour écarter la mise en candidature de M. Orr. Il a également conclu à la constitutionnalité et à la validité de la disposition. Dans l’éventualité où il aurait tort sur ce point, l’arbitre a également conclu que la disposition était raisonnable et justifiée au sens de l’article premier de la </w:t>
            </w:r>
            <w:r w:rsidRPr="00435769">
              <w:rPr>
                <w:i/>
                <w:sz w:val="20"/>
                <w:lang w:val="fr-CA"/>
              </w:rPr>
              <w:t>Charte</w:t>
            </w:r>
            <w:r w:rsidRPr="00435769">
              <w:rPr>
                <w:sz w:val="20"/>
                <w:lang w:val="fr-CA"/>
              </w:rPr>
              <w:t>. La demande de contrôle judiciaire et l’appel subséquents ont tous les deux été rejetés.</w:t>
            </w:r>
          </w:p>
          <w:p w:rsidR="005A6497" w:rsidRPr="00435769" w:rsidRDefault="005A6497" w:rsidP="007932B2">
            <w:pPr>
              <w:jc w:val="both"/>
              <w:rPr>
                <w:sz w:val="20"/>
                <w:lang w:val="fr-CA"/>
              </w:rPr>
            </w:pPr>
          </w:p>
          <w:p w:rsidR="005A6497" w:rsidRPr="00435769" w:rsidRDefault="005A6497" w:rsidP="007932B2">
            <w:pPr>
              <w:jc w:val="both"/>
              <w:rPr>
                <w:sz w:val="20"/>
                <w:lang w:val="fr-CA"/>
              </w:rPr>
            </w:pPr>
            <w:r w:rsidRPr="00435769">
              <w:rPr>
                <w:sz w:val="20"/>
                <w:lang w:val="fr-CA"/>
              </w:rPr>
              <w:t>L’autre demandeur, M. Houle, a interjeté un appel distinct. Monsieur Houle a été désigné comme candidat au poste de chef à l’élection de 2014. Il allègue que, contrairement au Règlement, M. James Alook était coupable de manœuvres électorales frauduleuses ou qu’il avait bénéficié de telles manœuvres et y avait consenti. Il allègue également que le FO ou des greffiers de scrutin se seraient livrés à des activités irrégulières et qu’une autre personne en aurait fait de même. L’arbitre a fait droit à l’appel de M. Houle, mais il a maintenu le résultat de l’élection, puisque les infractions n’avaient pas influé de façon importante sur le résultat. Il a conclu qu’aucune des infractions relevées au processus électoral n’aurait pu influer sur le résultat de l’élection, si bien que l’appel était pour l’essentiel non fondé. Il a condamné M. Houle à payer la moitié des frais d’arbitrage de l’appel de l’élection engagés par la Première Nation de Peerless Trout. La demande de contrôle judiciaire a été rejetée et la décision de l’arbitre a été confirmée, sauf quant à l’ordonnance relative aux frais. La Cour d’appel fédérale a rejeté l’appel.</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lastRenderedPageBreak/>
              <w:t>8 septembre 2015</w:t>
            </w:r>
          </w:p>
          <w:p w:rsidR="005A6497" w:rsidRPr="00435769" w:rsidRDefault="005A6497" w:rsidP="007932B2">
            <w:pPr>
              <w:jc w:val="both"/>
              <w:rPr>
                <w:sz w:val="20"/>
                <w:lang w:val="fr-CA"/>
              </w:rPr>
            </w:pPr>
            <w:r w:rsidRPr="00435769">
              <w:rPr>
                <w:sz w:val="20"/>
                <w:lang w:val="fr-CA"/>
              </w:rPr>
              <w:t>Cour fédérale</w:t>
            </w:r>
          </w:p>
          <w:p w:rsidR="005A6497" w:rsidRPr="00435769" w:rsidRDefault="005A6497" w:rsidP="007932B2">
            <w:pPr>
              <w:jc w:val="both"/>
              <w:rPr>
                <w:sz w:val="20"/>
                <w:lang w:val="fr-CA"/>
              </w:rPr>
            </w:pPr>
            <w:r w:rsidRPr="00435769">
              <w:rPr>
                <w:sz w:val="20"/>
                <w:lang w:val="fr-CA"/>
              </w:rPr>
              <w:t>(Juge Strickland)</w:t>
            </w:r>
          </w:p>
          <w:p w:rsidR="005A6497" w:rsidRPr="00435769" w:rsidRDefault="00435769" w:rsidP="007932B2">
            <w:pPr>
              <w:jc w:val="both"/>
              <w:rPr>
                <w:sz w:val="20"/>
                <w:lang w:val="fr-CA"/>
              </w:rPr>
            </w:pPr>
            <w:hyperlink r:id="rId93" w:history="1">
              <w:r w:rsidR="005A6497" w:rsidRPr="00435769">
                <w:rPr>
                  <w:rStyle w:val="Hyperlink"/>
                  <w:sz w:val="20"/>
                  <w:lang w:val="fr-CA"/>
                </w:rPr>
                <w:t>2015 FC 1053</w:t>
              </w:r>
            </w:hyperlink>
            <w:r w:rsidR="005A6497" w:rsidRPr="00435769">
              <w:rPr>
                <w:sz w:val="20"/>
                <w:lang w:val="fr-CA"/>
              </w:rPr>
              <w:t>; T-32-15</w:t>
            </w:r>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Rejet de la demande de contrôle judiciaire; confirmation de la décision de l’arbitre de maintenir les résultats de l’élection, sauf quant à l’ordonnance relative aux frais</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9 mai 2016</w:t>
            </w:r>
          </w:p>
          <w:p w:rsidR="005A6497" w:rsidRPr="00435769" w:rsidRDefault="005A6497" w:rsidP="007932B2">
            <w:pPr>
              <w:jc w:val="both"/>
              <w:rPr>
                <w:sz w:val="20"/>
                <w:lang w:val="fr-CA"/>
              </w:rPr>
            </w:pPr>
            <w:r w:rsidRPr="00435769">
              <w:rPr>
                <w:sz w:val="20"/>
                <w:lang w:val="fr-CA"/>
              </w:rPr>
              <w:t>Cour d’appel fédérale</w:t>
            </w:r>
          </w:p>
          <w:p w:rsidR="005A6497" w:rsidRPr="00435769" w:rsidRDefault="005A6497" w:rsidP="007932B2">
            <w:pPr>
              <w:jc w:val="both"/>
              <w:rPr>
                <w:sz w:val="20"/>
                <w:lang w:val="fr-CA"/>
              </w:rPr>
            </w:pPr>
            <w:r w:rsidRPr="00435769">
              <w:rPr>
                <w:sz w:val="20"/>
                <w:lang w:val="fr-CA"/>
              </w:rPr>
              <w:t>(Juges Pelletier, Webb et De Montigny)</w:t>
            </w:r>
          </w:p>
          <w:p w:rsidR="005A6497" w:rsidRPr="00435769" w:rsidRDefault="00435769" w:rsidP="007932B2">
            <w:pPr>
              <w:jc w:val="both"/>
              <w:rPr>
                <w:sz w:val="20"/>
                <w:lang w:val="fr-CA"/>
              </w:rPr>
            </w:pPr>
            <w:hyperlink r:id="rId94" w:history="1">
              <w:r w:rsidR="005A6497" w:rsidRPr="00435769">
                <w:rPr>
                  <w:rStyle w:val="Hyperlink"/>
                  <w:sz w:val="20"/>
                  <w:lang w:val="fr-CA"/>
                </w:rPr>
                <w:t>2016 FCA 146</w:t>
              </w:r>
            </w:hyperlink>
            <w:r w:rsidR="005A6497" w:rsidRPr="00435769">
              <w:rPr>
                <w:sz w:val="20"/>
                <w:lang w:val="fr-CA"/>
              </w:rPr>
              <w:t>; A-428-15</w:t>
            </w:r>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Rejet de l’appel</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24 juin 2016</w:t>
            </w:r>
          </w:p>
          <w:p w:rsidR="005A6497" w:rsidRPr="00435769" w:rsidRDefault="005A6497" w:rsidP="009C2F30">
            <w:pPr>
              <w:jc w:val="both"/>
              <w:rPr>
                <w:sz w:val="20"/>
                <w:lang w:val="fr-CA"/>
              </w:rPr>
            </w:pPr>
            <w:r w:rsidRPr="00435769">
              <w:rPr>
                <w:sz w:val="20"/>
                <w:lang w:val="fr-CA"/>
              </w:rPr>
              <w:t>Cour suprême du Canada</w:t>
            </w: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Dépôt de la demande d’autorisation d’appel</w:t>
            </w:r>
          </w:p>
          <w:p w:rsidR="005A6497" w:rsidRPr="00435769" w:rsidRDefault="005A6497" w:rsidP="007932B2">
            <w:pPr>
              <w:jc w:val="both"/>
              <w:rPr>
                <w:sz w:val="20"/>
                <w:lang w:val="fr-CA"/>
              </w:rPr>
            </w:pPr>
          </w:p>
        </w:tc>
      </w:tr>
    </w:tbl>
    <w:p w:rsidR="005A6497" w:rsidRPr="00435769" w:rsidRDefault="005A6497" w:rsidP="007932B2">
      <w:pPr>
        <w:jc w:val="both"/>
        <w:rPr>
          <w:sz w:val="20"/>
          <w:lang w:val="fr-CA"/>
        </w:rPr>
      </w:pPr>
    </w:p>
    <w:p w:rsidR="008E7E00" w:rsidRPr="00435769" w:rsidRDefault="008E7E00" w:rsidP="007932B2">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rPr>
            </w:pPr>
            <w:r w:rsidRPr="00435769">
              <w:rPr>
                <w:rStyle w:val="SCCFileNumberChar"/>
                <w:sz w:val="20"/>
                <w:szCs w:val="20"/>
              </w:rPr>
              <w:t>37155</w:t>
            </w:r>
          </w:p>
        </w:tc>
        <w:tc>
          <w:tcPr>
            <w:tcW w:w="4457" w:type="pct"/>
            <w:gridSpan w:val="3"/>
          </w:tcPr>
          <w:p w:rsidR="005A6497" w:rsidRPr="00435769" w:rsidRDefault="005A6497" w:rsidP="007932B2">
            <w:pPr>
              <w:pStyle w:val="SCCLsocParty"/>
              <w:jc w:val="both"/>
              <w:rPr>
                <w:b/>
                <w:sz w:val="20"/>
                <w:szCs w:val="20"/>
                <w:lang w:val="en-US"/>
              </w:rPr>
            </w:pPr>
            <w:r w:rsidRPr="00435769">
              <w:rPr>
                <w:b/>
                <w:sz w:val="20"/>
                <w:szCs w:val="20"/>
                <w:lang w:val="en-US"/>
              </w:rPr>
              <w:t>Joseph Sciascia v. Her Majesty the Queen</w:t>
            </w:r>
          </w:p>
          <w:p w:rsidR="005A6497" w:rsidRPr="00435769" w:rsidRDefault="005A6497" w:rsidP="007932B2">
            <w:pPr>
              <w:jc w:val="both"/>
              <w:rPr>
                <w:sz w:val="20"/>
              </w:rPr>
            </w:pPr>
            <w:r w:rsidRPr="00435769">
              <w:rPr>
                <w:sz w:val="20"/>
              </w:rPr>
              <w:t>(Ont.) (Criminal) (By Leave)</w:t>
            </w:r>
          </w:p>
        </w:tc>
      </w:tr>
      <w:tr w:rsidR="005A6497" w:rsidRPr="00435769" w:rsidTr="005A6497">
        <w:tc>
          <w:tcPr>
            <w:tcW w:w="5000" w:type="pct"/>
            <w:gridSpan w:val="4"/>
          </w:tcPr>
          <w:p w:rsidR="005A6497" w:rsidRPr="00435769" w:rsidRDefault="005A6497" w:rsidP="007932B2">
            <w:pPr>
              <w:jc w:val="both"/>
              <w:rPr>
                <w:sz w:val="20"/>
              </w:rPr>
            </w:pPr>
            <w:r w:rsidRPr="00435769">
              <w:rPr>
                <w:sz w:val="20"/>
              </w:rPr>
              <w:lastRenderedPageBreak/>
              <w:t xml:space="preserve">Criminal law – Procedure – Joint trials – Appeals – Powers of courts of appeal – Applicant simultaneously tried for summary conviction criminal offences and </w:t>
            </w:r>
            <w:r w:rsidRPr="00435769">
              <w:rPr>
                <w:i/>
                <w:sz w:val="20"/>
              </w:rPr>
              <w:t>Highway Traffic Act</w:t>
            </w:r>
            <w:r w:rsidRPr="00435769">
              <w:rPr>
                <w:sz w:val="20"/>
              </w:rPr>
              <w:t xml:space="preserve">, R.S.O. 1990, c H.8, offences – Court of Appeal finding that joint trial was jurisdictional error curable by s. 686(1)(b)(iv) of the </w:t>
            </w:r>
            <w:r w:rsidRPr="00435769">
              <w:rPr>
                <w:i/>
                <w:sz w:val="20"/>
              </w:rPr>
              <w:t>Criminal Code</w:t>
            </w:r>
            <w:r w:rsidRPr="00435769">
              <w:rPr>
                <w:sz w:val="20"/>
              </w:rPr>
              <w:t xml:space="preserve">, R.S.C. 1985, c C-46, and s. 120(1)(b)(iii) of the </w:t>
            </w:r>
            <w:r w:rsidRPr="00435769">
              <w:rPr>
                <w:i/>
                <w:sz w:val="20"/>
              </w:rPr>
              <w:t>Provincial Offences Act</w:t>
            </w:r>
            <w:r w:rsidRPr="00435769">
              <w:rPr>
                <w:sz w:val="20"/>
              </w:rPr>
              <w:t xml:space="preserve">, R.S.O. 1990, c P.33 – Whether s. 686(1)(b)(iv) of the </w:t>
            </w:r>
            <w:r w:rsidRPr="00435769">
              <w:rPr>
                <w:i/>
                <w:sz w:val="20"/>
              </w:rPr>
              <w:t>Criminal Code</w:t>
            </w:r>
            <w:r w:rsidRPr="00435769">
              <w:rPr>
                <w:sz w:val="20"/>
              </w:rPr>
              <w:t xml:space="preserve"> applicable in the circumstances.</w:t>
            </w:r>
          </w:p>
        </w:tc>
      </w:tr>
      <w:tr w:rsidR="005A6497" w:rsidRPr="00435769" w:rsidTr="005A6497">
        <w:tc>
          <w:tcPr>
            <w:tcW w:w="5000" w:type="pct"/>
            <w:gridSpan w:val="4"/>
          </w:tcPr>
          <w:p w:rsidR="005A6497" w:rsidRPr="00435769" w:rsidRDefault="005A6497" w:rsidP="007932B2">
            <w:pPr>
              <w:jc w:val="both"/>
              <w:rPr>
                <w:sz w:val="20"/>
              </w:rPr>
            </w:pPr>
          </w:p>
        </w:tc>
      </w:tr>
      <w:tr w:rsidR="005A6497" w:rsidRPr="00435769" w:rsidTr="005A6497">
        <w:tc>
          <w:tcPr>
            <w:tcW w:w="5000" w:type="pct"/>
            <w:gridSpan w:val="4"/>
          </w:tcPr>
          <w:p w:rsidR="005A6497" w:rsidRPr="00435769" w:rsidRDefault="005A6497" w:rsidP="007932B2">
            <w:pPr>
              <w:jc w:val="both"/>
              <w:rPr>
                <w:sz w:val="20"/>
              </w:rPr>
            </w:pPr>
            <w:r w:rsidRPr="00435769">
              <w:rPr>
                <w:sz w:val="20"/>
              </w:rPr>
              <w:t xml:space="preserve">Mr. Sciascia, applicant, was tried simultaneously for summary conviction criminal offences and provincial offences. On appeal, he argued that the court did not have the authority to try the offences at the same time. The summary conviction appeal court judge dismissed the appeals on the basis that the trial judge had the jurisdiction in both matters, that the rules of procedure in both trials would essentially have been the same, and that Mr. Sciascia was not prejudiced by any differences in the applicable rules of evidence. She also held that the decision </w:t>
            </w:r>
            <w:r w:rsidRPr="00435769">
              <w:rPr>
                <w:i/>
                <w:sz w:val="20"/>
              </w:rPr>
              <w:t>R. v. Clunas</w:t>
            </w:r>
            <w:r w:rsidRPr="00435769">
              <w:rPr>
                <w:sz w:val="20"/>
              </w:rPr>
              <w:t xml:space="preserve">, [1992] 1 S.C.R. 595, supports a more efficient and effective trial process unencumbered by artificial rules that serve no useful purpose and rest on no sound principle. The Court of Appeal found that it was an error for the joint trial to have occurred. It dismissed the appeal, however, on the basis that the jurisdictional error could be cured by s. 686(1)(b)(iv) of the </w:t>
            </w:r>
            <w:r w:rsidRPr="00435769">
              <w:rPr>
                <w:i/>
                <w:sz w:val="20"/>
              </w:rPr>
              <w:t>Criminal Code</w:t>
            </w:r>
            <w:r w:rsidRPr="00435769">
              <w:rPr>
                <w:sz w:val="20"/>
              </w:rPr>
              <w:t xml:space="preserve">. </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June 7, 2013</w:t>
            </w:r>
          </w:p>
          <w:p w:rsidR="005A6497" w:rsidRPr="00435769" w:rsidRDefault="005A6497" w:rsidP="007932B2">
            <w:pPr>
              <w:jc w:val="both"/>
              <w:rPr>
                <w:sz w:val="20"/>
              </w:rPr>
            </w:pPr>
            <w:r w:rsidRPr="00435769">
              <w:rPr>
                <w:sz w:val="20"/>
              </w:rPr>
              <w:t>Ontario Court of Justice</w:t>
            </w:r>
          </w:p>
          <w:p w:rsidR="005A6497" w:rsidRPr="00435769" w:rsidRDefault="005A6497" w:rsidP="007932B2">
            <w:pPr>
              <w:jc w:val="both"/>
              <w:rPr>
                <w:sz w:val="20"/>
              </w:rPr>
            </w:pPr>
            <w:r w:rsidRPr="00435769">
              <w:rPr>
                <w:sz w:val="20"/>
              </w:rPr>
              <w:t>(McKay J.)</w:t>
            </w:r>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 xml:space="preserve">Applicant convicted of dangerous operation of a motor vehicle (s. 249(2) of the </w:t>
            </w:r>
            <w:r w:rsidRPr="00435769">
              <w:rPr>
                <w:i/>
                <w:sz w:val="20"/>
              </w:rPr>
              <w:t>Criminal Code</w:t>
            </w:r>
            <w:r w:rsidRPr="00435769">
              <w:rPr>
                <w:sz w:val="20"/>
              </w:rPr>
              <w:t xml:space="preserve">) and of failure to stop for police (s. 216(1) of the </w:t>
            </w:r>
            <w:r w:rsidRPr="00435769">
              <w:rPr>
                <w:i/>
                <w:sz w:val="20"/>
              </w:rPr>
              <w:t>Highway Traffic Act</w:t>
            </w:r>
            <w:r w:rsidRPr="00435769">
              <w:rPr>
                <w:sz w:val="20"/>
              </w:rPr>
              <w:t xml:space="preserve">); applicant acquitted of assaulting a police officer with a weapon (270.01 (2) of the </w:t>
            </w:r>
            <w:r w:rsidRPr="00435769">
              <w:rPr>
                <w:i/>
                <w:sz w:val="20"/>
              </w:rPr>
              <w:t>Criminal Code</w:t>
            </w:r>
            <w:r w:rsidRPr="00435769">
              <w:rPr>
                <w:sz w:val="20"/>
              </w:rPr>
              <w:t xml:space="preserve">) and of failing to report property damage (s. 201 of the </w:t>
            </w:r>
            <w:r w:rsidRPr="00435769">
              <w:rPr>
                <w:i/>
                <w:sz w:val="20"/>
              </w:rPr>
              <w:t>Highway Traffic Act</w:t>
            </w:r>
            <w:r w:rsidRPr="00435769">
              <w:rPr>
                <w:sz w:val="20"/>
              </w:rPr>
              <w:t>)</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March 24, 2015</w:t>
            </w:r>
          </w:p>
          <w:p w:rsidR="005A6497" w:rsidRPr="00435769" w:rsidRDefault="005A6497" w:rsidP="007932B2">
            <w:pPr>
              <w:jc w:val="both"/>
              <w:rPr>
                <w:sz w:val="20"/>
              </w:rPr>
            </w:pPr>
            <w:r w:rsidRPr="00435769">
              <w:rPr>
                <w:sz w:val="20"/>
              </w:rPr>
              <w:t>Ontario Superior Court of Justice</w:t>
            </w:r>
          </w:p>
          <w:p w:rsidR="005A6497" w:rsidRPr="00435769" w:rsidRDefault="005A6497" w:rsidP="007932B2">
            <w:pPr>
              <w:jc w:val="both"/>
              <w:rPr>
                <w:sz w:val="20"/>
              </w:rPr>
            </w:pPr>
            <w:r w:rsidRPr="00435769">
              <w:rPr>
                <w:sz w:val="20"/>
              </w:rPr>
              <w:t>(Morissette J.)</w:t>
            </w:r>
          </w:p>
          <w:p w:rsidR="005A6497" w:rsidRPr="00435769" w:rsidRDefault="00435769" w:rsidP="007932B2">
            <w:pPr>
              <w:jc w:val="both"/>
              <w:rPr>
                <w:sz w:val="20"/>
              </w:rPr>
            </w:pPr>
            <w:hyperlink r:id="rId95" w:history="1">
              <w:r w:rsidR="005A6497" w:rsidRPr="00435769">
                <w:rPr>
                  <w:rStyle w:val="Hyperlink"/>
                  <w:sz w:val="20"/>
                </w:rPr>
                <w:t>2015 ONSC 1885</w:t>
              </w:r>
            </w:hyperlink>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 xml:space="preserve">Conviction appeals dismissed; sentence appeal allowed and absolute discharge entered </w:t>
            </w:r>
          </w:p>
        </w:tc>
      </w:tr>
      <w:tr w:rsidR="005A6497" w:rsidRPr="00435769" w:rsidTr="005A6497">
        <w:tc>
          <w:tcPr>
            <w:tcW w:w="2427" w:type="pct"/>
            <w:gridSpan w:val="2"/>
          </w:tcPr>
          <w:p w:rsidR="005A6497" w:rsidRPr="00435769" w:rsidRDefault="005A6497" w:rsidP="007932B2">
            <w:pPr>
              <w:jc w:val="both"/>
              <w:rPr>
                <w:sz w:val="20"/>
              </w:rPr>
            </w:pPr>
            <w:r w:rsidRPr="00435769">
              <w:rPr>
                <w:sz w:val="20"/>
              </w:rPr>
              <w:t>May 21, 2015</w:t>
            </w:r>
          </w:p>
          <w:p w:rsidR="005A6497" w:rsidRPr="00435769" w:rsidRDefault="005A6497" w:rsidP="007932B2">
            <w:pPr>
              <w:jc w:val="both"/>
              <w:rPr>
                <w:sz w:val="20"/>
              </w:rPr>
            </w:pPr>
            <w:r w:rsidRPr="00435769">
              <w:rPr>
                <w:sz w:val="20"/>
              </w:rPr>
              <w:t>Court of Appeal for Ontario</w:t>
            </w:r>
          </w:p>
          <w:p w:rsidR="005A6497" w:rsidRPr="00435769" w:rsidRDefault="005A6497" w:rsidP="007932B2">
            <w:pPr>
              <w:jc w:val="both"/>
              <w:rPr>
                <w:sz w:val="20"/>
              </w:rPr>
            </w:pPr>
            <w:r w:rsidRPr="00435769">
              <w:rPr>
                <w:sz w:val="20"/>
              </w:rPr>
              <w:t>(Simmons J.A.)</w:t>
            </w:r>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Leave to appeal granted</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May 30, 2016</w:t>
            </w:r>
          </w:p>
          <w:p w:rsidR="005A6497" w:rsidRPr="00435769" w:rsidRDefault="005A6497" w:rsidP="007932B2">
            <w:pPr>
              <w:jc w:val="both"/>
              <w:rPr>
                <w:sz w:val="20"/>
              </w:rPr>
            </w:pPr>
            <w:r w:rsidRPr="00435769">
              <w:rPr>
                <w:sz w:val="20"/>
              </w:rPr>
              <w:t>Court of Appeal for Ontario</w:t>
            </w:r>
          </w:p>
          <w:p w:rsidR="005A6497" w:rsidRPr="00435769" w:rsidRDefault="005A6497" w:rsidP="007932B2">
            <w:pPr>
              <w:jc w:val="both"/>
              <w:rPr>
                <w:sz w:val="20"/>
              </w:rPr>
            </w:pPr>
            <w:r w:rsidRPr="00435769">
              <w:rPr>
                <w:sz w:val="20"/>
              </w:rPr>
              <w:t>(MacPherson, Watt and Miller JJ.A.)</w:t>
            </w:r>
          </w:p>
          <w:p w:rsidR="005A6497" w:rsidRPr="00435769" w:rsidRDefault="00435769" w:rsidP="007932B2">
            <w:pPr>
              <w:jc w:val="both"/>
              <w:rPr>
                <w:sz w:val="20"/>
              </w:rPr>
            </w:pPr>
            <w:hyperlink r:id="rId96" w:history="1">
              <w:r w:rsidR="005A6497" w:rsidRPr="00435769">
                <w:rPr>
                  <w:rStyle w:val="Hyperlink"/>
                  <w:sz w:val="20"/>
                </w:rPr>
                <w:t>2016 ONCA 411</w:t>
              </w:r>
            </w:hyperlink>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Appeal dismissed</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August 26, 2016</w:t>
            </w:r>
          </w:p>
          <w:p w:rsidR="005A6497" w:rsidRPr="00435769" w:rsidRDefault="005A6497" w:rsidP="007932B2">
            <w:pPr>
              <w:jc w:val="both"/>
              <w:rPr>
                <w:sz w:val="20"/>
              </w:rPr>
            </w:pPr>
            <w:r w:rsidRPr="00435769">
              <w:rPr>
                <w:sz w:val="20"/>
              </w:rPr>
              <w:t>Supreme Court of Canada</w:t>
            </w: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Application for leave to appeal filed</w:t>
            </w:r>
          </w:p>
        </w:tc>
      </w:tr>
    </w:tbl>
    <w:p w:rsidR="005A6497" w:rsidRPr="00435769" w:rsidRDefault="005A6497" w:rsidP="007932B2">
      <w:pPr>
        <w:jc w:val="both"/>
        <w:rPr>
          <w:sz w:val="20"/>
        </w:rPr>
      </w:pPr>
    </w:p>
    <w:p w:rsidR="009C2F30" w:rsidRPr="00435769" w:rsidRDefault="009C2F30" w:rsidP="007932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lang w:val="fr-CA"/>
              </w:rPr>
            </w:pPr>
            <w:r w:rsidRPr="00435769">
              <w:rPr>
                <w:rStyle w:val="SCCFileNumberChar"/>
                <w:sz w:val="20"/>
                <w:szCs w:val="20"/>
                <w:lang w:val="fr-CA"/>
              </w:rPr>
              <w:t>37155</w:t>
            </w:r>
          </w:p>
        </w:tc>
        <w:tc>
          <w:tcPr>
            <w:tcW w:w="4457" w:type="pct"/>
            <w:gridSpan w:val="3"/>
          </w:tcPr>
          <w:p w:rsidR="005A6497" w:rsidRPr="00435769" w:rsidRDefault="005A6497" w:rsidP="007932B2">
            <w:pPr>
              <w:pStyle w:val="SCCLsocParty"/>
              <w:jc w:val="both"/>
              <w:rPr>
                <w:b/>
                <w:sz w:val="20"/>
                <w:szCs w:val="20"/>
              </w:rPr>
            </w:pPr>
            <w:r w:rsidRPr="00435769">
              <w:rPr>
                <w:b/>
                <w:sz w:val="20"/>
                <w:szCs w:val="20"/>
              </w:rPr>
              <w:t>Joseph Sciascia c. Sa Majesté la Reine</w:t>
            </w:r>
          </w:p>
          <w:p w:rsidR="005A6497" w:rsidRPr="00435769" w:rsidRDefault="005A6497" w:rsidP="007932B2">
            <w:pPr>
              <w:jc w:val="both"/>
              <w:rPr>
                <w:sz w:val="20"/>
                <w:lang w:val="fr-CA"/>
              </w:rPr>
            </w:pPr>
            <w:r w:rsidRPr="00435769">
              <w:rPr>
                <w:sz w:val="20"/>
                <w:lang w:val="fr-CA"/>
              </w:rPr>
              <w:t>(Ont.) (Criminelle) (Sur autorisation)</w:t>
            </w:r>
          </w:p>
        </w:tc>
      </w:tr>
      <w:tr w:rsidR="005A6497" w:rsidRPr="00435769" w:rsidTr="005A6497">
        <w:tc>
          <w:tcPr>
            <w:tcW w:w="5000" w:type="pct"/>
            <w:gridSpan w:val="4"/>
          </w:tcPr>
          <w:p w:rsidR="005A6497" w:rsidRPr="00435769" w:rsidRDefault="005A6497" w:rsidP="007932B2">
            <w:pPr>
              <w:jc w:val="both"/>
              <w:rPr>
                <w:sz w:val="20"/>
                <w:lang w:val="fr-CA"/>
              </w:rPr>
            </w:pPr>
            <w:r w:rsidRPr="00435769">
              <w:rPr>
                <w:sz w:val="20"/>
                <w:lang w:val="fr-CA"/>
              </w:rPr>
              <w:t xml:space="preserve">Droit criminel – Procédure – Procès conjoint – Appels – Pouvoirs des cours d’appel – Le demandeur a été jugé simultanément relativement à des infractions criminelles punissables sur déclaration de culpabilité par procédure sommaire et à des infractions au </w:t>
            </w:r>
            <w:r w:rsidRPr="00435769">
              <w:rPr>
                <w:i/>
                <w:sz w:val="20"/>
                <w:lang w:val="fr-CA"/>
              </w:rPr>
              <w:t>Code de la route</w:t>
            </w:r>
            <w:r w:rsidRPr="00435769">
              <w:rPr>
                <w:sz w:val="20"/>
                <w:lang w:val="fr-CA"/>
              </w:rPr>
              <w:t xml:space="preserve">, L.R.O. 1990, ch. H.8 – La Cour d’appel a conclu que le procès conjoint était une erreur juridictionnelle qui pouvait être réparée par l’application du sous-al. 686(1)b)(iv) du </w:t>
            </w:r>
            <w:r w:rsidRPr="00435769">
              <w:rPr>
                <w:i/>
                <w:sz w:val="20"/>
                <w:lang w:val="fr-CA"/>
              </w:rPr>
              <w:t>Code criminel</w:t>
            </w:r>
            <w:r w:rsidRPr="00435769">
              <w:rPr>
                <w:sz w:val="20"/>
                <w:lang w:val="fr-CA"/>
              </w:rPr>
              <w:t xml:space="preserve">, L.R.C. 1985, ch. C-46 et du sous-al. 120(1)b)(iii) de la </w:t>
            </w:r>
            <w:r w:rsidRPr="00435769">
              <w:rPr>
                <w:i/>
                <w:sz w:val="20"/>
                <w:lang w:val="fr-CA"/>
              </w:rPr>
              <w:t>Loi sur les infractions provinciales</w:t>
            </w:r>
            <w:r w:rsidRPr="00435769">
              <w:rPr>
                <w:sz w:val="20"/>
                <w:lang w:val="fr-CA"/>
              </w:rPr>
              <w:t>, L.R.O. 1990, ch. P.33 – Le sous-al. 686(1)b)(iv) du</w:t>
            </w:r>
            <w:r w:rsidRPr="00435769">
              <w:rPr>
                <w:i/>
                <w:sz w:val="20"/>
                <w:lang w:val="fr-CA"/>
              </w:rPr>
              <w:t xml:space="preserve"> Code criminel </w:t>
            </w:r>
            <w:r w:rsidRPr="00435769">
              <w:rPr>
                <w:sz w:val="20"/>
                <w:lang w:val="fr-CA"/>
              </w:rPr>
              <w:t>est-il applicable en l’espèce?</w:t>
            </w:r>
          </w:p>
        </w:tc>
      </w:tr>
      <w:tr w:rsidR="005A6497" w:rsidRPr="00435769" w:rsidTr="005A6497">
        <w:tc>
          <w:tcPr>
            <w:tcW w:w="5000" w:type="pct"/>
            <w:gridSpan w:val="4"/>
          </w:tcPr>
          <w:p w:rsidR="005A6497" w:rsidRPr="00435769" w:rsidRDefault="005A6497" w:rsidP="007932B2">
            <w:pPr>
              <w:jc w:val="both"/>
              <w:rPr>
                <w:sz w:val="20"/>
                <w:lang w:val="fr-CA"/>
              </w:rPr>
            </w:pPr>
          </w:p>
        </w:tc>
      </w:tr>
      <w:tr w:rsidR="005A6497" w:rsidRPr="00435769" w:rsidTr="005A6497">
        <w:tc>
          <w:tcPr>
            <w:tcW w:w="5000" w:type="pct"/>
            <w:gridSpan w:val="4"/>
          </w:tcPr>
          <w:p w:rsidR="005A6497" w:rsidRPr="00435769" w:rsidRDefault="005A6497" w:rsidP="007932B2">
            <w:pPr>
              <w:jc w:val="both"/>
              <w:rPr>
                <w:sz w:val="20"/>
                <w:lang w:val="fr-CA"/>
              </w:rPr>
            </w:pPr>
            <w:r w:rsidRPr="00435769">
              <w:rPr>
                <w:sz w:val="20"/>
                <w:lang w:val="fr-CA"/>
              </w:rPr>
              <w:lastRenderedPageBreak/>
              <w:t xml:space="preserve">Monsieur Sciascia, le demandeur, a été jugé simultanément relativement à des infractions criminelles punissables sur déclaration de culpabilité par procédure sommaire et à des infractions provinciales. En appel, il a plaidé que le tribunal n’avait pas compétence pour juger les infractions en même temps. La juge de la cour d’appel des poursuites sommaires a rejeté les appels, estimant que le juge du procès avait compétence relativement aux deux questions, que les règles de procédure dans les deux procès auraient été essentiellement les mêmes et que M. Sciascia n’avait subi aucun préjudice en raison d’éventuelles différences touchant les règles de preuve applicables. La juge a également statué que l’arrêt </w:t>
            </w:r>
            <w:r w:rsidRPr="00435769">
              <w:rPr>
                <w:i/>
                <w:sz w:val="20"/>
                <w:lang w:val="fr-CA"/>
              </w:rPr>
              <w:t>R. c. Clunas</w:t>
            </w:r>
            <w:r w:rsidRPr="00435769">
              <w:rPr>
                <w:sz w:val="20"/>
                <w:lang w:val="fr-CA"/>
              </w:rPr>
              <w:t xml:space="preserve">, [1992] 1 R.C.S. 595 appuyait la tenue d’un procès suivant une procédure plus efficiente et plus efficace, sans la contrainte de règles artificielles dénuées d’utilité réelle et qui ne s'appuient sur aucun principe valable. La Cour d’appel a conclu que la tenue du projet conjoint constituait une erreur juridictionnelle. Toutefois, elle a rejeté l’appel, statuant que l’erreur pouvait être réparée par l’application du sous-al. 686(1)b)(iv) du </w:t>
            </w:r>
            <w:r w:rsidRPr="00435769">
              <w:rPr>
                <w:i/>
                <w:sz w:val="20"/>
                <w:lang w:val="fr-CA"/>
              </w:rPr>
              <w:t>Code criminel</w:t>
            </w:r>
            <w:r w:rsidR="009C2F30" w:rsidRPr="00435769">
              <w:rPr>
                <w:sz w:val="20"/>
                <w:lang w:val="fr-CA"/>
              </w:rPr>
              <w:t>.</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7 juin 2013</w:t>
            </w:r>
          </w:p>
          <w:p w:rsidR="005A6497" w:rsidRPr="00435769" w:rsidRDefault="005A6497" w:rsidP="007932B2">
            <w:pPr>
              <w:jc w:val="both"/>
              <w:rPr>
                <w:sz w:val="20"/>
                <w:lang w:val="fr-CA"/>
              </w:rPr>
            </w:pPr>
            <w:r w:rsidRPr="00435769">
              <w:rPr>
                <w:sz w:val="20"/>
                <w:lang w:val="fr-CA"/>
              </w:rPr>
              <w:t xml:space="preserve">Cour de justice de l’Ontario </w:t>
            </w:r>
          </w:p>
          <w:p w:rsidR="005A6497" w:rsidRPr="00435769" w:rsidRDefault="005A6497" w:rsidP="007932B2">
            <w:pPr>
              <w:jc w:val="both"/>
              <w:rPr>
                <w:sz w:val="20"/>
                <w:lang w:val="fr-CA"/>
              </w:rPr>
            </w:pPr>
            <w:r w:rsidRPr="00435769">
              <w:rPr>
                <w:sz w:val="20"/>
                <w:lang w:val="fr-CA"/>
              </w:rPr>
              <w:t>(Juge McKay)</w:t>
            </w:r>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 xml:space="preserve">Déclaration de culpabilité de conduite dangereuse d’un véhicule à moteur (par. 249(2) du </w:t>
            </w:r>
            <w:r w:rsidRPr="00435769">
              <w:rPr>
                <w:i/>
                <w:sz w:val="20"/>
                <w:lang w:val="fr-CA"/>
              </w:rPr>
              <w:t>Code criminel</w:t>
            </w:r>
            <w:r w:rsidRPr="00435769">
              <w:rPr>
                <w:sz w:val="20"/>
                <w:lang w:val="fr-CA"/>
              </w:rPr>
              <w:t xml:space="preserve">) et de défaut de s’arrêter à la demande d’un agent de police (par. 216(1) du </w:t>
            </w:r>
            <w:r w:rsidRPr="00435769">
              <w:rPr>
                <w:i/>
                <w:sz w:val="20"/>
                <w:lang w:val="fr-CA"/>
              </w:rPr>
              <w:t>Code de la route</w:t>
            </w:r>
            <w:r w:rsidRPr="00435769">
              <w:rPr>
                <w:sz w:val="20"/>
                <w:lang w:val="fr-CA"/>
              </w:rPr>
              <w:t xml:space="preserve">); acquittement d’agression armée contre un agent de police (par. 270.01(2) du </w:t>
            </w:r>
            <w:r w:rsidRPr="00435769">
              <w:rPr>
                <w:i/>
                <w:sz w:val="20"/>
                <w:lang w:val="fr-CA"/>
              </w:rPr>
              <w:t>Code criminel</w:t>
            </w:r>
            <w:r w:rsidRPr="00435769">
              <w:rPr>
                <w:sz w:val="20"/>
                <w:lang w:val="fr-CA"/>
              </w:rPr>
              <w:t xml:space="preserve">) omission de déclarer des dommages causés à des biens (art. 201 du </w:t>
            </w:r>
            <w:r w:rsidRPr="00435769">
              <w:rPr>
                <w:i/>
                <w:sz w:val="20"/>
                <w:lang w:val="fr-CA"/>
              </w:rPr>
              <w:t>Code de la route</w:t>
            </w:r>
            <w:r w:rsidRPr="00435769">
              <w:rPr>
                <w:sz w:val="20"/>
                <w:lang w:val="fr-CA"/>
              </w:rPr>
              <w:t>)</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24 mars 2015</w:t>
            </w:r>
          </w:p>
          <w:p w:rsidR="005A6497" w:rsidRPr="00435769" w:rsidRDefault="005A6497" w:rsidP="007932B2">
            <w:pPr>
              <w:jc w:val="both"/>
              <w:rPr>
                <w:sz w:val="20"/>
                <w:lang w:val="fr-CA"/>
              </w:rPr>
            </w:pPr>
            <w:r w:rsidRPr="00435769">
              <w:rPr>
                <w:sz w:val="20"/>
                <w:lang w:val="fr-CA"/>
              </w:rPr>
              <w:t xml:space="preserve">Cour supérieure de justice de l’Ontario </w:t>
            </w:r>
          </w:p>
          <w:p w:rsidR="005A6497" w:rsidRPr="00435769" w:rsidRDefault="005A6497" w:rsidP="007932B2">
            <w:pPr>
              <w:jc w:val="both"/>
              <w:rPr>
                <w:sz w:val="20"/>
                <w:lang w:val="fr-CA"/>
              </w:rPr>
            </w:pPr>
            <w:r w:rsidRPr="00435769">
              <w:rPr>
                <w:sz w:val="20"/>
                <w:lang w:val="fr-CA"/>
              </w:rPr>
              <w:t>(Juge Morissette)</w:t>
            </w:r>
          </w:p>
          <w:p w:rsidR="005A6497" w:rsidRPr="00435769" w:rsidRDefault="00435769" w:rsidP="007932B2">
            <w:pPr>
              <w:jc w:val="both"/>
              <w:rPr>
                <w:sz w:val="20"/>
                <w:lang w:val="fr-CA"/>
              </w:rPr>
            </w:pPr>
            <w:hyperlink r:id="rId97" w:history="1">
              <w:r w:rsidR="005A6497" w:rsidRPr="00435769">
                <w:rPr>
                  <w:rStyle w:val="Hyperlink"/>
                  <w:sz w:val="20"/>
                  <w:lang w:val="fr-CA"/>
                </w:rPr>
                <w:t>2015 ONSC 1885</w:t>
              </w:r>
            </w:hyperlink>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Rejet des appels des déclarations de culpabilité; jugement accueillant l’appel de la peine et inscription d’une absolution inconditionnelle</w:t>
            </w: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21 mai 2015</w:t>
            </w:r>
          </w:p>
          <w:p w:rsidR="005A6497" w:rsidRPr="00435769" w:rsidRDefault="005A6497" w:rsidP="007932B2">
            <w:pPr>
              <w:jc w:val="both"/>
              <w:rPr>
                <w:sz w:val="20"/>
                <w:lang w:val="fr-CA"/>
              </w:rPr>
            </w:pPr>
            <w:r w:rsidRPr="00435769">
              <w:rPr>
                <w:sz w:val="20"/>
                <w:lang w:val="fr-CA"/>
              </w:rPr>
              <w:t xml:space="preserve">Cour d’appel de l’Ontario </w:t>
            </w:r>
          </w:p>
          <w:p w:rsidR="005A6497" w:rsidRPr="00435769" w:rsidRDefault="005A6497" w:rsidP="007932B2">
            <w:pPr>
              <w:jc w:val="both"/>
              <w:rPr>
                <w:sz w:val="20"/>
                <w:lang w:val="fr-CA"/>
              </w:rPr>
            </w:pPr>
            <w:r w:rsidRPr="00435769">
              <w:rPr>
                <w:sz w:val="20"/>
                <w:lang w:val="fr-CA"/>
              </w:rPr>
              <w:t>(Juge Simmons)</w:t>
            </w:r>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Autorisation d’interjeter appel</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30 mai 2016</w:t>
            </w:r>
          </w:p>
          <w:p w:rsidR="005A6497" w:rsidRPr="00435769" w:rsidRDefault="005A6497" w:rsidP="007932B2">
            <w:pPr>
              <w:jc w:val="both"/>
              <w:rPr>
                <w:sz w:val="20"/>
                <w:lang w:val="fr-CA"/>
              </w:rPr>
            </w:pPr>
            <w:r w:rsidRPr="00435769">
              <w:rPr>
                <w:sz w:val="20"/>
                <w:lang w:val="fr-CA"/>
              </w:rPr>
              <w:t xml:space="preserve">Cour d’appel de l’Ontario </w:t>
            </w:r>
          </w:p>
          <w:p w:rsidR="005A6497" w:rsidRPr="00435769" w:rsidRDefault="005A6497" w:rsidP="007932B2">
            <w:pPr>
              <w:jc w:val="both"/>
              <w:rPr>
                <w:sz w:val="20"/>
                <w:lang w:val="fr-CA"/>
              </w:rPr>
            </w:pPr>
            <w:r w:rsidRPr="00435769">
              <w:rPr>
                <w:sz w:val="20"/>
                <w:lang w:val="fr-CA"/>
              </w:rPr>
              <w:t>(Juges MacPherson, Watt et Miller)</w:t>
            </w:r>
          </w:p>
          <w:p w:rsidR="005A6497" w:rsidRPr="00435769" w:rsidRDefault="00435769" w:rsidP="007932B2">
            <w:pPr>
              <w:jc w:val="both"/>
              <w:rPr>
                <w:sz w:val="20"/>
                <w:lang w:val="fr-CA"/>
              </w:rPr>
            </w:pPr>
            <w:hyperlink r:id="rId98" w:history="1">
              <w:r w:rsidR="005A6497" w:rsidRPr="00435769">
                <w:rPr>
                  <w:rStyle w:val="Hyperlink"/>
                  <w:sz w:val="20"/>
                  <w:lang w:val="fr-CA"/>
                </w:rPr>
                <w:t>2016 ONCA 411</w:t>
              </w:r>
            </w:hyperlink>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Rejet de l’appel</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26 août 2016</w:t>
            </w:r>
          </w:p>
          <w:p w:rsidR="005A6497" w:rsidRPr="00435769" w:rsidRDefault="005A6497" w:rsidP="007932B2">
            <w:pPr>
              <w:jc w:val="both"/>
              <w:rPr>
                <w:sz w:val="20"/>
                <w:lang w:val="fr-CA"/>
              </w:rPr>
            </w:pPr>
            <w:r w:rsidRPr="00435769">
              <w:rPr>
                <w:sz w:val="20"/>
                <w:lang w:val="fr-CA"/>
              </w:rPr>
              <w:t>Cour suprême du Canada</w:t>
            </w: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Dépôt de la demande d’autorisation d’appel</w:t>
            </w:r>
          </w:p>
        </w:tc>
      </w:tr>
    </w:tbl>
    <w:p w:rsidR="005A6497" w:rsidRPr="00435769" w:rsidRDefault="005A6497" w:rsidP="007932B2">
      <w:pPr>
        <w:jc w:val="both"/>
        <w:rPr>
          <w:sz w:val="20"/>
          <w:lang w:val="fr-CA"/>
        </w:rPr>
      </w:pPr>
    </w:p>
    <w:p w:rsidR="005A6497" w:rsidRPr="00435769" w:rsidRDefault="005A6497" w:rsidP="007932B2">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rPr>
            </w:pPr>
            <w:r w:rsidRPr="00435769">
              <w:rPr>
                <w:rStyle w:val="SCCFileNumberChar"/>
                <w:sz w:val="20"/>
                <w:szCs w:val="20"/>
              </w:rPr>
              <w:t>37094</w:t>
            </w:r>
          </w:p>
        </w:tc>
        <w:tc>
          <w:tcPr>
            <w:tcW w:w="4457" w:type="pct"/>
            <w:gridSpan w:val="3"/>
          </w:tcPr>
          <w:p w:rsidR="005A6497" w:rsidRPr="00435769" w:rsidRDefault="005A6497" w:rsidP="007932B2">
            <w:pPr>
              <w:pStyle w:val="SCCLsocParty"/>
              <w:jc w:val="both"/>
              <w:rPr>
                <w:b/>
                <w:sz w:val="20"/>
                <w:szCs w:val="20"/>
                <w:lang w:val="en-US"/>
              </w:rPr>
            </w:pPr>
            <w:r w:rsidRPr="00435769">
              <w:rPr>
                <w:b/>
                <w:sz w:val="20"/>
                <w:szCs w:val="20"/>
                <w:lang w:val="en-US"/>
              </w:rPr>
              <w:t>British Columbia Civil Liberties Association, Cameron Côté v. University of Victoria, University of Victoria Students' Society</w:t>
            </w:r>
          </w:p>
          <w:p w:rsidR="005A6497" w:rsidRPr="00435769" w:rsidRDefault="005A6497" w:rsidP="007932B2">
            <w:pPr>
              <w:jc w:val="both"/>
              <w:rPr>
                <w:sz w:val="20"/>
              </w:rPr>
            </w:pPr>
            <w:r w:rsidRPr="00435769">
              <w:rPr>
                <w:sz w:val="20"/>
              </w:rPr>
              <w:t>(B.C.) (Civil) (By Leave)</w:t>
            </w:r>
          </w:p>
        </w:tc>
      </w:tr>
      <w:tr w:rsidR="005A6497" w:rsidRPr="00435769" w:rsidTr="005A6497">
        <w:tc>
          <w:tcPr>
            <w:tcW w:w="5000" w:type="pct"/>
            <w:gridSpan w:val="4"/>
          </w:tcPr>
          <w:p w:rsidR="005A6497" w:rsidRPr="00435769" w:rsidRDefault="005A6497" w:rsidP="007932B2">
            <w:pPr>
              <w:jc w:val="both"/>
              <w:rPr>
                <w:sz w:val="20"/>
              </w:rPr>
            </w:pPr>
            <w:r w:rsidRPr="00435769">
              <w:rPr>
                <w:i/>
                <w:sz w:val="20"/>
              </w:rPr>
              <w:t>Charter of Rights</w:t>
            </w:r>
            <w:r w:rsidRPr="00435769">
              <w:rPr>
                <w:sz w:val="20"/>
              </w:rPr>
              <w:t xml:space="preserve"> – Application – Freedom of expression – Freedom of peaceful assembly – Freedom of association – Reasonable limits – Does the </w:t>
            </w:r>
            <w:r w:rsidRPr="00435769">
              <w:rPr>
                <w:i/>
                <w:iCs/>
                <w:sz w:val="20"/>
              </w:rPr>
              <w:t xml:space="preserve">Canadian Charter of Rights and Freedoms </w:t>
            </w:r>
            <w:r w:rsidRPr="00435769">
              <w:rPr>
                <w:sz w:val="20"/>
              </w:rPr>
              <w:t xml:space="preserve">apply to a university’s regulation of its common campus space for use by students – If the </w:t>
            </w:r>
            <w:r w:rsidRPr="00435769">
              <w:rPr>
                <w:i/>
                <w:iCs/>
                <w:sz w:val="20"/>
              </w:rPr>
              <w:t xml:space="preserve">Canadian Charter of Rights and Freedoms </w:t>
            </w:r>
            <w:r w:rsidRPr="00435769">
              <w:rPr>
                <w:sz w:val="20"/>
              </w:rPr>
              <w:t>does not apply to universities, are university administrators nevertheless required to consider fundamental values such as freedom of expression when exercising discretionary powers conferred upon them by statute.</w:t>
            </w:r>
          </w:p>
        </w:tc>
      </w:tr>
      <w:tr w:rsidR="005A6497" w:rsidRPr="00435769" w:rsidTr="005A6497">
        <w:tc>
          <w:tcPr>
            <w:tcW w:w="5000" w:type="pct"/>
            <w:gridSpan w:val="4"/>
          </w:tcPr>
          <w:p w:rsidR="005A6497" w:rsidRPr="00435769" w:rsidRDefault="005A6497" w:rsidP="007932B2">
            <w:pPr>
              <w:pStyle w:val="SCCBanSummary"/>
              <w:rPr>
                <w:sz w:val="20"/>
                <w:szCs w:val="20"/>
              </w:rPr>
            </w:pPr>
          </w:p>
        </w:tc>
      </w:tr>
      <w:tr w:rsidR="005A6497" w:rsidRPr="00435769" w:rsidTr="005A6497">
        <w:tc>
          <w:tcPr>
            <w:tcW w:w="5000" w:type="pct"/>
            <w:gridSpan w:val="4"/>
          </w:tcPr>
          <w:p w:rsidR="005A6497" w:rsidRPr="00435769" w:rsidRDefault="005A6497" w:rsidP="007932B2">
            <w:pPr>
              <w:jc w:val="both"/>
              <w:rPr>
                <w:sz w:val="20"/>
              </w:rPr>
            </w:pPr>
            <w:r w:rsidRPr="00435769">
              <w:rPr>
                <w:sz w:val="20"/>
              </w:rPr>
              <w:t xml:space="preserve">Cameron Côté is a former student at the respondent University and was on the executive of a student club named Youth Protecting Youth (“YPY”). In January 2013, YPY sought and received approval for an allotment of campus space for a planned activity. However, the University subsequently withdrew the approval because the University of Victoria Students’ Society had prohibited YPY from the use of campus space after the club allegedly engaged in </w:t>
            </w:r>
            <w:r w:rsidRPr="00435769">
              <w:rPr>
                <w:sz w:val="20"/>
              </w:rPr>
              <w:lastRenderedPageBreak/>
              <w:t xml:space="preserve">harassment of students during a prior activity. After YPY proceeded with the event anyway, the University revoked YPY’s outdoor space booking privileges on campus for a one year period and indicated that further failure to follow directives could result in an allegation of non-academic misconduct. The decisions withdrawing the initial approval and communicating the imposed sanction were later withdrawn. The applicants brought a petition seeking, </w:t>
            </w:r>
            <w:r w:rsidRPr="00435769">
              <w:rPr>
                <w:i/>
                <w:sz w:val="20"/>
              </w:rPr>
              <w:t>inter alia</w:t>
            </w:r>
            <w:r w:rsidRPr="00435769">
              <w:rPr>
                <w:sz w:val="20"/>
              </w:rPr>
              <w:t xml:space="preserve">, declarations that s. 15 of the University’s </w:t>
            </w:r>
            <w:r w:rsidRPr="00435769">
              <w:rPr>
                <w:i/>
                <w:sz w:val="20"/>
              </w:rPr>
              <w:t>Booking of Outdoor Space by Students Policy</w:t>
            </w:r>
            <w:r w:rsidRPr="00435769">
              <w:rPr>
                <w:sz w:val="20"/>
              </w:rPr>
              <w:t xml:space="preserve"> was </w:t>
            </w:r>
            <w:r w:rsidRPr="00435769">
              <w:rPr>
                <w:i/>
                <w:sz w:val="20"/>
              </w:rPr>
              <w:t>ultra vires</w:t>
            </w:r>
            <w:r w:rsidRPr="00435769">
              <w:rPr>
                <w:sz w:val="20"/>
              </w:rPr>
              <w:t xml:space="preserve">, void and of no force or effect as unjustifiably violating sections 2(b), (c), and (d) of the </w:t>
            </w:r>
            <w:r w:rsidRPr="00435769">
              <w:rPr>
                <w:i/>
                <w:sz w:val="20"/>
              </w:rPr>
              <w:t>Charter</w:t>
            </w:r>
            <w:r w:rsidRPr="00435769">
              <w:rPr>
                <w:sz w:val="20"/>
              </w:rPr>
              <w:t xml:space="preserve">; that university policies and decisions regulating the use of common areas for expressive purposes must be consistent with the </w:t>
            </w:r>
            <w:r w:rsidRPr="00435769">
              <w:rPr>
                <w:i/>
                <w:sz w:val="20"/>
              </w:rPr>
              <w:t>Charter</w:t>
            </w:r>
            <w:r w:rsidRPr="00435769">
              <w:rPr>
                <w:sz w:val="20"/>
              </w:rPr>
              <w:t xml:space="preserve">, and that decisions taken by University staff be quashed as unreasonable. The Supreme Court of British Columbia dismissed the applicants’ petition, holding that the jurisprudence establishes that the </w:t>
            </w:r>
            <w:r w:rsidRPr="00435769">
              <w:rPr>
                <w:i/>
                <w:sz w:val="20"/>
              </w:rPr>
              <w:t>Charter</w:t>
            </w:r>
            <w:r w:rsidRPr="00435769">
              <w:rPr>
                <w:sz w:val="20"/>
              </w:rPr>
              <w:t xml:space="preserve"> does not apply to the impugned decisions. The Court of Appeal for British Columbia dismissed the appeal.</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lastRenderedPageBreak/>
              <w:t>January 14, 2015</w:t>
            </w:r>
          </w:p>
          <w:p w:rsidR="005A6497" w:rsidRPr="00435769" w:rsidRDefault="005A6497" w:rsidP="007932B2">
            <w:pPr>
              <w:jc w:val="both"/>
              <w:rPr>
                <w:sz w:val="20"/>
              </w:rPr>
            </w:pPr>
            <w:r w:rsidRPr="00435769">
              <w:rPr>
                <w:sz w:val="20"/>
              </w:rPr>
              <w:t>Supreme Court of British Columbia</w:t>
            </w:r>
          </w:p>
          <w:p w:rsidR="005A6497" w:rsidRPr="00435769" w:rsidRDefault="005A6497" w:rsidP="007932B2">
            <w:pPr>
              <w:jc w:val="both"/>
              <w:rPr>
                <w:sz w:val="20"/>
              </w:rPr>
            </w:pPr>
            <w:r w:rsidRPr="00435769">
              <w:rPr>
                <w:sz w:val="20"/>
              </w:rPr>
              <w:t>(Hinkson C.J.)</w:t>
            </w:r>
          </w:p>
          <w:p w:rsidR="005A6497" w:rsidRPr="00435769" w:rsidRDefault="00435769" w:rsidP="007932B2">
            <w:pPr>
              <w:jc w:val="both"/>
              <w:rPr>
                <w:sz w:val="20"/>
              </w:rPr>
            </w:pPr>
            <w:hyperlink r:id="rId99" w:history="1">
              <w:r w:rsidR="005A6497" w:rsidRPr="00435769">
                <w:rPr>
                  <w:rStyle w:val="Hyperlink"/>
                  <w:sz w:val="20"/>
                </w:rPr>
                <w:t>2015 BCSC 39</w:t>
              </w:r>
            </w:hyperlink>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Applicants’ petition dismissed</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April 18, 2016</w:t>
            </w:r>
          </w:p>
          <w:p w:rsidR="005A6497" w:rsidRPr="00435769" w:rsidRDefault="005A6497" w:rsidP="007932B2">
            <w:pPr>
              <w:jc w:val="both"/>
              <w:rPr>
                <w:sz w:val="20"/>
              </w:rPr>
            </w:pPr>
            <w:r w:rsidRPr="00435769">
              <w:rPr>
                <w:sz w:val="20"/>
              </w:rPr>
              <w:t xml:space="preserve">Court of Appeal for British Columbia </w:t>
            </w:r>
          </w:p>
          <w:p w:rsidR="005A6497" w:rsidRPr="00435769" w:rsidRDefault="005A6497" w:rsidP="007932B2">
            <w:pPr>
              <w:jc w:val="both"/>
              <w:rPr>
                <w:sz w:val="20"/>
              </w:rPr>
            </w:pPr>
            <w:r w:rsidRPr="00435769">
              <w:rPr>
                <w:sz w:val="20"/>
              </w:rPr>
              <w:t>(Vancouver)</w:t>
            </w:r>
          </w:p>
          <w:p w:rsidR="005A6497" w:rsidRPr="00435769" w:rsidRDefault="005A6497" w:rsidP="007932B2">
            <w:pPr>
              <w:jc w:val="both"/>
              <w:rPr>
                <w:sz w:val="20"/>
              </w:rPr>
            </w:pPr>
            <w:r w:rsidRPr="00435769">
              <w:rPr>
                <w:sz w:val="20"/>
              </w:rPr>
              <w:t>(Saunders, Willcock and Dickson JJ.A.)</w:t>
            </w:r>
          </w:p>
          <w:p w:rsidR="005A6497" w:rsidRPr="00435769" w:rsidRDefault="00435769" w:rsidP="007932B2">
            <w:pPr>
              <w:jc w:val="both"/>
              <w:rPr>
                <w:rStyle w:val="Hyperlink"/>
                <w:sz w:val="20"/>
              </w:rPr>
            </w:pPr>
            <w:hyperlink r:id="rId100" w:history="1">
              <w:r w:rsidR="005A6497" w:rsidRPr="00435769">
                <w:rPr>
                  <w:rStyle w:val="Hyperlink"/>
                  <w:sz w:val="20"/>
                </w:rPr>
                <w:t>2016 BCCA 162</w:t>
              </w:r>
            </w:hyperlink>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Appeal dismissed</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July 4, 2016</w:t>
            </w:r>
          </w:p>
          <w:p w:rsidR="005A6497" w:rsidRPr="00435769" w:rsidRDefault="005A6497" w:rsidP="007932B2">
            <w:pPr>
              <w:jc w:val="both"/>
              <w:rPr>
                <w:sz w:val="20"/>
              </w:rPr>
            </w:pPr>
            <w:r w:rsidRPr="00435769">
              <w:rPr>
                <w:sz w:val="20"/>
              </w:rPr>
              <w:t>Supreme Court of Canada</w:t>
            </w:r>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Motion for an extension of time to serve and file the leave application and application for leave to appeal filed</w:t>
            </w:r>
          </w:p>
        </w:tc>
      </w:tr>
    </w:tbl>
    <w:p w:rsidR="005A6497" w:rsidRPr="00435769" w:rsidRDefault="005A6497" w:rsidP="007932B2">
      <w:pPr>
        <w:jc w:val="both"/>
        <w:rPr>
          <w:sz w:val="20"/>
        </w:rPr>
      </w:pPr>
    </w:p>
    <w:p w:rsidR="009C2F30" w:rsidRPr="00435769" w:rsidRDefault="009C2F30" w:rsidP="007932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lang w:val="fr-CA"/>
              </w:rPr>
            </w:pPr>
            <w:r w:rsidRPr="00435769">
              <w:rPr>
                <w:rStyle w:val="SCCFileNumberChar"/>
                <w:sz w:val="20"/>
                <w:szCs w:val="20"/>
                <w:lang w:val="fr-CA"/>
              </w:rPr>
              <w:t>37094</w:t>
            </w:r>
          </w:p>
        </w:tc>
        <w:tc>
          <w:tcPr>
            <w:tcW w:w="4457" w:type="pct"/>
            <w:gridSpan w:val="3"/>
          </w:tcPr>
          <w:p w:rsidR="005A6497" w:rsidRPr="00435769" w:rsidRDefault="005A6497" w:rsidP="007932B2">
            <w:pPr>
              <w:pStyle w:val="SCCLsocParty"/>
              <w:jc w:val="both"/>
              <w:rPr>
                <w:b/>
                <w:sz w:val="20"/>
                <w:szCs w:val="20"/>
                <w:lang w:val="en-US"/>
              </w:rPr>
            </w:pPr>
            <w:r w:rsidRPr="00435769">
              <w:rPr>
                <w:b/>
                <w:sz w:val="20"/>
                <w:szCs w:val="20"/>
                <w:lang w:val="en-US"/>
              </w:rPr>
              <w:t>British Columbia Civil Liberties Association, Cameron Côté c. University of Victoria, University of Victoria Students' Society</w:t>
            </w:r>
          </w:p>
          <w:p w:rsidR="005A6497" w:rsidRPr="00435769" w:rsidRDefault="005A6497" w:rsidP="007932B2">
            <w:pPr>
              <w:jc w:val="both"/>
              <w:rPr>
                <w:sz w:val="20"/>
                <w:lang w:val="fr-CA"/>
              </w:rPr>
            </w:pPr>
            <w:r w:rsidRPr="00435769">
              <w:rPr>
                <w:sz w:val="20"/>
                <w:lang w:val="fr-CA"/>
              </w:rPr>
              <w:t>(C.-B.) (Civile) (Sur autorisation)</w:t>
            </w:r>
          </w:p>
        </w:tc>
      </w:tr>
      <w:tr w:rsidR="005A6497" w:rsidRPr="00435769" w:rsidTr="005A6497">
        <w:tc>
          <w:tcPr>
            <w:tcW w:w="5000" w:type="pct"/>
            <w:gridSpan w:val="4"/>
          </w:tcPr>
          <w:p w:rsidR="005A6497" w:rsidRPr="00435769" w:rsidRDefault="005A6497" w:rsidP="007932B2">
            <w:pPr>
              <w:jc w:val="both"/>
              <w:rPr>
                <w:sz w:val="20"/>
                <w:lang w:val="fr-CA"/>
              </w:rPr>
            </w:pPr>
            <w:r w:rsidRPr="00435769">
              <w:rPr>
                <w:i/>
                <w:sz w:val="20"/>
                <w:lang w:val="fr-CA"/>
              </w:rPr>
              <w:t>Charte des droits</w:t>
            </w:r>
            <w:r w:rsidRPr="00435769">
              <w:rPr>
                <w:sz w:val="20"/>
                <w:lang w:val="fr-CA"/>
              </w:rPr>
              <w:t xml:space="preserve"> – Application – Liberté d’expression – Liberté de réunion pacifique – Liberté d’association – Limites raisonnables – La </w:t>
            </w:r>
            <w:r w:rsidRPr="00435769">
              <w:rPr>
                <w:i/>
                <w:iCs/>
                <w:sz w:val="20"/>
                <w:lang w:val="fr-CA"/>
              </w:rPr>
              <w:t xml:space="preserve">Charte canadienne des droits et libertés </w:t>
            </w:r>
            <w:r w:rsidRPr="00435769">
              <w:rPr>
                <w:sz w:val="20"/>
                <w:lang w:val="fr-CA"/>
              </w:rPr>
              <w:t xml:space="preserve">s’applique-t-elle aux règlements pris par une université pour régir l’utilisation par les étudiants des espaces communs sur le campus? – Si la </w:t>
            </w:r>
            <w:r w:rsidRPr="00435769">
              <w:rPr>
                <w:i/>
                <w:iCs/>
                <w:sz w:val="20"/>
                <w:lang w:val="fr-CA"/>
              </w:rPr>
              <w:t xml:space="preserve">Charte </w:t>
            </w:r>
            <w:r w:rsidRPr="00435769">
              <w:rPr>
                <w:sz w:val="20"/>
                <w:lang w:val="fr-CA"/>
              </w:rPr>
              <w:t xml:space="preserve">ne s’applique pas aux universités, les administrateurs d’universités sont-ils néanmoins tenus de considérer des valeurs fondamentales comme la liberté d’expression dans l’exercice des pouvoirs discrétionnaires que leur confère la loi?  </w:t>
            </w:r>
          </w:p>
        </w:tc>
      </w:tr>
      <w:tr w:rsidR="005A6497" w:rsidRPr="00435769" w:rsidTr="005A6497">
        <w:tc>
          <w:tcPr>
            <w:tcW w:w="5000" w:type="pct"/>
            <w:gridSpan w:val="4"/>
          </w:tcPr>
          <w:p w:rsidR="005A6497" w:rsidRPr="00435769" w:rsidRDefault="005A6497" w:rsidP="007932B2">
            <w:pPr>
              <w:pStyle w:val="SCCBanSummary"/>
              <w:rPr>
                <w:sz w:val="20"/>
                <w:szCs w:val="20"/>
                <w:lang w:val="fr-CA"/>
              </w:rPr>
            </w:pPr>
          </w:p>
        </w:tc>
      </w:tr>
      <w:tr w:rsidR="005A6497" w:rsidRPr="00435769" w:rsidTr="005A6497">
        <w:tc>
          <w:tcPr>
            <w:tcW w:w="5000" w:type="pct"/>
            <w:gridSpan w:val="4"/>
          </w:tcPr>
          <w:p w:rsidR="005A6497" w:rsidRPr="00435769" w:rsidRDefault="005A6497" w:rsidP="007932B2">
            <w:pPr>
              <w:jc w:val="both"/>
              <w:rPr>
                <w:sz w:val="20"/>
                <w:lang w:val="fr-CA"/>
              </w:rPr>
            </w:pPr>
            <w:r w:rsidRPr="00435769">
              <w:rPr>
                <w:sz w:val="20"/>
                <w:lang w:val="fr-CA"/>
              </w:rPr>
              <w:t xml:space="preserve">Cameron Côté est un ancien étudiant de l’université intimée, qui faisait partie de la direction d’un regroupement étudiant appelé « Youth Protecting Youth » (« YPY »). En janvier 2013, YPY a été autorisé à utiliser un espace sur le campus en vue d’une activité prévue. Cependant, l’université a par la suite retiré son approbation parce que la University of Victoria Students’ Society avait interdit à YPY d’utiliser des espaces sur le campus au motif que des membres de celui-ci auraient harcelé des étudiants lors d’une activité antérieure. L’activité de YPY a tout de même eu lieu, et l’université a ensuite révoqué les privilèges de réservation des espaces extérieurs sur le campus de YPY pour une période d’un an, et indiqué qu’un manquement subséquent aux directives pourrait entraîner une allégation d’inconduite non liée aux études. Les décisions annulant l’approbation initiale et communiquant la sanction imposée ont par la suite été annulées. Les demandeurs ont présenté une requête sollicitant, notamment, les déclarations suivantes : que l’art. 15 de la politique de l’université intitulée « Booking of Outdoor Space by Students Policy » (politique de réservation d’espaces extérieurs par les étudiants) soit déclaré </w:t>
            </w:r>
            <w:r w:rsidRPr="00435769">
              <w:rPr>
                <w:i/>
                <w:sz w:val="20"/>
                <w:lang w:val="fr-CA"/>
              </w:rPr>
              <w:t>ultra vires</w:t>
            </w:r>
            <w:r w:rsidRPr="00435769">
              <w:rPr>
                <w:sz w:val="20"/>
                <w:lang w:val="fr-CA"/>
              </w:rPr>
              <w:t>, nul et inopérant puisqu’il porte atteinte de façon injustifiable aux al. 2</w:t>
            </w:r>
            <w:r w:rsidRPr="00435769">
              <w:rPr>
                <w:i/>
                <w:sz w:val="20"/>
                <w:lang w:val="fr-CA"/>
              </w:rPr>
              <w:t>b</w:t>
            </w:r>
            <w:r w:rsidRPr="00435769">
              <w:rPr>
                <w:sz w:val="20"/>
                <w:lang w:val="fr-CA"/>
              </w:rPr>
              <w:t xml:space="preserve">), </w:t>
            </w:r>
            <w:r w:rsidRPr="00435769">
              <w:rPr>
                <w:i/>
                <w:sz w:val="20"/>
                <w:lang w:val="fr-CA"/>
              </w:rPr>
              <w:t>c</w:t>
            </w:r>
            <w:r w:rsidRPr="00435769">
              <w:rPr>
                <w:sz w:val="20"/>
                <w:lang w:val="fr-CA"/>
              </w:rPr>
              <w:t xml:space="preserve">) et </w:t>
            </w:r>
            <w:r w:rsidRPr="00435769">
              <w:rPr>
                <w:i/>
                <w:sz w:val="20"/>
                <w:lang w:val="fr-CA"/>
              </w:rPr>
              <w:t>d</w:t>
            </w:r>
            <w:r w:rsidRPr="00435769">
              <w:rPr>
                <w:sz w:val="20"/>
                <w:lang w:val="fr-CA"/>
              </w:rPr>
              <w:t xml:space="preserve">) de la </w:t>
            </w:r>
            <w:r w:rsidRPr="00435769">
              <w:rPr>
                <w:i/>
                <w:sz w:val="20"/>
                <w:lang w:val="fr-CA"/>
              </w:rPr>
              <w:t>Charte</w:t>
            </w:r>
            <w:r w:rsidRPr="00435769">
              <w:rPr>
                <w:sz w:val="20"/>
                <w:lang w:val="fr-CA"/>
              </w:rPr>
              <w:t xml:space="preserve">; que les politiques et décisions de l’université régissant l’utilisation des espaces communs à des fins d’expression soient tenues de respecter la </w:t>
            </w:r>
            <w:r w:rsidRPr="00435769">
              <w:rPr>
                <w:i/>
                <w:sz w:val="20"/>
                <w:lang w:val="fr-CA"/>
              </w:rPr>
              <w:t>Charte</w:t>
            </w:r>
            <w:r w:rsidRPr="00435769">
              <w:rPr>
                <w:sz w:val="20"/>
                <w:lang w:val="fr-CA"/>
              </w:rPr>
              <w:t xml:space="preserve">; et que les décisions prises par les employés de l’université soient déclarées nulles parce qu’elles sont déraisonnables. La Cour suprême de la Colombie-Britannique a rejeté la requête des demandeurs, concluant que la jurisprudence établit que la </w:t>
            </w:r>
            <w:r w:rsidRPr="00435769">
              <w:rPr>
                <w:i/>
                <w:sz w:val="20"/>
                <w:lang w:val="fr-CA"/>
              </w:rPr>
              <w:t>Charte</w:t>
            </w:r>
            <w:r w:rsidRPr="00435769">
              <w:rPr>
                <w:sz w:val="20"/>
                <w:lang w:val="fr-CA"/>
              </w:rPr>
              <w:t xml:space="preserve"> ne s’applique pas aux décisions attaquées. La Cour d’appel de la Colombie-Britannique a rejeté l’appel.</w:t>
            </w:r>
          </w:p>
          <w:p w:rsidR="005A6497" w:rsidRPr="00435769" w:rsidRDefault="005A6497" w:rsidP="007932B2">
            <w:pPr>
              <w:jc w:val="both"/>
              <w:rPr>
                <w:sz w:val="20"/>
                <w:lang w:val="fr-CA"/>
              </w:rPr>
            </w:pPr>
            <w:r w:rsidRPr="00435769">
              <w:rPr>
                <w:sz w:val="20"/>
                <w:lang w:val="fr-CA"/>
              </w:rPr>
              <w:lastRenderedPageBreak/>
              <w:t xml:space="preserve"> </w:t>
            </w: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lastRenderedPageBreak/>
              <w:t>14 janvier 2015</w:t>
            </w:r>
          </w:p>
          <w:p w:rsidR="005A6497" w:rsidRPr="00435769" w:rsidRDefault="005A6497" w:rsidP="007932B2">
            <w:pPr>
              <w:jc w:val="both"/>
              <w:rPr>
                <w:sz w:val="20"/>
                <w:lang w:val="fr-CA"/>
              </w:rPr>
            </w:pPr>
            <w:r w:rsidRPr="00435769">
              <w:rPr>
                <w:sz w:val="20"/>
                <w:lang w:val="fr-CA"/>
              </w:rPr>
              <w:t>Cour suprême de la Colombie-Britannique</w:t>
            </w:r>
          </w:p>
          <w:p w:rsidR="005A6497" w:rsidRPr="00435769" w:rsidRDefault="005A6497" w:rsidP="007932B2">
            <w:pPr>
              <w:jc w:val="both"/>
              <w:rPr>
                <w:sz w:val="20"/>
                <w:lang w:val="fr-CA"/>
              </w:rPr>
            </w:pPr>
            <w:r w:rsidRPr="00435769">
              <w:rPr>
                <w:sz w:val="20"/>
                <w:lang w:val="fr-CA"/>
              </w:rPr>
              <w:t>(Juge en chef Hinkson)</w:t>
            </w:r>
          </w:p>
          <w:p w:rsidR="005A6497" w:rsidRPr="00435769" w:rsidRDefault="00435769" w:rsidP="007932B2">
            <w:pPr>
              <w:jc w:val="both"/>
              <w:rPr>
                <w:sz w:val="20"/>
                <w:lang w:val="fr-CA"/>
              </w:rPr>
            </w:pPr>
            <w:hyperlink r:id="rId101" w:history="1">
              <w:r w:rsidR="005A6497" w:rsidRPr="00435769">
                <w:rPr>
                  <w:rStyle w:val="Hyperlink"/>
                  <w:sz w:val="20"/>
                  <w:lang w:val="fr-CA"/>
                </w:rPr>
                <w:t>2015 BCSC 39</w:t>
              </w:r>
            </w:hyperlink>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 xml:space="preserve">Requête des demandeurs rejetée </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18 avril 2016</w:t>
            </w:r>
          </w:p>
          <w:p w:rsidR="005A6497" w:rsidRPr="00435769" w:rsidRDefault="005A6497" w:rsidP="007932B2">
            <w:pPr>
              <w:jc w:val="both"/>
              <w:rPr>
                <w:sz w:val="20"/>
                <w:lang w:val="fr-CA"/>
              </w:rPr>
            </w:pPr>
            <w:r w:rsidRPr="00435769">
              <w:rPr>
                <w:sz w:val="20"/>
                <w:lang w:val="fr-CA"/>
              </w:rPr>
              <w:t xml:space="preserve">Cour d’appel de la Colombie-Britannique </w:t>
            </w:r>
          </w:p>
          <w:p w:rsidR="005A6497" w:rsidRPr="00435769" w:rsidRDefault="005A6497" w:rsidP="007932B2">
            <w:pPr>
              <w:jc w:val="both"/>
              <w:rPr>
                <w:sz w:val="20"/>
                <w:lang w:val="fr-CA"/>
              </w:rPr>
            </w:pPr>
            <w:r w:rsidRPr="00435769">
              <w:rPr>
                <w:sz w:val="20"/>
                <w:lang w:val="fr-CA"/>
              </w:rPr>
              <w:t>(Vancouver)</w:t>
            </w:r>
          </w:p>
          <w:p w:rsidR="005A6497" w:rsidRPr="00435769" w:rsidRDefault="005A6497" w:rsidP="007932B2">
            <w:pPr>
              <w:jc w:val="both"/>
              <w:rPr>
                <w:sz w:val="20"/>
                <w:lang w:val="fr-CA"/>
              </w:rPr>
            </w:pPr>
            <w:r w:rsidRPr="00435769">
              <w:rPr>
                <w:sz w:val="20"/>
                <w:lang w:val="fr-CA"/>
              </w:rPr>
              <w:t>(Juges Saunders, Willcock et Dickson)</w:t>
            </w:r>
          </w:p>
          <w:p w:rsidR="005A6497" w:rsidRPr="00435769" w:rsidRDefault="00435769" w:rsidP="007932B2">
            <w:pPr>
              <w:jc w:val="both"/>
              <w:rPr>
                <w:rStyle w:val="Hyperlink"/>
                <w:sz w:val="20"/>
              </w:rPr>
            </w:pPr>
            <w:hyperlink r:id="rId102" w:history="1">
              <w:r w:rsidR="005A6497" w:rsidRPr="00435769">
                <w:rPr>
                  <w:rStyle w:val="Hyperlink"/>
                  <w:sz w:val="20"/>
                </w:rPr>
                <w:t>2016 BCCA 162</w:t>
              </w:r>
            </w:hyperlink>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Appel rejeté</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4 juillet 2016</w:t>
            </w:r>
          </w:p>
          <w:p w:rsidR="005A6497" w:rsidRPr="00435769" w:rsidRDefault="005A6497" w:rsidP="007932B2">
            <w:pPr>
              <w:jc w:val="both"/>
              <w:rPr>
                <w:sz w:val="20"/>
                <w:lang w:val="fr-CA"/>
              </w:rPr>
            </w:pPr>
            <w:r w:rsidRPr="00435769">
              <w:rPr>
                <w:sz w:val="20"/>
                <w:lang w:val="fr-CA"/>
              </w:rPr>
              <w:t>Cour suprême du Canada</w:t>
            </w:r>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Requête en prorogation du délai de signification et de dépôt de la demande d’autorisation et demande d’autorisation d’appel déposées</w:t>
            </w:r>
          </w:p>
        </w:tc>
      </w:tr>
    </w:tbl>
    <w:p w:rsidR="005A6497" w:rsidRPr="00435769" w:rsidRDefault="005A6497" w:rsidP="007932B2">
      <w:pPr>
        <w:jc w:val="both"/>
        <w:rPr>
          <w:sz w:val="20"/>
          <w:lang w:val="fr-CA"/>
        </w:rPr>
      </w:pPr>
    </w:p>
    <w:p w:rsidR="005A6497" w:rsidRPr="00435769" w:rsidRDefault="005A6497" w:rsidP="007932B2">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rPr>
            </w:pPr>
            <w:r w:rsidRPr="00435769">
              <w:rPr>
                <w:rStyle w:val="SCCFileNumberChar"/>
                <w:sz w:val="20"/>
                <w:szCs w:val="20"/>
              </w:rPr>
              <w:t>37138</w:t>
            </w:r>
          </w:p>
        </w:tc>
        <w:tc>
          <w:tcPr>
            <w:tcW w:w="4457" w:type="pct"/>
            <w:gridSpan w:val="3"/>
          </w:tcPr>
          <w:p w:rsidR="005A6497" w:rsidRPr="00435769" w:rsidRDefault="005A6497" w:rsidP="007932B2">
            <w:pPr>
              <w:pStyle w:val="SCCLsocParty"/>
              <w:jc w:val="both"/>
              <w:rPr>
                <w:b/>
                <w:sz w:val="20"/>
                <w:szCs w:val="20"/>
                <w:lang w:val="en-US"/>
              </w:rPr>
            </w:pPr>
            <w:r w:rsidRPr="00435769">
              <w:rPr>
                <w:b/>
                <w:sz w:val="20"/>
                <w:szCs w:val="20"/>
                <w:lang w:val="en-US"/>
              </w:rPr>
              <w:t>Aleh Bortnikov v. Marina Rakitova</w:t>
            </w:r>
          </w:p>
          <w:p w:rsidR="005A6497" w:rsidRPr="00435769" w:rsidRDefault="005A6497" w:rsidP="007932B2">
            <w:pPr>
              <w:jc w:val="both"/>
              <w:rPr>
                <w:sz w:val="20"/>
              </w:rPr>
            </w:pPr>
            <w:r w:rsidRPr="00435769">
              <w:rPr>
                <w:sz w:val="20"/>
              </w:rPr>
              <w:t>(Ont.) (Civil) (By Leave)</w:t>
            </w:r>
          </w:p>
        </w:tc>
      </w:tr>
      <w:tr w:rsidR="005A6497" w:rsidRPr="00435769" w:rsidTr="005A6497">
        <w:tc>
          <w:tcPr>
            <w:tcW w:w="5000" w:type="pct"/>
            <w:gridSpan w:val="4"/>
          </w:tcPr>
          <w:p w:rsidR="005A6497" w:rsidRPr="00435769" w:rsidRDefault="005A6497" w:rsidP="007932B2">
            <w:pPr>
              <w:autoSpaceDE w:val="0"/>
              <w:autoSpaceDN w:val="0"/>
              <w:adjustRightInd w:val="0"/>
              <w:jc w:val="both"/>
              <w:rPr>
                <w:sz w:val="20"/>
              </w:rPr>
            </w:pPr>
            <w:r w:rsidRPr="00435769">
              <w:rPr>
                <w:i/>
                <w:sz w:val="20"/>
              </w:rPr>
              <w:t>Charter of Rights</w:t>
            </w:r>
            <w:r w:rsidRPr="00435769">
              <w:rPr>
                <w:sz w:val="20"/>
              </w:rPr>
              <w:t xml:space="preserve"> – Right to equality – Discrimination – Family law – Divorce – Family assets –Equalization payment – Valuation and deductions – Evidence – Trial judge awarding applicant equalization payment and lump sum spousal support partially based on evidence of expert witness – Can a judge evaluate a commercial property without being trained in evaluation of commercial real estate, and without proper statistical data and required adjustments? - Whether applicant may rely on </w:t>
            </w:r>
            <w:r w:rsidRPr="00435769">
              <w:rPr>
                <w:i/>
                <w:sz w:val="20"/>
              </w:rPr>
              <w:t>Rawluk v. Rawluk</w:t>
            </w:r>
            <w:r w:rsidRPr="00435769">
              <w:rPr>
                <w:sz w:val="20"/>
              </w:rPr>
              <w:t xml:space="preserve">, [1990] 1 S.C.R. 70, and the </w:t>
            </w:r>
            <w:r w:rsidRPr="00435769">
              <w:rPr>
                <w:i/>
                <w:iCs/>
                <w:sz w:val="20"/>
              </w:rPr>
              <w:t>Family Law Act</w:t>
            </w:r>
            <w:r w:rsidRPr="00435769">
              <w:rPr>
                <w:iCs/>
                <w:sz w:val="20"/>
              </w:rPr>
              <w:t>, R.S.O. 1990, c. F-3</w:t>
            </w:r>
            <w:r w:rsidRPr="00435769">
              <w:rPr>
                <w:i/>
                <w:iCs/>
                <w:sz w:val="20"/>
              </w:rPr>
              <w:t xml:space="preserve"> </w:t>
            </w:r>
            <w:r w:rsidRPr="00435769">
              <w:rPr>
                <w:sz w:val="20"/>
              </w:rPr>
              <w:t xml:space="preserve">without conjunction to the </w:t>
            </w:r>
            <w:r w:rsidRPr="00435769">
              <w:rPr>
                <w:i/>
                <w:iCs/>
                <w:sz w:val="20"/>
              </w:rPr>
              <w:t>Business Corporations</w:t>
            </w:r>
            <w:r w:rsidRPr="00435769">
              <w:rPr>
                <w:sz w:val="20"/>
              </w:rPr>
              <w:t xml:space="preserve"> </w:t>
            </w:r>
            <w:r w:rsidRPr="00435769">
              <w:rPr>
                <w:i/>
                <w:iCs/>
                <w:sz w:val="20"/>
              </w:rPr>
              <w:t>Act</w:t>
            </w:r>
            <w:r w:rsidRPr="00435769">
              <w:rPr>
                <w:iCs/>
                <w:sz w:val="20"/>
              </w:rPr>
              <w:t>, R.S.O. 1990, c. B.16</w:t>
            </w:r>
            <w:r w:rsidRPr="00435769">
              <w:rPr>
                <w:sz w:val="20"/>
              </w:rPr>
              <w:t xml:space="preserve">? – Whether respondent fabricated evidence and acted in bad faith – Whether Rule 24 of </w:t>
            </w:r>
            <w:r w:rsidRPr="00435769">
              <w:rPr>
                <w:i/>
                <w:iCs/>
                <w:sz w:val="20"/>
              </w:rPr>
              <w:t xml:space="preserve">Family Law Rules </w:t>
            </w:r>
            <w:r w:rsidRPr="00435769">
              <w:rPr>
                <w:sz w:val="20"/>
              </w:rPr>
              <w:t xml:space="preserve">treat self-represented litigant and party represented by a counsel unequally? – Whether property outside of Canada may be excluded from net family property statement without any burden of proof? – Whether judge may override </w:t>
            </w:r>
            <w:r w:rsidRPr="00435769">
              <w:rPr>
                <w:i/>
                <w:iCs/>
                <w:sz w:val="20"/>
              </w:rPr>
              <w:t xml:space="preserve">Income Tax Act </w:t>
            </w:r>
            <w:r w:rsidRPr="00435769">
              <w:rPr>
                <w:sz w:val="20"/>
              </w:rPr>
              <w:t xml:space="preserve">and </w:t>
            </w:r>
            <w:r w:rsidRPr="00435769">
              <w:rPr>
                <w:i/>
                <w:iCs/>
                <w:sz w:val="20"/>
              </w:rPr>
              <w:t xml:space="preserve">Income Tax Folio, S1-F3-C3: Support Payments? </w:t>
            </w:r>
            <w:r w:rsidRPr="00435769">
              <w:rPr>
                <w:iCs/>
                <w:sz w:val="20"/>
              </w:rPr>
              <w:t xml:space="preserve">– Whether </w:t>
            </w:r>
            <w:r w:rsidRPr="00435769">
              <w:rPr>
                <w:i/>
                <w:iCs/>
                <w:sz w:val="20"/>
              </w:rPr>
              <w:t xml:space="preserve">Charter </w:t>
            </w:r>
            <w:r w:rsidRPr="00435769">
              <w:rPr>
                <w:iCs/>
                <w:sz w:val="20"/>
              </w:rPr>
              <w:t>rights violated.</w:t>
            </w:r>
          </w:p>
        </w:tc>
      </w:tr>
      <w:tr w:rsidR="005A6497" w:rsidRPr="00435769" w:rsidTr="005A6497">
        <w:tc>
          <w:tcPr>
            <w:tcW w:w="5000" w:type="pct"/>
            <w:gridSpan w:val="4"/>
          </w:tcPr>
          <w:p w:rsidR="005A6497" w:rsidRPr="00435769" w:rsidRDefault="005A6497" w:rsidP="007932B2">
            <w:pPr>
              <w:jc w:val="both"/>
              <w:rPr>
                <w:sz w:val="20"/>
              </w:rPr>
            </w:pPr>
          </w:p>
          <w:p w:rsidR="005A6497" w:rsidRPr="00435769" w:rsidRDefault="005A6497" w:rsidP="007932B2">
            <w:pPr>
              <w:jc w:val="both"/>
              <w:rPr>
                <w:sz w:val="20"/>
              </w:rPr>
            </w:pPr>
            <w:r w:rsidRPr="00435769">
              <w:rPr>
                <w:sz w:val="20"/>
              </w:rPr>
              <w:t>The parties were married in 2002 and separated in 2011. Both parties lived and worked at the Grand Motel located in Scarborough Ontario, that was solely owned by the respondent, Ms. Rakitova, since prior to the marriage. They also purchased a cottage property during the marriage in joint names. Following separation, the applicant, Mr. Bortnikov, was terminated from his employment at the hotel and was required to leave the matrimonial home, located on the hotel premises. He resided at the cottage property until it was sold in 2013. Ms. Rakitova has continued to own and operate the motel business and to reside there in the matrimonial home. Mr. Bortnikov has had no material income since the separation. At trial, the main issues were Mr. Bortnikov’s claims for an equalization of net family property and spousal support.</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April 29, 2015</w:t>
            </w:r>
          </w:p>
          <w:p w:rsidR="005A6497" w:rsidRPr="00435769" w:rsidRDefault="005A6497" w:rsidP="007932B2">
            <w:pPr>
              <w:jc w:val="both"/>
              <w:rPr>
                <w:sz w:val="20"/>
              </w:rPr>
            </w:pPr>
            <w:r w:rsidRPr="00435769">
              <w:rPr>
                <w:sz w:val="20"/>
              </w:rPr>
              <w:t>Ontario Superior Court of Justice</w:t>
            </w:r>
          </w:p>
          <w:p w:rsidR="005A6497" w:rsidRPr="00435769" w:rsidRDefault="005A6497" w:rsidP="007932B2">
            <w:pPr>
              <w:jc w:val="both"/>
              <w:rPr>
                <w:sz w:val="20"/>
              </w:rPr>
            </w:pPr>
            <w:r w:rsidRPr="00435769">
              <w:rPr>
                <w:sz w:val="20"/>
              </w:rPr>
              <w:t>(Penny J.)</w:t>
            </w:r>
          </w:p>
          <w:p w:rsidR="005A6497" w:rsidRPr="00435769" w:rsidRDefault="00435769" w:rsidP="007932B2">
            <w:pPr>
              <w:jc w:val="both"/>
              <w:rPr>
                <w:sz w:val="20"/>
              </w:rPr>
            </w:pPr>
            <w:hyperlink r:id="rId103" w:history="1">
              <w:r w:rsidR="005A6497" w:rsidRPr="00435769">
                <w:rPr>
                  <w:rStyle w:val="Hyperlink"/>
                  <w:sz w:val="20"/>
                </w:rPr>
                <w:t>2015 ONSC 2546</w:t>
              </w:r>
            </w:hyperlink>
          </w:p>
          <w:p w:rsidR="005A6497" w:rsidRPr="00435769" w:rsidRDefault="00435769" w:rsidP="007932B2">
            <w:pPr>
              <w:jc w:val="both"/>
              <w:rPr>
                <w:sz w:val="20"/>
              </w:rPr>
            </w:pPr>
            <w:hyperlink r:id="rId104" w:history="1">
              <w:r w:rsidR="005A6497" w:rsidRPr="00435769">
                <w:rPr>
                  <w:rStyle w:val="Hyperlink"/>
                  <w:sz w:val="20"/>
                </w:rPr>
                <w:t>2015 ONSC 3898</w:t>
              </w:r>
            </w:hyperlink>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Orders granting applicant equalization payment, lump sum spousal support and costs</w:t>
            </w:r>
          </w:p>
        </w:tc>
      </w:tr>
      <w:tr w:rsidR="005A6497" w:rsidRPr="00435769" w:rsidTr="005A6497">
        <w:tc>
          <w:tcPr>
            <w:tcW w:w="2427" w:type="pct"/>
            <w:gridSpan w:val="2"/>
          </w:tcPr>
          <w:p w:rsidR="005A6497" w:rsidRPr="00435769" w:rsidRDefault="005A6497" w:rsidP="007932B2">
            <w:pPr>
              <w:jc w:val="both"/>
              <w:rPr>
                <w:sz w:val="20"/>
              </w:rPr>
            </w:pPr>
            <w:r w:rsidRPr="00435769">
              <w:rPr>
                <w:sz w:val="20"/>
              </w:rPr>
              <w:t>June 1, 2016</w:t>
            </w:r>
          </w:p>
          <w:p w:rsidR="005A6497" w:rsidRPr="00435769" w:rsidRDefault="005A6497" w:rsidP="007932B2">
            <w:pPr>
              <w:jc w:val="both"/>
              <w:rPr>
                <w:sz w:val="20"/>
              </w:rPr>
            </w:pPr>
            <w:r w:rsidRPr="00435769">
              <w:rPr>
                <w:sz w:val="20"/>
              </w:rPr>
              <w:t>Court of Appeal for Ontario</w:t>
            </w:r>
          </w:p>
          <w:p w:rsidR="005A6497" w:rsidRPr="00435769" w:rsidRDefault="005A6497" w:rsidP="007932B2">
            <w:pPr>
              <w:jc w:val="both"/>
              <w:rPr>
                <w:sz w:val="20"/>
              </w:rPr>
            </w:pPr>
            <w:r w:rsidRPr="00435769">
              <w:rPr>
                <w:sz w:val="20"/>
              </w:rPr>
              <w:t>Hoy A.C.J.O., Blair and Roberts JJ.A.)</w:t>
            </w:r>
          </w:p>
          <w:p w:rsidR="005A6497" w:rsidRPr="00435769" w:rsidRDefault="00435769" w:rsidP="007932B2">
            <w:pPr>
              <w:jc w:val="both"/>
              <w:rPr>
                <w:sz w:val="20"/>
              </w:rPr>
            </w:pPr>
            <w:hyperlink r:id="rId105" w:history="1">
              <w:r w:rsidR="005A6497" w:rsidRPr="00435769">
                <w:rPr>
                  <w:rStyle w:val="Hyperlink"/>
                  <w:sz w:val="20"/>
                </w:rPr>
                <w:t>2016 ONCA 427</w:t>
              </w:r>
            </w:hyperlink>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Applicant’s appeal allowed in part with respect to one aspect of equalization payment calculation, otherwise appeal and cross-appeal dismissed</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August 15, 2016</w:t>
            </w:r>
          </w:p>
          <w:p w:rsidR="005A6497" w:rsidRPr="00435769" w:rsidRDefault="005A6497" w:rsidP="007932B2">
            <w:pPr>
              <w:jc w:val="both"/>
              <w:rPr>
                <w:sz w:val="20"/>
              </w:rPr>
            </w:pPr>
            <w:r w:rsidRPr="00435769">
              <w:rPr>
                <w:sz w:val="20"/>
              </w:rPr>
              <w:t>Supreme Court of Canada</w:t>
            </w: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Application for leave to appeal filed</w:t>
            </w:r>
          </w:p>
          <w:p w:rsidR="005A6497" w:rsidRPr="00435769" w:rsidRDefault="005A6497" w:rsidP="007932B2">
            <w:pPr>
              <w:jc w:val="both"/>
              <w:rPr>
                <w:sz w:val="20"/>
              </w:rPr>
            </w:pPr>
          </w:p>
        </w:tc>
      </w:tr>
    </w:tbl>
    <w:p w:rsidR="005A6497" w:rsidRPr="00435769" w:rsidRDefault="005A6497" w:rsidP="007932B2">
      <w:pPr>
        <w:jc w:val="both"/>
        <w:rPr>
          <w:sz w:val="20"/>
        </w:rPr>
      </w:pPr>
    </w:p>
    <w:p w:rsidR="009C2F30" w:rsidRPr="00435769" w:rsidRDefault="009C2F30" w:rsidP="007932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rPr>
            </w:pPr>
            <w:r w:rsidRPr="00435769">
              <w:rPr>
                <w:rStyle w:val="SCCFileNumberChar"/>
                <w:sz w:val="20"/>
                <w:szCs w:val="20"/>
              </w:rPr>
              <w:t>37138</w:t>
            </w:r>
          </w:p>
        </w:tc>
        <w:tc>
          <w:tcPr>
            <w:tcW w:w="4457" w:type="pct"/>
            <w:gridSpan w:val="3"/>
          </w:tcPr>
          <w:p w:rsidR="005A6497" w:rsidRPr="00435769" w:rsidRDefault="005A6497" w:rsidP="007932B2">
            <w:pPr>
              <w:pStyle w:val="SCCLsocParty"/>
              <w:jc w:val="both"/>
              <w:rPr>
                <w:b/>
                <w:sz w:val="20"/>
                <w:szCs w:val="20"/>
              </w:rPr>
            </w:pPr>
            <w:r w:rsidRPr="00435769">
              <w:rPr>
                <w:b/>
                <w:sz w:val="20"/>
                <w:szCs w:val="20"/>
              </w:rPr>
              <w:t>Aleh Bortnikov c. Marina Rakitova</w:t>
            </w:r>
          </w:p>
          <w:p w:rsidR="005A6497" w:rsidRPr="00435769" w:rsidRDefault="005A6497" w:rsidP="007932B2">
            <w:pPr>
              <w:jc w:val="both"/>
              <w:rPr>
                <w:sz w:val="20"/>
                <w:lang w:val="fr-CA"/>
              </w:rPr>
            </w:pPr>
            <w:r w:rsidRPr="00435769">
              <w:rPr>
                <w:sz w:val="20"/>
                <w:lang w:val="fr-CA"/>
              </w:rPr>
              <w:t>(Ont.) (Civile) (Sur autorisation)</w:t>
            </w:r>
          </w:p>
        </w:tc>
      </w:tr>
      <w:tr w:rsidR="005A6497" w:rsidRPr="00435769" w:rsidTr="005A6497">
        <w:tc>
          <w:tcPr>
            <w:tcW w:w="5000" w:type="pct"/>
            <w:gridSpan w:val="4"/>
          </w:tcPr>
          <w:p w:rsidR="005A6497" w:rsidRPr="00435769" w:rsidRDefault="005A6497" w:rsidP="007932B2">
            <w:pPr>
              <w:autoSpaceDE w:val="0"/>
              <w:autoSpaceDN w:val="0"/>
              <w:adjustRightInd w:val="0"/>
              <w:jc w:val="both"/>
              <w:rPr>
                <w:sz w:val="20"/>
                <w:lang w:val="fr-CA"/>
              </w:rPr>
            </w:pPr>
            <w:r w:rsidRPr="00435769">
              <w:rPr>
                <w:i/>
                <w:sz w:val="20"/>
                <w:lang w:val="fr-CA"/>
              </w:rPr>
              <w:t>Charte des droits</w:t>
            </w:r>
            <w:r w:rsidRPr="00435769">
              <w:rPr>
                <w:sz w:val="20"/>
                <w:lang w:val="fr-CA"/>
              </w:rPr>
              <w:t xml:space="preserve"> – Droit à l’égalité – Discrimination – Droit de la famille – Divorce – Biens familiaux – Paiement d’égalisation – Évaluation et déductions – Preuve – Juge de première instance accordant au demandeur un paiement d’égalisation et une pension alimentaire sous forme de somme forfaitaire compte tenu entre autres du témoignage d’un expert – Le juge peut</w:t>
            </w:r>
            <w:r w:rsidRPr="00435769">
              <w:rPr>
                <w:sz w:val="20"/>
                <w:lang w:val="fr-CA"/>
              </w:rPr>
              <w:noBreakHyphen/>
              <w:t xml:space="preserve">il évaluer une propriété commerciale sans avoir de formation en la matière, sans disposer des données statistiques requises et sans avoir apporté les ajustements nécessaires? – Le demandeur peut-il invoquer l’arrêt </w:t>
            </w:r>
            <w:r w:rsidRPr="00435769">
              <w:rPr>
                <w:i/>
                <w:sz w:val="20"/>
                <w:lang w:val="fr-CA"/>
              </w:rPr>
              <w:t>Rawluk c. Rawluk</w:t>
            </w:r>
            <w:r w:rsidRPr="00435769">
              <w:rPr>
                <w:sz w:val="20"/>
                <w:lang w:val="fr-CA"/>
              </w:rPr>
              <w:t xml:space="preserve">, [1990] 1 R.C.S. 70, et la </w:t>
            </w:r>
            <w:r w:rsidRPr="00435769">
              <w:rPr>
                <w:i/>
                <w:sz w:val="20"/>
                <w:lang w:val="fr-CA"/>
              </w:rPr>
              <w:t>Loi sur le droit de la famille</w:t>
            </w:r>
            <w:r w:rsidRPr="00435769">
              <w:rPr>
                <w:iCs/>
                <w:sz w:val="20"/>
                <w:lang w:val="fr-CA"/>
              </w:rPr>
              <w:t xml:space="preserve">, L.R.O. 1990, c. F-3, sans faire de rapport avec la </w:t>
            </w:r>
            <w:r w:rsidRPr="00435769">
              <w:rPr>
                <w:i/>
                <w:iCs/>
                <w:sz w:val="20"/>
                <w:lang w:val="fr-CA"/>
              </w:rPr>
              <w:t>Loi sur les sociétés par actions</w:t>
            </w:r>
            <w:r w:rsidRPr="00435769">
              <w:rPr>
                <w:iCs/>
                <w:sz w:val="20"/>
                <w:lang w:val="fr-CA"/>
              </w:rPr>
              <w:t>, L.R.O. 1990, c. B.16</w:t>
            </w:r>
            <w:r w:rsidRPr="00435769">
              <w:rPr>
                <w:sz w:val="20"/>
                <w:lang w:val="fr-CA"/>
              </w:rPr>
              <w:t xml:space="preserve">? – L’intimée a-t-elle inventé de toute pièce des éléments de preuve et agi de mauvaise foi? – L’article 24 des </w:t>
            </w:r>
            <w:r w:rsidRPr="00435769">
              <w:rPr>
                <w:i/>
                <w:iCs/>
                <w:sz w:val="20"/>
                <w:lang w:val="fr-CA"/>
              </w:rPr>
              <w:t xml:space="preserve">Règles en matière de droit de la famille </w:t>
            </w:r>
            <w:r w:rsidRPr="00435769">
              <w:rPr>
                <w:iCs/>
                <w:sz w:val="20"/>
                <w:lang w:val="fr-CA"/>
              </w:rPr>
              <w:t>traite-t-il de façon inégale la par</w:t>
            </w:r>
            <w:r w:rsidRPr="00435769">
              <w:rPr>
                <w:sz w:val="20"/>
                <w:lang w:val="fr-CA"/>
              </w:rPr>
              <w:t xml:space="preserve">tie non représentée par avocat et la partie représentée par avocat? – Les biens se trouvant à l’étranger peuvent-ils être exclus de la déclaration des biens familiaux nets en l’absence d’un quelconque fardeau de preuve? – Le juge peut-il passer outre à la </w:t>
            </w:r>
            <w:r w:rsidRPr="00435769">
              <w:rPr>
                <w:i/>
                <w:sz w:val="20"/>
                <w:lang w:val="fr-CA"/>
              </w:rPr>
              <w:t xml:space="preserve">Loi de l’impôt sur le revenu </w:t>
            </w:r>
            <w:r w:rsidRPr="00435769">
              <w:rPr>
                <w:sz w:val="20"/>
                <w:lang w:val="fr-CA"/>
              </w:rPr>
              <w:t xml:space="preserve">et au </w:t>
            </w:r>
            <w:r w:rsidRPr="00435769">
              <w:rPr>
                <w:i/>
                <w:sz w:val="20"/>
                <w:lang w:val="fr-CA"/>
              </w:rPr>
              <w:t>Folio de l’impôt sur le revenu</w:t>
            </w:r>
            <w:r w:rsidRPr="00435769">
              <w:rPr>
                <w:sz w:val="20"/>
                <w:lang w:val="fr-CA"/>
              </w:rPr>
              <w:t xml:space="preserve"> </w:t>
            </w:r>
            <w:r w:rsidRPr="00435769">
              <w:rPr>
                <w:i/>
                <w:iCs/>
                <w:sz w:val="20"/>
                <w:lang w:val="fr-CA"/>
              </w:rPr>
              <w:t>S1-F3-C3, Pensions alimentaires</w:t>
            </w:r>
            <w:r w:rsidRPr="00435769">
              <w:rPr>
                <w:iCs/>
                <w:sz w:val="20"/>
                <w:lang w:val="fr-CA"/>
              </w:rPr>
              <w:t>?</w:t>
            </w:r>
            <w:r w:rsidRPr="00435769">
              <w:rPr>
                <w:i/>
                <w:iCs/>
                <w:sz w:val="20"/>
                <w:lang w:val="fr-CA"/>
              </w:rPr>
              <w:t xml:space="preserve"> </w:t>
            </w:r>
            <w:r w:rsidRPr="00435769">
              <w:rPr>
                <w:iCs/>
                <w:sz w:val="20"/>
                <w:lang w:val="fr-CA"/>
              </w:rPr>
              <w:t xml:space="preserve">– Y a-t-il eu violation de droits conférés par la </w:t>
            </w:r>
            <w:r w:rsidRPr="00435769">
              <w:rPr>
                <w:i/>
                <w:iCs/>
                <w:sz w:val="20"/>
                <w:lang w:val="fr-CA"/>
              </w:rPr>
              <w:t>Charte</w:t>
            </w:r>
            <w:r w:rsidRPr="00435769">
              <w:rPr>
                <w:iCs/>
                <w:sz w:val="20"/>
                <w:lang w:val="fr-CA"/>
              </w:rPr>
              <w:t>?</w:t>
            </w:r>
          </w:p>
        </w:tc>
      </w:tr>
      <w:tr w:rsidR="005A6497" w:rsidRPr="00435769" w:rsidTr="005A6497">
        <w:tc>
          <w:tcPr>
            <w:tcW w:w="5000" w:type="pct"/>
            <w:gridSpan w:val="4"/>
          </w:tcPr>
          <w:p w:rsidR="005A6497" w:rsidRPr="00435769" w:rsidRDefault="005A6497" w:rsidP="007932B2">
            <w:pPr>
              <w:jc w:val="both"/>
              <w:rPr>
                <w:sz w:val="20"/>
                <w:lang w:val="fr-CA"/>
              </w:rPr>
            </w:pPr>
          </w:p>
          <w:p w:rsidR="005A6497" w:rsidRPr="00435769" w:rsidRDefault="005A6497" w:rsidP="007932B2">
            <w:pPr>
              <w:jc w:val="both"/>
              <w:rPr>
                <w:sz w:val="20"/>
                <w:lang w:val="fr-CA"/>
              </w:rPr>
            </w:pPr>
            <w:r w:rsidRPr="00435769">
              <w:rPr>
                <w:sz w:val="20"/>
                <w:lang w:val="fr-CA"/>
              </w:rPr>
              <w:t>Les parties se sont mariées en 2002 et se sont séparées en 2011. Elles vivaient et travaillaient toutes deux au Grand Motel à Scarborough (Ontario). Cet hôtel appartenait exclusivement à l’intimée, M</w:t>
            </w:r>
            <w:r w:rsidRPr="00435769">
              <w:rPr>
                <w:sz w:val="20"/>
                <w:vertAlign w:val="superscript"/>
                <w:lang w:val="fr-CA"/>
              </w:rPr>
              <w:t>me</w:t>
            </w:r>
            <w:r w:rsidRPr="00435769">
              <w:rPr>
                <w:sz w:val="20"/>
                <w:lang w:val="fr-CA"/>
              </w:rPr>
              <w:t> Rakitova, avant le mariage. Ils ont également acheté conjointement un chalet durant le mariage. Après la séparation, M. Bortnikov a perdu son emploi à l’hôtel et a dû quitter le foyer conjugal situé sur le terrain de l’hôtel. Il a habité le chalet jusqu’à la vente de celui-ci en 2013. M</w:t>
            </w:r>
            <w:r w:rsidRPr="00435769">
              <w:rPr>
                <w:sz w:val="20"/>
                <w:vertAlign w:val="superscript"/>
                <w:lang w:val="fr-CA"/>
              </w:rPr>
              <w:t>me</w:t>
            </w:r>
            <w:r w:rsidRPr="00435769">
              <w:rPr>
                <w:sz w:val="20"/>
                <w:lang w:val="fr-CA"/>
              </w:rPr>
              <w:t> Rakitova possède et exploite toujours l’hôtel et continue d’y vivre, dans le foyer conjugal. M. Bortnikov ne touche plus de revenu important depuis la séparation. Les questions en litige principales au procès étaient les demandes présentées par M. Bortnikov en vue d’obtenir  l’égalisation des biens familiaux nets et une pension alimentaire.</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29 avril 2015</w:t>
            </w:r>
          </w:p>
          <w:p w:rsidR="005A6497" w:rsidRPr="00435769" w:rsidRDefault="005A6497" w:rsidP="007932B2">
            <w:pPr>
              <w:jc w:val="both"/>
              <w:rPr>
                <w:sz w:val="20"/>
                <w:lang w:val="fr-CA"/>
              </w:rPr>
            </w:pPr>
            <w:r w:rsidRPr="00435769">
              <w:rPr>
                <w:sz w:val="20"/>
                <w:lang w:val="fr-CA"/>
              </w:rPr>
              <w:t xml:space="preserve">Cour supérieure de justice de l’Ontario </w:t>
            </w:r>
          </w:p>
          <w:p w:rsidR="005A6497" w:rsidRPr="00435769" w:rsidRDefault="005A6497" w:rsidP="007932B2">
            <w:pPr>
              <w:jc w:val="both"/>
              <w:rPr>
                <w:sz w:val="20"/>
              </w:rPr>
            </w:pPr>
            <w:r w:rsidRPr="00435769">
              <w:rPr>
                <w:sz w:val="20"/>
              </w:rPr>
              <w:t>(Juge Penny)</w:t>
            </w:r>
          </w:p>
          <w:p w:rsidR="005A6497" w:rsidRPr="00435769" w:rsidRDefault="00435769" w:rsidP="007932B2">
            <w:pPr>
              <w:jc w:val="both"/>
              <w:rPr>
                <w:sz w:val="20"/>
              </w:rPr>
            </w:pPr>
            <w:hyperlink r:id="rId106" w:history="1">
              <w:r w:rsidR="005A6497" w:rsidRPr="00435769">
                <w:rPr>
                  <w:rStyle w:val="Hyperlink"/>
                  <w:sz w:val="20"/>
                </w:rPr>
                <w:t>2015 ONSC 2546</w:t>
              </w:r>
            </w:hyperlink>
          </w:p>
          <w:p w:rsidR="005A6497" w:rsidRPr="00435769" w:rsidRDefault="00435769" w:rsidP="007932B2">
            <w:pPr>
              <w:jc w:val="both"/>
              <w:rPr>
                <w:sz w:val="20"/>
              </w:rPr>
            </w:pPr>
            <w:hyperlink r:id="rId107" w:history="1">
              <w:r w:rsidR="005A6497" w:rsidRPr="00435769">
                <w:rPr>
                  <w:rStyle w:val="Hyperlink"/>
                  <w:sz w:val="20"/>
                </w:rPr>
                <w:t>2015 ONSC 3898</w:t>
              </w:r>
            </w:hyperlink>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lang w:val="fr-CA"/>
              </w:rPr>
            </w:pPr>
            <w:r w:rsidRPr="00435769">
              <w:rPr>
                <w:sz w:val="20"/>
                <w:lang w:val="fr-CA"/>
              </w:rPr>
              <w:t>Ordonnances accordant au demandeur un paiement d’égalisation, une pension alimentaire sous forme de somme forfaitaire et les dépens</w:t>
            </w: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1</w:t>
            </w:r>
            <w:r w:rsidRPr="00435769">
              <w:rPr>
                <w:sz w:val="20"/>
                <w:vertAlign w:val="superscript"/>
                <w:lang w:val="fr-CA"/>
              </w:rPr>
              <w:t>er</w:t>
            </w:r>
            <w:r w:rsidRPr="00435769">
              <w:rPr>
                <w:sz w:val="20"/>
                <w:lang w:val="fr-CA"/>
              </w:rPr>
              <w:t xml:space="preserve"> juin 2016</w:t>
            </w:r>
          </w:p>
          <w:p w:rsidR="005A6497" w:rsidRPr="00435769" w:rsidRDefault="005A6497" w:rsidP="007932B2">
            <w:pPr>
              <w:jc w:val="both"/>
              <w:rPr>
                <w:sz w:val="20"/>
                <w:lang w:val="fr-CA"/>
              </w:rPr>
            </w:pPr>
            <w:r w:rsidRPr="00435769">
              <w:rPr>
                <w:sz w:val="20"/>
                <w:lang w:val="fr-CA"/>
              </w:rPr>
              <w:t>Cour d’appel de l’Ontario</w:t>
            </w:r>
          </w:p>
          <w:p w:rsidR="005A6497" w:rsidRPr="00435769" w:rsidRDefault="005A6497" w:rsidP="007932B2">
            <w:pPr>
              <w:jc w:val="both"/>
              <w:rPr>
                <w:sz w:val="20"/>
                <w:lang w:val="fr-CA"/>
              </w:rPr>
            </w:pPr>
            <w:r w:rsidRPr="00435769">
              <w:rPr>
                <w:sz w:val="20"/>
                <w:lang w:val="fr-CA"/>
              </w:rPr>
              <w:t>Juge en chef adjointe Hoy et juges Blair et Roberts)</w:t>
            </w:r>
          </w:p>
          <w:p w:rsidR="005A6497" w:rsidRPr="00435769" w:rsidRDefault="00435769" w:rsidP="007932B2">
            <w:pPr>
              <w:jc w:val="both"/>
              <w:rPr>
                <w:sz w:val="20"/>
              </w:rPr>
            </w:pPr>
            <w:hyperlink r:id="rId108" w:history="1">
              <w:r w:rsidR="005A6497" w:rsidRPr="00435769">
                <w:rPr>
                  <w:rStyle w:val="Hyperlink"/>
                  <w:sz w:val="20"/>
                </w:rPr>
                <w:t>2016 ONCA 427</w:t>
              </w:r>
            </w:hyperlink>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lang w:val="fr-CA"/>
              </w:rPr>
            </w:pPr>
            <w:r w:rsidRPr="00435769">
              <w:rPr>
                <w:sz w:val="20"/>
                <w:lang w:val="fr-CA"/>
              </w:rPr>
              <w:t xml:space="preserve">Appel du demandeur accueilli en partie relativement à un aspect du calcul du paiement d’égalisation, rejet de l’appel et de l’appel incident à tous les autres égards </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15 août 2016</w:t>
            </w:r>
          </w:p>
          <w:p w:rsidR="005A6497" w:rsidRPr="00435769" w:rsidRDefault="005A6497" w:rsidP="007932B2">
            <w:pPr>
              <w:jc w:val="both"/>
              <w:rPr>
                <w:sz w:val="20"/>
                <w:lang w:val="fr-CA"/>
              </w:rPr>
            </w:pPr>
            <w:r w:rsidRPr="00435769">
              <w:rPr>
                <w:sz w:val="20"/>
                <w:lang w:val="fr-CA"/>
              </w:rPr>
              <w:t>Cour suprême du Canada</w:t>
            </w: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Dépôt de la demande d’autorisation d’appel</w:t>
            </w:r>
          </w:p>
        </w:tc>
      </w:tr>
    </w:tbl>
    <w:p w:rsidR="005A6497" w:rsidRPr="00435769" w:rsidRDefault="005A6497" w:rsidP="007932B2">
      <w:pPr>
        <w:jc w:val="both"/>
        <w:rPr>
          <w:sz w:val="20"/>
          <w:lang w:val="fr-CA"/>
        </w:rPr>
      </w:pPr>
    </w:p>
    <w:p w:rsidR="005A6497" w:rsidRPr="00435769" w:rsidRDefault="005A6497" w:rsidP="007932B2">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rPr>
            </w:pPr>
            <w:r w:rsidRPr="00435769">
              <w:rPr>
                <w:rStyle w:val="SCCFileNumberChar"/>
                <w:sz w:val="20"/>
                <w:szCs w:val="20"/>
              </w:rPr>
              <w:t>37143</w:t>
            </w:r>
          </w:p>
        </w:tc>
        <w:tc>
          <w:tcPr>
            <w:tcW w:w="4457" w:type="pct"/>
            <w:gridSpan w:val="3"/>
          </w:tcPr>
          <w:p w:rsidR="005A6497" w:rsidRPr="00435769" w:rsidRDefault="005A6497" w:rsidP="007932B2">
            <w:pPr>
              <w:pStyle w:val="SCCLsocParty"/>
              <w:jc w:val="both"/>
              <w:rPr>
                <w:b/>
                <w:sz w:val="20"/>
                <w:szCs w:val="20"/>
                <w:lang w:val="en-US"/>
              </w:rPr>
            </w:pPr>
            <w:r w:rsidRPr="00435769">
              <w:rPr>
                <w:b/>
                <w:sz w:val="20"/>
                <w:szCs w:val="20"/>
                <w:lang w:val="en-US"/>
              </w:rPr>
              <w:t>Rosemary Anne Hood v. Attorney General of Canada, Canadian Food Inspection Agency, Public Health Agency of Canada, Professional Institute of the Public Service of Canada Employment and Skills Development Canada - Labour</w:t>
            </w:r>
          </w:p>
          <w:p w:rsidR="005A6497" w:rsidRPr="00435769" w:rsidRDefault="005A6497" w:rsidP="007932B2">
            <w:pPr>
              <w:jc w:val="both"/>
              <w:rPr>
                <w:sz w:val="20"/>
              </w:rPr>
            </w:pPr>
            <w:r w:rsidRPr="00435769">
              <w:rPr>
                <w:sz w:val="20"/>
              </w:rPr>
              <w:t>(FC) (Civil) (By Leave)</w:t>
            </w:r>
          </w:p>
        </w:tc>
      </w:tr>
      <w:tr w:rsidR="005A6497" w:rsidRPr="00435769" w:rsidTr="005A6497">
        <w:tc>
          <w:tcPr>
            <w:tcW w:w="5000" w:type="pct"/>
            <w:gridSpan w:val="4"/>
          </w:tcPr>
          <w:p w:rsidR="005A6497" w:rsidRPr="00435769" w:rsidRDefault="005A6497" w:rsidP="007932B2">
            <w:pPr>
              <w:jc w:val="both"/>
              <w:rPr>
                <w:sz w:val="20"/>
              </w:rPr>
            </w:pPr>
            <w:r w:rsidRPr="00435769">
              <w:rPr>
                <w:i/>
                <w:sz w:val="20"/>
              </w:rPr>
              <w:t>Charter of Rights</w:t>
            </w:r>
            <w:r w:rsidRPr="00435769">
              <w:rPr>
                <w:sz w:val="20"/>
              </w:rPr>
              <w:t xml:space="preserve"> – Discrimination – Employment law – Unjust dismissal – Applicant challenging characterization of monies paid to her by former employer following termination of her employment – Who has jurisdiction to hear allegations of harassment? – Whether applicant’s human and privacy rights infringed</w:t>
            </w:r>
          </w:p>
        </w:tc>
      </w:tr>
      <w:tr w:rsidR="005A6497" w:rsidRPr="00435769" w:rsidTr="005A6497">
        <w:tc>
          <w:tcPr>
            <w:tcW w:w="5000" w:type="pct"/>
            <w:gridSpan w:val="4"/>
          </w:tcPr>
          <w:p w:rsidR="005A6497" w:rsidRPr="00435769" w:rsidRDefault="005A6497" w:rsidP="007932B2">
            <w:pPr>
              <w:jc w:val="both"/>
              <w:rPr>
                <w:sz w:val="20"/>
              </w:rPr>
            </w:pPr>
          </w:p>
        </w:tc>
      </w:tr>
      <w:tr w:rsidR="005A6497" w:rsidRPr="00435769" w:rsidTr="005A6497">
        <w:tc>
          <w:tcPr>
            <w:tcW w:w="5000" w:type="pct"/>
            <w:gridSpan w:val="4"/>
          </w:tcPr>
          <w:p w:rsidR="005A6497" w:rsidRPr="00435769" w:rsidRDefault="005A6497" w:rsidP="007932B2">
            <w:pPr>
              <w:jc w:val="both"/>
              <w:rPr>
                <w:sz w:val="20"/>
              </w:rPr>
            </w:pPr>
            <w:r w:rsidRPr="00435769">
              <w:rPr>
                <w:sz w:val="20"/>
              </w:rPr>
              <w:t xml:space="preserve">The applicant received monies from her former employer purportedly as severance pay, following the termination of her employment. She maintained that the monies she received was not severance pay and brought a number of preliminary proceedings to have this issue resolved. On March 9, 2015, the General Division of the Social and </w:t>
            </w:r>
            <w:r w:rsidRPr="00435769">
              <w:rPr>
                <w:sz w:val="20"/>
              </w:rPr>
              <w:lastRenderedPageBreak/>
              <w:t xml:space="preserve">Security Tribunal of Canada dismissed her application that challenged the finding of the Canada Employment Insurance Commission, qualifying her severance pay as “earnings” pursuant to s. 35(2) of the </w:t>
            </w:r>
            <w:r w:rsidRPr="00435769">
              <w:rPr>
                <w:i/>
                <w:sz w:val="20"/>
              </w:rPr>
              <w:t>Employment Insurance Regulations</w:t>
            </w:r>
            <w:r w:rsidRPr="00435769">
              <w:rPr>
                <w:sz w:val="20"/>
              </w:rPr>
              <w:t>, SOR/96-332. The Appeal Division of the Social and Security Tribunal of Canada determined that the applicant had failed to identify any reviewable errors in the General Division decision and dismissed her application for leave to appeal. The applicant applied for judicial review of that decision. The respondent, the Attorney General, was granted an order dismissing that application on the basis that the application had no reasonable chance of success, was an abuse of process and that the Federal Court lacked the jurisdiction to hear the application.</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lastRenderedPageBreak/>
              <w:t>November 6, 2015</w:t>
            </w:r>
          </w:p>
          <w:p w:rsidR="005A6497" w:rsidRPr="00435769" w:rsidRDefault="005A6497" w:rsidP="007932B2">
            <w:pPr>
              <w:jc w:val="both"/>
              <w:rPr>
                <w:sz w:val="20"/>
              </w:rPr>
            </w:pPr>
            <w:r w:rsidRPr="00435769">
              <w:rPr>
                <w:sz w:val="20"/>
              </w:rPr>
              <w:t>Federal Court of Appeal</w:t>
            </w:r>
          </w:p>
          <w:p w:rsidR="005A6497" w:rsidRPr="00435769" w:rsidRDefault="005A6497" w:rsidP="007932B2">
            <w:pPr>
              <w:jc w:val="both"/>
              <w:rPr>
                <w:sz w:val="20"/>
              </w:rPr>
            </w:pPr>
            <w:r w:rsidRPr="00435769">
              <w:rPr>
                <w:sz w:val="20"/>
              </w:rPr>
              <w:t xml:space="preserve">(Dawson J.A.) </w:t>
            </w:r>
          </w:p>
          <w:p w:rsidR="005A6497" w:rsidRPr="00435769" w:rsidRDefault="005A6497" w:rsidP="007932B2">
            <w:pPr>
              <w:jc w:val="both"/>
              <w:rPr>
                <w:sz w:val="20"/>
              </w:rPr>
            </w:pPr>
            <w:r w:rsidRPr="00435769">
              <w:rPr>
                <w:sz w:val="20"/>
              </w:rPr>
              <w:t>Unreported</w:t>
            </w:r>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Order removing Professional Institute of the Public Service of Canada as respondent to applicant’s action</w:t>
            </w:r>
          </w:p>
        </w:tc>
      </w:tr>
      <w:tr w:rsidR="005A6497" w:rsidRPr="00435769" w:rsidTr="005A6497">
        <w:tc>
          <w:tcPr>
            <w:tcW w:w="2427" w:type="pct"/>
            <w:gridSpan w:val="2"/>
          </w:tcPr>
          <w:p w:rsidR="005A6497" w:rsidRPr="00435769" w:rsidRDefault="005A6497" w:rsidP="007932B2">
            <w:pPr>
              <w:jc w:val="both"/>
              <w:rPr>
                <w:sz w:val="20"/>
              </w:rPr>
            </w:pPr>
            <w:r w:rsidRPr="00435769">
              <w:rPr>
                <w:sz w:val="20"/>
              </w:rPr>
              <w:t>May 5, 2016</w:t>
            </w:r>
          </w:p>
          <w:p w:rsidR="005A6497" w:rsidRPr="00435769" w:rsidRDefault="005A6497" w:rsidP="007932B2">
            <w:pPr>
              <w:jc w:val="both"/>
              <w:rPr>
                <w:sz w:val="20"/>
              </w:rPr>
            </w:pPr>
            <w:r w:rsidRPr="00435769">
              <w:rPr>
                <w:sz w:val="20"/>
              </w:rPr>
              <w:t>Federal Court of Appeal</w:t>
            </w:r>
          </w:p>
          <w:p w:rsidR="005A6497" w:rsidRPr="00435769" w:rsidRDefault="005A6497" w:rsidP="007932B2">
            <w:pPr>
              <w:jc w:val="both"/>
              <w:rPr>
                <w:sz w:val="20"/>
              </w:rPr>
            </w:pPr>
            <w:r w:rsidRPr="00435769">
              <w:rPr>
                <w:sz w:val="20"/>
              </w:rPr>
              <w:t>(Trudel, Webb and Scott JJ.A.)</w:t>
            </w:r>
          </w:p>
          <w:p w:rsidR="005A6497" w:rsidRPr="00435769" w:rsidRDefault="00435769" w:rsidP="007932B2">
            <w:pPr>
              <w:jc w:val="both"/>
              <w:rPr>
                <w:sz w:val="20"/>
              </w:rPr>
            </w:pPr>
            <w:hyperlink r:id="rId109" w:history="1">
              <w:r w:rsidR="005A6497" w:rsidRPr="00435769">
                <w:rPr>
                  <w:rStyle w:val="Hyperlink"/>
                  <w:sz w:val="20"/>
                </w:rPr>
                <w:t>2016 FCA 141</w:t>
              </w:r>
            </w:hyperlink>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Applicant’s application for judicial review of decision of Appeal Division of the Social Security Tribunal dated July 21, 2015, struck out</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May 25, 2016</w:t>
            </w:r>
          </w:p>
          <w:p w:rsidR="005A6497" w:rsidRPr="00435769" w:rsidRDefault="005A6497" w:rsidP="007932B2">
            <w:pPr>
              <w:jc w:val="both"/>
              <w:rPr>
                <w:sz w:val="20"/>
              </w:rPr>
            </w:pPr>
            <w:r w:rsidRPr="00435769">
              <w:rPr>
                <w:sz w:val="20"/>
              </w:rPr>
              <w:t>Federal Court of Appeal</w:t>
            </w:r>
          </w:p>
          <w:p w:rsidR="005A6497" w:rsidRPr="00435769" w:rsidRDefault="005A6497" w:rsidP="007932B2">
            <w:pPr>
              <w:jc w:val="both"/>
              <w:rPr>
                <w:sz w:val="20"/>
              </w:rPr>
            </w:pPr>
            <w:r w:rsidRPr="00435769">
              <w:rPr>
                <w:sz w:val="20"/>
              </w:rPr>
              <w:t>(Trudel, Webb and Scott JJ.A.)</w:t>
            </w:r>
          </w:p>
          <w:p w:rsidR="005A6497" w:rsidRPr="00435769" w:rsidRDefault="005A6497" w:rsidP="007932B2">
            <w:pPr>
              <w:jc w:val="both"/>
              <w:rPr>
                <w:sz w:val="20"/>
              </w:rPr>
            </w:pPr>
            <w:r w:rsidRPr="00435769">
              <w:rPr>
                <w:sz w:val="20"/>
              </w:rPr>
              <w:t>Unreported</w:t>
            </w:r>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Applicant’s request for reconsideration of order of May 5, 2016 denied</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August 5, 2016</w:t>
            </w:r>
          </w:p>
          <w:p w:rsidR="005A6497" w:rsidRPr="00435769" w:rsidRDefault="005A6497" w:rsidP="007932B2">
            <w:pPr>
              <w:jc w:val="both"/>
              <w:rPr>
                <w:sz w:val="20"/>
              </w:rPr>
            </w:pPr>
            <w:r w:rsidRPr="00435769">
              <w:rPr>
                <w:sz w:val="20"/>
              </w:rPr>
              <w:t>Supreme Court of Canada</w:t>
            </w:r>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First application for leave to appeal filed</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August 18, 2016</w:t>
            </w:r>
          </w:p>
          <w:p w:rsidR="005A6497" w:rsidRPr="00435769" w:rsidRDefault="005A6497" w:rsidP="007932B2">
            <w:pPr>
              <w:jc w:val="both"/>
              <w:rPr>
                <w:sz w:val="20"/>
              </w:rPr>
            </w:pPr>
            <w:r w:rsidRPr="00435769">
              <w:rPr>
                <w:sz w:val="20"/>
              </w:rPr>
              <w:t>Supreme Court of Canada</w:t>
            </w: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Applicant’s motion for extension of time in which to serve and file application for leave to appeal filed</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August 23, 2016</w:t>
            </w:r>
          </w:p>
          <w:p w:rsidR="005A6497" w:rsidRPr="00435769" w:rsidRDefault="005A6497" w:rsidP="007932B2">
            <w:pPr>
              <w:jc w:val="both"/>
              <w:rPr>
                <w:sz w:val="20"/>
              </w:rPr>
            </w:pPr>
            <w:r w:rsidRPr="00435769">
              <w:rPr>
                <w:sz w:val="20"/>
              </w:rPr>
              <w:t>Supreme Court of Canada</w:t>
            </w: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Applicant’s second application for leave to appeal filed</w:t>
            </w:r>
          </w:p>
        </w:tc>
      </w:tr>
    </w:tbl>
    <w:p w:rsidR="005A6497" w:rsidRPr="00435769" w:rsidRDefault="005A6497" w:rsidP="007932B2">
      <w:pPr>
        <w:jc w:val="both"/>
        <w:rPr>
          <w:sz w:val="20"/>
        </w:rPr>
      </w:pPr>
    </w:p>
    <w:p w:rsidR="009C2F30" w:rsidRPr="00435769" w:rsidRDefault="009C2F30" w:rsidP="007932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lang w:val="fr-CA"/>
              </w:rPr>
            </w:pPr>
            <w:r w:rsidRPr="00435769">
              <w:rPr>
                <w:rStyle w:val="SCCFileNumberChar"/>
                <w:sz w:val="20"/>
                <w:szCs w:val="20"/>
                <w:lang w:val="fr-CA"/>
              </w:rPr>
              <w:t>37143</w:t>
            </w:r>
          </w:p>
        </w:tc>
        <w:tc>
          <w:tcPr>
            <w:tcW w:w="4457" w:type="pct"/>
            <w:gridSpan w:val="3"/>
          </w:tcPr>
          <w:p w:rsidR="005A6497" w:rsidRPr="00435769" w:rsidRDefault="005A6497" w:rsidP="007932B2">
            <w:pPr>
              <w:pStyle w:val="SCCLsocParty"/>
              <w:jc w:val="both"/>
              <w:rPr>
                <w:b/>
                <w:sz w:val="20"/>
                <w:szCs w:val="20"/>
              </w:rPr>
            </w:pPr>
            <w:r w:rsidRPr="00435769">
              <w:rPr>
                <w:b/>
                <w:sz w:val="20"/>
                <w:szCs w:val="20"/>
              </w:rPr>
              <w:t>Rosemary Anne Hood c. Procureur général du Canada, Agence canadienne d’inspection des aliments, Agence de la santé publique du Canada, Institut professionnel de la fonction publique du Canada, Employment and Skills Development Canada - Labour</w:t>
            </w:r>
          </w:p>
          <w:p w:rsidR="005A6497" w:rsidRPr="00435769" w:rsidRDefault="005A6497" w:rsidP="007932B2">
            <w:pPr>
              <w:jc w:val="both"/>
              <w:rPr>
                <w:sz w:val="20"/>
                <w:lang w:val="fr-CA"/>
              </w:rPr>
            </w:pPr>
            <w:r w:rsidRPr="00435769">
              <w:rPr>
                <w:sz w:val="20"/>
                <w:lang w:val="fr-CA"/>
              </w:rPr>
              <w:t>(C.F.) (Civile) (Sur autorisation)</w:t>
            </w:r>
          </w:p>
        </w:tc>
      </w:tr>
      <w:tr w:rsidR="005A6497" w:rsidRPr="00435769" w:rsidTr="005A6497">
        <w:tc>
          <w:tcPr>
            <w:tcW w:w="5000" w:type="pct"/>
            <w:gridSpan w:val="4"/>
          </w:tcPr>
          <w:p w:rsidR="005A6497" w:rsidRPr="00435769" w:rsidRDefault="005A6497" w:rsidP="007932B2">
            <w:pPr>
              <w:jc w:val="both"/>
              <w:rPr>
                <w:sz w:val="20"/>
                <w:lang w:val="fr-CA"/>
              </w:rPr>
            </w:pPr>
            <w:r w:rsidRPr="00435769">
              <w:rPr>
                <w:i/>
                <w:sz w:val="20"/>
                <w:lang w:val="fr-CA"/>
              </w:rPr>
              <w:t>Charte des droits</w:t>
            </w:r>
            <w:r w:rsidRPr="00435769">
              <w:rPr>
                <w:sz w:val="20"/>
                <w:lang w:val="fr-CA"/>
              </w:rPr>
              <w:t xml:space="preserve"> – Discrimination – Droit de l’emploi – Congédiement injustifié – Contestation par la demanderesse de la qualification des sommes que lui a versées son ancien employeur à la suite de son congédiement – Qui a compétence pour connaître des allégations de harcèlement? – Les droits de la personne et le droit à la vie privée de la demanderesse ont-ils été violés?</w:t>
            </w:r>
          </w:p>
        </w:tc>
      </w:tr>
      <w:tr w:rsidR="005A6497" w:rsidRPr="00435769" w:rsidTr="005A6497">
        <w:tc>
          <w:tcPr>
            <w:tcW w:w="5000" w:type="pct"/>
            <w:gridSpan w:val="4"/>
          </w:tcPr>
          <w:p w:rsidR="005A6497" w:rsidRPr="00435769" w:rsidRDefault="005A6497" w:rsidP="007932B2">
            <w:pPr>
              <w:jc w:val="both"/>
              <w:rPr>
                <w:sz w:val="20"/>
                <w:lang w:val="fr-CA"/>
              </w:rPr>
            </w:pPr>
          </w:p>
        </w:tc>
      </w:tr>
      <w:tr w:rsidR="005A6497" w:rsidRPr="00435769" w:rsidTr="005A6497">
        <w:tc>
          <w:tcPr>
            <w:tcW w:w="5000" w:type="pct"/>
            <w:gridSpan w:val="4"/>
          </w:tcPr>
          <w:p w:rsidR="005A6497" w:rsidRPr="00435769" w:rsidRDefault="005A6497" w:rsidP="007932B2">
            <w:pPr>
              <w:jc w:val="both"/>
              <w:rPr>
                <w:sz w:val="20"/>
                <w:lang w:val="fr-CA"/>
              </w:rPr>
            </w:pPr>
            <w:r w:rsidRPr="00435769">
              <w:rPr>
                <w:sz w:val="20"/>
                <w:lang w:val="fr-CA"/>
              </w:rPr>
              <w:t xml:space="preserve">Après son congédiement, la demanderesse a reçu des sommes de son ancien employeur, censément à titre d’indemnité de départ. Elle a soutenu que les sommes reçues ne constituaient pas une indemnité de départ, et a engagé plusieurs procédures préliminaires pour faire trancher la question. Le 9 mars 2015, la division générale du Tribunal de la sécurité sociale du Canada a rejeté sa demande contestant la conclusion de la Commission de l’assurance-emploi du Canada, qualifiant son indemnité de départ de « rémunération » au sens du par. 35(2) du </w:t>
            </w:r>
            <w:r w:rsidRPr="00435769">
              <w:rPr>
                <w:i/>
                <w:sz w:val="20"/>
                <w:lang w:val="fr-CA"/>
              </w:rPr>
              <w:t>Règlement sur l’assurance-emploi</w:t>
            </w:r>
            <w:r w:rsidRPr="00435769">
              <w:rPr>
                <w:sz w:val="20"/>
                <w:lang w:val="fr-CA"/>
              </w:rPr>
              <w:t xml:space="preserve">, DORS/96-332. La division d’appel du Tribunal de la sécurité sociale a établi que la demanderesse n’avait pas indiqué d’erreurs susceptibles de contrôle dans la décision de la division générale et a rejeté sa demande d’autorisation d’appel. La demanderesse a demandé le contrôle judiciaire de cette décision. Un des intimés, le procureur général, a obtenu une ordonnance rejetant cette demande au motif que la demande n’avait aucune chance </w:t>
            </w:r>
            <w:r w:rsidRPr="00435769">
              <w:rPr>
                <w:sz w:val="20"/>
                <w:lang w:val="fr-CA"/>
              </w:rPr>
              <w:lastRenderedPageBreak/>
              <w:t>raisonnable de succès, qu’elle constituait un abus de procédure et que la Cour fédérale n’avait pas compétence pour instruire la demande.</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lastRenderedPageBreak/>
              <w:t>6 novembre 2015</w:t>
            </w:r>
          </w:p>
          <w:p w:rsidR="005A6497" w:rsidRPr="00435769" w:rsidRDefault="005A6497" w:rsidP="007932B2">
            <w:pPr>
              <w:jc w:val="both"/>
              <w:rPr>
                <w:sz w:val="20"/>
                <w:lang w:val="fr-CA"/>
              </w:rPr>
            </w:pPr>
            <w:r w:rsidRPr="00435769">
              <w:rPr>
                <w:sz w:val="20"/>
                <w:lang w:val="fr-CA"/>
              </w:rPr>
              <w:t>Cour d’appel fédérale</w:t>
            </w:r>
          </w:p>
          <w:p w:rsidR="005A6497" w:rsidRPr="00435769" w:rsidRDefault="005A6497" w:rsidP="007932B2">
            <w:pPr>
              <w:jc w:val="both"/>
              <w:rPr>
                <w:sz w:val="20"/>
                <w:lang w:val="fr-CA"/>
              </w:rPr>
            </w:pPr>
            <w:r w:rsidRPr="00435769">
              <w:rPr>
                <w:sz w:val="20"/>
                <w:lang w:val="fr-CA"/>
              </w:rPr>
              <w:t xml:space="preserve">(Juge Dawson) </w:t>
            </w:r>
          </w:p>
          <w:p w:rsidR="005A6497" w:rsidRPr="00435769" w:rsidRDefault="005A6497" w:rsidP="007932B2">
            <w:pPr>
              <w:jc w:val="both"/>
              <w:rPr>
                <w:sz w:val="20"/>
                <w:lang w:val="fr-CA"/>
              </w:rPr>
            </w:pPr>
            <w:r w:rsidRPr="00435769">
              <w:rPr>
                <w:sz w:val="20"/>
                <w:lang w:val="fr-CA"/>
              </w:rPr>
              <w:t>Décision non publiée</w:t>
            </w:r>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 xml:space="preserve">Ordonnance de retrait de l’Institut professionnel de la fonction publique du Canada en tant qu’intimé à l’action de la demanderesse  </w:t>
            </w: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5 mai 2016</w:t>
            </w:r>
          </w:p>
          <w:p w:rsidR="005A6497" w:rsidRPr="00435769" w:rsidRDefault="005A6497" w:rsidP="007932B2">
            <w:pPr>
              <w:jc w:val="both"/>
              <w:rPr>
                <w:sz w:val="20"/>
                <w:lang w:val="fr-CA"/>
              </w:rPr>
            </w:pPr>
            <w:r w:rsidRPr="00435769">
              <w:rPr>
                <w:sz w:val="20"/>
                <w:lang w:val="fr-CA"/>
              </w:rPr>
              <w:t>Cour d’appel fédérale</w:t>
            </w:r>
          </w:p>
          <w:p w:rsidR="005A6497" w:rsidRPr="00435769" w:rsidRDefault="005A6497" w:rsidP="007932B2">
            <w:pPr>
              <w:jc w:val="both"/>
              <w:rPr>
                <w:sz w:val="20"/>
                <w:lang w:val="fr-CA"/>
              </w:rPr>
            </w:pPr>
            <w:r w:rsidRPr="00435769">
              <w:rPr>
                <w:sz w:val="20"/>
                <w:lang w:val="fr-CA"/>
              </w:rPr>
              <w:t>(Juges Trudel, Webb et Scott)</w:t>
            </w:r>
          </w:p>
          <w:p w:rsidR="005A6497" w:rsidRPr="00435769" w:rsidRDefault="00435769" w:rsidP="007932B2">
            <w:pPr>
              <w:jc w:val="both"/>
              <w:rPr>
                <w:sz w:val="20"/>
                <w:lang w:val="fr-CA"/>
              </w:rPr>
            </w:pPr>
            <w:hyperlink r:id="rId110" w:history="1">
              <w:r w:rsidR="005A6497" w:rsidRPr="00435769">
                <w:rPr>
                  <w:rStyle w:val="Hyperlink"/>
                  <w:sz w:val="20"/>
                  <w:lang w:val="fr-CA"/>
                </w:rPr>
                <w:t>2016 FCA 141</w:t>
              </w:r>
            </w:hyperlink>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 xml:space="preserve">Radiation de la demande de contrôle judiciaire de la demanderesse visant la décision de la division d’appel du Tribunal de la sécurité sociale datée du 21 juillet 2015 </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25 mai 2016</w:t>
            </w:r>
          </w:p>
          <w:p w:rsidR="005A6497" w:rsidRPr="00435769" w:rsidRDefault="005A6497" w:rsidP="007932B2">
            <w:pPr>
              <w:jc w:val="both"/>
              <w:rPr>
                <w:sz w:val="20"/>
                <w:lang w:val="fr-CA"/>
              </w:rPr>
            </w:pPr>
            <w:r w:rsidRPr="00435769">
              <w:rPr>
                <w:sz w:val="20"/>
                <w:lang w:val="fr-CA"/>
              </w:rPr>
              <w:t>Cour d’appel fédérale</w:t>
            </w:r>
          </w:p>
          <w:p w:rsidR="005A6497" w:rsidRPr="00435769" w:rsidRDefault="005A6497" w:rsidP="007932B2">
            <w:pPr>
              <w:jc w:val="both"/>
              <w:rPr>
                <w:sz w:val="20"/>
                <w:lang w:val="fr-CA"/>
              </w:rPr>
            </w:pPr>
            <w:r w:rsidRPr="00435769">
              <w:rPr>
                <w:sz w:val="20"/>
                <w:lang w:val="fr-CA"/>
              </w:rPr>
              <w:t>(Juges Trudel, Webb et Scott)</w:t>
            </w:r>
          </w:p>
          <w:p w:rsidR="005A6497" w:rsidRPr="00435769" w:rsidRDefault="005A6497" w:rsidP="007932B2">
            <w:pPr>
              <w:jc w:val="both"/>
              <w:rPr>
                <w:sz w:val="20"/>
                <w:lang w:val="fr-CA"/>
              </w:rPr>
            </w:pPr>
            <w:r w:rsidRPr="00435769">
              <w:rPr>
                <w:sz w:val="20"/>
                <w:lang w:val="fr-CA"/>
              </w:rPr>
              <w:t xml:space="preserve">Décision non publiée </w:t>
            </w:r>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Rejet de la requête de la demanderesse visant le réexamen de l’ordonnance du 5 mai 2016</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5 août 2016</w:t>
            </w:r>
          </w:p>
          <w:p w:rsidR="005A6497" w:rsidRPr="00435769" w:rsidRDefault="005A6497" w:rsidP="007932B2">
            <w:pPr>
              <w:jc w:val="both"/>
              <w:rPr>
                <w:sz w:val="20"/>
                <w:lang w:val="fr-CA"/>
              </w:rPr>
            </w:pPr>
            <w:r w:rsidRPr="00435769">
              <w:rPr>
                <w:sz w:val="20"/>
                <w:lang w:val="fr-CA"/>
              </w:rPr>
              <w:t>Cour suprême du Canada</w:t>
            </w:r>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 xml:space="preserve">Dépôt de la première demande d’autorisation d’appel </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18 août 2016</w:t>
            </w:r>
          </w:p>
          <w:p w:rsidR="005A6497" w:rsidRPr="00435769" w:rsidRDefault="005A6497" w:rsidP="007932B2">
            <w:pPr>
              <w:jc w:val="both"/>
              <w:rPr>
                <w:sz w:val="20"/>
                <w:lang w:val="fr-CA"/>
              </w:rPr>
            </w:pPr>
            <w:r w:rsidRPr="00435769">
              <w:rPr>
                <w:sz w:val="20"/>
                <w:lang w:val="fr-CA"/>
              </w:rPr>
              <w:t>Cour suprême du Canada</w:t>
            </w: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Dépôt de la requête de la demanderesse en prorogation du délai de signification et de dépôt de la demande d’autorisation d’appel</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23 août 2016</w:t>
            </w:r>
          </w:p>
          <w:p w:rsidR="005A6497" w:rsidRPr="00435769" w:rsidRDefault="005A6497" w:rsidP="007932B2">
            <w:pPr>
              <w:jc w:val="both"/>
              <w:rPr>
                <w:sz w:val="20"/>
                <w:lang w:val="fr-CA"/>
              </w:rPr>
            </w:pPr>
            <w:r w:rsidRPr="00435769">
              <w:rPr>
                <w:sz w:val="20"/>
                <w:lang w:val="fr-CA"/>
              </w:rPr>
              <w:t>Cour suprême du Canada</w:t>
            </w: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9C2F30">
            <w:pPr>
              <w:jc w:val="both"/>
              <w:rPr>
                <w:sz w:val="20"/>
                <w:lang w:val="fr-CA"/>
              </w:rPr>
            </w:pPr>
            <w:r w:rsidRPr="00435769">
              <w:rPr>
                <w:sz w:val="20"/>
                <w:lang w:val="fr-CA"/>
              </w:rPr>
              <w:t>Dépôt de la seconde demande d’autorisation d’appel de la demanderesse</w:t>
            </w:r>
          </w:p>
        </w:tc>
      </w:tr>
    </w:tbl>
    <w:p w:rsidR="005A6497" w:rsidRPr="00435769" w:rsidRDefault="005A6497" w:rsidP="007932B2">
      <w:pPr>
        <w:jc w:val="both"/>
        <w:rPr>
          <w:sz w:val="20"/>
          <w:lang w:val="fr-CA"/>
        </w:rPr>
      </w:pPr>
    </w:p>
    <w:p w:rsidR="005A6497" w:rsidRPr="00435769" w:rsidRDefault="005A6497" w:rsidP="007932B2">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5A6497" w:rsidRPr="00435769" w:rsidTr="005A6497">
        <w:trPr>
          <w:gridAfter w:val="1"/>
          <w:wAfter w:w="48" w:type="pct"/>
        </w:trPr>
        <w:tc>
          <w:tcPr>
            <w:tcW w:w="537" w:type="pct"/>
          </w:tcPr>
          <w:p w:rsidR="005A6497" w:rsidRPr="00435769" w:rsidRDefault="005A6497" w:rsidP="007932B2">
            <w:pPr>
              <w:jc w:val="both"/>
              <w:rPr>
                <w:sz w:val="20"/>
              </w:rPr>
            </w:pPr>
            <w:r w:rsidRPr="00435769">
              <w:rPr>
                <w:rStyle w:val="SCCFileNumberChar"/>
                <w:sz w:val="20"/>
                <w:szCs w:val="20"/>
              </w:rPr>
              <w:t>37098</w:t>
            </w:r>
          </w:p>
        </w:tc>
        <w:tc>
          <w:tcPr>
            <w:tcW w:w="4415" w:type="pct"/>
            <w:gridSpan w:val="3"/>
          </w:tcPr>
          <w:p w:rsidR="005A6497" w:rsidRPr="00435769" w:rsidRDefault="005A6497" w:rsidP="007932B2">
            <w:pPr>
              <w:pStyle w:val="SCCLsocParty"/>
              <w:jc w:val="both"/>
              <w:rPr>
                <w:b/>
                <w:sz w:val="20"/>
                <w:szCs w:val="20"/>
                <w:lang w:val="en-US"/>
              </w:rPr>
            </w:pPr>
            <w:r w:rsidRPr="00435769">
              <w:rPr>
                <w:b/>
                <w:sz w:val="20"/>
                <w:szCs w:val="20"/>
                <w:lang w:val="en-US"/>
              </w:rPr>
              <w:t>Chantal Trudel v. Her Majesty the Queen</w:t>
            </w:r>
          </w:p>
          <w:p w:rsidR="005A6497" w:rsidRPr="00435769" w:rsidRDefault="005A6497" w:rsidP="007932B2">
            <w:pPr>
              <w:jc w:val="both"/>
              <w:rPr>
                <w:sz w:val="20"/>
              </w:rPr>
            </w:pPr>
            <w:r w:rsidRPr="00435769">
              <w:rPr>
                <w:sz w:val="20"/>
              </w:rPr>
              <w:t>(Ont.) (Criminal) (By Leave)</w:t>
            </w:r>
          </w:p>
        </w:tc>
      </w:tr>
      <w:tr w:rsidR="005A6497" w:rsidRPr="00435769" w:rsidTr="005A6497">
        <w:trPr>
          <w:gridAfter w:val="1"/>
          <w:wAfter w:w="48" w:type="pct"/>
        </w:trPr>
        <w:tc>
          <w:tcPr>
            <w:tcW w:w="4952" w:type="pct"/>
            <w:gridSpan w:val="4"/>
          </w:tcPr>
          <w:p w:rsidR="005A6497" w:rsidRPr="00435769" w:rsidRDefault="005A6497" w:rsidP="007932B2">
            <w:pPr>
              <w:jc w:val="both"/>
              <w:rPr>
                <w:sz w:val="20"/>
              </w:rPr>
            </w:pPr>
            <w:r w:rsidRPr="00435769">
              <w:rPr>
                <w:sz w:val="20"/>
              </w:rPr>
              <w:t xml:space="preserve">Criminal law — Insanity or mental disorder — Finding of not criminally responsible — Complainant alleged applicant stabbed him following paid sex — Physical evidence linked applicant to stabbing — Applicant consented to not criminally responsible by reason of mental disorder (“NCR”) assessment — Defence counsel conceded </w:t>
            </w:r>
            <w:r w:rsidRPr="00435769">
              <w:rPr>
                <w:i/>
                <w:sz w:val="20"/>
              </w:rPr>
              <w:t>actus reus</w:t>
            </w:r>
            <w:r w:rsidRPr="00435769">
              <w:rPr>
                <w:sz w:val="20"/>
              </w:rPr>
              <w:t xml:space="preserve"> — Psychiatrist opined applicant suffered from schizophrenia and did not know wrongfulness of actions — NCR verdict entered — Appeal by applicant from verdict dismissed — Whether trial judge required to conduct similar inquiry to s. 606(1.1) of </w:t>
            </w:r>
            <w:r w:rsidRPr="00435769">
              <w:rPr>
                <w:i/>
                <w:sz w:val="20"/>
              </w:rPr>
              <w:t>Criminal Code</w:t>
            </w:r>
            <w:r w:rsidRPr="00435769">
              <w:rPr>
                <w:sz w:val="20"/>
              </w:rPr>
              <w:t xml:space="preserve"> to determine whether applicant understood consequences of NCR verdict and whether her consent was voluntary and informed — </w:t>
            </w:r>
            <w:r w:rsidRPr="00435769">
              <w:rPr>
                <w:i/>
                <w:sz w:val="20"/>
              </w:rPr>
              <w:t>Criminal Code</w:t>
            </w:r>
            <w:r w:rsidRPr="00435769">
              <w:rPr>
                <w:sz w:val="20"/>
              </w:rPr>
              <w:t>, R.S.C., 1985, c. C-46, s. 606(1.1).</w:t>
            </w:r>
          </w:p>
        </w:tc>
      </w:tr>
      <w:tr w:rsidR="005A6497" w:rsidRPr="00435769" w:rsidTr="005A6497">
        <w:trPr>
          <w:gridAfter w:val="1"/>
          <w:wAfter w:w="48" w:type="pct"/>
        </w:trPr>
        <w:tc>
          <w:tcPr>
            <w:tcW w:w="4952" w:type="pct"/>
            <w:gridSpan w:val="4"/>
          </w:tcPr>
          <w:p w:rsidR="005A6497" w:rsidRPr="00435769" w:rsidRDefault="005A6497" w:rsidP="007932B2">
            <w:pPr>
              <w:jc w:val="both"/>
              <w:rPr>
                <w:sz w:val="20"/>
              </w:rPr>
            </w:pPr>
          </w:p>
        </w:tc>
      </w:tr>
      <w:tr w:rsidR="005A6497" w:rsidRPr="00435769" w:rsidTr="005A6497">
        <w:trPr>
          <w:gridAfter w:val="1"/>
          <w:wAfter w:w="48" w:type="pct"/>
        </w:trPr>
        <w:tc>
          <w:tcPr>
            <w:tcW w:w="4952" w:type="pct"/>
            <w:gridSpan w:val="4"/>
          </w:tcPr>
          <w:p w:rsidR="005A6497" w:rsidRPr="00435769" w:rsidRDefault="005A6497" w:rsidP="007932B2">
            <w:pPr>
              <w:jc w:val="both"/>
              <w:rPr>
                <w:sz w:val="20"/>
              </w:rPr>
            </w:pPr>
            <w:r w:rsidRPr="00435769">
              <w:rPr>
                <w:sz w:val="20"/>
              </w:rPr>
              <w:t xml:space="preserve">The applicant, Ms. Trudel, was found not criminally responsible by reason of a mental disorder (“NCR”) in relation to one count of aggravated assault. The complainant alleged that he arranged to have sex with the applicant in exchange for payment and provided a portion of the money beforehand. The complainant stated that the applicant spent the money on crack cocaine, which she used prior to their liaison. The complainant alleged that following intercourse, the applicant stabbed him in the chest twice and fled. Police found blood on the bed and seized a butcher knife from the apartment. The complainant identified his attacker as a woman named Chantal. Police arrested the applicant with blood on her clothing. She was wearing one shoe. The other shoe was recovered from the complainant’s driveway. The applicant was charged with aggravated assault. The applicant was admitted for a 30-day NCR assessment. At trial, her counsel conceded the </w:t>
            </w:r>
            <w:r w:rsidRPr="00435769">
              <w:rPr>
                <w:i/>
                <w:sz w:val="20"/>
              </w:rPr>
              <w:t>actus reus</w:t>
            </w:r>
            <w:r w:rsidRPr="00435769">
              <w:rPr>
                <w:sz w:val="20"/>
              </w:rPr>
              <w:t xml:space="preserve"> of the offence and the hearing focused on the NCR issue. A psychiatrist opined that the applicant suffered from schizophrenia and did not know the wrongfulness of her actions. Neither party called further evidence. The judge ruled that the applicant was NCR. In the ensuing seven years, the applicant was unable to secure a discharge from hospital through the Ontario Review Board process. </w:t>
            </w:r>
            <w:r w:rsidRPr="00435769">
              <w:rPr>
                <w:sz w:val="20"/>
              </w:rPr>
              <w:lastRenderedPageBreak/>
              <w:t xml:space="preserve">With the assistance of </w:t>
            </w:r>
            <w:r w:rsidRPr="00435769">
              <w:rPr>
                <w:i/>
                <w:sz w:val="20"/>
              </w:rPr>
              <w:t>amicus curiae</w:t>
            </w:r>
            <w:r w:rsidRPr="00435769">
              <w:rPr>
                <w:sz w:val="20"/>
              </w:rPr>
              <w:t>, the applicant appealed finally from the 2008 conviction. She sought an order quashing the NCR verdict and a new trial. The Court of Appeal dismissed the appeal.</w:t>
            </w:r>
          </w:p>
          <w:p w:rsidR="005A6497" w:rsidRPr="00435769" w:rsidRDefault="005A6497" w:rsidP="007932B2">
            <w:pPr>
              <w:jc w:val="both"/>
              <w:rPr>
                <w:sz w:val="20"/>
              </w:rPr>
            </w:pPr>
          </w:p>
        </w:tc>
      </w:tr>
      <w:tr w:rsidR="005A6497" w:rsidRPr="00435769" w:rsidTr="005A6497">
        <w:tblPrEx>
          <w:tblCellMar>
            <w:bottom w:w="0" w:type="dxa"/>
          </w:tblCellMar>
        </w:tblPrEx>
        <w:tc>
          <w:tcPr>
            <w:tcW w:w="2367" w:type="pct"/>
            <w:gridSpan w:val="2"/>
          </w:tcPr>
          <w:p w:rsidR="005A6497" w:rsidRPr="00435769" w:rsidRDefault="005A6497" w:rsidP="007932B2">
            <w:pPr>
              <w:jc w:val="both"/>
              <w:rPr>
                <w:sz w:val="20"/>
              </w:rPr>
            </w:pPr>
            <w:r w:rsidRPr="00435769">
              <w:rPr>
                <w:sz w:val="20"/>
              </w:rPr>
              <w:lastRenderedPageBreak/>
              <w:t>December 10, 2008</w:t>
            </w:r>
          </w:p>
          <w:p w:rsidR="005A6497" w:rsidRPr="00435769" w:rsidRDefault="005A6497" w:rsidP="007932B2">
            <w:pPr>
              <w:jc w:val="both"/>
              <w:rPr>
                <w:sz w:val="20"/>
              </w:rPr>
            </w:pPr>
            <w:r w:rsidRPr="00435769">
              <w:rPr>
                <w:sz w:val="20"/>
              </w:rPr>
              <w:t>Ontario Court of Justice</w:t>
            </w:r>
          </w:p>
          <w:p w:rsidR="005A6497" w:rsidRPr="00435769" w:rsidRDefault="005A6497" w:rsidP="007932B2">
            <w:pPr>
              <w:jc w:val="both"/>
              <w:rPr>
                <w:sz w:val="20"/>
              </w:rPr>
            </w:pPr>
            <w:r w:rsidRPr="00435769">
              <w:rPr>
                <w:sz w:val="20"/>
              </w:rPr>
              <w:t>(Maisonneuve J.)</w:t>
            </w:r>
          </w:p>
          <w:p w:rsidR="005A6497" w:rsidRPr="00435769" w:rsidRDefault="005A6497" w:rsidP="007932B2">
            <w:pPr>
              <w:jc w:val="both"/>
              <w:rPr>
                <w:sz w:val="20"/>
              </w:rPr>
            </w:pPr>
          </w:p>
        </w:tc>
        <w:tc>
          <w:tcPr>
            <w:tcW w:w="267" w:type="pct"/>
          </w:tcPr>
          <w:p w:rsidR="005A6497" w:rsidRPr="00435769" w:rsidRDefault="005A6497" w:rsidP="007932B2">
            <w:pPr>
              <w:jc w:val="both"/>
              <w:rPr>
                <w:sz w:val="20"/>
              </w:rPr>
            </w:pPr>
          </w:p>
        </w:tc>
        <w:tc>
          <w:tcPr>
            <w:tcW w:w="2366" w:type="pct"/>
            <w:gridSpan w:val="2"/>
          </w:tcPr>
          <w:p w:rsidR="005A6497" w:rsidRPr="00435769" w:rsidRDefault="005A6497" w:rsidP="007932B2">
            <w:pPr>
              <w:jc w:val="both"/>
              <w:rPr>
                <w:sz w:val="20"/>
              </w:rPr>
            </w:pPr>
            <w:r w:rsidRPr="00435769">
              <w:rPr>
                <w:sz w:val="20"/>
              </w:rPr>
              <w:t>Verdict of not criminally responsible on account of mental disorder entered.</w:t>
            </w:r>
          </w:p>
          <w:p w:rsidR="005A6497" w:rsidRPr="00435769" w:rsidRDefault="005A6497" w:rsidP="007932B2">
            <w:pPr>
              <w:jc w:val="both"/>
              <w:rPr>
                <w:sz w:val="20"/>
              </w:rPr>
            </w:pPr>
          </w:p>
        </w:tc>
      </w:tr>
      <w:tr w:rsidR="005A6497" w:rsidRPr="00435769" w:rsidTr="005A6497">
        <w:tblPrEx>
          <w:tblCellMar>
            <w:bottom w:w="0" w:type="dxa"/>
          </w:tblCellMar>
        </w:tblPrEx>
        <w:tc>
          <w:tcPr>
            <w:tcW w:w="2367" w:type="pct"/>
            <w:gridSpan w:val="2"/>
          </w:tcPr>
          <w:p w:rsidR="005A6497" w:rsidRPr="00435769" w:rsidRDefault="005A6497" w:rsidP="007932B2">
            <w:pPr>
              <w:jc w:val="both"/>
              <w:rPr>
                <w:sz w:val="20"/>
              </w:rPr>
            </w:pPr>
            <w:r w:rsidRPr="00435769">
              <w:rPr>
                <w:sz w:val="20"/>
              </w:rPr>
              <w:t>June 11, 2015</w:t>
            </w:r>
          </w:p>
          <w:p w:rsidR="005A6497" w:rsidRPr="00435769" w:rsidRDefault="005A6497" w:rsidP="007932B2">
            <w:pPr>
              <w:jc w:val="both"/>
              <w:rPr>
                <w:sz w:val="20"/>
              </w:rPr>
            </w:pPr>
            <w:r w:rsidRPr="00435769">
              <w:rPr>
                <w:sz w:val="20"/>
              </w:rPr>
              <w:t>Court of Appeal for Ontario</w:t>
            </w:r>
          </w:p>
          <w:p w:rsidR="005A6497" w:rsidRPr="00435769" w:rsidRDefault="005A6497" w:rsidP="007932B2">
            <w:pPr>
              <w:jc w:val="both"/>
              <w:rPr>
                <w:sz w:val="20"/>
              </w:rPr>
            </w:pPr>
            <w:r w:rsidRPr="00435769">
              <w:rPr>
                <w:sz w:val="20"/>
              </w:rPr>
              <w:t>(Blair, Tulloch and Hourigan JJ.A.)</w:t>
            </w:r>
          </w:p>
          <w:p w:rsidR="005A6497" w:rsidRPr="00435769" w:rsidRDefault="00435769" w:rsidP="007932B2">
            <w:pPr>
              <w:jc w:val="both"/>
              <w:rPr>
                <w:sz w:val="20"/>
              </w:rPr>
            </w:pPr>
            <w:hyperlink r:id="rId111" w:history="1">
              <w:r w:rsidR="005A6497" w:rsidRPr="00435769">
                <w:rPr>
                  <w:rStyle w:val="Hyperlink"/>
                  <w:sz w:val="20"/>
                </w:rPr>
                <w:t>2015 ONCA 422</w:t>
              </w:r>
            </w:hyperlink>
          </w:p>
          <w:p w:rsidR="005A6497" w:rsidRPr="00435769" w:rsidRDefault="005A6497" w:rsidP="007932B2">
            <w:pPr>
              <w:jc w:val="both"/>
              <w:rPr>
                <w:sz w:val="20"/>
              </w:rPr>
            </w:pPr>
          </w:p>
        </w:tc>
        <w:tc>
          <w:tcPr>
            <w:tcW w:w="267" w:type="pct"/>
          </w:tcPr>
          <w:p w:rsidR="005A6497" w:rsidRPr="00435769" w:rsidRDefault="005A6497" w:rsidP="007932B2">
            <w:pPr>
              <w:jc w:val="both"/>
              <w:rPr>
                <w:sz w:val="20"/>
              </w:rPr>
            </w:pPr>
          </w:p>
        </w:tc>
        <w:tc>
          <w:tcPr>
            <w:tcW w:w="2366" w:type="pct"/>
            <w:gridSpan w:val="2"/>
          </w:tcPr>
          <w:p w:rsidR="005A6497" w:rsidRPr="00435769" w:rsidRDefault="005A6497" w:rsidP="007932B2">
            <w:pPr>
              <w:jc w:val="both"/>
              <w:rPr>
                <w:sz w:val="20"/>
              </w:rPr>
            </w:pPr>
            <w:r w:rsidRPr="00435769">
              <w:rPr>
                <w:sz w:val="20"/>
              </w:rPr>
              <w:t>Appeal dismissed.</w:t>
            </w:r>
          </w:p>
          <w:p w:rsidR="005A6497" w:rsidRPr="00435769" w:rsidRDefault="005A6497" w:rsidP="007932B2">
            <w:pPr>
              <w:jc w:val="both"/>
              <w:rPr>
                <w:sz w:val="20"/>
              </w:rPr>
            </w:pPr>
          </w:p>
        </w:tc>
      </w:tr>
      <w:tr w:rsidR="005A6497" w:rsidRPr="00435769" w:rsidTr="005A6497">
        <w:tblPrEx>
          <w:tblCellMar>
            <w:bottom w:w="0" w:type="dxa"/>
          </w:tblCellMar>
        </w:tblPrEx>
        <w:tc>
          <w:tcPr>
            <w:tcW w:w="2367" w:type="pct"/>
            <w:gridSpan w:val="2"/>
          </w:tcPr>
          <w:p w:rsidR="005A6497" w:rsidRPr="00435769" w:rsidRDefault="005A6497" w:rsidP="007932B2">
            <w:pPr>
              <w:jc w:val="both"/>
              <w:rPr>
                <w:sz w:val="20"/>
              </w:rPr>
            </w:pPr>
            <w:r w:rsidRPr="00435769">
              <w:rPr>
                <w:sz w:val="20"/>
              </w:rPr>
              <w:t>July 7, 2016</w:t>
            </w:r>
          </w:p>
          <w:p w:rsidR="005A6497" w:rsidRPr="00435769" w:rsidRDefault="005A6497" w:rsidP="007932B2">
            <w:pPr>
              <w:jc w:val="both"/>
              <w:rPr>
                <w:sz w:val="20"/>
              </w:rPr>
            </w:pPr>
            <w:r w:rsidRPr="00435769">
              <w:rPr>
                <w:sz w:val="20"/>
              </w:rPr>
              <w:t>Supreme Court of Canada</w:t>
            </w:r>
          </w:p>
          <w:p w:rsidR="005A6497" w:rsidRPr="00435769" w:rsidRDefault="005A6497" w:rsidP="007932B2">
            <w:pPr>
              <w:jc w:val="both"/>
              <w:rPr>
                <w:sz w:val="20"/>
              </w:rPr>
            </w:pPr>
          </w:p>
        </w:tc>
        <w:tc>
          <w:tcPr>
            <w:tcW w:w="267" w:type="pct"/>
          </w:tcPr>
          <w:p w:rsidR="005A6497" w:rsidRPr="00435769" w:rsidRDefault="005A6497" w:rsidP="007932B2">
            <w:pPr>
              <w:jc w:val="both"/>
              <w:rPr>
                <w:sz w:val="20"/>
              </w:rPr>
            </w:pPr>
          </w:p>
        </w:tc>
        <w:tc>
          <w:tcPr>
            <w:tcW w:w="2366" w:type="pct"/>
            <w:gridSpan w:val="2"/>
          </w:tcPr>
          <w:p w:rsidR="005A6497" w:rsidRPr="00435769" w:rsidRDefault="005A6497" w:rsidP="007932B2">
            <w:pPr>
              <w:jc w:val="both"/>
              <w:rPr>
                <w:sz w:val="20"/>
              </w:rPr>
            </w:pPr>
            <w:r w:rsidRPr="00435769">
              <w:rPr>
                <w:sz w:val="20"/>
              </w:rPr>
              <w:t>Application for leave to appeal filed, together with motion for extension of time to serve and file the application.</w:t>
            </w:r>
          </w:p>
        </w:tc>
      </w:tr>
    </w:tbl>
    <w:p w:rsidR="005A6497" w:rsidRPr="00435769" w:rsidRDefault="005A6497" w:rsidP="007932B2">
      <w:pPr>
        <w:jc w:val="both"/>
        <w:rPr>
          <w:sz w:val="20"/>
        </w:rPr>
      </w:pPr>
    </w:p>
    <w:p w:rsidR="009C2F30" w:rsidRPr="00435769" w:rsidRDefault="009C2F30" w:rsidP="007932B2">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5A6497" w:rsidRPr="00435769" w:rsidTr="005A6497">
        <w:trPr>
          <w:gridAfter w:val="1"/>
          <w:wAfter w:w="48" w:type="pct"/>
        </w:trPr>
        <w:tc>
          <w:tcPr>
            <w:tcW w:w="537" w:type="pct"/>
          </w:tcPr>
          <w:p w:rsidR="005A6497" w:rsidRPr="00435769" w:rsidRDefault="005A6497" w:rsidP="007932B2">
            <w:pPr>
              <w:jc w:val="both"/>
              <w:rPr>
                <w:sz w:val="20"/>
                <w:lang w:val="fr-CA"/>
              </w:rPr>
            </w:pPr>
            <w:r w:rsidRPr="00435769">
              <w:rPr>
                <w:rStyle w:val="SCCFileNumberChar"/>
                <w:sz w:val="20"/>
                <w:szCs w:val="20"/>
                <w:lang w:val="fr-CA"/>
              </w:rPr>
              <w:t>37098</w:t>
            </w:r>
          </w:p>
        </w:tc>
        <w:tc>
          <w:tcPr>
            <w:tcW w:w="4415" w:type="pct"/>
            <w:gridSpan w:val="3"/>
          </w:tcPr>
          <w:p w:rsidR="005A6497" w:rsidRPr="00435769" w:rsidRDefault="005A6497" w:rsidP="007932B2">
            <w:pPr>
              <w:pStyle w:val="SCCLsocParty"/>
              <w:jc w:val="both"/>
              <w:rPr>
                <w:b/>
                <w:sz w:val="20"/>
                <w:szCs w:val="20"/>
              </w:rPr>
            </w:pPr>
            <w:r w:rsidRPr="00435769">
              <w:rPr>
                <w:b/>
                <w:sz w:val="20"/>
                <w:szCs w:val="20"/>
              </w:rPr>
              <w:t>Chantal Trudel c. Sa Majesté la Reine</w:t>
            </w:r>
          </w:p>
          <w:p w:rsidR="005A6497" w:rsidRPr="00435769" w:rsidRDefault="005A6497" w:rsidP="007932B2">
            <w:pPr>
              <w:jc w:val="both"/>
              <w:rPr>
                <w:sz w:val="20"/>
                <w:lang w:val="fr-CA"/>
              </w:rPr>
            </w:pPr>
            <w:r w:rsidRPr="00435769">
              <w:rPr>
                <w:sz w:val="20"/>
                <w:lang w:val="fr-CA"/>
              </w:rPr>
              <w:t>(Ont.) (Criminelle) (Sur autorisation)</w:t>
            </w:r>
          </w:p>
        </w:tc>
      </w:tr>
      <w:tr w:rsidR="005A6497" w:rsidRPr="00435769" w:rsidTr="005A6497">
        <w:trPr>
          <w:gridAfter w:val="1"/>
          <w:wAfter w:w="48" w:type="pct"/>
        </w:trPr>
        <w:tc>
          <w:tcPr>
            <w:tcW w:w="4952" w:type="pct"/>
            <w:gridSpan w:val="4"/>
          </w:tcPr>
          <w:p w:rsidR="005A6497" w:rsidRPr="00435769" w:rsidRDefault="005A6497" w:rsidP="007932B2">
            <w:pPr>
              <w:jc w:val="both"/>
              <w:rPr>
                <w:sz w:val="20"/>
                <w:lang w:val="fr-CA"/>
              </w:rPr>
            </w:pPr>
            <w:r w:rsidRPr="00435769">
              <w:rPr>
                <w:sz w:val="20"/>
                <w:lang w:val="fr-CA"/>
              </w:rPr>
              <w:t>Droit criminel — Aliénation mentale ou troubles mentaux — Verdict de non-responsabilité criminelle — Le plaignant prétend avoir été poignardé par la demanderesse après une relation sexuelle pour laquelle il avait payé celle-ci — Des éléments de preuve matérielle rattachaient la demanderesse à l’agression — La demanderesse a consenti à l’évaluation de non-responsabilité criminelle (« NRC ») pour cause de troubles mentaux — L’avocat de la défense a concédé l’</w:t>
            </w:r>
            <w:r w:rsidRPr="00435769">
              <w:rPr>
                <w:i/>
                <w:sz w:val="20"/>
                <w:lang w:val="fr-CA"/>
              </w:rPr>
              <w:t>actus reus</w:t>
            </w:r>
            <w:r w:rsidRPr="00435769">
              <w:rPr>
                <w:sz w:val="20"/>
                <w:lang w:val="fr-CA"/>
              </w:rPr>
              <w:t xml:space="preserve"> — Un psychiatre s’est dit d’avis que la demanderesse souffrait de schizophrénie et ignorait le caractère répréhensible de ses actes — Inscription d’un verdict de NRC — Rejet de l’appel interjeté par la demanderesse à l’encontre du verdict — Le juge du procès était-il tenu de mener une enquête semblable à celle prévue au par. 606(1.1) du </w:t>
            </w:r>
            <w:r w:rsidRPr="00435769">
              <w:rPr>
                <w:i/>
                <w:sz w:val="20"/>
                <w:lang w:val="fr-CA"/>
              </w:rPr>
              <w:t>Code criminel</w:t>
            </w:r>
            <w:r w:rsidRPr="00435769">
              <w:rPr>
                <w:sz w:val="20"/>
                <w:lang w:val="fr-CA"/>
              </w:rPr>
              <w:t xml:space="preserve"> afin de déterminer si la demanderesse comprenait les conséquences d’un verdict de NRC et si son consentement était libre et éclairé — </w:t>
            </w:r>
            <w:r w:rsidRPr="00435769">
              <w:rPr>
                <w:i/>
                <w:sz w:val="20"/>
                <w:lang w:val="fr-CA"/>
              </w:rPr>
              <w:t>Code criminel</w:t>
            </w:r>
            <w:r w:rsidRPr="00435769">
              <w:rPr>
                <w:sz w:val="20"/>
                <w:lang w:val="fr-CA"/>
              </w:rPr>
              <w:t xml:space="preserve">, L.R.C., 1985, c. C-46, par. 606(1.1). </w:t>
            </w:r>
          </w:p>
        </w:tc>
      </w:tr>
      <w:tr w:rsidR="005A6497" w:rsidRPr="00435769" w:rsidTr="005A6497">
        <w:trPr>
          <w:gridAfter w:val="1"/>
          <w:wAfter w:w="48" w:type="pct"/>
        </w:trPr>
        <w:tc>
          <w:tcPr>
            <w:tcW w:w="4952" w:type="pct"/>
            <w:gridSpan w:val="4"/>
          </w:tcPr>
          <w:p w:rsidR="005A6497" w:rsidRPr="00435769" w:rsidRDefault="005A6497" w:rsidP="007932B2">
            <w:pPr>
              <w:jc w:val="both"/>
              <w:rPr>
                <w:sz w:val="20"/>
                <w:lang w:val="fr-CA"/>
              </w:rPr>
            </w:pPr>
          </w:p>
          <w:p w:rsidR="005A6497" w:rsidRPr="00435769" w:rsidRDefault="005A6497" w:rsidP="007932B2">
            <w:pPr>
              <w:jc w:val="both"/>
              <w:rPr>
                <w:sz w:val="20"/>
                <w:lang w:val="fr-CA"/>
              </w:rPr>
            </w:pPr>
            <w:r w:rsidRPr="00435769">
              <w:rPr>
                <w:sz w:val="20"/>
                <w:lang w:val="fr-CA"/>
              </w:rPr>
              <w:t>La demanderesse, M</w:t>
            </w:r>
            <w:r w:rsidRPr="00435769">
              <w:rPr>
                <w:sz w:val="20"/>
                <w:vertAlign w:val="superscript"/>
                <w:lang w:val="fr-CA"/>
              </w:rPr>
              <w:t>me</w:t>
            </w:r>
            <w:r w:rsidRPr="00435769">
              <w:rPr>
                <w:sz w:val="20"/>
                <w:lang w:val="fr-CA"/>
              </w:rPr>
              <w:t> Trudel, a été déclarée non criminellement responsable pour cause de troubles mentaux relativement à un chef d’accusation de voies de fait graves. Le plaignant a affirmé avoir convenu avec la demanderesse d’une relation sexuelle contre paiement, et lui avoir remis une partie de l’argent à l’avance. Il a déclaré qu’avec cet argent, la demanderesse a acheté du crack, qu’elle a consommé avant la relation sexuelle. Le plaignant allègue qu’après la relation, la demanderesse l’a poignardé à la poitrine à deux reprises et s’est enfuie. Les policiers ont trouvé du sang sur le lit et ont saisi un couteau de boucher dans l’appartement. Le plaignant a décrit son agresseur comme étant une femme nommée Chantal. Les policiers ont arrêté la demanderesse, qui avait du sang sur ses vêtements. Elle ne portait qu’une seule chaussure. L’autre chaussure a été retrouvée dans l’allée du plaignant. La demanderesse a été accusée de voies de fait graves. Elle a été admise à l’hôpital pour subir une évaluation de 30 jours visant à déterminer si elle était non criminellement responsable. Au procès, son avocat a reconnu l’</w:t>
            </w:r>
            <w:r w:rsidRPr="00435769">
              <w:rPr>
                <w:i/>
                <w:sz w:val="20"/>
                <w:lang w:val="fr-CA"/>
              </w:rPr>
              <w:t>actus reus</w:t>
            </w:r>
            <w:r w:rsidRPr="00435769">
              <w:rPr>
                <w:sz w:val="20"/>
                <w:lang w:val="fr-CA"/>
              </w:rPr>
              <w:t xml:space="preserve"> de l’infraction et l’audience a porté principalement sur la question de la non-responsabilité criminelle. Un psychiatre a dit être d’avis que la demanderesse souffrait de schizophrénie et qu’elle ignorait le caractère répréhensible de ses actes. Les parties n’ont présenté aucune autre preuve. Le juge a conclu que la demanderesse était non criminellement responsable. Au cours des sept années suivantes, la demanderesse n’a pas réussi à obtenir son congé de l’hôpital de la part de la Commission ontarienne d’examen. Avec l’aide d’un </w:t>
            </w:r>
            <w:r w:rsidRPr="00435769">
              <w:rPr>
                <w:i/>
                <w:sz w:val="20"/>
                <w:lang w:val="fr-CA"/>
              </w:rPr>
              <w:t>amicus curiae</w:t>
            </w:r>
            <w:r w:rsidRPr="00435769">
              <w:rPr>
                <w:sz w:val="20"/>
                <w:lang w:val="fr-CA"/>
              </w:rPr>
              <w:t xml:space="preserve">, la demanderesse a finalement interjeté appel du verdict de 2008. Elle voulait obtenir une ordonnance annulant le verdict de non-responsabilité criminelle et un nouveau procès. La Cour d’appel a rejeté l’appel.   </w:t>
            </w:r>
          </w:p>
        </w:tc>
      </w:tr>
      <w:tr w:rsidR="005A6497" w:rsidRPr="00435769" w:rsidTr="005A6497">
        <w:trPr>
          <w:gridAfter w:val="1"/>
          <w:wAfter w:w="48" w:type="pct"/>
        </w:trPr>
        <w:tc>
          <w:tcPr>
            <w:tcW w:w="4952" w:type="pct"/>
            <w:gridSpan w:val="4"/>
          </w:tcPr>
          <w:p w:rsidR="005A6497" w:rsidRPr="00435769" w:rsidRDefault="005A6497" w:rsidP="007932B2">
            <w:pPr>
              <w:jc w:val="both"/>
              <w:rPr>
                <w:sz w:val="20"/>
                <w:lang w:val="fr-CA"/>
              </w:rPr>
            </w:pPr>
          </w:p>
        </w:tc>
      </w:tr>
      <w:tr w:rsidR="005A6497" w:rsidRPr="00435769" w:rsidTr="005A6497">
        <w:tblPrEx>
          <w:tblCellMar>
            <w:bottom w:w="0" w:type="dxa"/>
          </w:tblCellMar>
        </w:tblPrEx>
        <w:tc>
          <w:tcPr>
            <w:tcW w:w="2367" w:type="pct"/>
            <w:gridSpan w:val="2"/>
          </w:tcPr>
          <w:p w:rsidR="005A6497" w:rsidRPr="00435769" w:rsidRDefault="005A6497" w:rsidP="007932B2">
            <w:pPr>
              <w:jc w:val="both"/>
              <w:rPr>
                <w:sz w:val="20"/>
                <w:lang w:val="fr-CA"/>
              </w:rPr>
            </w:pPr>
            <w:r w:rsidRPr="00435769">
              <w:rPr>
                <w:sz w:val="20"/>
                <w:lang w:val="fr-CA"/>
              </w:rPr>
              <w:t>10 décembre 2008</w:t>
            </w:r>
          </w:p>
          <w:p w:rsidR="005A6497" w:rsidRPr="00435769" w:rsidRDefault="005A6497" w:rsidP="007932B2">
            <w:pPr>
              <w:jc w:val="both"/>
              <w:rPr>
                <w:sz w:val="20"/>
                <w:lang w:val="fr-CA"/>
              </w:rPr>
            </w:pPr>
            <w:r w:rsidRPr="00435769">
              <w:rPr>
                <w:sz w:val="20"/>
                <w:lang w:val="fr-CA"/>
              </w:rPr>
              <w:t>Cour de justice de l’Ontario</w:t>
            </w:r>
          </w:p>
          <w:p w:rsidR="005A6497" w:rsidRPr="00435769" w:rsidRDefault="005A6497" w:rsidP="007932B2">
            <w:pPr>
              <w:jc w:val="both"/>
              <w:rPr>
                <w:sz w:val="20"/>
                <w:lang w:val="fr-CA"/>
              </w:rPr>
            </w:pPr>
            <w:r w:rsidRPr="00435769">
              <w:rPr>
                <w:sz w:val="20"/>
                <w:lang w:val="fr-CA"/>
              </w:rPr>
              <w:t>(Juge Maisonneuve)</w:t>
            </w:r>
          </w:p>
          <w:p w:rsidR="005A6497" w:rsidRPr="00435769" w:rsidRDefault="005A6497" w:rsidP="007932B2">
            <w:pPr>
              <w:jc w:val="both"/>
              <w:rPr>
                <w:sz w:val="20"/>
                <w:lang w:val="fr-CA"/>
              </w:rPr>
            </w:pPr>
          </w:p>
        </w:tc>
        <w:tc>
          <w:tcPr>
            <w:tcW w:w="267" w:type="pct"/>
          </w:tcPr>
          <w:p w:rsidR="005A6497" w:rsidRPr="00435769" w:rsidRDefault="005A6497" w:rsidP="007932B2">
            <w:pPr>
              <w:jc w:val="both"/>
              <w:rPr>
                <w:sz w:val="20"/>
                <w:lang w:val="fr-CA"/>
              </w:rPr>
            </w:pPr>
          </w:p>
        </w:tc>
        <w:tc>
          <w:tcPr>
            <w:tcW w:w="2366" w:type="pct"/>
            <w:gridSpan w:val="2"/>
          </w:tcPr>
          <w:p w:rsidR="005A6497" w:rsidRPr="00435769" w:rsidRDefault="005A6497" w:rsidP="007932B2">
            <w:pPr>
              <w:jc w:val="both"/>
              <w:rPr>
                <w:sz w:val="20"/>
                <w:lang w:val="fr-CA"/>
              </w:rPr>
            </w:pPr>
            <w:r w:rsidRPr="00435769">
              <w:rPr>
                <w:sz w:val="20"/>
                <w:lang w:val="fr-CA"/>
              </w:rPr>
              <w:t>Inscription d’un verdict de non-responsabilité criminelle pour cause de troubles mentaux.</w:t>
            </w:r>
          </w:p>
          <w:p w:rsidR="005A6497" w:rsidRPr="00435769" w:rsidRDefault="005A6497" w:rsidP="007932B2">
            <w:pPr>
              <w:jc w:val="both"/>
              <w:rPr>
                <w:sz w:val="20"/>
                <w:lang w:val="fr-CA"/>
              </w:rPr>
            </w:pPr>
          </w:p>
        </w:tc>
      </w:tr>
      <w:tr w:rsidR="005A6497" w:rsidRPr="00435769" w:rsidTr="005A6497">
        <w:tblPrEx>
          <w:tblCellMar>
            <w:bottom w:w="0" w:type="dxa"/>
          </w:tblCellMar>
        </w:tblPrEx>
        <w:tc>
          <w:tcPr>
            <w:tcW w:w="2367" w:type="pct"/>
            <w:gridSpan w:val="2"/>
          </w:tcPr>
          <w:p w:rsidR="005A6497" w:rsidRPr="00435769" w:rsidRDefault="005A6497" w:rsidP="007932B2">
            <w:pPr>
              <w:jc w:val="both"/>
              <w:rPr>
                <w:sz w:val="20"/>
                <w:lang w:val="fr-CA"/>
              </w:rPr>
            </w:pPr>
            <w:r w:rsidRPr="00435769">
              <w:rPr>
                <w:sz w:val="20"/>
                <w:lang w:val="fr-CA"/>
              </w:rPr>
              <w:t>11 juin 2015</w:t>
            </w:r>
          </w:p>
          <w:p w:rsidR="005A6497" w:rsidRPr="00435769" w:rsidRDefault="005A6497" w:rsidP="007932B2">
            <w:pPr>
              <w:jc w:val="both"/>
              <w:rPr>
                <w:sz w:val="20"/>
                <w:lang w:val="fr-CA"/>
              </w:rPr>
            </w:pPr>
            <w:r w:rsidRPr="00435769">
              <w:rPr>
                <w:sz w:val="20"/>
                <w:lang w:val="fr-CA"/>
              </w:rPr>
              <w:t>Cour d’appel de l’Ontario</w:t>
            </w:r>
          </w:p>
          <w:p w:rsidR="005A6497" w:rsidRPr="00435769" w:rsidRDefault="005A6497" w:rsidP="007932B2">
            <w:pPr>
              <w:jc w:val="both"/>
              <w:rPr>
                <w:sz w:val="20"/>
                <w:lang w:val="fr-CA"/>
              </w:rPr>
            </w:pPr>
            <w:r w:rsidRPr="00435769">
              <w:rPr>
                <w:sz w:val="20"/>
                <w:lang w:val="fr-CA"/>
              </w:rPr>
              <w:t>(Juges d’appel Blair, Tulloch et Hourigan)</w:t>
            </w:r>
          </w:p>
          <w:p w:rsidR="005A6497" w:rsidRPr="00435769" w:rsidRDefault="00435769" w:rsidP="007932B2">
            <w:pPr>
              <w:jc w:val="both"/>
              <w:rPr>
                <w:sz w:val="20"/>
                <w:lang w:val="fr-CA"/>
              </w:rPr>
            </w:pPr>
            <w:hyperlink r:id="rId112" w:history="1">
              <w:r w:rsidR="005A6497" w:rsidRPr="00435769">
                <w:rPr>
                  <w:rStyle w:val="Hyperlink"/>
                  <w:sz w:val="20"/>
                  <w:lang w:val="fr-CA"/>
                </w:rPr>
                <w:t>2015 ONCA 422</w:t>
              </w:r>
            </w:hyperlink>
          </w:p>
          <w:p w:rsidR="005A6497" w:rsidRPr="00435769" w:rsidRDefault="005A6497" w:rsidP="007932B2">
            <w:pPr>
              <w:jc w:val="both"/>
              <w:rPr>
                <w:sz w:val="20"/>
                <w:lang w:val="fr-CA"/>
              </w:rPr>
            </w:pPr>
          </w:p>
        </w:tc>
        <w:tc>
          <w:tcPr>
            <w:tcW w:w="267" w:type="pct"/>
          </w:tcPr>
          <w:p w:rsidR="005A6497" w:rsidRPr="00435769" w:rsidRDefault="005A6497" w:rsidP="007932B2">
            <w:pPr>
              <w:jc w:val="both"/>
              <w:rPr>
                <w:sz w:val="20"/>
                <w:lang w:val="fr-CA"/>
              </w:rPr>
            </w:pPr>
          </w:p>
        </w:tc>
        <w:tc>
          <w:tcPr>
            <w:tcW w:w="2366" w:type="pct"/>
            <w:gridSpan w:val="2"/>
          </w:tcPr>
          <w:p w:rsidR="005A6497" w:rsidRPr="00435769" w:rsidRDefault="005A6497" w:rsidP="007932B2">
            <w:pPr>
              <w:jc w:val="both"/>
              <w:rPr>
                <w:sz w:val="20"/>
                <w:lang w:val="fr-CA"/>
              </w:rPr>
            </w:pPr>
            <w:r w:rsidRPr="00435769">
              <w:rPr>
                <w:sz w:val="20"/>
                <w:lang w:val="fr-CA"/>
              </w:rPr>
              <w:t>Rejet de l’appel.</w:t>
            </w:r>
          </w:p>
          <w:p w:rsidR="005A6497" w:rsidRPr="00435769" w:rsidRDefault="005A6497" w:rsidP="007932B2">
            <w:pPr>
              <w:jc w:val="both"/>
              <w:rPr>
                <w:sz w:val="20"/>
                <w:lang w:val="fr-CA"/>
              </w:rPr>
            </w:pPr>
          </w:p>
        </w:tc>
      </w:tr>
      <w:tr w:rsidR="005A6497" w:rsidRPr="00435769" w:rsidTr="005A6497">
        <w:tblPrEx>
          <w:tblCellMar>
            <w:bottom w:w="0" w:type="dxa"/>
          </w:tblCellMar>
        </w:tblPrEx>
        <w:tc>
          <w:tcPr>
            <w:tcW w:w="2367" w:type="pct"/>
            <w:gridSpan w:val="2"/>
          </w:tcPr>
          <w:p w:rsidR="005A6497" w:rsidRPr="00435769" w:rsidRDefault="005A6497" w:rsidP="007932B2">
            <w:pPr>
              <w:jc w:val="both"/>
              <w:rPr>
                <w:sz w:val="20"/>
                <w:lang w:val="fr-CA"/>
              </w:rPr>
            </w:pPr>
            <w:r w:rsidRPr="00435769">
              <w:rPr>
                <w:sz w:val="20"/>
                <w:lang w:val="fr-CA"/>
              </w:rPr>
              <w:t>7 juillet 2016</w:t>
            </w:r>
          </w:p>
          <w:p w:rsidR="005A6497" w:rsidRPr="00435769" w:rsidRDefault="005A6497" w:rsidP="007932B2">
            <w:pPr>
              <w:jc w:val="both"/>
              <w:rPr>
                <w:sz w:val="20"/>
                <w:lang w:val="fr-CA"/>
              </w:rPr>
            </w:pPr>
            <w:r w:rsidRPr="00435769">
              <w:rPr>
                <w:sz w:val="20"/>
                <w:lang w:val="fr-CA"/>
              </w:rPr>
              <w:t>Cour suprême du Canada</w:t>
            </w:r>
          </w:p>
          <w:p w:rsidR="005A6497" w:rsidRPr="00435769" w:rsidRDefault="005A6497" w:rsidP="007932B2">
            <w:pPr>
              <w:jc w:val="both"/>
              <w:rPr>
                <w:sz w:val="20"/>
                <w:lang w:val="fr-CA"/>
              </w:rPr>
            </w:pPr>
          </w:p>
        </w:tc>
        <w:tc>
          <w:tcPr>
            <w:tcW w:w="267" w:type="pct"/>
          </w:tcPr>
          <w:p w:rsidR="005A6497" w:rsidRPr="00435769" w:rsidRDefault="005A6497" w:rsidP="007932B2">
            <w:pPr>
              <w:jc w:val="both"/>
              <w:rPr>
                <w:sz w:val="20"/>
                <w:lang w:val="fr-CA"/>
              </w:rPr>
            </w:pPr>
          </w:p>
        </w:tc>
        <w:tc>
          <w:tcPr>
            <w:tcW w:w="2366" w:type="pct"/>
            <w:gridSpan w:val="2"/>
          </w:tcPr>
          <w:p w:rsidR="005A6497" w:rsidRPr="00435769" w:rsidRDefault="005A6497" w:rsidP="007932B2">
            <w:pPr>
              <w:jc w:val="both"/>
              <w:rPr>
                <w:sz w:val="20"/>
                <w:lang w:val="fr-CA"/>
              </w:rPr>
            </w:pPr>
            <w:r w:rsidRPr="00435769">
              <w:rPr>
                <w:sz w:val="20"/>
                <w:lang w:val="fr-CA"/>
              </w:rPr>
              <w:t xml:space="preserve">Dépôt d’une demande d’autorisation d’appel, accompagnée d’une requête en prorogation du délai de signification et de dépôt de la demande. </w:t>
            </w:r>
          </w:p>
        </w:tc>
      </w:tr>
    </w:tbl>
    <w:p w:rsidR="005A6497" w:rsidRPr="00435769" w:rsidRDefault="005A6497" w:rsidP="007932B2">
      <w:pPr>
        <w:jc w:val="both"/>
        <w:rPr>
          <w:sz w:val="20"/>
          <w:lang w:val="fr-CA"/>
        </w:rPr>
      </w:pPr>
    </w:p>
    <w:p w:rsidR="008E7E00" w:rsidRPr="00435769" w:rsidRDefault="008E7E00" w:rsidP="007932B2">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rPr>
            </w:pPr>
            <w:r w:rsidRPr="00435769">
              <w:rPr>
                <w:rStyle w:val="SCCFileNumberChar"/>
                <w:sz w:val="20"/>
                <w:szCs w:val="20"/>
              </w:rPr>
              <w:t>37183</w:t>
            </w:r>
          </w:p>
        </w:tc>
        <w:tc>
          <w:tcPr>
            <w:tcW w:w="4457" w:type="pct"/>
            <w:gridSpan w:val="3"/>
          </w:tcPr>
          <w:p w:rsidR="005A6497" w:rsidRPr="00435769" w:rsidRDefault="005A6497" w:rsidP="007932B2">
            <w:pPr>
              <w:pStyle w:val="SCCLsocParty"/>
              <w:jc w:val="both"/>
              <w:rPr>
                <w:b/>
                <w:sz w:val="20"/>
                <w:szCs w:val="20"/>
                <w:lang w:val="en-US"/>
              </w:rPr>
            </w:pPr>
            <w:r w:rsidRPr="00435769">
              <w:rPr>
                <w:b/>
                <w:sz w:val="20"/>
                <w:szCs w:val="20"/>
                <w:lang w:val="en-US"/>
              </w:rPr>
              <w:t>Daryle William Haug v. Warden of Dorchester Institution</w:t>
            </w:r>
          </w:p>
          <w:p w:rsidR="005A6497" w:rsidRPr="00435769" w:rsidRDefault="005A6497" w:rsidP="007932B2">
            <w:pPr>
              <w:jc w:val="both"/>
              <w:rPr>
                <w:sz w:val="20"/>
              </w:rPr>
            </w:pPr>
            <w:r w:rsidRPr="00435769">
              <w:rPr>
                <w:sz w:val="20"/>
              </w:rPr>
              <w:t>(N.B.) (Civil) (By Leave)</w:t>
            </w:r>
          </w:p>
        </w:tc>
      </w:tr>
      <w:tr w:rsidR="005A6497" w:rsidRPr="00435769" w:rsidTr="005A6497">
        <w:tc>
          <w:tcPr>
            <w:tcW w:w="5000" w:type="pct"/>
            <w:gridSpan w:val="4"/>
          </w:tcPr>
          <w:p w:rsidR="005A6497" w:rsidRPr="00435769" w:rsidRDefault="005A6497" w:rsidP="007932B2">
            <w:pPr>
              <w:jc w:val="both"/>
              <w:rPr>
                <w:sz w:val="20"/>
              </w:rPr>
            </w:pPr>
            <w:r w:rsidRPr="00435769">
              <w:rPr>
                <w:sz w:val="20"/>
              </w:rPr>
              <w:t xml:space="preserve">Civil Procedure – Criminal Procedure – Whether a motion for a </w:t>
            </w:r>
            <w:r w:rsidRPr="00435769">
              <w:rPr>
                <w:i/>
                <w:sz w:val="20"/>
              </w:rPr>
              <w:t xml:space="preserve">habeas corpus </w:t>
            </w:r>
            <w:r w:rsidRPr="00435769">
              <w:rPr>
                <w:sz w:val="20"/>
              </w:rPr>
              <w:t xml:space="preserve">order is a criminal or civil matter – Whether a motion appealing a Registrar’s classification of a proceeding is the lawful avenue of redress to raise the issue of classification – Whether the </w:t>
            </w:r>
            <w:r w:rsidRPr="00435769">
              <w:rPr>
                <w:i/>
                <w:sz w:val="20"/>
              </w:rPr>
              <w:t xml:space="preserve">Criminal Code </w:t>
            </w:r>
            <w:r w:rsidRPr="00435769">
              <w:rPr>
                <w:sz w:val="20"/>
              </w:rPr>
              <w:t>allows courts to direct costs of criminal proceedings upon a convicted person?</w:t>
            </w:r>
          </w:p>
        </w:tc>
      </w:tr>
      <w:tr w:rsidR="005A6497" w:rsidRPr="00435769" w:rsidTr="005A6497">
        <w:tc>
          <w:tcPr>
            <w:tcW w:w="5000" w:type="pct"/>
            <w:gridSpan w:val="4"/>
          </w:tcPr>
          <w:p w:rsidR="005A6497" w:rsidRPr="00435769" w:rsidRDefault="005A6497" w:rsidP="007932B2">
            <w:pPr>
              <w:jc w:val="both"/>
              <w:rPr>
                <w:sz w:val="20"/>
              </w:rPr>
            </w:pPr>
          </w:p>
        </w:tc>
      </w:tr>
      <w:tr w:rsidR="005A6497" w:rsidRPr="00435769" w:rsidTr="005A6497">
        <w:tc>
          <w:tcPr>
            <w:tcW w:w="5000" w:type="pct"/>
            <w:gridSpan w:val="4"/>
          </w:tcPr>
          <w:p w:rsidR="005A6497" w:rsidRPr="00435769" w:rsidRDefault="005A6497" w:rsidP="007932B2">
            <w:pPr>
              <w:jc w:val="both"/>
              <w:rPr>
                <w:sz w:val="20"/>
              </w:rPr>
            </w:pPr>
            <w:r w:rsidRPr="00435769">
              <w:rPr>
                <w:sz w:val="20"/>
              </w:rPr>
              <w:t xml:space="preserve">The Court of Queen’s Bench of New Brunswick dismissed an application for a writ of </w:t>
            </w:r>
            <w:r w:rsidRPr="00435769">
              <w:rPr>
                <w:i/>
                <w:sz w:val="20"/>
              </w:rPr>
              <w:t>habeus corpus</w:t>
            </w:r>
            <w:r w:rsidRPr="00435769">
              <w:rPr>
                <w:sz w:val="20"/>
              </w:rPr>
              <w:t xml:space="preserve"> filed by Mr. Haug. Mr. Haug filed a Notice of Appeal in the Court of Appeal for New Brunswick. The Registrar of the Court of Appeal classified the proceeding as criminal. The Warden of Dorchester Institution filed a motion appealing the classification. Green J.A. granted the motion and reclassified the matter as a civil proceeding.</w:t>
            </w:r>
          </w:p>
          <w:p w:rsidR="005A6497" w:rsidRPr="00435769" w:rsidRDefault="005A6497" w:rsidP="007932B2">
            <w:pPr>
              <w:jc w:val="both"/>
              <w:rPr>
                <w:sz w:val="20"/>
              </w:rPr>
            </w:pPr>
          </w:p>
        </w:tc>
      </w:tr>
      <w:tr w:rsidR="005A6497" w:rsidRPr="00435769" w:rsidTr="009C2F30">
        <w:trPr>
          <w:trHeight w:val="1089"/>
        </w:trPr>
        <w:tc>
          <w:tcPr>
            <w:tcW w:w="2427" w:type="pct"/>
            <w:gridSpan w:val="2"/>
          </w:tcPr>
          <w:p w:rsidR="005A6497" w:rsidRPr="00435769" w:rsidRDefault="005A6497" w:rsidP="007932B2">
            <w:pPr>
              <w:jc w:val="both"/>
              <w:rPr>
                <w:sz w:val="20"/>
              </w:rPr>
            </w:pPr>
            <w:r w:rsidRPr="00435769">
              <w:rPr>
                <w:sz w:val="20"/>
              </w:rPr>
              <w:t>March 14, 2014</w:t>
            </w:r>
          </w:p>
          <w:p w:rsidR="005A6497" w:rsidRPr="00435769" w:rsidRDefault="005A6497" w:rsidP="007932B2">
            <w:pPr>
              <w:jc w:val="both"/>
              <w:rPr>
                <w:sz w:val="20"/>
              </w:rPr>
            </w:pPr>
            <w:r w:rsidRPr="00435769">
              <w:rPr>
                <w:sz w:val="20"/>
              </w:rPr>
              <w:t>Court of Queen’s Bench of New Brunswick</w:t>
            </w:r>
          </w:p>
          <w:p w:rsidR="005A6497" w:rsidRPr="00435769" w:rsidRDefault="005A6497" w:rsidP="007932B2">
            <w:pPr>
              <w:jc w:val="both"/>
              <w:rPr>
                <w:sz w:val="20"/>
                <w:lang w:val="fr-FR"/>
              </w:rPr>
            </w:pPr>
            <w:r w:rsidRPr="00435769">
              <w:rPr>
                <w:sz w:val="20"/>
                <w:lang w:val="fr-FR"/>
              </w:rPr>
              <w:t>(Dionne J.)</w:t>
            </w:r>
          </w:p>
          <w:p w:rsidR="005A6497" w:rsidRPr="00435769" w:rsidRDefault="005A6497" w:rsidP="009C2F30">
            <w:pPr>
              <w:jc w:val="both"/>
              <w:rPr>
                <w:sz w:val="20"/>
                <w:lang w:val="fr-FR"/>
              </w:rPr>
            </w:pPr>
            <w:r w:rsidRPr="00435769">
              <w:rPr>
                <w:sz w:val="20"/>
                <w:lang w:val="fr-FR"/>
              </w:rPr>
              <w:t>MM-124-13 (Unreported)</w:t>
            </w:r>
          </w:p>
          <w:p w:rsidR="005A6497" w:rsidRPr="00435769" w:rsidRDefault="005A6497" w:rsidP="009C2F30">
            <w:pPr>
              <w:jc w:val="both"/>
              <w:rPr>
                <w:sz w:val="20"/>
                <w:lang w:val="fr-FR"/>
              </w:rPr>
            </w:pPr>
          </w:p>
        </w:tc>
        <w:tc>
          <w:tcPr>
            <w:tcW w:w="243" w:type="pct"/>
          </w:tcPr>
          <w:p w:rsidR="005A6497" w:rsidRPr="00435769" w:rsidRDefault="005A6497" w:rsidP="007932B2">
            <w:pPr>
              <w:jc w:val="both"/>
              <w:rPr>
                <w:sz w:val="20"/>
                <w:lang w:val="fr-FR"/>
              </w:rPr>
            </w:pPr>
          </w:p>
        </w:tc>
        <w:tc>
          <w:tcPr>
            <w:tcW w:w="2330" w:type="pct"/>
          </w:tcPr>
          <w:p w:rsidR="005A6497" w:rsidRPr="00435769" w:rsidRDefault="005A6497" w:rsidP="009C2F30">
            <w:pPr>
              <w:jc w:val="both"/>
              <w:rPr>
                <w:sz w:val="20"/>
              </w:rPr>
            </w:pPr>
            <w:r w:rsidRPr="00435769">
              <w:rPr>
                <w:sz w:val="20"/>
              </w:rPr>
              <w:t xml:space="preserve">Notice of motion for </w:t>
            </w:r>
            <w:r w:rsidRPr="00435769">
              <w:rPr>
                <w:i/>
                <w:sz w:val="20"/>
              </w:rPr>
              <w:t>habeus corpus</w:t>
            </w:r>
            <w:r w:rsidRPr="00435769">
              <w:rPr>
                <w:sz w:val="20"/>
              </w:rPr>
              <w:t xml:space="preserve"> order and other motions dismissed</w:t>
            </w:r>
          </w:p>
        </w:tc>
      </w:tr>
      <w:tr w:rsidR="005A6497" w:rsidRPr="00435769" w:rsidTr="005A6497">
        <w:tc>
          <w:tcPr>
            <w:tcW w:w="2427" w:type="pct"/>
            <w:gridSpan w:val="2"/>
          </w:tcPr>
          <w:p w:rsidR="005A6497" w:rsidRPr="00435769" w:rsidRDefault="005A6497" w:rsidP="009C2F30">
            <w:pPr>
              <w:jc w:val="both"/>
              <w:rPr>
                <w:sz w:val="20"/>
              </w:rPr>
            </w:pPr>
            <w:r w:rsidRPr="00435769">
              <w:rPr>
                <w:sz w:val="20"/>
              </w:rPr>
              <w:t>April 2, 2014</w:t>
            </w:r>
          </w:p>
          <w:p w:rsidR="005A6497" w:rsidRPr="00435769" w:rsidRDefault="005A6497" w:rsidP="009C2F30">
            <w:pPr>
              <w:jc w:val="both"/>
              <w:rPr>
                <w:sz w:val="20"/>
              </w:rPr>
            </w:pPr>
            <w:r w:rsidRPr="00435769">
              <w:rPr>
                <w:sz w:val="20"/>
              </w:rPr>
              <w:t>Court of Appeal of New Brunswick</w:t>
            </w:r>
          </w:p>
          <w:p w:rsidR="005A6497" w:rsidRPr="00435769" w:rsidRDefault="005A6497" w:rsidP="009C2F30">
            <w:pPr>
              <w:jc w:val="both"/>
              <w:rPr>
                <w:sz w:val="20"/>
              </w:rPr>
            </w:pPr>
            <w:r w:rsidRPr="00435769">
              <w:rPr>
                <w:sz w:val="20"/>
              </w:rPr>
              <w:t>(Registrar)(Unreported)</w:t>
            </w:r>
          </w:p>
          <w:p w:rsidR="005A6497" w:rsidRPr="00435769" w:rsidRDefault="005A6497" w:rsidP="009C2F30">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 xml:space="preserve">Notice of Appeal from dismissal of motion for </w:t>
            </w:r>
            <w:r w:rsidRPr="00435769">
              <w:rPr>
                <w:i/>
                <w:sz w:val="20"/>
              </w:rPr>
              <w:t>habeus corpus</w:t>
            </w:r>
            <w:r w:rsidRPr="00435769">
              <w:rPr>
                <w:sz w:val="20"/>
              </w:rPr>
              <w:t xml:space="preserve"> order classified as criminal</w:t>
            </w:r>
          </w:p>
        </w:tc>
      </w:tr>
      <w:tr w:rsidR="005A6497" w:rsidRPr="00435769" w:rsidTr="009C2F30">
        <w:trPr>
          <w:trHeight w:val="981"/>
        </w:trPr>
        <w:tc>
          <w:tcPr>
            <w:tcW w:w="2427" w:type="pct"/>
            <w:gridSpan w:val="2"/>
          </w:tcPr>
          <w:p w:rsidR="005A6497" w:rsidRPr="00435769" w:rsidRDefault="005A6497" w:rsidP="009C2F30">
            <w:pPr>
              <w:jc w:val="both"/>
              <w:rPr>
                <w:sz w:val="20"/>
              </w:rPr>
            </w:pPr>
            <w:r w:rsidRPr="00435769">
              <w:rPr>
                <w:sz w:val="20"/>
              </w:rPr>
              <w:t>June 13, 2016</w:t>
            </w:r>
          </w:p>
          <w:p w:rsidR="005A6497" w:rsidRPr="00435769" w:rsidRDefault="005A6497" w:rsidP="009C2F30">
            <w:pPr>
              <w:jc w:val="both"/>
              <w:rPr>
                <w:sz w:val="20"/>
              </w:rPr>
            </w:pPr>
            <w:r w:rsidRPr="00435769">
              <w:rPr>
                <w:sz w:val="20"/>
              </w:rPr>
              <w:t>Court of Appeal of New Brunswick</w:t>
            </w:r>
          </w:p>
          <w:p w:rsidR="005A6497" w:rsidRPr="00435769" w:rsidRDefault="005A6497" w:rsidP="009C2F30">
            <w:pPr>
              <w:jc w:val="both"/>
              <w:rPr>
                <w:sz w:val="20"/>
              </w:rPr>
            </w:pPr>
            <w:r w:rsidRPr="00435769">
              <w:rPr>
                <w:sz w:val="20"/>
              </w:rPr>
              <w:t>(Green J.A.)</w:t>
            </w:r>
          </w:p>
          <w:p w:rsidR="005A6497" w:rsidRPr="00435769" w:rsidRDefault="005A6497" w:rsidP="009C2F30">
            <w:pPr>
              <w:jc w:val="both"/>
              <w:rPr>
                <w:sz w:val="20"/>
              </w:rPr>
            </w:pPr>
            <w:r w:rsidRPr="00435769">
              <w:rPr>
                <w:sz w:val="20"/>
              </w:rPr>
              <w:t>39-14-CA (Unreported)</w:t>
            </w:r>
          </w:p>
          <w:p w:rsidR="005A6497" w:rsidRPr="00435769" w:rsidRDefault="005A6497" w:rsidP="009C2F30">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Motion to change classification to civil granted</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September 2, 2016</w:t>
            </w:r>
          </w:p>
          <w:p w:rsidR="005A6497" w:rsidRPr="00435769" w:rsidRDefault="005A6497" w:rsidP="007932B2">
            <w:pPr>
              <w:jc w:val="both"/>
              <w:rPr>
                <w:sz w:val="20"/>
              </w:rPr>
            </w:pPr>
            <w:r w:rsidRPr="00435769">
              <w:rPr>
                <w:sz w:val="20"/>
              </w:rPr>
              <w:t>Supreme Court of Canada</w:t>
            </w: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Application for leave to appeal and motion to appoint counsel if leave to appeal is granted filed</w:t>
            </w:r>
          </w:p>
        </w:tc>
      </w:tr>
    </w:tbl>
    <w:p w:rsidR="005A6497" w:rsidRPr="00435769" w:rsidRDefault="005A6497" w:rsidP="007932B2">
      <w:pPr>
        <w:jc w:val="both"/>
        <w:rPr>
          <w:sz w:val="20"/>
        </w:rPr>
      </w:pPr>
    </w:p>
    <w:p w:rsidR="009C2F30" w:rsidRPr="00435769" w:rsidRDefault="009C2F30" w:rsidP="007932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lang w:val="fr-CA"/>
              </w:rPr>
            </w:pPr>
            <w:r w:rsidRPr="00435769">
              <w:rPr>
                <w:rStyle w:val="SCCFileNumberChar"/>
                <w:sz w:val="20"/>
                <w:szCs w:val="20"/>
                <w:lang w:val="fr-CA"/>
              </w:rPr>
              <w:t>37183</w:t>
            </w:r>
          </w:p>
        </w:tc>
        <w:tc>
          <w:tcPr>
            <w:tcW w:w="4457" w:type="pct"/>
            <w:gridSpan w:val="3"/>
          </w:tcPr>
          <w:p w:rsidR="005A6497" w:rsidRPr="00435769" w:rsidRDefault="005A6497" w:rsidP="007932B2">
            <w:pPr>
              <w:pStyle w:val="SCCLsocParty"/>
              <w:jc w:val="both"/>
              <w:rPr>
                <w:b/>
                <w:sz w:val="20"/>
                <w:szCs w:val="20"/>
              </w:rPr>
            </w:pPr>
            <w:r w:rsidRPr="00435769">
              <w:rPr>
                <w:b/>
                <w:sz w:val="20"/>
                <w:szCs w:val="20"/>
              </w:rPr>
              <w:t xml:space="preserve">Daryle William Haug c. Directeur du pénitencier de Dorchester </w:t>
            </w:r>
          </w:p>
          <w:p w:rsidR="005A6497" w:rsidRPr="00435769" w:rsidRDefault="005A6497" w:rsidP="007932B2">
            <w:pPr>
              <w:jc w:val="both"/>
              <w:rPr>
                <w:sz w:val="20"/>
                <w:lang w:val="fr-CA"/>
              </w:rPr>
            </w:pPr>
            <w:r w:rsidRPr="00435769">
              <w:rPr>
                <w:sz w:val="20"/>
                <w:lang w:val="fr-CA"/>
              </w:rPr>
              <w:t>(N.-B.) (Civile) (Sur autorisation)</w:t>
            </w:r>
          </w:p>
        </w:tc>
      </w:tr>
      <w:tr w:rsidR="005A6497" w:rsidRPr="00435769" w:rsidTr="005A6497">
        <w:tc>
          <w:tcPr>
            <w:tcW w:w="5000" w:type="pct"/>
            <w:gridSpan w:val="4"/>
          </w:tcPr>
          <w:p w:rsidR="005A6497" w:rsidRPr="00435769" w:rsidRDefault="005A6497" w:rsidP="007932B2">
            <w:pPr>
              <w:jc w:val="both"/>
              <w:rPr>
                <w:sz w:val="20"/>
                <w:lang w:val="fr-CA"/>
              </w:rPr>
            </w:pPr>
            <w:r w:rsidRPr="00435769">
              <w:rPr>
                <w:sz w:val="20"/>
                <w:lang w:val="fr-CA"/>
              </w:rPr>
              <w:t xml:space="preserve">Procédure civile – Procédure pénale – Une motion en habeas corpus constitue-t-elle une affaire pénale ou une affaire civile? – Une motion en appel de la désignation par le greffier d’une procédure représente-t-elle le recours légitime pour soulever la question de la désignation? – Le </w:t>
            </w:r>
            <w:r w:rsidRPr="00435769">
              <w:rPr>
                <w:i/>
                <w:sz w:val="20"/>
                <w:lang w:val="fr-CA"/>
              </w:rPr>
              <w:t xml:space="preserve">Code criminel </w:t>
            </w:r>
            <w:r w:rsidRPr="00435769">
              <w:rPr>
                <w:sz w:val="20"/>
                <w:lang w:val="fr-CA"/>
              </w:rPr>
              <w:t>autorise-t-il les tribunaux à imposer à l’accusé déclaré coupable le paiement des dépens relatifs à des procédures criminelles?</w:t>
            </w:r>
          </w:p>
        </w:tc>
      </w:tr>
      <w:tr w:rsidR="005A6497" w:rsidRPr="00435769" w:rsidTr="005A6497">
        <w:tc>
          <w:tcPr>
            <w:tcW w:w="5000" w:type="pct"/>
            <w:gridSpan w:val="4"/>
          </w:tcPr>
          <w:p w:rsidR="005A6497" w:rsidRPr="00435769" w:rsidRDefault="005A6497" w:rsidP="007932B2">
            <w:pPr>
              <w:jc w:val="both"/>
              <w:rPr>
                <w:sz w:val="20"/>
                <w:lang w:val="fr-CA"/>
              </w:rPr>
            </w:pPr>
          </w:p>
        </w:tc>
      </w:tr>
      <w:tr w:rsidR="005A6497" w:rsidRPr="00435769" w:rsidTr="005A6497">
        <w:tc>
          <w:tcPr>
            <w:tcW w:w="5000" w:type="pct"/>
            <w:gridSpan w:val="4"/>
          </w:tcPr>
          <w:p w:rsidR="005A6497" w:rsidRPr="00435769" w:rsidRDefault="005A6497" w:rsidP="007932B2">
            <w:pPr>
              <w:jc w:val="both"/>
              <w:rPr>
                <w:sz w:val="20"/>
                <w:lang w:val="fr-CA"/>
              </w:rPr>
            </w:pPr>
            <w:r w:rsidRPr="00435769">
              <w:rPr>
                <w:sz w:val="20"/>
                <w:lang w:val="fr-CA"/>
              </w:rPr>
              <w:t>La Cour du Banc de la Reine du Nouveau-Brunswick a rejeté la demande de bref d’habeas corpus déposée par M. Haug. M. Haug a déposé un avis d’appel à la Cour d’appel du Nouveau-Brunswick. Le greffier de la Cour d’appel a qualifié la procédure de pénale. Le directeur du pénitencier de Dorchester a déposé une motion en appel de cette désignation. Le juge d’appel Green a accueilli la motion et a qualifié l’affaire de procédure civile.</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9C2F30">
            <w:pPr>
              <w:jc w:val="both"/>
              <w:rPr>
                <w:sz w:val="20"/>
                <w:lang w:val="fr-CA"/>
              </w:rPr>
            </w:pPr>
            <w:r w:rsidRPr="00435769">
              <w:rPr>
                <w:sz w:val="20"/>
                <w:lang w:val="fr-CA"/>
              </w:rPr>
              <w:lastRenderedPageBreak/>
              <w:t>14 mars 2014</w:t>
            </w:r>
          </w:p>
          <w:p w:rsidR="005A6497" w:rsidRPr="00435769" w:rsidRDefault="005A6497" w:rsidP="009C2F30">
            <w:pPr>
              <w:jc w:val="both"/>
              <w:rPr>
                <w:sz w:val="20"/>
                <w:lang w:val="fr-CA"/>
              </w:rPr>
            </w:pPr>
            <w:r w:rsidRPr="00435769">
              <w:rPr>
                <w:sz w:val="20"/>
                <w:lang w:val="fr-CA"/>
              </w:rPr>
              <w:t>Cour du Banc de la Reine du Nouveau- Brunswick</w:t>
            </w:r>
          </w:p>
          <w:p w:rsidR="005A6497" w:rsidRPr="00435769" w:rsidRDefault="005A6497" w:rsidP="009C2F30">
            <w:pPr>
              <w:jc w:val="both"/>
              <w:rPr>
                <w:sz w:val="20"/>
                <w:lang w:val="fr-CA"/>
              </w:rPr>
            </w:pPr>
            <w:r w:rsidRPr="00435769">
              <w:rPr>
                <w:sz w:val="20"/>
                <w:lang w:val="fr-CA"/>
              </w:rPr>
              <w:t>(Juge Dionne)</w:t>
            </w:r>
          </w:p>
          <w:p w:rsidR="005A6497" w:rsidRPr="00435769" w:rsidRDefault="005A6497" w:rsidP="009C2F30">
            <w:pPr>
              <w:jc w:val="both"/>
              <w:rPr>
                <w:sz w:val="20"/>
                <w:lang w:val="fr-CA"/>
              </w:rPr>
            </w:pPr>
            <w:r w:rsidRPr="00435769">
              <w:rPr>
                <w:sz w:val="20"/>
                <w:lang w:val="fr-CA"/>
              </w:rPr>
              <w:t>MM-124-13 (Décision non publiée)</w:t>
            </w:r>
          </w:p>
          <w:p w:rsidR="005A6497" w:rsidRPr="00435769" w:rsidRDefault="005A6497" w:rsidP="009C2F30">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Rejet de l’avis de motion en habeas corpus et d’autres motions</w:t>
            </w:r>
          </w:p>
          <w:p w:rsidR="005A6497" w:rsidRPr="00435769" w:rsidRDefault="005A6497" w:rsidP="007932B2">
            <w:pPr>
              <w:jc w:val="both"/>
              <w:rPr>
                <w:sz w:val="20"/>
                <w:lang w:val="fr-CA"/>
              </w:rPr>
            </w:pP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9C2F30">
            <w:pPr>
              <w:jc w:val="both"/>
              <w:rPr>
                <w:sz w:val="20"/>
                <w:lang w:val="fr-CA"/>
              </w:rPr>
            </w:pPr>
            <w:r w:rsidRPr="00435769">
              <w:rPr>
                <w:sz w:val="20"/>
                <w:lang w:val="fr-CA"/>
              </w:rPr>
              <w:t>2 avril 2014</w:t>
            </w:r>
          </w:p>
          <w:p w:rsidR="005A6497" w:rsidRPr="00435769" w:rsidRDefault="005A6497" w:rsidP="009C2F30">
            <w:pPr>
              <w:jc w:val="both"/>
              <w:rPr>
                <w:sz w:val="20"/>
                <w:lang w:val="fr-CA"/>
              </w:rPr>
            </w:pPr>
            <w:r w:rsidRPr="00435769">
              <w:rPr>
                <w:sz w:val="20"/>
                <w:lang w:val="fr-CA"/>
              </w:rPr>
              <w:t>Cour d’appel du Nouveau-Brunswick</w:t>
            </w:r>
          </w:p>
          <w:p w:rsidR="005A6497" w:rsidRPr="00435769" w:rsidRDefault="005A6497" w:rsidP="009C2F30">
            <w:pPr>
              <w:jc w:val="both"/>
              <w:rPr>
                <w:sz w:val="20"/>
                <w:lang w:val="fr-CA"/>
              </w:rPr>
            </w:pPr>
            <w:r w:rsidRPr="00435769">
              <w:rPr>
                <w:sz w:val="20"/>
                <w:lang w:val="fr-CA"/>
              </w:rPr>
              <w:t>(Greffier) (Décision non publiée)</w:t>
            </w:r>
          </w:p>
          <w:p w:rsidR="005A6497" w:rsidRPr="00435769" w:rsidRDefault="005A6497" w:rsidP="009C2F30">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Avis d’appel visant le rejet de la motion en habeas corpus qualifiée de procédure pénale</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9C2F30">
            <w:pPr>
              <w:jc w:val="both"/>
              <w:rPr>
                <w:sz w:val="20"/>
                <w:lang w:val="fr-CA"/>
              </w:rPr>
            </w:pPr>
            <w:r w:rsidRPr="00435769">
              <w:rPr>
                <w:sz w:val="20"/>
                <w:lang w:val="fr-CA"/>
              </w:rPr>
              <w:t>13 juin 2016</w:t>
            </w:r>
          </w:p>
          <w:p w:rsidR="005A6497" w:rsidRPr="00435769" w:rsidRDefault="005A6497" w:rsidP="009C2F30">
            <w:pPr>
              <w:jc w:val="both"/>
              <w:rPr>
                <w:sz w:val="20"/>
                <w:lang w:val="fr-CA"/>
              </w:rPr>
            </w:pPr>
            <w:r w:rsidRPr="00435769">
              <w:rPr>
                <w:sz w:val="20"/>
                <w:lang w:val="fr-CA"/>
              </w:rPr>
              <w:t>Cour d’appel du Nouveau-Brunswick</w:t>
            </w:r>
          </w:p>
          <w:p w:rsidR="005A6497" w:rsidRPr="00435769" w:rsidRDefault="005A6497" w:rsidP="009C2F30">
            <w:pPr>
              <w:jc w:val="both"/>
              <w:rPr>
                <w:sz w:val="20"/>
                <w:lang w:val="fr-CA"/>
              </w:rPr>
            </w:pPr>
            <w:r w:rsidRPr="00435769">
              <w:rPr>
                <w:sz w:val="20"/>
                <w:lang w:val="fr-CA"/>
              </w:rPr>
              <w:t>(Juge Green)</w:t>
            </w:r>
          </w:p>
          <w:p w:rsidR="005A6497" w:rsidRPr="00435769" w:rsidRDefault="005A6497" w:rsidP="009C2F30">
            <w:pPr>
              <w:jc w:val="both"/>
              <w:rPr>
                <w:sz w:val="20"/>
                <w:lang w:val="fr-CA"/>
              </w:rPr>
            </w:pPr>
            <w:r w:rsidRPr="00435769">
              <w:rPr>
                <w:sz w:val="20"/>
                <w:lang w:val="fr-CA"/>
              </w:rPr>
              <w:t>39-14-CA (Décision non publiée)</w:t>
            </w:r>
          </w:p>
          <w:p w:rsidR="005A6497" w:rsidRPr="00435769" w:rsidRDefault="005A6497" w:rsidP="009C2F30">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Motion en changement de la désignation accueillie</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9C2F30">
            <w:pPr>
              <w:jc w:val="both"/>
              <w:rPr>
                <w:sz w:val="20"/>
                <w:lang w:val="fr-CA"/>
              </w:rPr>
            </w:pPr>
            <w:r w:rsidRPr="00435769">
              <w:rPr>
                <w:sz w:val="20"/>
                <w:lang w:val="fr-CA"/>
              </w:rPr>
              <w:t>2 septembre 2016</w:t>
            </w:r>
          </w:p>
          <w:p w:rsidR="005A6497" w:rsidRPr="00435769" w:rsidRDefault="005A6497" w:rsidP="009C2F30">
            <w:pPr>
              <w:jc w:val="both"/>
              <w:rPr>
                <w:sz w:val="20"/>
                <w:lang w:val="fr-CA"/>
              </w:rPr>
            </w:pPr>
            <w:r w:rsidRPr="00435769">
              <w:rPr>
                <w:sz w:val="20"/>
                <w:lang w:val="fr-CA"/>
              </w:rPr>
              <w:t>Cour suprême du Canada</w:t>
            </w: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Dépôt d’une demande d’autorisation d’appel et d’une motion en nomination de procureur si l’autorisation d’appel est accueillie</w:t>
            </w:r>
          </w:p>
        </w:tc>
      </w:tr>
    </w:tbl>
    <w:p w:rsidR="005A6497" w:rsidRPr="00435769" w:rsidRDefault="005A6497" w:rsidP="007932B2">
      <w:pPr>
        <w:jc w:val="both"/>
        <w:rPr>
          <w:sz w:val="20"/>
          <w:lang w:val="fr-CA"/>
        </w:rPr>
      </w:pPr>
    </w:p>
    <w:p w:rsidR="008E7E00" w:rsidRPr="00435769" w:rsidRDefault="008E7E00" w:rsidP="007932B2">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rPr>
            </w:pPr>
            <w:r w:rsidRPr="00435769">
              <w:rPr>
                <w:rStyle w:val="SCCFileNumberChar"/>
                <w:sz w:val="20"/>
                <w:szCs w:val="20"/>
              </w:rPr>
              <w:t>37130</w:t>
            </w:r>
          </w:p>
        </w:tc>
        <w:tc>
          <w:tcPr>
            <w:tcW w:w="4457" w:type="pct"/>
            <w:gridSpan w:val="3"/>
          </w:tcPr>
          <w:p w:rsidR="005A6497" w:rsidRPr="00435769" w:rsidRDefault="005A6497" w:rsidP="007932B2">
            <w:pPr>
              <w:pStyle w:val="SCCLsocParty"/>
              <w:jc w:val="both"/>
              <w:rPr>
                <w:b/>
                <w:sz w:val="20"/>
                <w:szCs w:val="20"/>
                <w:lang w:val="en-US"/>
              </w:rPr>
            </w:pPr>
            <w:r w:rsidRPr="00435769">
              <w:rPr>
                <w:b/>
                <w:sz w:val="20"/>
                <w:szCs w:val="20"/>
                <w:lang w:val="en-US"/>
              </w:rPr>
              <w:t>Paul Abi-Mansour v. Chief Executive Officer of Passport Canada</w:t>
            </w:r>
          </w:p>
          <w:p w:rsidR="005A6497" w:rsidRPr="00435769" w:rsidRDefault="005A6497" w:rsidP="007932B2">
            <w:pPr>
              <w:jc w:val="both"/>
              <w:rPr>
                <w:sz w:val="20"/>
              </w:rPr>
            </w:pPr>
            <w:r w:rsidRPr="00435769">
              <w:rPr>
                <w:sz w:val="20"/>
              </w:rPr>
              <w:t>(FC) (Civil) (By Leave)</w:t>
            </w:r>
          </w:p>
        </w:tc>
      </w:tr>
      <w:tr w:rsidR="005A6497" w:rsidRPr="00435769" w:rsidTr="005A6497">
        <w:tc>
          <w:tcPr>
            <w:tcW w:w="5000" w:type="pct"/>
            <w:gridSpan w:val="4"/>
          </w:tcPr>
          <w:p w:rsidR="005A6497" w:rsidRPr="00435769" w:rsidRDefault="005A6497" w:rsidP="007932B2">
            <w:pPr>
              <w:jc w:val="both"/>
              <w:rPr>
                <w:sz w:val="20"/>
              </w:rPr>
            </w:pPr>
            <w:r w:rsidRPr="00435769">
              <w:rPr>
                <w:sz w:val="20"/>
              </w:rPr>
              <w:t xml:space="preserve">Civil Procedure – Case Management – Prothonotary Order – Extensions of Time – Costs – Whether application for leave raises legal issue of public importance – </w:t>
            </w:r>
            <w:r w:rsidRPr="00435769">
              <w:rPr>
                <w:i/>
                <w:sz w:val="20"/>
              </w:rPr>
              <w:t>Federal Courts Rules</w:t>
            </w:r>
            <w:r w:rsidRPr="00435769">
              <w:rPr>
                <w:sz w:val="20"/>
              </w:rPr>
              <w:t>, SOR/98-106.</w:t>
            </w:r>
          </w:p>
        </w:tc>
      </w:tr>
      <w:tr w:rsidR="005A6497" w:rsidRPr="00435769" w:rsidTr="005A6497">
        <w:tc>
          <w:tcPr>
            <w:tcW w:w="5000" w:type="pct"/>
            <w:gridSpan w:val="4"/>
          </w:tcPr>
          <w:p w:rsidR="005A6497" w:rsidRPr="00435769" w:rsidRDefault="005A6497" w:rsidP="007932B2">
            <w:pPr>
              <w:jc w:val="both"/>
              <w:rPr>
                <w:sz w:val="20"/>
              </w:rPr>
            </w:pPr>
          </w:p>
        </w:tc>
      </w:tr>
      <w:tr w:rsidR="005A6497" w:rsidRPr="00435769" w:rsidTr="005A6497">
        <w:tc>
          <w:tcPr>
            <w:tcW w:w="5000" w:type="pct"/>
            <w:gridSpan w:val="4"/>
          </w:tcPr>
          <w:p w:rsidR="005A6497" w:rsidRPr="00435769" w:rsidRDefault="005A6497" w:rsidP="007932B2">
            <w:pPr>
              <w:jc w:val="both"/>
              <w:rPr>
                <w:sz w:val="20"/>
              </w:rPr>
            </w:pPr>
            <w:r w:rsidRPr="00435769">
              <w:rPr>
                <w:sz w:val="20"/>
              </w:rPr>
              <w:t>On August 20, 2014, the Applicant filed before the Federal Court a Notice of Application seeking judicial review of a decision rendered by the Public Service Staffing Tribunal (now called the Public Service Labour Relations and Employment Board) which dismissed his complaint in relation to a staffing process conducted by Passport Canada.</w:t>
            </w:r>
          </w:p>
          <w:p w:rsidR="005A6497" w:rsidRPr="00435769" w:rsidRDefault="005A6497" w:rsidP="007932B2">
            <w:pPr>
              <w:jc w:val="both"/>
              <w:rPr>
                <w:sz w:val="20"/>
              </w:rPr>
            </w:pPr>
          </w:p>
          <w:p w:rsidR="005A6497" w:rsidRPr="00435769" w:rsidRDefault="005A6497" w:rsidP="007932B2">
            <w:pPr>
              <w:jc w:val="both"/>
              <w:rPr>
                <w:sz w:val="20"/>
              </w:rPr>
            </w:pPr>
            <w:r w:rsidRPr="00435769">
              <w:rPr>
                <w:sz w:val="20"/>
              </w:rPr>
              <w:t>The Applicant’s affidavit was to be served and filed by September 19, 2014, and this delay was extended by agreement to October 4, 2014. Ten days later, on October 14, 2014, the Applicant served and filed his affidavit along with a motion for an extension of time within which to serve and file it. In addition, he sought an extension of time to serve and file his record, as well as relief allowing him to file a single copy of his record, instead of the three copies or, in the alternative, granting him a further five months to file his record in order to fund the cost for duplication.</w:t>
            </w:r>
          </w:p>
          <w:p w:rsidR="005A6497" w:rsidRPr="00435769" w:rsidRDefault="005A6497" w:rsidP="007932B2">
            <w:pPr>
              <w:jc w:val="both"/>
              <w:rPr>
                <w:sz w:val="20"/>
              </w:rPr>
            </w:pPr>
          </w:p>
          <w:p w:rsidR="005A6497" w:rsidRPr="00435769" w:rsidRDefault="005A6497" w:rsidP="007932B2">
            <w:pPr>
              <w:jc w:val="both"/>
              <w:rPr>
                <w:sz w:val="20"/>
                <w:lang w:eastAsia="fr-CA"/>
              </w:rPr>
            </w:pPr>
            <w:r w:rsidRPr="00435769">
              <w:rPr>
                <w:sz w:val="20"/>
              </w:rPr>
              <w:t>By order dated November 27, 2014, Prothonotary Tabib of the Federal Court granted an extension of time for the Applicant to serve and file his affidavit, but dismissed the remainder of the motion (the “Order”). In addition, the Order provided for the dismissal of the underlying judicial review application should the Applicant fail to serve and file his application record (a) w</w:t>
            </w:r>
            <w:r w:rsidRPr="00435769">
              <w:rPr>
                <w:sz w:val="20"/>
                <w:lang w:eastAsia="fr-CA"/>
              </w:rPr>
              <w:t xml:space="preserve">ithin the deadlines contemplated by the Federal Court Rules; or (b) within the deadlines as they may have been extended by consent or by order of the Federal Court upon further motion brought prior to the expiration of time and on grounds that have arisen after the date of the Order. </w:t>
            </w:r>
            <w:r w:rsidRPr="00435769">
              <w:rPr>
                <w:sz w:val="20"/>
              </w:rPr>
              <w:t>Prothonotary Tabib also granted costs in favour of the Respondent.</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March 23, 2015</w:t>
            </w:r>
          </w:p>
          <w:p w:rsidR="005A6497" w:rsidRPr="00435769" w:rsidRDefault="005A6497" w:rsidP="007932B2">
            <w:pPr>
              <w:jc w:val="both"/>
              <w:rPr>
                <w:sz w:val="20"/>
              </w:rPr>
            </w:pPr>
            <w:r w:rsidRPr="00435769">
              <w:rPr>
                <w:sz w:val="20"/>
              </w:rPr>
              <w:t>Federal Court</w:t>
            </w:r>
          </w:p>
          <w:p w:rsidR="005A6497" w:rsidRPr="00435769" w:rsidRDefault="005A6497" w:rsidP="007932B2">
            <w:pPr>
              <w:jc w:val="both"/>
              <w:rPr>
                <w:sz w:val="20"/>
              </w:rPr>
            </w:pPr>
            <w:r w:rsidRPr="00435769">
              <w:rPr>
                <w:sz w:val="20"/>
              </w:rPr>
              <w:t>(LeBlanc J.)</w:t>
            </w:r>
          </w:p>
          <w:p w:rsidR="005A6497" w:rsidRPr="00435769" w:rsidRDefault="005A6497" w:rsidP="007932B2">
            <w:pPr>
              <w:jc w:val="both"/>
              <w:rPr>
                <w:sz w:val="20"/>
              </w:rPr>
            </w:pPr>
            <w:r w:rsidRPr="00435769">
              <w:rPr>
                <w:sz w:val="20"/>
              </w:rPr>
              <w:t>File No. T-1787-14</w:t>
            </w:r>
          </w:p>
          <w:p w:rsidR="005A6497" w:rsidRPr="00435769" w:rsidRDefault="00435769" w:rsidP="007932B2">
            <w:pPr>
              <w:jc w:val="both"/>
              <w:rPr>
                <w:rStyle w:val="Hyperlink"/>
                <w:sz w:val="20"/>
              </w:rPr>
            </w:pPr>
            <w:hyperlink r:id="rId113" w:history="1">
              <w:r w:rsidR="005A6497" w:rsidRPr="00435769">
                <w:rPr>
                  <w:rStyle w:val="Hyperlink"/>
                  <w:sz w:val="20"/>
                </w:rPr>
                <w:t>2015 FC 363</w:t>
              </w:r>
            </w:hyperlink>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Appeal dismissed.</w:t>
            </w:r>
          </w:p>
          <w:p w:rsidR="005A6497" w:rsidRPr="00435769" w:rsidRDefault="005A6497" w:rsidP="007932B2">
            <w:pPr>
              <w:jc w:val="both"/>
              <w:rPr>
                <w:sz w:val="20"/>
              </w:rPr>
            </w:pP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January 12, 2016</w:t>
            </w:r>
          </w:p>
          <w:p w:rsidR="005A6497" w:rsidRPr="00435769" w:rsidRDefault="005A6497" w:rsidP="007932B2">
            <w:pPr>
              <w:jc w:val="both"/>
              <w:rPr>
                <w:sz w:val="20"/>
              </w:rPr>
            </w:pPr>
            <w:r w:rsidRPr="00435769">
              <w:rPr>
                <w:sz w:val="20"/>
              </w:rPr>
              <w:t>Federal Court of Appeal</w:t>
            </w:r>
          </w:p>
          <w:p w:rsidR="005A6497" w:rsidRPr="00435769" w:rsidRDefault="005A6497" w:rsidP="007932B2">
            <w:pPr>
              <w:jc w:val="both"/>
              <w:rPr>
                <w:sz w:val="20"/>
              </w:rPr>
            </w:pPr>
            <w:r w:rsidRPr="00435769">
              <w:rPr>
                <w:sz w:val="20"/>
              </w:rPr>
              <w:t>(Trudel, Scott and Gleason JJ.A.)</w:t>
            </w:r>
          </w:p>
          <w:p w:rsidR="005A6497" w:rsidRPr="00435769" w:rsidRDefault="005A6497" w:rsidP="007932B2">
            <w:pPr>
              <w:jc w:val="both"/>
              <w:rPr>
                <w:sz w:val="20"/>
              </w:rPr>
            </w:pPr>
            <w:r w:rsidRPr="00435769">
              <w:rPr>
                <w:sz w:val="20"/>
              </w:rPr>
              <w:lastRenderedPageBreak/>
              <w:t>File No. A-180-15</w:t>
            </w:r>
          </w:p>
          <w:p w:rsidR="005A6497" w:rsidRPr="00435769" w:rsidRDefault="00435769" w:rsidP="007932B2">
            <w:pPr>
              <w:jc w:val="both"/>
              <w:rPr>
                <w:rStyle w:val="Hyperlink"/>
                <w:sz w:val="20"/>
              </w:rPr>
            </w:pPr>
            <w:hyperlink r:id="rId114" w:history="1">
              <w:r w:rsidR="005A6497" w:rsidRPr="00435769">
                <w:rPr>
                  <w:rStyle w:val="Hyperlink"/>
                  <w:sz w:val="20"/>
                </w:rPr>
                <w:t>2016 FCA 5</w:t>
              </w:r>
            </w:hyperlink>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Appeal dismissed.</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August 9, 2016</w:t>
            </w:r>
          </w:p>
          <w:p w:rsidR="005A6497" w:rsidRPr="00435769" w:rsidRDefault="005A6497" w:rsidP="007932B2">
            <w:pPr>
              <w:jc w:val="both"/>
              <w:rPr>
                <w:sz w:val="20"/>
              </w:rPr>
            </w:pPr>
            <w:r w:rsidRPr="00435769">
              <w:rPr>
                <w:sz w:val="20"/>
              </w:rPr>
              <w:t>Supreme Court of Canada</w:t>
            </w: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Motion for extension of time to serve and file application for leave and application for leave to appeal filed.</w:t>
            </w:r>
          </w:p>
        </w:tc>
      </w:tr>
    </w:tbl>
    <w:p w:rsidR="005A6497" w:rsidRPr="00435769" w:rsidRDefault="005A6497" w:rsidP="007932B2">
      <w:pPr>
        <w:jc w:val="both"/>
        <w:rPr>
          <w:sz w:val="20"/>
        </w:rPr>
      </w:pPr>
    </w:p>
    <w:p w:rsidR="009C2F30" w:rsidRPr="00435769" w:rsidRDefault="009C2F30" w:rsidP="007932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lang w:val="fr-CA"/>
              </w:rPr>
            </w:pPr>
            <w:r w:rsidRPr="00435769">
              <w:rPr>
                <w:rStyle w:val="SCCFileNumberChar"/>
                <w:sz w:val="20"/>
                <w:szCs w:val="20"/>
                <w:lang w:val="fr-CA"/>
              </w:rPr>
              <w:t>37130</w:t>
            </w:r>
          </w:p>
        </w:tc>
        <w:tc>
          <w:tcPr>
            <w:tcW w:w="4457" w:type="pct"/>
            <w:gridSpan w:val="3"/>
          </w:tcPr>
          <w:p w:rsidR="005A6497" w:rsidRPr="00435769" w:rsidRDefault="005A6497" w:rsidP="007932B2">
            <w:pPr>
              <w:pStyle w:val="SCCLsocParty"/>
              <w:jc w:val="both"/>
              <w:rPr>
                <w:b/>
                <w:sz w:val="20"/>
                <w:szCs w:val="20"/>
              </w:rPr>
            </w:pPr>
            <w:r w:rsidRPr="00435769">
              <w:rPr>
                <w:b/>
                <w:sz w:val="20"/>
                <w:szCs w:val="20"/>
              </w:rPr>
              <w:t>Paul Abi-Mansour c. Président-directeur général de Passeport Canada</w:t>
            </w:r>
          </w:p>
          <w:p w:rsidR="005A6497" w:rsidRPr="00435769" w:rsidRDefault="005A6497" w:rsidP="007932B2">
            <w:pPr>
              <w:jc w:val="both"/>
              <w:rPr>
                <w:sz w:val="20"/>
                <w:lang w:val="fr-CA"/>
              </w:rPr>
            </w:pPr>
            <w:r w:rsidRPr="00435769">
              <w:rPr>
                <w:sz w:val="20"/>
                <w:lang w:val="fr-CA"/>
              </w:rPr>
              <w:t>(C.F.) (Civile) (Sur autorisation)</w:t>
            </w:r>
          </w:p>
        </w:tc>
      </w:tr>
      <w:tr w:rsidR="005A6497" w:rsidRPr="00435769" w:rsidTr="005A6497">
        <w:tc>
          <w:tcPr>
            <w:tcW w:w="5000" w:type="pct"/>
            <w:gridSpan w:val="4"/>
          </w:tcPr>
          <w:p w:rsidR="005A6497" w:rsidRPr="00435769" w:rsidRDefault="005A6497" w:rsidP="007932B2">
            <w:pPr>
              <w:jc w:val="both"/>
              <w:rPr>
                <w:sz w:val="20"/>
                <w:lang w:val="fr-CA"/>
              </w:rPr>
            </w:pPr>
            <w:r w:rsidRPr="00435769">
              <w:rPr>
                <w:sz w:val="20"/>
                <w:lang w:val="fr-CA"/>
              </w:rPr>
              <w:t xml:space="preserve">Procédure civile – Gestion de l’instance – Ordonnance d’un protonotaire – Prorogations de délai – Dépens – Est-ce que la demande d’autorisation soulève une question de droit d’importance publique? – </w:t>
            </w:r>
            <w:r w:rsidRPr="00435769">
              <w:rPr>
                <w:i/>
                <w:sz w:val="20"/>
                <w:lang w:val="fr-CA"/>
              </w:rPr>
              <w:t>Règles des Cours fédérales</w:t>
            </w:r>
            <w:r w:rsidRPr="00435769">
              <w:rPr>
                <w:sz w:val="20"/>
                <w:lang w:val="fr-CA"/>
              </w:rPr>
              <w:t>, DORS-98/106.</w:t>
            </w:r>
          </w:p>
        </w:tc>
      </w:tr>
      <w:tr w:rsidR="005A6497" w:rsidRPr="00435769" w:rsidTr="005A6497">
        <w:tc>
          <w:tcPr>
            <w:tcW w:w="5000" w:type="pct"/>
            <w:gridSpan w:val="4"/>
          </w:tcPr>
          <w:p w:rsidR="005A6497" w:rsidRPr="00435769" w:rsidRDefault="005A6497" w:rsidP="007932B2">
            <w:pPr>
              <w:jc w:val="both"/>
              <w:rPr>
                <w:sz w:val="20"/>
                <w:lang w:val="fr-CA"/>
              </w:rPr>
            </w:pPr>
          </w:p>
        </w:tc>
      </w:tr>
      <w:tr w:rsidR="005A6497" w:rsidRPr="00435769" w:rsidTr="005A6497">
        <w:tc>
          <w:tcPr>
            <w:tcW w:w="5000" w:type="pct"/>
            <w:gridSpan w:val="4"/>
          </w:tcPr>
          <w:p w:rsidR="005A6497" w:rsidRPr="00435769" w:rsidRDefault="005A6497" w:rsidP="007932B2">
            <w:pPr>
              <w:jc w:val="both"/>
              <w:rPr>
                <w:sz w:val="20"/>
                <w:lang w:val="fr-CA"/>
              </w:rPr>
            </w:pPr>
            <w:r w:rsidRPr="00435769">
              <w:rPr>
                <w:sz w:val="20"/>
                <w:lang w:val="fr-CA"/>
              </w:rPr>
              <w:t>Le 20 août 2014, le demandeur a déposé devant la Cour fédérale un avis de demande par lequel il sollicitait le contrôle judiciaire d’une décision du Tribunal de la dotation de la fonction publique  (maintenant appelé la Commission des relations de travail et de l’emploi dans la fonction publique) rejetant sa plainte relative à un processus de dotation de Passeport Canada.</w:t>
            </w:r>
          </w:p>
          <w:p w:rsidR="005A6497" w:rsidRPr="00435769" w:rsidRDefault="005A6497" w:rsidP="007932B2">
            <w:pPr>
              <w:jc w:val="both"/>
              <w:rPr>
                <w:sz w:val="20"/>
                <w:lang w:val="fr-CA"/>
              </w:rPr>
            </w:pPr>
            <w:r w:rsidRPr="00435769">
              <w:rPr>
                <w:sz w:val="20"/>
                <w:lang w:val="fr-CA"/>
              </w:rPr>
              <w:t xml:space="preserve"> </w:t>
            </w:r>
          </w:p>
          <w:p w:rsidR="005A6497" w:rsidRPr="00435769" w:rsidRDefault="005A6497" w:rsidP="007932B2">
            <w:pPr>
              <w:jc w:val="both"/>
              <w:rPr>
                <w:sz w:val="20"/>
                <w:lang w:val="fr-CA"/>
              </w:rPr>
            </w:pPr>
            <w:r w:rsidRPr="00435769">
              <w:rPr>
                <w:sz w:val="20"/>
                <w:lang w:val="fr-CA"/>
              </w:rPr>
              <w:t>L’affidavit du demandeur devait être signifié et déposé avant le 19 septembre 2014, et ce délai a été prorogé sur consentement au 4 octobre 2014. Dix jours plus tard, soit le 14 octobre 2014, l’affidavit du demandeur et une requête en prorogation du délai de signification et de dépôt prévu pour celui-ci ont été signifiés et déposés. De plus, le demandeur a sollicité une prorogation du délai prévu pour la signification et le dépôt de son dossier, ainsi qu’une exemption lui permettant de déposer une seule copie de son dossier, au lieu de trois copies ou, subsidiairement, lui accordant cinq mois de plus pour déposer son dossier et lui permettre d’épargner les fonds nécessaires pour payer les frais de reproduction.</w:t>
            </w:r>
          </w:p>
          <w:p w:rsidR="005A6497" w:rsidRPr="00435769" w:rsidRDefault="005A6497" w:rsidP="007932B2">
            <w:pPr>
              <w:jc w:val="both"/>
              <w:rPr>
                <w:sz w:val="20"/>
                <w:lang w:val="fr-CA"/>
              </w:rPr>
            </w:pPr>
          </w:p>
          <w:p w:rsidR="005A6497" w:rsidRPr="00435769" w:rsidRDefault="005A6497" w:rsidP="007932B2">
            <w:pPr>
              <w:jc w:val="both"/>
              <w:rPr>
                <w:sz w:val="20"/>
                <w:lang w:val="fr-CA"/>
              </w:rPr>
            </w:pPr>
            <w:r w:rsidRPr="00435769">
              <w:rPr>
                <w:sz w:val="20"/>
                <w:lang w:val="fr-CA"/>
              </w:rPr>
              <w:t xml:space="preserve">Dans une ordonnance datée du 27 novembre 2014, la protonotaire Tabib de la Cour fédérale a prorogé le délai prévu pour la signification et le dépôt de l’affidavit du demandeur, mais elle a rejeté le reste de la requête (l’« ordonnance »). De plus, l’ordonnance prévoyait le rejet de la demande de contrôle judiciaire sous-jacente en cas de défaut du demandeur de signifier et de déposer le dossier de sa demande a) dans les délais prévus par les </w:t>
            </w:r>
            <w:r w:rsidRPr="00435769">
              <w:rPr>
                <w:i/>
                <w:sz w:val="20"/>
                <w:lang w:val="fr-CA"/>
              </w:rPr>
              <w:t>Règles des Cours fédérales</w:t>
            </w:r>
            <w:r w:rsidRPr="00435769">
              <w:rPr>
                <w:sz w:val="20"/>
                <w:lang w:val="fr-CA"/>
              </w:rPr>
              <w:t>; ou b) dans le délai prorogé sur consentement ou par ordonnance de la Cour fédérale dans le cadre d’une nouvelle requête présentée avant l’expiration du délai et pour des faits survenus après la date de l’ordonnance. La protonotaire Tabib a également adjugé les dépens à l’intimé.</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23 mars 2015</w:t>
            </w:r>
          </w:p>
          <w:p w:rsidR="005A6497" w:rsidRPr="00435769" w:rsidRDefault="005A6497" w:rsidP="007932B2">
            <w:pPr>
              <w:jc w:val="both"/>
              <w:rPr>
                <w:sz w:val="20"/>
                <w:lang w:val="fr-CA"/>
              </w:rPr>
            </w:pPr>
            <w:r w:rsidRPr="00435769">
              <w:rPr>
                <w:sz w:val="20"/>
                <w:lang w:val="fr-CA"/>
              </w:rPr>
              <w:t>Cour fédérale</w:t>
            </w:r>
          </w:p>
          <w:p w:rsidR="005A6497" w:rsidRPr="00435769" w:rsidRDefault="005A6497" w:rsidP="007932B2">
            <w:pPr>
              <w:jc w:val="both"/>
              <w:rPr>
                <w:sz w:val="20"/>
                <w:lang w:val="fr-CA"/>
              </w:rPr>
            </w:pPr>
            <w:r w:rsidRPr="00435769">
              <w:rPr>
                <w:sz w:val="20"/>
                <w:lang w:val="fr-CA"/>
              </w:rPr>
              <w:t>(Juge LeBlanc)</w:t>
            </w:r>
          </w:p>
          <w:p w:rsidR="005A6497" w:rsidRPr="00435769" w:rsidRDefault="005A6497" w:rsidP="007932B2">
            <w:pPr>
              <w:jc w:val="both"/>
              <w:rPr>
                <w:sz w:val="20"/>
                <w:lang w:val="fr-CA"/>
              </w:rPr>
            </w:pPr>
            <w:r w:rsidRPr="00435769">
              <w:rPr>
                <w:sz w:val="20"/>
                <w:lang w:val="fr-CA"/>
              </w:rPr>
              <w:t>N</w:t>
            </w:r>
            <w:r w:rsidRPr="00435769">
              <w:rPr>
                <w:sz w:val="20"/>
                <w:vertAlign w:val="superscript"/>
                <w:lang w:val="fr-CA"/>
              </w:rPr>
              <w:t>o</w:t>
            </w:r>
            <w:r w:rsidRPr="00435769">
              <w:rPr>
                <w:sz w:val="20"/>
                <w:lang w:val="fr-CA"/>
              </w:rPr>
              <w:t xml:space="preserve"> du greffe T-1787-14</w:t>
            </w:r>
          </w:p>
          <w:p w:rsidR="005A6497" w:rsidRPr="00435769" w:rsidRDefault="00435769" w:rsidP="007932B2">
            <w:pPr>
              <w:jc w:val="both"/>
              <w:rPr>
                <w:rStyle w:val="Hyperlink"/>
                <w:sz w:val="20"/>
                <w:lang w:val="fr-CA"/>
              </w:rPr>
            </w:pPr>
            <w:hyperlink r:id="rId115" w:history="1">
              <w:r w:rsidR="005A6497" w:rsidRPr="00435769">
                <w:rPr>
                  <w:rStyle w:val="Hyperlink"/>
                  <w:sz w:val="20"/>
                  <w:lang w:val="fr-CA"/>
                </w:rPr>
                <w:t>2015 CF 363</w:t>
              </w:r>
            </w:hyperlink>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Rejet de l’appel</w:t>
            </w:r>
          </w:p>
          <w:p w:rsidR="005A6497" w:rsidRPr="00435769" w:rsidRDefault="005A6497" w:rsidP="007932B2">
            <w:pPr>
              <w:jc w:val="both"/>
              <w:rPr>
                <w:sz w:val="20"/>
                <w:lang w:val="fr-CA"/>
              </w:rPr>
            </w:pP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12 janvier 2016</w:t>
            </w:r>
          </w:p>
          <w:p w:rsidR="005A6497" w:rsidRPr="00435769" w:rsidRDefault="005A6497" w:rsidP="007932B2">
            <w:pPr>
              <w:jc w:val="both"/>
              <w:rPr>
                <w:sz w:val="20"/>
                <w:lang w:val="fr-CA"/>
              </w:rPr>
            </w:pPr>
            <w:r w:rsidRPr="00435769">
              <w:rPr>
                <w:sz w:val="20"/>
                <w:lang w:val="fr-CA"/>
              </w:rPr>
              <w:t>Cour d’appel fédérale</w:t>
            </w:r>
          </w:p>
          <w:p w:rsidR="005A6497" w:rsidRPr="00435769" w:rsidRDefault="005A6497" w:rsidP="007932B2">
            <w:pPr>
              <w:jc w:val="both"/>
              <w:rPr>
                <w:sz w:val="20"/>
                <w:lang w:val="fr-CA"/>
              </w:rPr>
            </w:pPr>
            <w:r w:rsidRPr="00435769">
              <w:rPr>
                <w:sz w:val="20"/>
                <w:lang w:val="fr-CA"/>
              </w:rPr>
              <w:t>(Juges d’appel Trudel, Scott et Gleason)</w:t>
            </w:r>
          </w:p>
          <w:p w:rsidR="005A6497" w:rsidRPr="00435769" w:rsidRDefault="005A6497" w:rsidP="007932B2">
            <w:pPr>
              <w:jc w:val="both"/>
              <w:rPr>
                <w:sz w:val="20"/>
                <w:lang w:val="fr-CA"/>
              </w:rPr>
            </w:pPr>
            <w:r w:rsidRPr="00435769">
              <w:rPr>
                <w:sz w:val="20"/>
                <w:lang w:val="fr-CA"/>
              </w:rPr>
              <w:t>N</w:t>
            </w:r>
            <w:r w:rsidRPr="00435769">
              <w:rPr>
                <w:sz w:val="20"/>
                <w:vertAlign w:val="superscript"/>
                <w:lang w:val="fr-CA"/>
              </w:rPr>
              <w:t>o</w:t>
            </w:r>
            <w:r w:rsidRPr="00435769">
              <w:rPr>
                <w:sz w:val="20"/>
                <w:lang w:val="fr-CA"/>
              </w:rPr>
              <w:t xml:space="preserve"> du greffe A-180-15</w:t>
            </w:r>
          </w:p>
          <w:p w:rsidR="005A6497" w:rsidRPr="00435769" w:rsidRDefault="00435769" w:rsidP="007932B2">
            <w:pPr>
              <w:jc w:val="both"/>
              <w:rPr>
                <w:rStyle w:val="Hyperlink"/>
                <w:sz w:val="20"/>
                <w:lang w:val="fr-CA"/>
              </w:rPr>
            </w:pPr>
            <w:hyperlink r:id="rId116" w:history="1">
              <w:r w:rsidR="005A6497" w:rsidRPr="00435769">
                <w:rPr>
                  <w:rStyle w:val="Hyperlink"/>
                  <w:sz w:val="20"/>
                  <w:lang w:val="fr-CA"/>
                </w:rPr>
                <w:t>2016 CAF 5</w:t>
              </w:r>
            </w:hyperlink>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Rejet de l’appel</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9 août 2016</w:t>
            </w:r>
          </w:p>
          <w:p w:rsidR="005A6497" w:rsidRPr="00435769" w:rsidRDefault="005A6497" w:rsidP="007932B2">
            <w:pPr>
              <w:jc w:val="both"/>
              <w:rPr>
                <w:sz w:val="20"/>
                <w:lang w:val="fr-CA"/>
              </w:rPr>
            </w:pPr>
            <w:r w:rsidRPr="00435769">
              <w:rPr>
                <w:sz w:val="20"/>
                <w:lang w:val="fr-CA"/>
              </w:rPr>
              <w:t>Cour suprême du Canada</w:t>
            </w: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Dépôt d’une requête en prorogation du délai de signification et de dépôt de la demande d’autorisation et d’une demande d’autorisation d’appel</w:t>
            </w:r>
          </w:p>
        </w:tc>
      </w:tr>
    </w:tbl>
    <w:p w:rsidR="005A6497" w:rsidRPr="00435769" w:rsidRDefault="005A6497" w:rsidP="007932B2">
      <w:pPr>
        <w:jc w:val="both"/>
        <w:rPr>
          <w:sz w:val="20"/>
          <w:lang w:val="fr-CA"/>
        </w:rPr>
      </w:pPr>
    </w:p>
    <w:p w:rsidR="008E7E00" w:rsidRPr="00435769" w:rsidRDefault="008E7E00" w:rsidP="007932B2">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rPr>
            </w:pPr>
            <w:r w:rsidRPr="00435769">
              <w:rPr>
                <w:rStyle w:val="SCCFileNumberChar"/>
                <w:sz w:val="20"/>
                <w:szCs w:val="20"/>
              </w:rPr>
              <w:lastRenderedPageBreak/>
              <w:t>37199</w:t>
            </w:r>
          </w:p>
        </w:tc>
        <w:tc>
          <w:tcPr>
            <w:tcW w:w="4457" w:type="pct"/>
            <w:gridSpan w:val="3"/>
          </w:tcPr>
          <w:p w:rsidR="005A6497" w:rsidRPr="00435769" w:rsidRDefault="005A6497" w:rsidP="007932B2">
            <w:pPr>
              <w:pStyle w:val="SCCLsocParty"/>
              <w:jc w:val="both"/>
              <w:rPr>
                <w:b/>
                <w:sz w:val="20"/>
                <w:szCs w:val="20"/>
                <w:lang w:val="en-US"/>
              </w:rPr>
            </w:pPr>
            <w:r w:rsidRPr="00435769">
              <w:rPr>
                <w:b/>
                <w:sz w:val="20"/>
                <w:szCs w:val="20"/>
                <w:lang w:val="en-US"/>
              </w:rPr>
              <w:t>Jaswinder Singh Bagri v. Her Majesty the Queen</w:t>
            </w:r>
          </w:p>
          <w:p w:rsidR="005A6497" w:rsidRPr="00435769" w:rsidRDefault="005A6497" w:rsidP="007932B2">
            <w:pPr>
              <w:jc w:val="both"/>
              <w:rPr>
                <w:sz w:val="20"/>
              </w:rPr>
            </w:pPr>
            <w:r w:rsidRPr="00435769">
              <w:rPr>
                <w:sz w:val="20"/>
              </w:rPr>
              <w:t>(B.C.) (Criminal) (By Leave)</w:t>
            </w:r>
          </w:p>
        </w:tc>
      </w:tr>
      <w:tr w:rsidR="005A6497" w:rsidRPr="00435769" w:rsidTr="005A6497">
        <w:tc>
          <w:tcPr>
            <w:tcW w:w="5000" w:type="pct"/>
            <w:gridSpan w:val="4"/>
          </w:tcPr>
          <w:p w:rsidR="005A6497" w:rsidRPr="00435769" w:rsidRDefault="005A6497" w:rsidP="007932B2">
            <w:pPr>
              <w:jc w:val="both"/>
              <w:rPr>
                <w:sz w:val="20"/>
              </w:rPr>
            </w:pPr>
            <w:r w:rsidRPr="00435769">
              <w:rPr>
                <w:sz w:val="20"/>
              </w:rPr>
              <w:t xml:space="preserve">Criminal law – Offences – Elements of offence – Dangerous driving causing death – Whether it is proper for an appellate court to uphold a conviction for dangerous driving causing death that is based on an incorrect </w:t>
            </w:r>
            <w:r w:rsidRPr="00435769">
              <w:rPr>
                <w:i/>
                <w:sz w:val="20"/>
              </w:rPr>
              <w:t>mens rea</w:t>
            </w:r>
            <w:r w:rsidRPr="00435769">
              <w:rPr>
                <w:sz w:val="20"/>
              </w:rPr>
              <w:t xml:space="preserve"> analysis, by placing excessive weight on the applicant’s speed and failure to stop at a brake-check area?</w:t>
            </w:r>
          </w:p>
        </w:tc>
      </w:tr>
      <w:tr w:rsidR="005A6497" w:rsidRPr="00435769" w:rsidTr="005A6497">
        <w:tc>
          <w:tcPr>
            <w:tcW w:w="5000" w:type="pct"/>
            <w:gridSpan w:val="4"/>
          </w:tcPr>
          <w:p w:rsidR="005A6497" w:rsidRPr="00435769" w:rsidRDefault="005A6497" w:rsidP="007932B2">
            <w:pPr>
              <w:jc w:val="both"/>
              <w:rPr>
                <w:sz w:val="20"/>
              </w:rPr>
            </w:pPr>
          </w:p>
        </w:tc>
      </w:tr>
      <w:tr w:rsidR="005A6497" w:rsidRPr="00435769" w:rsidTr="005A6497">
        <w:tc>
          <w:tcPr>
            <w:tcW w:w="5000" w:type="pct"/>
            <w:gridSpan w:val="4"/>
          </w:tcPr>
          <w:p w:rsidR="005A6497" w:rsidRPr="00435769" w:rsidRDefault="005A6497" w:rsidP="007932B2">
            <w:pPr>
              <w:jc w:val="both"/>
              <w:rPr>
                <w:sz w:val="20"/>
              </w:rPr>
            </w:pPr>
            <w:r w:rsidRPr="00435769">
              <w:rPr>
                <w:iCs/>
                <w:sz w:val="20"/>
              </w:rPr>
              <w:t>The applicant’s tractor-trailer unit jackknifed on a highway and collided with a passenger vehicle killing all of the occupants of that vehicle. The collision occurred on a sharp corner. It was raining and the applicant who was proceeding down a steep grade, drove across a double solid yellow line. The applicant was driving at the posted speed limit, but above the posted advisory limit. The applicant did not stop at the brake-check area for a brake-check to be conducted.</w:t>
            </w:r>
            <w:r w:rsidRPr="00435769">
              <w:rPr>
                <w:sz w:val="20"/>
              </w:rPr>
              <w:t xml:space="preserve"> The applicant was convicted of four counts of dangerous driving causing death. The appeal was dismissed.</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April 28, 2014</w:t>
            </w:r>
          </w:p>
          <w:p w:rsidR="005A6497" w:rsidRPr="00435769" w:rsidRDefault="005A6497" w:rsidP="007932B2">
            <w:pPr>
              <w:jc w:val="both"/>
              <w:rPr>
                <w:sz w:val="20"/>
              </w:rPr>
            </w:pPr>
            <w:r w:rsidRPr="00435769">
              <w:rPr>
                <w:sz w:val="20"/>
              </w:rPr>
              <w:t>Provincial Court of British Columbia</w:t>
            </w:r>
          </w:p>
          <w:p w:rsidR="005A6497" w:rsidRPr="00435769" w:rsidRDefault="005A6497" w:rsidP="007932B2">
            <w:pPr>
              <w:jc w:val="both"/>
              <w:rPr>
                <w:sz w:val="20"/>
              </w:rPr>
            </w:pPr>
            <w:r w:rsidRPr="00435769">
              <w:rPr>
                <w:sz w:val="20"/>
              </w:rPr>
              <w:t>(Sheard P.C.J.)</w:t>
            </w:r>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Conviction: four counts of dangerous driving causing death</w:t>
            </w:r>
          </w:p>
          <w:p w:rsidR="005A6497" w:rsidRPr="00435769" w:rsidRDefault="005A6497" w:rsidP="007932B2">
            <w:pPr>
              <w:jc w:val="both"/>
              <w:rPr>
                <w:sz w:val="20"/>
              </w:rPr>
            </w:pP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June 24, 2016</w:t>
            </w:r>
          </w:p>
          <w:p w:rsidR="005A6497" w:rsidRPr="00435769" w:rsidRDefault="005A6497" w:rsidP="007932B2">
            <w:pPr>
              <w:jc w:val="both"/>
              <w:rPr>
                <w:sz w:val="20"/>
              </w:rPr>
            </w:pPr>
            <w:r w:rsidRPr="00435769">
              <w:rPr>
                <w:sz w:val="20"/>
              </w:rPr>
              <w:t xml:space="preserve">Court of Appeal for British Columbia </w:t>
            </w:r>
          </w:p>
          <w:p w:rsidR="005A6497" w:rsidRPr="00435769" w:rsidRDefault="005A6497" w:rsidP="007932B2">
            <w:pPr>
              <w:jc w:val="both"/>
              <w:rPr>
                <w:sz w:val="20"/>
              </w:rPr>
            </w:pPr>
            <w:r w:rsidRPr="00435769">
              <w:rPr>
                <w:sz w:val="20"/>
              </w:rPr>
              <w:t>(Vancouver)</w:t>
            </w:r>
          </w:p>
          <w:p w:rsidR="005A6497" w:rsidRPr="00435769" w:rsidRDefault="005A6497" w:rsidP="007932B2">
            <w:pPr>
              <w:jc w:val="both"/>
              <w:rPr>
                <w:sz w:val="20"/>
              </w:rPr>
            </w:pPr>
            <w:r w:rsidRPr="00435769">
              <w:rPr>
                <w:sz w:val="20"/>
              </w:rPr>
              <w:t>(Donald, Frankel, Fenlon JJ.A.)</w:t>
            </w:r>
          </w:p>
          <w:p w:rsidR="005A6497" w:rsidRPr="00435769" w:rsidRDefault="005A6497" w:rsidP="007932B2">
            <w:pPr>
              <w:jc w:val="both"/>
              <w:rPr>
                <w:sz w:val="20"/>
              </w:rPr>
            </w:pPr>
            <w:r w:rsidRPr="00435769">
              <w:rPr>
                <w:sz w:val="20"/>
              </w:rPr>
              <w:t>2016 BCCA 272; CA42438</w:t>
            </w:r>
          </w:p>
          <w:p w:rsidR="005A6497" w:rsidRPr="00435769" w:rsidRDefault="00435769" w:rsidP="007932B2">
            <w:pPr>
              <w:jc w:val="both"/>
              <w:rPr>
                <w:sz w:val="20"/>
              </w:rPr>
            </w:pPr>
            <w:hyperlink r:id="rId117" w:history="1">
              <w:r w:rsidR="005A6497" w:rsidRPr="00435769">
                <w:rPr>
                  <w:rStyle w:val="Hyperlink"/>
                  <w:rFonts w:eastAsiaTheme="majorEastAsia"/>
                  <w:sz w:val="20"/>
                </w:rPr>
                <w:t>http://canlii.ca/t/gs811</w:t>
              </w:r>
            </w:hyperlink>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Appeal dismissed</w:t>
            </w: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September 21, 2016</w:t>
            </w:r>
          </w:p>
          <w:p w:rsidR="005A6497" w:rsidRPr="00435769" w:rsidRDefault="005A6497" w:rsidP="007932B2">
            <w:pPr>
              <w:jc w:val="both"/>
              <w:rPr>
                <w:sz w:val="20"/>
              </w:rPr>
            </w:pPr>
            <w:r w:rsidRPr="00435769">
              <w:rPr>
                <w:sz w:val="20"/>
              </w:rPr>
              <w:t>Supreme Court of Canada</w:t>
            </w:r>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Application for leave to appeal filed</w:t>
            </w:r>
          </w:p>
          <w:p w:rsidR="005A6497" w:rsidRPr="00435769" w:rsidRDefault="005A6497" w:rsidP="007932B2">
            <w:pPr>
              <w:jc w:val="both"/>
              <w:rPr>
                <w:sz w:val="20"/>
              </w:rPr>
            </w:pPr>
          </w:p>
          <w:p w:rsidR="005A6497" w:rsidRPr="00435769" w:rsidRDefault="005A6497" w:rsidP="007932B2">
            <w:pPr>
              <w:jc w:val="both"/>
              <w:rPr>
                <w:sz w:val="20"/>
              </w:rPr>
            </w:pPr>
          </w:p>
        </w:tc>
      </w:tr>
      <w:tr w:rsidR="005A6497" w:rsidRPr="00435769" w:rsidTr="005A6497">
        <w:tc>
          <w:tcPr>
            <w:tcW w:w="2427" w:type="pct"/>
            <w:gridSpan w:val="2"/>
          </w:tcPr>
          <w:p w:rsidR="005A6497" w:rsidRPr="00435769" w:rsidRDefault="005A6497" w:rsidP="007932B2">
            <w:pPr>
              <w:jc w:val="both"/>
              <w:rPr>
                <w:sz w:val="20"/>
              </w:rPr>
            </w:pPr>
            <w:r w:rsidRPr="00435769">
              <w:rPr>
                <w:sz w:val="20"/>
              </w:rPr>
              <w:t>October 13, 2016</w:t>
            </w:r>
          </w:p>
          <w:p w:rsidR="005A6497" w:rsidRPr="00435769" w:rsidRDefault="005A6497" w:rsidP="007932B2">
            <w:pPr>
              <w:jc w:val="both"/>
              <w:rPr>
                <w:sz w:val="20"/>
              </w:rPr>
            </w:pPr>
            <w:r w:rsidRPr="00435769">
              <w:rPr>
                <w:sz w:val="20"/>
              </w:rPr>
              <w:t>Supreme Court of Canada</w:t>
            </w: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rPr>
            </w:pPr>
            <w:r w:rsidRPr="00435769">
              <w:rPr>
                <w:sz w:val="20"/>
              </w:rPr>
              <w:t>Motion for an extension of time to serve and file the application for leave to appeal filed</w:t>
            </w:r>
          </w:p>
        </w:tc>
      </w:tr>
    </w:tbl>
    <w:p w:rsidR="005A6497" w:rsidRPr="00435769" w:rsidRDefault="005A6497" w:rsidP="007932B2">
      <w:pPr>
        <w:jc w:val="both"/>
        <w:rPr>
          <w:sz w:val="20"/>
        </w:rPr>
      </w:pPr>
    </w:p>
    <w:p w:rsidR="009C2F30" w:rsidRPr="00435769" w:rsidRDefault="009C2F30" w:rsidP="007932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6497" w:rsidRPr="00435769" w:rsidTr="005A6497">
        <w:tc>
          <w:tcPr>
            <w:tcW w:w="543" w:type="pct"/>
          </w:tcPr>
          <w:p w:rsidR="005A6497" w:rsidRPr="00435769" w:rsidRDefault="005A6497" w:rsidP="007932B2">
            <w:pPr>
              <w:jc w:val="both"/>
              <w:rPr>
                <w:sz w:val="20"/>
                <w:lang w:val="fr-CA"/>
              </w:rPr>
            </w:pPr>
            <w:r w:rsidRPr="00435769">
              <w:rPr>
                <w:rStyle w:val="SCCFileNumberChar"/>
                <w:sz w:val="20"/>
                <w:szCs w:val="20"/>
                <w:lang w:val="fr-CA"/>
              </w:rPr>
              <w:t>37199</w:t>
            </w:r>
          </w:p>
        </w:tc>
        <w:tc>
          <w:tcPr>
            <w:tcW w:w="4457" w:type="pct"/>
            <w:gridSpan w:val="3"/>
          </w:tcPr>
          <w:p w:rsidR="005A6497" w:rsidRPr="00435769" w:rsidRDefault="005A6497" w:rsidP="007932B2">
            <w:pPr>
              <w:pStyle w:val="SCCLsocParty"/>
              <w:jc w:val="both"/>
              <w:rPr>
                <w:b/>
                <w:sz w:val="20"/>
                <w:szCs w:val="20"/>
              </w:rPr>
            </w:pPr>
            <w:r w:rsidRPr="00435769">
              <w:rPr>
                <w:b/>
                <w:sz w:val="20"/>
                <w:szCs w:val="20"/>
              </w:rPr>
              <w:t>Jaswinder Singh Bagri c. Sa Majesté la Reine</w:t>
            </w:r>
          </w:p>
          <w:p w:rsidR="005A6497" w:rsidRPr="00435769" w:rsidRDefault="005A6497" w:rsidP="007932B2">
            <w:pPr>
              <w:jc w:val="both"/>
              <w:rPr>
                <w:sz w:val="20"/>
                <w:lang w:val="fr-CA"/>
              </w:rPr>
            </w:pPr>
            <w:r w:rsidRPr="00435769">
              <w:rPr>
                <w:sz w:val="20"/>
                <w:lang w:val="fr-CA"/>
              </w:rPr>
              <w:t>(C.-B.) (Criminelle) (Sur autorisation)</w:t>
            </w:r>
          </w:p>
        </w:tc>
      </w:tr>
      <w:tr w:rsidR="005A6497" w:rsidRPr="00435769" w:rsidTr="005A6497">
        <w:tc>
          <w:tcPr>
            <w:tcW w:w="5000" w:type="pct"/>
            <w:gridSpan w:val="4"/>
          </w:tcPr>
          <w:p w:rsidR="005A6497" w:rsidRPr="00435769" w:rsidRDefault="005A6497" w:rsidP="007932B2">
            <w:pPr>
              <w:jc w:val="both"/>
              <w:rPr>
                <w:sz w:val="20"/>
                <w:lang w:val="fr-CA"/>
              </w:rPr>
            </w:pPr>
            <w:r w:rsidRPr="00435769">
              <w:rPr>
                <w:sz w:val="20"/>
                <w:lang w:val="fr-CA"/>
              </w:rPr>
              <w:t xml:space="preserve">Droit criminel – Infractions – Éléments de l’infraction – Conduite dangereuse ayant causé la mort – Une cour d’appel peut-elle, à bon droit, confirmer une condamnation pour conduite dangereuse ayant causé la mort fondée sur une analyse erronée de la </w:t>
            </w:r>
            <w:r w:rsidRPr="00435769">
              <w:rPr>
                <w:i/>
                <w:sz w:val="20"/>
                <w:lang w:val="fr-CA"/>
              </w:rPr>
              <w:t>mens rea</w:t>
            </w:r>
            <w:r w:rsidRPr="00435769">
              <w:rPr>
                <w:sz w:val="20"/>
                <w:lang w:val="fr-CA"/>
              </w:rPr>
              <w:t>, accordant un poids excessif à la vitesse de conduite du demandeur et au fait qu’il a omis de s’arrêter dans une zone de vérification des freins?</w:t>
            </w:r>
          </w:p>
        </w:tc>
      </w:tr>
      <w:tr w:rsidR="005A6497" w:rsidRPr="00435769" w:rsidTr="005A6497">
        <w:tc>
          <w:tcPr>
            <w:tcW w:w="5000" w:type="pct"/>
            <w:gridSpan w:val="4"/>
          </w:tcPr>
          <w:p w:rsidR="005A6497" w:rsidRPr="00435769" w:rsidRDefault="005A6497" w:rsidP="007932B2">
            <w:pPr>
              <w:jc w:val="both"/>
              <w:rPr>
                <w:sz w:val="20"/>
                <w:lang w:val="fr-CA"/>
              </w:rPr>
            </w:pPr>
          </w:p>
        </w:tc>
      </w:tr>
      <w:tr w:rsidR="005A6497" w:rsidRPr="00435769" w:rsidTr="005A6497">
        <w:tc>
          <w:tcPr>
            <w:tcW w:w="5000" w:type="pct"/>
            <w:gridSpan w:val="4"/>
          </w:tcPr>
          <w:p w:rsidR="005A6497" w:rsidRPr="00435769" w:rsidRDefault="005A6497" w:rsidP="007932B2">
            <w:pPr>
              <w:jc w:val="both"/>
              <w:rPr>
                <w:iCs/>
                <w:sz w:val="20"/>
                <w:lang w:val="fr-CA"/>
              </w:rPr>
            </w:pPr>
            <w:r w:rsidRPr="00435769">
              <w:rPr>
                <w:iCs/>
                <w:sz w:val="20"/>
                <w:lang w:val="fr-CA"/>
              </w:rPr>
              <w:t>La semi-remorque du demandeur s’est mise en portefeuille sur l’autoroute et est entrée en collision avec un véhicule de passagers, causant ainsi le décès de tous les occupants de ce véhicule. La collision a eu lieu dans une courbe prononcée. Il pleuvait et le demandeur, alors qu’il s’engageait dans une pente abrupte, a traversé la ligne jaune double continue. Le demandeur conduisait à la limite permise, mais au-dessus de la limite conseillée. Le demandeur ne s’est pas arrêté à la zone de vérification des freins pour vérifier les freins de sa semi-remorque. Le demandeur a été déclaré coupable de quatre chefs d’accusation de conduite dangereuse causant la mort. L’appel a été rejeté.</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28 avril 2014</w:t>
            </w:r>
          </w:p>
          <w:p w:rsidR="005A6497" w:rsidRPr="00435769" w:rsidRDefault="005A6497" w:rsidP="007932B2">
            <w:pPr>
              <w:jc w:val="both"/>
              <w:rPr>
                <w:sz w:val="20"/>
                <w:lang w:val="fr-CA"/>
              </w:rPr>
            </w:pPr>
            <w:r w:rsidRPr="00435769">
              <w:rPr>
                <w:sz w:val="20"/>
                <w:lang w:val="fr-CA"/>
              </w:rPr>
              <w:t>Cour provinciale de la Colombie-Britannique</w:t>
            </w:r>
          </w:p>
          <w:p w:rsidR="005A6497" w:rsidRPr="00435769" w:rsidRDefault="005A6497" w:rsidP="007932B2">
            <w:pPr>
              <w:jc w:val="both"/>
              <w:rPr>
                <w:sz w:val="20"/>
                <w:lang w:val="fr-CA"/>
              </w:rPr>
            </w:pPr>
            <w:r w:rsidRPr="00435769">
              <w:rPr>
                <w:sz w:val="20"/>
                <w:lang w:val="fr-CA"/>
              </w:rPr>
              <w:t>(Juge Sheard)</w:t>
            </w:r>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Condamnation : quatre chefs d’accusation de conduite dangereuse causant la mort</w:t>
            </w:r>
          </w:p>
          <w:p w:rsidR="005A6497" w:rsidRPr="00435769" w:rsidRDefault="005A6497" w:rsidP="007932B2">
            <w:pPr>
              <w:jc w:val="both"/>
              <w:rPr>
                <w:sz w:val="20"/>
                <w:lang w:val="fr-CA"/>
              </w:rPr>
            </w:pP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24 juin 2016</w:t>
            </w:r>
          </w:p>
          <w:p w:rsidR="005A6497" w:rsidRPr="00435769" w:rsidRDefault="005A6497" w:rsidP="007932B2">
            <w:pPr>
              <w:jc w:val="both"/>
              <w:rPr>
                <w:sz w:val="20"/>
                <w:lang w:val="fr-CA"/>
              </w:rPr>
            </w:pPr>
            <w:r w:rsidRPr="00435769">
              <w:rPr>
                <w:sz w:val="20"/>
                <w:lang w:val="fr-CA"/>
              </w:rPr>
              <w:lastRenderedPageBreak/>
              <w:t>Cour d’appel de la Colombie-Britannique</w:t>
            </w:r>
          </w:p>
          <w:p w:rsidR="005A6497" w:rsidRPr="00435769" w:rsidRDefault="005A6497" w:rsidP="007932B2">
            <w:pPr>
              <w:jc w:val="both"/>
              <w:rPr>
                <w:sz w:val="20"/>
                <w:lang w:val="fr-CA"/>
              </w:rPr>
            </w:pPr>
            <w:r w:rsidRPr="00435769">
              <w:rPr>
                <w:sz w:val="20"/>
                <w:lang w:val="fr-CA"/>
              </w:rPr>
              <w:t>(Vancouver)</w:t>
            </w:r>
          </w:p>
          <w:p w:rsidR="005A6497" w:rsidRPr="00435769" w:rsidRDefault="005A6497" w:rsidP="007932B2">
            <w:pPr>
              <w:jc w:val="both"/>
              <w:rPr>
                <w:sz w:val="20"/>
                <w:lang w:val="fr-CA"/>
              </w:rPr>
            </w:pPr>
            <w:r w:rsidRPr="00435769">
              <w:rPr>
                <w:sz w:val="20"/>
                <w:lang w:val="fr-CA"/>
              </w:rPr>
              <w:t>(Juges d’appel Donald, Frankel, Fenlon)</w:t>
            </w:r>
          </w:p>
          <w:p w:rsidR="005A6497" w:rsidRPr="00435769" w:rsidRDefault="005A6497" w:rsidP="007932B2">
            <w:pPr>
              <w:jc w:val="both"/>
              <w:rPr>
                <w:sz w:val="20"/>
              </w:rPr>
            </w:pPr>
            <w:r w:rsidRPr="00435769">
              <w:rPr>
                <w:sz w:val="20"/>
              </w:rPr>
              <w:t>2016 BCCA 272; CA42438</w:t>
            </w:r>
          </w:p>
          <w:p w:rsidR="005A6497" w:rsidRPr="00435769" w:rsidRDefault="00435769" w:rsidP="007932B2">
            <w:pPr>
              <w:jc w:val="both"/>
              <w:rPr>
                <w:sz w:val="20"/>
              </w:rPr>
            </w:pPr>
            <w:hyperlink r:id="rId118" w:history="1">
              <w:r w:rsidR="005A6497" w:rsidRPr="00435769">
                <w:rPr>
                  <w:rStyle w:val="Hyperlink"/>
                  <w:rFonts w:eastAsiaTheme="majorEastAsia"/>
                  <w:sz w:val="20"/>
                </w:rPr>
                <w:t>http://canlii.ca/t/gs811</w:t>
              </w:r>
            </w:hyperlink>
          </w:p>
          <w:p w:rsidR="005A6497" w:rsidRPr="00435769" w:rsidRDefault="005A6497" w:rsidP="007932B2">
            <w:pPr>
              <w:jc w:val="both"/>
              <w:rPr>
                <w:sz w:val="20"/>
              </w:rPr>
            </w:pPr>
          </w:p>
        </w:tc>
        <w:tc>
          <w:tcPr>
            <w:tcW w:w="243" w:type="pct"/>
          </w:tcPr>
          <w:p w:rsidR="005A6497" w:rsidRPr="00435769" w:rsidRDefault="005A6497" w:rsidP="007932B2">
            <w:pPr>
              <w:jc w:val="both"/>
              <w:rPr>
                <w:sz w:val="20"/>
              </w:rPr>
            </w:pPr>
          </w:p>
        </w:tc>
        <w:tc>
          <w:tcPr>
            <w:tcW w:w="2330" w:type="pct"/>
          </w:tcPr>
          <w:p w:rsidR="005A6497" w:rsidRPr="00435769" w:rsidRDefault="005A6497" w:rsidP="007932B2">
            <w:pPr>
              <w:jc w:val="both"/>
              <w:rPr>
                <w:sz w:val="20"/>
                <w:lang w:val="fr-CA"/>
              </w:rPr>
            </w:pPr>
            <w:r w:rsidRPr="00435769">
              <w:rPr>
                <w:sz w:val="20"/>
                <w:lang w:val="fr-CA"/>
              </w:rPr>
              <w:t xml:space="preserve">Rejet de l’appel </w:t>
            </w: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lastRenderedPageBreak/>
              <w:t>21 septembre 2016</w:t>
            </w:r>
          </w:p>
          <w:p w:rsidR="005A6497" w:rsidRPr="00435769" w:rsidRDefault="005A6497" w:rsidP="007932B2">
            <w:pPr>
              <w:jc w:val="both"/>
              <w:rPr>
                <w:sz w:val="20"/>
                <w:lang w:val="fr-CA"/>
              </w:rPr>
            </w:pPr>
            <w:r w:rsidRPr="00435769">
              <w:rPr>
                <w:sz w:val="20"/>
                <w:lang w:val="fr-CA"/>
              </w:rPr>
              <w:t>Cour suprême du Canada</w:t>
            </w:r>
          </w:p>
          <w:p w:rsidR="005A6497" w:rsidRPr="00435769" w:rsidRDefault="005A6497" w:rsidP="007932B2">
            <w:pPr>
              <w:jc w:val="both"/>
              <w:rPr>
                <w:sz w:val="20"/>
                <w:lang w:val="fr-CA"/>
              </w:rPr>
            </w:pP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 xml:space="preserve">Dépôt d’une demande d’autorisation d’appel </w:t>
            </w:r>
          </w:p>
          <w:p w:rsidR="005A6497" w:rsidRPr="00435769" w:rsidRDefault="005A6497" w:rsidP="007932B2">
            <w:pPr>
              <w:jc w:val="both"/>
              <w:rPr>
                <w:sz w:val="20"/>
                <w:lang w:val="fr-CA"/>
              </w:rPr>
            </w:pPr>
          </w:p>
          <w:p w:rsidR="005A6497" w:rsidRPr="00435769" w:rsidRDefault="005A6497" w:rsidP="007932B2">
            <w:pPr>
              <w:jc w:val="both"/>
              <w:rPr>
                <w:sz w:val="20"/>
                <w:lang w:val="fr-CA"/>
              </w:rPr>
            </w:pPr>
          </w:p>
        </w:tc>
      </w:tr>
      <w:tr w:rsidR="005A6497" w:rsidRPr="00435769" w:rsidTr="005A6497">
        <w:tc>
          <w:tcPr>
            <w:tcW w:w="2427" w:type="pct"/>
            <w:gridSpan w:val="2"/>
          </w:tcPr>
          <w:p w:rsidR="005A6497" w:rsidRPr="00435769" w:rsidRDefault="005A6497" w:rsidP="007932B2">
            <w:pPr>
              <w:jc w:val="both"/>
              <w:rPr>
                <w:sz w:val="20"/>
                <w:lang w:val="fr-CA"/>
              </w:rPr>
            </w:pPr>
            <w:r w:rsidRPr="00435769">
              <w:rPr>
                <w:sz w:val="20"/>
                <w:lang w:val="fr-CA"/>
              </w:rPr>
              <w:t>13 octobre 2016</w:t>
            </w:r>
          </w:p>
          <w:p w:rsidR="005A6497" w:rsidRPr="00435769" w:rsidRDefault="005A6497" w:rsidP="007932B2">
            <w:pPr>
              <w:jc w:val="both"/>
              <w:rPr>
                <w:sz w:val="20"/>
                <w:lang w:val="fr-CA"/>
              </w:rPr>
            </w:pPr>
            <w:r w:rsidRPr="00435769">
              <w:rPr>
                <w:sz w:val="20"/>
                <w:lang w:val="fr-CA"/>
              </w:rPr>
              <w:t>Cour suprême du Canada</w:t>
            </w:r>
          </w:p>
        </w:tc>
        <w:tc>
          <w:tcPr>
            <w:tcW w:w="243" w:type="pct"/>
          </w:tcPr>
          <w:p w:rsidR="005A6497" w:rsidRPr="00435769" w:rsidRDefault="005A6497" w:rsidP="007932B2">
            <w:pPr>
              <w:jc w:val="both"/>
              <w:rPr>
                <w:sz w:val="20"/>
                <w:lang w:val="fr-CA"/>
              </w:rPr>
            </w:pPr>
          </w:p>
        </w:tc>
        <w:tc>
          <w:tcPr>
            <w:tcW w:w="2330" w:type="pct"/>
          </w:tcPr>
          <w:p w:rsidR="005A6497" w:rsidRPr="00435769" w:rsidRDefault="005A6497" w:rsidP="007932B2">
            <w:pPr>
              <w:jc w:val="both"/>
              <w:rPr>
                <w:sz w:val="20"/>
                <w:lang w:val="fr-CA"/>
              </w:rPr>
            </w:pPr>
            <w:r w:rsidRPr="00435769">
              <w:rPr>
                <w:sz w:val="20"/>
                <w:lang w:val="fr-CA"/>
              </w:rPr>
              <w:t>Dépôt d’une requête en prorogation du délai de signification et de dépôt de la demande d’autorisation d’appel</w:t>
            </w:r>
          </w:p>
        </w:tc>
      </w:tr>
    </w:tbl>
    <w:p w:rsidR="005A6497" w:rsidRPr="00435769" w:rsidRDefault="005A6497" w:rsidP="007932B2">
      <w:pPr>
        <w:jc w:val="both"/>
        <w:rPr>
          <w:sz w:val="20"/>
          <w:lang w:val="fr-CA"/>
        </w:rPr>
      </w:pPr>
    </w:p>
    <w:p w:rsidR="008E7E00" w:rsidRPr="00435769" w:rsidRDefault="008E7E00" w:rsidP="007932B2">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5A6497" w:rsidRPr="00435769" w:rsidTr="005A6497">
        <w:tc>
          <w:tcPr>
            <w:tcW w:w="543" w:type="pct"/>
          </w:tcPr>
          <w:p w:rsidR="005A6497" w:rsidRPr="00435769" w:rsidRDefault="005A6497" w:rsidP="007932B2">
            <w:pPr>
              <w:jc w:val="both"/>
              <w:rPr>
                <w:sz w:val="20"/>
              </w:rPr>
            </w:pPr>
            <w:r w:rsidRPr="00435769">
              <w:rPr>
                <w:rStyle w:val="SCCFileNumberChar"/>
                <w:sz w:val="20"/>
                <w:szCs w:val="20"/>
              </w:rPr>
              <w:t>37122</w:t>
            </w:r>
          </w:p>
        </w:tc>
        <w:tc>
          <w:tcPr>
            <w:tcW w:w="4457" w:type="pct"/>
          </w:tcPr>
          <w:p w:rsidR="005A6497" w:rsidRPr="00435769" w:rsidRDefault="005A6497" w:rsidP="007932B2">
            <w:pPr>
              <w:pStyle w:val="SCCLsocParty"/>
              <w:jc w:val="both"/>
              <w:rPr>
                <w:b/>
                <w:sz w:val="20"/>
                <w:szCs w:val="20"/>
                <w:lang w:val="en-US"/>
              </w:rPr>
            </w:pPr>
            <w:r w:rsidRPr="00435769">
              <w:rPr>
                <w:b/>
                <w:sz w:val="20"/>
                <w:szCs w:val="20"/>
                <w:lang w:val="en-US"/>
              </w:rPr>
              <w:t>Yasmen Al Atawnah, Diana Elatawna, Karam Elatawna, Retal Aisha Elatawna v. Minister of Public Safety and Emergency Preparedness, Minister of Citizenship and Immigration</w:t>
            </w:r>
          </w:p>
          <w:p w:rsidR="005A6497" w:rsidRPr="00435769" w:rsidRDefault="005A6497" w:rsidP="007932B2">
            <w:pPr>
              <w:jc w:val="both"/>
              <w:rPr>
                <w:sz w:val="20"/>
              </w:rPr>
            </w:pPr>
            <w:r w:rsidRPr="00435769">
              <w:rPr>
                <w:sz w:val="20"/>
              </w:rPr>
              <w:t>(FC) (Civil) (By Leave)</w:t>
            </w:r>
          </w:p>
        </w:tc>
      </w:tr>
      <w:tr w:rsidR="005A6497" w:rsidRPr="00435769" w:rsidTr="005A6497">
        <w:tc>
          <w:tcPr>
            <w:tcW w:w="5000" w:type="pct"/>
            <w:gridSpan w:val="2"/>
          </w:tcPr>
          <w:p w:rsidR="005A6497" w:rsidRPr="00435769" w:rsidRDefault="005A6497" w:rsidP="007932B2">
            <w:pPr>
              <w:jc w:val="both"/>
              <w:rPr>
                <w:sz w:val="20"/>
              </w:rPr>
            </w:pPr>
            <w:r w:rsidRPr="00435769">
              <w:rPr>
                <w:i/>
                <w:sz w:val="20"/>
              </w:rPr>
              <w:t>Charter of Rights</w:t>
            </w:r>
            <w:r w:rsidRPr="00435769">
              <w:rPr>
                <w:sz w:val="20"/>
              </w:rPr>
              <w:t xml:space="preserve"> – Constitutional Law – Principles of fundamental justice – Immigration and refugees – Pre-removal risk assessment – Whether the prohibition against applying for a pre-removal risk assessment until 36 months after a claim for refugee protection is declared abandoned, as provided by s. 112 (2)(b.1) of the </w:t>
            </w:r>
            <w:r w:rsidRPr="00435769">
              <w:rPr>
                <w:i/>
                <w:sz w:val="20"/>
              </w:rPr>
              <w:t>Immigration and</w:t>
            </w:r>
            <w:r w:rsidRPr="00435769">
              <w:rPr>
                <w:sz w:val="20"/>
              </w:rPr>
              <w:t xml:space="preserve"> </w:t>
            </w:r>
            <w:r w:rsidRPr="00435769">
              <w:rPr>
                <w:i/>
                <w:sz w:val="20"/>
              </w:rPr>
              <w:t>Refugee Protection Act</w:t>
            </w:r>
            <w:r w:rsidRPr="00435769">
              <w:rPr>
                <w:sz w:val="20"/>
              </w:rPr>
              <w:t xml:space="preserve">, violates s. 7 of the </w:t>
            </w:r>
            <w:r w:rsidRPr="00435769">
              <w:rPr>
                <w:i/>
                <w:sz w:val="20"/>
              </w:rPr>
              <w:t>Charter</w:t>
            </w:r>
            <w:r w:rsidRPr="00435769">
              <w:rPr>
                <w:sz w:val="20"/>
              </w:rPr>
              <w:t xml:space="preserve"> – </w:t>
            </w:r>
            <w:r w:rsidRPr="00435769">
              <w:rPr>
                <w:i/>
                <w:sz w:val="20"/>
              </w:rPr>
              <w:t>Canadian Charter of Rights and Freedoms</w:t>
            </w:r>
            <w:r w:rsidRPr="00435769">
              <w:rPr>
                <w:sz w:val="20"/>
              </w:rPr>
              <w:t xml:space="preserve">, s. 7 – </w:t>
            </w:r>
            <w:r w:rsidRPr="00435769">
              <w:rPr>
                <w:i/>
                <w:sz w:val="20"/>
              </w:rPr>
              <w:t>Immigration and</w:t>
            </w:r>
            <w:r w:rsidRPr="00435769">
              <w:rPr>
                <w:sz w:val="20"/>
              </w:rPr>
              <w:t xml:space="preserve"> </w:t>
            </w:r>
            <w:r w:rsidRPr="00435769">
              <w:rPr>
                <w:i/>
                <w:sz w:val="20"/>
              </w:rPr>
              <w:t>Refugee Protection Act</w:t>
            </w:r>
            <w:r w:rsidRPr="00435769">
              <w:rPr>
                <w:sz w:val="20"/>
              </w:rPr>
              <w:t>, S.C. 2001, c. 27, s. 112 (2)(b.1).</w:t>
            </w:r>
          </w:p>
        </w:tc>
      </w:tr>
      <w:tr w:rsidR="005A6497" w:rsidRPr="00435769" w:rsidTr="005A6497">
        <w:tc>
          <w:tcPr>
            <w:tcW w:w="5000" w:type="pct"/>
            <w:gridSpan w:val="2"/>
          </w:tcPr>
          <w:p w:rsidR="005A6497" w:rsidRPr="00435769" w:rsidRDefault="005A6497" w:rsidP="007932B2">
            <w:pPr>
              <w:jc w:val="both"/>
              <w:rPr>
                <w:sz w:val="20"/>
              </w:rPr>
            </w:pPr>
          </w:p>
        </w:tc>
      </w:tr>
      <w:tr w:rsidR="005A6497" w:rsidRPr="00435769" w:rsidTr="005A6497">
        <w:tc>
          <w:tcPr>
            <w:tcW w:w="5000" w:type="pct"/>
            <w:gridSpan w:val="2"/>
          </w:tcPr>
          <w:p w:rsidR="005A6497" w:rsidRPr="00435769" w:rsidRDefault="005A6497" w:rsidP="007932B2">
            <w:pPr>
              <w:jc w:val="both"/>
              <w:rPr>
                <w:sz w:val="20"/>
              </w:rPr>
            </w:pPr>
            <w:r w:rsidRPr="00435769">
              <w:rPr>
                <w:sz w:val="20"/>
              </w:rPr>
              <w:t xml:space="preserve">The applicants are citizens of Israel who sought refugee protection in Canada. Their refugee claims were never decided on their merits because the Refugee Protection Division of the Immigration and Refugee Board declared their claims to be abandoned. As a result of that declaration, the applicants were unable to obtain a pre-removal risk assessment (“PRRA”) before being removed from Canada; s. 112 (2)(b.1) of the </w:t>
            </w:r>
            <w:r w:rsidRPr="00435769">
              <w:rPr>
                <w:i/>
                <w:sz w:val="20"/>
              </w:rPr>
              <w:t>Immigration and Refugee Protection Act</w:t>
            </w:r>
            <w:r w:rsidRPr="00435769">
              <w:rPr>
                <w:sz w:val="20"/>
              </w:rPr>
              <w:t xml:space="preserve">, S.C. 2001, c. 27 (“IRPA” or “the Act”) precludes access to the PRRA process by individuals from designated countries of origin who have abandoned their refugee claim until 36 months have  passed since the date the refugee claim is declared to be abandoned. The applicants brought an application in the Federal Court for declaratory relief, arguing that both their removal from Canada without a full risk assessment being conducted by a competent decision-maker in accordance with the principles of fundamental justice, as well as s. 112 (2)(b.1) of the Act, were a violation of the rights guaranteed to them by s. 7 of the </w:t>
            </w:r>
            <w:r w:rsidRPr="00435769">
              <w:rPr>
                <w:i/>
                <w:sz w:val="20"/>
              </w:rPr>
              <w:t>Canadian Charter of Rights and Freedoms</w:t>
            </w:r>
            <w:r w:rsidRPr="00435769">
              <w:rPr>
                <w:sz w:val="20"/>
              </w:rPr>
              <w:t xml:space="preserve">. They also sought a writ of </w:t>
            </w:r>
            <w:r w:rsidRPr="00435769">
              <w:rPr>
                <w:i/>
                <w:sz w:val="20"/>
              </w:rPr>
              <w:t>mandamus</w:t>
            </w:r>
            <w:r w:rsidRPr="00435769">
              <w:rPr>
                <w:sz w:val="20"/>
              </w:rPr>
              <w:t xml:space="preserve"> to compel the Minister to return them to Canada at the respondents’ expense.</w:t>
            </w:r>
          </w:p>
          <w:p w:rsidR="005A6497" w:rsidRPr="00435769" w:rsidRDefault="005A6497" w:rsidP="007932B2">
            <w:pPr>
              <w:jc w:val="both"/>
              <w:rPr>
                <w:sz w:val="20"/>
              </w:rPr>
            </w:pPr>
          </w:p>
          <w:p w:rsidR="005A6497" w:rsidRPr="00435769" w:rsidRDefault="005A6497" w:rsidP="007932B2">
            <w:pPr>
              <w:jc w:val="both"/>
              <w:rPr>
                <w:sz w:val="20"/>
              </w:rPr>
            </w:pPr>
            <w:r w:rsidRPr="00435769">
              <w:rPr>
                <w:sz w:val="20"/>
              </w:rPr>
              <w:t>The Federal Court dismissed the applicants’ application, finding that the legislation was neither arbitrary, overbroad, nor grossly disproportionate. The Federal Court of Appeal unanimously dismissed the applicants’ appeal, finding that the judge below had made no errors.</w:t>
            </w:r>
          </w:p>
          <w:p w:rsidR="00851F15" w:rsidRPr="00435769" w:rsidRDefault="00851F15" w:rsidP="007932B2">
            <w:pPr>
              <w:jc w:val="both"/>
              <w:rPr>
                <w:sz w:val="20"/>
              </w:rPr>
            </w:pPr>
          </w:p>
        </w:tc>
      </w:tr>
      <w:tr w:rsidR="005A6497" w:rsidRPr="00435769" w:rsidTr="005A6497">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5A6497" w:rsidRPr="00435769" w:rsidTr="005A6497">
              <w:tc>
                <w:tcPr>
                  <w:tcW w:w="2367" w:type="pct"/>
                </w:tcPr>
                <w:p w:rsidR="005A6497" w:rsidRPr="00435769" w:rsidRDefault="005A6497" w:rsidP="007932B2">
                  <w:pPr>
                    <w:jc w:val="both"/>
                    <w:rPr>
                      <w:sz w:val="20"/>
                    </w:rPr>
                  </w:pPr>
                  <w:r w:rsidRPr="00435769">
                    <w:rPr>
                      <w:sz w:val="20"/>
                    </w:rPr>
                    <w:t>June 22, 2015</w:t>
                  </w:r>
                </w:p>
                <w:p w:rsidR="005A6497" w:rsidRPr="00435769" w:rsidRDefault="005A6497" w:rsidP="007932B2">
                  <w:pPr>
                    <w:jc w:val="both"/>
                    <w:rPr>
                      <w:sz w:val="20"/>
                    </w:rPr>
                  </w:pPr>
                  <w:r w:rsidRPr="00435769">
                    <w:rPr>
                      <w:sz w:val="20"/>
                    </w:rPr>
                    <w:t>Federal Court</w:t>
                  </w:r>
                </w:p>
                <w:p w:rsidR="005A6497" w:rsidRPr="00435769" w:rsidRDefault="005A6497" w:rsidP="007932B2">
                  <w:pPr>
                    <w:jc w:val="both"/>
                    <w:rPr>
                      <w:sz w:val="20"/>
                    </w:rPr>
                  </w:pPr>
                  <w:r w:rsidRPr="00435769">
                    <w:rPr>
                      <w:sz w:val="20"/>
                    </w:rPr>
                    <w:t>(MacTavish J.)</w:t>
                  </w:r>
                </w:p>
                <w:p w:rsidR="005A6497" w:rsidRPr="00435769" w:rsidRDefault="00435769" w:rsidP="007932B2">
                  <w:pPr>
                    <w:jc w:val="both"/>
                    <w:rPr>
                      <w:sz w:val="20"/>
                    </w:rPr>
                  </w:pPr>
                  <w:hyperlink r:id="rId119" w:history="1">
                    <w:r w:rsidR="005A6497" w:rsidRPr="00435769">
                      <w:rPr>
                        <w:rStyle w:val="Hyperlink"/>
                        <w:sz w:val="20"/>
                      </w:rPr>
                      <w:t>2015 FC 774</w:t>
                    </w:r>
                  </w:hyperlink>
                </w:p>
                <w:p w:rsidR="005A6497" w:rsidRPr="00435769" w:rsidRDefault="005A6497" w:rsidP="007932B2">
                  <w:pPr>
                    <w:jc w:val="both"/>
                    <w:rPr>
                      <w:sz w:val="20"/>
                    </w:rPr>
                  </w:pPr>
                  <w:r w:rsidRPr="00435769">
                    <w:rPr>
                      <w:sz w:val="20"/>
                    </w:rPr>
                    <w:t xml:space="preserve">Docket: IMM-343-14 </w:t>
                  </w:r>
                </w:p>
                <w:p w:rsidR="005A6497" w:rsidRPr="00435769" w:rsidRDefault="005A6497" w:rsidP="007932B2">
                  <w:pPr>
                    <w:jc w:val="both"/>
                    <w:rPr>
                      <w:sz w:val="20"/>
                    </w:rPr>
                  </w:pPr>
                </w:p>
              </w:tc>
              <w:tc>
                <w:tcPr>
                  <w:tcW w:w="267" w:type="pct"/>
                </w:tcPr>
                <w:p w:rsidR="005A6497" w:rsidRPr="00435769" w:rsidRDefault="005A6497" w:rsidP="007932B2">
                  <w:pPr>
                    <w:jc w:val="both"/>
                    <w:rPr>
                      <w:sz w:val="20"/>
                    </w:rPr>
                  </w:pPr>
                </w:p>
              </w:tc>
              <w:tc>
                <w:tcPr>
                  <w:tcW w:w="2366" w:type="pct"/>
                </w:tcPr>
                <w:p w:rsidR="005A6497" w:rsidRPr="00435769" w:rsidRDefault="005A6497" w:rsidP="007932B2">
                  <w:pPr>
                    <w:jc w:val="both"/>
                    <w:rPr>
                      <w:sz w:val="20"/>
                    </w:rPr>
                  </w:pPr>
                  <w:r w:rsidRPr="00435769">
                    <w:rPr>
                      <w:sz w:val="20"/>
                    </w:rPr>
                    <w:t xml:space="preserve">Applicants’ application alleging s. 7 </w:t>
                  </w:r>
                  <w:r w:rsidRPr="00435769">
                    <w:rPr>
                      <w:i/>
                      <w:sz w:val="20"/>
                    </w:rPr>
                    <w:t xml:space="preserve">Charter </w:t>
                  </w:r>
                  <w:r w:rsidRPr="00435769">
                    <w:rPr>
                      <w:sz w:val="20"/>
                    </w:rPr>
                    <w:t>violations, dismissed.</w:t>
                  </w:r>
                </w:p>
                <w:p w:rsidR="005A6497" w:rsidRPr="00435769" w:rsidRDefault="005A6497" w:rsidP="007932B2">
                  <w:pPr>
                    <w:jc w:val="both"/>
                    <w:rPr>
                      <w:sz w:val="20"/>
                    </w:rPr>
                  </w:pPr>
                </w:p>
              </w:tc>
            </w:tr>
            <w:tr w:rsidR="005A6497" w:rsidRPr="00435769" w:rsidTr="005A6497">
              <w:tc>
                <w:tcPr>
                  <w:tcW w:w="2367" w:type="pct"/>
                </w:tcPr>
                <w:p w:rsidR="005A6497" w:rsidRPr="00435769" w:rsidRDefault="005A6497" w:rsidP="007932B2">
                  <w:pPr>
                    <w:jc w:val="both"/>
                    <w:rPr>
                      <w:sz w:val="20"/>
                    </w:rPr>
                  </w:pPr>
                  <w:r w:rsidRPr="00435769">
                    <w:rPr>
                      <w:sz w:val="20"/>
                    </w:rPr>
                    <w:t>May 9, 2016</w:t>
                  </w:r>
                </w:p>
                <w:p w:rsidR="005A6497" w:rsidRPr="00435769" w:rsidRDefault="005A6497" w:rsidP="007932B2">
                  <w:pPr>
                    <w:jc w:val="both"/>
                    <w:rPr>
                      <w:sz w:val="20"/>
                    </w:rPr>
                  </w:pPr>
                  <w:r w:rsidRPr="00435769">
                    <w:rPr>
                      <w:sz w:val="20"/>
                    </w:rPr>
                    <w:t>Federal Court of Appeal</w:t>
                  </w:r>
                </w:p>
                <w:p w:rsidR="005A6497" w:rsidRPr="00435769" w:rsidRDefault="005A6497" w:rsidP="007932B2">
                  <w:pPr>
                    <w:jc w:val="both"/>
                    <w:rPr>
                      <w:sz w:val="20"/>
                    </w:rPr>
                  </w:pPr>
                  <w:r w:rsidRPr="00435769">
                    <w:rPr>
                      <w:sz w:val="20"/>
                    </w:rPr>
                    <w:t>(Dawson, Near and Boivin JJ.A.)</w:t>
                  </w:r>
                </w:p>
                <w:p w:rsidR="005A6497" w:rsidRPr="00435769" w:rsidRDefault="00435769" w:rsidP="007932B2">
                  <w:pPr>
                    <w:jc w:val="both"/>
                    <w:rPr>
                      <w:sz w:val="20"/>
                    </w:rPr>
                  </w:pPr>
                  <w:hyperlink r:id="rId120" w:history="1">
                    <w:r w:rsidR="005A6497" w:rsidRPr="00435769">
                      <w:rPr>
                        <w:rStyle w:val="Hyperlink"/>
                        <w:sz w:val="20"/>
                      </w:rPr>
                      <w:t>2016 FCA 144</w:t>
                    </w:r>
                  </w:hyperlink>
                </w:p>
                <w:p w:rsidR="005A6497" w:rsidRPr="00435769" w:rsidRDefault="005A6497" w:rsidP="007932B2">
                  <w:pPr>
                    <w:jc w:val="both"/>
                    <w:rPr>
                      <w:sz w:val="20"/>
                    </w:rPr>
                  </w:pPr>
                  <w:r w:rsidRPr="00435769">
                    <w:rPr>
                      <w:sz w:val="20"/>
                    </w:rPr>
                    <w:t>Docket: A-322-15</w:t>
                  </w:r>
                </w:p>
                <w:p w:rsidR="005A6497" w:rsidRPr="00435769" w:rsidRDefault="005A6497" w:rsidP="007932B2">
                  <w:pPr>
                    <w:jc w:val="both"/>
                    <w:rPr>
                      <w:sz w:val="20"/>
                    </w:rPr>
                  </w:pPr>
                </w:p>
              </w:tc>
              <w:tc>
                <w:tcPr>
                  <w:tcW w:w="267" w:type="pct"/>
                </w:tcPr>
                <w:p w:rsidR="005A6497" w:rsidRPr="00435769" w:rsidRDefault="005A6497" w:rsidP="007932B2">
                  <w:pPr>
                    <w:jc w:val="both"/>
                    <w:rPr>
                      <w:sz w:val="20"/>
                    </w:rPr>
                  </w:pPr>
                </w:p>
              </w:tc>
              <w:tc>
                <w:tcPr>
                  <w:tcW w:w="2366" w:type="pct"/>
                </w:tcPr>
                <w:p w:rsidR="005A6497" w:rsidRPr="00435769" w:rsidRDefault="005A6497" w:rsidP="007932B2">
                  <w:pPr>
                    <w:jc w:val="both"/>
                    <w:rPr>
                      <w:sz w:val="20"/>
                    </w:rPr>
                  </w:pPr>
                  <w:r w:rsidRPr="00435769">
                    <w:rPr>
                      <w:sz w:val="20"/>
                    </w:rPr>
                    <w:t>Applicants’ appeal, dismissed.</w:t>
                  </w:r>
                </w:p>
                <w:p w:rsidR="005A6497" w:rsidRPr="00435769" w:rsidRDefault="005A6497" w:rsidP="007932B2">
                  <w:pPr>
                    <w:jc w:val="both"/>
                    <w:rPr>
                      <w:sz w:val="20"/>
                    </w:rPr>
                  </w:pPr>
                </w:p>
              </w:tc>
            </w:tr>
            <w:tr w:rsidR="005A6497" w:rsidRPr="00435769" w:rsidTr="005A6497">
              <w:tc>
                <w:tcPr>
                  <w:tcW w:w="2367" w:type="pct"/>
                </w:tcPr>
                <w:p w:rsidR="005A6497" w:rsidRPr="00435769" w:rsidRDefault="005A6497" w:rsidP="007932B2">
                  <w:pPr>
                    <w:jc w:val="both"/>
                    <w:rPr>
                      <w:sz w:val="20"/>
                    </w:rPr>
                  </w:pPr>
                  <w:r w:rsidRPr="00435769">
                    <w:rPr>
                      <w:sz w:val="20"/>
                    </w:rPr>
                    <w:t>August 8, 2016</w:t>
                  </w:r>
                </w:p>
                <w:p w:rsidR="005A6497" w:rsidRPr="00435769" w:rsidRDefault="005A6497" w:rsidP="007932B2">
                  <w:pPr>
                    <w:jc w:val="both"/>
                    <w:rPr>
                      <w:sz w:val="20"/>
                    </w:rPr>
                  </w:pPr>
                  <w:r w:rsidRPr="00435769">
                    <w:rPr>
                      <w:sz w:val="20"/>
                    </w:rPr>
                    <w:lastRenderedPageBreak/>
                    <w:t>Supreme Court of Canada</w:t>
                  </w:r>
                </w:p>
              </w:tc>
              <w:tc>
                <w:tcPr>
                  <w:tcW w:w="267" w:type="pct"/>
                </w:tcPr>
                <w:p w:rsidR="005A6497" w:rsidRPr="00435769" w:rsidRDefault="005A6497" w:rsidP="007932B2">
                  <w:pPr>
                    <w:jc w:val="both"/>
                    <w:rPr>
                      <w:sz w:val="20"/>
                    </w:rPr>
                  </w:pPr>
                </w:p>
              </w:tc>
              <w:tc>
                <w:tcPr>
                  <w:tcW w:w="2366" w:type="pct"/>
                </w:tcPr>
                <w:p w:rsidR="005A6497" w:rsidRPr="00435769" w:rsidRDefault="005A6497" w:rsidP="007932B2">
                  <w:pPr>
                    <w:jc w:val="both"/>
                    <w:rPr>
                      <w:sz w:val="20"/>
                    </w:rPr>
                  </w:pPr>
                  <w:r w:rsidRPr="00435769">
                    <w:rPr>
                      <w:sz w:val="20"/>
                    </w:rPr>
                    <w:t>Application for leave to appeal, filed.</w:t>
                  </w:r>
                </w:p>
                <w:p w:rsidR="005A6497" w:rsidRPr="00435769" w:rsidRDefault="005A6497" w:rsidP="007932B2">
                  <w:pPr>
                    <w:jc w:val="both"/>
                    <w:rPr>
                      <w:sz w:val="20"/>
                    </w:rPr>
                  </w:pPr>
                </w:p>
              </w:tc>
            </w:tr>
          </w:tbl>
          <w:p w:rsidR="005A6497" w:rsidRPr="00435769" w:rsidRDefault="005A6497" w:rsidP="007932B2">
            <w:pPr>
              <w:jc w:val="both"/>
              <w:rPr>
                <w:sz w:val="20"/>
              </w:rPr>
            </w:pPr>
          </w:p>
        </w:tc>
      </w:tr>
    </w:tbl>
    <w:p w:rsidR="005A6497" w:rsidRPr="00435769" w:rsidRDefault="005A6497" w:rsidP="007932B2">
      <w:pPr>
        <w:jc w:val="both"/>
        <w:rPr>
          <w:sz w:val="20"/>
        </w:rPr>
      </w:pPr>
    </w:p>
    <w:p w:rsidR="00851F15" w:rsidRPr="00435769" w:rsidRDefault="00851F15" w:rsidP="007932B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5A6497" w:rsidRPr="00435769" w:rsidTr="005A6497">
        <w:tc>
          <w:tcPr>
            <w:tcW w:w="543" w:type="pct"/>
          </w:tcPr>
          <w:p w:rsidR="005A6497" w:rsidRPr="00435769" w:rsidRDefault="005A6497" w:rsidP="007932B2">
            <w:pPr>
              <w:jc w:val="both"/>
              <w:rPr>
                <w:sz w:val="20"/>
                <w:lang w:val="fr-CA"/>
              </w:rPr>
            </w:pPr>
            <w:r w:rsidRPr="00435769">
              <w:rPr>
                <w:rStyle w:val="SCCFileNumberChar"/>
                <w:sz w:val="20"/>
                <w:szCs w:val="20"/>
                <w:lang w:val="fr-CA"/>
              </w:rPr>
              <w:t>37122</w:t>
            </w:r>
          </w:p>
        </w:tc>
        <w:tc>
          <w:tcPr>
            <w:tcW w:w="4457" w:type="pct"/>
          </w:tcPr>
          <w:p w:rsidR="005A6497" w:rsidRPr="00435769" w:rsidRDefault="005A6497" w:rsidP="007932B2">
            <w:pPr>
              <w:pStyle w:val="SCCLsocParty"/>
              <w:jc w:val="both"/>
              <w:rPr>
                <w:b/>
                <w:sz w:val="20"/>
                <w:szCs w:val="20"/>
              </w:rPr>
            </w:pPr>
            <w:r w:rsidRPr="00435769">
              <w:rPr>
                <w:b/>
                <w:sz w:val="20"/>
                <w:szCs w:val="20"/>
              </w:rPr>
              <w:t>Yasmen Al Atawnah, Diana Elatawna, Karam Elatawna, Retal Aisha Elatawna c. Ministre de la Sécurité publique et de la Protection civile, ministre de la Citoyenneté et de l’Immigration</w:t>
            </w:r>
          </w:p>
          <w:p w:rsidR="005A6497" w:rsidRPr="00435769" w:rsidRDefault="005A6497" w:rsidP="007932B2">
            <w:pPr>
              <w:jc w:val="both"/>
              <w:rPr>
                <w:sz w:val="20"/>
                <w:lang w:val="fr-CA"/>
              </w:rPr>
            </w:pPr>
            <w:r w:rsidRPr="00435769">
              <w:rPr>
                <w:sz w:val="20"/>
                <w:lang w:val="fr-CA"/>
              </w:rPr>
              <w:t>(CF) (Civile) (Sur autorisation)</w:t>
            </w:r>
          </w:p>
        </w:tc>
      </w:tr>
      <w:tr w:rsidR="005A6497" w:rsidRPr="00435769" w:rsidTr="005A6497">
        <w:tc>
          <w:tcPr>
            <w:tcW w:w="5000" w:type="pct"/>
            <w:gridSpan w:val="2"/>
          </w:tcPr>
          <w:p w:rsidR="005A6497" w:rsidRPr="00435769" w:rsidRDefault="005A6497" w:rsidP="007932B2">
            <w:pPr>
              <w:jc w:val="both"/>
              <w:rPr>
                <w:sz w:val="20"/>
                <w:lang w:val="fr-CA"/>
              </w:rPr>
            </w:pPr>
            <w:r w:rsidRPr="00435769">
              <w:rPr>
                <w:i/>
                <w:sz w:val="20"/>
                <w:lang w:val="fr-CA"/>
              </w:rPr>
              <w:t xml:space="preserve">Charte des droits </w:t>
            </w:r>
            <w:r w:rsidRPr="00435769">
              <w:rPr>
                <w:sz w:val="20"/>
                <w:lang w:val="fr-CA"/>
              </w:rPr>
              <w:t xml:space="preserve">– Droit constitutionnel – Principes de justice fondamentale – Immigration et réfugiés – Examen des risques avant renvoi – L’interdiction de présenter une demande d’examen des risques avant renvoi avant que se soient écoulés 36 mois après le prononcé du désistement d’une demande d’asile, comme le prévoit l’al. 112 (2) b.1) de la </w:t>
            </w:r>
            <w:r w:rsidRPr="00435769">
              <w:rPr>
                <w:i/>
                <w:sz w:val="20"/>
                <w:lang w:val="fr-CA"/>
              </w:rPr>
              <w:t>Loi sur l’immigration et la protection des réfugiés</w:t>
            </w:r>
            <w:r w:rsidRPr="00435769">
              <w:rPr>
                <w:sz w:val="20"/>
                <w:lang w:val="fr-CA"/>
              </w:rPr>
              <w:t xml:space="preserve">, viole-t-elle l’art. 7 de la </w:t>
            </w:r>
            <w:r w:rsidRPr="00435769">
              <w:rPr>
                <w:i/>
                <w:sz w:val="20"/>
                <w:lang w:val="fr-CA"/>
              </w:rPr>
              <w:t>Charte</w:t>
            </w:r>
            <w:r w:rsidRPr="00435769">
              <w:rPr>
                <w:sz w:val="20"/>
                <w:lang w:val="fr-CA"/>
              </w:rPr>
              <w:t xml:space="preserve">? – </w:t>
            </w:r>
            <w:r w:rsidRPr="00435769">
              <w:rPr>
                <w:i/>
                <w:sz w:val="20"/>
                <w:lang w:val="fr-CA"/>
              </w:rPr>
              <w:t>Charte canadienne des droits et libertés</w:t>
            </w:r>
            <w:r w:rsidRPr="00435769">
              <w:rPr>
                <w:sz w:val="20"/>
                <w:lang w:val="fr-CA"/>
              </w:rPr>
              <w:t xml:space="preserve">, art. 7 – </w:t>
            </w:r>
            <w:r w:rsidRPr="00435769">
              <w:rPr>
                <w:i/>
                <w:sz w:val="20"/>
                <w:lang w:val="fr-CA"/>
              </w:rPr>
              <w:t>Loi sur l’immigration et la protection des réfugiés</w:t>
            </w:r>
            <w:r w:rsidRPr="00435769">
              <w:rPr>
                <w:sz w:val="20"/>
                <w:lang w:val="fr-CA"/>
              </w:rPr>
              <w:t>, L.C. 2001, ch. 27, al. 112 (2) b.1).</w:t>
            </w:r>
          </w:p>
        </w:tc>
      </w:tr>
      <w:tr w:rsidR="005A6497" w:rsidRPr="00435769" w:rsidTr="005A6497">
        <w:tc>
          <w:tcPr>
            <w:tcW w:w="5000" w:type="pct"/>
            <w:gridSpan w:val="2"/>
          </w:tcPr>
          <w:p w:rsidR="005A6497" w:rsidRPr="00435769" w:rsidRDefault="005A6497" w:rsidP="007932B2">
            <w:pPr>
              <w:jc w:val="both"/>
              <w:rPr>
                <w:sz w:val="20"/>
                <w:lang w:val="fr-CA"/>
              </w:rPr>
            </w:pPr>
          </w:p>
        </w:tc>
      </w:tr>
      <w:tr w:rsidR="005A6497" w:rsidRPr="00435769" w:rsidTr="005A6497">
        <w:tc>
          <w:tcPr>
            <w:tcW w:w="5000" w:type="pct"/>
            <w:gridSpan w:val="2"/>
          </w:tcPr>
          <w:p w:rsidR="005A6497" w:rsidRPr="00435769" w:rsidRDefault="005A6497" w:rsidP="007932B2">
            <w:pPr>
              <w:jc w:val="both"/>
              <w:rPr>
                <w:sz w:val="20"/>
                <w:lang w:val="fr-CA"/>
              </w:rPr>
            </w:pPr>
            <w:r w:rsidRPr="00435769">
              <w:rPr>
                <w:sz w:val="20"/>
                <w:lang w:val="fr-CA"/>
              </w:rPr>
              <w:t xml:space="preserve">Les demanderesses, des citoyennes d’Israël, ont demandé l’asile au Canada. Il n’a jamais été statué au fond sur leurs demandes d’asile parce que la Section de la protection des réfugiés de la Commission de l’immigration et du statut de réfugié a conclu au désistement de leurs demandes. En raison de cette conclusion, les demanderesses n’ont pas pu obtenir avant leur renvoi du Canada un examen des risques avant renvoi (« ERAR »); l’al. 112 (2) b.1) de la </w:t>
            </w:r>
            <w:r w:rsidRPr="00435769">
              <w:rPr>
                <w:i/>
                <w:sz w:val="20"/>
                <w:lang w:val="fr-CA"/>
              </w:rPr>
              <w:t>Loi sur l’immigration et la protection des réfugiés</w:t>
            </w:r>
            <w:r w:rsidRPr="00435769">
              <w:rPr>
                <w:sz w:val="20"/>
                <w:lang w:val="fr-CA"/>
              </w:rPr>
              <w:t xml:space="preserve">, L.C. 2001, ch. 27 (« LIPR » ou « la Loi ») interdit au ressortissant d’un pays d’origine désigné qui s’est désisté de sa demande d’asile de présenter une demande d’ERAR si moins de 36 mois se sont écoulés depuis le prononcé d’un désistement. Les demanderesses ont présenté à la Cour fédérale une demande de jugement déclaratoire, plaidant que leur renvoi du Canada en l’absence d’un examen complet des risques par un décideur compétent conformément aux principes de justice fondamentale, ainsi que l’art. 112 et l’al, (2) b.1) de la Loi, portent atteinte aux droits que leur garantit l’art. 7 de la </w:t>
            </w:r>
            <w:r w:rsidRPr="00435769">
              <w:rPr>
                <w:i/>
                <w:sz w:val="20"/>
                <w:lang w:val="fr-CA"/>
              </w:rPr>
              <w:t>Charte canadienne des droits et libertés</w:t>
            </w:r>
            <w:r w:rsidRPr="00435769">
              <w:rPr>
                <w:sz w:val="20"/>
                <w:lang w:val="fr-CA"/>
              </w:rPr>
              <w:t>. Elles ont également sollicité un bref de </w:t>
            </w:r>
            <w:r w:rsidRPr="00435769">
              <w:rPr>
                <w:i/>
                <w:iCs/>
                <w:sz w:val="20"/>
                <w:lang w:val="fr-CA"/>
              </w:rPr>
              <w:t>mandamus</w:t>
            </w:r>
            <w:r w:rsidRPr="00435769">
              <w:rPr>
                <w:sz w:val="20"/>
                <w:lang w:val="fr-CA"/>
              </w:rPr>
              <w:t> enjoignant au ministre de les faire revenir au Canada, aux frais des intimés.</w:t>
            </w:r>
          </w:p>
          <w:p w:rsidR="005A6497" w:rsidRPr="00435769" w:rsidRDefault="005A6497" w:rsidP="007932B2">
            <w:pPr>
              <w:jc w:val="both"/>
              <w:rPr>
                <w:sz w:val="20"/>
                <w:lang w:val="fr-CA"/>
              </w:rPr>
            </w:pPr>
          </w:p>
          <w:p w:rsidR="005A6497" w:rsidRPr="00435769" w:rsidRDefault="005A6497" w:rsidP="007932B2">
            <w:pPr>
              <w:jc w:val="both"/>
              <w:rPr>
                <w:sz w:val="20"/>
                <w:lang w:val="fr-CA"/>
              </w:rPr>
            </w:pPr>
            <w:r w:rsidRPr="00435769">
              <w:rPr>
                <w:sz w:val="20"/>
                <w:lang w:val="fr-CA"/>
              </w:rPr>
              <w:t>La Cour fédérale a rejeté la demande des demanderesses, concluant que la législation n’était pas arbitraire, que sa portée n’était pas excessive et qu’elle n’était pas exagérément disproportionnée. La Cour d’appel fédérale a rejeté à l’unanimité l’appel des demanderesses, concluant que la juge de première instance n’avait pas commis d’erreur.</w:t>
            </w:r>
          </w:p>
          <w:p w:rsidR="00851F15" w:rsidRPr="00435769" w:rsidRDefault="00851F15" w:rsidP="007932B2">
            <w:pPr>
              <w:jc w:val="both"/>
              <w:rPr>
                <w:sz w:val="20"/>
                <w:lang w:val="fr-CA"/>
              </w:rPr>
            </w:pPr>
          </w:p>
        </w:tc>
      </w:tr>
      <w:tr w:rsidR="005A6497" w:rsidRPr="00435769" w:rsidTr="005A6497">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5A6497" w:rsidRPr="00435769" w:rsidTr="005A6497">
              <w:tc>
                <w:tcPr>
                  <w:tcW w:w="2367" w:type="pct"/>
                </w:tcPr>
                <w:p w:rsidR="005A6497" w:rsidRPr="00435769" w:rsidRDefault="005A6497" w:rsidP="007932B2">
                  <w:pPr>
                    <w:jc w:val="both"/>
                    <w:rPr>
                      <w:sz w:val="20"/>
                      <w:lang w:val="fr-CA"/>
                    </w:rPr>
                  </w:pPr>
                  <w:r w:rsidRPr="00435769">
                    <w:rPr>
                      <w:sz w:val="20"/>
                      <w:lang w:val="fr-CA"/>
                    </w:rPr>
                    <w:t>22 juin 2015</w:t>
                  </w:r>
                </w:p>
                <w:p w:rsidR="005A6497" w:rsidRPr="00435769" w:rsidRDefault="005A6497" w:rsidP="007932B2">
                  <w:pPr>
                    <w:jc w:val="both"/>
                    <w:rPr>
                      <w:sz w:val="20"/>
                      <w:lang w:val="fr-CA"/>
                    </w:rPr>
                  </w:pPr>
                  <w:r w:rsidRPr="00435769">
                    <w:rPr>
                      <w:sz w:val="20"/>
                      <w:lang w:val="fr-CA"/>
                    </w:rPr>
                    <w:t xml:space="preserve">Cour fédérale </w:t>
                  </w:r>
                </w:p>
                <w:p w:rsidR="005A6497" w:rsidRPr="00435769" w:rsidRDefault="005A6497" w:rsidP="007932B2">
                  <w:pPr>
                    <w:jc w:val="both"/>
                    <w:rPr>
                      <w:sz w:val="20"/>
                      <w:lang w:val="fr-CA"/>
                    </w:rPr>
                  </w:pPr>
                  <w:r w:rsidRPr="00435769">
                    <w:rPr>
                      <w:sz w:val="20"/>
                      <w:lang w:val="fr-CA"/>
                    </w:rPr>
                    <w:t>(Juge MacTavish)</w:t>
                  </w:r>
                </w:p>
                <w:p w:rsidR="005A6497" w:rsidRPr="00435769" w:rsidRDefault="00435769" w:rsidP="007932B2">
                  <w:pPr>
                    <w:jc w:val="both"/>
                    <w:rPr>
                      <w:sz w:val="20"/>
                      <w:lang w:val="fr-CA"/>
                    </w:rPr>
                  </w:pPr>
                  <w:hyperlink r:id="rId121" w:history="1">
                    <w:r w:rsidR="005A6497" w:rsidRPr="00435769">
                      <w:rPr>
                        <w:rStyle w:val="Hyperlink"/>
                        <w:sz w:val="20"/>
                        <w:lang w:val="fr-CA"/>
                      </w:rPr>
                      <w:t>2015 FC 774</w:t>
                    </w:r>
                  </w:hyperlink>
                </w:p>
                <w:p w:rsidR="005A6497" w:rsidRPr="00435769" w:rsidRDefault="005A6497" w:rsidP="007932B2">
                  <w:pPr>
                    <w:jc w:val="both"/>
                    <w:rPr>
                      <w:sz w:val="20"/>
                      <w:lang w:val="fr-CA"/>
                    </w:rPr>
                  </w:pPr>
                  <w:r w:rsidRPr="00435769">
                    <w:rPr>
                      <w:sz w:val="20"/>
                      <w:lang w:val="fr-CA"/>
                    </w:rPr>
                    <w:t>N</w:t>
                  </w:r>
                  <w:r w:rsidRPr="00435769">
                    <w:rPr>
                      <w:sz w:val="20"/>
                      <w:vertAlign w:val="superscript"/>
                      <w:lang w:val="fr-CA"/>
                    </w:rPr>
                    <w:t>o</w:t>
                  </w:r>
                  <w:r w:rsidRPr="00435769">
                    <w:rPr>
                      <w:sz w:val="20"/>
                      <w:lang w:val="fr-CA"/>
                    </w:rPr>
                    <w:t xml:space="preserve"> du greffe : IMM-343-14 </w:t>
                  </w:r>
                </w:p>
                <w:p w:rsidR="005A6497" w:rsidRPr="00435769" w:rsidRDefault="005A6497" w:rsidP="007932B2">
                  <w:pPr>
                    <w:jc w:val="both"/>
                    <w:rPr>
                      <w:sz w:val="20"/>
                      <w:lang w:val="fr-CA"/>
                    </w:rPr>
                  </w:pPr>
                </w:p>
              </w:tc>
              <w:tc>
                <w:tcPr>
                  <w:tcW w:w="267" w:type="pct"/>
                </w:tcPr>
                <w:p w:rsidR="005A6497" w:rsidRPr="00435769" w:rsidRDefault="005A6497" w:rsidP="007932B2">
                  <w:pPr>
                    <w:jc w:val="both"/>
                    <w:rPr>
                      <w:sz w:val="20"/>
                      <w:lang w:val="fr-CA"/>
                    </w:rPr>
                  </w:pPr>
                </w:p>
              </w:tc>
              <w:tc>
                <w:tcPr>
                  <w:tcW w:w="2366" w:type="pct"/>
                </w:tcPr>
                <w:p w:rsidR="005A6497" w:rsidRPr="00435769" w:rsidRDefault="005A6497" w:rsidP="007932B2">
                  <w:pPr>
                    <w:jc w:val="both"/>
                    <w:rPr>
                      <w:sz w:val="20"/>
                      <w:lang w:val="fr-CA"/>
                    </w:rPr>
                  </w:pPr>
                  <w:r w:rsidRPr="00435769">
                    <w:rPr>
                      <w:sz w:val="20"/>
                      <w:lang w:val="fr-CA"/>
                    </w:rPr>
                    <w:t xml:space="preserve">Rejet de la demande des demanderesses alléguant des violations de l’art. 7 de la </w:t>
                  </w:r>
                  <w:r w:rsidRPr="00435769">
                    <w:rPr>
                      <w:i/>
                      <w:sz w:val="20"/>
                      <w:lang w:val="fr-CA"/>
                    </w:rPr>
                    <w:t>Charte</w:t>
                  </w:r>
                  <w:r w:rsidRPr="00435769">
                    <w:rPr>
                      <w:sz w:val="20"/>
                      <w:lang w:val="fr-CA"/>
                    </w:rPr>
                    <w:t>.</w:t>
                  </w:r>
                </w:p>
                <w:p w:rsidR="005A6497" w:rsidRPr="00435769" w:rsidRDefault="005A6497" w:rsidP="007932B2">
                  <w:pPr>
                    <w:jc w:val="both"/>
                    <w:rPr>
                      <w:sz w:val="20"/>
                      <w:lang w:val="fr-CA"/>
                    </w:rPr>
                  </w:pPr>
                </w:p>
              </w:tc>
            </w:tr>
            <w:tr w:rsidR="005A6497" w:rsidRPr="00435769" w:rsidTr="005A6497">
              <w:tc>
                <w:tcPr>
                  <w:tcW w:w="2367" w:type="pct"/>
                </w:tcPr>
                <w:p w:rsidR="005A6497" w:rsidRPr="00435769" w:rsidRDefault="005A6497" w:rsidP="007932B2">
                  <w:pPr>
                    <w:jc w:val="both"/>
                    <w:rPr>
                      <w:sz w:val="20"/>
                      <w:lang w:val="fr-CA"/>
                    </w:rPr>
                  </w:pPr>
                  <w:r w:rsidRPr="00435769">
                    <w:rPr>
                      <w:sz w:val="20"/>
                      <w:lang w:val="fr-CA"/>
                    </w:rPr>
                    <w:t>9 mai 2016</w:t>
                  </w:r>
                </w:p>
                <w:p w:rsidR="005A6497" w:rsidRPr="00435769" w:rsidRDefault="005A6497" w:rsidP="007932B2">
                  <w:pPr>
                    <w:jc w:val="both"/>
                    <w:rPr>
                      <w:sz w:val="20"/>
                      <w:lang w:val="fr-CA"/>
                    </w:rPr>
                  </w:pPr>
                  <w:r w:rsidRPr="00435769">
                    <w:rPr>
                      <w:sz w:val="20"/>
                      <w:lang w:val="fr-CA"/>
                    </w:rPr>
                    <w:t xml:space="preserve">Cour d’appel fédérale </w:t>
                  </w:r>
                </w:p>
                <w:p w:rsidR="005A6497" w:rsidRPr="00435769" w:rsidRDefault="005A6497" w:rsidP="007932B2">
                  <w:pPr>
                    <w:jc w:val="both"/>
                    <w:rPr>
                      <w:sz w:val="20"/>
                      <w:lang w:val="fr-CA"/>
                    </w:rPr>
                  </w:pPr>
                  <w:r w:rsidRPr="00435769">
                    <w:rPr>
                      <w:sz w:val="20"/>
                      <w:lang w:val="fr-CA"/>
                    </w:rPr>
                    <w:t>(Juges Dawson, Near et Boivin)</w:t>
                  </w:r>
                </w:p>
                <w:p w:rsidR="005A6497" w:rsidRPr="00435769" w:rsidRDefault="00435769" w:rsidP="007932B2">
                  <w:pPr>
                    <w:jc w:val="both"/>
                    <w:rPr>
                      <w:sz w:val="20"/>
                    </w:rPr>
                  </w:pPr>
                  <w:hyperlink r:id="rId122" w:history="1">
                    <w:r w:rsidR="005A6497" w:rsidRPr="00435769">
                      <w:rPr>
                        <w:rStyle w:val="Hyperlink"/>
                        <w:sz w:val="20"/>
                      </w:rPr>
                      <w:t>2016 FCA 144</w:t>
                    </w:r>
                  </w:hyperlink>
                </w:p>
                <w:p w:rsidR="005A6497" w:rsidRPr="00435769" w:rsidRDefault="005A6497" w:rsidP="007932B2">
                  <w:pPr>
                    <w:jc w:val="both"/>
                    <w:rPr>
                      <w:sz w:val="20"/>
                    </w:rPr>
                  </w:pPr>
                  <w:r w:rsidRPr="00435769">
                    <w:rPr>
                      <w:sz w:val="20"/>
                    </w:rPr>
                    <w:t>N</w:t>
                  </w:r>
                  <w:r w:rsidRPr="00435769">
                    <w:rPr>
                      <w:sz w:val="20"/>
                      <w:vertAlign w:val="superscript"/>
                    </w:rPr>
                    <w:t>o</w:t>
                  </w:r>
                  <w:r w:rsidRPr="00435769">
                    <w:rPr>
                      <w:sz w:val="20"/>
                    </w:rPr>
                    <w:t xml:space="preserve"> du greffe : A-322-15</w:t>
                  </w:r>
                </w:p>
                <w:p w:rsidR="005A6497" w:rsidRPr="00435769" w:rsidRDefault="005A6497" w:rsidP="007932B2">
                  <w:pPr>
                    <w:jc w:val="both"/>
                    <w:rPr>
                      <w:sz w:val="20"/>
                    </w:rPr>
                  </w:pPr>
                </w:p>
              </w:tc>
              <w:tc>
                <w:tcPr>
                  <w:tcW w:w="267" w:type="pct"/>
                </w:tcPr>
                <w:p w:rsidR="005A6497" w:rsidRPr="00435769" w:rsidRDefault="005A6497" w:rsidP="007932B2">
                  <w:pPr>
                    <w:jc w:val="both"/>
                    <w:rPr>
                      <w:sz w:val="20"/>
                    </w:rPr>
                  </w:pPr>
                </w:p>
              </w:tc>
              <w:tc>
                <w:tcPr>
                  <w:tcW w:w="2366" w:type="pct"/>
                </w:tcPr>
                <w:p w:rsidR="005A6497" w:rsidRPr="00435769" w:rsidRDefault="005A6497" w:rsidP="007932B2">
                  <w:pPr>
                    <w:jc w:val="both"/>
                    <w:rPr>
                      <w:sz w:val="20"/>
                      <w:lang w:val="fr-CA"/>
                    </w:rPr>
                  </w:pPr>
                  <w:r w:rsidRPr="00435769">
                    <w:rPr>
                      <w:sz w:val="20"/>
                      <w:lang w:val="fr-CA"/>
                    </w:rPr>
                    <w:t>Rejet de l’appel des demanderesses.</w:t>
                  </w:r>
                </w:p>
                <w:p w:rsidR="005A6497" w:rsidRPr="00435769" w:rsidRDefault="005A6497" w:rsidP="007932B2">
                  <w:pPr>
                    <w:jc w:val="both"/>
                    <w:rPr>
                      <w:sz w:val="20"/>
                      <w:lang w:val="fr-CA"/>
                    </w:rPr>
                  </w:pPr>
                </w:p>
              </w:tc>
            </w:tr>
            <w:tr w:rsidR="005A6497" w:rsidRPr="00435769" w:rsidTr="005A6497">
              <w:tc>
                <w:tcPr>
                  <w:tcW w:w="2367" w:type="pct"/>
                </w:tcPr>
                <w:p w:rsidR="005A6497" w:rsidRPr="00435769" w:rsidRDefault="005A6497" w:rsidP="007932B2">
                  <w:pPr>
                    <w:jc w:val="both"/>
                    <w:rPr>
                      <w:sz w:val="20"/>
                      <w:lang w:val="fr-CA"/>
                    </w:rPr>
                  </w:pPr>
                  <w:r w:rsidRPr="00435769">
                    <w:rPr>
                      <w:sz w:val="20"/>
                      <w:lang w:val="fr-CA"/>
                    </w:rPr>
                    <w:t>8 août 2016</w:t>
                  </w:r>
                </w:p>
                <w:p w:rsidR="005A6497" w:rsidRPr="00435769" w:rsidRDefault="005A6497" w:rsidP="007932B2">
                  <w:pPr>
                    <w:jc w:val="both"/>
                    <w:rPr>
                      <w:sz w:val="20"/>
                      <w:lang w:val="fr-CA"/>
                    </w:rPr>
                  </w:pPr>
                  <w:r w:rsidRPr="00435769">
                    <w:rPr>
                      <w:sz w:val="20"/>
                      <w:lang w:val="fr-CA"/>
                    </w:rPr>
                    <w:t>Cour suprême du Canada</w:t>
                  </w:r>
                </w:p>
              </w:tc>
              <w:tc>
                <w:tcPr>
                  <w:tcW w:w="267" w:type="pct"/>
                </w:tcPr>
                <w:p w:rsidR="005A6497" w:rsidRPr="00435769" w:rsidRDefault="005A6497" w:rsidP="007932B2">
                  <w:pPr>
                    <w:jc w:val="both"/>
                    <w:rPr>
                      <w:sz w:val="20"/>
                      <w:lang w:val="fr-CA"/>
                    </w:rPr>
                  </w:pPr>
                </w:p>
              </w:tc>
              <w:tc>
                <w:tcPr>
                  <w:tcW w:w="2366" w:type="pct"/>
                </w:tcPr>
                <w:p w:rsidR="005A6497" w:rsidRPr="00435769" w:rsidRDefault="005A6497" w:rsidP="007932B2">
                  <w:pPr>
                    <w:jc w:val="both"/>
                    <w:rPr>
                      <w:sz w:val="20"/>
                      <w:lang w:val="fr-CA"/>
                    </w:rPr>
                  </w:pPr>
                  <w:r w:rsidRPr="00435769">
                    <w:rPr>
                      <w:sz w:val="20"/>
                      <w:lang w:val="fr-CA"/>
                    </w:rPr>
                    <w:t>Dépôt de la demande d’autorisation d’appel.</w:t>
                  </w:r>
                </w:p>
              </w:tc>
            </w:tr>
          </w:tbl>
          <w:p w:rsidR="005A6497" w:rsidRPr="00435769" w:rsidRDefault="005A6497" w:rsidP="007932B2">
            <w:pPr>
              <w:jc w:val="both"/>
              <w:rPr>
                <w:sz w:val="20"/>
                <w:lang w:val="fr-CA"/>
              </w:rPr>
            </w:pPr>
          </w:p>
        </w:tc>
      </w:tr>
    </w:tbl>
    <w:p w:rsidR="005A6497" w:rsidRPr="00435769" w:rsidRDefault="005A6497" w:rsidP="007932B2">
      <w:pPr>
        <w:jc w:val="both"/>
        <w:rPr>
          <w:sz w:val="20"/>
          <w:lang w:val="fr-CA"/>
        </w:rPr>
      </w:pPr>
    </w:p>
    <w:p w:rsidR="008E7E00" w:rsidRPr="00435769" w:rsidRDefault="008E7E00" w:rsidP="007932B2">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429"/>
      </w:tblGrid>
      <w:tr w:rsidR="007932B2" w:rsidRPr="00435769" w:rsidTr="001E6528">
        <w:tc>
          <w:tcPr>
            <w:tcW w:w="538" w:type="pct"/>
          </w:tcPr>
          <w:p w:rsidR="007932B2" w:rsidRPr="00435769" w:rsidRDefault="007932B2" w:rsidP="007932B2">
            <w:pPr>
              <w:jc w:val="both"/>
              <w:rPr>
                <w:sz w:val="20"/>
              </w:rPr>
            </w:pPr>
            <w:r w:rsidRPr="00435769">
              <w:rPr>
                <w:rStyle w:val="SCCFileNumberChar"/>
                <w:sz w:val="20"/>
                <w:szCs w:val="20"/>
              </w:rPr>
              <w:t>37128</w:t>
            </w:r>
          </w:p>
        </w:tc>
        <w:tc>
          <w:tcPr>
            <w:tcW w:w="4462" w:type="pct"/>
            <w:gridSpan w:val="3"/>
          </w:tcPr>
          <w:p w:rsidR="007932B2" w:rsidRPr="00435769" w:rsidRDefault="007932B2" w:rsidP="007932B2">
            <w:pPr>
              <w:pStyle w:val="SCCLsocParty"/>
              <w:jc w:val="both"/>
              <w:rPr>
                <w:b/>
                <w:sz w:val="20"/>
                <w:szCs w:val="20"/>
                <w:lang w:val="en-US"/>
              </w:rPr>
            </w:pPr>
            <w:r w:rsidRPr="00435769">
              <w:rPr>
                <w:b/>
                <w:sz w:val="20"/>
                <w:szCs w:val="20"/>
                <w:lang w:val="en-US"/>
              </w:rPr>
              <w:t>Scott Roberts v. Superintendent of Motor Vehicles, Attorney General of British Columbia</w:t>
            </w:r>
          </w:p>
          <w:p w:rsidR="007932B2" w:rsidRPr="00435769" w:rsidRDefault="007932B2" w:rsidP="007932B2">
            <w:pPr>
              <w:pStyle w:val="SCCLsocSubfileSeparator"/>
              <w:rPr>
                <w:sz w:val="20"/>
                <w:szCs w:val="20"/>
              </w:rPr>
            </w:pPr>
            <w:r w:rsidRPr="00435769">
              <w:rPr>
                <w:sz w:val="20"/>
                <w:szCs w:val="20"/>
              </w:rPr>
              <w:t>- and between -</w:t>
            </w:r>
          </w:p>
          <w:p w:rsidR="007932B2" w:rsidRPr="00435769" w:rsidRDefault="007932B2" w:rsidP="007932B2">
            <w:pPr>
              <w:pStyle w:val="SCCLsocParty"/>
              <w:jc w:val="both"/>
              <w:rPr>
                <w:b/>
                <w:sz w:val="20"/>
                <w:szCs w:val="20"/>
                <w:lang w:val="en-US"/>
              </w:rPr>
            </w:pPr>
            <w:r w:rsidRPr="00435769">
              <w:rPr>
                <w:b/>
                <w:sz w:val="20"/>
                <w:szCs w:val="20"/>
                <w:lang w:val="en-US"/>
              </w:rPr>
              <w:t>Satinder Jaswal v. Superintendent of Motor Vehicles, Attorney General of British Columbia</w:t>
            </w:r>
          </w:p>
          <w:p w:rsidR="007932B2" w:rsidRPr="00435769" w:rsidRDefault="007932B2" w:rsidP="007932B2">
            <w:pPr>
              <w:pStyle w:val="SCCLsocSubfileSeparator"/>
              <w:rPr>
                <w:sz w:val="20"/>
                <w:szCs w:val="20"/>
              </w:rPr>
            </w:pPr>
            <w:r w:rsidRPr="00435769">
              <w:rPr>
                <w:sz w:val="20"/>
                <w:szCs w:val="20"/>
              </w:rPr>
              <w:t>- and between -</w:t>
            </w:r>
          </w:p>
          <w:p w:rsidR="007932B2" w:rsidRPr="00435769" w:rsidRDefault="007932B2" w:rsidP="007932B2">
            <w:pPr>
              <w:pStyle w:val="SCCLsocParty"/>
              <w:jc w:val="both"/>
              <w:rPr>
                <w:b/>
                <w:sz w:val="20"/>
                <w:szCs w:val="20"/>
                <w:lang w:val="en-US"/>
              </w:rPr>
            </w:pPr>
            <w:r w:rsidRPr="00435769">
              <w:rPr>
                <w:b/>
                <w:sz w:val="20"/>
                <w:szCs w:val="20"/>
                <w:lang w:val="en-US"/>
              </w:rPr>
              <w:t>Carol Marion Beam v. Superintendent of Motor Vehicles, Attorney General of British Columbia</w:t>
            </w:r>
          </w:p>
          <w:p w:rsidR="007932B2" w:rsidRPr="00435769" w:rsidRDefault="007932B2" w:rsidP="007932B2">
            <w:pPr>
              <w:pStyle w:val="SCCLsocSubfileSeparator"/>
              <w:rPr>
                <w:sz w:val="20"/>
                <w:szCs w:val="20"/>
              </w:rPr>
            </w:pPr>
            <w:r w:rsidRPr="00435769">
              <w:rPr>
                <w:sz w:val="20"/>
                <w:szCs w:val="20"/>
              </w:rPr>
              <w:t>- and between -</w:t>
            </w:r>
          </w:p>
          <w:p w:rsidR="007932B2" w:rsidRPr="00435769" w:rsidRDefault="007932B2" w:rsidP="007932B2">
            <w:pPr>
              <w:pStyle w:val="SCCLsocParty"/>
              <w:jc w:val="both"/>
              <w:rPr>
                <w:b/>
                <w:sz w:val="20"/>
                <w:szCs w:val="20"/>
                <w:lang w:val="en-US"/>
              </w:rPr>
            </w:pPr>
            <w:r w:rsidRPr="00435769">
              <w:rPr>
                <w:b/>
                <w:sz w:val="20"/>
                <w:szCs w:val="20"/>
                <w:lang w:val="en-US"/>
              </w:rPr>
              <w:t>Jamie Allen Chisholm v. Superintendent of Motor Vehicles, Attorney General of British Columbia</w:t>
            </w:r>
          </w:p>
          <w:p w:rsidR="007932B2" w:rsidRPr="00435769" w:rsidRDefault="007932B2" w:rsidP="007932B2">
            <w:pPr>
              <w:jc w:val="both"/>
              <w:rPr>
                <w:sz w:val="20"/>
              </w:rPr>
            </w:pPr>
            <w:r w:rsidRPr="00435769">
              <w:rPr>
                <w:sz w:val="20"/>
              </w:rPr>
              <w:t>(B.C.) (Civil) (By Leave)</w:t>
            </w:r>
          </w:p>
        </w:tc>
      </w:tr>
      <w:tr w:rsidR="007932B2" w:rsidRPr="00435769" w:rsidTr="001E6528">
        <w:tc>
          <w:tcPr>
            <w:tcW w:w="5000" w:type="pct"/>
            <w:gridSpan w:val="4"/>
          </w:tcPr>
          <w:p w:rsidR="007932B2" w:rsidRPr="00435769" w:rsidRDefault="007932B2" w:rsidP="007932B2">
            <w:pPr>
              <w:jc w:val="both"/>
              <w:rPr>
                <w:sz w:val="20"/>
              </w:rPr>
            </w:pPr>
            <w:r w:rsidRPr="00435769">
              <w:rPr>
                <w:i/>
                <w:sz w:val="20"/>
              </w:rPr>
              <w:lastRenderedPageBreak/>
              <w:t xml:space="preserve">Canadian Charter of Rights and Freedom </w:t>
            </w:r>
            <w:r w:rsidRPr="00435769">
              <w:rPr>
                <w:sz w:val="20"/>
              </w:rPr>
              <w:t xml:space="preserve">– Constitutional law – Remedies – Retroactive remedy – Portions of provincial legislation creating automatic roadside prohibition scheme previously declared unconstitutional – Drivers seeking retroactive declaration of legislation’s invalidity – How do courts addressing legislation that is found to be unconstitutional properly determine whether a decision results in a substantial change in the law? – What are the traditional hallmarks of a substantial change in the law? – Is there a need for a greater guidance to lower courts in determining what constitutes a substantial change in the law? – To what degree is government entitled to profit from bad law? Does the spectre of future litigation foreclose the possibility of retrospective application, even where qualified immunity exists? – Does </w:t>
            </w:r>
            <w:r w:rsidRPr="00435769">
              <w:rPr>
                <w:i/>
                <w:iCs/>
                <w:sz w:val="20"/>
              </w:rPr>
              <w:t>Canada (Attorney General) v. Hislop</w:t>
            </w:r>
            <w:r w:rsidRPr="00435769">
              <w:rPr>
                <w:iCs/>
                <w:sz w:val="20"/>
              </w:rPr>
              <w:t>, 2007 SCC 10, [</w:t>
            </w:r>
            <w:r w:rsidRPr="00435769">
              <w:rPr>
                <w:sz w:val="20"/>
              </w:rPr>
              <w:t xml:space="preserve">2007] 1 S.C.R. 429, bar the petitioners from receiving a remedy for sanctions imposed upon them by the automatic roadside prohibition regime, which this Court found to be in violation of section 8 of the </w:t>
            </w:r>
            <w:r w:rsidRPr="00435769">
              <w:rPr>
                <w:i/>
                <w:sz w:val="20"/>
              </w:rPr>
              <w:t>Charter</w:t>
            </w:r>
            <w:r w:rsidRPr="00435769">
              <w:rPr>
                <w:sz w:val="20"/>
              </w:rPr>
              <w:t xml:space="preserve">? – Should remedies lifting unconstitutional sanctions be generally excluded from the </w:t>
            </w:r>
            <w:r w:rsidRPr="00435769">
              <w:rPr>
                <w:i/>
                <w:sz w:val="20"/>
              </w:rPr>
              <w:t>Hislop</w:t>
            </w:r>
            <w:r w:rsidRPr="00435769">
              <w:rPr>
                <w:sz w:val="20"/>
              </w:rPr>
              <w:t xml:space="preserve"> prospectivity test?</w:t>
            </w:r>
          </w:p>
        </w:tc>
      </w:tr>
      <w:tr w:rsidR="007932B2" w:rsidRPr="00435769" w:rsidTr="001E6528">
        <w:tc>
          <w:tcPr>
            <w:tcW w:w="5000" w:type="pct"/>
            <w:gridSpan w:val="4"/>
          </w:tcPr>
          <w:p w:rsidR="007932B2" w:rsidRPr="00435769" w:rsidRDefault="007932B2" w:rsidP="007932B2">
            <w:pPr>
              <w:jc w:val="both"/>
              <w:rPr>
                <w:sz w:val="20"/>
              </w:rPr>
            </w:pPr>
          </w:p>
        </w:tc>
      </w:tr>
      <w:tr w:rsidR="007932B2" w:rsidRPr="00435769" w:rsidTr="001E6528">
        <w:tc>
          <w:tcPr>
            <w:tcW w:w="5000" w:type="pct"/>
            <w:gridSpan w:val="4"/>
          </w:tcPr>
          <w:p w:rsidR="007932B2" w:rsidRPr="00435769" w:rsidRDefault="007932B2" w:rsidP="007932B2">
            <w:pPr>
              <w:jc w:val="both"/>
              <w:rPr>
                <w:sz w:val="20"/>
              </w:rPr>
            </w:pPr>
            <w:r w:rsidRPr="00435769">
              <w:rPr>
                <w:sz w:val="20"/>
              </w:rPr>
              <w:t xml:space="preserve">In the original decision, a chambers judge of the British Columbia Supreme Court declared parts of the Province’s automatic roadside prohibition scheme in the </w:t>
            </w:r>
            <w:r w:rsidRPr="00435769">
              <w:rPr>
                <w:i/>
                <w:iCs/>
                <w:sz w:val="20"/>
              </w:rPr>
              <w:t>Motor Vehicle Act</w:t>
            </w:r>
            <w:r w:rsidRPr="00435769">
              <w:rPr>
                <w:sz w:val="20"/>
              </w:rPr>
              <w:t xml:space="preserve">, R.S.B.C. 1996, c. 318, unconstitutional. He suspended the declaration of invalidity for six months. The decision on constitutional validity was upheld by the British Columbia Court of Appeal and by this Court in </w:t>
            </w:r>
            <w:r w:rsidRPr="00435769">
              <w:rPr>
                <w:i/>
                <w:sz w:val="20"/>
              </w:rPr>
              <w:t>Goodwin v. British Columbia (Superintendent of Motor Vehicles)</w:t>
            </w:r>
            <w:r w:rsidRPr="00435769">
              <w:rPr>
                <w:sz w:val="20"/>
              </w:rPr>
              <w:t>, 2015 SCC 46, [2015] 3 S.C.R. 250. At the time of trial before the chambers judge, the issue of constitutional remedies was bifurcated from the question of constitutional validity. With respect to remedies, the applicants sought various declaratory relief such as quashing decisions and penalties, as well as monetary relief such as restitution and damages. They argued that the declaration of invalidity should be retroactive to the date of the scheme’s passage.</w:t>
            </w:r>
          </w:p>
          <w:p w:rsidR="007932B2" w:rsidRPr="00435769" w:rsidRDefault="007932B2" w:rsidP="007932B2">
            <w:pPr>
              <w:jc w:val="both"/>
              <w:rPr>
                <w:sz w:val="20"/>
              </w:rPr>
            </w:pPr>
          </w:p>
        </w:tc>
      </w:tr>
      <w:tr w:rsidR="007932B2" w:rsidRPr="00435769" w:rsidTr="00212055">
        <w:tblPrEx>
          <w:tblCellMar>
            <w:bottom w:w="0" w:type="dxa"/>
          </w:tblCellMar>
        </w:tblPrEx>
        <w:tc>
          <w:tcPr>
            <w:tcW w:w="2367" w:type="pct"/>
            <w:gridSpan w:val="2"/>
          </w:tcPr>
          <w:p w:rsidR="007932B2" w:rsidRPr="00435769" w:rsidRDefault="007932B2" w:rsidP="007932B2">
            <w:pPr>
              <w:jc w:val="both"/>
              <w:rPr>
                <w:sz w:val="20"/>
              </w:rPr>
            </w:pPr>
            <w:r w:rsidRPr="00435769">
              <w:rPr>
                <w:sz w:val="20"/>
              </w:rPr>
              <w:t>July 7, 2012</w:t>
            </w:r>
          </w:p>
          <w:p w:rsidR="007932B2" w:rsidRPr="00435769" w:rsidRDefault="007932B2" w:rsidP="007932B2">
            <w:pPr>
              <w:jc w:val="both"/>
              <w:rPr>
                <w:sz w:val="20"/>
              </w:rPr>
            </w:pPr>
            <w:r w:rsidRPr="00435769">
              <w:rPr>
                <w:sz w:val="20"/>
              </w:rPr>
              <w:t>Supreme Court of British Columbia</w:t>
            </w:r>
          </w:p>
          <w:p w:rsidR="007932B2" w:rsidRPr="00435769" w:rsidRDefault="007932B2" w:rsidP="007932B2">
            <w:pPr>
              <w:jc w:val="both"/>
              <w:rPr>
                <w:sz w:val="20"/>
              </w:rPr>
            </w:pPr>
            <w:r w:rsidRPr="00435769">
              <w:rPr>
                <w:sz w:val="20"/>
              </w:rPr>
              <w:t>(Sigurdson J.)</w:t>
            </w:r>
          </w:p>
          <w:p w:rsidR="007932B2" w:rsidRPr="00435769" w:rsidRDefault="00435769" w:rsidP="007932B2">
            <w:pPr>
              <w:jc w:val="both"/>
              <w:rPr>
                <w:sz w:val="20"/>
              </w:rPr>
            </w:pPr>
            <w:hyperlink r:id="rId123" w:history="1">
              <w:r w:rsidR="007932B2" w:rsidRPr="00435769">
                <w:rPr>
                  <w:rStyle w:val="Hyperlink"/>
                  <w:sz w:val="20"/>
                </w:rPr>
                <w:t>2012 BCSC 1030</w:t>
              </w:r>
            </w:hyperlink>
            <w:r w:rsidR="007932B2" w:rsidRPr="00435769">
              <w:rPr>
                <w:sz w:val="20"/>
              </w:rPr>
              <w:t xml:space="preserve"> </w:t>
            </w:r>
          </w:p>
          <w:p w:rsidR="007932B2" w:rsidRPr="00435769" w:rsidRDefault="007932B2" w:rsidP="007932B2">
            <w:pPr>
              <w:jc w:val="both"/>
              <w:rPr>
                <w:sz w:val="20"/>
              </w:rPr>
            </w:pPr>
          </w:p>
        </w:tc>
        <w:tc>
          <w:tcPr>
            <w:tcW w:w="267" w:type="pct"/>
          </w:tcPr>
          <w:p w:rsidR="007932B2" w:rsidRPr="00435769" w:rsidRDefault="007932B2" w:rsidP="007932B2">
            <w:pPr>
              <w:jc w:val="both"/>
              <w:rPr>
                <w:sz w:val="20"/>
              </w:rPr>
            </w:pPr>
          </w:p>
        </w:tc>
        <w:tc>
          <w:tcPr>
            <w:tcW w:w="2366" w:type="pct"/>
          </w:tcPr>
          <w:p w:rsidR="007932B2" w:rsidRPr="00435769" w:rsidRDefault="007932B2" w:rsidP="007932B2">
            <w:pPr>
              <w:jc w:val="both"/>
              <w:rPr>
                <w:sz w:val="20"/>
              </w:rPr>
            </w:pPr>
            <w:r w:rsidRPr="00435769">
              <w:rPr>
                <w:sz w:val="20"/>
              </w:rPr>
              <w:t xml:space="preserve">Application for retroactive remedies dismissed </w:t>
            </w:r>
          </w:p>
          <w:p w:rsidR="007932B2" w:rsidRPr="00435769" w:rsidRDefault="007932B2" w:rsidP="007932B2">
            <w:pPr>
              <w:jc w:val="both"/>
              <w:rPr>
                <w:sz w:val="20"/>
              </w:rPr>
            </w:pPr>
          </w:p>
        </w:tc>
      </w:tr>
      <w:tr w:rsidR="007932B2" w:rsidRPr="00435769" w:rsidTr="007A7D96">
        <w:tblPrEx>
          <w:tblCellMar>
            <w:bottom w:w="0" w:type="dxa"/>
          </w:tblCellMar>
        </w:tblPrEx>
        <w:tc>
          <w:tcPr>
            <w:tcW w:w="2367" w:type="pct"/>
            <w:gridSpan w:val="2"/>
          </w:tcPr>
          <w:p w:rsidR="007932B2" w:rsidRPr="00435769" w:rsidRDefault="007932B2" w:rsidP="007932B2">
            <w:pPr>
              <w:jc w:val="both"/>
              <w:rPr>
                <w:sz w:val="20"/>
              </w:rPr>
            </w:pPr>
            <w:r w:rsidRPr="00435769">
              <w:rPr>
                <w:sz w:val="20"/>
              </w:rPr>
              <w:t>June 10, 2016</w:t>
            </w:r>
          </w:p>
          <w:p w:rsidR="007932B2" w:rsidRPr="00435769" w:rsidRDefault="007932B2" w:rsidP="007932B2">
            <w:pPr>
              <w:jc w:val="both"/>
              <w:rPr>
                <w:sz w:val="20"/>
              </w:rPr>
            </w:pPr>
            <w:r w:rsidRPr="00435769">
              <w:rPr>
                <w:sz w:val="20"/>
              </w:rPr>
              <w:t xml:space="preserve">Court of Appeal for British Columbia </w:t>
            </w:r>
          </w:p>
          <w:p w:rsidR="007932B2" w:rsidRPr="00435769" w:rsidRDefault="007932B2" w:rsidP="007932B2">
            <w:pPr>
              <w:jc w:val="both"/>
              <w:rPr>
                <w:sz w:val="20"/>
              </w:rPr>
            </w:pPr>
            <w:r w:rsidRPr="00435769">
              <w:rPr>
                <w:sz w:val="20"/>
              </w:rPr>
              <w:t>(Vancouver)</w:t>
            </w:r>
          </w:p>
          <w:p w:rsidR="007932B2" w:rsidRPr="00435769" w:rsidRDefault="007932B2" w:rsidP="007932B2">
            <w:pPr>
              <w:jc w:val="both"/>
              <w:rPr>
                <w:sz w:val="20"/>
              </w:rPr>
            </w:pPr>
            <w:r w:rsidRPr="00435769">
              <w:rPr>
                <w:sz w:val="20"/>
              </w:rPr>
              <w:t>(Garson, Stromberg-Stein and Fitch JJ.A.)</w:t>
            </w:r>
          </w:p>
          <w:p w:rsidR="007932B2" w:rsidRPr="00435769" w:rsidRDefault="00435769" w:rsidP="007932B2">
            <w:pPr>
              <w:jc w:val="both"/>
              <w:rPr>
                <w:sz w:val="20"/>
              </w:rPr>
            </w:pPr>
            <w:hyperlink r:id="rId124" w:history="1">
              <w:r w:rsidR="007932B2" w:rsidRPr="00435769">
                <w:rPr>
                  <w:rStyle w:val="Hyperlink"/>
                  <w:sz w:val="20"/>
                </w:rPr>
                <w:t>2016 BCCA 245</w:t>
              </w:r>
            </w:hyperlink>
          </w:p>
          <w:p w:rsidR="007932B2" w:rsidRPr="00435769" w:rsidRDefault="007932B2" w:rsidP="007932B2">
            <w:pPr>
              <w:jc w:val="both"/>
              <w:rPr>
                <w:sz w:val="20"/>
              </w:rPr>
            </w:pPr>
          </w:p>
        </w:tc>
        <w:tc>
          <w:tcPr>
            <w:tcW w:w="267" w:type="pct"/>
          </w:tcPr>
          <w:p w:rsidR="007932B2" w:rsidRPr="00435769" w:rsidRDefault="007932B2" w:rsidP="007932B2">
            <w:pPr>
              <w:jc w:val="both"/>
              <w:rPr>
                <w:sz w:val="20"/>
              </w:rPr>
            </w:pPr>
          </w:p>
        </w:tc>
        <w:tc>
          <w:tcPr>
            <w:tcW w:w="2366" w:type="pct"/>
          </w:tcPr>
          <w:p w:rsidR="007932B2" w:rsidRPr="00435769" w:rsidRDefault="007932B2" w:rsidP="007932B2">
            <w:pPr>
              <w:jc w:val="both"/>
              <w:rPr>
                <w:sz w:val="20"/>
              </w:rPr>
            </w:pPr>
            <w:r w:rsidRPr="00435769">
              <w:rPr>
                <w:sz w:val="20"/>
              </w:rPr>
              <w:t xml:space="preserve">Appeal dismissed </w:t>
            </w:r>
          </w:p>
          <w:p w:rsidR="007932B2" w:rsidRPr="00435769" w:rsidRDefault="007932B2" w:rsidP="007932B2">
            <w:pPr>
              <w:jc w:val="both"/>
              <w:rPr>
                <w:sz w:val="20"/>
              </w:rPr>
            </w:pPr>
          </w:p>
        </w:tc>
      </w:tr>
      <w:tr w:rsidR="007932B2" w:rsidRPr="00435769" w:rsidTr="00851F15">
        <w:tblPrEx>
          <w:tblCellMar>
            <w:bottom w:w="0" w:type="dxa"/>
          </w:tblCellMar>
        </w:tblPrEx>
        <w:trPr>
          <w:trHeight w:val="531"/>
        </w:trPr>
        <w:tc>
          <w:tcPr>
            <w:tcW w:w="2367" w:type="pct"/>
            <w:gridSpan w:val="2"/>
          </w:tcPr>
          <w:p w:rsidR="007932B2" w:rsidRPr="00435769" w:rsidRDefault="007932B2" w:rsidP="007932B2">
            <w:pPr>
              <w:jc w:val="both"/>
              <w:rPr>
                <w:sz w:val="20"/>
              </w:rPr>
            </w:pPr>
            <w:r w:rsidRPr="00435769">
              <w:rPr>
                <w:sz w:val="20"/>
              </w:rPr>
              <w:t>August 10, 2016</w:t>
            </w:r>
          </w:p>
          <w:p w:rsidR="007932B2" w:rsidRPr="00435769" w:rsidRDefault="007932B2" w:rsidP="007932B2">
            <w:pPr>
              <w:jc w:val="both"/>
              <w:rPr>
                <w:sz w:val="20"/>
              </w:rPr>
            </w:pPr>
            <w:r w:rsidRPr="00435769">
              <w:rPr>
                <w:sz w:val="20"/>
              </w:rPr>
              <w:t>Supreme Court of Canada</w:t>
            </w:r>
          </w:p>
          <w:p w:rsidR="00851F15" w:rsidRPr="00435769" w:rsidRDefault="00851F15" w:rsidP="007932B2">
            <w:pPr>
              <w:jc w:val="both"/>
              <w:rPr>
                <w:sz w:val="20"/>
              </w:rPr>
            </w:pPr>
          </w:p>
        </w:tc>
        <w:tc>
          <w:tcPr>
            <w:tcW w:w="267" w:type="pct"/>
          </w:tcPr>
          <w:p w:rsidR="007932B2" w:rsidRPr="00435769" w:rsidRDefault="007932B2" w:rsidP="007932B2">
            <w:pPr>
              <w:jc w:val="both"/>
              <w:rPr>
                <w:sz w:val="20"/>
              </w:rPr>
            </w:pPr>
          </w:p>
        </w:tc>
        <w:tc>
          <w:tcPr>
            <w:tcW w:w="2366" w:type="pct"/>
          </w:tcPr>
          <w:p w:rsidR="007932B2" w:rsidRPr="00435769" w:rsidRDefault="007932B2" w:rsidP="007932B2">
            <w:pPr>
              <w:jc w:val="both"/>
              <w:rPr>
                <w:sz w:val="20"/>
              </w:rPr>
            </w:pPr>
            <w:r w:rsidRPr="00435769">
              <w:rPr>
                <w:sz w:val="20"/>
              </w:rPr>
              <w:t>1</w:t>
            </w:r>
            <w:r w:rsidRPr="00435769">
              <w:rPr>
                <w:sz w:val="20"/>
                <w:vertAlign w:val="superscript"/>
              </w:rPr>
              <w:t>st</w:t>
            </w:r>
            <w:r w:rsidRPr="00435769">
              <w:rPr>
                <w:sz w:val="20"/>
              </w:rPr>
              <w:t xml:space="preserve"> application for leave to appeal filed (Scott Roberts)</w:t>
            </w:r>
          </w:p>
        </w:tc>
      </w:tr>
      <w:tr w:rsidR="007932B2" w:rsidRPr="00435769" w:rsidTr="00851F15">
        <w:tblPrEx>
          <w:tblCellMar>
            <w:bottom w:w="0" w:type="dxa"/>
          </w:tblCellMar>
        </w:tblPrEx>
        <w:trPr>
          <w:trHeight w:val="387"/>
        </w:trPr>
        <w:tc>
          <w:tcPr>
            <w:tcW w:w="2367" w:type="pct"/>
            <w:gridSpan w:val="2"/>
          </w:tcPr>
          <w:p w:rsidR="007932B2" w:rsidRPr="00435769" w:rsidRDefault="007932B2" w:rsidP="007932B2">
            <w:pPr>
              <w:jc w:val="both"/>
              <w:rPr>
                <w:sz w:val="20"/>
              </w:rPr>
            </w:pPr>
            <w:r w:rsidRPr="00435769">
              <w:rPr>
                <w:sz w:val="20"/>
              </w:rPr>
              <w:t xml:space="preserve">August 31, 2016 </w:t>
            </w:r>
          </w:p>
          <w:p w:rsidR="007932B2" w:rsidRPr="00435769" w:rsidRDefault="007932B2" w:rsidP="007932B2">
            <w:pPr>
              <w:jc w:val="both"/>
              <w:rPr>
                <w:sz w:val="20"/>
              </w:rPr>
            </w:pPr>
            <w:r w:rsidRPr="00435769">
              <w:rPr>
                <w:sz w:val="20"/>
              </w:rPr>
              <w:t xml:space="preserve">Supreme Court of Canada </w:t>
            </w:r>
          </w:p>
        </w:tc>
        <w:tc>
          <w:tcPr>
            <w:tcW w:w="267" w:type="pct"/>
          </w:tcPr>
          <w:p w:rsidR="007932B2" w:rsidRPr="00435769" w:rsidRDefault="007932B2" w:rsidP="007932B2">
            <w:pPr>
              <w:jc w:val="both"/>
              <w:rPr>
                <w:sz w:val="20"/>
              </w:rPr>
            </w:pPr>
          </w:p>
        </w:tc>
        <w:tc>
          <w:tcPr>
            <w:tcW w:w="2366" w:type="pct"/>
          </w:tcPr>
          <w:p w:rsidR="007932B2" w:rsidRPr="00435769" w:rsidRDefault="007932B2" w:rsidP="007932B2">
            <w:pPr>
              <w:jc w:val="both"/>
              <w:rPr>
                <w:sz w:val="20"/>
              </w:rPr>
            </w:pPr>
            <w:r w:rsidRPr="00435769">
              <w:rPr>
                <w:sz w:val="20"/>
              </w:rPr>
              <w:t>2</w:t>
            </w:r>
            <w:r w:rsidRPr="00435769">
              <w:rPr>
                <w:sz w:val="20"/>
                <w:vertAlign w:val="superscript"/>
              </w:rPr>
              <w:t>nd</w:t>
            </w:r>
            <w:r w:rsidRPr="00435769">
              <w:rPr>
                <w:sz w:val="20"/>
              </w:rPr>
              <w:t xml:space="preserve"> application for leave to appeal filed (Satinder Jaswal et al.)</w:t>
            </w:r>
          </w:p>
        </w:tc>
      </w:tr>
    </w:tbl>
    <w:p w:rsidR="007932B2" w:rsidRPr="00435769" w:rsidRDefault="007932B2" w:rsidP="007932B2">
      <w:pPr>
        <w:jc w:val="both"/>
        <w:rPr>
          <w:sz w:val="20"/>
        </w:rPr>
      </w:pPr>
    </w:p>
    <w:p w:rsidR="00851F15" w:rsidRPr="00435769" w:rsidRDefault="00851F15" w:rsidP="007932B2">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429"/>
      </w:tblGrid>
      <w:tr w:rsidR="007932B2" w:rsidRPr="00435769" w:rsidTr="001E6528">
        <w:tc>
          <w:tcPr>
            <w:tcW w:w="538" w:type="pct"/>
          </w:tcPr>
          <w:p w:rsidR="007932B2" w:rsidRPr="00435769" w:rsidRDefault="007932B2" w:rsidP="007932B2">
            <w:pPr>
              <w:jc w:val="both"/>
              <w:rPr>
                <w:sz w:val="20"/>
                <w:lang w:val="fr-CA"/>
              </w:rPr>
            </w:pPr>
            <w:r w:rsidRPr="00435769">
              <w:rPr>
                <w:rStyle w:val="SCCFileNumberChar"/>
                <w:sz w:val="20"/>
                <w:szCs w:val="20"/>
                <w:lang w:val="fr-CA"/>
              </w:rPr>
              <w:t>37128</w:t>
            </w:r>
          </w:p>
        </w:tc>
        <w:tc>
          <w:tcPr>
            <w:tcW w:w="4462" w:type="pct"/>
            <w:gridSpan w:val="3"/>
          </w:tcPr>
          <w:p w:rsidR="007932B2" w:rsidRPr="00435769" w:rsidRDefault="007932B2" w:rsidP="007932B2">
            <w:pPr>
              <w:pStyle w:val="SCCLsocParty"/>
              <w:jc w:val="both"/>
              <w:rPr>
                <w:b/>
                <w:sz w:val="20"/>
                <w:szCs w:val="20"/>
              </w:rPr>
            </w:pPr>
            <w:r w:rsidRPr="00435769">
              <w:rPr>
                <w:b/>
                <w:sz w:val="20"/>
                <w:szCs w:val="20"/>
              </w:rPr>
              <w:t>Scott Roberts c. Superintendent of Motor Vehicles, procureur général de la Colombie -Britannique</w:t>
            </w:r>
          </w:p>
          <w:p w:rsidR="007932B2" w:rsidRPr="00435769" w:rsidRDefault="007932B2" w:rsidP="007932B2">
            <w:pPr>
              <w:pStyle w:val="SCCLsocSubfileSeparator"/>
              <w:rPr>
                <w:sz w:val="20"/>
                <w:szCs w:val="20"/>
                <w:lang w:val="fr-CA"/>
              </w:rPr>
            </w:pPr>
            <w:r w:rsidRPr="00435769">
              <w:rPr>
                <w:sz w:val="20"/>
                <w:szCs w:val="20"/>
                <w:lang w:val="fr-CA"/>
              </w:rPr>
              <w:t>- et entre -</w:t>
            </w:r>
          </w:p>
          <w:p w:rsidR="007932B2" w:rsidRPr="00435769" w:rsidRDefault="007932B2" w:rsidP="007932B2">
            <w:pPr>
              <w:pStyle w:val="SCCLsocParty"/>
              <w:jc w:val="both"/>
              <w:rPr>
                <w:b/>
                <w:sz w:val="20"/>
                <w:szCs w:val="20"/>
              </w:rPr>
            </w:pPr>
            <w:r w:rsidRPr="00435769">
              <w:rPr>
                <w:b/>
                <w:sz w:val="20"/>
                <w:szCs w:val="20"/>
              </w:rPr>
              <w:t>Satinder Jaswal c. Superintendent of Motor Vehicles, procureur général de la Colombie -Britannique</w:t>
            </w:r>
          </w:p>
          <w:p w:rsidR="007932B2" w:rsidRPr="00435769" w:rsidRDefault="007932B2" w:rsidP="007932B2">
            <w:pPr>
              <w:pStyle w:val="SCCLsocSubfileSeparator"/>
              <w:rPr>
                <w:sz w:val="20"/>
                <w:szCs w:val="20"/>
                <w:lang w:val="fr-CA"/>
              </w:rPr>
            </w:pPr>
            <w:r w:rsidRPr="00435769">
              <w:rPr>
                <w:sz w:val="20"/>
                <w:szCs w:val="20"/>
                <w:lang w:val="fr-CA"/>
              </w:rPr>
              <w:t>- et entre -</w:t>
            </w:r>
          </w:p>
          <w:p w:rsidR="007932B2" w:rsidRPr="00435769" w:rsidRDefault="007932B2" w:rsidP="007932B2">
            <w:pPr>
              <w:pStyle w:val="SCCLsocParty"/>
              <w:jc w:val="both"/>
              <w:rPr>
                <w:b/>
                <w:sz w:val="20"/>
                <w:szCs w:val="20"/>
              </w:rPr>
            </w:pPr>
            <w:r w:rsidRPr="00435769">
              <w:rPr>
                <w:b/>
                <w:sz w:val="20"/>
                <w:szCs w:val="20"/>
              </w:rPr>
              <w:t>Carol Marion Beam c. Superintendent of Motor Vehicles, procureur général de la Colombie -Britannique</w:t>
            </w:r>
          </w:p>
          <w:p w:rsidR="007932B2" w:rsidRPr="00435769" w:rsidRDefault="007932B2" w:rsidP="007932B2">
            <w:pPr>
              <w:pStyle w:val="SCCLsocSubfileSeparator"/>
              <w:rPr>
                <w:sz w:val="20"/>
                <w:szCs w:val="20"/>
                <w:lang w:val="fr-CA"/>
              </w:rPr>
            </w:pPr>
            <w:r w:rsidRPr="00435769">
              <w:rPr>
                <w:sz w:val="20"/>
                <w:szCs w:val="20"/>
                <w:lang w:val="fr-CA"/>
              </w:rPr>
              <w:t>- et entre -</w:t>
            </w:r>
          </w:p>
          <w:p w:rsidR="007932B2" w:rsidRPr="00435769" w:rsidRDefault="007932B2" w:rsidP="007932B2">
            <w:pPr>
              <w:pStyle w:val="SCCLsocParty"/>
              <w:jc w:val="both"/>
              <w:rPr>
                <w:b/>
                <w:sz w:val="20"/>
                <w:szCs w:val="20"/>
              </w:rPr>
            </w:pPr>
            <w:r w:rsidRPr="00435769">
              <w:rPr>
                <w:b/>
                <w:sz w:val="20"/>
                <w:szCs w:val="20"/>
              </w:rPr>
              <w:t>Jamie Allen Chisholm c. Superintendent of Motor Vehicles, procureur général de la Colombie -Britannique</w:t>
            </w:r>
          </w:p>
          <w:p w:rsidR="007932B2" w:rsidRPr="00435769" w:rsidRDefault="007932B2" w:rsidP="007932B2">
            <w:pPr>
              <w:jc w:val="both"/>
              <w:rPr>
                <w:sz w:val="20"/>
                <w:lang w:val="fr-CA"/>
              </w:rPr>
            </w:pPr>
            <w:r w:rsidRPr="00435769">
              <w:rPr>
                <w:sz w:val="20"/>
                <w:lang w:val="fr-CA"/>
              </w:rPr>
              <w:t>(C.-B.) (Civile) (Sur autorisation)</w:t>
            </w:r>
          </w:p>
        </w:tc>
      </w:tr>
      <w:tr w:rsidR="007932B2" w:rsidRPr="00435769" w:rsidTr="001E6528">
        <w:tc>
          <w:tcPr>
            <w:tcW w:w="5000" w:type="pct"/>
            <w:gridSpan w:val="4"/>
          </w:tcPr>
          <w:p w:rsidR="007932B2" w:rsidRPr="00435769" w:rsidRDefault="007932B2" w:rsidP="007932B2">
            <w:pPr>
              <w:jc w:val="both"/>
              <w:rPr>
                <w:sz w:val="20"/>
                <w:lang w:val="fr-CA"/>
              </w:rPr>
            </w:pPr>
            <w:r w:rsidRPr="00435769">
              <w:rPr>
                <w:i/>
                <w:sz w:val="20"/>
                <w:lang w:val="fr-CA"/>
              </w:rPr>
              <w:t xml:space="preserve">Charte canadienne des droits et libertés </w:t>
            </w:r>
            <w:r w:rsidRPr="00435769">
              <w:rPr>
                <w:sz w:val="20"/>
                <w:lang w:val="fr-CA"/>
              </w:rPr>
              <w:t xml:space="preserve">– Droit constitutionnel – Recours – Réparation rétroactive – Certaines parties de la loi provinciale créant un </w:t>
            </w:r>
            <w:r w:rsidRPr="00435769">
              <w:rPr>
                <w:iCs/>
                <w:sz w:val="20"/>
                <w:lang w:val="fr-CA"/>
              </w:rPr>
              <w:t>régime d’interdiction automatique de conduire</w:t>
            </w:r>
            <w:r w:rsidRPr="00435769">
              <w:rPr>
                <w:sz w:val="20"/>
                <w:lang w:val="fr-CA"/>
              </w:rPr>
              <w:t xml:space="preserve"> ont déjà été déclarées inconstitutionnelles – Des conducteurs demandent un jugement déclaratoire rétroactif de l’invalidité de la loi – Comment les tribunaux qui traitent une loi qui a été jugée inconstitutionnelle peuvent-ils déterminer si une décision résulte d’une modification </w:t>
            </w:r>
            <w:r w:rsidRPr="00435769">
              <w:rPr>
                <w:sz w:val="20"/>
                <w:lang w:val="fr-CA"/>
              </w:rPr>
              <w:lastRenderedPageBreak/>
              <w:t xml:space="preserve">fondamentale du droit? – Quelles sont les caractéristiques classiques d’une modification fondamentale du droit? – Y a-t-il lieu de donner des indications plus précises aux juridictions inférieures sur la manière de déterminer ce que constitue une modification fondamentale du droit? – Dans quelle mesure un gouvernement a-t-il le droit de profiter d’une loi invalide? – Le spectre de litiges éventuels écarte-t-il la possibilité de l’application rétrospective, même s’il existe une immunité relative? – L’arrêt </w:t>
            </w:r>
            <w:r w:rsidRPr="00435769">
              <w:rPr>
                <w:i/>
                <w:iCs/>
                <w:sz w:val="20"/>
                <w:lang w:val="fr-CA"/>
              </w:rPr>
              <w:t>Canada (Procureur général) c. Hislop</w:t>
            </w:r>
            <w:r w:rsidRPr="00435769">
              <w:rPr>
                <w:iCs/>
                <w:sz w:val="20"/>
                <w:lang w:val="fr-CA"/>
              </w:rPr>
              <w:t>, 2007 CSC 10, [</w:t>
            </w:r>
            <w:r w:rsidRPr="00435769">
              <w:rPr>
                <w:sz w:val="20"/>
                <w:lang w:val="fr-CA"/>
              </w:rPr>
              <w:t xml:space="preserve">2007] 1 R.C.S. 429, empêche-t-il les requérants d’obtenir une réparation pour les sanctions qui leur ont été imposées par le régime d’interdiction automatique de conduire que notre Cour a jugé être une violation de l’art. 8 de la </w:t>
            </w:r>
            <w:r w:rsidRPr="00435769">
              <w:rPr>
                <w:i/>
                <w:sz w:val="20"/>
                <w:lang w:val="fr-CA"/>
              </w:rPr>
              <w:t>Charte</w:t>
            </w:r>
            <w:r w:rsidRPr="00435769">
              <w:rPr>
                <w:sz w:val="20"/>
                <w:lang w:val="fr-CA"/>
              </w:rPr>
              <w:t xml:space="preserve">? – Les réparations qui lèvent des sanctions inconstitutionnelles doivent-elles être généralement exclues du critère d’application pour l’avenir énoncé dans l’arrêt </w:t>
            </w:r>
            <w:r w:rsidRPr="00435769">
              <w:rPr>
                <w:i/>
                <w:sz w:val="20"/>
                <w:lang w:val="fr-CA"/>
              </w:rPr>
              <w:t>Hilsop</w:t>
            </w:r>
            <w:r w:rsidRPr="00435769">
              <w:rPr>
                <w:sz w:val="20"/>
                <w:lang w:val="fr-CA"/>
              </w:rPr>
              <w:t>?</w:t>
            </w:r>
          </w:p>
        </w:tc>
      </w:tr>
      <w:tr w:rsidR="007932B2" w:rsidRPr="00435769" w:rsidTr="001E6528">
        <w:tc>
          <w:tcPr>
            <w:tcW w:w="5000" w:type="pct"/>
            <w:gridSpan w:val="4"/>
          </w:tcPr>
          <w:p w:rsidR="007932B2" w:rsidRPr="00435769" w:rsidRDefault="007932B2" w:rsidP="007932B2">
            <w:pPr>
              <w:jc w:val="both"/>
              <w:rPr>
                <w:sz w:val="20"/>
                <w:lang w:val="fr-CA"/>
              </w:rPr>
            </w:pPr>
          </w:p>
        </w:tc>
      </w:tr>
      <w:tr w:rsidR="007932B2" w:rsidRPr="00435769" w:rsidTr="001E6528">
        <w:tc>
          <w:tcPr>
            <w:tcW w:w="5000" w:type="pct"/>
            <w:gridSpan w:val="4"/>
          </w:tcPr>
          <w:p w:rsidR="007932B2" w:rsidRPr="00435769" w:rsidRDefault="007932B2" w:rsidP="007932B2">
            <w:pPr>
              <w:jc w:val="both"/>
              <w:rPr>
                <w:sz w:val="20"/>
                <w:lang w:val="fr-CA"/>
              </w:rPr>
            </w:pPr>
            <w:r w:rsidRPr="00435769">
              <w:rPr>
                <w:sz w:val="20"/>
                <w:lang w:val="fr-CA"/>
              </w:rPr>
              <w:t xml:space="preserve">Dans la décision initiale, un juge en chambre de la Cour suprême de la Colombie-Britannique a déclaré inconstitutionnelles certaines parties du régime d’interdiction automatique de conduire de la Province établi par la </w:t>
            </w:r>
            <w:r w:rsidRPr="00435769">
              <w:rPr>
                <w:i/>
                <w:iCs/>
                <w:sz w:val="20"/>
                <w:lang w:val="fr-CA"/>
              </w:rPr>
              <w:t>Motor Vehicle Act</w:t>
            </w:r>
            <w:r w:rsidRPr="00435769">
              <w:rPr>
                <w:sz w:val="20"/>
                <w:lang w:val="fr-CA"/>
              </w:rPr>
              <w:t xml:space="preserve">, R.S.B.C. 1996, ch. 318. Il a suspendu la déclaration d’invalidité pour une période de six mois. Le jugement portant sur la validité constitutionnelle a été confirmé par la Cour d’appel de la Colombie-Britannique et par notre Cour dans </w:t>
            </w:r>
            <w:r w:rsidRPr="00435769">
              <w:rPr>
                <w:i/>
                <w:sz w:val="20"/>
                <w:lang w:val="fr-CA"/>
              </w:rPr>
              <w:t>Goodwin c. Colombie-Britannique (Superintendent of Motor Vehicles)</w:t>
            </w:r>
            <w:r w:rsidRPr="00435769">
              <w:rPr>
                <w:sz w:val="20"/>
                <w:lang w:val="fr-CA"/>
              </w:rPr>
              <w:t>, 2015 CSC 46, [2015] 3 R.C.S. 250. Au moment du procès devant le juge en chambre, la question de la réparation constitutionnelle a été scindée de la question de la validité constitutionnelle. En ce concerne les réparations, les demandeurs ont sollicité divers jugements déclaratoires, par exemple l’annulation de décisions et de peines, ainsi qu’une réparation monétaire, par exemple la restitution et des dommages-intérêts. Ils ont plaidé que la déclaration d’invalidité devait être rétroactive à la date d’entrée en vigueur du régime.</w:t>
            </w:r>
          </w:p>
          <w:p w:rsidR="007932B2" w:rsidRPr="00435769" w:rsidRDefault="007932B2" w:rsidP="007932B2">
            <w:pPr>
              <w:jc w:val="both"/>
              <w:rPr>
                <w:sz w:val="20"/>
                <w:lang w:val="fr-CA"/>
              </w:rPr>
            </w:pPr>
          </w:p>
        </w:tc>
      </w:tr>
      <w:tr w:rsidR="007932B2" w:rsidRPr="00435769" w:rsidTr="00212055">
        <w:tblPrEx>
          <w:tblCellMar>
            <w:bottom w:w="0" w:type="dxa"/>
          </w:tblCellMar>
        </w:tblPrEx>
        <w:tc>
          <w:tcPr>
            <w:tcW w:w="2367" w:type="pct"/>
            <w:gridSpan w:val="2"/>
          </w:tcPr>
          <w:p w:rsidR="007932B2" w:rsidRPr="00435769" w:rsidRDefault="007932B2" w:rsidP="007932B2">
            <w:pPr>
              <w:jc w:val="both"/>
              <w:rPr>
                <w:sz w:val="20"/>
                <w:lang w:val="fr-CA"/>
              </w:rPr>
            </w:pPr>
            <w:r w:rsidRPr="00435769">
              <w:rPr>
                <w:sz w:val="20"/>
                <w:lang w:val="fr-CA"/>
              </w:rPr>
              <w:t>7 juillet 2012</w:t>
            </w:r>
          </w:p>
          <w:p w:rsidR="007932B2" w:rsidRPr="00435769" w:rsidRDefault="007932B2" w:rsidP="007932B2">
            <w:pPr>
              <w:jc w:val="both"/>
              <w:rPr>
                <w:sz w:val="20"/>
                <w:lang w:val="fr-CA"/>
              </w:rPr>
            </w:pPr>
            <w:r w:rsidRPr="00435769">
              <w:rPr>
                <w:sz w:val="20"/>
                <w:lang w:val="fr-CA"/>
              </w:rPr>
              <w:t xml:space="preserve">Cour suprême de la Colombie-Britannique </w:t>
            </w:r>
          </w:p>
          <w:p w:rsidR="007932B2" w:rsidRPr="00435769" w:rsidRDefault="007932B2" w:rsidP="007932B2">
            <w:pPr>
              <w:jc w:val="both"/>
              <w:rPr>
                <w:sz w:val="20"/>
                <w:lang w:val="fr-CA"/>
              </w:rPr>
            </w:pPr>
            <w:r w:rsidRPr="00435769">
              <w:rPr>
                <w:sz w:val="20"/>
                <w:lang w:val="fr-CA"/>
              </w:rPr>
              <w:t>(Juge Sigurdson)</w:t>
            </w:r>
          </w:p>
          <w:p w:rsidR="007932B2" w:rsidRPr="00435769" w:rsidRDefault="00435769" w:rsidP="007932B2">
            <w:pPr>
              <w:jc w:val="both"/>
              <w:rPr>
                <w:sz w:val="20"/>
                <w:lang w:val="fr-CA"/>
              </w:rPr>
            </w:pPr>
            <w:hyperlink r:id="rId125" w:history="1">
              <w:r w:rsidR="007932B2" w:rsidRPr="00435769">
                <w:rPr>
                  <w:rStyle w:val="Hyperlink"/>
                  <w:sz w:val="20"/>
                  <w:lang w:val="fr-CA"/>
                </w:rPr>
                <w:t>2012 BCSC 1030</w:t>
              </w:r>
            </w:hyperlink>
            <w:r w:rsidR="007932B2" w:rsidRPr="00435769">
              <w:rPr>
                <w:sz w:val="20"/>
                <w:lang w:val="fr-CA"/>
              </w:rPr>
              <w:t xml:space="preserve"> </w:t>
            </w:r>
          </w:p>
          <w:p w:rsidR="007932B2" w:rsidRPr="00435769" w:rsidRDefault="007932B2" w:rsidP="007932B2">
            <w:pPr>
              <w:jc w:val="both"/>
              <w:rPr>
                <w:sz w:val="20"/>
                <w:lang w:val="fr-CA"/>
              </w:rPr>
            </w:pPr>
          </w:p>
        </w:tc>
        <w:tc>
          <w:tcPr>
            <w:tcW w:w="267" w:type="pct"/>
          </w:tcPr>
          <w:p w:rsidR="007932B2" w:rsidRPr="00435769" w:rsidRDefault="007932B2" w:rsidP="007932B2">
            <w:pPr>
              <w:jc w:val="both"/>
              <w:rPr>
                <w:sz w:val="20"/>
                <w:lang w:val="fr-CA"/>
              </w:rPr>
            </w:pPr>
          </w:p>
        </w:tc>
        <w:tc>
          <w:tcPr>
            <w:tcW w:w="2366" w:type="pct"/>
          </w:tcPr>
          <w:p w:rsidR="007932B2" w:rsidRPr="00435769" w:rsidRDefault="007932B2" w:rsidP="007932B2">
            <w:pPr>
              <w:jc w:val="both"/>
              <w:rPr>
                <w:sz w:val="20"/>
                <w:lang w:val="fr-CA"/>
              </w:rPr>
            </w:pPr>
            <w:r w:rsidRPr="00435769">
              <w:rPr>
                <w:sz w:val="20"/>
                <w:lang w:val="fr-CA"/>
              </w:rPr>
              <w:t>Rejet de la demande de réparation rétroactive</w:t>
            </w:r>
          </w:p>
          <w:p w:rsidR="007932B2" w:rsidRPr="00435769" w:rsidRDefault="007932B2" w:rsidP="007932B2">
            <w:pPr>
              <w:jc w:val="both"/>
              <w:rPr>
                <w:sz w:val="20"/>
                <w:lang w:val="fr-CA"/>
              </w:rPr>
            </w:pPr>
          </w:p>
        </w:tc>
      </w:tr>
      <w:tr w:rsidR="007932B2" w:rsidRPr="00435769" w:rsidTr="007A7D96">
        <w:tblPrEx>
          <w:tblCellMar>
            <w:bottom w:w="0" w:type="dxa"/>
          </w:tblCellMar>
        </w:tblPrEx>
        <w:tc>
          <w:tcPr>
            <w:tcW w:w="2367" w:type="pct"/>
            <w:gridSpan w:val="2"/>
          </w:tcPr>
          <w:p w:rsidR="007932B2" w:rsidRPr="00435769" w:rsidRDefault="007932B2" w:rsidP="007932B2">
            <w:pPr>
              <w:jc w:val="both"/>
              <w:rPr>
                <w:sz w:val="20"/>
                <w:lang w:val="fr-CA"/>
              </w:rPr>
            </w:pPr>
            <w:r w:rsidRPr="00435769">
              <w:rPr>
                <w:sz w:val="20"/>
                <w:lang w:val="fr-CA"/>
              </w:rPr>
              <w:t>10 juin 2016</w:t>
            </w:r>
          </w:p>
          <w:p w:rsidR="007932B2" w:rsidRPr="00435769" w:rsidRDefault="007932B2" w:rsidP="007932B2">
            <w:pPr>
              <w:jc w:val="both"/>
              <w:rPr>
                <w:sz w:val="20"/>
                <w:lang w:val="fr-CA"/>
              </w:rPr>
            </w:pPr>
            <w:r w:rsidRPr="00435769">
              <w:rPr>
                <w:sz w:val="20"/>
                <w:lang w:val="fr-CA"/>
              </w:rPr>
              <w:t>Cour d’appel de la Colombie-Britannique</w:t>
            </w:r>
          </w:p>
          <w:p w:rsidR="007932B2" w:rsidRPr="00435769" w:rsidRDefault="007932B2" w:rsidP="007932B2">
            <w:pPr>
              <w:jc w:val="both"/>
              <w:rPr>
                <w:sz w:val="20"/>
                <w:lang w:val="fr-CA"/>
              </w:rPr>
            </w:pPr>
            <w:r w:rsidRPr="00435769">
              <w:rPr>
                <w:sz w:val="20"/>
                <w:lang w:val="fr-CA"/>
              </w:rPr>
              <w:t>(Vancouver)</w:t>
            </w:r>
          </w:p>
          <w:p w:rsidR="007932B2" w:rsidRPr="00435769" w:rsidRDefault="007932B2" w:rsidP="007932B2">
            <w:pPr>
              <w:jc w:val="both"/>
              <w:rPr>
                <w:sz w:val="20"/>
                <w:lang w:val="fr-CA"/>
              </w:rPr>
            </w:pPr>
            <w:r w:rsidRPr="00435769">
              <w:rPr>
                <w:sz w:val="20"/>
                <w:lang w:val="fr-CA"/>
              </w:rPr>
              <w:t>(Juges Garson, Stromberg-Stein et Fitch)</w:t>
            </w:r>
          </w:p>
          <w:p w:rsidR="007932B2" w:rsidRPr="00435769" w:rsidRDefault="00435769" w:rsidP="007932B2">
            <w:pPr>
              <w:jc w:val="both"/>
              <w:rPr>
                <w:sz w:val="20"/>
                <w:lang w:val="fr-CA"/>
              </w:rPr>
            </w:pPr>
            <w:hyperlink r:id="rId126" w:history="1">
              <w:r w:rsidR="007932B2" w:rsidRPr="00435769">
                <w:rPr>
                  <w:rStyle w:val="Hyperlink"/>
                  <w:sz w:val="20"/>
                  <w:lang w:val="fr-CA"/>
                </w:rPr>
                <w:t>2016 BCCA 245</w:t>
              </w:r>
            </w:hyperlink>
          </w:p>
          <w:p w:rsidR="007932B2" w:rsidRPr="00435769" w:rsidRDefault="007932B2" w:rsidP="007932B2">
            <w:pPr>
              <w:jc w:val="both"/>
              <w:rPr>
                <w:sz w:val="20"/>
                <w:lang w:val="fr-CA"/>
              </w:rPr>
            </w:pPr>
          </w:p>
        </w:tc>
        <w:tc>
          <w:tcPr>
            <w:tcW w:w="267" w:type="pct"/>
          </w:tcPr>
          <w:p w:rsidR="007932B2" w:rsidRPr="00435769" w:rsidRDefault="007932B2" w:rsidP="007932B2">
            <w:pPr>
              <w:jc w:val="both"/>
              <w:rPr>
                <w:sz w:val="20"/>
                <w:lang w:val="fr-CA"/>
              </w:rPr>
            </w:pPr>
          </w:p>
        </w:tc>
        <w:tc>
          <w:tcPr>
            <w:tcW w:w="2366" w:type="pct"/>
          </w:tcPr>
          <w:p w:rsidR="007932B2" w:rsidRPr="00435769" w:rsidRDefault="007932B2" w:rsidP="007932B2">
            <w:pPr>
              <w:jc w:val="both"/>
              <w:rPr>
                <w:sz w:val="20"/>
                <w:lang w:val="fr-CA"/>
              </w:rPr>
            </w:pPr>
            <w:r w:rsidRPr="00435769">
              <w:rPr>
                <w:sz w:val="20"/>
                <w:lang w:val="fr-CA"/>
              </w:rPr>
              <w:t>Rejet de l’appel</w:t>
            </w:r>
          </w:p>
          <w:p w:rsidR="007932B2" w:rsidRPr="00435769" w:rsidRDefault="007932B2" w:rsidP="007932B2">
            <w:pPr>
              <w:jc w:val="both"/>
              <w:rPr>
                <w:sz w:val="20"/>
                <w:lang w:val="fr-CA"/>
              </w:rPr>
            </w:pPr>
          </w:p>
        </w:tc>
      </w:tr>
      <w:tr w:rsidR="007932B2" w:rsidRPr="00435769" w:rsidTr="00851F15">
        <w:tblPrEx>
          <w:tblCellMar>
            <w:bottom w:w="0" w:type="dxa"/>
          </w:tblCellMar>
        </w:tblPrEx>
        <w:trPr>
          <w:trHeight w:val="711"/>
        </w:trPr>
        <w:tc>
          <w:tcPr>
            <w:tcW w:w="2367" w:type="pct"/>
            <w:gridSpan w:val="2"/>
          </w:tcPr>
          <w:p w:rsidR="007932B2" w:rsidRPr="00435769" w:rsidRDefault="007932B2" w:rsidP="007932B2">
            <w:pPr>
              <w:jc w:val="both"/>
              <w:rPr>
                <w:sz w:val="20"/>
                <w:lang w:val="fr-CA"/>
              </w:rPr>
            </w:pPr>
            <w:r w:rsidRPr="00435769">
              <w:rPr>
                <w:sz w:val="20"/>
                <w:lang w:val="fr-CA"/>
              </w:rPr>
              <w:t>10 août 2016</w:t>
            </w:r>
          </w:p>
          <w:p w:rsidR="007932B2" w:rsidRPr="00435769" w:rsidRDefault="007932B2" w:rsidP="007932B2">
            <w:pPr>
              <w:jc w:val="both"/>
              <w:rPr>
                <w:sz w:val="20"/>
                <w:lang w:val="fr-CA"/>
              </w:rPr>
            </w:pPr>
            <w:r w:rsidRPr="00435769">
              <w:rPr>
                <w:sz w:val="20"/>
                <w:lang w:val="fr-CA"/>
              </w:rPr>
              <w:t>Cour suprême du Canada</w:t>
            </w:r>
          </w:p>
          <w:p w:rsidR="00851F15" w:rsidRPr="00435769" w:rsidRDefault="00851F15" w:rsidP="007932B2">
            <w:pPr>
              <w:jc w:val="both"/>
              <w:rPr>
                <w:sz w:val="20"/>
                <w:lang w:val="fr-CA"/>
              </w:rPr>
            </w:pPr>
          </w:p>
        </w:tc>
        <w:tc>
          <w:tcPr>
            <w:tcW w:w="267" w:type="pct"/>
          </w:tcPr>
          <w:p w:rsidR="007932B2" w:rsidRPr="00435769" w:rsidRDefault="007932B2" w:rsidP="007932B2">
            <w:pPr>
              <w:jc w:val="both"/>
              <w:rPr>
                <w:sz w:val="20"/>
                <w:lang w:val="fr-CA"/>
              </w:rPr>
            </w:pPr>
          </w:p>
        </w:tc>
        <w:tc>
          <w:tcPr>
            <w:tcW w:w="2366" w:type="pct"/>
          </w:tcPr>
          <w:p w:rsidR="007932B2" w:rsidRPr="00435769" w:rsidRDefault="007932B2" w:rsidP="007932B2">
            <w:pPr>
              <w:jc w:val="both"/>
              <w:rPr>
                <w:sz w:val="20"/>
                <w:lang w:val="fr-CA"/>
              </w:rPr>
            </w:pPr>
            <w:r w:rsidRPr="00435769">
              <w:rPr>
                <w:sz w:val="20"/>
                <w:lang w:val="fr-CA"/>
              </w:rPr>
              <w:t>Dépôt de la première demande d’autorisation d’appel (Scott Roberts)</w:t>
            </w:r>
          </w:p>
        </w:tc>
      </w:tr>
      <w:tr w:rsidR="007932B2" w:rsidRPr="00435769" w:rsidTr="00851F15">
        <w:tblPrEx>
          <w:tblCellMar>
            <w:bottom w:w="0" w:type="dxa"/>
          </w:tblCellMar>
        </w:tblPrEx>
        <w:trPr>
          <w:trHeight w:val="549"/>
        </w:trPr>
        <w:tc>
          <w:tcPr>
            <w:tcW w:w="2367" w:type="pct"/>
            <w:gridSpan w:val="2"/>
          </w:tcPr>
          <w:p w:rsidR="007932B2" w:rsidRPr="00435769" w:rsidRDefault="007932B2" w:rsidP="007932B2">
            <w:pPr>
              <w:jc w:val="both"/>
              <w:rPr>
                <w:sz w:val="20"/>
                <w:lang w:val="fr-CA"/>
              </w:rPr>
            </w:pPr>
            <w:r w:rsidRPr="00435769">
              <w:rPr>
                <w:sz w:val="20"/>
                <w:lang w:val="fr-CA"/>
              </w:rPr>
              <w:t xml:space="preserve">31 août 2016 </w:t>
            </w:r>
          </w:p>
          <w:p w:rsidR="007932B2" w:rsidRPr="00435769" w:rsidRDefault="007932B2" w:rsidP="007932B2">
            <w:pPr>
              <w:jc w:val="both"/>
              <w:rPr>
                <w:sz w:val="20"/>
                <w:lang w:val="fr-CA"/>
              </w:rPr>
            </w:pPr>
            <w:r w:rsidRPr="00435769">
              <w:rPr>
                <w:sz w:val="20"/>
                <w:lang w:val="fr-CA"/>
              </w:rPr>
              <w:t xml:space="preserve">Cour suprême du </w:t>
            </w:r>
            <w:r w:rsidR="00851F15" w:rsidRPr="00435769">
              <w:rPr>
                <w:sz w:val="20"/>
                <w:lang w:val="fr-CA"/>
              </w:rPr>
              <w:t>Canada</w:t>
            </w:r>
          </w:p>
        </w:tc>
        <w:tc>
          <w:tcPr>
            <w:tcW w:w="267" w:type="pct"/>
          </w:tcPr>
          <w:p w:rsidR="007932B2" w:rsidRPr="00435769" w:rsidRDefault="007932B2" w:rsidP="007932B2">
            <w:pPr>
              <w:jc w:val="both"/>
              <w:rPr>
                <w:sz w:val="20"/>
                <w:lang w:val="fr-CA"/>
              </w:rPr>
            </w:pPr>
          </w:p>
        </w:tc>
        <w:tc>
          <w:tcPr>
            <w:tcW w:w="2366" w:type="pct"/>
          </w:tcPr>
          <w:p w:rsidR="007932B2" w:rsidRPr="00435769" w:rsidRDefault="007932B2" w:rsidP="007932B2">
            <w:pPr>
              <w:jc w:val="both"/>
              <w:rPr>
                <w:sz w:val="20"/>
                <w:lang w:val="fr-CA"/>
              </w:rPr>
            </w:pPr>
            <w:r w:rsidRPr="00435769">
              <w:rPr>
                <w:sz w:val="20"/>
                <w:lang w:val="fr-CA"/>
              </w:rPr>
              <w:t>Dépôt de la deuxième demande d’autorisation d’appel (Satinder Jaswal et al.)</w:t>
            </w:r>
          </w:p>
        </w:tc>
      </w:tr>
    </w:tbl>
    <w:p w:rsidR="007932B2" w:rsidRPr="00435769" w:rsidRDefault="007932B2" w:rsidP="008E45AC">
      <w:pPr>
        <w:rPr>
          <w:sz w:val="20"/>
          <w:lang w:val="fr-CA"/>
        </w:rPr>
      </w:pPr>
    </w:p>
    <w:p w:rsidR="008E7E00" w:rsidRPr="00435769" w:rsidRDefault="008E7E00" w:rsidP="005256BB">
      <w:pPr>
        <w:ind w:left="360" w:hanging="360"/>
        <w:jc w:val="both"/>
        <w:rPr>
          <w:sz w:val="20"/>
          <w:lang w:val="fr-CA" w:eastAsia="en-CA"/>
        </w:rPr>
      </w:pPr>
    </w:p>
    <w:p w:rsidR="0055024A" w:rsidRPr="00435769" w:rsidRDefault="0055024A" w:rsidP="004167B1">
      <w:pPr>
        <w:ind w:left="360" w:hanging="360"/>
        <w:jc w:val="both"/>
        <w:rPr>
          <w:rFonts w:eastAsiaTheme="minorEastAsia"/>
          <w:sz w:val="20"/>
          <w:lang w:val="fr-CA" w:eastAsia="en-CA"/>
        </w:rPr>
      </w:pPr>
    </w:p>
    <w:p w:rsidR="00D3344A" w:rsidRPr="00435769" w:rsidRDefault="00D3344A" w:rsidP="00D3344A">
      <w:pPr>
        <w:widowControl w:val="0"/>
        <w:outlineLvl w:val="0"/>
      </w:pPr>
      <w:r w:rsidRPr="00435769">
        <w:t>Supreme Court of Canada / Cour suprême du Canad</w:t>
      </w:r>
      <w:r w:rsidR="00EE289F" w:rsidRPr="00435769">
        <w:t>a</w:t>
      </w:r>
      <w:r w:rsidRPr="00435769">
        <w:t xml:space="preserve"> :</w:t>
      </w:r>
    </w:p>
    <w:p w:rsidR="00D3344A" w:rsidRPr="00435769" w:rsidRDefault="00435769" w:rsidP="00D3344A">
      <w:pPr>
        <w:widowControl w:val="0"/>
        <w:outlineLvl w:val="0"/>
        <w:rPr>
          <w:u w:val="single"/>
        </w:rPr>
      </w:pPr>
      <w:hyperlink r:id="rId127" w:history="1">
        <w:r w:rsidR="00D3344A" w:rsidRPr="00435769">
          <w:rPr>
            <w:rStyle w:val="Hyperlink"/>
          </w:rPr>
          <w:t>comments-commentaires@scc-csc.ca</w:t>
        </w:r>
      </w:hyperlink>
    </w:p>
    <w:p w:rsidR="00D3344A" w:rsidRPr="00435769" w:rsidRDefault="0065588C" w:rsidP="00D3344A">
      <w:pPr>
        <w:widowControl w:val="0"/>
        <w:outlineLvl w:val="0"/>
      </w:pPr>
      <w:r w:rsidRPr="00435769">
        <w:t>613-</w:t>
      </w:r>
      <w:r w:rsidR="00D3344A" w:rsidRPr="00435769">
        <w:t>995-4330</w:t>
      </w:r>
    </w:p>
    <w:p w:rsidR="00497B5E" w:rsidRPr="00435769" w:rsidRDefault="00497B5E" w:rsidP="00497B5E">
      <w:pPr>
        <w:widowControl w:val="0"/>
        <w:rPr>
          <w:sz w:val="20"/>
        </w:rPr>
      </w:pPr>
    </w:p>
    <w:p w:rsidR="00F6251B" w:rsidRPr="00955992" w:rsidRDefault="003F43E6" w:rsidP="00F6251B">
      <w:pPr>
        <w:pStyle w:val="Footer"/>
        <w:jc w:val="center"/>
      </w:pPr>
      <w:r w:rsidRPr="00435769">
        <w:t>- 30 -</w:t>
      </w:r>
    </w:p>
    <w:p w:rsidR="00F6251B" w:rsidRPr="00955992" w:rsidRDefault="00F6251B" w:rsidP="00F6251B">
      <w:pPr>
        <w:pStyle w:val="Footer"/>
        <w:jc w:val="center"/>
      </w:pPr>
    </w:p>
    <w:p w:rsidR="00F6251B" w:rsidRPr="00955992" w:rsidRDefault="00F6251B" w:rsidP="00F6251B">
      <w:pPr>
        <w:pStyle w:val="Footer"/>
        <w:jc w:val="center"/>
      </w:pPr>
    </w:p>
    <w:sectPr w:rsidR="00F6251B" w:rsidRPr="00955992" w:rsidSect="00524822">
      <w:headerReference w:type="even" r:id="rId128"/>
      <w:headerReference w:type="default" r:id="rId129"/>
      <w:footerReference w:type="even" r:id="rId130"/>
      <w:footerReference w:type="default" r:id="rId131"/>
      <w:headerReference w:type="first" r:id="rId132"/>
      <w:footerReference w:type="first" r:id="rId133"/>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497" w:rsidRDefault="005A6497" w:rsidP="0034178A">
      <w:r>
        <w:separator/>
      </w:r>
    </w:p>
  </w:endnote>
  <w:endnote w:type="continuationSeparator" w:id="0">
    <w:p w:rsidR="005A6497" w:rsidRDefault="005A6497"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97" w:rsidRDefault="005A64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97" w:rsidRPr="009F77F0" w:rsidRDefault="005A6497"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97" w:rsidRDefault="005A6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497" w:rsidRDefault="005A6497" w:rsidP="0034178A">
      <w:r>
        <w:separator/>
      </w:r>
    </w:p>
  </w:footnote>
  <w:footnote w:type="continuationSeparator" w:id="0">
    <w:p w:rsidR="005A6497" w:rsidRDefault="005A6497"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97" w:rsidRDefault="005A6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97" w:rsidRDefault="005A64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497" w:rsidRDefault="005A6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391"/>
    <w:multiLevelType w:val="hybridMultilevel"/>
    <w:tmpl w:val="DF52C9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E4304"/>
    <w:multiLevelType w:val="hybridMultilevel"/>
    <w:tmpl w:val="58F63C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C81553"/>
    <w:multiLevelType w:val="hybridMultilevel"/>
    <w:tmpl w:val="6994D5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072227"/>
    <w:multiLevelType w:val="hybridMultilevel"/>
    <w:tmpl w:val="4AB43F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58F5C7B"/>
    <w:multiLevelType w:val="hybridMultilevel"/>
    <w:tmpl w:val="04220D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05C04804"/>
    <w:multiLevelType w:val="hybridMultilevel"/>
    <w:tmpl w:val="982C5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9A94770"/>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3490C2C"/>
    <w:multiLevelType w:val="hybridMultilevel"/>
    <w:tmpl w:val="56E271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51B6F07"/>
    <w:multiLevelType w:val="hybridMultilevel"/>
    <w:tmpl w:val="34E80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80E15F1"/>
    <w:multiLevelType w:val="hybridMultilevel"/>
    <w:tmpl w:val="CA9C61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36A4A7B"/>
    <w:multiLevelType w:val="hybridMultilevel"/>
    <w:tmpl w:val="A9CA4174"/>
    <w:lvl w:ilvl="0" w:tplc="88C2E4C2">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5783330"/>
    <w:multiLevelType w:val="hybridMultilevel"/>
    <w:tmpl w:val="B4E07F94"/>
    <w:lvl w:ilvl="0" w:tplc="D77AF63C">
      <w:start w:val="1"/>
      <w:numFmt w:val="decimal"/>
      <w:lvlText w:val="%1."/>
      <w:lvlJc w:val="left"/>
      <w:pPr>
        <w:ind w:left="720" w:hanging="360"/>
      </w:pPr>
      <w:rPr>
        <w:lang w:val="fr-FR"/>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2D3869A6"/>
    <w:multiLevelType w:val="hybridMultilevel"/>
    <w:tmpl w:val="077ECF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6756398"/>
    <w:multiLevelType w:val="hybridMultilevel"/>
    <w:tmpl w:val="C590994C"/>
    <w:lvl w:ilvl="0" w:tplc="9956F13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CF54FD8"/>
    <w:multiLevelType w:val="hybridMultilevel"/>
    <w:tmpl w:val="AA9CA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A2FBB"/>
    <w:multiLevelType w:val="hybridMultilevel"/>
    <w:tmpl w:val="593AA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DC2419F"/>
    <w:multiLevelType w:val="hybridMultilevel"/>
    <w:tmpl w:val="461ACAD8"/>
    <w:lvl w:ilvl="0" w:tplc="459CF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E6D77CF"/>
    <w:multiLevelType w:val="hybridMultilevel"/>
    <w:tmpl w:val="06E60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895F3C"/>
    <w:multiLevelType w:val="hybridMultilevel"/>
    <w:tmpl w:val="3384AC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CC553A"/>
    <w:multiLevelType w:val="hybridMultilevel"/>
    <w:tmpl w:val="8FFC62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256EE3"/>
    <w:multiLevelType w:val="hybridMultilevel"/>
    <w:tmpl w:val="149E2E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C5B5C51"/>
    <w:multiLevelType w:val="hybridMultilevel"/>
    <w:tmpl w:val="A83451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E453A86"/>
    <w:multiLevelType w:val="hybridMultilevel"/>
    <w:tmpl w:val="AD4854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13E4F67"/>
    <w:multiLevelType w:val="hybridMultilevel"/>
    <w:tmpl w:val="29E6DD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62470129"/>
    <w:multiLevelType w:val="hybridMultilevel"/>
    <w:tmpl w:val="410E2C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29A67CF"/>
    <w:multiLevelType w:val="hybridMultilevel"/>
    <w:tmpl w:val="8EC0F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54729E5"/>
    <w:multiLevelType w:val="hybridMultilevel"/>
    <w:tmpl w:val="34E80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5CD3373"/>
    <w:multiLevelType w:val="hybridMultilevel"/>
    <w:tmpl w:val="02B2EA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79A57BD"/>
    <w:multiLevelType w:val="hybridMultilevel"/>
    <w:tmpl w:val="486237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80252B7"/>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A1A0D76"/>
    <w:multiLevelType w:val="hybridMultilevel"/>
    <w:tmpl w:val="F04E77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B1F35A5"/>
    <w:multiLevelType w:val="hybridMultilevel"/>
    <w:tmpl w:val="41EC7F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CE11497"/>
    <w:multiLevelType w:val="hybridMultilevel"/>
    <w:tmpl w:val="2D5A45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20"/>
  </w:num>
  <w:num w:numId="3">
    <w:abstractNumId w:val="1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2"/>
  </w:num>
  <w:num w:numId="11">
    <w:abstractNumId w:val="19"/>
  </w:num>
  <w:num w:numId="12">
    <w:abstractNumId w:val="10"/>
  </w:num>
  <w:num w:numId="13">
    <w:abstractNumId w:val="31"/>
  </w:num>
  <w:num w:numId="14">
    <w:abstractNumId w:val="34"/>
  </w:num>
  <w:num w:numId="15">
    <w:abstractNumId w:val="27"/>
  </w:num>
  <w:num w:numId="16">
    <w:abstractNumId w:val="1"/>
  </w:num>
  <w:num w:numId="17">
    <w:abstractNumId w:val="9"/>
  </w:num>
  <w:num w:numId="18">
    <w:abstractNumId w:val="16"/>
  </w:num>
  <w:num w:numId="19">
    <w:abstractNumId w:val="0"/>
  </w:num>
  <w:num w:numId="20">
    <w:abstractNumId w:val="35"/>
  </w:num>
  <w:num w:numId="21">
    <w:abstractNumId w:val="24"/>
  </w:num>
  <w:num w:numId="22">
    <w:abstractNumId w:val="21"/>
  </w:num>
  <w:num w:numId="23">
    <w:abstractNumId w:val="12"/>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6"/>
  </w:num>
  <w:num w:numId="27">
    <w:abstractNumId w:val="13"/>
  </w:num>
  <w:num w:numId="28">
    <w:abstractNumId w:val="2"/>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8"/>
  </w:num>
  <w:num w:numId="32">
    <w:abstractNumId w:val="29"/>
  </w:num>
  <w:num w:numId="33">
    <w:abstractNumId w:val="28"/>
  </w:num>
  <w:num w:numId="34">
    <w:abstractNumId w:val="26"/>
  </w:num>
  <w:num w:numId="35">
    <w:abstractNumId w:val="14"/>
  </w:num>
  <w:num w:numId="36">
    <w:abstractNumId w:val="22"/>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ZW" w:vendorID="64" w:dllVersion="131078" w:nlCheck="1" w:checkStyle="1"/>
  <w:defaultTabStop w:val="720"/>
  <w:drawingGridHorizontalSpacing w:val="120"/>
  <w:displayHorizontalDrawingGridEvery w:val="2"/>
  <w:characterSpacingControl w:val="doNotCompress"/>
  <w:hdrShapeDefaults>
    <o:shapedefaults v:ext="edit" spidmax="394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072"/>
    <w:rsid w:val="00003A2D"/>
    <w:rsid w:val="00003D1C"/>
    <w:rsid w:val="000043C3"/>
    <w:rsid w:val="00006648"/>
    <w:rsid w:val="0000686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267C"/>
    <w:rsid w:val="00024962"/>
    <w:rsid w:val="000250B7"/>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B58"/>
    <w:rsid w:val="00042069"/>
    <w:rsid w:val="00042390"/>
    <w:rsid w:val="0004298B"/>
    <w:rsid w:val="000437B4"/>
    <w:rsid w:val="00043FDE"/>
    <w:rsid w:val="000467DE"/>
    <w:rsid w:val="00046CB2"/>
    <w:rsid w:val="00047188"/>
    <w:rsid w:val="00047CD6"/>
    <w:rsid w:val="00051DE6"/>
    <w:rsid w:val="00054F8E"/>
    <w:rsid w:val="000577D9"/>
    <w:rsid w:val="00060753"/>
    <w:rsid w:val="00060B62"/>
    <w:rsid w:val="00061283"/>
    <w:rsid w:val="000627A2"/>
    <w:rsid w:val="000629D7"/>
    <w:rsid w:val="0006417A"/>
    <w:rsid w:val="00065F8F"/>
    <w:rsid w:val="0006649C"/>
    <w:rsid w:val="00066B80"/>
    <w:rsid w:val="00067F50"/>
    <w:rsid w:val="00070830"/>
    <w:rsid w:val="00077CCC"/>
    <w:rsid w:val="00077E16"/>
    <w:rsid w:val="000809B3"/>
    <w:rsid w:val="00080EAB"/>
    <w:rsid w:val="00081C6A"/>
    <w:rsid w:val="00082444"/>
    <w:rsid w:val="000825A5"/>
    <w:rsid w:val="00082D8D"/>
    <w:rsid w:val="00083162"/>
    <w:rsid w:val="0008327A"/>
    <w:rsid w:val="000841F9"/>
    <w:rsid w:val="000843DB"/>
    <w:rsid w:val="000845AF"/>
    <w:rsid w:val="00085D13"/>
    <w:rsid w:val="00086629"/>
    <w:rsid w:val="00087808"/>
    <w:rsid w:val="000879BA"/>
    <w:rsid w:val="00091FFC"/>
    <w:rsid w:val="00093693"/>
    <w:rsid w:val="00095627"/>
    <w:rsid w:val="00096BDC"/>
    <w:rsid w:val="000975EC"/>
    <w:rsid w:val="00097C55"/>
    <w:rsid w:val="000A0444"/>
    <w:rsid w:val="000A0472"/>
    <w:rsid w:val="000A152E"/>
    <w:rsid w:val="000A20B0"/>
    <w:rsid w:val="000A245A"/>
    <w:rsid w:val="000A4311"/>
    <w:rsid w:val="000A50F9"/>
    <w:rsid w:val="000A6C60"/>
    <w:rsid w:val="000A6F64"/>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2CA7"/>
    <w:rsid w:val="000C3667"/>
    <w:rsid w:val="000C41A6"/>
    <w:rsid w:val="000C41C9"/>
    <w:rsid w:val="000C4781"/>
    <w:rsid w:val="000C572E"/>
    <w:rsid w:val="000C61C7"/>
    <w:rsid w:val="000C6AA2"/>
    <w:rsid w:val="000C6C97"/>
    <w:rsid w:val="000C7BD5"/>
    <w:rsid w:val="000D1DDF"/>
    <w:rsid w:val="000D262B"/>
    <w:rsid w:val="000D2F5C"/>
    <w:rsid w:val="000D3129"/>
    <w:rsid w:val="000D4BBF"/>
    <w:rsid w:val="000D6FB8"/>
    <w:rsid w:val="000E0D3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FE1"/>
    <w:rsid w:val="00113F0C"/>
    <w:rsid w:val="001147A4"/>
    <w:rsid w:val="00115CF1"/>
    <w:rsid w:val="001170C6"/>
    <w:rsid w:val="00117137"/>
    <w:rsid w:val="00117AF3"/>
    <w:rsid w:val="001200D6"/>
    <w:rsid w:val="00120360"/>
    <w:rsid w:val="0012068C"/>
    <w:rsid w:val="00120CA0"/>
    <w:rsid w:val="0012101A"/>
    <w:rsid w:val="0012202C"/>
    <w:rsid w:val="00122CE1"/>
    <w:rsid w:val="00123976"/>
    <w:rsid w:val="00124629"/>
    <w:rsid w:val="00124DEC"/>
    <w:rsid w:val="00124EFD"/>
    <w:rsid w:val="0012577E"/>
    <w:rsid w:val="001262EF"/>
    <w:rsid w:val="0013159F"/>
    <w:rsid w:val="00131EB1"/>
    <w:rsid w:val="00132635"/>
    <w:rsid w:val="00134190"/>
    <w:rsid w:val="001354E7"/>
    <w:rsid w:val="00135A54"/>
    <w:rsid w:val="00136710"/>
    <w:rsid w:val="00140982"/>
    <w:rsid w:val="00141200"/>
    <w:rsid w:val="00141591"/>
    <w:rsid w:val="0014187A"/>
    <w:rsid w:val="00141FBC"/>
    <w:rsid w:val="0014243F"/>
    <w:rsid w:val="0014294E"/>
    <w:rsid w:val="00142C72"/>
    <w:rsid w:val="001432DF"/>
    <w:rsid w:val="00143447"/>
    <w:rsid w:val="00143519"/>
    <w:rsid w:val="00144111"/>
    <w:rsid w:val="00144A29"/>
    <w:rsid w:val="00147BE4"/>
    <w:rsid w:val="00147CDB"/>
    <w:rsid w:val="00147DE3"/>
    <w:rsid w:val="00150453"/>
    <w:rsid w:val="00150C10"/>
    <w:rsid w:val="00150D1B"/>
    <w:rsid w:val="00151336"/>
    <w:rsid w:val="00152366"/>
    <w:rsid w:val="00152EC0"/>
    <w:rsid w:val="00153B85"/>
    <w:rsid w:val="00155FD8"/>
    <w:rsid w:val="0015605D"/>
    <w:rsid w:val="001560EC"/>
    <w:rsid w:val="00156508"/>
    <w:rsid w:val="00157B04"/>
    <w:rsid w:val="00160866"/>
    <w:rsid w:val="00161F83"/>
    <w:rsid w:val="00165EAA"/>
    <w:rsid w:val="00167721"/>
    <w:rsid w:val="001708BE"/>
    <w:rsid w:val="0017098A"/>
    <w:rsid w:val="001716F7"/>
    <w:rsid w:val="001739C2"/>
    <w:rsid w:val="00173B3A"/>
    <w:rsid w:val="00174655"/>
    <w:rsid w:val="00174D90"/>
    <w:rsid w:val="0017656E"/>
    <w:rsid w:val="00176790"/>
    <w:rsid w:val="00176D8B"/>
    <w:rsid w:val="0017751F"/>
    <w:rsid w:val="00181375"/>
    <w:rsid w:val="001813C3"/>
    <w:rsid w:val="001819DA"/>
    <w:rsid w:val="00182693"/>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F7F"/>
    <w:rsid w:val="00194559"/>
    <w:rsid w:val="001947C1"/>
    <w:rsid w:val="001948EC"/>
    <w:rsid w:val="00194F2A"/>
    <w:rsid w:val="0019508F"/>
    <w:rsid w:val="001953F2"/>
    <w:rsid w:val="0019547E"/>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5EB4"/>
    <w:rsid w:val="001B68D3"/>
    <w:rsid w:val="001B76EB"/>
    <w:rsid w:val="001C0C39"/>
    <w:rsid w:val="001C0E0C"/>
    <w:rsid w:val="001C2F21"/>
    <w:rsid w:val="001C321B"/>
    <w:rsid w:val="001C3C19"/>
    <w:rsid w:val="001C3ED4"/>
    <w:rsid w:val="001C5E6C"/>
    <w:rsid w:val="001C7591"/>
    <w:rsid w:val="001D0423"/>
    <w:rsid w:val="001D1020"/>
    <w:rsid w:val="001D1E16"/>
    <w:rsid w:val="001D235D"/>
    <w:rsid w:val="001D2555"/>
    <w:rsid w:val="001D337C"/>
    <w:rsid w:val="001D380D"/>
    <w:rsid w:val="001D65C6"/>
    <w:rsid w:val="001E1EE3"/>
    <w:rsid w:val="001E3BCD"/>
    <w:rsid w:val="001E7B18"/>
    <w:rsid w:val="001F15CD"/>
    <w:rsid w:val="001F1F3F"/>
    <w:rsid w:val="001F27B1"/>
    <w:rsid w:val="001F2F00"/>
    <w:rsid w:val="001F3AE7"/>
    <w:rsid w:val="001F5B11"/>
    <w:rsid w:val="00200F31"/>
    <w:rsid w:val="0020221F"/>
    <w:rsid w:val="00203AEA"/>
    <w:rsid w:val="00203D33"/>
    <w:rsid w:val="00205051"/>
    <w:rsid w:val="0020794A"/>
    <w:rsid w:val="00207A23"/>
    <w:rsid w:val="00207C7F"/>
    <w:rsid w:val="00210B48"/>
    <w:rsid w:val="0021175A"/>
    <w:rsid w:val="002120BD"/>
    <w:rsid w:val="00212962"/>
    <w:rsid w:val="00214F01"/>
    <w:rsid w:val="0021540E"/>
    <w:rsid w:val="00215C9A"/>
    <w:rsid w:val="002169FE"/>
    <w:rsid w:val="00217135"/>
    <w:rsid w:val="0022132D"/>
    <w:rsid w:val="00221D16"/>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1714"/>
    <w:rsid w:val="00243D06"/>
    <w:rsid w:val="00244CDD"/>
    <w:rsid w:val="00245302"/>
    <w:rsid w:val="00245D73"/>
    <w:rsid w:val="002460F2"/>
    <w:rsid w:val="002472FE"/>
    <w:rsid w:val="0025030E"/>
    <w:rsid w:val="00250F72"/>
    <w:rsid w:val="002514CA"/>
    <w:rsid w:val="00252FDB"/>
    <w:rsid w:val="00254AAA"/>
    <w:rsid w:val="00255E07"/>
    <w:rsid w:val="002567CD"/>
    <w:rsid w:val="00257322"/>
    <w:rsid w:val="0025785E"/>
    <w:rsid w:val="002613AC"/>
    <w:rsid w:val="00261D3C"/>
    <w:rsid w:val="00262C42"/>
    <w:rsid w:val="0026349D"/>
    <w:rsid w:val="00266E0E"/>
    <w:rsid w:val="00266FD4"/>
    <w:rsid w:val="002671CC"/>
    <w:rsid w:val="002676FA"/>
    <w:rsid w:val="0027099E"/>
    <w:rsid w:val="002709E7"/>
    <w:rsid w:val="0027369C"/>
    <w:rsid w:val="00274B8F"/>
    <w:rsid w:val="00274D9D"/>
    <w:rsid w:val="00276C42"/>
    <w:rsid w:val="002775A0"/>
    <w:rsid w:val="0027764C"/>
    <w:rsid w:val="00280E55"/>
    <w:rsid w:val="00282FEC"/>
    <w:rsid w:val="00282FF3"/>
    <w:rsid w:val="0028364E"/>
    <w:rsid w:val="002848CB"/>
    <w:rsid w:val="00285776"/>
    <w:rsid w:val="002858BA"/>
    <w:rsid w:val="0028661B"/>
    <w:rsid w:val="0028686B"/>
    <w:rsid w:val="0029235D"/>
    <w:rsid w:val="00292574"/>
    <w:rsid w:val="0029396A"/>
    <w:rsid w:val="00293DE2"/>
    <w:rsid w:val="0029649C"/>
    <w:rsid w:val="002A0621"/>
    <w:rsid w:val="002A17E0"/>
    <w:rsid w:val="002A21C3"/>
    <w:rsid w:val="002A4823"/>
    <w:rsid w:val="002A50D2"/>
    <w:rsid w:val="002A5245"/>
    <w:rsid w:val="002A55D1"/>
    <w:rsid w:val="002A5C41"/>
    <w:rsid w:val="002A5CF5"/>
    <w:rsid w:val="002A6EA4"/>
    <w:rsid w:val="002A7839"/>
    <w:rsid w:val="002A7B04"/>
    <w:rsid w:val="002A7E9D"/>
    <w:rsid w:val="002B15AC"/>
    <w:rsid w:val="002B19FB"/>
    <w:rsid w:val="002B36C3"/>
    <w:rsid w:val="002B532E"/>
    <w:rsid w:val="002B5525"/>
    <w:rsid w:val="002B5A2E"/>
    <w:rsid w:val="002B5A4B"/>
    <w:rsid w:val="002B61A8"/>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24D4"/>
    <w:rsid w:val="002E2A27"/>
    <w:rsid w:val="002E3911"/>
    <w:rsid w:val="002E527B"/>
    <w:rsid w:val="002F06D0"/>
    <w:rsid w:val="002F2CF2"/>
    <w:rsid w:val="002F3830"/>
    <w:rsid w:val="002F38D7"/>
    <w:rsid w:val="002F4929"/>
    <w:rsid w:val="002F5989"/>
    <w:rsid w:val="002F73F4"/>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C72"/>
    <w:rsid w:val="003225D9"/>
    <w:rsid w:val="003235CC"/>
    <w:rsid w:val="00324EC4"/>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DC3"/>
    <w:rsid w:val="0036633C"/>
    <w:rsid w:val="00366CA4"/>
    <w:rsid w:val="00366CC9"/>
    <w:rsid w:val="0036763E"/>
    <w:rsid w:val="00367C14"/>
    <w:rsid w:val="00367E02"/>
    <w:rsid w:val="0037013D"/>
    <w:rsid w:val="00370DA4"/>
    <w:rsid w:val="003710CD"/>
    <w:rsid w:val="00372E91"/>
    <w:rsid w:val="00372FAD"/>
    <w:rsid w:val="00372FD5"/>
    <w:rsid w:val="003739D8"/>
    <w:rsid w:val="0037552F"/>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C25"/>
    <w:rsid w:val="003C2D62"/>
    <w:rsid w:val="003C4234"/>
    <w:rsid w:val="003C5F5E"/>
    <w:rsid w:val="003C5FC2"/>
    <w:rsid w:val="003C6BB7"/>
    <w:rsid w:val="003C7603"/>
    <w:rsid w:val="003D0A88"/>
    <w:rsid w:val="003D19A0"/>
    <w:rsid w:val="003D27BD"/>
    <w:rsid w:val="003D353C"/>
    <w:rsid w:val="003D6472"/>
    <w:rsid w:val="003E19E7"/>
    <w:rsid w:val="003E29B3"/>
    <w:rsid w:val="003E36C0"/>
    <w:rsid w:val="003E3724"/>
    <w:rsid w:val="003E3957"/>
    <w:rsid w:val="003E5F4F"/>
    <w:rsid w:val="003E6A80"/>
    <w:rsid w:val="003E7F59"/>
    <w:rsid w:val="003F0D8B"/>
    <w:rsid w:val="003F1E6F"/>
    <w:rsid w:val="003F1F9E"/>
    <w:rsid w:val="003F3BC1"/>
    <w:rsid w:val="003F43E6"/>
    <w:rsid w:val="003F4894"/>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7B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3C39"/>
    <w:rsid w:val="00433C3E"/>
    <w:rsid w:val="00434AC5"/>
    <w:rsid w:val="00435769"/>
    <w:rsid w:val="00437108"/>
    <w:rsid w:val="00440246"/>
    <w:rsid w:val="00441588"/>
    <w:rsid w:val="00441CF2"/>
    <w:rsid w:val="00443B1B"/>
    <w:rsid w:val="00444072"/>
    <w:rsid w:val="00444204"/>
    <w:rsid w:val="00446A46"/>
    <w:rsid w:val="00446BAE"/>
    <w:rsid w:val="004473E9"/>
    <w:rsid w:val="0045044A"/>
    <w:rsid w:val="004511AB"/>
    <w:rsid w:val="004511FA"/>
    <w:rsid w:val="0045235F"/>
    <w:rsid w:val="004533F1"/>
    <w:rsid w:val="00453797"/>
    <w:rsid w:val="00453ABE"/>
    <w:rsid w:val="004542A8"/>
    <w:rsid w:val="004576E8"/>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5E1A"/>
    <w:rsid w:val="004762ED"/>
    <w:rsid w:val="00477469"/>
    <w:rsid w:val="004774B6"/>
    <w:rsid w:val="004775E8"/>
    <w:rsid w:val="00481888"/>
    <w:rsid w:val="00482BE4"/>
    <w:rsid w:val="0048370B"/>
    <w:rsid w:val="00486750"/>
    <w:rsid w:val="00487EBC"/>
    <w:rsid w:val="00490DDC"/>
    <w:rsid w:val="00491D56"/>
    <w:rsid w:val="00491D60"/>
    <w:rsid w:val="00494CD1"/>
    <w:rsid w:val="004957BA"/>
    <w:rsid w:val="0049590A"/>
    <w:rsid w:val="00495CE9"/>
    <w:rsid w:val="004962C7"/>
    <w:rsid w:val="004963CC"/>
    <w:rsid w:val="004970C9"/>
    <w:rsid w:val="00497574"/>
    <w:rsid w:val="004978DC"/>
    <w:rsid w:val="00497B5E"/>
    <w:rsid w:val="004A224A"/>
    <w:rsid w:val="004A28DD"/>
    <w:rsid w:val="004A3074"/>
    <w:rsid w:val="004A570E"/>
    <w:rsid w:val="004A59B2"/>
    <w:rsid w:val="004A7CEC"/>
    <w:rsid w:val="004B06E1"/>
    <w:rsid w:val="004B129A"/>
    <w:rsid w:val="004B24F7"/>
    <w:rsid w:val="004B26C7"/>
    <w:rsid w:val="004B31C7"/>
    <w:rsid w:val="004B4BDC"/>
    <w:rsid w:val="004B4D42"/>
    <w:rsid w:val="004B4E10"/>
    <w:rsid w:val="004B612C"/>
    <w:rsid w:val="004B7E3E"/>
    <w:rsid w:val="004C0544"/>
    <w:rsid w:val="004C07ED"/>
    <w:rsid w:val="004C228F"/>
    <w:rsid w:val="004C2585"/>
    <w:rsid w:val="004C279B"/>
    <w:rsid w:val="004C281D"/>
    <w:rsid w:val="004C2E9D"/>
    <w:rsid w:val="004C4513"/>
    <w:rsid w:val="004C4BEC"/>
    <w:rsid w:val="004C5A9B"/>
    <w:rsid w:val="004C7663"/>
    <w:rsid w:val="004C7FC6"/>
    <w:rsid w:val="004D25B5"/>
    <w:rsid w:val="004D49C8"/>
    <w:rsid w:val="004D5428"/>
    <w:rsid w:val="004D6E67"/>
    <w:rsid w:val="004E00B4"/>
    <w:rsid w:val="004E0963"/>
    <w:rsid w:val="004E0B2F"/>
    <w:rsid w:val="004E1B3F"/>
    <w:rsid w:val="004E2A8E"/>
    <w:rsid w:val="004E458C"/>
    <w:rsid w:val="004F000D"/>
    <w:rsid w:val="004F0EC9"/>
    <w:rsid w:val="004F27DD"/>
    <w:rsid w:val="004F40AB"/>
    <w:rsid w:val="004F47F7"/>
    <w:rsid w:val="004F7CCB"/>
    <w:rsid w:val="0050050B"/>
    <w:rsid w:val="0050132A"/>
    <w:rsid w:val="00502F3E"/>
    <w:rsid w:val="00503196"/>
    <w:rsid w:val="00503967"/>
    <w:rsid w:val="00503ADE"/>
    <w:rsid w:val="00504706"/>
    <w:rsid w:val="00504E60"/>
    <w:rsid w:val="0050553B"/>
    <w:rsid w:val="0050674F"/>
    <w:rsid w:val="00506A2E"/>
    <w:rsid w:val="00510BE0"/>
    <w:rsid w:val="00510C5C"/>
    <w:rsid w:val="00511E62"/>
    <w:rsid w:val="005208AC"/>
    <w:rsid w:val="00520B14"/>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2EB0"/>
    <w:rsid w:val="00533CD5"/>
    <w:rsid w:val="00534871"/>
    <w:rsid w:val="00535069"/>
    <w:rsid w:val="00535A60"/>
    <w:rsid w:val="005368AB"/>
    <w:rsid w:val="005372AF"/>
    <w:rsid w:val="00540D5C"/>
    <w:rsid w:val="00541971"/>
    <w:rsid w:val="00541FF9"/>
    <w:rsid w:val="00544481"/>
    <w:rsid w:val="0054689F"/>
    <w:rsid w:val="00546DAD"/>
    <w:rsid w:val="0055024A"/>
    <w:rsid w:val="00550D90"/>
    <w:rsid w:val="005538CF"/>
    <w:rsid w:val="005542A1"/>
    <w:rsid w:val="005549AB"/>
    <w:rsid w:val="00555A0C"/>
    <w:rsid w:val="00555A17"/>
    <w:rsid w:val="00555EC7"/>
    <w:rsid w:val="00557DCC"/>
    <w:rsid w:val="00561169"/>
    <w:rsid w:val="005617DA"/>
    <w:rsid w:val="00561B18"/>
    <w:rsid w:val="0056339B"/>
    <w:rsid w:val="00563DF3"/>
    <w:rsid w:val="0056580C"/>
    <w:rsid w:val="00565B20"/>
    <w:rsid w:val="00566C79"/>
    <w:rsid w:val="00570169"/>
    <w:rsid w:val="00571FF4"/>
    <w:rsid w:val="005748A1"/>
    <w:rsid w:val="005757C3"/>
    <w:rsid w:val="005809B5"/>
    <w:rsid w:val="005812EF"/>
    <w:rsid w:val="00582010"/>
    <w:rsid w:val="0058254B"/>
    <w:rsid w:val="0058351E"/>
    <w:rsid w:val="00587914"/>
    <w:rsid w:val="0059181C"/>
    <w:rsid w:val="005925EC"/>
    <w:rsid w:val="0059611F"/>
    <w:rsid w:val="005964F5"/>
    <w:rsid w:val="00597224"/>
    <w:rsid w:val="005A0727"/>
    <w:rsid w:val="005A1B7D"/>
    <w:rsid w:val="005A3592"/>
    <w:rsid w:val="005A4082"/>
    <w:rsid w:val="005A46DD"/>
    <w:rsid w:val="005A6497"/>
    <w:rsid w:val="005B0AAB"/>
    <w:rsid w:val="005B3F91"/>
    <w:rsid w:val="005B4EB8"/>
    <w:rsid w:val="005B5497"/>
    <w:rsid w:val="005B5790"/>
    <w:rsid w:val="005B5E9D"/>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74E"/>
    <w:rsid w:val="005E4545"/>
    <w:rsid w:val="005E4A75"/>
    <w:rsid w:val="005E4E13"/>
    <w:rsid w:val="005E5020"/>
    <w:rsid w:val="005E5730"/>
    <w:rsid w:val="005E73A1"/>
    <w:rsid w:val="005E7458"/>
    <w:rsid w:val="005E76FD"/>
    <w:rsid w:val="005F0547"/>
    <w:rsid w:val="005F19C6"/>
    <w:rsid w:val="005F4197"/>
    <w:rsid w:val="005F4B38"/>
    <w:rsid w:val="005F4C67"/>
    <w:rsid w:val="005F5163"/>
    <w:rsid w:val="005F52C6"/>
    <w:rsid w:val="005F541C"/>
    <w:rsid w:val="006055FE"/>
    <w:rsid w:val="006067DB"/>
    <w:rsid w:val="006073F9"/>
    <w:rsid w:val="00607F86"/>
    <w:rsid w:val="0061009A"/>
    <w:rsid w:val="00610BC0"/>
    <w:rsid w:val="0061157C"/>
    <w:rsid w:val="0061282A"/>
    <w:rsid w:val="006131E5"/>
    <w:rsid w:val="006132AE"/>
    <w:rsid w:val="00615427"/>
    <w:rsid w:val="006167B8"/>
    <w:rsid w:val="00617C22"/>
    <w:rsid w:val="00621A6D"/>
    <w:rsid w:val="00621DB3"/>
    <w:rsid w:val="00621F03"/>
    <w:rsid w:val="0062265E"/>
    <w:rsid w:val="00622F11"/>
    <w:rsid w:val="00623213"/>
    <w:rsid w:val="006251DE"/>
    <w:rsid w:val="006254EE"/>
    <w:rsid w:val="00625B63"/>
    <w:rsid w:val="00627517"/>
    <w:rsid w:val="00630B1A"/>
    <w:rsid w:val="00632281"/>
    <w:rsid w:val="006327BE"/>
    <w:rsid w:val="00632A4A"/>
    <w:rsid w:val="00634573"/>
    <w:rsid w:val="00635A24"/>
    <w:rsid w:val="00635DDF"/>
    <w:rsid w:val="00636ADD"/>
    <w:rsid w:val="00640221"/>
    <w:rsid w:val="006406E5"/>
    <w:rsid w:val="00640B24"/>
    <w:rsid w:val="0064110A"/>
    <w:rsid w:val="006417BC"/>
    <w:rsid w:val="00641C9C"/>
    <w:rsid w:val="00641EE6"/>
    <w:rsid w:val="00642EB3"/>
    <w:rsid w:val="006441AD"/>
    <w:rsid w:val="006442C8"/>
    <w:rsid w:val="0064476C"/>
    <w:rsid w:val="00646E32"/>
    <w:rsid w:val="00647687"/>
    <w:rsid w:val="0065230F"/>
    <w:rsid w:val="0065353F"/>
    <w:rsid w:val="006546B9"/>
    <w:rsid w:val="00654B60"/>
    <w:rsid w:val="00655090"/>
    <w:rsid w:val="0065588C"/>
    <w:rsid w:val="00657727"/>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4329"/>
    <w:rsid w:val="00674808"/>
    <w:rsid w:val="00674CE6"/>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5005"/>
    <w:rsid w:val="00696375"/>
    <w:rsid w:val="006965DF"/>
    <w:rsid w:val="00696CA3"/>
    <w:rsid w:val="006A09A4"/>
    <w:rsid w:val="006A21CC"/>
    <w:rsid w:val="006A3856"/>
    <w:rsid w:val="006A438F"/>
    <w:rsid w:val="006A503A"/>
    <w:rsid w:val="006A65A6"/>
    <w:rsid w:val="006A6750"/>
    <w:rsid w:val="006A7D6E"/>
    <w:rsid w:val="006A7FA7"/>
    <w:rsid w:val="006B0634"/>
    <w:rsid w:val="006B1C34"/>
    <w:rsid w:val="006B1FF1"/>
    <w:rsid w:val="006B293F"/>
    <w:rsid w:val="006B34DE"/>
    <w:rsid w:val="006B35F3"/>
    <w:rsid w:val="006B40C1"/>
    <w:rsid w:val="006B5F49"/>
    <w:rsid w:val="006B6A20"/>
    <w:rsid w:val="006C1EDD"/>
    <w:rsid w:val="006C22E4"/>
    <w:rsid w:val="006C2F5C"/>
    <w:rsid w:val="006C4010"/>
    <w:rsid w:val="006C477E"/>
    <w:rsid w:val="006C5AD3"/>
    <w:rsid w:val="006C6D7A"/>
    <w:rsid w:val="006C7F0A"/>
    <w:rsid w:val="006D0350"/>
    <w:rsid w:val="006D0C02"/>
    <w:rsid w:val="006D0F19"/>
    <w:rsid w:val="006D2B2B"/>
    <w:rsid w:val="006D2DE9"/>
    <w:rsid w:val="006D35F8"/>
    <w:rsid w:val="006D3FB0"/>
    <w:rsid w:val="006D443D"/>
    <w:rsid w:val="006D614A"/>
    <w:rsid w:val="006D6B5E"/>
    <w:rsid w:val="006D6CA1"/>
    <w:rsid w:val="006D7DA7"/>
    <w:rsid w:val="006E0FAD"/>
    <w:rsid w:val="006E27D1"/>
    <w:rsid w:val="006E2CD8"/>
    <w:rsid w:val="006E43D2"/>
    <w:rsid w:val="006E4462"/>
    <w:rsid w:val="006E465C"/>
    <w:rsid w:val="006E4B08"/>
    <w:rsid w:val="006E4EB7"/>
    <w:rsid w:val="006E7F81"/>
    <w:rsid w:val="006F1443"/>
    <w:rsid w:val="006F1C69"/>
    <w:rsid w:val="006F2579"/>
    <w:rsid w:val="006F2855"/>
    <w:rsid w:val="006F2887"/>
    <w:rsid w:val="006F5439"/>
    <w:rsid w:val="006F713E"/>
    <w:rsid w:val="006F750C"/>
    <w:rsid w:val="006F7EB1"/>
    <w:rsid w:val="00700AD5"/>
    <w:rsid w:val="00702B93"/>
    <w:rsid w:val="00702D4F"/>
    <w:rsid w:val="00703D5F"/>
    <w:rsid w:val="007045FC"/>
    <w:rsid w:val="0070488F"/>
    <w:rsid w:val="00704CDE"/>
    <w:rsid w:val="00704CF9"/>
    <w:rsid w:val="00704ECD"/>
    <w:rsid w:val="00705199"/>
    <w:rsid w:val="00705711"/>
    <w:rsid w:val="0070582E"/>
    <w:rsid w:val="007073E2"/>
    <w:rsid w:val="0070772C"/>
    <w:rsid w:val="00710713"/>
    <w:rsid w:val="007123C3"/>
    <w:rsid w:val="0071266E"/>
    <w:rsid w:val="007130F7"/>
    <w:rsid w:val="00714183"/>
    <w:rsid w:val="00715CA4"/>
    <w:rsid w:val="00715E75"/>
    <w:rsid w:val="0071691D"/>
    <w:rsid w:val="00720C6C"/>
    <w:rsid w:val="00721EC2"/>
    <w:rsid w:val="007226F3"/>
    <w:rsid w:val="0072344E"/>
    <w:rsid w:val="007237EE"/>
    <w:rsid w:val="007240C3"/>
    <w:rsid w:val="007243CC"/>
    <w:rsid w:val="0072530B"/>
    <w:rsid w:val="007263B7"/>
    <w:rsid w:val="00727632"/>
    <w:rsid w:val="007301CB"/>
    <w:rsid w:val="00731957"/>
    <w:rsid w:val="007323E0"/>
    <w:rsid w:val="00732BB6"/>
    <w:rsid w:val="00733697"/>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3C94"/>
    <w:rsid w:val="00764725"/>
    <w:rsid w:val="00764B6B"/>
    <w:rsid w:val="00764F0C"/>
    <w:rsid w:val="00766029"/>
    <w:rsid w:val="00766432"/>
    <w:rsid w:val="00766983"/>
    <w:rsid w:val="00767A28"/>
    <w:rsid w:val="00770893"/>
    <w:rsid w:val="007712C3"/>
    <w:rsid w:val="00771D33"/>
    <w:rsid w:val="00771F1C"/>
    <w:rsid w:val="007725DF"/>
    <w:rsid w:val="00772E1A"/>
    <w:rsid w:val="007736D0"/>
    <w:rsid w:val="007758CF"/>
    <w:rsid w:val="00775FEC"/>
    <w:rsid w:val="00776317"/>
    <w:rsid w:val="00776D06"/>
    <w:rsid w:val="007810BC"/>
    <w:rsid w:val="00781EB4"/>
    <w:rsid w:val="007823D7"/>
    <w:rsid w:val="00782E96"/>
    <w:rsid w:val="007844DE"/>
    <w:rsid w:val="007848DA"/>
    <w:rsid w:val="00785A39"/>
    <w:rsid w:val="007861AA"/>
    <w:rsid w:val="00787447"/>
    <w:rsid w:val="0078776F"/>
    <w:rsid w:val="007900EA"/>
    <w:rsid w:val="00790BDA"/>
    <w:rsid w:val="007918A1"/>
    <w:rsid w:val="00793091"/>
    <w:rsid w:val="007932B2"/>
    <w:rsid w:val="007943A8"/>
    <w:rsid w:val="007947F4"/>
    <w:rsid w:val="00795FC0"/>
    <w:rsid w:val="007963D7"/>
    <w:rsid w:val="00796527"/>
    <w:rsid w:val="007975AC"/>
    <w:rsid w:val="00797CF6"/>
    <w:rsid w:val="007A0F7C"/>
    <w:rsid w:val="007A10D6"/>
    <w:rsid w:val="007A12A7"/>
    <w:rsid w:val="007A14FC"/>
    <w:rsid w:val="007A2BE6"/>
    <w:rsid w:val="007A340C"/>
    <w:rsid w:val="007A4A3D"/>
    <w:rsid w:val="007A5A11"/>
    <w:rsid w:val="007A6F16"/>
    <w:rsid w:val="007A7512"/>
    <w:rsid w:val="007A752A"/>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7D1"/>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6193"/>
    <w:rsid w:val="007D6B1C"/>
    <w:rsid w:val="007D7A92"/>
    <w:rsid w:val="007E0FAF"/>
    <w:rsid w:val="007E112F"/>
    <w:rsid w:val="007E1C60"/>
    <w:rsid w:val="007E450C"/>
    <w:rsid w:val="007E4A09"/>
    <w:rsid w:val="007E4C9C"/>
    <w:rsid w:val="007E5486"/>
    <w:rsid w:val="007E5B1C"/>
    <w:rsid w:val="007E5F2E"/>
    <w:rsid w:val="007E5FB5"/>
    <w:rsid w:val="007E6196"/>
    <w:rsid w:val="007E6656"/>
    <w:rsid w:val="007E70BF"/>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6FA"/>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D1B"/>
    <w:rsid w:val="008164A8"/>
    <w:rsid w:val="00816C1F"/>
    <w:rsid w:val="008174AD"/>
    <w:rsid w:val="00820876"/>
    <w:rsid w:val="0082143F"/>
    <w:rsid w:val="0082159A"/>
    <w:rsid w:val="00822064"/>
    <w:rsid w:val="008220AD"/>
    <w:rsid w:val="00822969"/>
    <w:rsid w:val="00823196"/>
    <w:rsid w:val="00823610"/>
    <w:rsid w:val="00824E32"/>
    <w:rsid w:val="0083049A"/>
    <w:rsid w:val="008321A6"/>
    <w:rsid w:val="0083380F"/>
    <w:rsid w:val="00835FCE"/>
    <w:rsid w:val="008368DE"/>
    <w:rsid w:val="00840E25"/>
    <w:rsid w:val="0084161A"/>
    <w:rsid w:val="00841962"/>
    <w:rsid w:val="008424BB"/>
    <w:rsid w:val="0084456D"/>
    <w:rsid w:val="00844729"/>
    <w:rsid w:val="008465CB"/>
    <w:rsid w:val="0085127E"/>
    <w:rsid w:val="008517C6"/>
    <w:rsid w:val="00851F15"/>
    <w:rsid w:val="00852898"/>
    <w:rsid w:val="00853308"/>
    <w:rsid w:val="008534CC"/>
    <w:rsid w:val="00853C98"/>
    <w:rsid w:val="00854103"/>
    <w:rsid w:val="008549B1"/>
    <w:rsid w:val="0085543E"/>
    <w:rsid w:val="008568B0"/>
    <w:rsid w:val="008578F2"/>
    <w:rsid w:val="008600ED"/>
    <w:rsid w:val="00860366"/>
    <w:rsid w:val="008614BF"/>
    <w:rsid w:val="00861CAB"/>
    <w:rsid w:val="008627A8"/>
    <w:rsid w:val="00862B21"/>
    <w:rsid w:val="008636D6"/>
    <w:rsid w:val="00863E02"/>
    <w:rsid w:val="0086489A"/>
    <w:rsid w:val="00865274"/>
    <w:rsid w:val="00865940"/>
    <w:rsid w:val="00865EEC"/>
    <w:rsid w:val="00866A27"/>
    <w:rsid w:val="008701DC"/>
    <w:rsid w:val="0087081B"/>
    <w:rsid w:val="008714CD"/>
    <w:rsid w:val="008739F1"/>
    <w:rsid w:val="00874308"/>
    <w:rsid w:val="00877B13"/>
    <w:rsid w:val="00880AB5"/>
    <w:rsid w:val="00880AD5"/>
    <w:rsid w:val="00880C01"/>
    <w:rsid w:val="00881457"/>
    <w:rsid w:val="00882802"/>
    <w:rsid w:val="00882B0F"/>
    <w:rsid w:val="008836A7"/>
    <w:rsid w:val="00884467"/>
    <w:rsid w:val="008872D7"/>
    <w:rsid w:val="00887F03"/>
    <w:rsid w:val="00893B95"/>
    <w:rsid w:val="008941B2"/>
    <w:rsid w:val="008A1084"/>
    <w:rsid w:val="008A1DA7"/>
    <w:rsid w:val="008A3884"/>
    <w:rsid w:val="008A49EA"/>
    <w:rsid w:val="008A4ABF"/>
    <w:rsid w:val="008A739F"/>
    <w:rsid w:val="008A790C"/>
    <w:rsid w:val="008B0108"/>
    <w:rsid w:val="008B18E3"/>
    <w:rsid w:val="008B3670"/>
    <w:rsid w:val="008B4157"/>
    <w:rsid w:val="008B4A24"/>
    <w:rsid w:val="008B5AFF"/>
    <w:rsid w:val="008B5E0B"/>
    <w:rsid w:val="008B758A"/>
    <w:rsid w:val="008B7CD2"/>
    <w:rsid w:val="008C053C"/>
    <w:rsid w:val="008C0C4F"/>
    <w:rsid w:val="008C0F75"/>
    <w:rsid w:val="008C12F3"/>
    <w:rsid w:val="008C277A"/>
    <w:rsid w:val="008C561D"/>
    <w:rsid w:val="008C62EC"/>
    <w:rsid w:val="008C7911"/>
    <w:rsid w:val="008C7FAF"/>
    <w:rsid w:val="008D0BE4"/>
    <w:rsid w:val="008D19DB"/>
    <w:rsid w:val="008D41B5"/>
    <w:rsid w:val="008D5BE0"/>
    <w:rsid w:val="008D7B10"/>
    <w:rsid w:val="008E04F6"/>
    <w:rsid w:val="008E0FD3"/>
    <w:rsid w:val="008E1DCB"/>
    <w:rsid w:val="008E2DF1"/>
    <w:rsid w:val="008E5B3B"/>
    <w:rsid w:val="008E7C23"/>
    <w:rsid w:val="008E7E00"/>
    <w:rsid w:val="008E7F8D"/>
    <w:rsid w:val="008F06E9"/>
    <w:rsid w:val="008F2850"/>
    <w:rsid w:val="008F2FC2"/>
    <w:rsid w:val="008F302C"/>
    <w:rsid w:val="008F5D1E"/>
    <w:rsid w:val="008F7242"/>
    <w:rsid w:val="008F75F1"/>
    <w:rsid w:val="00901457"/>
    <w:rsid w:val="0090233F"/>
    <w:rsid w:val="009030B0"/>
    <w:rsid w:val="009031E3"/>
    <w:rsid w:val="009035A2"/>
    <w:rsid w:val="00904BC9"/>
    <w:rsid w:val="009056CA"/>
    <w:rsid w:val="009062BB"/>
    <w:rsid w:val="0090688C"/>
    <w:rsid w:val="0090766E"/>
    <w:rsid w:val="0091038B"/>
    <w:rsid w:val="009119D3"/>
    <w:rsid w:val="00913DCC"/>
    <w:rsid w:val="00917B21"/>
    <w:rsid w:val="00922101"/>
    <w:rsid w:val="00922A4B"/>
    <w:rsid w:val="009241BB"/>
    <w:rsid w:val="009244F7"/>
    <w:rsid w:val="00924C0D"/>
    <w:rsid w:val="0092501B"/>
    <w:rsid w:val="0092587F"/>
    <w:rsid w:val="00925AA4"/>
    <w:rsid w:val="00930FA6"/>
    <w:rsid w:val="009313BE"/>
    <w:rsid w:val="00932FE2"/>
    <w:rsid w:val="009340AB"/>
    <w:rsid w:val="00936192"/>
    <w:rsid w:val="00937516"/>
    <w:rsid w:val="0094066E"/>
    <w:rsid w:val="0094182D"/>
    <w:rsid w:val="0094245B"/>
    <w:rsid w:val="00942A08"/>
    <w:rsid w:val="00942CAD"/>
    <w:rsid w:val="00943363"/>
    <w:rsid w:val="009434CF"/>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3A12"/>
    <w:rsid w:val="00974614"/>
    <w:rsid w:val="009754BC"/>
    <w:rsid w:val="0097588C"/>
    <w:rsid w:val="00975C3B"/>
    <w:rsid w:val="00976FE8"/>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A0E19"/>
    <w:rsid w:val="009A1215"/>
    <w:rsid w:val="009A1416"/>
    <w:rsid w:val="009A20E4"/>
    <w:rsid w:val="009A2440"/>
    <w:rsid w:val="009A2448"/>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407"/>
    <w:rsid w:val="009B7BAA"/>
    <w:rsid w:val="009C08E6"/>
    <w:rsid w:val="009C09D7"/>
    <w:rsid w:val="009C0AB9"/>
    <w:rsid w:val="009C0D27"/>
    <w:rsid w:val="009C1B38"/>
    <w:rsid w:val="009C205F"/>
    <w:rsid w:val="009C2E0C"/>
    <w:rsid w:val="009C2F30"/>
    <w:rsid w:val="009C3B2A"/>
    <w:rsid w:val="009C44E4"/>
    <w:rsid w:val="009C477B"/>
    <w:rsid w:val="009C4918"/>
    <w:rsid w:val="009C4C78"/>
    <w:rsid w:val="009C5124"/>
    <w:rsid w:val="009C5C5F"/>
    <w:rsid w:val="009C5F2B"/>
    <w:rsid w:val="009C6454"/>
    <w:rsid w:val="009C6CF4"/>
    <w:rsid w:val="009C78E3"/>
    <w:rsid w:val="009C7FFB"/>
    <w:rsid w:val="009D2D62"/>
    <w:rsid w:val="009D31CD"/>
    <w:rsid w:val="009D7121"/>
    <w:rsid w:val="009E01B8"/>
    <w:rsid w:val="009E0843"/>
    <w:rsid w:val="009E1B79"/>
    <w:rsid w:val="009E248E"/>
    <w:rsid w:val="009E38AF"/>
    <w:rsid w:val="009E52A8"/>
    <w:rsid w:val="009E673E"/>
    <w:rsid w:val="009E7AD8"/>
    <w:rsid w:val="009F096D"/>
    <w:rsid w:val="009F0D41"/>
    <w:rsid w:val="009F161C"/>
    <w:rsid w:val="009F1BC2"/>
    <w:rsid w:val="009F29A4"/>
    <w:rsid w:val="009F2F18"/>
    <w:rsid w:val="009F4EF8"/>
    <w:rsid w:val="009F4F1B"/>
    <w:rsid w:val="009F5872"/>
    <w:rsid w:val="009F740D"/>
    <w:rsid w:val="009F77F0"/>
    <w:rsid w:val="00A00370"/>
    <w:rsid w:val="00A00F88"/>
    <w:rsid w:val="00A01AAA"/>
    <w:rsid w:val="00A02007"/>
    <w:rsid w:val="00A024F6"/>
    <w:rsid w:val="00A02A8B"/>
    <w:rsid w:val="00A030F3"/>
    <w:rsid w:val="00A041C7"/>
    <w:rsid w:val="00A04F4B"/>
    <w:rsid w:val="00A06B3C"/>
    <w:rsid w:val="00A1084E"/>
    <w:rsid w:val="00A11A74"/>
    <w:rsid w:val="00A12CC9"/>
    <w:rsid w:val="00A1467F"/>
    <w:rsid w:val="00A14921"/>
    <w:rsid w:val="00A20173"/>
    <w:rsid w:val="00A2060D"/>
    <w:rsid w:val="00A20B21"/>
    <w:rsid w:val="00A216B7"/>
    <w:rsid w:val="00A21708"/>
    <w:rsid w:val="00A23EF0"/>
    <w:rsid w:val="00A242AE"/>
    <w:rsid w:val="00A242EA"/>
    <w:rsid w:val="00A2504D"/>
    <w:rsid w:val="00A271B3"/>
    <w:rsid w:val="00A272BE"/>
    <w:rsid w:val="00A2797C"/>
    <w:rsid w:val="00A309B7"/>
    <w:rsid w:val="00A30B94"/>
    <w:rsid w:val="00A31D0C"/>
    <w:rsid w:val="00A322BE"/>
    <w:rsid w:val="00A33342"/>
    <w:rsid w:val="00A33719"/>
    <w:rsid w:val="00A33DF9"/>
    <w:rsid w:val="00A3529A"/>
    <w:rsid w:val="00A40262"/>
    <w:rsid w:val="00A40A77"/>
    <w:rsid w:val="00A41B5E"/>
    <w:rsid w:val="00A41E03"/>
    <w:rsid w:val="00A42042"/>
    <w:rsid w:val="00A422C2"/>
    <w:rsid w:val="00A4281A"/>
    <w:rsid w:val="00A44C41"/>
    <w:rsid w:val="00A45529"/>
    <w:rsid w:val="00A461E4"/>
    <w:rsid w:val="00A466AC"/>
    <w:rsid w:val="00A47031"/>
    <w:rsid w:val="00A4765E"/>
    <w:rsid w:val="00A50604"/>
    <w:rsid w:val="00A50E26"/>
    <w:rsid w:val="00A522C3"/>
    <w:rsid w:val="00A52331"/>
    <w:rsid w:val="00A524A6"/>
    <w:rsid w:val="00A54818"/>
    <w:rsid w:val="00A55DC6"/>
    <w:rsid w:val="00A55DD4"/>
    <w:rsid w:val="00A56859"/>
    <w:rsid w:val="00A569E0"/>
    <w:rsid w:val="00A6008D"/>
    <w:rsid w:val="00A60997"/>
    <w:rsid w:val="00A60CA4"/>
    <w:rsid w:val="00A61446"/>
    <w:rsid w:val="00A61D87"/>
    <w:rsid w:val="00A62285"/>
    <w:rsid w:val="00A64A9B"/>
    <w:rsid w:val="00A65A66"/>
    <w:rsid w:val="00A66EE4"/>
    <w:rsid w:val="00A70197"/>
    <w:rsid w:val="00A70585"/>
    <w:rsid w:val="00A715EF"/>
    <w:rsid w:val="00A71BDB"/>
    <w:rsid w:val="00A720B7"/>
    <w:rsid w:val="00A731D2"/>
    <w:rsid w:val="00A73387"/>
    <w:rsid w:val="00A73405"/>
    <w:rsid w:val="00A745D3"/>
    <w:rsid w:val="00A7462D"/>
    <w:rsid w:val="00A8029C"/>
    <w:rsid w:val="00A8033D"/>
    <w:rsid w:val="00A826B4"/>
    <w:rsid w:val="00A82E1A"/>
    <w:rsid w:val="00A8395A"/>
    <w:rsid w:val="00A83C7E"/>
    <w:rsid w:val="00A8418C"/>
    <w:rsid w:val="00A84DA1"/>
    <w:rsid w:val="00A856DD"/>
    <w:rsid w:val="00A85812"/>
    <w:rsid w:val="00A864D8"/>
    <w:rsid w:val="00A871C9"/>
    <w:rsid w:val="00A87FE2"/>
    <w:rsid w:val="00A91271"/>
    <w:rsid w:val="00A915C6"/>
    <w:rsid w:val="00A9205F"/>
    <w:rsid w:val="00A92AC2"/>
    <w:rsid w:val="00A9456E"/>
    <w:rsid w:val="00A948B2"/>
    <w:rsid w:val="00A95355"/>
    <w:rsid w:val="00A960E9"/>
    <w:rsid w:val="00A97B41"/>
    <w:rsid w:val="00A97DC4"/>
    <w:rsid w:val="00A97F0C"/>
    <w:rsid w:val="00A97F93"/>
    <w:rsid w:val="00AA0E4D"/>
    <w:rsid w:val="00AA219A"/>
    <w:rsid w:val="00AA25C5"/>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D5C"/>
    <w:rsid w:val="00AD1A96"/>
    <w:rsid w:val="00AD2A29"/>
    <w:rsid w:val="00AD2FCF"/>
    <w:rsid w:val="00AD4CC2"/>
    <w:rsid w:val="00AD52A6"/>
    <w:rsid w:val="00AD5AEC"/>
    <w:rsid w:val="00AD6AD0"/>
    <w:rsid w:val="00AD6D0B"/>
    <w:rsid w:val="00AD7DC1"/>
    <w:rsid w:val="00AE2C85"/>
    <w:rsid w:val="00AE328A"/>
    <w:rsid w:val="00AE42F5"/>
    <w:rsid w:val="00AE4721"/>
    <w:rsid w:val="00AE4C09"/>
    <w:rsid w:val="00AE541B"/>
    <w:rsid w:val="00AE747B"/>
    <w:rsid w:val="00AE7DE5"/>
    <w:rsid w:val="00AF12DE"/>
    <w:rsid w:val="00AF1653"/>
    <w:rsid w:val="00AF3BF4"/>
    <w:rsid w:val="00AF3F93"/>
    <w:rsid w:val="00AF50BF"/>
    <w:rsid w:val="00AF71D2"/>
    <w:rsid w:val="00B02C5B"/>
    <w:rsid w:val="00B02DE3"/>
    <w:rsid w:val="00B037AA"/>
    <w:rsid w:val="00B054BA"/>
    <w:rsid w:val="00B06804"/>
    <w:rsid w:val="00B07908"/>
    <w:rsid w:val="00B122A0"/>
    <w:rsid w:val="00B1256E"/>
    <w:rsid w:val="00B13787"/>
    <w:rsid w:val="00B14007"/>
    <w:rsid w:val="00B1445B"/>
    <w:rsid w:val="00B15801"/>
    <w:rsid w:val="00B1644E"/>
    <w:rsid w:val="00B17AAC"/>
    <w:rsid w:val="00B215D0"/>
    <w:rsid w:val="00B21F73"/>
    <w:rsid w:val="00B22D7B"/>
    <w:rsid w:val="00B2329D"/>
    <w:rsid w:val="00B23A32"/>
    <w:rsid w:val="00B23A60"/>
    <w:rsid w:val="00B23D80"/>
    <w:rsid w:val="00B243A4"/>
    <w:rsid w:val="00B245B8"/>
    <w:rsid w:val="00B24ABA"/>
    <w:rsid w:val="00B255C5"/>
    <w:rsid w:val="00B25FB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516E"/>
    <w:rsid w:val="00B455D4"/>
    <w:rsid w:val="00B45B27"/>
    <w:rsid w:val="00B45D33"/>
    <w:rsid w:val="00B467ED"/>
    <w:rsid w:val="00B46CB0"/>
    <w:rsid w:val="00B5139A"/>
    <w:rsid w:val="00B52315"/>
    <w:rsid w:val="00B5294D"/>
    <w:rsid w:val="00B52DAB"/>
    <w:rsid w:val="00B539BE"/>
    <w:rsid w:val="00B5549D"/>
    <w:rsid w:val="00B56011"/>
    <w:rsid w:val="00B56EF5"/>
    <w:rsid w:val="00B6070A"/>
    <w:rsid w:val="00B60A02"/>
    <w:rsid w:val="00B62043"/>
    <w:rsid w:val="00B63682"/>
    <w:rsid w:val="00B6581A"/>
    <w:rsid w:val="00B6639E"/>
    <w:rsid w:val="00B670E5"/>
    <w:rsid w:val="00B70890"/>
    <w:rsid w:val="00B71CAF"/>
    <w:rsid w:val="00B7320C"/>
    <w:rsid w:val="00B73752"/>
    <w:rsid w:val="00B749EC"/>
    <w:rsid w:val="00B74DA0"/>
    <w:rsid w:val="00B7733B"/>
    <w:rsid w:val="00B809A7"/>
    <w:rsid w:val="00B80F85"/>
    <w:rsid w:val="00B824E7"/>
    <w:rsid w:val="00B829D3"/>
    <w:rsid w:val="00B83B7C"/>
    <w:rsid w:val="00B83EBF"/>
    <w:rsid w:val="00B84F90"/>
    <w:rsid w:val="00B85A66"/>
    <w:rsid w:val="00B86E92"/>
    <w:rsid w:val="00B90370"/>
    <w:rsid w:val="00B90F3B"/>
    <w:rsid w:val="00B916F3"/>
    <w:rsid w:val="00B92397"/>
    <w:rsid w:val="00B92EEB"/>
    <w:rsid w:val="00B9309E"/>
    <w:rsid w:val="00B93544"/>
    <w:rsid w:val="00B94A45"/>
    <w:rsid w:val="00B957C1"/>
    <w:rsid w:val="00B95A58"/>
    <w:rsid w:val="00B974A4"/>
    <w:rsid w:val="00B9752D"/>
    <w:rsid w:val="00B979F7"/>
    <w:rsid w:val="00BA01C1"/>
    <w:rsid w:val="00BA06FA"/>
    <w:rsid w:val="00BA0A23"/>
    <w:rsid w:val="00BA3460"/>
    <w:rsid w:val="00BA39C2"/>
    <w:rsid w:val="00BA5EB3"/>
    <w:rsid w:val="00BA5F1E"/>
    <w:rsid w:val="00BA6D44"/>
    <w:rsid w:val="00BA7782"/>
    <w:rsid w:val="00BB0472"/>
    <w:rsid w:val="00BB134D"/>
    <w:rsid w:val="00BB2F5F"/>
    <w:rsid w:val="00BB3D35"/>
    <w:rsid w:val="00BB3DB6"/>
    <w:rsid w:val="00BB4B53"/>
    <w:rsid w:val="00BC0A42"/>
    <w:rsid w:val="00BC286A"/>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426"/>
    <w:rsid w:val="00BE540B"/>
    <w:rsid w:val="00BE6364"/>
    <w:rsid w:val="00BE6576"/>
    <w:rsid w:val="00BE7CB6"/>
    <w:rsid w:val="00BF048F"/>
    <w:rsid w:val="00BF1EEF"/>
    <w:rsid w:val="00BF1FCA"/>
    <w:rsid w:val="00BF7494"/>
    <w:rsid w:val="00C00650"/>
    <w:rsid w:val="00C012C4"/>
    <w:rsid w:val="00C021BB"/>
    <w:rsid w:val="00C037A3"/>
    <w:rsid w:val="00C03932"/>
    <w:rsid w:val="00C06B98"/>
    <w:rsid w:val="00C06DE4"/>
    <w:rsid w:val="00C143CD"/>
    <w:rsid w:val="00C15480"/>
    <w:rsid w:val="00C204EF"/>
    <w:rsid w:val="00C21013"/>
    <w:rsid w:val="00C23824"/>
    <w:rsid w:val="00C23B84"/>
    <w:rsid w:val="00C24599"/>
    <w:rsid w:val="00C264D9"/>
    <w:rsid w:val="00C2655A"/>
    <w:rsid w:val="00C269D6"/>
    <w:rsid w:val="00C26F6A"/>
    <w:rsid w:val="00C31354"/>
    <w:rsid w:val="00C319FB"/>
    <w:rsid w:val="00C31C5A"/>
    <w:rsid w:val="00C31EAC"/>
    <w:rsid w:val="00C3269C"/>
    <w:rsid w:val="00C342CA"/>
    <w:rsid w:val="00C34515"/>
    <w:rsid w:val="00C34A03"/>
    <w:rsid w:val="00C34D9A"/>
    <w:rsid w:val="00C350DE"/>
    <w:rsid w:val="00C35A85"/>
    <w:rsid w:val="00C36C08"/>
    <w:rsid w:val="00C36CF8"/>
    <w:rsid w:val="00C36FF2"/>
    <w:rsid w:val="00C37183"/>
    <w:rsid w:val="00C373FF"/>
    <w:rsid w:val="00C412AD"/>
    <w:rsid w:val="00C418F0"/>
    <w:rsid w:val="00C419F7"/>
    <w:rsid w:val="00C42040"/>
    <w:rsid w:val="00C4313B"/>
    <w:rsid w:val="00C435AB"/>
    <w:rsid w:val="00C45F01"/>
    <w:rsid w:val="00C4698C"/>
    <w:rsid w:val="00C5207F"/>
    <w:rsid w:val="00C52D21"/>
    <w:rsid w:val="00C54C93"/>
    <w:rsid w:val="00C5543B"/>
    <w:rsid w:val="00C573B1"/>
    <w:rsid w:val="00C600EE"/>
    <w:rsid w:val="00C6294C"/>
    <w:rsid w:val="00C62E03"/>
    <w:rsid w:val="00C64192"/>
    <w:rsid w:val="00C647CB"/>
    <w:rsid w:val="00C67D33"/>
    <w:rsid w:val="00C72D39"/>
    <w:rsid w:val="00C7351D"/>
    <w:rsid w:val="00C73D60"/>
    <w:rsid w:val="00C747F2"/>
    <w:rsid w:val="00C752EB"/>
    <w:rsid w:val="00C75878"/>
    <w:rsid w:val="00C75BD1"/>
    <w:rsid w:val="00C76BBB"/>
    <w:rsid w:val="00C779D4"/>
    <w:rsid w:val="00C77C0E"/>
    <w:rsid w:val="00C80125"/>
    <w:rsid w:val="00C809C6"/>
    <w:rsid w:val="00C81430"/>
    <w:rsid w:val="00C83899"/>
    <w:rsid w:val="00C86829"/>
    <w:rsid w:val="00C86A4F"/>
    <w:rsid w:val="00C86DA3"/>
    <w:rsid w:val="00C871F5"/>
    <w:rsid w:val="00C914F8"/>
    <w:rsid w:val="00C935F6"/>
    <w:rsid w:val="00C95234"/>
    <w:rsid w:val="00C9788C"/>
    <w:rsid w:val="00C97C59"/>
    <w:rsid w:val="00CA0C2B"/>
    <w:rsid w:val="00CA418B"/>
    <w:rsid w:val="00CA42DE"/>
    <w:rsid w:val="00CA52C0"/>
    <w:rsid w:val="00CB1766"/>
    <w:rsid w:val="00CB1E90"/>
    <w:rsid w:val="00CB1EB4"/>
    <w:rsid w:val="00CB328F"/>
    <w:rsid w:val="00CB3A38"/>
    <w:rsid w:val="00CB3B10"/>
    <w:rsid w:val="00CB425D"/>
    <w:rsid w:val="00CB4831"/>
    <w:rsid w:val="00CB5DBA"/>
    <w:rsid w:val="00CB5FBD"/>
    <w:rsid w:val="00CB7F2D"/>
    <w:rsid w:val="00CC16EE"/>
    <w:rsid w:val="00CC1763"/>
    <w:rsid w:val="00CC21F6"/>
    <w:rsid w:val="00CC2600"/>
    <w:rsid w:val="00CC4B0F"/>
    <w:rsid w:val="00CC4B86"/>
    <w:rsid w:val="00CC5A1A"/>
    <w:rsid w:val="00CC5EA6"/>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6C1C"/>
    <w:rsid w:val="00CE7B3F"/>
    <w:rsid w:val="00CE7C81"/>
    <w:rsid w:val="00CF0D83"/>
    <w:rsid w:val="00CF0EF2"/>
    <w:rsid w:val="00CF47E5"/>
    <w:rsid w:val="00CF732A"/>
    <w:rsid w:val="00D00533"/>
    <w:rsid w:val="00D00540"/>
    <w:rsid w:val="00D00AA4"/>
    <w:rsid w:val="00D01406"/>
    <w:rsid w:val="00D015A7"/>
    <w:rsid w:val="00D0250E"/>
    <w:rsid w:val="00D0423A"/>
    <w:rsid w:val="00D04A90"/>
    <w:rsid w:val="00D06EF2"/>
    <w:rsid w:val="00D07131"/>
    <w:rsid w:val="00D07526"/>
    <w:rsid w:val="00D07E3B"/>
    <w:rsid w:val="00D1308F"/>
    <w:rsid w:val="00D13678"/>
    <w:rsid w:val="00D1460D"/>
    <w:rsid w:val="00D14B1E"/>
    <w:rsid w:val="00D1550B"/>
    <w:rsid w:val="00D17E05"/>
    <w:rsid w:val="00D17F23"/>
    <w:rsid w:val="00D207B2"/>
    <w:rsid w:val="00D216CF"/>
    <w:rsid w:val="00D220F4"/>
    <w:rsid w:val="00D22B49"/>
    <w:rsid w:val="00D23F60"/>
    <w:rsid w:val="00D240C0"/>
    <w:rsid w:val="00D24A6C"/>
    <w:rsid w:val="00D24AC2"/>
    <w:rsid w:val="00D25A76"/>
    <w:rsid w:val="00D2692A"/>
    <w:rsid w:val="00D278F4"/>
    <w:rsid w:val="00D27E31"/>
    <w:rsid w:val="00D308D8"/>
    <w:rsid w:val="00D311F7"/>
    <w:rsid w:val="00D318AF"/>
    <w:rsid w:val="00D32350"/>
    <w:rsid w:val="00D3344A"/>
    <w:rsid w:val="00D3355A"/>
    <w:rsid w:val="00D34CA3"/>
    <w:rsid w:val="00D35AA2"/>
    <w:rsid w:val="00D362BE"/>
    <w:rsid w:val="00D36BE9"/>
    <w:rsid w:val="00D3722A"/>
    <w:rsid w:val="00D37579"/>
    <w:rsid w:val="00D40B0A"/>
    <w:rsid w:val="00D43F58"/>
    <w:rsid w:val="00D4457A"/>
    <w:rsid w:val="00D45734"/>
    <w:rsid w:val="00D46172"/>
    <w:rsid w:val="00D46D5A"/>
    <w:rsid w:val="00D47829"/>
    <w:rsid w:val="00D47E7C"/>
    <w:rsid w:val="00D50AD1"/>
    <w:rsid w:val="00D542A9"/>
    <w:rsid w:val="00D54789"/>
    <w:rsid w:val="00D5501F"/>
    <w:rsid w:val="00D55807"/>
    <w:rsid w:val="00D604C4"/>
    <w:rsid w:val="00D605E1"/>
    <w:rsid w:val="00D63645"/>
    <w:rsid w:val="00D63929"/>
    <w:rsid w:val="00D63C1C"/>
    <w:rsid w:val="00D63E1C"/>
    <w:rsid w:val="00D6421D"/>
    <w:rsid w:val="00D645E0"/>
    <w:rsid w:val="00D65124"/>
    <w:rsid w:val="00D65231"/>
    <w:rsid w:val="00D65507"/>
    <w:rsid w:val="00D6599A"/>
    <w:rsid w:val="00D66534"/>
    <w:rsid w:val="00D669A4"/>
    <w:rsid w:val="00D66E91"/>
    <w:rsid w:val="00D66EFA"/>
    <w:rsid w:val="00D709B7"/>
    <w:rsid w:val="00D71211"/>
    <w:rsid w:val="00D7143F"/>
    <w:rsid w:val="00D72409"/>
    <w:rsid w:val="00D72A0C"/>
    <w:rsid w:val="00D73621"/>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90791"/>
    <w:rsid w:val="00D90A08"/>
    <w:rsid w:val="00D90F27"/>
    <w:rsid w:val="00D90F8B"/>
    <w:rsid w:val="00D91524"/>
    <w:rsid w:val="00D928A3"/>
    <w:rsid w:val="00D93A74"/>
    <w:rsid w:val="00D9440E"/>
    <w:rsid w:val="00D95433"/>
    <w:rsid w:val="00D956B6"/>
    <w:rsid w:val="00D95F43"/>
    <w:rsid w:val="00D9772E"/>
    <w:rsid w:val="00DA07B1"/>
    <w:rsid w:val="00DA0DC8"/>
    <w:rsid w:val="00DA17B0"/>
    <w:rsid w:val="00DA2C00"/>
    <w:rsid w:val="00DA33EC"/>
    <w:rsid w:val="00DA3F09"/>
    <w:rsid w:val="00DA48B0"/>
    <w:rsid w:val="00DA5E1F"/>
    <w:rsid w:val="00DA6D82"/>
    <w:rsid w:val="00DB06D2"/>
    <w:rsid w:val="00DB1330"/>
    <w:rsid w:val="00DB169C"/>
    <w:rsid w:val="00DB180E"/>
    <w:rsid w:val="00DB21E9"/>
    <w:rsid w:val="00DB27AF"/>
    <w:rsid w:val="00DB292F"/>
    <w:rsid w:val="00DB3608"/>
    <w:rsid w:val="00DB3966"/>
    <w:rsid w:val="00DB3F0F"/>
    <w:rsid w:val="00DB5A3F"/>
    <w:rsid w:val="00DB6496"/>
    <w:rsid w:val="00DB78EC"/>
    <w:rsid w:val="00DC124A"/>
    <w:rsid w:val="00DC2AD7"/>
    <w:rsid w:val="00DC2CDA"/>
    <w:rsid w:val="00DC6EBF"/>
    <w:rsid w:val="00DD40A3"/>
    <w:rsid w:val="00DD4D17"/>
    <w:rsid w:val="00DD5846"/>
    <w:rsid w:val="00DD620A"/>
    <w:rsid w:val="00DD7392"/>
    <w:rsid w:val="00DE0462"/>
    <w:rsid w:val="00DE11D6"/>
    <w:rsid w:val="00DE1AEE"/>
    <w:rsid w:val="00DE2212"/>
    <w:rsid w:val="00DE2457"/>
    <w:rsid w:val="00DE2C8D"/>
    <w:rsid w:val="00DE5E69"/>
    <w:rsid w:val="00DE610C"/>
    <w:rsid w:val="00DE7B73"/>
    <w:rsid w:val="00DE7CEB"/>
    <w:rsid w:val="00DE7F13"/>
    <w:rsid w:val="00DF06C4"/>
    <w:rsid w:val="00DF234C"/>
    <w:rsid w:val="00DF2C09"/>
    <w:rsid w:val="00DF3A31"/>
    <w:rsid w:val="00DF3DDB"/>
    <w:rsid w:val="00DF563C"/>
    <w:rsid w:val="00DF631D"/>
    <w:rsid w:val="00DF6C2D"/>
    <w:rsid w:val="00DF6D88"/>
    <w:rsid w:val="00DF74F4"/>
    <w:rsid w:val="00E00415"/>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155F6"/>
    <w:rsid w:val="00E2108D"/>
    <w:rsid w:val="00E214F0"/>
    <w:rsid w:val="00E21F9F"/>
    <w:rsid w:val="00E220EA"/>
    <w:rsid w:val="00E2262C"/>
    <w:rsid w:val="00E23054"/>
    <w:rsid w:val="00E237A8"/>
    <w:rsid w:val="00E24F7C"/>
    <w:rsid w:val="00E25852"/>
    <w:rsid w:val="00E25FDB"/>
    <w:rsid w:val="00E26DDA"/>
    <w:rsid w:val="00E30009"/>
    <w:rsid w:val="00E30B9B"/>
    <w:rsid w:val="00E30FF3"/>
    <w:rsid w:val="00E3151F"/>
    <w:rsid w:val="00E31BA9"/>
    <w:rsid w:val="00E31DD1"/>
    <w:rsid w:val="00E31E1C"/>
    <w:rsid w:val="00E337E8"/>
    <w:rsid w:val="00E33A8F"/>
    <w:rsid w:val="00E34AA2"/>
    <w:rsid w:val="00E37FAF"/>
    <w:rsid w:val="00E4090B"/>
    <w:rsid w:val="00E41F06"/>
    <w:rsid w:val="00E422DC"/>
    <w:rsid w:val="00E42B30"/>
    <w:rsid w:val="00E42DA2"/>
    <w:rsid w:val="00E45E6B"/>
    <w:rsid w:val="00E47A35"/>
    <w:rsid w:val="00E50167"/>
    <w:rsid w:val="00E5097C"/>
    <w:rsid w:val="00E51DDA"/>
    <w:rsid w:val="00E52A08"/>
    <w:rsid w:val="00E5361B"/>
    <w:rsid w:val="00E54925"/>
    <w:rsid w:val="00E604A4"/>
    <w:rsid w:val="00E61C4E"/>
    <w:rsid w:val="00E631DE"/>
    <w:rsid w:val="00E63872"/>
    <w:rsid w:val="00E63C6C"/>
    <w:rsid w:val="00E63F87"/>
    <w:rsid w:val="00E6527E"/>
    <w:rsid w:val="00E65A41"/>
    <w:rsid w:val="00E70C65"/>
    <w:rsid w:val="00E710C9"/>
    <w:rsid w:val="00E71666"/>
    <w:rsid w:val="00E724E4"/>
    <w:rsid w:val="00E73155"/>
    <w:rsid w:val="00E73312"/>
    <w:rsid w:val="00E735D4"/>
    <w:rsid w:val="00E73AFD"/>
    <w:rsid w:val="00E7411D"/>
    <w:rsid w:val="00E7483A"/>
    <w:rsid w:val="00E76439"/>
    <w:rsid w:val="00E76CBC"/>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717"/>
    <w:rsid w:val="00E944FD"/>
    <w:rsid w:val="00E9546A"/>
    <w:rsid w:val="00E95563"/>
    <w:rsid w:val="00E97CCA"/>
    <w:rsid w:val="00E97E2B"/>
    <w:rsid w:val="00EA0D5B"/>
    <w:rsid w:val="00EA3FF6"/>
    <w:rsid w:val="00EA6DC0"/>
    <w:rsid w:val="00EB159B"/>
    <w:rsid w:val="00EB2033"/>
    <w:rsid w:val="00EB2481"/>
    <w:rsid w:val="00EB257B"/>
    <w:rsid w:val="00EB2A1F"/>
    <w:rsid w:val="00EB2D88"/>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D11BA"/>
    <w:rsid w:val="00ED1764"/>
    <w:rsid w:val="00ED200B"/>
    <w:rsid w:val="00ED2520"/>
    <w:rsid w:val="00ED2E12"/>
    <w:rsid w:val="00ED4F03"/>
    <w:rsid w:val="00ED52B2"/>
    <w:rsid w:val="00ED552A"/>
    <w:rsid w:val="00EE0ADC"/>
    <w:rsid w:val="00EE173D"/>
    <w:rsid w:val="00EE231A"/>
    <w:rsid w:val="00EE24D6"/>
    <w:rsid w:val="00EE289F"/>
    <w:rsid w:val="00EE59C6"/>
    <w:rsid w:val="00EE69B9"/>
    <w:rsid w:val="00EE75E5"/>
    <w:rsid w:val="00EF1864"/>
    <w:rsid w:val="00EF26B4"/>
    <w:rsid w:val="00EF33BF"/>
    <w:rsid w:val="00EF41F1"/>
    <w:rsid w:val="00EF6E6D"/>
    <w:rsid w:val="00EF775A"/>
    <w:rsid w:val="00F00020"/>
    <w:rsid w:val="00F01A7F"/>
    <w:rsid w:val="00F02E36"/>
    <w:rsid w:val="00F03426"/>
    <w:rsid w:val="00F04707"/>
    <w:rsid w:val="00F04ACD"/>
    <w:rsid w:val="00F0539D"/>
    <w:rsid w:val="00F0571B"/>
    <w:rsid w:val="00F07867"/>
    <w:rsid w:val="00F107A8"/>
    <w:rsid w:val="00F10F01"/>
    <w:rsid w:val="00F110F6"/>
    <w:rsid w:val="00F122E7"/>
    <w:rsid w:val="00F13D28"/>
    <w:rsid w:val="00F14BA7"/>
    <w:rsid w:val="00F152B2"/>
    <w:rsid w:val="00F16949"/>
    <w:rsid w:val="00F16D8C"/>
    <w:rsid w:val="00F17D2D"/>
    <w:rsid w:val="00F20894"/>
    <w:rsid w:val="00F20D34"/>
    <w:rsid w:val="00F22AFE"/>
    <w:rsid w:val="00F23754"/>
    <w:rsid w:val="00F237A4"/>
    <w:rsid w:val="00F23F6D"/>
    <w:rsid w:val="00F24087"/>
    <w:rsid w:val="00F24A5E"/>
    <w:rsid w:val="00F265F6"/>
    <w:rsid w:val="00F26653"/>
    <w:rsid w:val="00F27291"/>
    <w:rsid w:val="00F2770C"/>
    <w:rsid w:val="00F314C0"/>
    <w:rsid w:val="00F32457"/>
    <w:rsid w:val="00F32541"/>
    <w:rsid w:val="00F3254D"/>
    <w:rsid w:val="00F32569"/>
    <w:rsid w:val="00F33889"/>
    <w:rsid w:val="00F357FA"/>
    <w:rsid w:val="00F35C22"/>
    <w:rsid w:val="00F37FE3"/>
    <w:rsid w:val="00F41337"/>
    <w:rsid w:val="00F41940"/>
    <w:rsid w:val="00F44405"/>
    <w:rsid w:val="00F44796"/>
    <w:rsid w:val="00F44D8E"/>
    <w:rsid w:val="00F46255"/>
    <w:rsid w:val="00F47DC5"/>
    <w:rsid w:val="00F50A23"/>
    <w:rsid w:val="00F518F3"/>
    <w:rsid w:val="00F5367B"/>
    <w:rsid w:val="00F54B12"/>
    <w:rsid w:val="00F5608F"/>
    <w:rsid w:val="00F6027C"/>
    <w:rsid w:val="00F60DAD"/>
    <w:rsid w:val="00F60DE0"/>
    <w:rsid w:val="00F617DE"/>
    <w:rsid w:val="00F6194D"/>
    <w:rsid w:val="00F61F8E"/>
    <w:rsid w:val="00F62233"/>
    <w:rsid w:val="00F6251B"/>
    <w:rsid w:val="00F626C6"/>
    <w:rsid w:val="00F63405"/>
    <w:rsid w:val="00F63C7A"/>
    <w:rsid w:val="00F64156"/>
    <w:rsid w:val="00F6576A"/>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44"/>
    <w:rsid w:val="00F86002"/>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C2C"/>
    <w:rsid w:val="00FA5D62"/>
    <w:rsid w:val="00FA6040"/>
    <w:rsid w:val="00FA6293"/>
    <w:rsid w:val="00FA6373"/>
    <w:rsid w:val="00FA686A"/>
    <w:rsid w:val="00FA6C96"/>
    <w:rsid w:val="00FB00F7"/>
    <w:rsid w:val="00FB08CC"/>
    <w:rsid w:val="00FB1304"/>
    <w:rsid w:val="00FB1514"/>
    <w:rsid w:val="00FB3686"/>
    <w:rsid w:val="00FB3CD7"/>
    <w:rsid w:val="00FB4545"/>
    <w:rsid w:val="00FB478F"/>
    <w:rsid w:val="00FB5045"/>
    <w:rsid w:val="00FB56BD"/>
    <w:rsid w:val="00FB578C"/>
    <w:rsid w:val="00FB58BB"/>
    <w:rsid w:val="00FB597D"/>
    <w:rsid w:val="00FB634D"/>
    <w:rsid w:val="00FC0D59"/>
    <w:rsid w:val="00FC1A5C"/>
    <w:rsid w:val="00FC1C53"/>
    <w:rsid w:val="00FC2D03"/>
    <w:rsid w:val="00FC2D4C"/>
    <w:rsid w:val="00FC39EA"/>
    <w:rsid w:val="00FC469C"/>
    <w:rsid w:val="00FC4943"/>
    <w:rsid w:val="00FC56B8"/>
    <w:rsid w:val="00FC60B8"/>
    <w:rsid w:val="00FC6DE6"/>
    <w:rsid w:val="00FD0A9D"/>
    <w:rsid w:val="00FD0A9E"/>
    <w:rsid w:val="00FD0F14"/>
    <w:rsid w:val="00FD15AF"/>
    <w:rsid w:val="00FD2F1A"/>
    <w:rsid w:val="00FD37D0"/>
    <w:rsid w:val="00FD4EC8"/>
    <w:rsid w:val="00FD5E81"/>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2F3F"/>
    <w:rsid w:val="00FF58A5"/>
    <w:rsid w:val="00FF58F3"/>
    <w:rsid w:val="00FF5AA4"/>
    <w:rsid w:val="00FF6251"/>
    <w:rsid w:val="00FF7151"/>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4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SubfileSeparator">
    <w:name w:val="SCC.Lsoc.SubfileSeparator"/>
    <w:basedOn w:val="Normal"/>
    <w:next w:val="Normal"/>
    <w:link w:val="SCCLsocSubfileSeparatorChar"/>
    <w:rsid w:val="005A6497"/>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5A6497"/>
    <w:rPr>
      <w:rFonts w:ascii="Times New Roman" w:eastAsiaTheme="minorHAnsi" w:hAnsi="Times New Roman"/>
      <w:b/>
      <w:sz w:val="24"/>
      <w:szCs w:val="24"/>
      <w:lang w:val="en-CA"/>
    </w:rPr>
  </w:style>
  <w:style w:type="character" w:customStyle="1" w:styleId="reflex3-alt">
    <w:name w:val="reflex3-alt"/>
    <w:basedOn w:val="DefaultParagraphFont"/>
    <w:rsid w:val="005A6497"/>
  </w:style>
  <w:style w:type="character" w:customStyle="1" w:styleId="italic1">
    <w:name w:val="italic1"/>
    <w:basedOn w:val="DefaultParagraphFont"/>
    <w:rsid w:val="005A6497"/>
    <w:rPr>
      <w:i/>
      <w:iCs/>
    </w:rPr>
  </w:style>
  <w:style w:type="character" w:customStyle="1" w:styleId="documentstaticurl">
    <w:name w:val="documentstaticurl"/>
    <w:basedOn w:val="DefaultParagraphFont"/>
    <w:rsid w:val="005A6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cc-csc.ca/case-dossier/info/sum-som-eng.aspx?cas=37094" TargetMode="External"/><Relationship Id="rId117" Type="http://schemas.openxmlformats.org/officeDocument/2006/relationships/hyperlink" Target="http://canlii.ca/t/gs811" TargetMode="External"/><Relationship Id="rId21" Type="http://schemas.openxmlformats.org/officeDocument/2006/relationships/hyperlink" Target="http://www.scc-csc.ca/case-dossier/info/sum-som-fra.aspx?cas=37139" TargetMode="External"/><Relationship Id="rId42" Type="http://schemas.openxmlformats.org/officeDocument/2006/relationships/hyperlink" Target="http://www.canlii.org/en/bc/bcsc/doc/2014/2014bcsc2064/2014bcsc2064.html?autocompleteStr=2014%20BCSC%202064&amp;autocompletePos=1" TargetMode="External"/><Relationship Id="rId47" Type="http://schemas.openxmlformats.org/officeDocument/2006/relationships/hyperlink" Target="http://c-doc.domain.scc-csc.gc.ca/L25/01/05/%3chttp:/canlii.ca/t/gjxc6%3e," TargetMode="External"/><Relationship Id="rId63" Type="http://schemas.openxmlformats.org/officeDocument/2006/relationships/hyperlink" Target="http://www.canlii.org/fr/qc/qccs/doc/2014/2014qccs4197/2014qccs4197.html" TargetMode="External"/><Relationship Id="rId68" Type="http://schemas.openxmlformats.org/officeDocument/2006/relationships/hyperlink" Target="http://canlii.ca/t/gplv9" TargetMode="External"/><Relationship Id="rId84" Type="http://schemas.openxmlformats.org/officeDocument/2006/relationships/hyperlink" Target="http://c-doc.domain.scc-csc.gc.ca/L25/01/05/%3chttp:/canlii.ca/t/gs6xx" TargetMode="External"/><Relationship Id="rId89" Type="http://schemas.openxmlformats.org/officeDocument/2006/relationships/hyperlink" Target="http://www.canlii.org/fr/qc/qccs/doc/2015/2015qccs4512/2015qccs4512.html?autocompleteStr=500-04-063580-&amp;autocompletePos=1" TargetMode="External"/><Relationship Id="rId112" Type="http://schemas.openxmlformats.org/officeDocument/2006/relationships/hyperlink" Target="http://www.canlii.org/en/on/onca/doc/2015/2015onca422/2015onca422.html?resultIndex=1" TargetMode="External"/><Relationship Id="rId133" Type="http://schemas.openxmlformats.org/officeDocument/2006/relationships/footer" Target="footer3.xml"/><Relationship Id="rId16" Type="http://schemas.openxmlformats.org/officeDocument/2006/relationships/hyperlink" Target="http://www.scc-csc.ca/case-dossier/info/sum-som-eng.aspx?cas=37133" TargetMode="External"/><Relationship Id="rId107" Type="http://schemas.openxmlformats.org/officeDocument/2006/relationships/hyperlink" Target="http://canlii.ca/t/gjlc6" TargetMode="External"/><Relationship Id="rId11" Type="http://schemas.openxmlformats.org/officeDocument/2006/relationships/hyperlink" Target="http://www.scc-csc.ca/case-dossier/info/sum-som-eng.aspx?cas=37242" TargetMode="External"/><Relationship Id="rId32" Type="http://schemas.openxmlformats.org/officeDocument/2006/relationships/hyperlink" Target="http://www.scc-csc.ca/case-dossier/info/sum-som-eng.aspx?cas=37199" TargetMode="External"/><Relationship Id="rId37" Type="http://schemas.openxmlformats.org/officeDocument/2006/relationships/hyperlink" Target="http://canlii.ca/t/grx23" TargetMode="External"/><Relationship Id="rId53" Type="http://schemas.openxmlformats.org/officeDocument/2006/relationships/hyperlink" Target="http://www.canlii.org/en/on/onca/doc/2015/2015onca880/2015onca880.html?resultIndex=1" TargetMode="External"/><Relationship Id="rId58" Type="http://schemas.openxmlformats.org/officeDocument/2006/relationships/hyperlink" Target="http://www.canlii.org/en/bc/bcsc/doc/2011/2011bcsc1210/2011bcsc1210.html" TargetMode="External"/><Relationship Id="rId74" Type="http://schemas.openxmlformats.org/officeDocument/2006/relationships/hyperlink" Target="https://www.canlii.org/en/on/onlst/doc/2013/2013onlshp125/2013onlshp125.html" TargetMode="External"/><Relationship Id="rId79" Type="http://schemas.openxmlformats.org/officeDocument/2006/relationships/hyperlink" Target="https://www.canlii.org/fr/on/ontb/doc/2014/2014onlsta20/2014onlsta20.html" TargetMode="External"/><Relationship Id="rId102" Type="http://schemas.openxmlformats.org/officeDocument/2006/relationships/hyperlink" Target="http://www.canlii.org/en/bc/bcca/doc/2016/2016bcca162/2016bcca162.html?autocompleteStr=2016%20BCCA%20162&amp;autocompletePos=1" TargetMode="External"/><Relationship Id="rId123" Type="http://schemas.openxmlformats.org/officeDocument/2006/relationships/hyperlink" Target="http://canlii.ca/t/fs16v" TargetMode="External"/><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www.canlii.org/en/qc/qcca/doc/2016/2016qcca708/2016qcca708.html" TargetMode="External"/><Relationship Id="rId95" Type="http://schemas.openxmlformats.org/officeDocument/2006/relationships/hyperlink" Target="http://www.canlii.org/en/on/onsc/doc/2015/2015onsc1885/2015onsc1885.html?resultIndex=1" TargetMode="External"/><Relationship Id="rId14" Type="http://schemas.openxmlformats.org/officeDocument/2006/relationships/hyperlink" Target="http://www.scc-csc.ca/case-dossier/info/sum-som-eng.aspx?cas=35569" TargetMode="External"/><Relationship Id="rId22" Type="http://schemas.openxmlformats.org/officeDocument/2006/relationships/hyperlink" Target="http://www.scc-csc.ca/case-dossier/info/sum-som-eng.aspx?cas=37137" TargetMode="External"/><Relationship Id="rId27" Type="http://schemas.openxmlformats.org/officeDocument/2006/relationships/hyperlink" Target="http://www.scc-csc.ca/case-dossier/info/sum-som-eng.aspx?cas=37138" TargetMode="External"/><Relationship Id="rId30" Type="http://schemas.openxmlformats.org/officeDocument/2006/relationships/hyperlink" Target="http://www.scc-csc.ca/case-dossier/info/sum-som-eng.aspx?cas=37183" TargetMode="External"/><Relationship Id="rId35" Type="http://schemas.openxmlformats.org/officeDocument/2006/relationships/hyperlink" Target="http://canlii.ca/t/gjc0f" TargetMode="External"/><Relationship Id="rId43" Type="http://schemas.openxmlformats.org/officeDocument/2006/relationships/hyperlink" Target="http://www.canlii.org/en/bc/bcca/doc/2016/2016bcca306/2016bcca306.html?autocompleteStr=2016%20BCCA%20306&amp;autocompletePos=1" TargetMode="External"/><Relationship Id="rId48" Type="http://schemas.openxmlformats.org/officeDocument/2006/relationships/hyperlink" Target="http://canlii.ca/t/gr724%3e," TargetMode="External"/><Relationship Id="rId56" Type="http://schemas.openxmlformats.org/officeDocument/2006/relationships/hyperlink" Target="http://www.canlii.org/en/bc/bcca/doc/2013/2013bcca371/2013bcca371.html" TargetMode="External"/><Relationship Id="rId64" Type="http://schemas.openxmlformats.org/officeDocument/2006/relationships/hyperlink" Target="http://www.canlii.org/fr/qc/qcca/doc/2016/2016qcca424/2016qcca424.html" TargetMode="External"/><Relationship Id="rId69" Type="http://schemas.openxmlformats.org/officeDocument/2006/relationships/hyperlink" Target="http://canlii.ca/t/g86b3" TargetMode="External"/><Relationship Id="rId77" Type="http://schemas.openxmlformats.org/officeDocument/2006/relationships/hyperlink" Target="https://www.canlii.org/fr/on/ontb/doc/2013/2013onlshp21/2013onlshp21.html" TargetMode="External"/><Relationship Id="rId100" Type="http://schemas.openxmlformats.org/officeDocument/2006/relationships/hyperlink" Target="http://www.canlii.org/en/bc/bcca/doc/2016/2016bcca162/2016bcca162.html?autocompleteStr=2016%20BCCA%20162&amp;autocompletePos=1" TargetMode="External"/><Relationship Id="rId105" Type="http://schemas.openxmlformats.org/officeDocument/2006/relationships/hyperlink" Target="%3chttp:/canlii.ca/t/gs1bz%3e," TargetMode="External"/><Relationship Id="rId113" Type="http://schemas.openxmlformats.org/officeDocument/2006/relationships/hyperlink" Target="http://www.canlii.org/en/ca/fct/doc/2015/2015fc363/2015fc363.html" TargetMode="External"/><Relationship Id="rId118" Type="http://schemas.openxmlformats.org/officeDocument/2006/relationships/hyperlink" Target="http://canlii.ca/t/gs811" TargetMode="External"/><Relationship Id="rId126" Type="http://schemas.openxmlformats.org/officeDocument/2006/relationships/hyperlink" Target="http://canlii.ca/t/gs1f1" TargetMode="External"/><Relationship Id="rId134" Type="http://schemas.openxmlformats.org/officeDocument/2006/relationships/fontTable" Target="fontTable.xml"/><Relationship Id="rId8" Type="http://schemas.openxmlformats.org/officeDocument/2006/relationships/hyperlink" Target="http://www.scc-csc.ca/case-dossier/info/sum-som-eng.aspx?cas=37168" TargetMode="External"/><Relationship Id="rId51" Type="http://schemas.openxmlformats.org/officeDocument/2006/relationships/hyperlink" Target="http://canlii.ca/t/gpkxz" TargetMode="External"/><Relationship Id="rId72" Type="http://schemas.openxmlformats.org/officeDocument/2006/relationships/hyperlink" Target="http://canlii.ca/t/gplv9" TargetMode="External"/><Relationship Id="rId80" Type="http://schemas.openxmlformats.org/officeDocument/2006/relationships/hyperlink" Target="http://www.canlii.org/en/on/onscdc/doc/2015/2015onsc2939/2015onsc2939.html?autocompleteStr=2015%20ONCS%202939&amp;autocompletePos=1" TargetMode="External"/><Relationship Id="rId85" Type="http://schemas.openxmlformats.org/officeDocument/2006/relationships/hyperlink" Target="http://c-doc.domain.scc-csc.gc.ca/L25/01/05/canlii.ca/t/gp0sf" TargetMode="External"/><Relationship Id="rId93" Type="http://schemas.openxmlformats.org/officeDocument/2006/relationships/hyperlink" Target="http://www.canlii.org/en/ca/fct/doc/2015/2015fc1053/2015fc1053.html?autocompleteStr=2015%20FC%201053&amp;autocompletePos=1" TargetMode="External"/><Relationship Id="rId98" Type="http://schemas.openxmlformats.org/officeDocument/2006/relationships/hyperlink" Target="http://www.canlii.org/en/on/onca/doc/2016/2016onca411/2016onca411.html?resultIndex=1" TargetMode="External"/><Relationship Id="rId121" Type="http://schemas.openxmlformats.org/officeDocument/2006/relationships/hyperlink" Target="https://www.canlii.org/en/ca/fct/doc/2015/2015fc774/2015fc774.html?autocompleteStr=2015%20FC%20774&amp;autocompletePos=1" TargetMode="External"/><Relationship Id="rId3" Type="http://schemas.openxmlformats.org/officeDocument/2006/relationships/styles" Target="styles.xml"/><Relationship Id="rId12" Type="http://schemas.openxmlformats.org/officeDocument/2006/relationships/hyperlink" Target="http://www.scc-csc.ca/case-dossier/info/sum-som-eng.aspx?cas=37243" TargetMode="External"/><Relationship Id="rId17" Type="http://schemas.openxmlformats.org/officeDocument/2006/relationships/hyperlink" Target="http://www.scc-csc.ca/case-dossier/info/sum-som-eng.aspx?cas=37095" TargetMode="External"/><Relationship Id="rId25" Type="http://schemas.openxmlformats.org/officeDocument/2006/relationships/hyperlink" Target="http://www.scc-csc.ca/case-dossier/info/sum-som-eng.aspx?cas=37155" TargetMode="External"/><Relationship Id="rId33" Type="http://schemas.openxmlformats.org/officeDocument/2006/relationships/hyperlink" Target="http://www.scc-csc.ca/case-dossier/info/sum-som-eng.aspx?cas=37122" TargetMode="External"/><Relationship Id="rId38" Type="http://schemas.openxmlformats.org/officeDocument/2006/relationships/hyperlink" Target="http://canlii.ca/t/gjc0f" TargetMode="External"/><Relationship Id="rId46" Type="http://schemas.openxmlformats.org/officeDocument/2006/relationships/hyperlink" Target="http://www.canlii.org/en/bc/bcca/doc/2016/2016bcca306/2016bcca306.html?autocompleteStr=2016%20BCCA%20306&amp;autocompletePos=1" TargetMode="External"/><Relationship Id="rId59" Type="http://schemas.openxmlformats.org/officeDocument/2006/relationships/hyperlink" Target="http://www.canlii.org/en/bc/bcca/doc/2013/2013bcca371/2013bcca371.html" TargetMode="External"/><Relationship Id="rId67" Type="http://schemas.openxmlformats.org/officeDocument/2006/relationships/hyperlink" Target="http://canlii.ca/t/gjcsx" TargetMode="External"/><Relationship Id="rId103" Type="http://schemas.openxmlformats.org/officeDocument/2006/relationships/hyperlink" Target="%3chttp:/canlii.ca/t/ghgpj%3e," TargetMode="External"/><Relationship Id="rId108" Type="http://schemas.openxmlformats.org/officeDocument/2006/relationships/hyperlink" Target="file:///C:\Users\Aubryd\AppData\Local\Microsoft\Windows\Temporary%20Internet%20Files\Content.Outlook\XE8C77KW\%3chttp:\canlii.ca\t\gs1bz%3e," TargetMode="External"/><Relationship Id="rId116" Type="http://schemas.openxmlformats.org/officeDocument/2006/relationships/hyperlink" Target="http://www.canlii.org/en/ca/fca/doc/2016/2016fca5/2016fca5.html" TargetMode="External"/><Relationship Id="rId124" Type="http://schemas.openxmlformats.org/officeDocument/2006/relationships/hyperlink" Target="http://canlii.ca/t/gs1f1" TargetMode="External"/><Relationship Id="rId129" Type="http://schemas.openxmlformats.org/officeDocument/2006/relationships/header" Target="header2.xml"/><Relationship Id="rId20" Type="http://schemas.openxmlformats.org/officeDocument/2006/relationships/hyperlink" Target="http://www.scc-csc.ca/case-dossier/info/sum-som-eng.aspx?cas=37195" TargetMode="External"/><Relationship Id="rId41" Type="http://schemas.openxmlformats.org/officeDocument/2006/relationships/hyperlink" Target="http://www.canlii.org/en/bc/bcca/doc/2011/2011bcca33/2011bcca33.html?autocompleteStr=2011%20BCCA%2033&amp;autocompletePos=1" TargetMode="External"/><Relationship Id="rId54" Type="http://schemas.openxmlformats.org/officeDocument/2006/relationships/hyperlink" Target="http://www.canlii.org/en/on/onca/doc/2015/2015onca880/2015onca880.html?resultIndex=1" TargetMode="External"/><Relationship Id="rId62" Type="http://schemas.openxmlformats.org/officeDocument/2006/relationships/hyperlink" Target="http://www.canlii.org/fr/qc/qcca/doc/2016/2016qcca424/2016qcca424.html" TargetMode="External"/><Relationship Id="rId70" Type="http://schemas.openxmlformats.org/officeDocument/2006/relationships/hyperlink" Target="http://canlii.ca/t/g8681" TargetMode="External"/><Relationship Id="rId75" Type="http://schemas.openxmlformats.org/officeDocument/2006/relationships/hyperlink" Target="https://www.canlii.org/fr/on/ontb/doc/2014/2014onlsta20/2014onlsta20.html" TargetMode="External"/><Relationship Id="rId83" Type="http://schemas.openxmlformats.org/officeDocument/2006/relationships/hyperlink" Target="http://c-doc.domain.scc-csc.gc.ca/L25/01/05/%3chttp:/canlii.ca/t/g8s05%3e," TargetMode="External"/><Relationship Id="rId88" Type="http://schemas.openxmlformats.org/officeDocument/2006/relationships/hyperlink" Target="http://www.canlii.org/en/qc/qcca/doc/2016/2016qcca708/2016qcca708.html" TargetMode="External"/><Relationship Id="rId91" Type="http://schemas.openxmlformats.org/officeDocument/2006/relationships/hyperlink" Target="http://www.canlii.org/en/ca/fct/doc/2015/2015fc1053/2015fc1053.html?autocompleteStr=2015%20FC%201053&amp;autocompletePos=1" TargetMode="External"/><Relationship Id="rId96" Type="http://schemas.openxmlformats.org/officeDocument/2006/relationships/hyperlink" Target="http://www.canlii.org/en/on/onca/doc/2016/2016onca411/2016onca411.html?resultIndex=1" TargetMode="External"/><Relationship Id="rId111" Type="http://schemas.openxmlformats.org/officeDocument/2006/relationships/hyperlink" Target="http://www.canlii.org/en/on/onca/doc/2015/2015onca422/2015onca422.html?resultIndex=1" TargetMode="External"/><Relationship Id="rId13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c-csc.ca/case-dossier/info/sum-som-fra.aspx?cas=37002" TargetMode="External"/><Relationship Id="rId23" Type="http://schemas.openxmlformats.org/officeDocument/2006/relationships/hyperlink" Target="http://www.scc-csc.ca/case-dossier/info/sum-som-eng.aspx?cas=37092" TargetMode="External"/><Relationship Id="rId28" Type="http://schemas.openxmlformats.org/officeDocument/2006/relationships/hyperlink" Target="http://www.scc-csc.ca/case-dossier/info/sum-som-eng.aspx?cas=37143" TargetMode="External"/><Relationship Id="rId36" Type="http://schemas.openxmlformats.org/officeDocument/2006/relationships/hyperlink" Target="http://canlii.ca/t/gjc0f" TargetMode="External"/><Relationship Id="rId49" Type="http://schemas.openxmlformats.org/officeDocument/2006/relationships/hyperlink" Target="http://c-doc.domain.scc-csc.gc.ca/L25/01/05/%3chttp:/canlii.ca/t/gjxc6%3e," TargetMode="External"/><Relationship Id="rId57" Type="http://schemas.openxmlformats.org/officeDocument/2006/relationships/hyperlink" Target="http://www.canlii.org/en/bc/bcca/doc/2016/2016bcca156/2016bcca156.html?autocompleteStr=2016%20bcca%20156&amp;autocompletePos=1" TargetMode="External"/><Relationship Id="rId106" Type="http://schemas.openxmlformats.org/officeDocument/2006/relationships/hyperlink" Target="file:///C:\Users\Aubryd\AppData\Local\Microsoft\Windows\Temporary%20Internet%20Files\Content.Outlook\XE8C77KW\%3chttp:\canlii.ca\t\ghgpj%3e," TargetMode="External"/><Relationship Id="rId114" Type="http://schemas.openxmlformats.org/officeDocument/2006/relationships/hyperlink" Target="http://www.canlii.org/en/ca/fca/doc/2016/2016fca5/2016fca5.html" TargetMode="External"/><Relationship Id="rId119" Type="http://schemas.openxmlformats.org/officeDocument/2006/relationships/hyperlink" Target="https://www.canlii.org/en/ca/fct/doc/2015/2015fc774/2015fc774.html?autocompleteStr=2015%20FC%20774&amp;autocompletePos=1" TargetMode="External"/><Relationship Id="rId127" Type="http://schemas.openxmlformats.org/officeDocument/2006/relationships/hyperlink" Target="mailto:comments-commentaires@scc-csc.ca" TargetMode="External"/><Relationship Id="rId10" Type="http://schemas.openxmlformats.org/officeDocument/2006/relationships/hyperlink" Target="http://www.scc-csc.ca/case-dossier/info/sum-som-eng.aspx?cas=37120" TargetMode="External"/><Relationship Id="rId31" Type="http://schemas.openxmlformats.org/officeDocument/2006/relationships/hyperlink" Target="http://www.scc-csc.ca/case-dossier/info/sum-som-eng.aspx?cas=37130" TargetMode="External"/><Relationship Id="rId44" Type="http://schemas.openxmlformats.org/officeDocument/2006/relationships/hyperlink" Target="http://www.canlii.org/en/bc/bcca/doc/2011/2011bcca33/2011bcca33.html?autocompleteStr=2011%20BCCA%2033&amp;autocompletePos=1" TargetMode="External"/><Relationship Id="rId52" Type="http://schemas.openxmlformats.org/officeDocument/2006/relationships/hyperlink" Target="http://canlii.ca/t/gpkxz" TargetMode="External"/><Relationship Id="rId60" Type="http://schemas.openxmlformats.org/officeDocument/2006/relationships/hyperlink" Target="http://www.canlii.org/en/bc/bcca/doc/2016/2016bcca156/2016bcca156.html?autocompleteStr=2016%20bcca%20156&amp;autocompletePos=1" TargetMode="External"/><Relationship Id="rId65" Type="http://schemas.openxmlformats.org/officeDocument/2006/relationships/hyperlink" Target="http://canlii.ca/t/g86b3" TargetMode="External"/><Relationship Id="rId73" Type="http://schemas.openxmlformats.org/officeDocument/2006/relationships/hyperlink" Target="https://www.canlii.org/fr/on/ontb/doc/2013/2013onlshp21/2013onlshp21.html" TargetMode="External"/><Relationship Id="rId78" Type="http://schemas.openxmlformats.org/officeDocument/2006/relationships/hyperlink" Target="https://www.canlii.org/en/on/onlst/doc/2013/2013onlshp125/2013onlshp125.html" TargetMode="External"/><Relationship Id="rId81" Type="http://schemas.openxmlformats.org/officeDocument/2006/relationships/hyperlink" Target="http://c-doc.domain.scc-csc.gc.ca/L25/01/05/%3chttp:/canlii.ca/t/g8s05%3e," TargetMode="External"/><Relationship Id="rId86" Type="http://schemas.openxmlformats.org/officeDocument/2006/relationships/hyperlink" Target="http://c-doc.domain.scc-csc.gc.ca/L25/01/05/canlii.ca/t/gp0sf" TargetMode="External"/><Relationship Id="rId94" Type="http://schemas.openxmlformats.org/officeDocument/2006/relationships/hyperlink" Target="http://www.canlii.org/en/ca/fca/doc/2016/2016fca146/2016fca146.html?autocompleteStr=2016%20FCA%20146&amp;autocompletePos=1" TargetMode="External"/><Relationship Id="rId99" Type="http://schemas.openxmlformats.org/officeDocument/2006/relationships/hyperlink" Target="http://www.canlii.org/en/bc/bcsc/doc/2015/2015bcsc39/2015bcsc39.html" TargetMode="External"/><Relationship Id="rId101" Type="http://schemas.openxmlformats.org/officeDocument/2006/relationships/hyperlink" Target="http://www.canlii.org/en/bc/bcsc/doc/2015/2015bcsc39/2015bcsc39.html" TargetMode="External"/><Relationship Id="rId122" Type="http://schemas.openxmlformats.org/officeDocument/2006/relationships/hyperlink" Target="https://www.canlii.org/en/ca/fca/doc/2016/2016fca144/2016fca144.html?autocompleteStr=2016%20FCA%20144&amp;autocompletePos=1" TargetMode="External"/><Relationship Id="rId130" Type="http://schemas.openxmlformats.org/officeDocument/2006/relationships/footer" Target="footer1.xm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case-dossier/info/sum-som-eng.aspx?cas=37102" TargetMode="External"/><Relationship Id="rId13" Type="http://schemas.openxmlformats.org/officeDocument/2006/relationships/hyperlink" Target="http://www.scc-csc.ca/case-dossier/info/sum-som-eng.aspx?cas=37101" TargetMode="External"/><Relationship Id="rId18" Type="http://schemas.openxmlformats.org/officeDocument/2006/relationships/hyperlink" Target="http://www.scc-csc.ca/case-dossier/info/sum-som-eng.aspx?cas=37131" TargetMode="External"/><Relationship Id="rId39" Type="http://schemas.openxmlformats.org/officeDocument/2006/relationships/hyperlink" Target="http://canlii.ca/t/gjc0f" TargetMode="External"/><Relationship Id="rId109" Type="http://schemas.openxmlformats.org/officeDocument/2006/relationships/hyperlink" Target="http://c-doc.domain.scc-csc.gc.ca/L25/01/05/%3chttp:/canlii.ca/t/gr7lx%3e," TargetMode="External"/><Relationship Id="rId34" Type="http://schemas.openxmlformats.org/officeDocument/2006/relationships/hyperlink" Target="http://www.scc-csc.ca/case-dossier/info/sum-som-eng.aspx?cas=37128" TargetMode="External"/><Relationship Id="rId50" Type="http://schemas.openxmlformats.org/officeDocument/2006/relationships/hyperlink" Target="http://canlii.ca/t/gr724%3e," TargetMode="External"/><Relationship Id="rId55" Type="http://schemas.openxmlformats.org/officeDocument/2006/relationships/hyperlink" Target="http://www.canlii.org/en/bc/bcsc/doc/2011/2011bcsc1210/2011bcsc1210.html" TargetMode="External"/><Relationship Id="rId76" Type="http://schemas.openxmlformats.org/officeDocument/2006/relationships/hyperlink" Target="http://www.canlii.org/en/on/onscdc/doc/2015/2015onsc2939/2015onsc2939.html?autocompleteStr=2015%20ONCS%202939&amp;autocompletePos=1" TargetMode="External"/><Relationship Id="rId97" Type="http://schemas.openxmlformats.org/officeDocument/2006/relationships/hyperlink" Target="http://www.canlii.org/en/on/onsc/doc/2015/2015onsc1885/2015onsc1885.html?resultIndex=1" TargetMode="External"/><Relationship Id="rId104" Type="http://schemas.openxmlformats.org/officeDocument/2006/relationships/hyperlink" Target="http://canlii.ca/t/gjlc6" TargetMode="External"/><Relationship Id="rId120" Type="http://schemas.openxmlformats.org/officeDocument/2006/relationships/hyperlink" Target="https://www.canlii.org/en/ca/fca/doc/2016/2016fca144/2016fca144.html?autocompleteStr=2016%20FCA%20144&amp;autocompletePos=1" TargetMode="External"/><Relationship Id="rId125" Type="http://schemas.openxmlformats.org/officeDocument/2006/relationships/hyperlink" Target="http://canlii.ca/t/fs16v" TargetMode="External"/><Relationship Id="rId7" Type="http://schemas.openxmlformats.org/officeDocument/2006/relationships/endnotes" Target="endnotes.xml"/><Relationship Id="rId71" Type="http://schemas.openxmlformats.org/officeDocument/2006/relationships/hyperlink" Target="http://canlii.ca/t/gjcsx" TargetMode="External"/><Relationship Id="rId92" Type="http://schemas.openxmlformats.org/officeDocument/2006/relationships/hyperlink" Target="http://www.canlii.org/en/ca/fca/doc/2016/2016fca146/2016fca146.html?autocompleteStr=2016%20FCA%20146&amp;autocompletePos=1" TargetMode="External"/><Relationship Id="rId2" Type="http://schemas.openxmlformats.org/officeDocument/2006/relationships/numbering" Target="numbering.xml"/><Relationship Id="rId29" Type="http://schemas.openxmlformats.org/officeDocument/2006/relationships/hyperlink" Target="http://www.scc-csc.ca/case-dossier/info/sum-som-eng.aspx?cas=37098" TargetMode="External"/><Relationship Id="rId24" Type="http://schemas.openxmlformats.org/officeDocument/2006/relationships/hyperlink" Target="http://www.scc-csc.ca/case-dossier/info/sum-som-eng.aspx?cas=37087" TargetMode="External"/><Relationship Id="rId40" Type="http://schemas.openxmlformats.org/officeDocument/2006/relationships/hyperlink" Target="http://canlii.ca/t/grx23" TargetMode="External"/><Relationship Id="rId45" Type="http://schemas.openxmlformats.org/officeDocument/2006/relationships/hyperlink" Target="http://www.canlii.org/en/bc/bcsc/doc/2014/2014bcsc2064/2014bcsc2064.html?autocompleteStr=2014%20BCSC%202064&amp;autocompletePos=1" TargetMode="External"/><Relationship Id="rId66" Type="http://schemas.openxmlformats.org/officeDocument/2006/relationships/hyperlink" Target="http://canlii.ca/t/g8681" TargetMode="External"/><Relationship Id="rId87" Type="http://schemas.openxmlformats.org/officeDocument/2006/relationships/hyperlink" Target="http://www.canlii.org/fr/qc/qccs/doc/2015/2015qccs4512/2015qccs4512.html?autocompleteStr=500-04-063580-&amp;autocompletePos=1" TargetMode="External"/><Relationship Id="rId110" Type="http://schemas.openxmlformats.org/officeDocument/2006/relationships/hyperlink" Target="http://c-doc.domain.scc-csc.gc.ca/L25/01/05/%3chttp:/canlii.ca/t/gr7lx%3e," TargetMode="External"/><Relationship Id="rId115" Type="http://schemas.openxmlformats.org/officeDocument/2006/relationships/hyperlink" Target="http://www.canlii.org/fr/ca/cfpi/doc/2015/2015cf363/2015cf363.html" TargetMode="External"/><Relationship Id="rId131" Type="http://schemas.openxmlformats.org/officeDocument/2006/relationships/footer" Target="footer2.xml"/><Relationship Id="rId61" Type="http://schemas.openxmlformats.org/officeDocument/2006/relationships/hyperlink" Target="http://www.canlii.org/fr/qc/qccs/doc/2014/2014qccs4197/2014qccs4197.html" TargetMode="External"/><Relationship Id="rId82" Type="http://schemas.openxmlformats.org/officeDocument/2006/relationships/hyperlink" Target="http://c-doc.domain.scc-csc.gc.ca/L25/01/05/%3chttp:/canlii.ca/t/gs6xx" TargetMode="External"/><Relationship Id="rId19" Type="http://schemas.openxmlformats.org/officeDocument/2006/relationships/hyperlink" Target="http://www.scc-csc.ca/case-dossier/info/sum-som-fra.aspx?cas=37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C174A-6802-4DF3-86B2-71AE9F4D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23515</Words>
  <Characters>134042</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157243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2016-11-25T16:39:00Z</dcterms:created>
  <dcterms:modified xsi:type="dcterms:W3CDTF">2016-11-28T13:42:00Z</dcterms:modified>
</cp:coreProperties>
</file>