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364BD" w:rsidRDefault="001C4415" w:rsidP="001C4415">
      <w:pPr>
        <w:pStyle w:val="Header"/>
        <w:jc w:val="center"/>
        <w:rPr>
          <w:b/>
          <w:sz w:val="32"/>
        </w:rPr>
      </w:pPr>
      <w:r w:rsidRPr="007364BD">
        <w:rPr>
          <w:b/>
          <w:sz w:val="32"/>
        </w:rPr>
        <w:t>Supreme Court of Canada / Cour suprême du Canada</w:t>
      </w:r>
    </w:p>
    <w:p w:rsidR="001C4415" w:rsidRPr="007364BD" w:rsidRDefault="001C4415" w:rsidP="001C4415">
      <w:pPr>
        <w:widowControl w:val="0"/>
        <w:rPr>
          <w:i/>
        </w:rPr>
      </w:pPr>
    </w:p>
    <w:p w:rsidR="001C4415" w:rsidRPr="007364BD" w:rsidRDefault="001C4415" w:rsidP="001C4415">
      <w:pPr>
        <w:widowControl w:val="0"/>
        <w:rPr>
          <w:i/>
        </w:rPr>
      </w:pPr>
    </w:p>
    <w:p w:rsidR="001C4415" w:rsidRPr="007364BD" w:rsidRDefault="001C4415" w:rsidP="001C4415">
      <w:pPr>
        <w:widowControl w:val="0"/>
        <w:rPr>
          <w:i/>
        </w:rPr>
      </w:pPr>
      <w:r w:rsidRPr="007364BD">
        <w:rPr>
          <w:i/>
        </w:rPr>
        <w:t>(le français suit)</w:t>
      </w:r>
    </w:p>
    <w:p w:rsidR="001C4415" w:rsidRPr="007364BD" w:rsidRDefault="001C4415" w:rsidP="001C4415">
      <w:pPr>
        <w:widowControl w:val="0"/>
      </w:pPr>
    </w:p>
    <w:p w:rsidR="001C4415" w:rsidRPr="007364BD" w:rsidRDefault="000347C1" w:rsidP="00214729">
      <w:pPr>
        <w:widowControl w:val="0"/>
        <w:jc w:val="center"/>
        <w:rPr>
          <w:b/>
        </w:rPr>
      </w:pPr>
      <w:r w:rsidRPr="007364BD">
        <w:fldChar w:fldCharType="begin"/>
      </w:r>
      <w:r w:rsidR="00FA7412" w:rsidRPr="007364BD">
        <w:instrText xml:space="preserve"> SEQ CHAPTER \h \r 1</w:instrText>
      </w:r>
      <w:r w:rsidRPr="007364BD">
        <w:fldChar w:fldCharType="end"/>
      </w:r>
      <w:r w:rsidR="00455BB9" w:rsidRPr="007364BD">
        <w:rPr>
          <w:b/>
        </w:rPr>
        <w:t>JUDGMENT</w:t>
      </w:r>
      <w:r w:rsidR="00FA7412" w:rsidRPr="007364BD">
        <w:rPr>
          <w:b/>
        </w:rPr>
        <w:t xml:space="preserve"> TO BE RENDERED IN APPEA</w:t>
      </w:r>
      <w:r w:rsidR="00342E49" w:rsidRPr="007364BD">
        <w:rPr>
          <w:b/>
        </w:rPr>
        <w:t>L</w:t>
      </w:r>
    </w:p>
    <w:p w:rsidR="005A7C1B" w:rsidRPr="007364BD" w:rsidRDefault="005A7C1B" w:rsidP="005A7C1B">
      <w:pPr>
        <w:widowControl w:val="0"/>
      </w:pPr>
    </w:p>
    <w:p w:rsidR="00EC79B0" w:rsidRPr="00E64192" w:rsidRDefault="00357919" w:rsidP="00EC79B0">
      <w:pPr>
        <w:widowControl w:val="0"/>
        <w:rPr>
          <w:b/>
        </w:rPr>
      </w:pPr>
      <w:r w:rsidRPr="00E64192">
        <w:rPr>
          <w:b/>
        </w:rPr>
        <w:t>February</w:t>
      </w:r>
      <w:r w:rsidR="00C86395" w:rsidRPr="00E64192">
        <w:rPr>
          <w:b/>
        </w:rPr>
        <w:t xml:space="preserve"> </w:t>
      </w:r>
      <w:r w:rsidR="00E64192" w:rsidRPr="00E64192">
        <w:rPr>
          <w:b/>
        </w:rPr>
        <w:t>20</w:t>
      </w:r>
      <w:r w:rsidR="00EC79B0" w:rsidRPr="00E64192">
        <w:rPr>
          <w:b/>
        </w:rPr>
        <w:t>, 201</w:t>
      </w:r>
      <w:r w:rsidR="00DC4589" w:rsidRPr="00E64192">
        <w:rPr>
          <w:b/>
        </w:rPr>
        <w:t>7</w:t>
      </w:r>
    </w:p>
    <w:p w:rsidR="00EC79B0" w:rsidRPr="00E64192" w:rsidRDefault="00EC79B0" w:rsidP="00EC79B0">
      <w:pPr>
        <w:widowControl w:val="0"/>
        <w:rPr>
          <w:b/>
        </w:rPr>
      </w:pPr>
      <w:r w:rsidRPr="00E64192">
        <w:rPr>
          <w:b/>
        </w:rPr>
        <w:t>For immediate release</w:t>
      </w:r>
    </w:p>
    <w:p w:rsidR="00EC79B0" w:rsidRPr="00E64192" w:rsidRDefault="00EC79B0" w:rsidP="00EC79B0">
      <w:pPr>
        <w:widowControl w:val="0"/>
      </w:pPr>
    </w:p>
    <w:p w:rsidR="00EC79B0" w:rsidRPr="00E64192" w:rsidRDefault="00EC79B0" w:rsidP="00EC79B0">
      <w:pPr>
        <w:widowControl w:val="0"/>
        <w:rPr>
          <w:lang w:val="fr-CA"/>
        </w:rPr>
      </w:pPr>
      <w:r w:rsidRPr="00E64192">
        <w:rPr>
          <w:b/>
        </w:rPr>
        <w:t>OTTAWA</w:t>
      </w:r>
      <w:r w:rsidRPr="00E64192">
        <w:t xml:space="preserve"> – The Supreme Court of Canad</w:t>
      </w:r>
      <w:r w:rsidR="00455BB9" w:rsidRPr="00E64192">
        <w:t>a announced today that judgment</w:t>
      </w:r>
      <w:r w:rsidRPr="00E64192">
        <w:t xml:space="preserve"> in the following appeal will be delivered at 9:45 a.m. E</w:t>
      </w:r>
      <w:r w:rsidR="000015B6" w:rsidRPr="00E64192">
        <w:t>S</w:t>
      </w:r>
      <w:r w:rsidR="00DC6C1E" w:rsidRPr="00E64192">
        <w:t>T</w:t>
      </w:r>
      <w:r w:rsidR="00D74667" w:rsidRPr="00E64192">
        <w:t xml:space="preserve"> o</w:t>
      </w:r>
      <w:r w:rsidR="00DE3BD5" w:rsidRPr="00E64192">
        <w:t>n</w:t>
      </w:r>
      <w:r w:rsidR="00DC6C1E" w:rsidRPr="00E64192">
        <w:t xml:space="preserve"> </w:t>
      </w:r>
      <w:r w:rsidR="009F5005" w:rsidRPr="00E64192">
        <w:t>Thursday</w:t>
      </w:r>
      <w:r w:rsidR="000A7900" w:rsidRPr="00E64192">
        <w:t xml:space="preserve">, </w:t>
      </w:r>
      <w:r w:rsidR="00357919" w:rsidRPr="00E64192">
        <w:t>February</w:t>
      </w:r>
      <w:r w:rsidR="004E605A" w:rsidRPr="00E64192">
        <w:t xml:space="preserve"> </w:t>
      </w:r>
      <w:r w:rsidR="009F5005" w:rsidRPr="00E64192">
        <w:t>23</w:t>
      </w:r>
      <w:r w:rsidR="00E63199" w:rsidRPr="00E64192">
        <w:t>, 2</w:t>
      </w:r>
      <w:r w:rsidR="0086609D" w:rsidRPr="00E64192">
        <w:t>01</w:t>
      </w:r>
      <w:r w:rsidR="00AC3DA6" w:rsidRPr="00E64192">
        <w:t>7</w:t>
      </w:r>
      <w:r w:rsidR="00455BB9" w:rsidRPr="00E64192">
        <w:t xml:space="preserve">. </w:t>
      </w:r>
      <w:r w:rsidR="00455BB9" w:rsidRPr="00E64192">
        <w:rPr>
          <w:lang w:val="fr-CA"/>
        </w:rPr>
        <w:t>This</w:t>
      </w:r>
      <w:r w:rsidRPr="00E64192">
        <w:rPr>
          <w:lang w:val="fr-CA"/>
        </w:rPr>
        <w:t xml:space="preserve"> list is subject to change.</w:t>
      </w:r>
    </w:p>
    <w:p w:rsidR="001C4415" w:rsidRPr="00E64192" w:rsidRDefault="001C4415" w:rsidP="001C4415">
      <w:pPr>
        <w:widowControl w:val="0"/>
        <w:rPr>
          <w:szCs w:val="24"/>
          <w:lang w:val="fr-CA"/>
        </w:rPr>
      </w:pPr>
      <w:bookmarkStart w:id="0" w:name="_GoBack"/>
      <w:bookmarkEnd w:id="0"/>
    </w:p>
    <w:p w:rsidR="001C4415" w:rsidRPr="00E64192" w:rsidRDefault="001C4415" w:rsidP="001C4415">
      <w:pPr>
        <w:widowControl w:val="0"/>
        <w:rPr>
          <w:lang w:val="fr-CA"/>
        </w:rPr>
      </w:pPr>
    </w:p>
    <w:p w:rsidR="001335A1" w:rsidRPr="00E64192" w:rsidRDefault="001335A1" w:rsidP="001335A1">
      <w:pPr>
        <w:widowControl w:val="0"/>
        <w:jc w:val="center"/>
        <w:rPr>
          <w:b/>
          <w:lang w:val="fr-CA"/>
        </w:rPr>
      </w:pPr>
      <w:r w:rsidRPr="00E64192">
        <w:rPr>
          <w:b/>
          <w:lang w:val="fr-CA"/>
        </w:rPr>
        <w:t>PROCHAIN JUGEMENT</w:t>
      </w:r>
      <w:r w:rsidR="00455BB9" w:rsidRPr="00E64192">
        <w:rPr>
          <w:b/>
          <w:lang w:val="fr-CA"/>
        </w:rPr>
        <w:t xml:space="preserve"> SUR APPEL</w:t>
      </w:r>
    </w:p>
    <w:p w:rsidR="001335A1" w:rsidRPr="00E64192" w:rsidRDefault="001335A1" w:rsidP="001335A1">
      <w:pPr>
        <w:widowControl w:val="0"/>
        <w:rPr>
          <w:lang w:val="fr-CA"/>
        </w:rPr>
      </w:pPr>
    </w:p>
    <w:p w:rsidR="00EC79B0" w:rsidRPr="00E64192" w:rsidRDefault="00EC79B0" w:rsidP="00EC79B0">
      <w:pPr>
        <w:widowControl w:val="0"/>
        <w:rPr>
          <w:b/>
          <w:lang w:val="fr-CA"/>
        </w:rPr>
      </w:pPr>
      <w:r w:rsidRPr="00E64192">
        <w:rPr>
          <w:b/>
          <w:lang w:val="fr-CA"/>
        </w:rPr>
        <w:t xml:space="preserve">Le </w:t>
      </w:r>
      <w:r w:rsidR="00E64192" w:rsidRPr="00E64192">
        <w:rPr>
          <w:b/>
          <w:lang w:val="fr-CA"/>
        </w:rPr>
        <w:t>20</w:t>
      </w:r>
      <w:r w:rsidR="002F28E0" w:rsidRPr="00E64192">
        <w:rPr>
          <w:b/>
          <w:lang w:val="fr-CA"/>
        </w:rPr>
        <w:t xml:space="preserve"> </w:t>
      </w:r>
      <w:r w:rsidR="00357919" w:rsidRPr="00E64192">
        <w:rPr>
          <w:b/>
          <w:lang w:val="fr-CA"/>
        </w:rPr>
        <w:t>février</w:t>
      </w:r>
      <w:r w:rsidR="00C86395" w:rsidRPr="00E64192">
        <w:rPr>
          <w:b/>
          <w:lang w:val="fr-CA"/>
        </w:rPr>
        <w:t xml:space="preserve"> </w:t>
      </w:r>
      <w:r w:rsidR="0086609D" w:rsidRPr="00E64192">
        <w:rPr>
          <w:b/>
          <w:lang w:val="fr-CA"/>
        </w:rPr>
        <w:t>201</w:t>
      </w:r>
      <w:r w:rsidR="00AC3DA6" w:rsidRPr="00E64192">
        <w:rPr>
          <w:b/>
          <w:lang w:val="fr-CA"/>
        </w:rPr>
        <w:t>7</w:t>
      </w:r>
    </w:p>
    <w:p w:rsidR="00EC79B0" w:rsidRPr="007364BD" w:rsidRDefault="00EC79B0" w:rsidP="00EC79B0">
      <w:pPr>
        <w:widowControl w:val="0"/>
        <w:rPr>
          <w:b/>
          <w:lang w:val="fr-CA"/>
        </w:rPr>
      </w:pPr>
      <w:r w:rsidRPr="00E64192">
        <w:rPr>
          <w:b/>
          <w:lang w:val="fr-CA"/>
        </w:rPr>
        <w:t>Pour diffusion immédiate</w:t>
      </w:r>
    </w:p>
    <w:p w:rsidR="00EC79B0" w:rsidRPr="007364BD" w:rsidRDefault="00EC79B0" w:rsidP="00EC79B0">
      <w:pPr>
        <w:widowControl w:val="0"/>
        <w:rPr>
          <w:b/>
          <w:lang w:val="fr-CA"/>
        </w:rPr>
      </w:pPr>
    </w:p>
    <w:p w:rsidR="00EC79B0" w:rsidRPr="007364BD" w:rsidRDefault="00EC79B0" w:rsidP="00EC79B0">
      <w:pPr>
        <w:widowControl w:val="0"/>
        <w:rPr>
          <w:lang w:val="fr-CA"/>
        </w:rPr>
      </w:pPr>
      <w:r w:rsidRPr="007364BD">
        <w:rPr>
          <w:b/>
          <w:lang w:val="fr-CA"/>
        </w:rPr>
        <w:t>OTTAWA</w:t>
      </w:r>
      <w:r w:rsidRPr="007364BD">
        <w:rPr>
          <w:lang w:val="fr-CA"/>
        </w:rPr>
        <w:t xml:space="preserve"> – La Cour suprême du Canada annonce que jugement ser</w:t>
      </w:r>
      <w:r w:rsidR="00C86395" w:rsidRPr="007364BD">
        <w:rPr>
          <w:lang w:val="fr-CA"/>
        </w:rPr>
        <w:t>a</w:t>
      </w:r>
      <w:r w:rsidRPr="007364BD">
        <w:rPr>
          <w:lang w:val="fr-CA"/>
        </w:rPr>
        <w:t xml:space="preserve"> rendu dans </w:t>
      </w:r>
      <w:r w:rsidR="001F1643" w:rsidRPr="007364BD">
        <w:rPr>
          <w:lang w:val="fr-CA"/>
        </w:rPr>
        <w:t>l</w:t>
      </w:r>
      <w:r w:rsidR="00C86395" w:rsidRPr="007364BD">
        <w:rPr>
          <w:lang w:val="fr-CA"/>
        </w:rPr>
        <w:t>’</w:t>
      </w:r>
      <w:r w:rsidR="001F1643" w:rsidRPr="007364BD">
        <w:rPr>
          <w:lang w:val="fr-CA"/>
        </w:rPr>
        <w:t xml:space="preserve">appel </w:t>
      </w:r>
      <w:r w:rsidRPr="007364BD">
        <w:rPr>
          <w:lang w:val="fr-CA"/>
        </w:rPr>
        <w:t xml:space="preserve">suivant le </w:t>
      </w:r>
      <w:r w:rsidR="009F5005">
        <w:rPr>
          <w:lang w:val="fr-CA"/>
        </w:rPr>
        <w:t>jeu</w:t>
      </w:r>
      <w:r w:rsidR="00B46027" w:rsidRPr="007364BD">
        <w:rPr>
          <w:lang w:val="fr-CA"/>
        </w:rPr>
        <w:t>d</w:t>
      </w:r>
      <w:r w:rsidR="007805CD" w:rsidRPr="007364BD">
        <w:rPr>
          <w:lang w:val="fr-CA"/>
        </w:rPr>
        <w:t>i</w:t>
      </w:r>
      <w:r w:rsidR="00970EDF" w:rsidRPr="007364BD">
        <w:rPr>
          <w:lang w:val="fr-CA"/>
        </w:rPr>
        <w:t xml:space="preserve"> </w:t>
      </w:r>
      <w:r w:rsidR="009F5005">
        <w:rPr>
          <w:lang w:val="fr-CA"/>
        </w:rPr>
        <w:t>23</w:t>
      </w:r>
      <w:r w:rsidR="004E605A" w:rsidRPr="007364BD">
        <w:rPr>
          <w:lang w:val="fr-CA"/>
        </w:rPr>
        <w:t xml:space="preserve"> </w:t>
      </w:r>
      <w:r w:rsidR="00357919" w:rsidRPr="007364BD">
        <w:rPr>
          <w:lang w:val="fr-CA"/>
        </w:rPr>
        <w:t>février</w:t>
      </w:r>
      <w:r w:rsidR="00282563" w:rsidRPr="007364BD">
        <w:rPr>
          <w:lang w:val="fr-CA"/>
        </w:rPr>
        <w:t xml:space="preserve"> </w:t>
      </w:r>
      <w:r w:rsidRPr="007364BD">
        <w:rPr>
          <w:lang w:val="fr-CA"/>
        </w:rPr>
        <w:t>201</w:t>
      </w:r>
      <w:r w:rsidR="00AC3DA6" w:rsidRPr="007364BD">
        <w:rPr>
          <w:lang w:val="fr-CA"/>
        </w:rPr>
        <w:t>7</w:t>
      </w:r>
      <w:r w:rsidRPr="007364BD">
        <w:rPr>
          <w:lang w:val="fr-CA"/>
        </w:rPr>
        <w:t>, à 9 h 45 H</w:t>
      </w:r>
      <w:r w:rsidR="000015B6" w:rsidRPr="007364BD">
        <w:rPr>
          <w:lang w:val="fr-CA"/>
        </w:rPr>
        <w:t>N</w:t>
      </w:r>
      <w:r w:rsidRPr="007364BD">
        <w:rPr>
          <w:lang w:val="fr-CA"/>
        </w:rPr>
        <w:t>E. Cette liste est sujette à modifications.</w:t>
      </w:r>
    </w:p>
    <w:p w:rsidR="001335A1" w:rsidRPr="007364BD" w:rsidRDefault="001335A1" w:rsidP="001335A1">
      <w:pPr>
        <w:widowControl w:val="0"/>
        <w:rPr>
          <w:sz w:val="20"/>
          <w:lang w:val="fr-CA"/>
        </w:rPr>
      </w:pPr>
    </w:p>
    <w:p w:rsidR="001335A1" w:rsidRPr="007364BD" w:rsidRDefault="005C7A4F" w:rsidP="001335A1">
      <w:pPr>
        <w:widowControl w:val="0"/>
        <w:rPr>
          <w:sz w:val="20"/>
          <w:lang w:val="fr-CA"/>
        </w:rPr>
      </w:pPr>
      <w:r w:rsidRPr="007364B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364BD" w:rsidRDefault="00340C6D" w:rsidP="00340C6D">
      <w:pPr>
        <w:jc w:val="both"/>
        <w:rPr>
          <w:bCs/>
          <w:lang w:val="fr-CA"/>
        </w:rPr>
      </w:pPr>
    </w:p>
    <w:p w:rsidR="000015B6" w:rsidRPr="007364BD" w:rsidRDefault="00357919" w:rsidP="000015B6">
      <w:pPr>
        <w:jc w:val="both"/>
        <w:rPr>
          <w:szCs w:val="24"/>
        </w:rPr>
      </w:pPr>
      <w:r w:rsidRPr="00DE3BD5">
        <w:rPr>
          <w:i/>
          <w:szCs w:val="24"/>
          <w:lang w:val="fr-CA"/>
        </w:rPr>
        <w:t>C</w:t>
      </w:r>
      <w:r w:rsidR="009F5005" w:rsidRPr="00DE3BD5">
        <w:rPr>
          <w:i/>
          <w:szCs w:val="24"/>
          <w:lang w:val="fr-CA"/>
        </w:rPr>
        <w:t>arson Bingley</w:t>
      </w:r>
      <w:r w:rsidR="000015B6" w:rsidRPr="00DE3BD5">
        <w:rPr>
          <w:i/>
          <w:szCs w:val="24"/>
          <w:lang w:val="fr-CA"/>
        </w:rPr>
        <w:t xml:space="preserve"> v. </w:t>
      </w:r>
      <w:r w:rsidR="009F5005" w:rsidRPr="00DE3BD5">
        <w:rPr>
          <w:i/>
          <w:szCs w:val="24"/>
          <w:lang w:val="fr-CA"/>
        </w:rPr>
        <w:t>Her Majesty the Queen</w:t>
      </w:r>
      <w:r w:rsidR="000015B6" w:rsidRPr="00DE3BD5">
        <w:rPr>
          <w:i/>
          <w:szCs w:val="24"/>
          <w:lang w:val="fr-CA"/>
        </w:rPr>
        <w:t xml:space="preserve"> </w:t>
      </w:r>
      <w:r w:rsidR="000015B6" w:rsidRPr="00DE3BD5">
        <w:rPr>
          <w:szCs w:val="24"/>
          <w:lang w:val="fr-CA"/>
        </w:rPr>
        <w:t>(</w:t>
      </w:r>
      <w:r w:rsidR="009F5005" w:rsidRPr="00DE3BD5">
        <w:rPr>
          <w:szCs w:val="24"/>
          <w:lang w:val="fr-CA"/>
        </w:rPr>
        <w:t>Ont</w:t>
      </w:r>
      <w:r w:rsidR="000015B6" w:rsidRPr="00DE3BD5">
        <w:rPr>
          <w:szCs w:val="24"/>
          <w:lang w:val="fr-CA"/>
        </w:rPr>
        <w:t xml:space="preserve">.) </w:t>
      </w:r>
      <w:r w:rsidR="000015B6" w:rsidRPr="007364BD">
        <w:t>(</w:t>
      </w:r>
      <w:hyperlink r:id="rId7" w:history="1">
        <w:r w:rsidR="000015B6" w:rsidRPr="007364BD">
          <w:rPr>
            <w:rStyle w:val="Hyperlink"/>
          </w:rPr>
          <w:t>36</w:t>
        </w:r>
        <w:r w:rsidR="009F5005">
          <w:rPr>
            <w:rStyle w:val="Hyperlink"/>
          </w:rPr>
          <w:t>610</w:t>
        </w:r>
      </w:hyperlink>
      <w:r w:rsidR="000015B6" w:rsidRPr="007364BD">
        <w:t>)</w:t>
      </w:r>
    </w:p>
    <w:p w:rsidR="009F18D7" w:rsidRPr="00750A01" w:rsidRDefault="009F18D7" w:rsidP="00340C6D">
      <w:pPr>
        <w:jc w:val="both"/>
        <w:rPr>
          <w:szCs w:val="24"/>
        </w:rPr>
      </w:pPr>
    </w:p>
    <w:p w:rsidR="00072A63" w:rsidRPr="00750A01" w:rsidRDefault="00072A63" w:rsidP="00340C6D">
      <w:pPr>
        <w:jc w:val="both"/>
        <w:rPr>
          <w:szCs w:val="24"/>
        </w:rPr>
      </w:pPr>
    </w:p>
    <w:bookmarkStart w:id="1" w:name="1"/>
    <w:bookmarkEnd w:id="1"/>
    <w:p w:rsidR="00650C25" w:rsidRPr="00650C25" w:rsidRDefault="00650C25" w:rsidP="00287889">
      <w:pPr>
        <w:widowControl w:val="0"/>
        <w:ind w:left="720" w:hanging="720"/>
        <w:jc w:val="both"/>
        <w:rPr>
          <w:sz w:val="20"/>
          <w:lang w:val="en-CA"/>
        </w:rPr>
      </w:pPr>
      <w:r w:rsidRPr="00650C25">
        <w:rPr>
          <w:b/>
          <w:sz w:val="20"/>
          <w:lang w:val="en-CA"/>
        </w:rPr>
        <w:fldChar w:fldCharType="begin"/>
      </w:r>
      <w:r w:rsidRPr="00650C25">
        <w:rPr>
          <w:b/>
          <w:sz w:val="20"/>
        </w:rPr>
        <w:instrText xml:space="preserve"> SEQ CHAPTER \h \r 1</w:instrText>
      </w:r>
      <w:r w:rsidRPr="00650C25">
        <w:rPr>
          <w:b/>
          <w:sz w:val="20"/>
        </w:rPr>
        <w:fldChar w:fldCharType="end"/>
      </w:r>
      <w:r w:rsidRPr="00650C25">
        <w:rPr>
          <w:b/>
          <w:sz w:val="20"/>
        </w:rPr>
        <w:t>3</w:t>
      </w:r>
      <w:bookmarkStart w:id="2" w:name="3"/>
      <w:bookmarkEnd w:id="2"/>
      <w:r w:rsidRPr="00650C25">
        <w:rPr>
          <w:b/>
          <w:sz w:val="20"/>
        </w:rPr>
        <w:t>6610</w:t>
      </w:r>
      <w:r w:rsidRPr="00650C25">
        <w:rPr>
          <w:sz w:val="20"/>
          <w:lang w:val="en-CA"/>
        </w:rPr>
        <w:tab/>
      </w:r>
      <w:r w:rsidRPr="00650C25">
        <w:rPr>
          <w:b/>
          <w:i/>
          <w:sz w:val="20"/>
          <w:lang w:val="en-CA"/>
        </w:rPr>
        <w:t>Carson Bingley v. Her Majesty the Queen</w:t>
      </w:r>
    </w:p>
    <w:p w:rsidR="00650C25" w:rsidRPr="00650C25" w:rsidRDefault="00650C25">
      <w:pPr>
        <w:widowControl w:val="0"/>
        <w:jc w:val="both"/>
        <w:rPr>
          <w:sz w:val="20"/>
          <w:lang w:val="en-CA"/>
        </w:rPr>
      </w:pPr>
      <w:r w:rsidRPr="00650C25">
        <w:rPr>
          <w:sz w:val="20"/>
          <w:lang w:val="en-CA"/>
        </w:rPr>
        <w:tab/>
      </w:r>
      <w:r>
        <w:rPr>
          <w:sz w:val="20"/>
          <w:lang w:val="en-CA"/>
        </w:rPr>
        <w:tab/>
      </w:r>
      <w:r w:rsidRPr="00650C25">
        <w:rPr>
          <w:sz w:val="20"/>
          <w:lang w:val="en-CA"/>
        </w:rPr>
        <w:t>(Ont.) (Criminal) (By Leave)</w:t>
      </w:r>
    </w:p>
    <w:p w:rsidR="00650C25" w:rsidRPr="00650C25" w:rsidRDefault="00650C25">
      <w:pPr>
        <w:widowControl w:val="0"/>
        <w:jc w:val="both"/>
        <w:rPr>
          <w:sz w:val="20"/>
          <w:lang w:val="en-CA"/>
        </w:rPr>
      </w:pPr>
    </w:p>
    <w:p w:rsidR="00650C25" w:rsidRPr="00650C25" w:rsidRDefault="00650C25" w:rsidP="00E90917">
      <w:pPr>
        <w:jc w:val="both"/>
        <w:rPr>
          <w:sz w:val="20"/>
        </w:rPr>
      </w:pPr>
      <w:bookmarkStart w:id="3" w:name="QuickMark_1"/>
      <w:bookmarkEnd w:id="3"/>
      <w:r w:rsidRPr="00650C25">
        <w:rPr>
          <w:sz w:val="20"/>
        </w:rPr>
        <w:t xml:space="preserve">Criminal law - Evidence - Expert evidence - Opinion evidence - Admissibility - Are the opinions of a Drug Recognition Expert (“DRE”) conducting an evaluation of a suspected drug-impaired driver pursuant to s. 254(3.1) of the </w:t>
      </w:r>
      <w:r w:rsidRPr="00650C25">
        <w:rPr>
          <w:i/>
          <w:sz w:val="20"/>
        </w:rPr>
        <w:t>Criminal Code</w:t>
      </w:r>
      <w:r w:rsidRPr="00650C25">
        <w:rPr>
          <w:sz w:val="20"/>
        </w:rPr>
        <w:t xml:space="preserve"> admissible in evidence without a </w:t>
      </w:r>
      <w:proofErr w:type="spellStart"/>
      <w:r w:rsidRPr="00650C25">
        <w:rPr>
          <w:i/>
          <w:sz w:val="20"/>
        </w:rPr>
        <w:t>voir</w:t>
      </w:r>
      <w:proofErr w:type="spellEnd"/>
      <w:r w:rsidRPr="00650C25">
        <w:rPr>
          <w:i/>
          <w:sz w:val="20"/>
        </w:rPr>
        <w:t xml:space="preserve"> dire</w:t>
      </w:r>
      <w:r w:rsidRPr="00650C25">
        <w:rPr>
          <w:sz w:val="20"/>
        </w:rPr>
        <w:t xml:space="preserve"> in accordance with </w:t>
      </w:r>
      <w:r w:rsidRPr="00650C25">
        <w:rPr>
          <w:i/>
          <w:sz w:val="20"/>
        </w:rPr>
        <w:t>R. v. Mohan</w:t>
      </w:r>
      <w:r w:rsidRPr="00650C25">
        <w:rPr>
          <w:sz w:val="20"/>
        </w:rPr>
        <w:t xml:space="preserve">, [1994] 2 S.C.R. 9? - In the alternative, are DRE opinions “lay opinions” as contemplated by this Court in </w:t>
      </w:r>
      <w:r w:rsidRPr="00650C25">
        <w:rPr>
          <w:i/>
          <w:sz w:val="20"/>
        </w:rPr>
        <w:t xml:space="preserve">R. v. </w:t>
      </w:r>
      <w:proofErr w:type="spellStart"/>
      <w:r w:rsidRPr="00650C25">
        <w:rPr>
          <w:i/>
          <w:sz w:val="20"/>
        </w:rPr>
        <w:t>Graat</w:t>
      </w:r>
      <w:proofErr w:type="spellEnd"/>
      <w:r w:rsidRPr="00650C25">
        <w:rPr>
          <w:sz w:val="20"/>
        </w:rPr>
        <w:t xml:space="preserve">, [1982] 2 S.C.R. 819, and therefore admissible in evidence without a </w:t>
      </w:r>
      <w:r w:rsidRPr="00650C25">
        <w:rPr>
          <w:i/>
          <w:sz w:val="20"/>
        </w:rPr>
        <w:t xml:space="preserve">Mohan </w:t>
      </w:r>
      <w:proofErr w:type="spellStart"/>
      <w:r w:rsidRPr="00650C25">
        <w:rPr>
          <w:i/>
          <w:sz w:val="20"/>
        </w:rPr>
        <w:t>voir</w:t>
      </w:r>
      <w:proofErr w:type="spellEnd"/>
      <w:r w:rsidRPr="00650C25">
        <w:rPr>
          <w:i/>
          <w:sz w:val="20"/>
        </w:rPr>
        <w:t xml:space="preserve"> dire</w:t>
      </w:r>
      <w:r w:rsidRPr="00650C25">
        <w:rPr>
          <w:sz w:val="20"/>
        </w:rPr>
        <w:t xml:space="preserve">? - </w:t>
      </w:r>
      <w:r w:rsidRPr="00650C25">
        <w:rPr>
          <w:i/>
          <w:sz w:val="20"/>
        </w:rPr>
        <w:t>Criminal Code</w:t>
      </w:r>
      <w:r w:rsidRPr="00650C25">
        <w:rPr>
          <w:sz w:val="20"/>
        </w:rPr>
        <w:t>, R.S.C. 1985, c. C-46, s. 354(3.1).</w:t>
      </w:r>
    </w:p>
    <w:p w:rsidR="00650C25" w:rsidRPr="00650C25" w:rsidRDefault="00650C25">
      <w:pPr>
        <w:widowControl w:val="0"/>
        <w:jc w:val="both"/>
        <w:rPr>
          <w:sz w:val="20"/>
        </w:rPr>
      </w:pPr>
    </w:p>
    <w:p w:rsidR="00650C25" w:rsidRDefault="00650C25" w:rsidP="00A95A44">
      <w:pPr>
        <w:jc w:val="both"/>
        <w:rPr>
          <w:sz w:val="20"/>
        </w:rPr>
      </w:pPr>
      <w:r w:rsidRPr="00650C25">
        <w:rPr>
          <w:sz w:val="20"/>
        </w:rPr>
        <w:t xml:space="preserve">Police were called after the appellant, Mr. Bingley, struck a car. Police noted signs of impairment; however, the results of a roadside test revealed a blood alcohol concentration well below the legal limit and inconsistent with the observed indicia of impairment. Therefore, a Drug Recognition Expert (“DRE”) administered standard sobriety tests to Mr. Bingley at the scene. When he failed the sobriety tests, Mr. Bingley was charged with driving while drug impaired. He admitted that he had smoked marijuana and taken two Xanax in the previous 12 hours. A urinalysis revealed the presence of cannabis, cocaine and Alprazolam. Mr. Bingley was tried for the offence of driving while drug impaired. He was acquitted (despite the DRE’s evidence, which the first judge found could be received without a </w:t>
      </w:r>
      <w:proofErr w:type="spellStart"/>
      <w:r w:rsidRPr="00650C25">
        <w:rPr>
          <w:i/>
          <w:sz w:val="20"/>
        </w:rPr>
        <w:t>voir</w:t>
      </w:r>
      <w:proofErr w:type="spellEnd"/>
      <w:r w:rsidRPr="00650C25">
        <w:rPr>
          <w:i/>
          <w:sz w:val="20"/>
        </w:rPr>
        <w:t xml:space="preserve"> dire</w:t>
      </w:r>
      <w:r w:rsidRPr="00650C25">
        <w:rPr>
          <w:sz w:val="20"/>
        </w:rPr>
        <w:t xml:space="preserve"> in accordance with </w:t>
      </w:r>
      <w:r w:rsidRPr="00650C25">
        <w:rPr>
          <w:i/>
          <w:sz w:val="20"/>
        </w:rPr>
        <w:t>R. v. Mohan</w:t>
      </w:r>
      <w:r w:rsidRPr="00650C25">
        <w:rPr>
          <w:sz w:val="20"/>
        </w:rPr>
        <w:t xml:space="preserve">, [1994] 2 S.C.R. 9), but a summary conviction appeal led to the acquittal being overturned and a new trial being ordered. At the new trial, a second judge found that the DRE evidence could not be received without a </w:t>
      </w:r>
      <w:proofErr w:type="spellStart"/>
      <w:r w:rsidRPr="00650C25">
        <w:rPr>
          <w:i/>
          <w:sz w:val="20"/>
        </w:rPr>
        <w:t>voir</w:t>
      </w:r>
      <w:proofErr w:type="spellEnd"/>
      <w:r w:rsidRPr="00650C25">
        <w:rPr>
          <w:i/>
          <w:sz w:val="20"/>
        </w:rPr>
        <w:t xml:space="preserve"> dire</w:t>
      </w:r>
      <w:r w:rsidRPr="00650C25">
        <w:rPr>
          <w:sz w:val="20"/>
        </w:rPr>
        <w:t xml:space="preserve">. On the </w:t>
      </w:r>
      <w:proofErr w:type="spellStart"/>
      <w:r w:rsidRPr="00650C25">
        <w:rPr>
          <w:i/>
          <w:sz w:val="20"/>
        </w:rPr>
        <w:t>voir</w:t>
      </w:r>
      <w:proofErr w:type="spellEnd"/>
      <w:r w:rsidRPr="00650C25">
        <w:rPr>
          <w:i/>
          <w:sz w:val="20"/>
        </w:rPr>
        <w:t xml:space="preserve"> dire</w:t>
      </w:r>
      <w:r w:rsidRPr="00650C25">
        <w:rPr>
          <w:sz w:val="20"/>
        </w:rPr>
        <w:t>, however, the judge determined that the DRE evidence was inadmissible and therefore acquitted Mr. Bingley again. The Crown brought another summary conviction appeal. The summary conviction appeal judge allowed the Crown appeal and ordered yet a third trial. Mr. Bingley appealed in turn, but unsuccessfully.</w:t>
      </w:r>
    </w:p>
    <w:p w:rsidR="00650C25" w:rsidRDefault="00650C25" w:rsidP="00A95A44">
      <w:pPr>
        <w:jc w:val="both"/>
        <w:rPr>
          <w:sz w:val="20"/>
        </w:rPr>
      </w:pPr>
    </w:p>
    <w:p w:rsidR="00650C25" w:rsidRDefault="00650C25" w:rsidP="00A95A44">
      <w:pPr>
        <w:jc w:val="both"/>
        <w:rPr>
          <w:sz w:val="20"/>
        </w:rPr>
      </w:pPr>
    </w:p>
    <w:p w:rsidR="00750A01" w:rsidRPr="00DE3BD5" w:rsidRDefault="00750A01" w:rsidP="00750A01">
      <w:pPr>
        <w:pStyle w:val="SCCLsocParty"/>
        <w:rPr>
          <w:b/>
          <w:i w:val="0"/>
          <w:sz w:val="20"/>
          <w:szCs w:val="20"/>
          <w:lang w:val="en-US"/>
        </w:rPr>
      </w:pPr>
      <w:r w:rsidRPr="00DE3BD5">
        <w:rPr>
          <w:b/>
          <w:i w:val="0"/>
          <w:sz w:val="20"/>
          <w:lang w:val="en-US"/>
        </w:rPr>
        <w:t>36610</w:t>
      </w:r>
      <w:r w:rsidRPr="00DE3BD5">
        <w:rPr>
          <w:b/>
          <w:sz w:val="20"/>
          <w:lang w:val="en-US"/>
        </w:rPr>
        <w:tab/>
      </w:r>
      <w:r w:rsidRPr="00DE3BD5">
        <w:rPr>
          <w:b/>
          <w:sz w:val="20"/>
          <w:szCs w:val="20"/>
          <w:lang w:val="en-US"/>
        </w:rPr>
        <w:t>Carson Bingley c. Sa Majesté la Reine</w:t>
      </w:r>
    </w:p>
    <w:p w:rsidR="00650C25" w:rsidRPr="00750A01" w:rsidRDefault="00750A01" w:rsidP="00750A01">
      <w:pPr>
        <w:ind w:left="360" w:firstLine="360"/>
        <w:jc w:val="both"/>
        <w:rPr>
          <w:sz w:val="20"/>
          <w:lang w:val="fr-CA"/>
        </w:rPr>
      </w:pPr>
      <w:r w:rsidRPr="00650C25">
        <w:rPr>
          <w:sz w:val="20"/>
          <w:lang w:val="fr-CA"/>
        </w:rPr>
        <w:lastRenderedPageBreak/>
        <w:t>(Ont.) (Criminelle) (Sur autorisation)</w:t>
      </w:r>
    </w:p>
    <w:p w:rsidR="00650C25" w:rsidRPr="00750A01" w:rsidRDefault="00650C25" w:rsidP="00A95A44">
      <w:pPr>
        <w:jc w:val="both"/>
        <w:rPr>
          <w:sz w:val="20"/>
          <w:lang w:val="fr-CA"/>
        </w:rPr>
      </w:pPr>
    </w:p>
    <w:p w:rsidR="00750A01" w:rsidRPr="00650C25" w:rsidRDefault="00750A01" w:rsidP="00750A01">
      <w:pPr>
        <w:rPr>
          <w:sz w:val="20"/>
          <w:lang w:val="fr-CA"/>
        </w:rPr>
      </w:pPr>
      <w:r w:rsidRPr="00650C25">
        <w:rPr>
          <w:sz w:val="20"/>
          <w:lang w:val="fr-CA"/>
        </w:rPr>
        <w:t>Droit criminel - Preuve - Preuve d’expert - Témoignage d’opinion - Admissibilité - Les opinions d’un expert en reconnaissance de drogues (« ERD ») qui effectue l’évaluation d’un conducteur soupçonné d’avoir conduit avec les facultés affaiblies par la drogue en application du par. 254(3.1) du</w:t>
      </w:r>
      <w:r w:rsidRPr="00650C25">
        <w:rPr>
          <w:i/>
          <w:sz w:val="20"/>
          <w:lang w:val="fr-CA"/>
        </w:rPr>
        <w:t xml:space="preserve"> Code criminel</w:t>
      </w:r>
      <w:r w:rsidRPr="00650C25">
        <w:rPr>
          <w:sz w:val="20"/>
          <w:lang w:val="fr-CA"/>
        </w:rPr>
        <w:t xml:space="preserve"> sont-elles admissibles sans voir-dire conformément à l’arrêt </w:t>
      </w:r>
      <w:r w:rsidRPr="00650C25">
        <w:rPr>
          <w:i/>
          <w:sz w:val="20"/>
          <w:lang w:val="fr-CA"/>
        </w:rPr>
        <w:t>R. c. Mohan</w:t>
      </w:r>
      <w:r w:rsidRPr="00650C25">
        <w:rPr>
          <w:sz w:val="20"/>
          <w:lang w:val="fr-CA"/>
        </w:rPr>
        <w:t xml:space="preserve">, [1994] 2 R.C.S. 9? - Subsidiairement, ces opinions sont-elles des « opinions de non-expert » visées par notre Cour dans </w:t>
      </w:r>
      <w:r w:rsidRPr="00650C25">
        <w:rPr>
          <w:i/>
          <w:sz w:val="20"/>
          <w:lang w:val="fr-CA"/>
        </w:rPr>
        <w:t xml:space="preserve">R. c. </w:t>
      </w:r>
      <w:proofErr w:type="spellStart"/>
      <w:r w:rsidRPr="00650C25">
        <w:rPr>
          <w:i/>
          <w:sz w:val="20"/>
          <w:lang w:val="fr-CA"/>
        </w:rPr>
        <w:t>Graat</w:t>
      </w:r>
      <w:proofErr w:type="spellEnd"/>
      <w:r w:rsidRPr="00650C25">
        <w:rPr>
          <w:sz w:val="20"/>
          <w:lang w:val="fr-CA"/>
        </w:rPr>
        <w:t xml:space="preserve">, [1982] 2 R.C.S. 819, et donc admissibles en preuve sans voir-dire en application de l’arrêt </w:t>
      </w:r>
      <w:r w:rsidRPr="00650C25">
        <w:rPr>
          <w:i/>
          <w:sz w:val="20"/>
          <w:lang w:val="fr-CA"/>
        </w:rPr>
        <w:t>Mohan</w:t>
      </w:r>
      <w:r w:rsidRPr="00650C25">
        <w:rPr>
          <w:sz w:val="20"/>
          <w:lang w:val="fr-CA"/>
        </w:rPr>
        <w:t xml:space="preserve">? - </w:t>
      </w:r>
      <w:r w:rsidRPr="00650C25">
        <w:rPr>
          <w:i/>
          <w:sz w:val="20"/>
          <w:lang w:val="fr-CA"/>
        </w:rPr>
        <w:t>Code criminel</w:t>
      </w:r>
      <w:r w:rsidRPr="00650C25">
        <w:rPr>
          <w:sz w:val="20"/>
          <w:lang w:val="fr-CA"/>
        </w:rPr>
        <w:t>, L.R.C. 1985, c. C-46, art. 354(3.1).</w:t>
      </w:r>
    </w:p>
    <w:p w:rsidR="00750A01" w:rsidRPr="00650C25" w:rsidRDefault="00750A01" w:rsidP="00750A01">
      <w:pPr>
        <w:rPr>
          <w:sz w:val="20"/>
          <w:lang w:val="fr-CA"/>
        </w:rPr>
      </w:pPr>
    </w:p>
    <w:p w:rsidR="00650C25" w:rsidRPr="00750A01" w:rsidRDefault="00750A01" w:rsidP="00750A01">
      <w:pPr>
        <w:jc w:val="both"/>
        <w:rPr>
          <w:sz w:val="20"/>
          <w:lang w:val="fr-CA"/>
        </w:rPr>
      </w:pPr>
      <w:r w:rsidRPr="00650C25">
        <w:rPr>
          <w:sz w:val="20"/>
          <w:lang w:val="fr-CA"/>
        </w:rPr>
        <w:t>La police a été appelée après que l’appelant, M. </w:t>
      </w:r>
      <w:proofErr w:type="spellStart"/>
      <w:r w:rsidRPr="00650C25">
        <w:rPr>
          <w:sz w:val="20"/>
          <w:lang w:val="fr-CA"/>
        </w:rPr>
        <w:t>Bingley</w:t>
      </w:r>
      <w:proofErr w:type="spellEnd"/>
      <w:r w:rsidRPr="00650C25">
        <w:rPr>
          <w:sz w:val="20"/>
          <w:lang w:val="fr-CA"/>
        </w:rPr>
        <w:t>, eut heurté une voiture. La police a constaté des indices d’affaiblissement des facultés. Les résultats de l’analyse sur place ont toutefois révélé une alcoolémie bien en deçà de la limite légale et incompatible avec les indices observés d’affaiblissement des facultés. Par conséquent, un expert en reconnaissance de drogues (« ERD ») a à son tour administré sur place à M. </w:t>
      </w:r>
      <w:proofErr w:type="spellStart"/>
      <w:r w:rsidRPr="00650C25">
        <w:rPr>
          <w:sz w:val="20"/>
          <w:lang w:val="fr-CA"/>
        </w:rPr>
        <w:t>Bingley</w:t>
      </w:r>
      <w:proofErr w:type="spellEnd"/>
      <w:r w:rsidRPr="00650C25">
        <w:rPr>
          <w:sz w:val="20"/>
          <w:lang w:val="fr-CA"/>
        </w:rPr>
        <w:t xml:space="preserve"> des tests standard de sobriété. Lorsque M. </w:t>
      </w:r>
      <w:proofErr w:type="spellStart"/>
      <w:r w:rsidRPr="00650C25">
        <w:rPr>
          <w:sz w:val="20"/>
          <w:lang w:val="fr-CA"/>
        </w:rPr>
        <w:t>Bingley</w:t>
      </w:r>
      <w:proofErr w:type="spellEnd"/>
      <w:r w:rsidRPr="00650C25">
        <w:rPr>
          <w:sz w:val="20"/>
          <w:lang w:val="fr-CA"/>
        </w:rPr>
        <w:t xml:space="preserve"> a échoué aux tests de sobriété, il a été accusé de conduite avec les facultés affaiblies par la drogue. Il a admis avoir fumé de la marijuana et avoir pris deux comprimés de Xanax au cours des 12 heures précédentes. Une analyse d’urine a révélé la présence de cannabis, de cocaïne et d’</w:t>
      </w:r>
      <w:proofErr w:type="spellStart"/>
      <w:r w:rsidRPr="00650C25">
        <w:rPr>
          <w:sz w:val="20"/>
          <w:lang w:val="fr-CA"/>
        </w:rPr>
        <w:t>Alprazolam</w:t>
      </w:r>
      <w:proofErr w:type="spellEnd"/>
      <w:r w:rsidRPr="00650C25">
        <w:rPr>
          <w:sz w:val="20"/>
          <w:lang w:val="fr-CA"/>
        </w:rPr>
        <w:t xml:space="preserve">. Monsieur </w:t>
      </w:r>
      <w:proofErr w:type="spellStart"/>
      <w:r w:rsidRPr="00650C25">
        <w:rPr>
          <w:sz w:val="20"/>
          <w:lang w:val="fr-CA"/>
        </w:rPr>
        <w:t>Bingley</w:t>
      </w:r>
      <w:proofErr w:type="spellEnd"/>
      <w:r w:rsidRPr="00650C25">
        <w:rPr>
          <w:sz w:val="20"/>
          <w:lang w:val="fr-CA"/>
        </w:rPr>
        <w:t xml:space="preserve"> a été jugé pour l’infraction de conduite avec les facultés affaiblies par la drogue. Il a été acquitté (malgré le témoignage de l’ERD qui, de l’avis du premier juge, pouvait être admis en preuve sans voir-dire conformément à l’arrêt </w:t>
      </w:r>
      <w:r w:rsidRPr="00650C25">
        <w:rPr>
          <w:i/>
          <w:sz w:val="20"/>
          <w:lang w:val="fr-CA"/>
        </w:rPr>
        <w:t>R. c. Mohan</w:t>
      </w:r>
      <w:r w:rsidRPr="00650C25">
        <w:rPr>
          <w:sz w:val="20"/>
          <w:lang w:val="fr-CA"/>
        </w:rPr>
        <w:t xml:space="preserve">, [1994] 2 R.C.S. 9), mais un appel en matière de poursuites sommaires a donné lieu à l’annulation de l’acquittement et la tenue d’un nouveau procès a été ordonnée. Le motif d’annulation de l’acquittement était que le juge du procès n’avait pas pris en compte l’effet cumulatif de la preuve. Rappelons que Monsieur </w:t>
      </w:r>
      <w:proofErr w:type="spellStart"/>
      <w:r w:rsidRPr="00650C25">
        <w:rPr>
          <w:sz w:val="20"/>
          <w:lang w:val="fr-CA"/>
        </w:rPr>
        <w:t>Bingley</w:t>
      </w:r>
      <w:proofErr w:type="spellEnd"/>
      <w:r w:rsidRPr="00650C25">
        <w:rPr>
          <w:sz w:val="20"/>
          <w:lang w:val="fr-CA"/>
        </w:rPr>
        <w:t xml:space="preserve"> a été acquitté au terme du premier procès, et ce, malgré la preuve de l’ERD, que le premier juge a jugée recevable sans voir-dire en application de l’arrêt </w:t>
      </w:r>
      <w:r w:rsidRPr="00650C25">
        <w:rPr>
          <w:i/>
          <w:sz w:val="20"/>
          <w:lang w:val="fr-CA"/>
        </w:rPr>
        <w:t>Mohan</w:t>
      </w:r>
      <w:r w:rsidRPr="00650C25">
        <w:rPr>
          <w:sz w:val="20"/>
          <w:lang w:val="fr-CA"/>
        </w:rPr>
        <w:t>. Lors du nouveau procès, le second juge a conclu que le témoignage de l’ERD n’était pas recevable sans voir-dire. Toutefois, au terme d’un voir-dire, le juge a conclu que ce témoignage était inadmissible et il a donc acquitté M. </w:t>
      </w:r>
      <w:proofErr w:type="spellStart"/>
      <w:r w:rsidRPr="00650C25">
        <w:rPr>
          <w:sz w:val="20"/>
          <w:lang w:val="fr-CA"/>
        </w:rPr>
        <w:t>Bingley</w:t>
      </w:r>
      <w:proofErr w:type="spellEnd"/>
      <w:r w:rsidRPr="00650C25">
        <w:rPr>
          <w:sz w:val="20"/>
          <w:lang w:val="fr-CA"/>
        </w:rPr>
        <w:t xml:space="preserve"> à nouveau. Le ministère public a interjeté un autre appel en matière de poursuites sommaires. Le juge de la cour d’appel des poursuites sommaires a accueilli l’appel du ministère public et ordonné la tenue d’un troisième procès. Monsieur </w:t>
      </w:r>
      <w:proofErr w:type="spellStart"/>
      <w:r w:rsidRPr="00650C25">
        <w:rPr>
          <w:sz w:val="20"/>
          <w:lang w:val="fr-CA"/>
        </w:rPr>
        <w:t>Bingley</w:t>
      </w:r>
      <w:proofErr w:type="spellEnd"/>
      <w:r w:rsidRPr="00650C25">
        <w:rPr>
          <w:sz w:val="20"/>
          <w:lang w:val="fr-CA"/>
        </w:rPr>
        <w:t xml:space="preserve"> s’est ensuite pourvu en appel à son tour, mais il a été débouté.</w:t>
      </w:r>
    </w:p>
    <w:p w:rsidR="00650C25" w:rsidRPr="00E203D0" w:rsidRDefault="00650C25" w:rsidP="00AF4754">
      <w:pPr>
        <w:rPr>
          <w:lang w:val="fr-CA"/>
        </w:rPr>
      </w:pPr>
    </w:p>
    <w:p w:rsidR="00650C25" w:rsidRPr="00650C25" w:rsidRDefault="00650C25" w:rsidP="00340C6D">
      <w:pPr>
        <w:jc w:val="both"/>
        <w:rPr>
          <w:szCs w:val="24"/>
          <w:lang w:val="fr-CA"/>
        </w:rPr>
      </w:pPr>
    </w:p>
    <w:p w:rsidR="00072A63" w:rsidRPr="00650C25" w:rsidRDefault="00072A63" w:rsidP="00EC79B0">
      <w:pPr>
        <w:jc w:val="both"/>
        <w:rPr>
          <w:szCs w:val="24"/>
          <w:lang w:val="fr-CA"/>
        </w:rPr>
      </w:pPr>
    </w:p>
    <w:p w:rsidR="001C4415" w:rsidRPr="007364BD" w:rsidRDefault="001C4415" w:rsidP="001C4415">
      <w:pPr>
        <w:widowControl w:val="0"/>
        <w:outlineLvl w:val="0"/>
      </w:pPr>
      <w:r w:rsidRPr="007364BD">
        <w:t xml:space="preserve">Supreme Court of Canada / Cour suprême du Canada : </w:t>
      </w:r>
    </w:p>
    <w:p w:rsidR="001C4415" w:rsidRPr="007364BD" w:rsidRDefault="00E64192" w:rsidP="001C4415">
      <w:pPr>
        <w:widowControl w:val="0"/>
        <w:outlineLvl w:val="0"/>
        <w:rPr>
          <w:color w:val="0000FF"/>
          <w:u w:val="single"/>
        </w:rPr>
      </w:pPr>
      <w:hyperlink r:id="rId8" w:history="1">
        <w:r w:rsidR="001C4415" w:rsidRPr="007364BD">
          <w:rPr>
            <w:rStyle w:val="Hyperlink"/>
          </w:rPr>
          <w:t>comments-commentaires@scc-csc.ca</w:t>
        </w:r>
      </w:hyperlink>
    </w:p>
    <w:p w:rsidR="001C4415" w:rsidRPr="007364BD" w:rsidRDefault="001C4415" w:rsidP="001C4415">
      <w:pPr>
        <w:widowControl w:val="0"/>
        <w:outlineLvl w:val="0"/>
      </w:pPr>
      <w:r w:rsidRPr="007364BD">
        <w:t>(613) 995-4330</w:t>
      </w:r>
    </w:p>
    <w:p w:rsidR="001C4415" w:rsidRPr="007364BD" w:rsidRDefault="001C4415" w:rsidP="001C4415">
      <w:pPr>
        <w:widowControl w:val="0"/>
        <w:rPr>
          <w:sz w:val="20"/>
        </w:rPr>
      </w:pPr>
    </w:p>
    <w:p w:rsidR="0036476C" w:rsidRPr="003E101F" w:rsidRDefault="001C4415" w:rsidP="0036476C">
      <w:pPr>
        <w:pStyle w:val="Footer"/>
        <w:jc w:val="center"/>
      </w:pPr>
      <w:r w:rsidRPr="007364BD">
        <w:t xml:space="preserve">- 30 </w:t>
      </w:r>
      <w:r w:rsidR="003C1B6E" w:rsidRPr="007364BD">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34AB"/>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0C25"/>
    <w:rsid w:val="00651F3A"/>
    <w:rsid w:val="006630E5"/>
    <w:rsid w:val="00666E0D"/>
    <w:rsid w:val="0067017D"/>
    <w:rsid w:val="00676709"/>
    <w:rsid w:val="00680968"/>
    <w:rsid w:val="00682A71"/>
    <w:rsid w:val="00685A30"/>
    <w:rsid w:val="006942C4"/>
    <w:rsid w:val="0069596E"/>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0A01"/>
    <w:rsid w:val="00753E0D"/>
    <w:rsid w:val="00753FDD"/>
    <w:rsid w:val="00755A54"/>
    <w:rsid w:val="0076083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E04BB"/>
    <w:rsid w:val="00DE3506"/>
    <w:rsid w:val="00DE3BD5"/>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4192"/>
    <w:rsid w:val="00E66FC2"/>
    <w:rsid w:val="00E701AC"/>
    <w:rsid w:val="00E71B6C"/>
    <w:rsid w:val="00E71F47"/>
    <w:rsid w:val="00E7552C"/>
    <w:rsid w:val="00E75EDC"/>
    <w:rsid w:val="00E76F19"/>
    <w:rsid w:val="00E77DF7"/>
    <w:rsid w:val="00E802FE"/>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650C25"/>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50C25"/>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6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2017-02-13T16:00:00Z</dcterms:created>
  <dcterms:modified xsi:type="dcterms:W3CDTF">2017-02-17T20:33:00Z</dcterms:modified>
</cp:coreProperties>
</file>