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E2953" w:rsidRDefault="003F43E6" w:rsidP="00122CE1">
      <w:pPr>
        <w:pStyle w:val="Header"/>
        <w:tabs>
          <w:tab w:val="left" w:pos="1620"/>
          <w:tab w:val="left" w:pos="1710"/>
        </w:tabs>
        <w:jc w:val="center"/>
        <w:rPr>
          <w:b/>
          <w:sz w:val="32"/>
        </w:rPr>
      </w:pPr>
      <w:r w:rsidRPr="006E2953">
        <w:rPr>
          <w:b/>
          <w:sz w:val="32"/>
        </w:rPr>
        <w:t>Supreme Court of Canada / Cour suprême du Canada</w:t>
      </w:r>
    </w:p>
    <w:p w:rsidR="003F43E6" w:rsidRPr="006E2953" w:rsidRDefault="003F43E6" w:rsidP="006F2579">
      <w:pPr>
        <w:widowControl w:val="0"/>
        <w:rPr>
          <w:i/>
        </w:rPr>
      </w:pPr>
    </w:p>
    <w:p w:rsidR="006F2579" w:rsidRPr="006E2953" w:rsidRDefault="006F2579" w:rsidP="006F2579">
      <w:pPr>
        <w:widowControl w:val="0"/>
        <w:rPr>
          <w:i/>
        </w:rPr>
      </w:pPr>
      <w:r w:rsidRPr="006E2953">
        <w:rPr>
          <w:i/>
        </w:rPr>
        <w:t>(le français suit)</w:t>
      </w:r>
    </w:p>
    <w:p w:rsidR="006F2579" w:rsidRPr="006E2953" w:rsidRDefault="006F2579" w:rsidP="006F2579">
      <w:pPr>
        <w:widowControl w:val="0"/>
      </w:pPr>
    </w:p>
    <w:p w:rsidR="006F2579" w:rsidRPr="006E2953" w:rsidRDefault="00B07908" w:rsidP="006F2579">
      <w:pPr>
        <w:widowControl w:val="0"/>
        <w:jc w:val="center"/>
        <w:rPr>
          <w:b/>
        </w:rPr>
      </w:pPr>
      <w:r w:rsidRPr="006E2953">
        <w:fldChar w:fldCharType="begin"/>
      </w:r>
      <w:r w:rsidR="006F2579" w:rsidRPr="006E2953">
        <w:instrText xml:space="preserve"> SEQ CHAPTER \h \r 1</w:instrText>
      </w:r>
      <w:r w:rsidRPr="006E2953">
        <w:fldChar w:fldCharType="end"/>
      </w:r>
      <w:r w:rsidR="006F2579" w:rsidRPr="006E2953">
        <w:rPr>
          <w:b/>
        </w:rPr>
        <w:t>JUDGMENT</w:t>
      </w:r>
      <w:r w:rsidR="00B17AAC" w:rsidRPr="006E2953">
        <w:rPr>
          <w:b/>
        </w:rPr>
        <w:t>S</w:t>
      </w:r>
      <w:r w:rsidR="006F2579" w:rsidRPr="006E2953">
        <w:rPr>
          <w:b/>
        </w:rPr>
        <w:t xml:space="preserve"> TO B</w:t>
      </w:r>
      <w:r w:rsidR="00001846" w:rsidRPr="006E2953">
        <w:rPr>
          <w:b/>
        </w:rPr>
        <w:t>E RENDERED IN LEAVE APPLICATION</w:t>
      </w:r>
      <w:r w:rsidR="00AE4C09" w:rsidRPr="006E2953">
        <w:rPr>
          <w:b/>
        </w:rPr>
        <w:t>S</w:t>
      </w:r>
    </w:p>
    <w:p w:rsidR="006F2579" w:rsidRPr="006E2953" w:rsidRDefault="006F2579" w:rsidP="006F2579">
      <w:pPr>
        <w:widowControl w:val="0"/>
      </w:pPr>
    </w:p>
    <w:p w:rsidR="006F2579" w:rsidRPr="006E2953" w:rsidRDefault="00ED3EDC" w:rsidP="006F2579">
      <w:pPr>
        <w:widowControl w:val="0"/>
        <w:rPr>
          <w:b/>
        </w:rPr>
      </w:pPr>
      <w:r w:rsidRPr="006E2953">
        <w:rPr>
          <w:b/>
        </w:rPr>
        <w:t>March</w:t>
      </w:r>
      <w:r w:rsidR="00FD37D0" w:rsidRPr="006E2953">
        <w:rPr>
          <w:b/>
        </w:rPr>
        <w:t xml:space="preserve"> </w:t>
      </w:r>
      <w:r w:rsidR="00081348">
        <w:rPr>
          <w:b/>
        </w:rPr>
        <w:t>20</w:t>
      </w:r>
      <w:r w:rsidR="00AB5538" w:rsidRPr="006E2953">
        <w:rPr>
          <w:b/>
        </w:rPr>
        <w:t>,</w:t>
      </w:r>
      <w:r w:rsidR="006F2579" w:rsidRPr="006E2953">
        <w:rPr>
          <w:b/>
        </w:rPr>
        <w:t xml:space="preserve"> </w:t>
      </w:r>
      <w:r w:rsidR="0054689F" w:rsidRPr="006E2953">
        <w:rPr>
          <w:b/>
        </w:rPr>
        <w:t>201</w:t>
      </w:r>
      <w:r w:rsidR="00A151D1" w:rsidRPr="006E2953">
        <w:rPr>
          <w:b/>
        </w:rPr>
        <w:t>7</w:t>
      </w:r>
    </w:p>
    <w:p w:rsidR="006F2579" w:rsidRPr="006E2953" w:rsidRDefault="006F2579" w:rsidP="006F2579">
      <w:pPr>
        <w:widowControl w:val="0"/>
        <w:rPr>
          <w:b/>
        </w:rPr>
      </w:pPr>
      <w:r w:rsidRPr="006E2953">
        <w:rPr>
          <w:b/>
        </w:rPr>
        <w:t>For immediate release</w:t>
      </w:r>
    </w:p>
    <w:p w:rsidR="006F2579" w:rsidRPr="006E2953" w:rsidRDefault="006F2579" w:rsidP="006F2579">
      <w:pPr>
        <w:widowControl w:val="0"/>
      </w:pPr>
    </w:p>
    <w:p w:rsidR="006F2579" w:rsidRPr="006E56E7" w:rsidRDefault="006F2579" w:rsidP="006F2579">
      <w:pPr>
        <w:widowControl w:val="0"/>
        <w:rPr>
          <w:lang w:val="fr-CA"/>
        </w:rPr>
      </w:pPr>
      <w:r w:rsidRPr="006E2953">
        <w:rPr>
          <w:b/>
        </w:rPr>
        <w:t>OTTAWA</w:t>
      </w:r>
      <w:r w:rsidRPr="006E2953">
        <w:t xml:space="preserve"> – The Supreme Court of Canada announced today that judgment in the following application</w:t>
      </w:r>
      <w:r w:rsidR="008600ED" w:rsidRPr="006E2953">
        <w:t>s</w:t>
      </w:r>
      <w:r w:rsidRPr="006E2953">
        <w:t xml:space="preserve"> for leave to appeal will be delivered at 9:45 a.m. E</w:t>
      </w:r>
      <w:r w:rsidR="009F6DB9" w:rsidRPr="006E2953">
        <w:t>D</w:t>
      </w:r>
      <w:r w:rsidRPr="006E2953">
        <w:t xml:space="preserve">T on Thursday, </w:t>
      </w:r>
      <w:r w:rsidR="00D72AD0" w:rsidRPr="006E2953">
        <w:t xml:space="preserve">March </w:t>
      </w:r>
      <w:r w:rsidR="00081348">
        <w:t>23</w:t>
      </w:r>
      <w:r w:rsidR="007E112F" w:rsidRPr="006E2953">
        <w:t>,</w:t>
      </w:r>
      <w:r w:rsidR="002F38D7" w:rsidRPr="006E2953">
        <w:t xml:space="preserve"> </w:t>
      </w:r>
      <w:r w:rsidR="006648D1" w:rsidRPr="006E2953">
        <w:t>201</w:t>
      </w:r>
      <w:r w:rsidR="00A151D1" w:rsidRPr="006E2953">
        <w:t>7</w:t>
      </w:r>
      <w:r w:rsidRPr="006E2953">
        <w:t xml:space="preserve">. </w:t>
      </w:r>
      <w:r w:rsidRPr="006E56E7">
        <w:rPr>
          <w:lang w:val="fr-CA"/>
        </w:rPr>
        <w:t>This list is subject to change.</w:t>
      </w:r>
    </w:p>
    <w:p w:rsidR="00FF5AA4" w:rsidRPr="006E56E7" w:rsidRDefault="00FF5AA4" w:rsidP="006F2579">
      <w:pPr>
        <w:widowControl w:val="0"/>
        <w:rPr>
          <w:lang w:val="fr-CA"/>
        </w:rPr>
      </w:pPr>
    </w:p>
    <w:p w:rsidR="00B43418" w:rsidRPr="006E56E7" w:rsidRDefault="00B43418" w:rsidP="006F2579">
      <w:pPr>
        <w:widowControl w:val="0"/>
        <w:rPr>
          <w:lang w:val="fr-CA"/>
        </w:rPr>
      </w:pPr>
    </w:p>
    <w:p w:rsidR="006F2579" w:rsidRPr="006E2953" w:rsidRDefault="006F2579" w:rsidP="006F2579">
      <w:pPr>
        <w:widowControl w:val="0"/>
        <w:jc w:val="center"/>
        <w:rPr>
          <w:lang w:val="fr-CA"/>
        </w:rPr>
      </w:pPr>
      <w:r w:rsidRPr="006E2953">
        <w:rPr>
          <w:b/>
          <w:lang w:val="fr-CA"/>
        </w:rPr>
        <w:t>PROCHAIN</w:t>
      </w:r>
      <w:r w:rsidR="00B17AAC" w:rsidRPr="006E2953">
        <w:rPr>
          <w:b/>
          <w:lang w:val="fr-CA"/>
        </w:rPr>
        <w:t>S</w:t>
      </w:r>
      <w:r w:rsidRPr="006E2953">
        <w:rPr>
          <w:b/>
          <w:lang w:val="fr-CA"/>
        </w:rPr>
        <w:t xml:space="preserve"> JUGEMENT</w:t>
      </w:r>
      <w:r w:rsidR="00B17AAC" w:rsidRPr="006E2953">
        <w:rPr>
          <w:b/>
          <w:lang w:val="fr-CA"/>
        </w:rPr>
        <w:t>S</w:t>
      </w:r>
      <w:r w:rsidR="00001846" w:rsidRPr="006E2953">
        <w:rPr>
          <w:b/>
          <w:lang w:val="fr-CA"/>
        </w:rPr>
        <w:t xml:space="preserve"> SUR DEMANDE</w:t>
      </w:r>
      <w:r w:rsidR="00B17AAC" w:rsidRPr="006E2953">
        <w:rPr>
          <w:b/>
          <w:lang w:val="fr-CA"/>
        </w:rPr>
        <w:t>S</w:t>
      </w:r>
      <w:r w:rsidRPr="006E2953">
        <w:rPr>
          <w:b/>
          <w:lang w:val="fr-CA"/>
        </w:rPr>
        <w:t xml:space="preserve"> D’AUTORISATION</w:t>
      </w:r>
    </w:p>
    <w:p w:rsidR="006F2579" w:rsidRPr="006E2953" w:rsidRDefault="006F2579" w:rsidP="006F2579">
      <w:pPr>
        <w:widowControl w:val="0"/>
        <w:rPr>
          <w:lang w:val="fr-CA"/>
        </w:rPr>
      </w:pPr>
    </w:p>
    <w:p w:rsidR="006F2579" w:rsidRPr="006E2953" w:rsidRDefault="006F2579" w:rsidP="006F2579">
      <w:pPr>
        <w:widowControl w:val="0"/>
        <w:rPr>
          <w:b/>
          <w:lang w:val="fr-CA"/>
        </w:rPr>
      </w:pPr>
      <w:r w:rsidRPr="006E2953">
        <w:rPr>
          <w:b/>
          <w:lang w:val="fr-CA"/>
        </w:rPr>
        <w:t>Le</w:t>
      </w:r>
      <w:r w:rsidR="00957A76" w:rsidRPr="006E2953">
        <w:rPr>
          <w:b/>
          <w:lang w:val="fr-CA"/>
        </w:rPr>
        <w:t xml:space="preserve"> </w:t>
      </w:r>
      <w:r w:rsidR="00081348">
        <w:rPr>
          <w:b/>
          <w:lang w:val="fr-CA"/>
        </w:rPr>
        <w:t>20</w:t>
      </w:r>
      <w:r w:rsidR="00FD37D0" w:rsidRPr="006E2953">
        <w:rPr>
          <w:b/>
          <w:lang w:val="fr-CA"/>
        </w:rPr>
        <w:t xml:space="preserve"> </w:t>
      </w:r>
      <w:r w:rsidR="00ED3EDC" w:rsidRPr="006E2953">
        <w:rPr>
          <w:b/>
          <w:lang w:val="fr-CA"/>
        </w:rPr>
        <w:t>mars</w:t>
      </w:r>
      <w:r w:rsidR="00A151D1" w:rsidRPr="006E2953">
        <w:rPr>
          <w:b/>
          <w:lang w:val="fr-CA"/>
        </w:rPr>
        <w:t xml:space="preserve"> 2017</w:t>
      </w:r>
    </w:p>
    <w:p w:rsidR="006F2579" w:rsidRPr="006E2953" w:rsidRDefault="006F2579" w:rsidP="006F2579">
      <w:pPr>
        <w:widowControl w:val="0"/>
        <w:rPr>
          <w:b/>
          <w:lang w:val="fr-CA"/>
        </w:rPr>
      </w:pPr>
      <w:r w:rsidRPr="006E2953">
        <w:rPr>
          <w:b/>
          <w:lang w:val="fr-CA"/>
        </w:rPr>
        <w:t>Pour diffusion immédiate</w:t>
      </w:r>
    </w:p>
    <w:p w:rsidR="006F2579" w:rsidRPr="006E2953" w:rsidRDefault="006F2579" w:rsidP="006F2579">
      <w:pPr>
        <w:widowControl w:val="0"/>
        <w:rPr>
          <w:b/>
          <w:lang w:val="fr-CA"/>
        </w:rPr>
      </w:pPr>
    </w:p>
    <w:p w:rsidR="006F2579" w:rsidRPr="006E2953" w:rsidRDefault="006F2579" w:rsidP="006F2579">
      <w:pPr>
        <w:widowControl w:val="0"/>
        <w:rPr>
          <w:lang w:val="fr-CA"/>
        </w:rPr>
      </w:pPr>
      <w:r w:rsidRPr="006E2953">
        <w:rPr>
          <w:b/>
          <w:lang w:val="fr-CA"/>
        </w:rPr>
        <w:t>OTTAWA</w:t>
      </w:r>
      <w:r w:rsidRPr="006E2953">
        <w:rPr>
          <w:lang w:val="fr-CA"/>
        </w:rPr>
        <w:t xml:space="preserve"> – La Cour suprême du Canada annonce que jugement ser</w:t>
      </w:r>
      <w:r w:rsidR="004259F9" w:rsidRPr="006E2953">
        <w:rPr>
          <w:lang w:val="fr-CA"/>
        </w:rPr>
        <w:t>a</w:t>
      </w:r>
      <w:r w:rsidRPr="006E2953">
        <w:rPr>
          <w:lang w:val="fr-CA"/>
        </w:rPr>
        <w:t xml:space="preserve"> rendu dans l</w:t>
      </w:r>
      <w:r w:rsidR="008600ED" w:rsidRPr="006E2953">
        <w:rPr>
          <w:lang w:val="fr-CA"/>
        </w:rPr>
        <w:t>es</w:t>
      </w:r>
      <w:r w:rsidRPr="006E2953">
        <w:rPr>
          <w:lang w:val="fr-CA"/>
        </w:rPr>
        <w:t xml:space="preserve"> demande</w:t>
      </w:r>
      <w:r w:rsidR="008600ED" w:rsidRPr="006E2953">
        <w:rPr>
          <w:lang w:val="fr-CA"/>
        </w:rPr>
        <w:t>s</w:t>
      </w:r>
      <w:r w:rsidRPr="006E2953">
        <w:rPr>
          <w:lang w:val="fr-CA"/>
        </w:rPr>
        <w:t xml:space="preserve"> d</w:t>
      </w:r>
      <w:r w:rsidR="00001846" w:rsidRPr="006E2953">
        <w:rPr>
          <w:lang w:val="fr-CA"/>
        </w:rPr>
        <w:t>’autorisation d’appel suivante</w:t>
      </w:r>
      <w:r w:rsidR="008600ED" w:rsidRPr="006E2953">
        <w:rPr>
          <w:lang w:val="fr-CA"/>
        </w:rPr>
        <w:t>s</w:t>
      </w:r>
      <w:r w:rsidRPr="006E2953">
        <w:rPr>
          <w:lang w:val="fr-CA"/>
        </w:rPr>
        <w:t xml:space="preserve"> le jeudi </w:t>
      </w:r>
      <w:r w:rsidR="00081348">
        <w:rPr>
          <w:lang w:val="fr-CA"/>
        </w:rPr>
        <w:t>23</w:t>
      </w:r>
      <w:r w:rsidR="00D72AD0" w:rsidRPr="006E2953">
        <w:rPr>
          <w:lang w:val="fr-CA"/>
        </w:rPr>
        <w:t xml:space="preserve"> mars</w:t>
      </w:r>
      <w:r w:rsidR="00674329" w:rsidRPr="006E2953">
        <w:rPr>
          <w:lang w:val="fr-CA"/>
        </w:rPr>
        <w:t xml:space="preserve"> </w:t>
      </w:r>
      <w:r w:rsidR="006648D1" w:rsidRPr="006E2953">
        <w:rPr>
          <w:lang w:val="fr-CA"/>
        </w:rPr>
        <w:t>201</w:t>
      </w:r>
      <w:r w:rsidR="00A151D1" w:rsidRPr="006E2953">
        <w:rPr>
          <w:lang w:val="fr-CA"/>
        </w:rPr>
        <w:t>7</w:t>
      </w:r>
      <w:r w:rsidRPr="006E2953">
        <w:rPr>
          <w:lang w:val="fr-CA"/>
        </w:rPr>
        <w:t xml:space="preserve">, à 9 h 45 </w:t>
      </w:r>
      <w:r w:rsidR="000627A2" w:rsidRPr="006E2953">
        <w:rPr>
          <w:lang w:val="fr-CA"/>
        </w:rPr>
        <w:t>H</w:t>
      </w:r>
      <w:r w:rsidR="009F6DB9" w:rsidRPr="006E2953">
        <w:rPr>
          <w:lang w:val="fr-CA"/>
        </w:rPr>
        <w:t>A</w:t>
      </w:r>
      <w:r w:rsidRPr="006E2953">
        <w:rPr>
          <w:lang w:val="fr-CA"/>
        </w:rPr>
        <w:t>E. Cette liste est sujette à modifications.</w:t>
      </w:r>
    </w:p>
    <w:p w:rsidR="0080556B" w:rsidRPr="006E2953" w:rsidRDefault="0080556B" w:rsidP="009B14F4">
      <w:pPr>
        <w:widowControl w:val="0"/>
        <w:jc w:val="both"/>
        <w:rPr>
          <w:sz w:val="20"/>
          <w:lang w:val="fr-CA"/>
        </w:rPr>
      </w:pPr>
    </w:p>
    <w:p w:rsidR="001838E0" w:rsidRPr="006E2953" w:rsidRDefault="003D353C" w:rsidP="009B14F4">
      <w:pPr>
        <w:widowControl w:val="0"/>
        <w:jc w:val="both"/>
        <w:rPr>
          <w:sz w:val="20"/>
          <w:lang w:val="fr-CA"/>
        </w:rPr>
      </w:pPr>
      <w:r w:rsidRPr="006E295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531C3D">
      <w:pPr>
        <w:ind w:left="360" w:hanging="360"/>
        <w:jc w:val="both"/>
        <w:rPr>
          <w:sz w:val="20"/>
          <w:lang w:val="fr-CA" w:eastAsia="en-CA"/>
        </w:rPr>
      </w:pPr>
    </w:p>
    <w:p w:rsidR="003F4DDB" w:rsidRPr="003F4DDB" w:rsidRDefault="003F4DDB" w:rsidP="003F4DDB">
      <w:pPr>
        <w:pStyle w:val="ListParagraph"/>
        <w:numPr>
          <w:ilvl w:val="0"/>
          <w:numId w:val="13"/>
        </w:numPr>
        <w:ind w:left="360"/>
        <w:rPr>
          <w:rFonts w:eastAsia="Calibri"/>
          <w:sz w:val="20"/>
          <w:lang w:val="fr-CA"/>
        </w:rPr>
      </w:pPr>
      <w:r w:rsidRPr="003F4DDB">
        <w:rPr>
          <w:rFonts w:eastAsia="Calibri"/>
          <w:i/>
          <w:sz w:val="20"/>
          <w:lang w:val="en-CA"/>
        </w:rPr>
        <w:t>David McLennan v. Her Majesty the Queen</w:t>
      </w:r>
      <w:r w:rsidRPr="003F4DDB">
        <w:rPr>
          <w:rFonts w:eastAsia="Calibri"/>
          <w:sz w:val="20"/>
          <w:lang w:val="en-CA"/>
        </w:rPr>
        <w:t xml:space="preserve"> (Ont.) </w:t>
      </w:r>
      <w:r w:rsidRPr="003F4DDB">
        <w:rPr>
          <w:rFonts w:eastAsia="Calibri"/>
          <w:sz w:val="20"/>
          <w:lang w:val="fr-CA"/>
        </w:rPr>
        <w:t>(Criminal) (By Leave)</w:t>
      </w:r>
      <w:r w:rsidR="00D74745">
        <w:rPr>
          <w:rFonts w:eastAsia="Calibri"/>
          <w:sz w:val="20"/>
          <w:lang w:val="fr-CA"/>
        </w:rPr>
        <w:t xml:space="preserve"> </w:t>
      </w:r>
      <w:r w:rsidR="00D74745" w:rsidRPr="003F4DDB">
        <w:rPr>
          <w:sz w:val="20"/>
          <w:lang w:val="en-CA" w:eastAsia="en-CA"/>
        </w:rPr>
        <w:t>(</w:t>
      </w:r>
      <w:hyperlink r:id="rId8" w:history="1">
        <w:r w:rsidR="00D74745" w:rsidRPr="003F4DDB">
          <w:rPr>
            <w:rStyle w:val="Hyperlink"/>
            <w:sz w:val="20"/>
            <w:lang w:val="en-CA" w:eastAsia="en-CA"/>
          </w:rPr>
          <w:t>373</w:t>
        </w:r>
        <w:r w:rsidR="00D74745">
          <w:rPr>
            <w:rStyle w:val="Hyperlink"/>
            <w:sz w:val="20"/>
            <w:lang w:val="en-CA" w:eastAsia="en-CA"/>
          </w:rPr>
          <w:t>34</w:t>
        </w:r>
      </w:hyperlink>
      <w:r w:rsidR="00D74745" w:rsidRPr="003F4DDB">
        <w:rPr>
          <w:sz w:val="20"/>
          <w:lang w:val="en-CA" w:eastAsia="en-CA"/>
        </w:rPr>
        <w:t>)</w:t>
      </w:r>
    </w:p>
    <w:p w:rsidR="003F4DDB" w:rsidRPr="003F4DDB" w:rsidRDefault="003F4DDB" w:rsidP="003F4DDB">
      <w:pPr>
        <w:widowControl w:val="0"/>
        <w:autoSpaceDE w:val="0"/>
        <w:autoSpaceDN w:val="0"/>
        <w:adjustRightInd w:val="0"/>
        <w:ind w:left="360" w:hanging="360"/>
        <w:rPr>
          <w:sz w:val="20"/>
          <w:lang w:val="fr-CA"/>
        </w:rPr>
      </w:pPr>
    </w:p>
    <w:p w:rsidR="003F4DDB" w:rsidRPr="003F4DDB" w:rsidRDefault="003F4DDB" w:rsidP="003F4DDB">
      <w:pPr>
        <w:pStyle w:val="ListParagraph"/>
        <w:numPr>
          <w:ilvl w:val="0"/>
          <w:numId w:val="13"/>
        </w:numPr>
        <w:ind w:left="360"/>
        <w:rPr>
          <w:rFonts w:eastAsia="Calibri"/>
          <w:sz w:val="20"/>
          <w:lang w:val="fr-FR"/>
        </w:rPr>
      </w:pPr>
      <w:r w:rsidRPr="003F4DDB">
        <w:rPr>
          <w:rFonts w:eastAsia="Calibri"/>
          <w:i/>
          <w:sz w:val="20"/>
          <w:lang w:val="fr-FR"/>
        </w:rPr>
        <w:t>9143-9059 Québec Inc. c. Ville de Granby</w:t>
      </w:r>
      <w:r w:rsidRPr="003F4DDB">
        <w:rPr>
          <w:rFonts w:eastAsia="Calibri"/>
          <w:sz w:val="20"/>
          <w:lang w:val="fr-FR"/>
        </w:rPr>
        <w:t xml:space="preserve"> (Qc) (Civile) (Autorisation) </w:t>
      </w:r>
      <w:r w:rsidR="00D74745" w:rsidRPr="003F4DDB">
        <w:rPr>
          <w:sz w:val="20"/>
          <w:lang w:val="fr-CA" w:eastAsia="en-CA"/>
        </w:rPr>
        <w:t>(</w:t>
      </w:r>
      <w:hyperlink r:id="rId9" w:history="1">
        <w:r w:rsidR="00D74745" w:rsidRPr="003F4DDB">
          <w:rPr>
            <w:rStyle w:val="Hyperlink"/>
            <w:sz w:val="20"/>
            <w:lang w:val="fr-CA" w:eastAsia="en-CA"/>
          </w:rPr>
          <w:t>373</w:t>
        </w:r>
        <w:r w:rsidR="00D74745">
          <w:rPr>
            <w:rStyle w:val="Hyperlink"/>
            <w:sz w:val="20"/>
            <w:lang w:val="fr-CA" w:eastAsia="en-CA"/>
          </w:rPr>
          <w:t>12</w:t>
        </w:r>
      </w:hyperlink>
      <w:r w:rsidR="00D74745" w:rsidRPr="003F4DDB">
        <w:rPr>
          <w:sz w:val="20"/>
          <w:lang w:val="fr-CA" w:eastAsia="en-CA"/>
        </w:rPr>
        <w:t>)</w:t>
      </w:r>
    </w:p>
    <w:p w:rsidR="003F4DDB" w:rsidRPr="002C3DF6" w:rsidRDefault="003F4DDB" w:rsidP="003F4DDB">
      <w:pPr>
        <w:ind w:left="360" w:hanging="360"/>
        <w:jc w:val="both"/>
        <w:rPr>
          <w:sz w:val="20"/>
          <w:lang w:val="fr-FR"/>
        </w:rPr>
      </w:pPr>
    </w:p>
    <w:p w:rsidR="003F4DDB" w:rsidRPr="003F4DDB" w:rsidRDefault="003F4DDB" w:rsidP="003F4DDB">
      <w:pPr>
        <w:pStyle w:val="SCCAppellantInfoAppellantInfo"/>
        <w:numPr>
          <w:ilvl w:val="0"/>
          <w:numId w:val="13"/>
        </w:numPr>
        <w:ind w:left="360"/>
        <w:jc w:val="both"/>
        <w:rPr>
          <w:sz w:val="20"/>
          <w:szCs w:val="20"/>
        </w:rPr>
      </w:pPr>
      <w:r w:rsidRPr="003F4DDB">
        <w:rPr>
          <w:i/>
          <w:sz w:val="20"/>
          <w:szCs w:val="20"/>
        </w:rPr>
        <w:t>R.G. v. Her Majesty the Queen</w:t>
      </w:r>
      <w:r w:rsidRPr="003F4DDB">
        <w:rPr>
          <w:sz w:val="20"/>
          <w:szCs w:val="20"/>
        </w:rPr>
        <w:t xml:space="preserve"> (Ont.) (Criminal) (By Leave) </w:t>
      </w:r>
      <w:r w:rsidR="00D74745" w:rsidRPr="003F4DDB">
        <w:rPr>
          <w:sz w:val="20"/>
          <w:lang w:eastAsia="en-CA"/>
        </w:rPr>
        <w:t>(</w:t>
      </w:r>
      <w:hyperlink r:id="rId10" w:history="1">
        <w:r w:rsidR="00D74745" w:rsidRPr="003F4DDB">
          <w:rPr>
            <w:rStyle w:val="Hyperlink"/>
            <w:sz w:val="20"/>
            <w:lang w:eastAsia="en-CA"/>
          </w:rPr>
          <w:t>37</w:t>
        </w:r>
        <w:r w:rsidR="00D74745">
          <w:rPr>
            <w:rStyle w:val="Hyperlink"/>
            <w:sz w:val="20"/>
            <w:lang w:eastAsia="en-CA"/>
          </w:rPr>
          <w:t>297</w:t>
        </w:r>
      </w:hyperlink>
      <w:r w:rsidR="00D74745" w:rsidRPr="003F4DDB">
        <w:rPr>
          <w:sz w:val="20"/>
          <w:lang w:eastAsia="en-CA"/>
        </w:rPr>
        <w:t>)</w:t>
      </w:r>
    </w:p>
    <w:p w:rsidR="003F4DDB" w:rsidRPr="003F4DDB" w:rsidRDefault="003F4DDB" w:rsidP="003F4DDB">
      <w:pPr>
        <w:ind w:left="360" w:hanging="360"/>
        <w:rPr>
          <w:sz w:val="20"/>
          <w:lang w:val="en-CA"/>
        </w:rPr>
      </w:pPr>
    </w:p>
    <w:p w:rsidR="003F4DDB" w:rsidRPr="003F4DDB" w:rsidRDefault="003F4DDB" w:rsidP="003F4DDB">
      <w:pPr>
        <w:pStyle w:val="SCCAppellantInfoAppellantInfo"/>
        <w:numPr>
          <w:ilvl w:val="0"/>
          <w:numId w:val="13"/>
        </w:numPr>
        <w:ind w:left="360"/>
        <w:jc w:val="both"/>
        <w:rPr>
          <w:sz w:val="20"/>
          <w:szCs w:val="20"/>
        </w:rPr>
      </w:pPr>
      <w:r w:rsidRPr="003F4DDB">
        <w:rPr>
          <w:i/>
          <w:sz w:val="20"/>
          <w:szCs w:val="20"/>
        </w:rPr>
        <w:t>A.C. et al. v. The Children's Aid Society of Ottawa</w:t>
      </w:r>
      <w:r w:rsidRPr="003F4DDB">
        <w:rPr>
          <w:sz w:val="20"/>
          <w:szCs w:val="20"/>
        </w:rPr>
        <w:t xml:space="preserve"> (Ont.) (Civil) (By Leave)</w:t>
      </w:r>
      <w:r w:rsidR="00B96795">
        <w:rPr>
          <w:sz w:val="20"/>
          <w:szCs w:val="20"/>
        </w:rPr>
        <w:t xml:space="preserve"> </w:t>
      </w:r>
      <w:r w:rsidR="00B96795" w:rsidRPr="003F4DDB">
        <w:rPr>
          <w:sz w:val="20"/>
          <w:lang w:eastAsia="en-CA"/>
        </w:rPr>
        <w:t>(</w:t>
      </w:r>
      <w:hyperlink r:id="rId11" w:history="1">
        <w:r w:rsidR="00B96795" w:rsidRPr="003F4DDB">
          <w:rPr>
            <w:rStyle w:val="Hyperlink"/>
            <w:sz w:val="20"/>
            <w:lang w:eastAsia="en-CA"/>
          </w:rPr>
          <w:t>373</w:t>
        </w:r>
        <w:r w:rsidR="00B96795">
          <w:rPr>
            <w:rStyle w:val="Hyperlink"/>
            <w:sz w:val="20"/>
            <w:lang w:eastAsia="en-CA"/>
          </w:rPr>
          <w:t>80</w:t>
        </w:r>
      </w:hyperlink>
      <w:r w:rsidR="00B96795" w:rsidRPr="003F4DDB">
        <w:rPr>
          <w:sz w:val="20"/>
          <w:lang w:eastAsia="en-CA"/>
        </w:rPr>
        <w:t>)</w:t>
      </w:r>
    </w:p>
    <w:p w:rsidR="003F4DDB" w:rsidRPr="003F4DDB" w:rsidRDefault="003F4DDB" w:rsidP="003F4DDB">
      <w:pPr>
        <w:ind w:left="360" w:hanging="360"/>
        <w:rPr>
          <w:sz w:val="20"/>
          <w:lang w:val="en-CA"/>
        </w:rPr>
      </w:pPr>
    </w:p>
    <w:p w:rsidR="003F4DDB" w:rsidRPr="003F4DDB" w:rsidRDefault="003F4DDB" w:rsidP="003F4DDB">
      <w:pPr>
        <w:pStyle w:val="SCCAppellantInfoAppellantInfo"/>
        <w:numPr>
          <w:ilvl w:val="0"/>
          <w:numId w:val="13"/>
        </w:numPr>
        <w:ind w:left="360"/>
        <w:jc w:val="both"/>
        <w:rPr>
          <w:sz w:val="20"/>
          <w:szCs w:val="20"/>
        </w:rPr>
      </w:pPr>
      <w:r w:rsidRPr="003F4DDB">
        <w:rPr>
          <w:i/>
          <w:sz w:val="20"/>
          <w:szCs w:val="20"/>
        </w:rPr>
        <w:t>Gary Grant v. Equifax Canada Co. et al.</w:t>
      </w:r>
      <w:r w:rsidRPr="003F4DDB">
        <w:rPr>
          <w:sz w:val="20"/>
          <w:szCs w:val="20"/>
        </w:rPr>
        <w:t xml:space="preserve"> (Ont.) (Civil) (By Leave)</w:t>
      </w:r>
      <w:r w:rsidR="001E4E84">
        <w:rPr>
          <w:sz w:val="20"/>
          <w:szCs w:val="20"/>
        </w:rPr>
        <w:t xml:space="preserve"> </w:t>
      </w:r>
      <w:r w:rsidR="001E4E84" w:rsidRPr="003F4DDB">
        <w:rPr>
          <w:sz w:val="20"/>
          <w:lang w:eastAsia="en-CA"/>
        </w:rPr>
        <w:t>(</w:t>
      </w:r>
      <w:hyperlink r:id="rId12" w:history="1">
        <w:r w:rsidR="001E4E84" w:rsidRPr="003F4DDB">
          <w:rPr>
            <w:rStyle w:val="Hyperlink"/>
            <w:sz w:val="20"/>
            <w:lang w:eastAsia="en-CA"/>
          </w:rPr>
          <w:t>373</w:t>
        </w:r>
        <w:r w:rsidR="001E4E84">
          <w:rPr>
            <w:rStyle w:val="Hyperlink"/>
            <w:sz w:val="20"/>
            <w:lang w:eastAsia="en-CA"/>
          </w:rPr>
          <w:t>27</w:t>
        </w:r>
      </w:hyperlink>
      <w:r w:rsidR="001E4E84" w:rsidRPr="003F4DDB">
        <w:rPr>
          <w:sz w:val="20"/>
          <w:lang w:eastAsia="en-CA"/>
        </w:rPr>
        <w:t>)</w:t>
      </w:r>
    </w:p>
    <w:p w:rsidR="003F4DDB" w:rsidRPr="002C3DF6" w:rsidRDefault="003F4DDB" w:rsidP="003F4DDB">
      <w:pPr>
        <w:ind w:left="360" w:hanging="360"/>
        <w:jc w:val="both"/>
        <w:rPr>
          <w:sz w:val="20"/>
          <w:lang w:val="en-CA"/>
        </w:rPr>
      </w:pPr>
    </w:p>
    <w:p w:rsidR="003F4DDB" w:rsidRPr="003F4DDB" w:rsidRDefault="003F4DDB" w:rsidP="003F4DDB">
      <w:pPr>
        <w:pStyle w:val="SCCAppellantInfoAppellantInfo"/>
        <w:numPr>
          <w:ilvl w:val="0"/>
          <w:numId w:val="13"/>
        </w:numPr>
        <w:ind w:left="360"/>
        <w:jc w:val="both"/>
        <w:rPr>
          <w:sz w:val="20"/>
          <w:szCs w:val="20"/>
        </w:rPr>
      </w:pPr>
      <w:r w:rsidRPr="003F4DDB">
        <w:rPr>
          <w:i/>
          <w:sz w:val="20"/>
          <w:szCs w:val="20"/>
        </w:rPr>
        <w:t>Fabian Loayza-Penaloza v. Her Majesty the Queen</w:t>
      </w:r>
      <w:r w:rsidRPr="003F4DDB">
        <w:rPr>
          <w:sz w:val="20"/>
          <w:szCs w:val="20"/>
        </w:rPr>
        <w:t xml:space="preserve"> (Ont.) (Criminal) (By Leave) </w:t>
      </w:r>
      <w:r w:rsidR="008154EA" w:rsidRPr="003F4DDB">
        <w:rPr>
          <w:sz w:val="20"/>
          <w:lang w:eastAsia="en-CA"/>
        </w:rPr>
        <w:t>(</w:t>
      </w:r>
      <w:hyperlink r:id="rId13" w:history="1">
        <w:r w:rsidR="008154EA" w:rsidRPr="003F4DDB">
          <w:rPr>
            <w:rStyle w:val="Hyperlink"/>
            <w:sz w:val="20"/>
            <w:lang w:eastAsia="en-CA"/>
          </w:rPr>
          <w:t>373</w:t>
        </w:r>
        <w:r w:rsidR="008154EA">
          <w:rPr>
            <w:rStyle w:val="Hyperlink"/>
            <w:sz w:val="20"/>
            <w:lang w:eastAsia="en-CA"/>
          </w:rPr>
          <w:t>79</w:t>
        </w:r>
      </w:hyperlink>
      <w:r w:rsidR="008154EA" w:rsidRPr="003F4DDB">
        <w:rPr>
          <w:sz w:val="20"/>
          <w:lang w:eastAsia="en-CA"/>
        </w:rPr>
        <w:t>)</w:t>
      </w:r>
    </w:p>
    <w:p w:rsidR="003F4DDB" w:rsidRPr="003F4DDB" w:rsidRDefault="003F4DDB" w:rsidP="003F4DDB">
      <w:pPr>
        <w:ind w:left="360" w:hanging="360"/>
        <w:rPr>
          <w:sz w:val="20"/>
          <w:lang w:val="en-CA"/>
        </w:rPr>
      </w:pPr>
    </w:p>
    <w:p w:rsidR="003F4DDB" w:rsidRPr="003F4DDB" w:rsidRDefault="003F4DDB" w:rsidP="003F4DDB">
      <w:pPr>
        <w:pStyle w:val="SCCAppellantInfoAppellantInfo"/>
        <w:numPr>
          <w:ilvl w:val="0"/>
          <w:numId w:val="13"/>
        </w:numPr>
        <w:ind w:left="360"/>
        <w:jc w:val="both"/>
        <w:rPr>
          <w:sz w:val="20"/>
          <w:szCs w:val="20"/>
        </w:rPr>
      </w:pPr>
      <w:r w:rsidRPr="003F4DDB">
        <w:rPr>
          <w:i/>
          <w:sz w:val="20"/>
          <w:szCs w:val="20"/>
        </w:rPr>
        <w:t>Michael Mullins v. Her Majesty the Queen</w:t>
      </w:r>
      <w:r w:rsidRPr="003F4DDB">
        <w:rPr>
          <w:sz w:val="20"/>
          <w:szCs w:val="20"/>
        </w:rPr>
        <w:t xml:space="preserve"> (Ont.) (Criminal) (By Leave)</w:t>
      </w:r>
      <w:r w:rsidR="006E08F5">
        <w:rPr>
          <w:sz w:val="20"/>
          <w:szCs w:val="20"/>
        </w:rPr>
        <w:t xml:space="preserve"> </w:t>
      </w:r>
      <w:r w:rsidR="006E08F5" w:rsidRPr="003F4DDB">
        <w:rPr>
          <w:sz w:val="20"/>
          <w:lang w:eastAsia="en-CA"/>
        </w:rPr>
        <w:t>(</w:t>
      </w:r>
      <w:hyperlink r:id="rId14" w:history="1">
        <w:r w:rsidR="006E08F5" w:rsidRPr="003F4DDB">
          <w:rPr>
            <w:rStyle w:val="Hyperlink"/>
            <w:sz w:val="20"/>
            <w:lang w:eastAsia="en-CA"/>
          </w:rPr>
          <w:t>37</w:t>
        </w:r>
        <w:r w:rsidR="006E08F5">
          <w:rPr>
            <w:rStyle w:val="Hyperlink"/>
            <w:sz w:val="20"/>
            <w:lang w:eastAsia="en-CA"/>
          </w:rPr>
          <w:t>426</w:t>
        </w:r>
      </w:hyperlink>
      <w:r w:rsidR="006E08F5" w:rsidRPr="003F4DDB">
        <w:rPr>
          <w:sz w:val="20"/>
          <w:lang w:eastAsia="en-CA"/>
        </w:rPr>
        <w:t>)</w:t>
      </w:r>
    </w:p>
    <w:p w:rsidR="003F4DDB" w:rsidRPr="003F4DDB" w:rsidRDefault="003F4DDB" w:rsidP="003F4DDB">
      <w:pPr>
        <w:ind w:left="360" w:hanging="360"/>
        <w:jc w:val="both"/>
        <w:rPr>
          <w:sz w:val="20"/>
          <w:lang w:val="en-CA"/>
        </w:rPr>
      </w:pPr>
    </w:p>
    <w:p w:rsidR="003F4DDB" w:rsidRPr="003F4DDB" w:rsidRDefault="003F4DDB" w:rsidP="003F4DDB">
      <w:pPr>
        <w:pStyle w:val="SCCAppellantInfoAppellantInfo"/>
        <w:numPr>
          <w:ilvl w:val="0"/>
          <w:numId w:val="13"/>
        </w:numPr>
        <w:ind w:left="360"/>
        <w:jc w:val="both"/>
        <w:rPr>
          <w:sz w:val="20"/>
          <w:szCs w:val="20"/>
        </w:rPr>
      </w:pPr>
      <w:r w:rsidRPr="003F4DDB">
        <w:rPr>
          <w:i/>
          <w:sz w:val="20"/>
          <w:szCs w:val="20"/>
        </w:rPr>
        <w:t>Roberto Orellana Gonzalez v. Workers' Compensation Board (Worksafe) of British Columbia et al.</w:t>
      </w:r>
      <w:r w:rsidRPr="003F4DDB">
        <w:rPr>
          <w:sz w:val="20"/>
          <w:szCs w:val="20"/>
        </w:rPr>
        <w:t xml:space="preserve"> (B.C.) (Civil) (By Leave)</w:t>
      </w:r>
      <w:r w:rsidR="006E08F5">
        <w:rPr>
          <w:sz w:val="20"/>
          <w:szCs w:val="20"/>
        </w:rPr>
        <w:t xml:space="preserve"> </w:t>
      </w:r>
      <w:r w:rsidR="006E08F5" w:rsidRPr="003F4DDB">
        <w:rPr>
          <w:sz w:val="20"/>
          <w:lang w:eastAsia="en-CA"/>
        </w:rPr>
        <w:t>(</w:t>
      </w:r>
      <w:hyperlink r:id="rId15" w:history="1">
        <w:r w:rsidR="006E08F5" w:rsidRPr="003F4DDB">
          <w:rPr>
            <w:rStyle w:val="Hyperlink"/>
            <w:sz w:val="20"/>
            <w:lang w:eastAsia="en-CA"/>
          </w:rPr>
          <w:t>373</w:t>
        </w:r>
        <w:r w:rsidR="006E08F5">
          <w:rPr>
            <w:rStyle w:val="Hyperlink"/>
            <w:sz w:val="20"/>
            <w:lang w:eastAsia="en-CA"/>
          </w:rPr>
          <w:t>53</w:t>
        </w:r>
      </w:hyperlink>
      <w:r w:rsidR="006E08F5" w:rsidRPr="003F4DDB">
        <w:rPr>
          <w:sz w:val="20"/>
          <w:lang w:eastAsia="en-CA"/>
        </w:rPr>
        <w:t>)</w:t>
      </w:r>
    </w:p>
    <w:p w:rsidR="003F4DDB" w:rsidRPr="003F4DDB" w:rsidRDefault="003F4DDB" w:rsidP="003F4DDB">
      <w:pPr>
        <w:ind w:left="360" w:hanging="360"/>
        <w:jc w:val="both"/>
        <w:rPr>
          <w:sz w:val="20"/>
          <w:lang w:val="en-CA"/>
        </w:rPr>
      </w:pPr>
    </w:p>
    <w:p w:rsidR="003F4DDB" w:rsidRPr="003F4DDB" w:rsidRDefault="003F4DDB" w:rsidP="003F4DDB">
      <w:pPr>
        <w:pStyle w:val="SCCAppellantInfoAppellantInfo"/>
        <w:numPr>
          <w:ilvl w:val="0"/>
          <w:numId w:val="13"/>
        </w:numPr>
        <w:ind w:left="360"/>
        <w:jc w:val="both"/>
        <w:rPr>
          <w:sz w:val="20"/>
          <w:szCs w:val="20"/>
        </w:rPr>
      </w:pPr>
      <w:r w:rsidRPr="003F4DDB">
        <w:rPr>
          <w:i/>
          <w:sz w:val="20"/>
          <w:szCs w:val="20"/>
        </w:rPr>
        <w:t>Glenda Bonilla v. The Personal Insurance Company of Canada</w:t>
      </w:r>
      <w:r w:rsidRPr="003F4DDB">
        <w:rPr>
          <w:sz w:val="20"/>
          <w:szCs w:val="20"/>
        </w:rPr>
        <w:t xml:space="preserve"> (Ont.) (Civil) (By Leave)</w:t>
      </w:r>
      <w:r w:rsidR="008A3A4B">
        <w:rPr>
          <w:sz w:val="20"/>
          <w:szCs w:val="20"/>
        </w:rPr>
        <w:t xml:space="preserve"> </w:t>
      </w:r>
      <w:r w:rsidR="008A3A4B" w:rsidRPr="003F4DDB">
        <w:rPr>
          <w:sz w:val="20"/>
          <w:lang w:eastAsia="en-CA"/>
        </w:rPr>
        <w:t>(</w:t>
      </w:r>
      <w:hyperlink r:id="rId16" w:history="1">
        <w:r w:rsidR="008A3A4B" w:rsidRPr="003F4DDB">
          <w:rPr>
            <w:rStyle w:val="Hyperlink"/>
            <w:sz w:val="20"/>
            <w:lang w:eastAsia="en-CA"/>
          </w:rPr>
          <w:t>373</w:t>
        </w:r>
        <w:r w:rsidR="008A3A4B">
          <w:rPr>
            <w:rStyle w:val="Hyperlink"/>
            <w:sz w:val="20"/>
            <w:lang w:eastAsia="en-CA"/>
          </w:rPr>
          <w:t>43</w:t>
        </w:r>
      </w:hyperlink>
      <w:r w:rsidR="008A3A4B" w:rsidRPr="003F4DDB">
        <w:rPr>
          <w:sz w:val="20"/>
          <w:lang w:eastAsia="en-CA"/>
        </w:rPr>
        <w:t>)</w:t>
      </w:r>
    </w:p>
    <w:p w:rsidR="003F4DDB" w:rsidRPr="003F4DDB" w:rsidRDefault="003F4DDB" w:rsidP="003F4DDB">
      <w:pPr>
        <w:ind w:left="360" w:hanging="360"/>
        <w:rPr>
          <w:sz w:val="20"/>
          <w:lang w:val="en-CA"/>
        </w:rPr>
      </w:pPr>
    </w:p>
    <w:p w:rsidR="003F4DDB" w:rsidRPr="003F4DDB" w:rsidRDefault="003F4DDB" w:rsidP="003F4DDB">
      <w:pPr>
        <w:pStyle w:val="SCCAppellantInfoAppellantInfo"/>
        <w:numPr>
          <w:ilvl w:val="0"/>
          <w:numId w:val="13"/>
        </w:numPr>
        <w:ind w:left="360"/>
        <w:jc w:val="both"/>
        <w:rPr>
          <w:sz w:val="20"/>
          <w:szCs w:val="20"/>
        </w:rPr>
      </w:pPr>
      <w:r w:rsidRPr="003F4DDB">
        <w:rPr>
          <w:i/>
          <w:sz w:val="20"/>
          <w:szCs w:val="20"/>
        </w:rPr>
        <w:t>C.K.Z. et al. v. Nova Scotia Minister of Community Services</w:t>
      </w:r>
      <w:r w:rsidRPr="003F4DDB">
        <w:rPr>
          <w:sz w:val="20"/>
          <w:szCs w:val="20"/>
        </w:rPr>
        <w:t xml:space="preserve"> (N.S.) (Civil) (By Leave) </w:t>
      </w:r>
      <w:r w:rsidR="004504BB" w:rsidRPr="003F4DDB">
        <w:rPr>
          <w:sz w:val="20"/>
          <w:lang w:eastAsia="en-CA"/>
        </w:rPr>
        <w:t>(</w:t>
      </w:r>
      <w:hyperlink r:id="rId17" w:history="1">
        <w:r w:rsidR="004504BB" w:rsidRPr="003F4DDB">
          <w:rPr>
            <w:rStyle w:val="Hyperlink"/>
            <w:sz w:val="20"/>
            <w:lang w:eastAsia="en-CA"/>
          </w:rPr>
          <w:t>37</w:t>
        </w:r>
        <w:r w:rsidR="004504BB">
          <w:rPr>
            <w:rStyle w:val="Hyperlink"/>
            <w:sz w:val="20"/>
            <w:lang w:eastAsia="en-CA"/>
          </w:rPr>
          <w:t>221</w:t>
        </w:r>
      </w:hyperlink>
      <w:r w:rsidR="004504BB" w:rsidRPr="003F4DDB">
        <w:rPr>
          <w:sz w:val="20"/>
          <w:lang w:eastAsia="en-CA"/>
        </w:rPr>
        <w:t>)</w:t>
      </w:r>
    </w:p>
    <w:p w:rsidR="003F4DDB" w:rsidRPr="003F4DDB" w:rsidRDefault="003F4DDB" w:rsidP="003F4DDB">
      <w:pPr>
        <w:ind w:left="360" w:hanging="360"/>
        <w:jc w:val="both"/>
        <w:rPr>
          <w:sz w:val="20"/>
          <w:lang w:val="en-CA"/>
        </w:rPr>
      </w:pPr>
    </w:p>
    <w:p w:rsidR="003F4DDB" w:rsidRPr="003F4DDB" w:rsidRDefault="003F4DDB" w:rsidP="003F4DDB">
      <w:pPr>
        <w:pStyle w:val="SCCAppellantInfoAppellantInfo"/>
        <w:numPr>
          <w:ilvl w:val="0"/>
          <w:numId w:val="13"/>
        </w:numPr>
        <w:ind w:left="360"/>
        <w:jc w:val="both"/>
        <w:rPr>
          <w:sz w:val="20"/>
          <w:szCs w:val="20"/>
        </w:rPr>
      </w:pPr>
      <w:r w:rsidRPr="003F4DDB">
        <w:rPr>
          <w:i/>
          <w:sz w:val="20"/>
          <w:szCs w:val="20"/>
        </w:rPr>
        <w:t>D.M. et al. v. Director, Child and Family Services Authority</w:t>
      </w:r>
      <w:r w:rsidRPr="003F4DDB">
        <w:rPr>
          <w:sz w:val="20"/>
          <w:szCs w:val="20"/>
        </w:rPr>
        <w:t xml:space="preserve"> (Alta.) (Civil) (By Leave) </w:t>
      </w:r>
      <w:r w:rsidR="00741E81" w:rsidRPr="003F4DDB">
        <w:rPr>
          <w:sz w:val="20"/>
          <w:lang w:eastAsia="en-CA"/>
        </w:rPr>
        <w:t>(</w:t>
      </w:r>
      <w:hyperlink r:id="rId18" w:history="1">
        <w:r w:rsidR="00741E81" w:rsidRPr="003F4DDB">
          <w:rPr>
            <w:rStyle w:val="Hyperlink"/>
            <w:sz w:val="20"/>
            <w:lang w:eastAsia="en-CA"/>
          </w:rPr>
          <w:t>373</w:t>
        </w:r>
        <w:r w:rsidR="00741E81">
          <w:rPr>
            <w:rStyle w:val="Hyperlink"/>
            <w:sz w:val="20"/>
            <w:lang w:eastAsia="en-CA"/>
          </w:rPr>
          <w:t>92</w:t>
        </w:r>
      </w:hyperlink>
      <w:r w:rsidR="00741E81" w:rsidRPr="003F4DDB">
        <w:rPr>
          <w:sz w:val="20"/>
          <w:lang w:eastAsia="en-CA"/>
        </w:rPr>
        <w:t>)</w:t>
      </w:r>
    </w:p>
    <w:p w:rsidR="00C166E5" w:rsidRDefault="00C166E5" w:rsidP="00531C3D">
      <w:pPr>
        <w:ind w:left="360" w:hanging="360"/>
        <w:jc w:val="both"/>
        <w:rPr>
          <w:sz w:val="20"/>
          <w:lang w:eastAsia="en-CA"/>
        </w:rPr>
      </w:pPr>
    </w:p>
    <w:p w:rsidR="00A87E30" w:rsidRDefault="00A87E30" w:rsidP="00531C3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6E56E7" w:rsidRPr="006E56E7" w:rsidTr="006E56E7">
        <w:tc>
          <w:tcPr>
            <w:tcW w:w="542" w:type="pct"/>
          </w:tcPr>
          <w:p w:rsidR="006E56E7" w:rsidRPr="006E56E7" w:rsidRDefault="006E56E7" w:rsidP="006E56E7">
            <w:pPr>
              <w:jc w:val="both"/>
              <w:rPr>
                <w:sz w:val="20"/>
              </w:rPr>
            </w:pPr>
            <w:r w:rsidRPr="006E56E7">
              <w:rPr>
                <w:rStyle w:val="SCCFileNumberChar"/>
                <w:sz w:val="20"/>
                <w:szCs w:val="20"/>
              </w:rPr>
              <w:t>37334</w:t>
            </w:r>
          </w:p>
        </w:tc>
        <w:tc>
          <w:tcPr>
            <w:tcW w:w="4458" w:type="pct"/>
            <w:gridSpan w:val="3"/>
          </w:tcPr>
          <w:p w:rsidR="006E56E7" w:rsidRPr="006E56E7" w:rsidRDefault="006E56E7" w:rsidP="006E56E7">
            <w:pPr>
              <w:pStyle w:val="SCCLsocParty"/>
              <w:jc w:val="both"/>
              <w:rPr>
                <w:b/>
                <w:sz w:val="20"/>
                <w:szCs w:val="20"/>
                <w:lang w:val="en-US"/>
              </w:rPr>
            </w:pPr>
            <w:r w:rsidRPr="006E56E7">
              <w:rPr>
                <w:b/>
                <w:sz w:val="20"/>
                <w:szCs w:val="20"/>
                <w:lang w:val="en-US"/>
              </w:rPr>
              <w:t>David McLennan v. Her Majesty the Queen</w:t>
            </w:r>
          </w:p>
          <w:p w:rsidR="006E56E7" w:rsidRPr="006E56E7" w:rsidRDefault="006E56E7" w:rsidP="006E56E7">
            <w:pPr>
              <w:jc w:val="both"/>
              <w:rPr>
                <w:sz w:val="20"/>
              </w:rPr>
            </w:pPr>
            <w:r w:rsidRPr="006E56E7">
              <w:rPr>
                <w:sz w:val="20"/>
              </w:rPr>
              <w:t>(Ont.) (Criminal) (By Leave)</w:t>
            </w:r>
          </w:p>
        </w:tc>
      </w:tr>
      <w:tr w:rsidR="006E56E7" w:rsidRPr="006E56E7" w:rsidTr="006E56E7">
        <w:tc>
          <w:tcPr>
            <w:tcW w:w="5000" w:type="pct"/>
            <w:gridSpan w:val="4"/>
          </w:tcPr>
          <w:p w:rsidR="006E56E7" w:rsidRPr="006E56E7" w:rsidRDefault="006E56E7" w:rsidP="006E56E7">
            <w:pPr>
              <w:autoSpaceDE w:val="0"/>
              <w:autoSpaceDN w:val="0"/>
              <w:adjustRightInd w:val="0"/>
              <w:jc w:val="both"/>
              <w:rPr>
                <w:sz w:val="20"/>
              </w:rPr>
            </w:pPr>
            <w:r w:rsidRPr="006E56E7">
              <w:rPr>
                <w:sz w:val="20"/>
              </w:rPr>
              <w:lastRenderedPageBreak/>
              <w:t xml:space="preserve">Criminal law — Dangerous driving causing death — Jury charge — Evidence — Whether drinking short of impairment can be used to find </w:t>
            </w:r>
            <w:proofErr w:type="spellStart"/>
            <w:r w:rsidRPr="006E56E7">
              <w:rPr>
                <w:i/>
                <w:iCs/>
                <w:sz w:val="20"/>
              </w:rPr>
              <w:t>mens</w:t>
            </w:r>
            <w:proofErr w:type="spellEnd"/>
            <w:r w:rsidRPr="006E56E7">
              <w:rPr>
                <w:i/>
                <w:iCs/>
                <w:sz w:val="20"/>
              </w:rPr>
              <w:t xml:space="preserve"> rea </w:t>
            </w:r>
            <w:r w:rsidRPr="006E56E7">
              <w:rPr>
                <w:sz w:val="20"/>
              </w:rPr>
              <w:t>of dangerous driving causing death if accused is acquitted of impaired driving — Whether evidence of prior incidents of bad driving may be used by a</w:t>
            </w:r>
            <w:r w:rsidRPr="006E56E7">
              <w:rPr>
                <w:i/>
                <w:iCs/>
                <w:sz w:val="20"/>
              </w:rPr>
              <w:t xml:space="preserve"> </w:t>
            </w:r>
            <w:r w:rsidRPr="006E56E7">
              <w:rPr>
                <w:sz w:val="20"/>
              </w:rPr>
              <w:t>trier of fact to convict of dangerous driving causing death — Whether a debris field alone can be used to find excessive speed to the level necessary to convict of dangerous driving causing death without expert opinion evidence or other evidence regarding speed — Whether a police officer not qualified as an expert can provide opinion evidence regarding speed and type of driving that caused a motor vehicle accident based on officer’s viewing of a debris field alone — Directions to jury required of a trial judge.</w:t>
            </w:r>
          </w:p>
        </w:tc>
      </w:tr>
      <w:tr w:rsidR="006E56E7" w:rsidRPr="006E56E7" w:rsidTr="006E56E7">
        <w:tc>
          <w:tcPr>
            <w:tcW w:w="5000" w:type="pct"/>
            <w:gridSpan w:val="4"/>
          </w:tcPr>
          <w:p w:rsidR="006E56E7" w:rsidRPr="006E56E7" w:rsidRDefault="006E56E7" w:rsidP="006E56E7">
            <w:pPr>
              <w:jc w:val="both"/>
              <w:rPr>
                <w:sz w:val="20"/>
              </w:rPr>
            </w:pPr>
          </w:p>
        </w:tc>
      </w:tr>
      <w:tr w:rsidR="006E56E7" w:rsidRPr="006E56E7" w:rsidTr="006E56E7">
        <w:tc>
          <w:tcPr>
            <w:tcW w:w="5000" w:type="pct"/>
            <w:gridSpan w:val="4"/>
          </w:tcPr>
          <w:p w:rsidR="006E56E7" w:rsidRPr="006E56E7" w:rsidRDefault="006E56E7" w:rsidP="006E56E7">
            <w:pPr>
              <w:autoSpaceDE w:val="0"/>
              <w:autoSpaceDN w:val="0"/>
              <w:adjustRightInd w:val="0"/>
              <w:jc w:val="both"/>
              <w:rPr>
                <w:sz w:val="20"/>
              </w:rPr>
            </w:pPr>
            <w:r w:rsidRPr="006E56E7">
              <w:rPr>
                <w:sz w:val="20"/>
              </w:rPr>
              <w:t>On July 24, 2008, Mr. McLennan was driving on a highway when he lost control of his vehicle after completing a curve. His 16-year old son was killed in the resulting accident. Mr. McLennan was charged with impaired driving causing death and dangerous driving causing death. He testified that his right wheels momentarily touched the gravel shoulder of the highway, he overcorrected, and this caused the accident. The Crown’s evidence in part included Mr. McLennan’s prior consumption of alcohol, prior incidents of driving alleged to be stunt driving, a debris field, and the opinion of a police officer who responded to the accident that the accident involved excessive speed and unexplained bad driving.</w:t>
            </w:r>
          </w:p>
          <w:p w:rsidR="006E56E7" w:rsidRPr="006E56E7" w:rsidRDefault="006E56E7" w:rsidP="006E56E7">
            <w:pPr>
              <w:jc w:val="both"/>
              <w:rPr>
                <w:sz w:val="20"/>
              </w:rPr>
            </w:pP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rPr>
            </w:pPr>
            <w:r w:rsidRPr="006E56E7">
              <w:rPr>
                <w:sz w:val="20"/>
              </w:rPr>
              <w:t xml:space="preserve">April 22, 2013 </w:t>
            </w:r>
          </w:p>
          <w:p w:rsidR="006E56E7" w:rsidRPr="006E56E7" w:rsidRDefault="006E56E7" w:rsidP="006E56E7">
            <w:pPr>
              <w:jc w:val="both"/>
              <w:rPr>
                <w:sz w:val="20"/>
              </w:rPr>
            </w:pPr>
            <w:r w:rsidRPr="006E56E7">
              <w:rPr>
                <w:sz w:val="20"/>
              </w:rPr>
              <w:t xml:space="preserve">Superior Court of Justice </w:t>
            </w:r>
          </w:p>
          <w:p w:rsidR="006E56E7" w:rsidRPr="006E56E7" w:rsidRDefault="006E56E7" w:rsidP="006E56E7">
            <w:pPr>
              <w:jc w:val="both"/>
              <w:rPr>
                <w:sz w:val="20"/>
              </w:rPr>
            </w:pPr>
            <w:r w:rsidRPr="006E56E7">
              <w:rPr>
                <w:sz w:val="20"/>
              </w:rPr>
              <w:t>(Patterson J.)</w:t>
            </w:r>
          </w:p>
          <w:p w:rsidR="006E56E7" w:rsidRPr="006E56E7" w:rsidRDefault="006E56E7" w:rsidP="006E56E7">
            <w:pPr>
              <w:jc w:val="both"/>
              <w:rPr>
                <w:sz w:val="20"/>
              </w:rPr>
            </w:pPr>
          </w:p>
        </w:tc>
        <w:tc>
          <w:tcPr>
            <w:tcW w:w="270" w:type="pct"/>
          </w:tcPr>
          <w:p w:rsidR="006E56E7" w:rsidRPr="006E56E7" w:rsidRDefault="006E56E7" w:rsidP="006E56E7">
            <w:pPr>
              <w:jc w:val="both"/>
              <w:rPr>
                <w:sz w:val="20"/>
              </w:rPr>
            </w:pPr>
          </w:p>
        </w:tc>
        <w:tc>
          <w:tcPr>
            <w:tcW w:w="2340" w:type="pct"/>
          </w:tcPr>
          <w:p w:rsidR="006E56E7" w:rsidRPr="006E56E7" w:rsidRDefault="006E56E7" w:rsidP="006E56E7">
            <w:pPr>
              <w:jc w:val="both"/>
              <w:rPr>
                <w:sz w:val="20"/>
              </w:rPr>
            </w:pPr>
            <w:r w:rsidRPr="006E56E7">
              <w:rPr>
                <w:sz w:val="20"/>
              </w:rPr>
              <w:t>Conviction by jury of dangerous driving causing death; acquittal on charge of impaired driving causing death</w:t>
            </w: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rPr>
            </w:pPr>
            <w:r w:rsidRPr="006E56E7">
              <w:rPr>
                <w:sz w:val="20"/>
              </w:rPr>
              <w:t>October 6, 2016</w:t>
            </w:r>
          </w:p>
          <w:p w:rsidR="006E56E7" w:rsidRPr="006E56E7" w:rsidRDefault="006E56E7" w:rsidP="006E56E7">
            <w:pPr>
              <w:jc w:val="both"/>
              <w:rPr>
                <w:sz w:val="20"/>
              </w:rPr>
            </w:pPr>
            <w:r w:rsidRPr="006E56E7">
              <w:rPr>
                <w:sz w:val="20"/>
              </w:rPr>
              <w:t>Court of Appeal for Ontario</w:t>
            </w:r>
          </w:p>
          <w:p w:rsidR="006E56E7" w:rsidRPr="006E56E7" w:rsidRDefault="006E56E7" w:rsidP="006E56E7">
            <w:pPr>
              <w:jc w:val="both"/>
              <w:rPr>
                <w:sz w:val="20"/>
              </w:rPr>
            </w:pPr>
            <w:r w:rsidRPr="006E56E7">
              <w:rPr>
                <w:sz w:val="20"/>
              </w:rPr>
              <w:t>(</w:t>
            </w:r>
            <w:proofErr w:type="spellStart"/>
            <w:r w:rsidRPr="006E56E7">
              <w:rPr>
                <w:sz w:val="20"/>
              </w:rPr>
              <w:t>MacFarland</w:t>
            </w:r>
            <w:proofErr w:type="spellEnd"/>
            <w:r w:rsidRPr="006E56E7">
              <w:rPr>
                <w:sz w:val="20"/>
              </w:rPr>
              <w:t xml:space="preserve">, </w:t>
            </w:r>
            <w:proofErr w:type="spellStart"/>
            <w:r w:rsidRPr="006E56E7">
              <w:rPr>
                <w:sz w:val="20"/>
              </w:rPr>
              <w:t>Rensburg</w:t>
            </w:r>
            <w:proofErr w:type="spellEnd"/>
            <w:r w:rsidRPr="006E56E7">
              <w:rPr>
                <w:sz w:val="20"/>
              </w:rPr>
              <w:t xml:space="preserve">, </w:t>
            </w:r>
            <w:proofErr w:type="spellStart"/>
            <w:r w:rsidRPr="006E56E7">
              <w:rPr>
                <w:sz w:val="20"/>
              </w:rPr>
              <w:t>Huscroft</w:t>
            </w:r>
            <w:proofErr w:type="spellEnd"/>
            <w:r w:rsidRPr="006E56E7">
              <w:rPr>
                <w:sz w:val="20"/>
              </w:rPr>
              <w:t xml:space="preserve"> JJ.A.)</w:t>
            </w:r>
          </w:p>
          <w:p w:rsidR="006E56E7" w:rsidRPr="006E56E7" w:rsidRDefault="006E56E7" w:rsidP="006E56E7">
            <w:pPr>
              <w:jc w:val="both"/>
              <w:rPr>
                <w:sz w:val="20"/>
              </w:rPr>
            </w:pPr>
            <w:r w:rsidRPr="006E56E7">
              <w:rPr>
                <w:sz w:val="20"/>
              </w:rPr>
              <w:t xml:space="preserve">C57269; </w:t>
            </w:r>
            <w:hyperlink r:id="rId19" w:history="1">
              <w:r w:rsidRPr="006E56E7">
                <w:rPr>
                  <w:rStyle w:val="Hyperlink"/>
                  <w:sz w:val="20"/>
                </w:rPr>
                <w:t>2016 ONCA 732</w:t>
              </w:r>
            </w:hyperlink>
          </w:p>
          <w:p w:rsidR="006E56E7" w:rsidRPr="006E56E7" w:rsidRDefault="006E56E7" w:rsidP="006E56E7">
            <w:pPr>
              <w:jc w:val="both"/>
              <w:rPr>
                <w:sz w:val="20"/>
              </w:rPr>
            </w:pPr>
          </w:p>
        </w:tc>
        <w:tc>
          <w:tcPr>
            <w:tcW w:w="270" w:type="pct"/>
          </w:tcPr>
          <w:p w:rsidR="006E56E7" w:rsidRPr="006E56E7" w:rsidRDefault="006E56E7" w:rsidP="006E56E7">
            <w:pPr>
              <w:jc w:val="both"/>
              <w:rPr>
                <w:sz w:val="20"/>
              </w:rPr>
            </w:pPr>
          </w:p>
        </w:tc>
        <w:tc>
          <w:tcPr>
            <w:tcW w:w="2340" w:type="pct"/>
          </w:tcPr>
          <w:p w:rsidR="006E56E7" w:rsidRPr="006E56E7" w:rsidRDefault="006E56E7" w:rsidP="006E56E7">
            <w:pPr>
              <w:jc w:val="both"/>
              <w:rPr>
                <w:sz w:val="20"/>
              </w:rPr>
            </w:pPr>
            <w:r w:rsidRPr="006E56E7">
              <w:rPr>
                <w:sz w:val="20"/>
              </w:rPr>
              <w:t>Appeal from conviction and sentence dismissed</w:t>
            </w:r>
          </w:p>
          <w:p w:rsidR="006E56E7" w:rsidRPr="006E56E7" w:rsidRDefault="006E56E7" w:rsidP="006E56E7">
            <w:pPr>
              <w:jc w:val="both"/>
              <w:rPr>
                <w:sz w:val="20"/>
              </w:rPr>
            </w:pP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rPr>
            </w:pPr>
            <w:r w:rsidRPr="006E56E7">
              <w:rPr>
                <w:sz w:val="20"/>
              </w:rPr>
              <w:t>December 2, 2016</w:t>
            </w:r>
          </w:p>
          <w:p w:rsidR="006E56E7" w:rsidRPr="006E56E7" w:rsidRDefault="006E56E7" w:rsidP="006E56E7">
            <w:pPr>
              <w:jc w:val="both"/>
              <w:rPr>
                <w:sz w:val="20"/>
              </w:rPr>
            </w:pPr>
            <w:r w:rsidRPr="006E56E7">
              <w:rPr>
                <w:sz w:val="20"/>
              </w:rPr>
              <w:t>Supreme Court of Canada</w:t>
            </w:r>
          </w:p>
        </w:tc>
        <w:tc>
          <w:tcPr>
            <w:tcW w:w="270" w:type="pct"/>
          </w:tcPr>
          <w:p w:rsidR="006E56E7" w:rsidRPr="006E56E7" w:rsidRDefault="006E56E7" w:rsidP="006E56E7">
            <w:pPr>
              <w:jc w:val="both"/>
              <w:rPr>
                <w:sz w:val="20"/>
              </w:rPr>
            </w:pPr>
          </w:p>
        </w:tc>
        <w:tc>
          <w:tcPr>
            <w:tcW w:w="2340" w:type="pct"/>
          </w:tcPr>
          <w:p w:rsidR="006E56E7" w:rsidRPr="006E56E7" w:rsidRDefault="006E56E7" w:rsidP="006E56E7">
            <w:pPr>
              <w:jc w:val="both"/>
              <w:rPr>
                <w:sz w:val="20"/>
              </w:rPr>
            </w:pPr>
            <w:r w:rsidRPr="006E56E7">
              <w:rPr>
                <w:sz w:val="20"/>
              </w:rPr>
              <w:t>Application for leave to appeal filed</w:t>
            </w:r>
          </w:p>
          <w:p w:rsidR="006E56E7" w:rsidRPr="006E56E7" w:rsidRDefault="006E56E7" w:rsidP="006E56E7">
            <w:pPr>
              <w:jc w:val="both"/>
              <w:rPr>
                <w:sz w:val="20"/>
              </w:rPr>
            </w:pPr>
          </w:p>
        </w:tc>
      </w:tr>
    </w:tbl>
    <w:p w:rsidR="006E56E7" w:rsidRDefault="006E56E7" w:rsidP="006E56E7">
      <w:pPr>
        <w:jc w:val="both"/>
        <w:rPr>
          <w:sz w:val="20"/>
        </w:rPr>
      </w:pPr>
    </w:p>
    <w:p w:rsidR="006E56E7" w:rsidRPr="006E56E7" w:rsidRDefault="006E56E7" w:rsidP="006E56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6E56E7" w:rsidRPr="006E56E7" w:rsidTr="006E56E7">
        <w:tc>
          <w:tcPr>
            <w:tcW w:w="542" w:type="pct"/>
          </w:tcPr>
          <w:p w:rsidR="006E56E7" w:rsidRPr="006E56E7" w:rsidRDefault="006E56E7" w:rsidP="006E56E7">
            <w:pPr>
              <w:jc w:val="both"/>
              <w:rPr>
                <w:sz w:val="20"/>
                <w:lang w:val="fr-CA"/>
              </w:rPr>
            </w:pPr>
            <w:r w:rsidRPr="006E56E7">
              <w:rPr>
                <w:rStyle w:val="SCCFileNumberChar"/>
                <w:sz w:val="20"/>
                <w:szCs w:val="20"/>
                <w:lang w:val="fr-CA"/>
              </w:rPr>
              <w:t>37334</w:t>
            </w:r>
          </w:p>
        </w:tc>
        <w:tc>
          <w:tcPr>
            <w:tcW w:w="4458" w:type="pct"/>
            <w:gridSpan w:val="3"/>
          </w:tcPr>
          <w:p w:rsidR="006E56E7" w:rsidRPr="006E56E7" w:rsidRDefault="006E56E7" w:rsidP="006E56E7">
            <w:pPr>
              <w:pStyle w:val="SCCLsocParty"/>
              <w:jc w:val="both"/>
              <w:rPr>
                <w:b/>
                <w:sz w:val="20"/>
                <w:szCs w:val="20"/>
              </w:rPr>
            </w:pPr>
            <w:r w:rsidRPr="006E56E7">
              <w:rPr>
                <w:b/>
                <w:sz w:val="20"/>
                <w:szCs w:val="20"/>
              </w:rPr>
              <w:t xml:space="preserve">David </w:t>
            </w:r>
            <w:proofErr w:type="spellStart"/>
            <w:r w:rsidRPr="006E56E7">
              <w:rPr>
                <w:b/>
                <w:sz w:val="20"/>
                <w:szCs w:val="20"/>
              </w:rPr>
              <w:t>McLennan</w:t>
            </w:r>
            <w:proofErr w:type="spellEnd"/>
            <w:r w:rsidRPr="006E56E7">
              <w:rPr>
                <w:b/>
                <w:sz w:val="20"/>
                <w:szCs w:val="20"/>
              </w:rPr>
              <w:t xml:space="preserve"> c. Sa Majesté la Reine</w:t>
            </w:r>
          </w:p>
          <w:p w:rsidR="006E56E7" w:rsidRPr="006E56E7" w:rsidRDefault="006E56E7" w:rsidP="006E56E7">
            <w:pPr>
              <w:jc w:val="both"/>
              <w:rPr>
                <w:sz w:val="20"/>
                <w:lang w:val="fr-CA"/>
              </w:rPr>
            </w:pPr>
            <w:r w:rsidRPr="006E56E7">
              <w:rPr>
                <w:sz w:val="20"/>
                <w:lang w:val="fr-CA"/>
              </w:rPr>
              <w:t>(Ont.) (Criminelle) (Sur autorisation)</w:t>
            </w:r>
          </w:p>
        </w:tc>
      </w:tr>
      <w:tr w:rsidR="006E56E7" w:rsidRPr="007654AB" w:rsidTr="006E56E7">
        <w:tc>
          <w:tcPr>
            <w:tcW w:w="5000" w:type="pct"/>
            <w:gridSpan w:val="4"/>
          </w:tcPr>
          <w:p w:rsidR="006E56E7" w:rsidRPr="006E56E7" w:rsidRDefault="006E56E7" w:rsidP="006E56E7">
            <w:pPr>
              <w:autoSpaceDE w:val="0"/>
              <w:autoSpaceDN w:val="0"/>
              <w:adjustRightInd w:val="0"/>
              <w:jc w:val="both"/>
              <w:rPr>
                <w:sz w:val="20"/>
                <w:lang w:val="fr-CA"/>
              </w:rPr>
            </w:pPr>
            <w:r w:rsidRPr="006E56E7">
              <w:rPr>
                <w:sz w:val="20"/>
                <w:lang w:val="fr-CA"/>
              </w:rPr>
              <w:t xml:space="preserve">Droit criminel — Conduite dangereuse causant la mort — Directives au jury — Preuve — La consommation d’alcool d’une personne sans que ses facultés soient affaiblies peut-elle être utilisée pour établir la </w:t>
            </w:r>
            <w:r w:rsidRPr="006E56E7">
              <w:rPr>
                <w:i/>
                <w:sz w:val="20"/>
                <w:lang w:val="fr-CA"/>
              </w:rPr>
              <w:t xml:space="preserve">mens </w:t>
            </w:r>
            <w:proofErr w:type="spellStart"/>
            <w:r w:rsidRPr="006E56E7">
              <w:rPr>
                <w:i/>
                <w:sz w:val="20"/>
                <w:lang w:val="fr-CA"/>
              </w:rPr>
              <w:t>rea</w:t>
            </w:r>
            <w:proofErr w:type="spellEnd"/>
            <w:r w:rsidRPr="006E56E7">
              <w:rPr>
                <w:sz w:val="20"/>
                <w:lang w:val="fr-CA"/>
              </w:rPr>
              <w:t xml:space="preserve"> de la conduite dangereuse causant la mort si l’accusé est acquitté de l’accusation de conduite avec les facultés affaiblies? — Le juge des faits peut-il utiliser la preuve d’incidents antérieurs de mauvaise conduite pour rendre un verdict de conduite dangereuse causant la mort? — Peut-on se fonder uniquement sur une zone de débris pour conclure qu’il y a eu vitesse excessive justifiant le prononcé d’un verdict de conduite dangereuse causant la mort, sans témoignage d’expert ou autres éléments de preuve concernant la vitesse? — Un policier dont la qualité d’expert n’a pas été reconnue peut-il rendre un témoignage d’opinion portant sur la vitesse et le type de conduite qui a causé l’accident d’automobile en fonction du seul fait qu’il a vu la zone de débris? — Directives devant être données par le juge du procès au jury.</w:t>
            </w:r>
          </w:p>
          <w:p w:rsidR="006E56E7" w:rsidRPr="006E56E7" w:rsidRDefault="006E56E7" w:rsidP="006E56E7">
            <w:pPr>
              <w:autoSpaceDE w:val="0"/>
              <w:autoSpaceDN w:val="0"/>
              <w:adjustRightInd w:val="0"/>
              <w:jc w:val="both"/>
              <w:rPr>
                <w:sz w:val="20"/>
                <w:lang w:val="fr-CA"/>
              </w:rPr>
            </w:pPr>
          </w:p>
        </w:tc>
      </w:tr>
      <w:tr w:rsidR="006E56E7" w:rsidRPr="007654AB" w:rsidTr="006E56E7">
        <w:tc>
          <w:tcPr>
            <w:tcW w:w="5000" w:type="pct"/>
            <w:gridSpan w:val="4"/>
          </w:tcPr>
          <w:p w:rsidR="006E56E7" w:rsidRPr="006E56E7" w:rsidRDefault="006E56E7" w:rsidP="006E56E7">
            <w:pPr>
              <w:autoSpaceDE w:val="0"/>
              <w:autoSpaceDN w:val="0"/>
              <w:adjustRightInd w:val="0"/>
              <w:jc w:val="both"/>
              <w:rPr>
                <w:sz w:val="20"/>
                <w:lang w:val="fr-CA"/>
              </w:rPr>
            </w:pPr>
            <w:r w:rsidRPr="006E56E7">
              <w:rPr>
                <w:sz w:val="20"/>
                <w:lang w:val="fr-CA"/>
              </w:rPr>
              <w:t>Le 24 juillet 2008, M. </w:t>
            </w:r>
            <w:proofErr w:type="spellStart"/>
            <w:r w:rsidRPr="006E56E7">
              <w:rPr>
                <w:sz w:val="20"/>
                <w:lang w:val="fr-CA"/>
              </w:rPr>
              <w:t>McLennan</w:t>
            </w:r>
            <w:proofErr w:type="spellEnd"/>
            <w:r w:rsidRPr="006E56E7">
              <w:rPr>
                <w:sz w:val="20"/>
                <w:lang w:val="fr-CA"/>
              </w:rPr>
              <w:t xml:space="preserve"> circulait sur une autoroute lorsqu’il a perdu le contrôle de son véhicule après avoir pris un virage. Son fils de 16 ans a été tué dans l’accident. M. </w:t>
            </w:r>
            <w:proofErr w:type="spellStart"/>
            <w:r w:rsidRPr="006E56E7">
              <w:rPr>
                <w:sz w:val="20"/>
                <w:lang w:val="fr-CA"/>
              </w:rPr>
              <w:t>McLennan</w:t>
            </w:r>
            <w:proofErr w:type="spellEnd"/>
            <w:r w:rsidRPr="006E56E7">
              <w:rPr>
                <w:sz w:val="20"/>
                <w:lang w:val="fr-CA"/>
              </w:rPr>
              <w:t xml:space="preserve"> a été accusé de conduite avec les capacités affaiblies causant la mort et de conduite dangereuse causant la mort. Dans son témoignage, il a dit que ses roues de droite ont touché un instant l’accotement de gravier; il a alors donné un coup de volant pour revenir sur l’autoroute, et c’est ce qui a causé l’accident. La preuve du ministère public comprenait la consommation d’alcool de M. </w:t>
            </w:r>
            <w:proofErr w:type="spellStart"/>
            <w:r w:rsidRPr="006E56E7">
              <w:rPr>
                <w:sz w:val="20"/>
                <w:lang w:val="fr-CA"/>
              </w:rPr>
              <w:t>McLennan</w:t>
            </w:r>
            <w:proofErr w:type="spellEnd"/>
            <w:r w:rsidRPr="006E56E7">
              <w:rPr>
                <w:sz w:val="20"/>
                <w:lang w:val="fr-CA"/>
              </w:rPr>
              <w:t xml:space="preserve"> avant l’accident, des allégations de conduite acrobatique, la zone de débris et l’opinion du policier qui s’est rendu sur le lieu de l’accident et qui affirme que M. </w:t>
            </w:r>
            <w:proofErr w:type="spellStart"/>
            <w:r w:rsidRPr="006E56E7">
              <w:rPr>
                <w:sz w:val="20"/>
                <w:lang w:val="fr-CA"/>
              </w:rPr>
              <w:t>McLennan</w:t>
            </w:r>
            <w:proofErr w:type="spellEnd"/>
            <w:r w:rsidRPr="006E56E7">
              <w:rPr>
                <w:sz w:val="20"/>
                <w:lang w:val="fr-CA"/>
              </w:rPr>
              <w:t xml:space="preserve"> a conduit à une vitesse excessive et qu’il a eu une mauvaise conduite inexpliquée.</w:t>
            </w:r>
          </w:p>
          <w:p w:rsidR="006E56E7" w:rsidRPr="006E56E7" w:rsidRDefault="006E56E7" w:rsidP="006E56E7">
            <w:pPr>
              <w:jc w:val="both"/>
              <w:rPr>
                <w:sz w:val="20"/>
                <w:lang w:val="fr-CA"/>
              </w:rPr>
            </w:pPr>
          </w:p>
        </w:tc>
      </w:tr>
      <w:tr w:rsidR="006E56E7" w:rsidRPr="007654AB" w:rsidTr="006E56E7">
        <w:tblPrEx>
          <w:tblCellMar>
            <w:bottom w:w="0" w:type="dxa"/>
          </w:tblCellMar>
        </w:tblPrEx>
        <w:tc>
          <w:tcPr>
            <w:tcW w:w="2390" w:type="pct"/>
            <w:gridSpan w:val="2"/>
          </w:tcPr>
          <w:p w:rsidR="006E56E7" w:rsidRPr="006E56E7" w:rsidRDefault="006E56E7" w:rsidP="006E56E7">
            <w:pPr>
              <w:jc w:val="both"/>
              <w:rPr>
                <w:sz w:val="20"/>
                <w:lang w:val="fr-CA"/>
              </w:rPr>
            </w:pPr>
            <w:r w:rsidRPr="006E56E7">
              <w:rPr>
                <w:sz w:val="20"/>
                <w:lang w:val="fr-CA"/>
              </w:rPr>
              <w:lastRenderedPageBreak/>
              <w:t xml:space="preserve">22 avril 2013 </w:t>
            </w:r>
          </w:p>
          <w:p w:rsidR="006E56E7" w:rsidRPr="006E56E7" w:rsidRDefault="006E56E7" w:rsidP="006E56E7">
            <w:pPr>
              <w:jc w:val="both"/>
              <w:rPr>
                <w:sz w:val="20"/>
                <w:lang w:val="fr-CA"/>
              </w:rPr>
            </w:pPr>
            <w:r w:rsidRPr="006E56E7">
              <w:rPr>
                <w:sz w:val="20"/>
                <w:lang w:val="fr-CA"/>
              </w:rPr>
              <w:t xml:space="preserve">Cour supérieure de Justice </w:t>
            </w:r>
          </w:p>
          <w:p w:rsidR="006E56E7" w:rsidRPr="006E56E7" w:rsidRDefault="006E56E7" w:rsidP="006E56E7">
            <w:pPr>
              <w:jc w:val="both"/>
              <w:rPr>
                <w:sz w:val="20"/>
                <w:lang w:val="fr-CA"/>
              </w:rPr>
            </w:pPr>
            <w:r w:rsidRPr="006E56E7">
              <w:rPr>
                <w:sz w:val="20"/>
                <w:lang w:val="fr-CA"/>
              </w:rPr>
              <w:t>(Juge Patterson)</w:t>
            </w:r>
          </w:p>
          <w:p w:rsidR="006E56E7" w:rsidRPr="006E56E7" w:rsidRDefault="006E56E7" w:rsidP="006E56E7">
            <w:pPr>
              <w:jc w:val="both"/>
              <w:rPr>
                <w:sz w:val="20"/>
                <w:lang w:val="fr-CA"/>
              </w:rPr>
            </w:pPr>
          </w:p>
        </w:tc>
        <w:tc>
          <w:tcPr>
            <w:tcW w:w="270" w:type="pct"/>
          </w:tcPr>
          <w:p w:rsidR="006E56E7" w:rsidRPr="006E56E7" w:rsidRDefault="006E56E7" w:rsidP="006E56E7">
            <w:pPr>
              <w:jc w:val="both"/>
              <w:rPr>
                <w:sz w:val="20"/>
                <w:lang w:val="fr-CA"/>
              </w:rPr>
            </w:pPr>
          </w:p>
        </w:tc>
        <w:tc>
          <w:tcPr>
            <w:tcW w:w="2340" w:type="pct"/>
          </w:tcPr>
          <w:p w:rsidR="006E56E7" w:rsidRPr="006E56E7" w:rsidRDefault="006E56E7" w:rsidP="006E56E7">
            <w:pPr>
              <w:jc w:val="both"/>
              <w:rPr>
                <w:sz w:val="20"/>
                <w:lang w:val="fr-CA"/>
              </w:rPr>
            </w:pPr>
            <w:r w:rsidRPr="006E56E7">
              <w:rPr>
                <w:sz w:val="20"/>
                <w:lang w:val="fr-CA"/>
              </w:rPr>
              <w:t>Déclaration de culpabilité prononcée par le jury pour conduite dangereuse causant la mort; acquittement relativement à l’accusation de conduite avec capacités affaiblies causant la mort</w:t>
            </w:r>
          </w:p>
          <w:p w:rsidR="006E56E7" w:rsidRPr="006E56E7" w:rsidRDefault="006E56E7" w:rsidP="006E56E7">
            <w:pPr>
              <w:jc w:val="both"/>
              <w:rPr>
                <w:sz w:val="20"/>
                <w:lang w:val="fr-CA"/>
              </w:rPr>
            </w:pPr>
          </w:p>
        </w:tc>
      </w:tr>
      <w:tr w:rsidR="006E56E7" w:rsidRPr="007654AB" w:rsidTr="006E56E7">
        <w:tblPrEx>
          <w:tblCellMar>
            <w:bottom w:w="0" w:type="dxa"/>
          </w:tblCellMar>
        </w:tblPrEx>
        <w:tc>
          <w:tcPr>
            <w:tcW w:w="2390" w:type="pct"/>
            <w:gridSpan w:val="2"/>
          </w:tcPr>
          <w:p w:rsidR="006E56E7" w:rsidRPr="006E56E7" w:rsidRDefault="006E56E7" w:rsidP="006E56E7">
            <w:pPr>
              <w:jc w:val="both"/>
              <w:rPr>
                <w:sz w:val="20"/>
                <w:lang w:val="fr-CA"/>
              </w:rPr>
            </w:pPr>
            <w:r w:rsidRPr="006E56E7">
              <w:rPr>
                <w:sz w:val="20"/>
                <w:lang w:val="fr-CA"/>
              </w:rPr>
              <w:t>6 octobre 2016</w:t>
            </w:r>
          </w:p>
          <w:p w:rsidR="006E56E7" w:rsidRPr="006E56E7" w:rsidRDefault="006E56E7" w:rsidP="006E56E7">
            <w:pPr>
              <w:jc w:val="both"/>
              <w:rPr>
                <w:sz w:val="20"/>
                <w:lang w:val="fr-CA"/>
              </w:rPr>
            </w:pPr>
            <w:r w:rsidRPr="006E56E7">
              <w:rPr>
                <w:sz w:val="20"/>
                <w:lang w:val="fr-CA"/>
              </w:rPr>
              <w:t>Cour d’appel de l’Ontario</w:t>
            </w:r>
          </w:p>
          <w:p w:rsidR="006E56E7" w:rsidRPr="006E56E7" w:rsidRDefault="006E56E7" w:rsidP="006E56E7">
            <w:pPr>
              <w:jc w:val="both"/>
              <w:rPr>
                <w:sz w:val="20"/>
                <w:lang w:val="fr-CA"/>
              </w:rPr>
            </w:pPr>
            <w:r w:rsidRPr="006E56E7">
              <w:rPr>
                <w:sz w:val="20"/>
                <w:lang w:val="fr-CA"/>
              </w:rPr>
              <w:t xml:space="preserve">(Juges d’appel </w:t>
            </w:r>
            <w:proofErr w:type="spellStart"/>
            <w:r w:rsidRPr="006E56E7">
              <w:rPr>
                <w:sz w:val="20"/>
                <w:lang w:val="fr-CA"/>
              </w:rPr>
              <w:t>MacFarland</w:t>
            </w:r>
            <w:proofErr w:type="spellEnd"/>
            <w:r w:rsidRPr="006E56E7">
              <w:rPr>
                <w:sz w:val="20"/>
                <w:lang w:val="fr-CA"/>
              </w:rPr>
              <w:t xml:space="preserve">, </w:t>
            </w:r>
            <w:proofErr w:type="spellStart"/>
            <w:r w:rsidRPr="006E56E7">
              <w:rPr>
                <w:sz w:val="20"/>
                <w:lang w:val="fr-CA"/>
              </w:rPr>
              <w:t>Rensburg</w:t>
            </w:r>
            <w:proofErr w:type="spellEnd"/>
            <w:r w:rsidRPr="006E56E7">
              <w:rPr>
                <w:sz w:val="20"/>
                <w:lang w:val="fr-CA"/>
              </w:rPr>
              <w:t xml:space="preserve"> et </w:t>
            </w:r>
            <w:proofErr w:type="spellStart"/>
            <w:r w:rsidRPr="006E56E7">
              <w:rPr>
                <w:sz w:val="20"/>
                <w:lang w:val="fr-CA"/>
              </w:rPr>
              <w:t>Huscroft</w:t>
            </w:r>
            <w:proofErr w:type="spellEnd"/>
            <w:r w:rsidRPr="006E56E7">
              <w:rPr>
                <w:sz w:val="20"/>
                <w:lang w:val="fr-CA"/>
              </w:rPr>
              <w:t>)</w:t>
            </w:r>
          </w:p>
          <w:p w:rsidR="006E56E7" w:rsidRPr="006E56E7" w:rsidRDefault="006E56E7" w:rsidP="006E56E7">
            <w:pPr>
              <w:jc w:val="both"/>
              <w:rPr>
                <w:sz w:val="20"/>
                <w:lang w:val="fr-CA"/>
              </w:rPr>
            </w:pPr>
            <w:r w:rsidRPr="006E56E7">
              <w:rPr>
                <w:sz w:val="20"/>
                <w:lang w:val="fr-CA"/>
              </w:rPr>
              <w:t xml:space="preserve">C57269; </w:t>
            </w:r>
            <w:hyperlink r:id="rId20" w:history="1">
              <w:r w:rsidRPr="006E56E7">
                <w:rPr>
                  <w:rStyle w:val="Hyperlink"/>
                  <w:sz w:val="20"/>
                  <w:lang w:val="fr-CA"/>
                </w:rPr>
                <w:t>2016 ONCA 732</w:t>
              </w:r>
            </w:hyperlink>
          </w:p>
          <w:p w:rsidR="006E56E7" w:rsidRPr="006E56E7" w:rsidRDefault="006E56E7" w:rsidP="006E56E7">
            <w:pPr>
              <w:jc w:val="both"/>
              <w:rPr>
                <w:sz w:val="20"/>
                <w:lang w:val="fr-CA"/>
              </w:rPr>
            </w:pPr>
          </w:p>
        </w:tc>
        <w:tc>
          <w:tcPr>
            <w:tcW w:w="270" w:type="pct"/>
          </w:tcPr>
          <w:p w:rsidR="006E56E7" w:rsidRPr="006E56E7" w:rsidRDefault="006E56E7" w:rsidP="006E56E7">
            <w:pPr>
              <w:jc w:val="both"/>
              <w:rPr>
                <w:sz w:val="20"/>
                <w:lang w:val="fr-CA"/>
              </w:rPr>
            </w:pPr>
          </w:p>
        </w:tc>
        <w:tc>
          <w:tcPr>
            <w:tcW w:w="2340" w:type="pct"/>
          </w:tcPr>
          <w:p w:rsidR="006E56E7" w:rsidRPr="006E56E7" w:rsidRDefault="006E56E7" w:rsidP="006E56E7">
            <w:pPr>
              <w:jc w:val="both"/>
              <w:rPr>
                <w:sz w:val="20"/>
                <w:lang w:val="fr-CA"/>
              </w:rPr>
            </w:pPr>
            <w:r w:rsidRPr="006E56E7">
              <w:rPr>
                <w:sz w:val="20"/>
                <w:lang w:val="fr-CA"/>
              </w:rPr>
              <w:t xml:space="preserve">Appel de la déclaration de culpabilité et de la peine rejeté </w:t>
            </w: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lang w:val="fr-CA"/>
              </w:rPr>
            </w:pPr>
            <w:r w:rsidRPr="006E56E7">
              <w:rPr>
                <w:sz w:val="20"/>
                <w:lang w:val="fr-CA"/>
              </w:rPr>
              <w:t>2 décembre 2016</w:t>
            </w:r>
          </w:p>
          <w:p w:rsidR="006E56E7" w:rsidRPr="006E56E7" w:rsidRDefault="006E56E7" w:rsidP="006E56E7">
            <w:pPr>
              <w:jc w:val="both"/>
              <w:rPr>
                <w:sz w:val="20"/>
                <w:lang w:val="fr-CA"/>
              </w:rPr>
            </w:pPr>
            <w:r w:rsidRPr="006E56E7">
              <w:rPr>
                <w:sz w:val="20"/>
                <w:lang w:val="fr-CA"/>
              </w:rPr>
              <w:t>Cour suprême du Canada</w:t>
            </w:r>
          </w:p>
        </w:tc>
        <w:tc>
          <w:tcPr>
            <w:tcW w:w="270" w:type="pct"/>
          </w:tcPr>
          <w:p w:rsidR="006E56E7" w:rsidRPr="006E56E7" w:rsidRDefault="006E56E7" w:rsidP="006E56E7">
            <w:pPr>
              <w:jc w:val="both"/>
              <w:rPr>
                <w:sz w:val="20"/>
                <w:lang w:val="fr-CA"/>
              </w:rPr>
            </w:pPr>
          </w:p>
        </w:tc>
        <w:tc>
          <w:tcPr>
            <w:tcW w:w="2340" w:type="pct"/>
          </w:tcPr>
          <w:p w:rsidR="006E56E7" w:rsidRPr="006E56E7" w:rsidRDefault="006E56E7" w:rsidP="006E56E7">
            <w:pPr>
              <w:jc w:val="both"/>
              <w:rPr>
                <w:sz w:val="20"/>
                <w:lang w:val="fr-CA"/>
              </w:rPr>
            </w:pPr>
            <w:r w:rsidRPr="006E56E7">
              <w:rPr>
                <w:sz w:val="20"/>
                <w:lang w:val="fr-CA"/>
              </w:rPr>
              <w:t>Demande d’autorisation d’appel déposée</w:t>
            </w:r>
          </w:p>
          <w:p w:rsidR="006E56E7" w:rsidRPr="006E56E7" w:rsidRDefault="006E56E7" w:rsidP="006E56E7">
            <w:pPr>
              <w:jc w:val="both"/>
              <w:rPr>
                <w:sz w:val="20"/>
                <w:lang w:val="fr-CA"/>
              </w:rPr>
            </w:pPr>
          </w:p>
        </w:tc>
      </w:tr>
    </w:tbl>
    <w:p w:rsidR="006E56E7" w:rsidRPr="006E56E7" w:rsidRDefault="006E56E7" w:rsidP="006E56E7">
      <w:pPr>
        <w:jc w:val="both"/>
        <w:rPr>
          <w:sz w:val="20"/>
          <w:lang w:val="fr-CA"/>
        </w:rPr>
      </w:pPr>
    </w:p>
    <w:p w:rsidR="006E56E7" w:rsidRPr="006E56E7" w:rsidRDefault="006E56E7" w:rsidP="006E56E7">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E56E7" w:rsidRPr="006E56E7" w:rsidTr="006E56E7">
        <w:tc>
          <w:tcPr>
            <w:tcW w:w="543" w:type="pct"/>
          </w:tcPr>
          <w:p w:rsidR="006E56E7" w:rsidRPr="006E56E7" w:rsidRDefault="006E56E7" w:rsidP="006E56E7">
            <w:pPr>
              <w:jc w:val="both"/>
              <w:rPr>
                <w:sz w:val="20"/>
                <w:lang w:val="en-CA"/>
              </w:rPr>
            </w:pPr>
            <w:r w:rsidRPr="006E56E7">
              <w:rPr>
                <w:rStyle w:val="SCCFileNumberChar"/>
                <w:sz w:val="20"/>
                <w:szCs w:val="20"/>
              </w:rPr>
              <w:t>37312</w:t>
            </w:r>
          </w:p>
        </w:tc>
        <w:tc>
          <w:tcPr>
            <w:tcW w:w="4457" w:type="pct"/>
            <w:gridSpan w:val="3"/>
          </w:tcPr>
          <w:p w:rsidR="006E56E7" w:rsidRPr="006E56E7" w:rsidRDefault="006E56E7" w:rsidP="006E56E7">
            <w:pPr>
              <w:pStyle w:val="SCCLsocParty"/>
              <w:jc w:val="both"/>
              <w:rPr>
                <w:b/>
                <w:sz w:val="20"/>
                <w:szCs w:val="20"/>
                <w:lang w:val="en-CA"/>
              </w:rPr>
            </w:pPr>
            <w:r w:rsidRPr="006E56E7">
              <w:rPr>
                <w:b/>
                <w:sz w:val="20"/>
                <w:szCs w:val="20"/>
                <w:lang w:val="en-CA"/>
              </w:rPr>
              <w:t>9143-9059 Québec Inc v. City of Granby</w:t>
            </w:r>
          </w:p>
          <w:p w:rsidR="006E56E7" w:rsidRPr="006E56E7" w:rsidRDefault="006E56E7" w:rsidP="006E56E7">
            <w:pPr>
              <w:jc w:val="both"/>
              <w:rPr>
                <w:sz w:val="20"/>
                <w:lang w:val="en-CA"/>
              </w:rPr>
            </w:pPr>
            <w:r w:rsidRPr="006E56E7">
              <w:rPr>
                <w:sz w:val="20"/>
                <w:lang w:val="en-CA"/>
              </w:rPr>
              <w:t>(Que.) (Civil) (By Leave)</w:t>
            </w:r>
          </w:p>
        </w:tc>
      </w:tr>
      <w:tr w:rsidR="006E56E7" w:rsidRPr="006E56E7" w:rsidTr="006E56E7">
        <w:tc>
          <w:tcPr>
            <w:tcW w:w="5000" w:type="pct"/>
            <w:gridSpan w:val="4"/>
          </w:tcPr>
          <w:p w:rsidR="006E56E7" w:rsidRPr="006E56E7" w:rsidRDefault="006E56E7" w:rsidP="006E56E7">
            <w:pPr>
              <w:jc w:val="both"/>
              <w:rPr>
                <w:sz w:val="20"/>
                <w:lang w:val="en-CA"/>
              </w:rPr>
            </w:pPr>
            <w:r w:rsidRPr="006E56E7">
              <w:rPr>
                <w:sz w:val="20"/>
                <w:lang w:val="en-CA"/>
              </w:rPr>
              <w:t>Administrative law — Judicial review — Standard of review — Municipal law — Zoning — Expropriation indemnity in case where expropriated party is unable to relocate — Whether standards of review are consistent with judicial review of decision rendered by court of justice sitting on appeal from administrative decision — Whether reasonableness standard should be reviewed where applied on review of administrative appeal decision.</w:t>
            </w:r>
          </w:p>
        </w:tc>
      </w:tr>
      <w:tr w:rsidR="006E56E7" w:rsidRPr="006E56E7" w:rsidTr="006E56E7">
        <w:tc>
          <w:tcPr>
            <w:tcW w:w="5000" w:type="pct"/>
            <w:gridSpan w:val="4"/>
          </w:tcPr>
          <w:p w:rsidR="006E56E7" w:rsidRPr="006E56E7" w:rsidRDefault="006E56E7" w:rsidP="006E56E7">
            <w:pPr>
              <w:jc w:val="both"/>
              <w:rPr>
                <w:sz w:val="20"/>
                <w:lang w:val="en-CA"/>
              </w:rPr>
            </w:pPr>
          </w:p>
        </w:tc>
      </w:tr>
      <w:tr w:rsidR="006E56E7" w:rsidRPr="006E56E7" w:rsidTr="006E56E7">
        <w:tc>
          <w:tcPr>
            <w:tcW w:w="5000" w:type="pct"/>
            <w:gridSpan w:val="4"/>
          </w:tcPr>
          <w:p w:rsidR="006E56E7" w:rsidRPr="006E56E7" w:rsidRDefault="006E56E7" w:rsidP="006E56E7">
            <w:pPr>
              <w:jc w:val="both"/>
              <w:rPr>
                <w:sz w:val="20"/>
                <w:lang w:val="en-CA"/>
              </w:rPr>
            </w:pPr>
            <w:r w:rsidRPr="006E56E7">
              <w:rPr>
                <w:sz w:val="20"/>
                <w:lang w:val="en-CA"/>
              </w:rPr>
              <w:t>In 2008, the respondent City of Granby expropriated the applicant 9143</w:t>
            </w:r>
            <w:r w:rsidRPr="006E56E7">
              <w:rPr>
                <w:sz w:val="20"/>
                <w:lang w:val="en-CA"/>
              </w:rPr>
              <w:noBreakHyphen/>
              <w:t xml:space="preserve">9059 Québec inc. The applicant applied to the Administrative Tribunal of Québec to have it fix the indemnity to which the applicant claimed to be entitled </w:t>
            </w:r>
            <w:proofErr w:type="gramStart"/>
            <w:r w:rsidRPr="006E56E7">
              <w:rPr>
                <w:sz w:val="20"/>
                <w:lang w:val="en-CA"/>
              </w:rPr>
              <w:t>as a result</w:t>
            </w:r>
            <w:proofErr w:type="gramEnd"/>
            <w:r w:rsidRPr="006E56E7">
              <w:rPr>
                <w:sz w:val="20"/>
                <w:lang w:val="en-CA"/>
              </w:rPr>
              <w:t xml:space="preserve"> of the appropriation. The Administrative Tribunal of Québec refused to apply a certain method for computing the expropriation indemnity. The Court of Québec allowed the appeal and set aside the decision of the Administrative Tribunal of Québec. That decision was itself reversed on judicial review by the Superior Court, which found that the Court of Québec judge had overstepped his appellate role. </w:t>
            </w:r>
          </w:p>
          <w:p w:rsidR="006E56E7" w:rsidRPr="006E56E7" w:rsidRDefault="006E56E7" w:rsidP="006E56E7">
            <w:pPr>
              <w:jc w:val="both"/>
              <w:rPr>
                <w:sz w:val="20"/>
                <w:lang w:val="en-CA"/>
              </w:rPr>
            </w:pP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lang w:val="en-CA"/>
              </w:rPr>
            </w:pPr>
            <w:r w:rsidRPr="006E56E7">
              <w:rPr>
                <w:sz w:val="20"/>
                <w:lang w:val="en-CA"/>
              </w:rPr>
              <w:t>October 8, 2013</w:t>
            </w:r>
          </w:p>
          <w:p w:rsidR="006E56E7" w:rsidRPr="006E56E7" w:rsidRDefault="006E56E7" w:rsidP="006E56E7">
            <w:pPr>
              <w:jc w:val="both"/>
              <w:rPr>
                <w:sz w:val="20"/>
                <w:lang w:val="en-CA"/>
              </w:rPr>
            </w:pPr>
            <w:r w:rsidRPr="006E56E7">
              <w:rPr>
                <w:sz w:val="20"/>
                <w:lang w:val="en-CA"/>
              </w:rPr>
              <w:t>Administrative Tribunal of Québec (immovable property division)</w:t>
            </w:r>
          </w:p>
          <w:p w:rsidR="006E56E7" w:rsidRPr="006E56E7" w:rsidRDefault="006E56E7" w:rsidP="006E56E7">
            <w:pPr>
              <w:jc w:val="both"/>
              <w:rPr>
                <w:sz w:val="20"/>
                <w:lang w:val="en-CA"/>
              </w:rPr>
            </w:pPr>
            <w:r w:rsidRPr="006E56E7">
              <w:rPr>
                <w:sz w:val="20"/>
                <w:lang w:val="en-CA"/>
              </w:rPr>
              <w:t>(Judges Gosselin and Proulx)</w:t>
            </w:r>
          </w:p>
          <w:p w:rsidR="006E56E7" w:rsidRPr="006E56E7" w:rsidRDefault="007654AB" w:rsidP="006E56E7">
            <w:pPr>
              <w:jc w:val="both"/>
              <w:rPr>
                <w:sz w:val="20"/>
                <w:lang w:val="en-CA"/>
              </w:rPr>
            </w:pPr>
            <w:hyperlink r:id="rId21" w:history="1">
              <w:r w:rsidR="006E56E7" w:rsidRPr="006E56E7">
                <w:rPr>
                  <w:rStyle w:val="Hyperlink"/>
                  <w:sz w:val="20"/>
                  <w:lang w:val="en-CA"/>
                </w:rPr>
                <w:t>2013 QCTAQ 10184</w:t>
              </w:r>
            </w:hyperlink>
          </w:p>
          <w:p w:rsidR="006E56E7" w:rsidRPr="006E56E7" w:rsidRDefault="006E56E7" w:rsidP="006E56E7">
            <w:pPr>
              <w:jc w:val="both"/>
              <w:rPr>
                <w:sz w:val="20"/>
                <w:lang w:val="en-CA"/>
              </w:rPr>
            </w:pPr>
          </w:p>
        </w:tc>
        <w:tc>
          <w:tcPr>
            <w:tcW w:w="270" w:type="pct"/>
          </w:tcPr>
          <w:p w:rsidR="006E56E7" w:rsidRPr="006E56E7" w:rsidRDefault="006E56E7" w:rsidP="006E56E7">
            <w:pPr>
              <w:jc w:val="both"/>
              <w:rPr>
                <w:sz w:val="20"/>
                <w:lang w:val="en-CA"/>
              </w:rPr>
            </w:pPr>
          </w:p>
        </w:tc>
        <w:tc>
          <w:tcPr>
            <w:tcW w:w="2340" w:type="pct"/>
          </w:tcPr>
          <w:p w:rsidR="006E56E7" w:rsidRPr="006E56E7" w:rsidRDefault="006E56E7" w:rsidP="006E56E7">
            <w:pPr>
              <w:jc w:val="both"/>
              <w:rPr>
                <w:sz w:val="20"/>
                <w:lang w:val="en-CA"/>
              </w:rPr>
            </w:pPr>
            <w:r w:rsidRPr="006E56E7">
              <w:rPr>
                <w:sz w:val="20"/>
                <w:lang w:val="en-CA"/>
              </w:rPr>
              <w:t>Final expropriation indemnity of $360,044.04 to be paid, plus additional indemnity</w:t>
            </w: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lang w:val="en-CA"/>
              </w:rPr>
            </w:pPr>
            <w:r w:rsidRPr="006E56E7">
              <w:rPr>
                <w:sz w:val="20"/>
                <w:lang w:val="en-CA"/>
              </w:rPr>
              <w:t xml:space="preserve">May 20, 2015 </w:t>
            </w:r>
          </w:p>
          <w:p w:rsidR="006E56E7" w:rsidRPr="006E56E7" w:rsidRDefault="006E56E7" w:rsidP="006E56E7">
            <w:pPr>
              <w:jc w:val="both"/>
              <w:rPr>
                <w:sz w:val="20"/>
                <w:lang w:val="en-CA"/>
              </w:rPr>
            </w:pPr>
            <w:r w:rsidRPr="006E56E7">
              <w:rPr>
                <w:sz w:val="20"/>
                <w:lang w:val="en-CA"/>
              </w:rPr>
              <w:t>Court of Québec</w:t>
            </w:r>
          </w:p>
          <w:p w:rsidR="006E56E7" w:rsidRPr="006E56E7" w:rsidRDefault="006E56E7" w:rsidP="006E56E7">
            <w:pPr>
              <w:jc w:val="both"/>
              <w:rPr>
                <w:sz w:val="20"/>
                <w:lang w:val="en-CA"/>
              </w:rPr>
            </w:pPr>
            <w:r w:rsidRPr="006E56E7">
              <w:rPr>
                <w:sz w:val="20"/>
                <w:lang w:val="en-CA"/>
              </w:rPr>
              <w:t>(Judge Tremblay)</w:t>
            </w:r>
          </w:p>
          <w:p w:rsidR="006E56E7" w:rsidRPr="006E56E7" w:rsidRDefault="007654AB" w:rsidP="006E56E7">
            <w:pPr>
              <w:jc w:val="both"/>
              <w:rPr>
                <w:sz w:val="20"/>
                <w:lang w:val="en-CA"/>
              </w:rPr>
            </w:pPr>
            <w:hyperlink r:id="rId22" w:history="1">
              <w:r w:rsidR="006E56E7" w:rsidRPr="006E56E7">
                <w:rPr>
                  <w:rStyle w:val="Hyperlink"/>
                  <w:sz w:val="20"/>
                  <w:lang w:val="en-CA"/>
                </w:rPr>
                <w:t>2015 QCCQ 4771</w:t>
              </w:r>
            </w:hyperlink>
            <w:r w:rsidR="006E56E7" w:rsidRPr="006E56E7">
              <w:rPr>
                <w:sz w:val="20"/>
                <w:lang w:val="en-CA"/>
              </w:rPr>
              <w:t xml:space="preserve"> </w:t>
            </w:r>
          </w:p>
          <w:p w:rsidR="006E56E7" w:rsidRPr="006E56E7" w:rsidRDefault="006E56E7" w:rsidP="006E56E7">
            <w:pPr>
              <w:jc w:val="both"/>
              <w:rPr>
                <w:sz w:val="20"/>
                <w:lang w:val="en-CA"/>
              </w:rPr>
            </w:pPr>
          </w:p>
        </w:tc>
        <w:tc>
          <w:tcPr>
            <w:tcW w:w="270" w:type="pct"/>
          </w:tcPr>
          <w:p w:rsidR="006E56E7" w:rsidRPr="006E56E7" w:rsidRDefault="006E56E7" w:rsidP="006E56E7">
            <w:pPr>
              <w:jc w:val="both"/>
              <w:rPr>
                <w:sz w:val="20"/>
                <w:lang w:val="en-CA"/>
              </w:rPr>
            </w:pPr>
          </w:p>
        </w:tc>
        <w:tc>
          <w:tcPr>
            <w:tcW w:w="2340" w:type="pct"/>
          </w:tcPr>
          <w:p w:rsidR="006E56E7" w:rsidRPr="006E56E7" w:rsidRDefault="006E56E7" w:rsidP="006E56E7">
            <w:pPr>
              <w:jc w:val="both"/>
              <w:rPr>
                <w:sz w:val="20"/>
                <w:lang w:val="en-CA"/>
              </w:rPr>
            </w:pPr>
            <w:r w:rsidRPr="006E56E7">
              <w:rPr>
                <w:sz w:val="20"/>
                <w:lang w:val="en-CA"/>
              </w:rPr>
              <w:t xml:space="preserve">Appeal allowed; decision of Administrative Tribunal of Québec set aside; matter remitted to Administrative Tribunal of Québec </w:t>
            </w: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lang w:val="en-CA"/>
              </w:rPr>
            </w:pPr>
            <w:r w:rsidRPr="006E56E7">
              <w:rPr>
                <w:sz w:val="20"/>
                <w:lang w:val="en-CA"/>
              </w:rPr>
              <w:t>August 4, 2016</w:t>
            </w:r>
          </w:p>
          <w:p w:rsidR="006E56E7" w:rsidRPr="006E56E7" w:rsidRDefault="006E56E7" w:rsidP="006E56E7">
            <w:pPr>
              <w:jc w:val="both"/>
              <w:rPr>
                <w:sz w:val="20"/>
                <w:lang w:val="en-CA"/>
              </w:rPr>
            </w:pPr>
            <w:r w:rsidRPr="006E56E7">
              <w:rPr>
                <w:sz w:val="20"/>
                <w:lang w:val="en-CA"/>
              </w:rPr>
              <w:t>Quebec Superior Court</w:t>
            </w:r>
          </w:p>
          <w:p w:rsidR="006E56E7" w:rsidRPr="006E56E7" w:rsidRDefault="006E56E7" w:rsidP="006E56E7">
            <w:pPr>
              <w:jc w:val="both"/>
              <w:rPr>
                <w:sz w:val="20"/>
                <w:lang w:val="en-CA"/>
              </w:rPr>
            </w:pPr>
            <w:r w:rsidRPr="006E56E7">
              <w:rPr>
                <w:sz w:val="20"/>
                <w:lang w:val="en-CA"/>
              </w:rPr>
              <w:t>(Tôth J.)</w:t>
            </w:r>
          </w:p>
          <w:p w:rsidR="006E56E7" w:rsidRPr="006E56E7" w:rsidRDefault="007654AB" w:rsidP="006E56E7">
            <w:pPr>
              <w:jc w:val="both"/>
              <w:rPr>
                <w:sz w:val="20"/>
                <w:lang w:val="en-CA"/>
              </w:rPr>
            </w:pPr>
            <w:hyperlink r:id="rId23" w:history="1">
              <w:r w:rsidR="006E56E7" w:rsidRPr="006E56E7">
                <w:rPr>
                  <w:rStyle w:val="Hyperlink"/>
                  <w:sz w:val="20"/>
                  <w:lang w:val="en-CA"/>
                </w:rPr>
                <w:t>2016 QCCS 3796</w:t>
              </w:r>
            </w:hyperlink>
          </w:p>
          <w:p w:rsidR="006E56E7" w:rsidRPr="006E56E7" w:rsidRDefault="006E56E7" w:rsidP="006E56E7">
            <w:pPr>
              <w:jc w:val="both"/>
              <w:rPr>
                <w:sz w:val="20"/>
                <w:lang w:val="en-CA"/>
              </w:rPr>
            </w:pPr>
          </w:p>
        </w:tc>
        <w:tc>
          <w:tcPr>
            <w:tcW w:w="270" w:type="pct"/>
          </w:tcPr>
          <w:p w:rsidR="006E56E7" w:rsidRPr="006E56E7" w:rsidRDefault="006E56E7" w:rsidP="006E56E7">
            <w:pPr>
              <w:jc w:val="both"/>
              <w:rPr>
                <w:sz w:val="20"/>
                <w:lang w:val="en-CA"/>
              </w:rPr>
            </w:pPr>
          </w:p>
        </w:tc>
        <w:tc>
          <w:tcPr>
            <w:tcW w:w="2340" w:type="pct"/>
          </w:tcPr>
          <w:p w:rsidR="006E56E7" w:rsidRPr="006E56E7" w:rsidRDefault="006E56E7" w:rsidP="006E56E7">
            <w:pPr>
              <w:jc w:val="both"/>
              <w:rPr>
                <w:sz w:val="20"/>
                <w:lang w:val="en-CA"/>
              </w:rPr>
            </w:pPr>
            <w:r w:rsidRPr="006E56E7">
              <w:rPr>
                <w:sz w:val="20"/>
                <w:lang w:val="en-CA"/>
              </w:rPr>
              <w:t>Judicial review allowed; decision of Court of Québec set aside</w:t>
            </w:r>
          </w:p>
          <w:p w:rsidR="006E56E7" w:rsidRPr="006E56E7" w:rsidRDefault="006E56E7" w:rsidP="006E56E7">
            <w:pPr>
              <w:jc w:val="both"/>
              <w:rPr>
                <w:sz w:val="20"/>
                <w:lang w:val="en-CA"/>
              </w:rPr>
            </w:pP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lang w:val="en-CA"/>
              </w:rPr>
            </w:pPr>
            <w:r w:rsidRPr="006E56E7">
              <w:rPr>
                <w:sz w:val="20"/>
                <w:lang w:val="en-CA"/>
              </w:rPr>
              <w:t>September 27, 2016</w:t>
            </w:r>
          </w:p>
          <w:p w:rsidR="006E56E7" w:rsidRPr="006E56E7" w:rsidRDefault="006E56E7" w:rsidP="006E56E7">
            <w:pPr>
              <w:jc w:val="both"/>
              <w:rPr>
                <w:sz w:val="20"/>
                <w:lang w:val="en-CA"/>
              </w:rPr>
            </w:pPr>
            <w:r w:rsidRPr="006E56E7">
              <w:rPr>
                <w:sz w:val="20"/>
                <w:lang w:val="en-CA"/>
              </w:rPr>
              <w:t>Quebec Court of Appeal (Montréal)</w:t>
            </w:r>
          </w:p>
          <w:p w:rsidR="006E56E7" w:rsidRPr="006E56E7" w:rsidRDefault="006E56E7" w:rsidP="006E56E7">
            <w:pPr>
              <w:jc w:val="both"/>
              <w:rPr>
                <w:sz w:val="20"/>
                <w:lang w:val="en-CA"/>
              </w:rPr>
            </w:pPr>
            <w:r w:rsidRPr="006E56E7">
              <w:rPr>
                <w:sz w:val="20"/>
                <w:lang w:val="en-CA"/>
              </w:rPr>
              <w:t>(Vauclair J.A.)</w:t>
            </w:r>
          </w:p>
          <w:p w:rsidR="006E56E7" w:rsidRPr="006E56E7" w:rsidRDefault="007654AB" w:rsidP="006E56E7">
            <w:pPr>
              <w:jc w:val="both"/>
              <w:rPr>
                <w:sz w:val="20"/>
                <w:lang w:val="en-CA"/>
              </w:rPr>
            </w:pPr>
            <w:hyperlink r:id="rId24" w:history="1">
              <w:r w:rsidR="006E56E7" w:rsidRPr="006E56E7">
                <w:rPr>
                  <w:rStyle w:val="Hyperlink"/>
                  <w:sz w:val="20"/>
                  <w:lang w:val="en-CA"/>
                </w:rPr>
                <w:t>2016 QCCA 1558</w:t>
              </w:r>
            </w:hyperlink>
          </w:p>
          <w:p w:rsidR="006E56E7" w:rsidRPr="006E56E7" w:rsidRDefault="006E56E7" w:rsidP="006E56E7">
            <w:pPr>
              <w:jc w:val="both"/>
              <w:rPr>
                <w:sz w:val="20"/>
                <w:lang w:val="en-CA"/>
              </w:rPr>
            </w:pPr>
          </w:p>
        </w:tc>
        <w:tc>
          <w:tcPr>
            <w:tcW w:w="270" w:type="pct"/>
          </w:tcPr>
          <w:p w:rsidR="006E56E7" w:rsidRPr="006E56E7" w:rsidRDefault="006E56E7" w:rsidP="006E56E7">
            <w:pPr>
              <w:jc w:val="both"/>
              <w:rPr>
                <w:sz w:val="20"/>
                <w:lang w:val="en-CA"/>
              </w:rPr>
            </w:pPr>
          </w:p>
        </w:tc>
        <w:tc>
          <w:tcPr>
            <w:tcW w:w="2340" w:type="pct"/>
          </w:tcPr>
          <w:p w:rsidR="006E56E7" w:rsidRPr="006E56E7" w:rsidRDefault="006E56E7" w:rsidP="006E56E7">
            <w:pPr>
              <w:jc w:val="both"/>
              <w:rPr>
                <w:sz w:val="20"/>
                <w:lang w:val="en-CA"/>
              </w:rPr>
            </w:pPr>
            <w:r w:rsidRPr="006E56E7">
              <w:rPr>
                <w:sz w:val="20"/>
                <w:lang w:val="en-CA"/>
              </w:rPr>
              <w:t>Motion for leave to appeal dismissed</w:t>
            </w:r>
          </w:p>
          <w:p w:rsidR="006E56E7" w:rsidRPr="006E56E7" w:rsidRDefault="006E56E7" w:rsidP="006E56E7">
            <w:pPr>
              <w:jc w:val="both"/>
              <w:rPr>
                <w:sz w:val="20"/>
                <w:lang w:val="en-CA"/>
              </w:rPr>
            </w:pP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lang w:val="en-CA"/>
              </w:rPr>
            </w:pPr>
            <w:r w:rsidRPr="006E56E7">
              <w:rPr>
                <w:sz w:val="20"/>
                <w:lang w:val="en-CA"/>
              </w:rPr>
              <w:t>November 24, 2016</w:t>
            </w:r>
          </w:p>
          <w:p w:rsidR="006E56E7" w:rsidRPr="006E56E7" w:rsidRDefault="006E56E7" w:rsidP="006E56E7">
            <w:pPr>
              <w:jc w:val="both"/>
              <w:rPr>
                <w:sz w:val="20"/>
                <w:lang w:val="en-CA"/>
              </w:rPr>
            </w:pPr>
            <w:r w:rsidRPr="006E56E7">
              <w:rPr>
                <w:sz w:val="20"/>
                <w:lang w:val="en-CA"/>
              </w:rPr>
              <w:t>Supreme Court of Canada</w:t>
            </w:r>
          </w:p>
          <w:p w:rsidR="006E56E7" w:rsidRPr="006E56E7" w:rsidRDefault="006E56E7" w:rsidP="006E56E7">
            <w:pPr>
              <w:jc w:val="both"/>
              <w:rPr>
                <w:sz w:val="20"/>
                <w:lang w:val="en-CA"/>
              </w:rPr>
            </w:pPr>
          </w:p>
        </w:tc>
        <w:tc>
          <w:tcPr>
            <w:tcW w:w="270" w:type="pct"/>
          </w:tcPr>
          <w:p w:rsidR="006E56E7" w:rsidRPr="006E56E7" w:rsidRDefault="006E56E7" w:rsidP="006E56E7">
            <w:pPr>
              <w:jc w:val="both"/>
              <w:rPr>
                <w:sz w:val="20"/>
                <w:lang w:val="en-CA"/>
              </w:rPr>
            </w:pPr>
          </w:p>
        </w:tc>
        <w:tc>
          <w:tcPr>
            <w:tcW w:w="2340" w:type="pct"/>
          </w:tcPr>
          <w:p w:rsidR="006E56E7" w:rsidRPr="006E56E7" w:rsidRDefault="006E56E7" w:rsidP="006E56E7">
            <w:pPr>
              <w:jc w:val="both"/>
              <w:rPr>
                <w:sz w:val="20"/>
                <w:lang w:val="en-CA"/>
              </w:rPr>
            </w:pPr>
            <w:r w:rsidRPr="006E56E7">
              <w:rPr>
                <w:sz w:val="20"/>
                <w:lang w:val="en-CA"/>
              </w:rPr>
              <w:t>Application for leave to appeal filed</w:t>
            </w:r>
          </w:p>
          <w:p w:rsidR="006E56E7" w:rsidRPr="006E56E7" w:rsidRDefault="006E56E7" w:rsidP="006E56E7">
            <w:pPr>
              <w:jc w:val="both"/>
              <w:rPr>
                <w:sz w:val="20"/>
                <w:lang w:val="en-CA"/>
              </w:rPr>
            </w:pPr>
          </w:p>
        </w:tc>
      </w:tr>
    </w:tbl>
    <w:p w:rsidR="006E56E7" w:rsidRDefault="006E56E7" w:rsidP="006E56E7">
      <w:pPr>
        <w:jc w:val="both"/>
        <w:rPr>
          <w:sz w:val="20"/>
          <w:lang w:val="en-CA"/>
        </w:rPr>
      </w:pPr>
    </w:p>
    <w:p w:rsidR="006E56E7" w:rsidRPr="006E56E7" w:rsidRDefault="006E56E7" w:rsidP="006E56E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lastRenderedPageBreak/>
              <w:t>37312</w:t>
            </w:r>
          </w:p>
        </w:tc>
        <w:tc>
          <w:tcPr>
            <w:tcW w:w="4457" w:type="pct"/>
            <w:gridSpan w:val="3"/>
          </w:tcPr>
          <w:p w:rsidR="006E56E7" w:rsidRPr="006E56E7" w:rsidRDefault="006E56E7" w:rsidP="006E56E7">
            <w:pPr>
              <w:pStyle w:val="SCCLsocParty"/>
              <w:jc w:val="both"/>
              <w:rPr>
                <w:b/>
                <w:sz w:val="20"/>
                <w:szCs w:val="20"/>
              </w:rPr>
            </w:pPr>
            <w:r w:rsidRPr="006E56E7">
              <w:rPr>
                <w:b/>
                <w:sz w:val="20"/>
                <w:szCs w:val="20"/>
              </w:rPr>
              <w:t xml:space="preserve">9143-9059 Québec </w:t>
            </w:r>
            <w:proofErr w:type="spellStart"/>
            <w:r w:rsidRPr="006E56E7">
              <w:rPr>
                <w:b/>
                <w:sz w:val="20"/>
                <w:szCs w:val="20"/>
              </w:rPr>
              <w:t>Inc</w:t>
            </w:r>
            <w:proofErr w:type="spellEnd"/>
            <w:r w:rsidRPr="006E56E7">
              <w:rPr>
                <w:b/>
                <w:sz w:val="20"/>
                <w:szCs w:val="20"/>
              </w:rPr>
              <w:t xml:space="preserve"> c. Ville de Granby</w:t>
            </w:r>
          </w:p>
          <w:p w:rsidR="006E56E7" w:rsidRPr="006E56E7" w:rsidRDefault="006E56E7" w:rsidP="006E56E7">
            <w:pPr>
              <w:jc w:val="both"/>
              <w:rPr>
                <w:sz w:val="20"/>
              </w:rPr>
            </w:pPr>
            <w:r w:rsidRPr="006E56E7">
              <w:rPr>
                <w:sz w:val="20"/>
              </w:rPr>
              <w:t>(Qc) (Civile) (Autorisation)</w:t>
            </w: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Droit administratif — Contrôle judiciaire — Norme de contrôle — Droit municipal — Zonage — Indemnité d’expropriation  dans un cas où l’exproprié est dans l’impossibilité de se réinstaller — Les normes de révisions sont-elles compatibles avec le contrôle judiciaire d’une décision rendue par un tribunal judiciaire siégeant en appel d’une décision administrative? — La norme de la décision raisonnable devrait-elle être revue lorsqu’appliquée en révision d’une décision d’un appel administratif?</w:t>
            </w:r>
          </w:p>
        </w:tc>
      </w:tr>
      <w:tr w:rsidR="006E56E7" w:rsidRPr="007654AB" w:rsidTr="006E56E7">
        <w:tc>
          <w:tcPr>
            <w:tcW w:w="5000" w:type="pct"/>
            <w:gridSpan w:val="4"/>
          </w:tcPr>
          <w:p w:rsidR="006E56E7" w:rsidRPr="006E56E7" w:rsidRDefault="006E56E7" w:rsidP="006E56E7">
            <w:pPr>
              <w:jc w:val="both"/>
              <w:rPr>
                <w:sz w:val="20"/>
                <w:lang w:val="fr-CA"/>
              </w:rPr>
            </w:pP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 xml:space="preserve">En 2008, l’intimée, la ville de Granby, a procédé à l’expropriation de la demanderesse, la compagnie 9143-9059 Québec inc. La demanderesse s’est adressée au Tribunal administratif du Québec afin que celui-ci fixe l’indemnité à laquelle elle prétend avoir droit conséquemment à son expropriation. Le Tribunal administratif du Québec refuse d’appliquer une certaine méthode de calcul de l’indemnité d’expropriation. La Cour du Québec accueille l’appel et casse la décision du Tribunal administratif du Québec. Cette décision est renversée à nouveau par la Cour supérieure en révision judiciaire, qui conclut que le juge de la Cour du Québec a outrepassé son rôle de cour d’appel. </w:t>
            </w:r>
          </w:p>
          <w:p w:rsidR="006E56E7" w:rsidRPr="006E56E7" w:rsidRDefault="006E56E7" w:rsidP="006E56E7">
            <w:pPr>
              <w:jc w:val="both"/>
              <w:rPr>
                <w:sz w:val="20"/>
                <w:lang w:val="fr-CA"/>
              </w:rPr>
            </w:pPr>
          </w:p>
        </w:tc>
      </w:tr>
      <w:tr w:rsidR="006E56E7" w:rsidRPr="007654AB" w:rsidTr="006E56E7">
        <w:tblPrEx>
          <w:tblCellMar>
            <w:bottom w:w="0" w:type="dxa"/>
          </w:tblCellMar>
        </w:tblPrEx>
        <w:tc>
          <w:tcPr>
            <w:tcW w:w="2390" w:type="pct"/>
            <w:gridSpan w:val="2"/>
          </w:tcPr>
          <w:p w:rsidR="006E56E7" w:rsidRPr="006E56E7" w:rsidRDefault="006E56E7" w:rsidP="006E56E7">
            <w:pPr>
              <w:jc w:val="both"/>
              <w:rPr>
                <w:sz w:val="20"/>
                <w:lang w:val="fr-CA"/>
              </w:rPr>
            </w:pPr>
            <w:r w:rsidRPr="006E56E7">
              <w:rPr>
                <w:sz w:val="20"/>
                <w:lang w:val="fr-CA"/>
              </w:rPr>
              <w:t>Le 8 octobre 2013</w:t>
            </w:r>
          </w:p>
          <w:p w:rsidR="006E56E7" w:rsidRPr="006E56E7" w:rsidRDefault="006E56E7" w:rsidP="006E56E7">
            <w:pPr>
              <w:jc w:val="both"/>
              <w:rPr>
                <w:sz w:val="20"/>
                <w:lang w:val="fr-CA"/>
              </w:rPr>
            </w:pPr>
            <w:r w:rsidRPr="006E56E7">
              <w:rPr>
                <w:sz w:val="20"/>
                <w:lang w:val="fr-CA"/>
              </w:rPr>
              <w:t>Tribunal administratif du Québec (section des affaires immobilières)</w:t>
            </w:r>
          </w:p>
          <w:p w:rsidR="006E56E7" w:rsidRPr="006E56E7" w:rsidRDefault="006E56E7" w:rsidP="006E56E7">
            <w:pPr>
              <w:jc w:val="both"/>
              <w:rPr>
                <w:sz w:val="20"/>
                <w:lang w:val="fr-CA"/>
              </w:rPr>
            </w:pPr>
            <w:r w:rsidRPr="006E56E7">
              <w:rPr>
                <w:sz w:val="20"/>
                <w:lang w:val="fr-CA"/>
              </w:rPr>
              <w:t>(Les juges Gosselin et Proulx)</w:t>
            </w:r>
          </w:p>
          <w:p w:rsidR="006E56E7" w:rsidRPr="006E56E7" w:rsidRDefault="007654AB" w:rsidP="006E56E7">
            <w:pPr>
              <w:jc w:val="both"/>
              <w:rPr>
                <w:sz w:val="20"/>
              </w:rPr>
            </w:pPr>
            <w:hyperlink r:id="rId25" w:history="1">
              <w:r w:rsidR="006E56E7" w:rsidRPr="006E56E7">
                <w:rPr>
                  <w:rStyle w:val="Hyperlink"/>
                  <w:sz w:val="20"/>
                </w:rPr>
                <w:t>2013 QCTAQ 10184</w:t>
              </w:r>
            </w:hyperlink>
          </w:p>
          <w:p w:rsidR="006E56E7" w:rsidRPr="006E56E7" w:rsidRDefault="006E56E7" w:rsidP="006E56E7">
            <w:pPr>
              <w:jc w:val="both"/>
              <w:rPr>
                <w:sz w:val="20"/>
              </w:rPr>
            </w:pPr>
          </w:p>
        </w:tc>
        <w:tc>
          <w:tcPr>
            <w:tcW w:w="270" w:type="pct"/>
          </w:tcPr>
          <w:p w:rsidR="006E56E7" w:rsidRPr="006E56E7" w:rsidRDefault="006E56E7" w:rsidP="006E56E7">
            <w:pPr>
              <w:jc w:val="both"/>
              <w:rPr>
                <w:sz w:val="20"/>
              </w:rPr>
            </w:pPr>
          </w:p>
        </w:tc>
        <w:tc>
          <w:tcPr>
            <w:tcW w:w="2340" w:type="pct"/>
          </w:tcPr>
          <w:p w:rsidR="006E56E7" w:rsidRPr="006E56E7" w:rsidRDefault="006E56E7" w:rsidP="006E56E7">
            <w:pPr>
              <w:jc w:val="both"/>
              <w:rPr>
                <w:sz w:val="20"/>
                <w:lang w:val="fr-CA"/>
              </w:rPr>
            </w:pPr>
            <w:r w:rsidRPr="006E56E7">
              <w:rPr>
                <w:sz w:val="20"/>
                <w:lang w:val="fr-CA"/>
              </w:rPr>
              <w:t>Indemnité définitive d’expropriation à verser de 360 044,04 $ et indemnité additionnelle</w:t>
            </w:r>
            <w:r w:rsidRPr="006E56E7">
              <w:rPr>
                <w:i/>
                <w:iCs/>
                <w:sz w:val="20"/>
                <w:lang w:val="fr-CA"/>
              </w:rPr>
              <w:t>.</w:t>
            </w:r>
          </w:p>
        </w:tc>
      </w:tr>
      <w:tr w:rsidR="006E56E7" w:rsidRPr="007654AB" w:rsidTr="006E56E7">
        <w:tblPrEx>
          <w:tblCellMar>
            <w:bottom w:w="0" w:type="dxa"/>
          </w:tblCellMar>
        </w:tblPrEx>
        <w:tc>
          <w:tcPr>
            <w:tcW w:w="2390" w:type="pct"/>
            <w:gridSpan w:val="2"/>
          </w:tcPr>
          <w:p w:rsidR="006E56E7" w:rsidRPr="006E56E7" w:rsidRDefault="006E56E7" w:rsidP="006E56E7">
            <w:pPr>
              <w:jc w:val="both"/>
              <w:rPr>
                <w:sz w:val="20"/>
                <w:lang w:val="fr-CA"/>
              </w:rPr>
            </w:pPr>
            <w:r w:rsidRPr="006E56E7">
              <w:rPr>
                <w:sz w:val="20"/>
                <w:lang w:val="fr-CA"/>
              </w:rPr>
              <w:t xml:space="preserve">Le 20 mai 2015 </w:t>
            </w:r>
          </w:p>
          <w:p w:rsidR="006E56E7" w:rsidRPr="006E56E7" w:rsidRDefault="006E56E7" w:rsidP="006E56E7">
            <w:pPr>
              <w:jc w:val="both"/>
              <w:rPr>
                <w:sz w:val="20"/>
                <w:lang w:val="fr-CA"/>
              </w:rPr>
            </w:pPr>
            <w:r w:rsidRPr="006E56E7">
              <w:rPr>
                <w:sz w:val="20"/>
                <w:lang w:val="fr-CA"/>
              </w:rPr>
              <w:t>Cour du Québec</w:t>
            </w:r>
          </w:p>
          <w:p w:rsidR="006E56E7" w:rsidRPr="006E56E7" w:rsidRDefault="006E56E7" w:rsidP="006E56E7">
            <w:pPr>
              <w:jc w:val="both"/>
              <w:rPr>
                <w:sz w:val="20"/>
                <w:lang w:val="fr-CA"/>
              </w:rPr>
            </w:pPr>
            <w:r w:rsidRPr="006E56E7">
              <w:rPr>
                <w:sz w:val="20"/>
                <w:lang w:val="fr-CA"/>
              </w:rPr>
              <w:t>(Le juge Tremblay)</w:t>
            </w:r>
          </w:p>
          <w:p w:rsidR="006E56E7" w:rsidRPr="006E56E7" w:rsidRDefault="007654AB" w:rsidP="006E56E7">
            <w:pPr>
              <w:jc w:val="both"/>
              <w:rPr>
                <w:sz w:val="20"/>
              </w:rPr>
            </w:pPr>
            <w:hyperlink r:id="rId26" w:history="1">
              <w:r w:rsidR="006E56E7" w:rsidRPr="006E56E7">
                <w:rPr>
                  <w:rStyle w:val="Hyperlink"/>
                  <w:sz w:val="20"/>
                </w:rPr>
                <w:t>2015 QCCQ 4771</w:t>
              </w:r>
            </w:hyperlink>
            <w:r w:rsidR="006E56E7" w:rsidRPr="006E56E7">
              <w:rPr>
                <w:sz w:val="20"/>
              </w:rPr>
              <w:t xml:space="preserve"> </w:t>
            </w:r>
          </w:p>
          <w:p w:rsidR="006E56E7" w:rsidRPr="006E56E7" w:rsidRDefault="006E56E7" w:rsidP="006E56E7">
            <w:pPr>
              <w:jc w:val="both"/>
              <w:rPr>
                <w:sz w:val="20"/>
              </w:rPr>
            </w:pPr>
          </w:p>
        </w:tc>
        <w:tc>
          <w:tcPr>
            <w:tcW w:w="270" w:type="pct"/>
          </w:tcPr>
          <w:p w:rsidR="006E56E7" w:rsidRPr="006E56E7" w:rsidRDefault="006E56E7" w:rsidP="006E56E7">
            <w:pPr>
              <w:jc w:val="both"/>
              <w:rPr>
                <w:sz w:val="20"/>
              </w:rPr>
            </w:pPr>
          </w:p>
        </w:tc>
        <w:tc>
          <w:tcPr>
            <w:tcW w:w="2340" w:type="pct"/>
          </w:tcPr>
          <w:p w:rsidR="006E56E7" w:rsidRPr="006E56E7" w:rsidRDefault="006E56E7" w:rsidP="006E56E7">
            <w:pPr>
              <w:jc w:val="both"/>
              <w:rPr>
                <w:sz w:val="20"/>
                <w:lang w:val="fr-CA"/>
              </w:rPr>
            </w:pPr>
            <w:r w:rsidRPr="006E56E7">
              <w:rPr>
                <w:sz w:val="20"/>
                <w:lang w:val="fr-CA"/>
              </w:rPr>
              <w:t xml:space="preserve">Appel accueilli; décision du Tribunal administratif du Québec cassée; Dossier retourné au Tribunal administratif du Québec </w:t>
            </w:r>
          </w:p>
        </w:tc>
      </w:tr>
      <w:tr w:rsidR="006E56E7" w:rsidRPr="007654AB" w:rsidTr="006E56E7">
        <w:tblPrEx>
          <w:tblCellMar>
            <w:bottom w:w="0" w:type="dxa"/>
          </w:tblCellMar>
        </w:tblPrEx>
        <w:tc>
          <w:tcPr>
            <w:tcW w:w="2390" w:type="pct"/>
            <w:gridSpan w:val="2"/>
          </w:tcPr>
          <w:p w:rsidR="006E56E7" w:rsidRPr="006E56E7" w:rsidRDefault="006E56E7" w:rsidP="006E56E7">
            <w:pPr>
              <w:jc w:val="both"/>
              <w:rPr>
                <w:sz w:val="20"/>
                <w:lang w:val="fr-CA"/>
              </w:rPr>
            </w:pPr>
            <w:r w:rsidRPr="006E56E7">
              <w:rPr>
                <w:sz w:val="20"/>
                <w:lang w:val="fr-CA"/>
              </w:rPr>
              <w:t>Le 4 août 2016</w:t>
            </w:r>
          </w:p>
          <w:p w:rsidR="006E56E7" w:rsidRPr="006E56E7" w:rsidRDefault="006E56E7" w:rsidP="006E56E7">
            <w:pPr>
              <w:jc w:val="both"/>
              <w:rPr>
                <w:sz w:val="20"/>
                <w:lang w:val="fr-CA"/>
              </w:rPr>
            </w:pPr>
            <w:r w:rsidRPr="006E56E7">
              <w:rPr>
                <w:sz w:val="20"/>
                <w:lang w:val="fr-CA"/>
              </w:rPr>
              <w:t>Cour supérieure du Québec</w:t>
            </w:r>
          </w:p>
          <w:p w:rsidR="006E56E7" w:rsidRPr="006E56E7" w:rsidRDefault="006E56E7" w:rsidP="006E56E7">
            <w:pPr>
              <w:jc w:val="both"/>
              <w:rPr>
                <w:sz w:val="20"/>
              </w:rPr>
            </w:pPr>
            <w:r w:rsidRPr="006E56E7">
              <w:rPr>
                <w:sz w:val="20"/>
              </w:rPr>
              <w:t xml:space="preserve">(Le </w:t>
            </w:r>
            <w:proofErr w:type="spellStart"/>
            <w:r w:rsidRPr="006E56E7">
              <w:rPr>
                <w:sz w:val="20"/>
              </w:rPr>
              <w:t>juge</w:t>
            </w:r>
            <w:proofErr w:type="spellEnd"/>
            <w:r w:rsidRPr="006E56E7">
              <w:rPr>
                <w:sz w:val="20"/>
              </w:rPr>
              <w:t xml:space="preserve"> </w:t>
            </w:r>
            <w:proofErr w:type="spellStart"/>
            <w:r w:rsidRPr="006E56E7">
              <w:rPr>
                <w:sz w:val="20"/>
              </w:rPr>
              <w:t>Tôth</w:t>
            </w:r>
            <w:proofErr w:type="spellEnd"/>
            <w:r w:rsidRPr="006E56E7">
              <w:rPr>
                <w:sz w:val="20"/>
              </w:rPr>
              <w:t>)</w:t>
            </w:r>
          </w:p>
          <w:p w:rsidR="006E56E7" w:rsidRPr="006E56E7" w:rsidRDefault="007654AB" w:rsidP="006E56E7">
            <w:pPr>
              <w:jc w:val="both"/>
              <w:rPr>
                <w:sz w:val="20"/>
              </w:rPr>
            </w:pPr>
            <w:hyperlink r:id="rId27" w:history="1">
              <w:r w:rsidR="006E56E7" w:rsidRPr="006E56E7">
                <w:rPr>
                  <w:rStyle w:val="Hyperlink"/>
                  <w:sz w:val="20"/>
                </w:rPr>
                <w:t>2016 QCCS 3796</w:t>
              </w:r>
            </w:hyperlink>
          </w:p>
          <w:p w:rsidR="006E56E7" w:rsidRPr="006E56E7" w:rsidRDefault="006E56E7" w:rsidP="006E56E7">
            <w:pPr>
              <w:jc w:val="both"/>
              <w:rPr>
                <w:sz w:val="20"/>
              </w:rPr>
            </w:pPr>
          </w:p>
        </w:tc>
        <w:tc>
          <w:tcPr>
            <w:tcW w:w="270" w:type="pct"/>
          </w:tcPr>
          <w:p w:rsidR="006E56E7" w:rsidRPr="006E56E7" w:rsidRDefault="006E56E7" w:rsidP="006E56E7">
            <w:pPr>
              <w:jc w:val="both"/>
              <w:rPr>
                <w:sz w:val="20"/>
              </w:rPr>
            </w:pPr>
          </w:p>
        </w:tc>
        <w:tc>
          <w:tcPr>
            <w:tcW w:w="2340" w:type="pct"/>
          </w:tcPr>
          <w:p w:rsidR="006E56E7" w:rsidRPr="006E56E7" w:rsidRDefault="006E56E7" w:rsidP="006E56E7">
            <w:pPr>
              <w:jc w:val="both"/>
              <w:rPr>
                <w:sz w:val="20"/>
                <w:lang w:val="fr-CA"/>
              </w:rPr>
            </w:pPr>
            <w:r w:rsidRPr="006E56E7">
              <w:rPr>
                <w:sz w:val="20"/>
                <w:lang w:val="fr-CA"/>
              </w:rPr>
              <w:t>Contrôle judiciaire accueillie; Décision de la Cour du Québec cassée</w:t>
            </w:r>
          </w:p>
          <w:p w:rsidR="006E56E7" w:rsidRPr="006E56E7" w:rsidRDefault="006E56E7" w:rsidP="006E56E7">
            <w:pPr>
              <w:jc w:val="both"/>
              <w:rPr>
                <w:sz w:val="20"/>
                <w:lang w:val="fr-CA"/>
              </w:rPr>
            </w:pP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lang w:val="fr-CA"/>
              </w:rPr>
            </w:pPr>
            <w:r w:rsidRPr="006E56E7">
              <w:rPr>
                <w:sz w:val="20"/>
                <w:lang w:val="fr-CA"/>
              </w:rPr>
              <w:t>Le 27 septembre 2016</w:t>
            </w:r>
          </w:p>
          <w:p w:rsidR="006E56E7" w:rsidRPr="006E56E7" w:rsidRDefault="006E56E7" w:rsidP="006E56E7">
            <w:pPr>
              <w:jc w:val="both"/>
              <w:rPr>
                <w:sz w:val="20"/>
                <w:lang w:val="fr-CA"/>
              </w:rPr>
            </w:pPr>
            <w:r w:rsidRPr="006E56E7">
              <w:rPr>
                <w:sz w:val="20"/>
                <w:lang w:val="fr-CA"/>
              </w:rPr>
              <w:t>Cour d’appel du Québec (Montréal)</w:t>
            </w:r>
          </w:p>
          <w:p w:rsidR="006E56E7" w:rsidRPr="006E56E7" w:rsidRDefault="006E56E7" w:rsidP="006E56E7">
            <w:pPr>
              <w:jc w:val="both"/>
              <w:rPr>
                <w:sz w:val="20"/>
              </w:rPr>
            </w:pPr>
            <w:r w:rsidRPr="006E56E7">
              <w:rPr>
                <w:sz w:val="20"/>
              </w:rPr>
              <w:t xml:space="preserve">(Le </w:t>
            </w:r>
            <w:proofErr w:type="spellStart"/>
            <w:r w:rsidRPr="006E56E7">
              <w:rPr>
                <w:sz w:val="20"/>
              </w:rPr>
              <w:t>juge</w:t>
            </w:r>
            <w:proofErr w:type="spellEnd"/>
            <w:r w:rsidRPr="006E56E7">
              <w:rPr>
                <w:sz w:val="20"/>
              </w:rPr>
              <w:t xml:space="preserve"> </w:t>
            </w:r>
            <w:proofErr w:type="spellStart"/>
            <w:r w:rsidRPr="006E56E7">
              <w:rPr>
                <w:sz w:val="20"/>
              </w:rPr>
              <w:t>Vauclair</w:t>
            </w:r>
            <w:proofErr w:type="spellEnd"/>
            <w:r w:rsidRPr="006E56E7">
              <w:rPr>
                <w:sz w:val="20"/>
              </w:rPr>
              <w:t>)</w:t>
            </w:r>
          </w:p>
          <w:p w:rsidR="006E56E7" w:rsidRPr="006E56E7" w:rsidRDefault="007654AB" w:rsidP="006E56E7">
            <w:pPr>
              <w:jc w:val="both"/>
              <w:rPr>
                <w:sz w:val="20"/>
              </w:rPr>
            </w:pPr>
            <w:hyperlink r:id="rId28" w:history="1">
              <w:r w:rsidR="006E56E7" w:rsidRPr="006E56E7">
                <w:rPr>
                  <w:rStyle w:val="Hyperlink"/>
                  <w:sz w:val="20"/>
                </w:rPr>
                <w:t>2016 QCCA 1558</w:t>
              </w:r>
            </w:hyperlink>
          </w:p>
          <w:p w:rsidR="006E56E7" w:rsidRPr="006E56E7" w:rsidRDefault="006E56E7" w:rsidP="006E56E7">
            <w:pPr>
              <w:jc w:val="both"/>
              <w:rPr>
                <w:sz w:val="20"/>
              </w:rPr>
            </w:pPr>
          </w:p>
        </w:tc>
        <w:tc>
          <w:tcPr>
            <w:tcW w:w="270" w:type="pct"/>
          </w:tcPr>
          <w:p w:rsidR="006E56E7" w:rsidRPr="006E56E7" w:rsidRDefault="006E56E7" w:rsidP="006E56E7">
            <w:pPr>
              <w:jc w:val="both"/>
              <w:rPr>
                <w:sz w:val="20"/>
              </w:rPr>
            </w:pPr>
          </w:p>
        </w:tc>
        <w:tc>
          <w:tcPr>
            <w:tcW w:w="2340" w:type="pct"/>
          </w:tcPr>
          <w:p w:rsidR="006E56E7" w:rsidRPr="006E56E7" w:rsidRDefault="006E56E7" w:rsidP="006E56E7">
            <w:pPr>
              <w:jc w:val="both"/>
              <w:rPr>
                <w:sz w:val="20"/>
              </w:rPr>
            </w:pPr>
            <w:r w:rsidRPr="006E56E7">
              <w:rPr>
                <w:sz w:val="20"/>
              </w:rPr>
              <w:t>Requête pour permission d’appeler rejetée</w:t>
            </w:r>
          </w:p>
          <w:p w:rsidR="006E56E7" w:rsidRPr="006E56E7" w:rsidRDefault="006E56E7" w:rsidP="006E56E7">
            <w:pPr>
              <w:jc w:val="both"/>
              <w:rPr>
                <w:sz w:val="20"/>
              </w:rPr>
            </w:pPr>
          </w:p>
        </w:tc>
      </w:tr>
      <w:tr w:rsidR="006E56E7" w:rsidRPr="006E56E7" w:rsidTr="006E56E7">
        <w:tblPrEx>
          <w:tblCellMar>
            <w:bottom w:w="0" w:type="dxa"/>
          </w:tblCellMar>
        </w:tblPrEx>
        <w:tc>
          <w:tcPr>
            <w:tcW w:w="2390" w:type="pct"/>
            <w:gridSpan w:val="2"/>
          </w:tcPr>
          <w:p w:rsidR="006E56E7" w:rsidRPr="006E56E7" w:rsidRDefault="006E56E7" w:rsidP="006E56E7">
            <w:pPr>
              <w:jc w:val="both"/>
              <w:rPr>
                <w:sz w:val="20"/>
                <w:lang w:val="fr-CA"/>
              </w:rPr>
            </w:pPr>
            <w:r w:rsidRPr="006E56E7">
              <w:rPr>
                <w:sz w:val="20"/>
                <w:lang w:val="fr-CA"/>
              </w:rPr>
              <w:t>Le 24 novembre 2016</w:t>
            </w:r>
          </w:p>
          <w:p w:rsidR="006E56E7" w:rsidRPr="006E56E7" w:rsidRDefault="006E56E7" w:rsidP="006E56E7">
            <w:pPr>
              <w:jc w:val="both"/>
              <w:rPr>
                <w:sz w:val="20"/>
                <w:lang w:val="fr-CA"/>
              </w:rPr>
            </w:pPr>
            <w:r w:rsidRPr="006E56E7">
              <w:rPr>
                <w:sz w:val="20"/>
                <w:lang w:val="fr-CA"/>
              </w:rPr>
              <w:t>Cour suprême du Canada</w:t>
            </w:r>
          </w:p>
        </w:tc>
        <w:tc>
          <w:tcPr>
            <w:tcW w:w="270" w:type="pct"/>
          </w:tcPr>
          <w:p w:rsidR="006E56E7" w:rsidRPr="006E56E7" w:rsidRDefault="006E56E7" w:rsidP="006E56E7">
            <w:pPr>
              <w:jc w:val="both"/>
              <w:rPr>
                <w:sz w:val="20"/>
                <w:lang w:val="fr-CA"/>
              </w:rPr>
            </w:pPr>
          </w:p>
        </w:tc>
        <w:tc>
          <w:tcPr>
            <w:tcW w:w="2340" w:type="pct"/>
          </w:tcPr>
          <w:p w:rsidR="006E56E7" w:rsidRPr="006E56E7" w:rsidRDefault="006E56E7" w:rsidP="006E56E7">
            <w:pPr>
              <w:jc w:val="both"/>
              <w:rPr>
                <w:sz w:val="20"/>
              </w:rPr>
            </w:pPr>
            <w:r w:rsidRPr="006E56E7">
              <w:rPr>
                <w:sz w:val="20"/>
              </w:rPr>
              <w:t>Demande d’autorisation d’appel déposée</w:t>
            </w:r>
          </w:p>
          <w:p w:rsidR="006E56E7" w:rsidRPr="006E56E7" w:rsidRDefault="006E56E7" w:rsidP="006E56E7">
            <w:pPr>
              <w:jc w:val="both"/>
              <w:rPr>
                <w:sz w:val="20"/>
              </w:rPr>
            </w:pPr>
          </w:p>
        </w:tc>
      </w:tr>
    </w:tbl>
    <w:p w:rsidR="006E56E7" w:rsidRPr="006E56E7" w:rsidRDefault="006E56E7" w:rsidP="006E56E7">
      <w:pPr>
        <w:jc w:val="both"/>
        <w:rPr>
          <w:sz w:val="20"/>
        </w:rPr>
      </w:pPr>
    </w:p>
    <w:p w:rsidR="006E56E7" w:rsidRPr="006E56E7" w:rsidRDefault="006E56E7" w:rsidP="006E56E7">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t>37297</w:t>
            </w:r>
          </w:p>
        </w:tc>
        <w:tc>
          <w:tcPr>
            <w:tcW w:w="4457" w:type="pct"/>
            <w:gridSpan w:val="3"/>
          </w:tcPr>
          <w:p w:rsidR="006E56E7" w:rsidRPr="006E56E7" w:rsidRDefault="006E56E7" w:rsidP="006E56E7">
            <w:pPr>
              <w:pStyle w:val="SCCLsocParty"/>
              <w:jc w:val="both"/>
              <w:rPr>
                <w:b/>
                <w:sz w:val="20"/>
                <w:szCs w:val="20"/>
                <w:lang w:val="en-US"/>
              </w:rPr>
            </w:pPr>
            <w:r w:rsidRPr="006E56E7">
              <w:rPr>
                <w:b/>
                <w:sz w:val="20"/>
                <w:szCs w:val="20"/>
                <w:lang w:val="en-US"/>
              </w:rPr>
              <w:t>R.G. v. Her Majesty the Queen</w:t>
            </w:r>
          </w:p>
          <w:p w:rsidR="006E56E7" w:rsidRPr="006E56E7" w:rsidRDefault="006E56E7" w:rsidP="006E56E7">
            <w:pPr>
              <w:jc w:val="both"/>
              <w:rPr>
                <w:sz w:val="20"/>
              </w:rPr>
            </w:pPr>
            <w:r w:rsidRPr="006E56E7">
              <w:rPr>
                <w:sz w:val="20"/>
              </w:rPr>
              <w:t>(Ont.) (Criminal) (By Leave)</w:t>
            </w:r>
          </w:p>
        </w:tc>
      </w:tr>
      <w:tr w:rsidR="006E56E7" w:rsidRPr="006E56E7" w:rsidTr="006E56E7">
        <w:tc>
          <w:tcPr>
            <w:tcW w:w="5000" w:type="pct"/>
            <w:gridSpan w:val="4"/>
          </w:tcPr>
          <w:p w:rsidR="006E56E7" w:rsidRPr="006E56E7" w:rsidRDefault="006E56E7" w:rsidP="006E56E7">
            <w:pPr>
              <w:pStyle w:val="SCCBanSummary"/>
              <w:rPr>
                <w:sz w:val="20"/>
                <w:szCs w:val="20"/>
              </w:rPr>
            </w:pPr>
            <w:r w:rsidRPr="006E56E7">
              <w:rPr>
                <w:sz w:val="20"/>
                <w:szCs w:val="20"/>
              </w:rPr>
              <w:t>(Publication ban in case) (Publication ban on party)</w:t>
            </w:r>
          </w:p>
          <w:p w:rsidR="006E56E7" w:rsidRPr="006E56E7" w:rsidRDefault="006E56E7" w:rsidP="006E56E7">
            <w:pPr>
              <w:jc w:val="both"/>
              <w:rPr>
                <w:sz w:val="20"/>
              </w:rPr>
            </w:pPr>
          </w:p>
        </w:tc>
      </w:tr>
      <w:tr w:rsidR="006E56E7" w:rsidRPr="006E56E7" w:rsidTr="006E56E7">
        <w:tc>
          <w:tcPr>
            <w:tcW w:w="5000" w:type="pct"/>
            <w:gridSpan w:val="4"/>
          </w:tcPr>
          <w:p w:rsidR="006E56E7" w:rsidRPr="006E56E7" w:rsidRDefault="006E56E7" w:rsidP="006E56E7">
            <w:pPr>
              <w:jc w:val="both"/>
              <w:rPr>
                <w:sz w:val="20"/>
              </w:rPr>
            </w:pPr>
            <w:r w:rsidRPr="006E56E7">
              <w:rPr>
                <w:sz w:val="20"/>
              </w:rPr>
              <w:t>Criminal law – Dangerous offender designation – Persistent criminal behavior – Whether the Courts below erred in failing to consider the principle that a horrific childhood reduces moral culpability and is a mitigating factor.</w:t>
            </w:r>
          </w:p>
          <w:p w:rsidR="006E56E7" w:rsidRPr="006E56E7" w:rsidRDefault="006E56E7" w:rsidP="006E56E7">
            <w:pPr>
              <w:jc w:val="both"/>
              <w:rPr>
                <w:sz w:val="20"/>
              </w:rPr>
            </w:pPr>
          </w:p>
        </w:tc>
      </w:tr>
      <w:tr w:rsidR="006E56E7" w:rsidRPr="006E56E7" w:rsidTr="006E56E7">
        <w:tc>
          <w:tcPr>
            <w:tcW w:w="5000" w:type="pct"/>
            <w:gridSpan w:val="4"/>
          </w:tcPr>
          <w:p w:rsidR="006E56E7" w:rsidRPr="006E56E7" w:rsidRDefault="006E56E7" w:rsidP="006E56E7">
            <w:pPr>
              <w:jc w:val="both"/>
              <w:rPr>
                <w:color w:val="000000"/>
                <w:sz w:val="20"/>
                <w:lang w:eastAsia="en-CA"/>
              </w:rPr>
            </w:pPr>
            <w:r w:rsidRPr="006E56E7">
              <w:rPr>
                <w:color w:val="000000"/>
                <w:sz w:val="20"/>
              </w:rPr>
              <w:t>The complainant, the Applicant’s former common-law partner, alleged he confined her to her apartment, beat her, and forced her to perform oral sex. Initially, the complainant had claimed he had broken into her apartment, but it was apparent the pair went there after going out drinking together</w:t>
            </w:r>
            <w:r w:rsidRPr="006E56E7">
              <w:rPr>
                <w:sz w:val="20"/>
              </w:rPr>
              <w:t>.</w:t>
            </w:r>
            <w:r w:rsidRPr="006E56E7">
              <w:rPr>
                <w:color w:val="000000"/>
                <w:sz w:val="20"/>
                <w:lang w:eastAsia="en-CA"/>
              </w:rPr>
              <w:t xml:space="preserve"> The Applicant was acquitted on a charge of breaking and entering, the trial judge noting the telephone and hydro accounts at the new apartment were in the Applicant’s name. He convicted the Applicant on the unlawful confinement and sexual assault charges despite denials </w:t>
            </w:r>
            <w:r w:rsidRPr="006E56E7">
              <w:rPr>
                <w:color w:val="000000"/>
                <w:sz w:val="20"/>
                <w:lang w:eastAsia="en-CA"/>
              </w:rPr>
              <w:lastRenderedPageBreak/>
              <w:t>from the Applicant that he had engaged in any sexual assault or unlawful confinement of the complainant. The trial judge took note of the consistency between the evidence of the complainant and the state of her clothing when she fled from the apartment and was later attended by the police. In imposing the dangerous offender designation the trial judge noted the Applicant’s long history of abusing domestic partners, and psychiatric evidence confirming that he was a psychopath who posed a significant risk for violent re-offending. He considered conflicting evidence from two psychiatrists, one who found psychopaths untreatable, and the other who recommended a multi-faceted treatment plan. The judge found the Crown proved beyond a reasonable doubt that there was no reasonable possibility of controlling the Applicant’s risk in the community.</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lastRenderedPageBreak/>
              <w:t>May 14, 2004</w:t>
            </w:r>
          </w:p>
          <w:p w:rsidR="006E56E7" w:rsidRPr="006E56E7" w:rsidRDefault="006E56E7" w:rsidP="006E56E7">
            <w:pPr>
              <w:jc w:val="both"/>
              <w:rPr>
                <w:sz w:val="20"/>
              </w:rPr>
            </w:pPr>
            <w:r w:rsidRPr="006E56E7">
              <w:rPr>
                <w:sz w:val="20"/>
              </w:rPr>
              <w:t>Ontario Court of Justice</w:t>
            </w:r>
          </w:p>
          <w:p w:rsidR="006E56E7" w:rsidRPr="006E56E7" w:rsidRDefault="006E56E7" w:rsidP="006E56E7">
            <w:pPr>
              <w:jc w:val="both"/>
              <w:rPr>
                <w:sz w:val="20"/>
              </w:rPr>
            </w:pPr>
            <w:r w:rsidRPr="006E56E7">
              <w:rPr>
                <w:sz w:val="20"/>
              </w:rPr>
              <w:t>(</w:t>
            </w:r>
            <w:proofErr w:type="spellStart"/>
            <w:r w:rsidRPr="006E56E7">
              <w:rPr>
                <w:sz w:val="20"/>
              </w:rPr>
              <w:t>Omatsu</w:t>
            </w:r>
            <w:proofErr w:type="spellEnd"/>
            <w:r w:rsidRPr="006E56E7">
              <w:rPr>
                <w:sz w:val="20"/>
              </w:rPr>
              <w:t xml:space="preserve"> M.)</w:t>
            </w:r>
          </w:p>
          <w:p w:rsidR="006E56E7" w:rsidRPr="006E56E7" w:rsidRDefault="006E56E7" w:rsidP="006E56E7">
            <w:pPr>
              <w:jc w:val="both"/>
              <w:rPr>
                <w:sz w:val="20"/>
              </w:rPr>
            </w:pPr>
            <w:r w:rsidRPr="006E56E7">
              <w:rPr>
                <w:sz w:val="20"/>
              </w:rPr>
              <w:t>(unreported)</w:t>
            </w: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eastAsia="en-CA"/>
              </w:rPr>
            </w:pPr>
            <w:r w:rsidRPr="006E56E7">
              <w:rPr>
                <w:color w:val="000000"/>
                <w:sz w:val="20"/>
                <w:lang w:eastAsia="en-CA"/>
              </w:rPr>
              <w:t>Conviction: sexual assault and unlawful confinement</w:t>
            </w:r>
            <w:r w:rsidRPr="006E56E7">
              <w:rPr>
                <w:sz w:val="20"/>
                <w:lang w:eastAsia="en-CA"/>
              </w:rPr>
              <w:t xml:space="preserve">; Application pursuant to s. 753 of the </w:t>
            </w:r>
            <w:r w:rsidRPr="006E56E7">
              <w:rPr>
                <w:i/>
                <w:sz w:val="20"/>
                <w:lang w:eastAsia="en-CA"/>
              </w:rPr>
              <w:t>Criminal Code</w:t>
            </w:r>
            <w:r w:rsidRPr="006E56E7">
              <w:rPr>
                <w:sz w:val="20"/>
                <w:lang w:eastAsia="en-CA"/>
              </w:rPr>
              <w:t xml:space="preserve"> to declare the Applicant a dangerous offender allowed.</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November 4, 2009</w:t>
            </w:r>
          </w:p>
          <w:p w:rsidR="006E56E7" w:rsidRPr="006E56E7" w:rsidRDefault="006E56E7" w:rsidP="006E56E7">
            <w:pPr>
              <w:jc w:val="both"/>
              <w:rPr>
                <w:sz w:val="20"/>
              </w:rPr>
            </w:pPr>
            <w:r w:rsidRPr="006E56E7">
              <w:rPr>
                <w:sz w:val="20"/>
              </w:rPr>
              <w:t>Court of Appeal for Ontario</w:t>
            </w:r>
          </w:p>
          <w:p w:rsidR="007654AB" w:rsidRPr="007654AB" w:rsidRDefault="007654AB" w:rsidP="007654AB">
            <w:pPr>
              <w:jc w:val="both"/>
              <w:rPr>
                <w:rFonts w:eastAsiaTheme="minorHAnsi" w:cstheme="minorBidi"/>
                <w:sz w:val="20"/>
                <w:lang w:val="en-CA"/>
              </w:rPr>
            </w:pPr>
            <w:r w:rsidRPr="007654AB">
              <w:rPr>
                <w:rFonts w:eastAsiaTheme="minorHAnsi" w:cstheme="minorBidi"/>
                <w:sz w:val="20"/>
                <w:lang w:val="en-CA"/>
              </w:rPr>
              <w:t>(Doherty, Simmons and Lang JJ.A.)</w:t>
            </w:r>
          </w:p>
          <w:p w:rsidR="006E56E7" w:rsidRPr="007654AB" w:rsidRDefault="007654AB" w:rsidP="007654AB">
            <w:pPr>
              <w:jc w:val="both"/>
              <w:rPr>
                <w:b/>
                <w:sz w:val="20"/>
                <w:lang w:eastAsia="en-CA"/>
              </w:rPr>
            </w:pPr>
            <w:hyperlink r:id="rId29" w:history="1">
              <w:r w:rsidRPr="007654AB">
                <w:rPr>
                  <w:rFonts w:eastAsiaTheme="minorHAnsi" w:cstheme="minorBidi"/>
                  <w:color w:val="0000FF" w:themeColor="hyperlink"/>
                  <w:sz w:val="20"/>
                  <w:u w:val="single"/>
                  <w:lang w:val="en-CA"/>
                </w:rPr>
                <w:t>2009 ONCA 796</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eastAsia="en-CA"/>
              </w:rPr>
            </w:pPr>
            <w:r w:rsidRPr="006E56E7">
              <w:rPr>
                <w:color w:val="000000"/>
                <w:sz w:val="20"/>
                <w:lang w:eastAsia="en-CA"/>
              </w:rPr>
              <w:t>Appeal from convictions dismissed; appeal from dangerous offender designation dismissed.</w:t>
            </w:r>
          </w:p>
          <w:p w:rsidR="006E56E7" w:rsidRPr="006E56E7" w:rsidRDefault="006E56E7" w:rsidP="006E56E7">
            <w:pPr>
              <w:jc w:val="both"/>
              <w:rPr>
                <w:sz w:val="20"/>
              </w:rPr>
            </w:pP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November 18, 2016</w:t>
            </w:r>
          </w:p>
          <w:p w:rsidR="006E56E7" w:rsidRPr="006E56E7" w:rsidRDefault="006E56E7" w:rsidP="006E56E7">
            <w:pPr>
              <w:jc w:val="both"/>
              <w:rPr>
                <w:sz w:val="20"/>
              </w:rPr>
            </w:pPr>
            <w:r w:rsidRPr="006E56E7">
              <w:rPr>
                <w:sz w:val="20"/>
              </w:rPr>
              <w:t>Supreme Court of Canada</w:t>
            </w: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lang w:eastAsia="en-CA"/>
              </w:rPr>
              <w:t>Application for an extension of time to serve and file leave application and application for leave to appeal filed.</w:t>
            </w:r>
          </w:p>
        </w:tc>
      </w:tr>
    </w:tbl>
    <w:p w:rsidR="006E56E7" w:rsidRDefault="006E56E7" w:rsidP="006E56E7">
      <w:pPr>
        <w:jc w:val="both"/>
        <w:rPr>
          <w:sz w:val="20"/>
        </w:rPr>
      </w:pPr>
    </w:p>
    <w:p w:rsidR="006E56E7" w:rsidRPr="006E56E7" w:rsidRDefault="006E56E7" w:rsidP="006E56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lang w:val="fr-CA"/>
              </w:rPr>
            </w:pPr>
            <w:r w:rsidRPr="006E56E7">
              <w:rPr>
                <w:rStyle w:val="SCCFileNumberChar"/>
                <w:sz w:val="20"/>
                <w:szCs w:val="20"/>
                <w:lang w:val="fr-CA"/>
              </w:rPr>
              <w:t>37297</w:t>
            </w:r>
          </w:p>
        </w:tc>
        <w:tc>
          <w:tcPr>
            <w:tcW w:w="4457" w:type="pct"/>
            <w:gridSpan w:val="3"/>
          </w:tcPr>
          <w:p w:rsidR="006E56E7" w:rsidRPr="006E56E7" w:rsidRDefault="006E56E7" w:rsidP="006E56E7">
            <w:pPr>
              <w:pStyle w:val="SCCLsocParty"/>
              <w:jc w:val="both"/>
              <w:rPr>
                <w:b/>
                <w:sz w:val="20"/>
                <w:szCs w:val="20"/>
              </w:rPr>
            </w:pPr>
            <w:r w:rsidRPr="006E56E7">
              <w:rPr>
                <w:b/>
                <w:sz w:val="20"/>
                <w:szCs w:val="20"/>
              </w:rPr>
              <w:t>R.G. c. Sa Majesté la Reine</w:t>
            </w:r>
          </w:p>
          <w:p w:rsidR="006E56E7" w:rsidRPr="006E56E7" w:rsidRDefault="006E56E7" w:rsidP="006E56E7">
            <w:pPr>
              <w:jc w:val="both"/>
              <w:rPr>
                <w:sz w:val="20"/>
                <w:lang w:val="fr-CA"/>
              </w:rPr>
            </w:pPr>
            <w:r w:rsidRPr="006E56E7">
              <w:rPr>
                <w:sz w:val="20"/>
                <w:lang w:val="fr-CA"/>
              </w:rPr>
              <w:t>(Ont.) (Criminelle) (Sur autorisation)</w:t>
            </w:r>
          </w:p>
        </w:tc>
      </w:tr>
      <w:tr w:rsidR="006E56E7" w:rsidRPr="007654AB" w:rsidTr="006E56E7">
        <w:tc>
          <w:tcPr>
            <w:tcW w:w="5000" w:type="pct"/>
            <w:gridSpan w:val="4"/>
          </w:tcPr>
          <w:p w:rsidR="006E56E7" w:rsidRPr="006E56E7" w:rsidRDefault="006E56E7" w:rsidP="006E56E7">
            <w:pPr>
              <w:pStyle w:val="SCCBanSummary"/>
              <w:rPr>
                <w:sz w:val="20"/>
                <w:szCs w:val="20"/>
                <w:lang w:val="fr-CA"/>
              </w:rPr>
            </w:pPr>
            <w:r w:rsidRPr="006E56E7">
              <w:rPr>
                <w:sz w:val="20"/>
                <w:szCs w:val="20"/>
                <w:lang w:val="fr-CA"/>
              </w:rPr>
              <w:t>(Ordonnance de non-publication dans le dossier) (Ordonnance de non-publication visant une partie)</w:t>
            </w:r>
          </w:p>
          <w:p w:rsidR="006E56E7" w:rsidRPr="006E56E7" w:rsidRDefault="006E56E7" w:rsidP="006E56E7">
            <w:pPr>
              <w:jc w:val="both"/>
              <w:rPr>
                <w:sz w:val="20"/>
                <w:lang w:val="fr-CA"/>
              </w:rPr>
            </w:pP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Droit criminel – Déclaration de délinquant dangereux – Comportement criminel chronique – Les juridictions inférieures ont-elles eu tort de ne pas tenir compte du principe selon lequel une enfance horrible a pour effet de réduire la culpabilité morale et constitue une circonstance atténuante?</w:t>
            </w:r>
          </w:p>
          <w:p w:rsidR="006E56E7" w:rsidRPr="006E56E7" w:rsidRDefault="006E56E7" w:rsidP="006E56E7">
            <w:pPr>
              <w:jc w:val="both"/>
              <w:rPr>
                <w:sz w:val="20"/>
                <w:lang w:val="fr-CA"/>
              </w:rPr>
            </w:pPr>
          </w:p>
        </w:tc>
      </w:tr>
      <w:tr w:rsidR="006E56E7" w:rsidRPr="007654AB" w:rsidTr="006E56E7">
        <w:tc>
          <w:tcPr>
            <w:tcW w:w="5000" w:type="pct"/>
            <w:gridSpan w:val="4"/>
          </w:tcPr>
          <w:p w:rsidR="006E56E7" w:rsidRPr="006E56E7" w:rsidRDefault="006E56E7" w:rsidP="006E56E7">
            <w:pPr>
              <w:jc w:val="both"/>
              <w:rPr>
                <w:color w:val="000000"/>
                <w:sz w:val="20"/>
                <w:lang w:val="fr-CA" w:eastAsia="en-CA"/>
              </w:rPr>
            </w:pPr>
            <w:r w:rsidRPr="006E56E7">
              <w:rPr>
                <w:color w:val="000000"/>
                <w:sz w:val="20"/>
                <w:lang w:val="fr-CA"/>
              </w:rPr>
              <w:t>La plaignante, l’ex-conjointe de fait du demandeur, a allégué que ce dernier l’avait séquestrée dans son appartement, battue, puis forcée à lui faire une fellation. La plaignante avait d’abord prétendu que le demandeur s’était introduit par effraction dans son appartement, mais, de toute évidence, les deux s’y étaient rendus après être sortis boire ensemble. Le demandeur a été acquitté d’une accusation d’introduction par effraction, le juge du procès soulignant que les comptes de téléphone et d’électricité au nouvel appartement étaient au nom du demandeur. Le juge a déclaré le demandeur coupable de séquestration et d’agression sexuelle, même si le demandeur a nié avoir agressé sexuellement ou séquestré la plaignante. Le juge du procès a noté la compatibilité entre le témoignage de la plaignante et l’état de ses vêtements lorsqu’elle a fui l’appartement et lorsque les policiers se sont occupés d’elle plus tard. En déclarant le demandeur délinquant dangereux, le juge du procès a noté les longs antécédents de violence conjugale du demandeur et la preuve psychiatrique confirmant que ce dernier était psychopathe qui posait un risque important de récidive avec violence. Le juge a pris en compte les témoignages contradictoires de deux psychiatres, dont l’un a conclu que les psychopathes ne pouvaient pas être traités et l’autre qui a recommandé un plan de traitement à plusieurs volets. Le juge a conclu que le ministère public avait fait la preuve hors de tout doute raisonnable qu’il n’existait aucune possibilité réelle de maîtriser le risque que pose le demandeur au sein de la collectivité</w:t>
            </w:r>
            <w:r w:rsidRPr="006E56E7">
              <w:rPr>
                <w:color w:val="000000"/>
                <w:sz w:val="20"/>
                <w:lang w:val="fr-CA" w:eastAsia="en-CA"/>
              </w:rPr>
              <w:t>.</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14 mai 2004</w:t>
            </w:r>
          </w:p>
          <w:p w:rsidR="006E56E7" w:rsidRPr="006E56E7" w:rsidRDefault="006E56E7" w:rsidP="006E56E7">
            <w:pPr>
              <w:jc w:val="both"/>
              <w:rPr>
                <w:sz w:val="20"/>
                <w:lang w:val="fr-CA"/>
              </w:rPr>
            </w:pPr>
            <w:r w:rsidRPr="006E56E7">
              <w:rPr>
                <w:sz w:val="20"/>
                <w:lang w:val="fr-CA"/>
              </w:rPr>
              <w:t>Cour de justice de l’Ontario</w:t>
            </w:r>
          </w:p>
          <w:p w:rsidR="006E56E7" w:rsidRPr="006E56E7" w:rsidRDefault="006E56E7" w:rsidP="006E56E7">
            <w:pPr>
              <w:jc w:val="both"/>
              <w:rPr>
                <w:sz w:val="20"/>
                <w:lang w:val="fr-CA"/>
              </w:rPr>
            </w:pPr>
            <w:r w:rsidRPr="006E56E7">
              <w:rPr>
                <w:sz w:val="20"/>
                <w:lang w:val="fr-CA"/>
              </w:rPr>
              <w:t>(Juge Omatsu)</w:t>
            </w:r>
          </w:p>
          <w:p w:rsidR="006E56E7" w:rsidRPr="006E56E7" w:rsidRDefault="006E56E7" w:rsidP="006E56E7">
            <w:pPr>
              <w:jc w:val="both"/>
              <w:rPr>
                <w:sz w:val="20"/>
                <w:lang w:val="fr-CA"/>
              </w:rPr>
            </w:pPr>
            <w:r w:rsidRPr="006E56E7">
              <w:rPr>
                <w:sz w:val="20"/>
                <w:lang w:val="fr-CA"/>
              </w:rPr>
              <w:t>(Non répertorié)</w:t>
            </w: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eastAsia="en-CA"/>
              </w:rPr>
            </w:pPr>
            <w:r w:rsidRPr="006E56E7">
              <w:rPr>
                <w:color w:val="000000"/>
                <w:sz w:val="20"/>
                <w:lang w:val="fr-CA" w:eastAsia="en-CA"/>
              </w:rPr>
              <w:t>Déclaration de culpabilité : agression sexuelle et séquestration</w:t>
            </w:r>
            <w:r w:rsidRPr="006E56E7">
              <w:rPr>
                <w:sz w:val="20"/>
                <w:lang w:val="fr-CA" w:eastAsia="en-CA"/>
              </w:rPr>
              <w:t>; jugement déclarant le demandeur délinquant dangereux en application de l’art. 753 du</w:t>
            </w:r>
            <w:r w:rsidRPr="006E56E7">
              <w:rPr>
                <w:i/>
                <w:sz w:val="20"/>
                <w:lang w:val="fr-CA" w:eastAsia="en-CA"/>
              </w:rPr>
              <w:t xml:space="preserve"> Code criminel</w:t>
            </w:r>
            <w:r w:rsidRPr="006E56E7">
              <w:rPr>
                <w:sz w:val="20"/>
                <w:lang w:val="fr-CA" w:eastAsia="en-CA"/>
              </w:rPr>
              <w:t>.</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lastRenderedPageBreak/>
              <w:t>4 novembre 2009</w:t>
            </w:r>
          </w:p>
          <w:p w:rsidR="006E56E7" w:rsidRPr="006E56E7" w:rsidRDefault="006E56E7" w:rsidP="006E56E7">
            <w:pPr>
              <w:jc w:val="both"/>
              <w:rPr>
                <w:sz w:val="20"/>
                <w:lang w:val="fr-CA"/>
              </w:rPr>
            </w:pPr>
            <w:r w:rsidRPr="006E56E7">
              <w:rPr>
                <w:sz w:val="20"/>
                <w:lang w:val="fr-CA"/>
              </w:rPr>
              <w:t xml:space="preserve">Cour d’appel de l’Ontario </w:t>
            </w:r>
          </w:p>
          <w:p w:rsidR="007654AB" w:rsidRPr="007654AB" w:rsidRDefault="007654AB" w:rsidP="007654AB">
            <w:pPr>
              <w:rPr>
                <w:sz w:val="20"/>
                <w:lang w:val="fr-CA"/>
              </w:rPr>
            </w:pPr>
            <w:r w:rsidRPr="007654AB">
              <w:rPr>
                <w:sz w:val="20"/>
                <w:lang w:val="fr-CA"/>
              </w:rPr>
              <w:t>(Juges Doherty, Simmons et Lang)</w:t>
            </w:r>
          </w:p>
          <w:p w:rsidR="006E56E7" w:rsidRPr="007654AB" w:rsidRDefault="007654AB" w:rsidP="007654AB">
            <w:pPr>
              <w:jc w:val="both"/>
              <w:rPr>
                <w:b/>
                <w:sz w:val="20"/>
                <w:lang w:val="fr-CA" w:eastAsia="en-CA"/>
              </w:rPr>
            </w:pPr>
            <w:hyperlink r:id="rId30" w:history="1">
              <w:r w:rsidRPr="007654AB">
                <w:rPr>
                  <w:rStyle w:val="Hyperlink"/>
                  <w:sz w:val="20"/>
                </w:rPr>
                <w:t>2009 ONCA 796</w:t>
              </w:r>
            </w:hyperlink>
          </w:p>
          <w:p w:rsidR="006E56E7" w:rsidRPr="006E56E7" w:rsidRDefault="006E56E7" w:rsidP="006E56E7">
            <w:pPr>
              <w:jc w:val="both"/>
              <w:rPr>
                <w:sz w:val="20"/>
                <w:lang w:val="fr-CA"/>
              </w:rPr>
            </w:pPr>
            <w:bookmarkStart w:id="0" w:name="_GoBack"/>
            <w:bookmarkEnd w:id="0"/>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eastAsia="en-CA"/>
              </w:rPr>
            </w:pPr>
            <w:r w:rsidRPr="006E56E7">
              <w:rPr>
                <w:color w:val="000000"/>
                <w:sz w:val="20"/>
                <w:lang w:val="fr-CA" w:eastAsia="en-CA"/>
              </w:rPr>
              <w:t>Rejet de l’appel des déclarations de culpabilité; rejet de l’appel de la déclaration de délinquant dangereux.</w:t>
            </w:r>
          </w:p>
          <w:p w:rsidR="006E56E7" w:rsidRPr="006E56E7" w:rsidRDefault="006E56E7" w:rsidP="006E56E7">
            <w:pPr>
              <w:jc w:val="both"/>
              <w:rPr>
                <w:sz w:val="20"/>
                <w:lang w:val="fr-CA"/>
              </w:rPr>
            </w:pP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18 novembre 2016</w:t>
            </w:r>
          </w:p>
          <w:p w:rsidR="006E56E7" w:rsidRPr="006E56E7" w:rsidRDefault="006E56E7" w:rsidP="006E56E7">
            <w:pPr>
              <w:jc w:val="both"/>
              <w:rPr>
                <w:sz w:val="20"/>
                <w:lang w:val="fr-CA"/>
              </w:rPr>
            </w:pPr>
            <w:r w:rsidRPr="006E56E7">
              <w:rPr>
                <w:sz w:val="20"/>
                <w:lang w:val="fr-CA"/>
              </w:rPr>
              <w:t>Cour suprême du Canada</w:t>
            </w: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eastAsia="en-CA"/>
              </w:rPr>
              <w:t>Dépôt de la requête en prorogation du délai de signification et de dépôt de la demande d’autorisation d’appel et de la demande d’autorisation d’appel.</w:t>
            </w:r>
          </w:p>
        </w:tc>
      </w:tr>
    </w:tbl>
    <w:p w:rsidR="006E56E7" w:rsidRPr="006E56E7" w:rsidRDefault="006E56E7" w:rsidP="006E56E7">
      <w:pPr>
        <w:jc w:val="both"/>
        <w:rPr>
          <w:sz w:val="20"/>
          <w:lang w:val="fr-CA"/>
        </w:rPr>
      </w:pPr>
    </w:p>
    <w:p w:rsidR="006E56E7" w:rsidRPr="006E56E7" w:rsidRDefault="006E56E7" w:rsidP="006E56E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t>37380</w:t>
            </w:r>
          </w:p>
        </w:tc>
        <w:tc>
          <w:tcPr>
            <w:tcW w:w="4457" w:type="pct"/>
            <w:gridSpan w:val="3"/>
          </w:tcPr>
          <w:p w:rsidR="006E56E7" w:rsidRPr="006E56E7" w:rsidRDefault="006E56E7" w:rsidP="006E56E7">
            <w:pPr>
              <w:pStyle w:val="SCCLsocParty"/>
              <w:jc w:val="both"/>
              <w:rPr>
                <w:b/>
                <w:sz w:val="20"/>
                <w:szCs w:val="20"/>
                <w:lang w:val="en-US"/>
              </w:rPr>
            </w:pPr>
            <w:r w:rsidRPr="006E56E7">
              <w:rPr>
                <w:b/>
                <w:sz w:val="20"/>
                <w:szCs w:val="20"/>
                <w:lang w:val="en-US"/>
              </w:rPr>
              <w:t>A.C., S.I. and R.M. v. The Children's Aid Society of Ottawa</w:t>
            </w:r>
          </w:p>
          <w:p w:rsidR="006E56E7" w:rsidRPr="006E56E7" w:rsidRDefault="006E56E7" w:rsidP="006E56E7">
            <w:pPr>
              <w:jc w:val="both"/>
              <w:rPr>
                <w:sz w:val="20"/>
              </w:rPr>
            </w:pPr>
            <w:r w:rsidRPr="006E56E7">
              <w:rPr>
                <w:sz w:val="20"/>
              </w:rPr>
              <w:t>(Ont.) (Civil) (By Leave)</w:t>
            </w:r>
          </w:p>
        </w:tc>
      </w:tr>
      <w:tr w:rsidR="006E56E7" w:rsidRPr="006E56E7" w:rsidTr="006E56E7">
        <w:tc>
          <w:tcPr>
            <w:tcW w:w="5000" w:type="pct"/>
            <w:gridSpan w:val="4"/>
          </w:tcPr>
          <w:p w:rsidR="006E56E7" w:rsidRPr="006E56E7" w:rsidRDefault="006E56E7" w:rsidP="006E56E7">
            <w:pPr>
              <w:pStyle w:val="SCCBanSummary"/>
              <w:rPr>
                <w:sz w:val="20"/>
                <w:szCs w:val="20"/>
              </w:rPr>
            </w:pPr>
            <w:r w:rsidRPr="006E56E7">
              <w:rPr>
                <w:sz w:val="20"/>
                <w:szCs w:val="20"/>
              </w:rPr>
              <w:t>(Publication ban in case) (Publication ban on party)</w:t>
            </w:r>
          </w:p>
          <w:p w:rsidR="006E56E7" w:rsidRPr="006E56E7" w:rsidRDefault="006E56E7" w:rsidP="006E56E7">
            <w:pPr>
              <w:jc w:val="both"/>
              <w:rPr>
                <w:sz w:val="20"/>
              </w:rPr>
            </w:pPr>
          </w:p>
        </w:tc>
      </w:tr>
      <w:tr w:rsidR="006E56E7" w:rsidRPr="006E56E7" w:rsidTr="006E56E7">
        <w:tc>
          <w:tcPr>
            <w:tcW w:w="5000" w:type="pct"/>
            <w:gridSpan w:val="4"/>
          </w:tcPr>
          <w:p w:rsidR="006E56E7" w:rsidRPr="006E56E7" w:rsidRDefault="006E56E7" w:rsidP="006E56E7">
            <w:pPr>
              <w:jc w:val="both"/>
              <w:rPr>
                <w:sz w:val="20"/>
              </w:rPr>
            </w:pPr>
            <w:r w:rsidRPr="006E56E7">
              <w:rPr>
                <w:sz w:val="20"/>
              </w:rPr>
              <w:t xml:space="preserve">Family law — Child protection — Civil procedure — Appeals — Courts — Jurisdiction — Trial judge making order for Crown </w:t>
            </w:r>
            <w:proofErr w:type="spellStart"/>
            <w:r w:rsidRPr="006E56E7">
              <w:rPr>
                <w:sz w:val="20"/>
              </w:rPr>
              <w:t>wardship</w:t>
            </w:r>
            <w:proofErr w:type="spellEnd"/>
            <w:r w:rsidRPr="006E56E7">
              <w:rPr>
                <w:sz w:val="20"/>
              </w:rPr>
              <w:t xml:space="preserve"> with no parental right of access — Court of Appeal dismissing procedural motions in respect of appeal of Crown </w:t>
            </w:r>
            <w:proofErr w:type="spellStart"/>
            <w:r w:rsidRPr="006E56E7">
              <w:rPr>
                <w:sz w:val="20"/>
              </w:rPr>
              <w:t>wardship</w:t>
            </w:r>
            <w:proofErr w:type="spellEnd"/>
            <w:r w:rsidRPr="006E56E7">
              <w:rPr>
                <w:sz w:val="20"/>
              </w:rPr>
              <w:t xml:space="preserve"> order — Court of Appeal dismissing substantive appeal for delay — Applicants and their children are treaty status Aboriginal family entitled to make treaty with Parliament on nation-to-nation basis — When children’s aid organizations took Aboriginal children, it is cultural genocide, aided by decisions of non-Aboriginal judges in this matter — Truth and reconciliation will never be attained in or with Canada until Aboriginal laws are recognized as equal to Canadian common law and statutes and Aboriginals regain their right to have matters adjudicated by Aboriginal justices — Opening assertion of </w:t>
            </w:r>
            <w:r w:rsidRPr="006E56E7">
              <w:rPr>
                <w:i/>
                <w:sz w:val="20"/>
              </w:rPr>
              <w:t>Constitution Act, 1982</w:t>
            </w:r>
            <w:r w:rsidRPr="006E56E7">
              <w:rPr>
                <w:sz w:val="20"/>
              </w:rPr>
              <w:t xml:space="preserve"> must be read in consideration not only of the God of European heritage, but also the Great Spirit of Aboriginal people — Section 35 of </w:t>
            </w:r>
            <w:r w:rsidRPr="006E56E7">
              <w:rPr>
                <w:i/>
                <w:sz w:val="20"/>
              </w:rPr>
              <w:t>Constitution Act, 1982</w:t>
            </w:r>
            <w:r w:rsidRPr="006E56E7">
              <w:rPr>
                <w:sz w:val="20"/>
              </w:rPr>
              <w:t xml:space="preserve"> must be read to preserve laws and traditions of Aboriginal people in a way that is nation-to-nation.</w:t>
            </w:r>
          </w:p>
        </w:tc>
      </w:tr>
      <w:tr w:rsidR="006E56E7" w:rsidRPr="006E56E7" w:rsidTr="006E56E7">
        <w:tc>
          <w:tcPr>
            <w:tcW w:w="5000" w:type="pct"/>
            <w:gridSpan w:val="4"/>
          </w:tcPr>
          <w:p w:rsidR="006E56E7" w:rsidRPr="006E56E7" w:rsidRDefault="006E56E7" w:rsidP="006E56E7">
            <w:pPr>
              <w:jc w:val="both"/>
              <w:rPr>
                <w:sz w:val="20"/>
              </w:rPr>
            </w:pPr>
          </w:p>
          <w:p w:rsidR="006E56E7" w:rsidRPr="006E56E7" w:rsidRDefault="006E56E7" w:rsidP="006E56E7">
            <w:pPr>
              <w:jc w:val="both"/>
              <w:rPr>
                <w:sz w:val="20"/>
              </w:rPr>
            </w:pPr>
            <w:r w:rsidRPr="006E56E7">
              <w:rPr>
                <w:sz w:val="20"/>
              </w:rPr>
              <w:t xml:space="preserve">R.M. entered into surrogacy agreements with S.I. and A.C.; a total of seven children were born to both women, and all seven were apprehended by an Alberta child protection agency. Three other children were later apprehended in Ontario. The trial judge made an order for Crown </w:t>
            </w:r>
            <w:proofErr w:type="spellStart"/>
            <w:r w:rsidRPr="006E56E7">
              <w:rPr>
                <w:sz w:val="20"/>
              </w:rPr>
              <w:t>wardship</w:t>
            </w:r>
            <w:proofErr w:type="spellEnd"/>
            <w:r w:rsidRPr="006E56E7">
              <w:rPr>
                <w:sz w:val="20"/>
              </w:rPr>
              <w:t xml:space="preserve"> with no parental right of access for the three children apprehended in Ontario, finding that the parents were unable to provide for the care and health of the children or their basic needs. All three parents appealed the Crown </w:t>
            </w:r>
            <w:proofErr w:type="spellStart"/>
            <w:r w:rsidRPr="006E56E7">
              <w:rPr>
                <w:sz w:val="20"/>
              </w:rPr>
              <w:t>wardship</w:t>
            </w:r>
            <w:proofErr w:type="spellEnd"/>
            <w:r w:rsidRPr="006E56E7">
              <w:rPr>
                <w:sz w:val="20"/>
              </w:rPr>
              <w:t xml:space="preserve"> order in Divisional Court.</w:t>
            </w:r>
          </w:p>
          <w:p w:rsidR="006E56E7" w:rsidRPr="006E56E7" w:rsidRDefault="006E56E7" w:rsidP="006E56E7">
            <w:pPr>
              <w:jc w:val="both"/>
              <w:rPr>
                <w:sz w:val="20"/>
              </w:rPr>
            </w:pPr>
          </w:p>
          <w:p w:rsidR="006E56E7" w:rsidRPr="006E56E7" w:rsidRDefault="006E56E7" w:rsidP="006E56E7">
            <w:pPr>
              <w:jc w:val="both"/>
              <w:rPr>
                <w:sz w:val="20"/>
              </w:rPr>
            </w:pPr>
            <w:r w:rsidRPr="006E56E7">
              <w:rPr>
                <w:sz w:val="20"/>
              </w:rPr>
              <w:t xml:space="preserve">Prior to the appeal being heard, the parents brought various procedural motions. A single judge of the Ontario Court of Appeal dismissed the motions, finding that they were not properly before the Court of Appeal. A full panel of the Court of Appeal dismissed an appeal of that decision. </w:t>
            </w:r>
          </w:p>
          <w:p w:rsidR="006E56E7" w:rsidRPr="006E56E7" w:rsidRDefault="006E56E7" w:rsidP="006E56E7">
            <w:pPr>
              <w:jc w:val="both"/>
              <w:rPr>
                <w:sz w:val="20"/>
              </w:rPr>
            </w:pPr>
          </w:p>
          <w:p w:rsidR="006E56E7" w:rsidRPr="006E56E7" w:rsidRDefault="006E56E7" w:rsidP="006E56E7">
            <w:pPr>
              <w:jc w:val="both"/>
              <w:rPr>
                <w:sz w:val="20"/>
              </w:rPr>
            </w:pPr>
            <w:r w:rsidRPr="006E56E7">
              <w:rPr>
                <w:sz w:val="20"/>
              </w:rPr>
              <w:t>In addition, the Divisional Court dismissed the parents’ substantive appeal for reasons of delay, finding that the best interests of the children required that the appeal be dismissed. The parents had no explanation for not having perfected the appeal; the delay greatly prejudiced the children; the parents had no plan for perfecting the appeal or for the care of the children; and when considering the substance of the challenge, the Divisional Court concluded that the underlying appeal lacked merit. The Court of Appeal dismissed a motion to review this decision.</w:t>
            </w:r>
          </w:p>
          <w:p w:rsidR="006E56E7" w:rsidRPr="006E56E7" w:rsidRDefault="006E56E7" w:rsidP="006E56E7">
            <w:pPr>
              <w:jc w:val="both"/>
              <w:rPr>
                <w:sz w:val="20"/>
              </w:rPr>
            </w:pPr>
          </w:p>
          <w:p w:rsidR="006E56E7" w:rsidRPr="006E56E7" w:rsidRDefault="006E56E7" w:rsidP="006E56E7">
            <w:pPr>
              <w:jc w:val="both"/>
              <w:rPr>
                <w:sz w:val="20"/>
              </w:rPr>
            </w:pPr>
            <w:r w:rsidRPr="006E56E7">
              <w:rPr>
                <w:sz w:val="20"/>
              </w:rPr>
              <w:t>The parents now seek leave to appeal both Court of Appeal decisions (i.e., the dismissal of a review of the ruling on the procedural motions, and the dismissal of a review of the order dismissing the substantive appeal for delay).</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October 20, 2015</w:t>
            </w:r>
          </w:p>
          <w:p w:rsidR="006E56E7" w:rsidRPr="006E56E7" w:rsidRDefault="006E56E7" w:rsidP="006E56E7">
            <w:pPr>
              <w:jc w:val="both"/>
              <w:rPr>
                <w:sz w:val="20"/>
              </w:rPr>
            </w:pPr>
            <w:r w:rsidRPr="006E56E7">
              <w:rPr>
                <w:sz w:val="20"/>
              </w:rPr>
              <w:t>Ontario Superior Court of Justice</w:t>
            </w:r>
          </w:p>
          <w:p w:rsidR="006E56E7" w:rsidRPr="006E56E7" w:rsidRDefault="006E56E7" w:rsidP="006E56E7">
            <w:pPr>
              <w:jc w:val="both"/>
              <w:rPr>
                <w:sz w:val="20"/>
              </w:rPr>
            </w:pPr>
            <w:r w:rsidRPr="006E56E7">
              <w:rPr>
                <w:sz w:val="20"/>
              </w:rPr>
              <w:t>(</w:t>
            </w:r>
            <w:proofErr w:type="spellStart"/>
            <w:r w:rsidRPr="006E56E7">
              <w:rPr>
                <w:sz w:val="20"/>
              </w:rPr>
              <w:t>Shelston</w:t>
            </w:r>
            <w:proofErr w:type="spellEnd"/>
            <w:r w:rsidRPr="006E56E7">
              <w:rPr>
                <w:sz w:val="20"/>
              </w:rPr>
              <w:t xml:space="preserve"> J.)</w:t>
            </w:r>
          </w:p>
          <w:p w:rsidR="006E56E7" w:rsidRPr="006E56E7" w:rsidRDefault="007654AB" w:rsidP="006E56E7">
            <w:pPr>
              <w:jc w:val="both"/>
              <w:rPr>
                <w:sz w:val="20"/>
              </w:rPr>
            </w:pPr>
            <w:hyperlink r:id="rId31" w:history="1">
              <w:r w:rsidR="006E56E7" w:rsidRPr="006E56E7">
                <w:rPr>
                  <w:rStyle w:val="Hyperlink"/>
                  <w:sz w:val="20"/>
                </w:rPr>
                <w:t>2015 ONSC 5692</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 xml:space="preserve">Order for Crown </w:t>
            </w:r>
            <w:proofErr w:type="spellStart"/>
            <w:r w:rsidRPr="006E56E7">
              <w:rPr>
                <w:sz w:val="20"/>
              </w:rPr>
              <w:t>wardship</w:t>
            </w:r>
            <w:proofErr w:type="spellEnd"/>
            <w:r w:rsidRPr="006E56E7">
              <w:rPr>
                <w:sz w:val="20"/>
              </w:rPr>
              <w:t xml:space="preserve"> of three children, with no parental right of access</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April 1, 2016</w:t>
            </w:r>
          </w:p>
          <w:p w:rsidR="006E56E7" w:rsidRPr="006E56E7" w:rsidRDefault="006E56E7" w:rsidP="006E56E7">
            <w:pPr>
              <w:jc w:val="both"/>
              <w:rPr>
                <w:sz w:val="20"/>
              </w:rPr>
            </w:pPr>
            <w:r w:rsidRPr="006E56E7">
              <w:rPr>
                <w:sz w:val="20"/>
              </w:rPr>
              <w:t>Court of Appeal for Ontario</w:t>
            </w:r>
          </w:p>
          <w:p w:rsidR="006E56E7" w:rsidRPr="006E56E7" w:rsidRDefault="006E56E7" w:rsidP="006E56E7">
            <w:pPr>
              <w:jc w:val="both"/>
              <w:rPr>
                <w:sz w:val="20"/>
              </w:rPr>
            </w:pPr>
            <w:r w:rsidRPr="006E56E7">
              <w:rPr>
                <w:sz w:val="20"/>
              </w:rPr>
              <w:t>(Simmons J.A.)</w:t>
            </w:r>
          </w:p>
          <w:p w:rsidR="006E56E7" w:rsidRPr="006E56E7" w:rsidRDefault="006E56E7" w:rsidP="006E56E7">
            <w:pPr>
              <w:jc w:val="both"/>
              <w:rPr>
                <w:sz w:val="20"/>
              </w:rPr>
            </w:pPr>
            <w:r w:rsidRPr="006E56E7">
              <w:rPr>
                <w:sz w:val="20"/>
              </w:rPr>
              <w:lastRenderedPageBreak/>
              <w:t>Court File No. M46281 (M46276)</w:t>
            </w: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 xml:space="preserve">Order dismissing various procedural motions concerning an appeal of the </w:t>
            </w:r>
            <w:proofErr w:type="spellStart"/>
            <w:r w:rsidRPr="006E56E7">
              <w:rPr>
                <w:sz w:val="20"/>
              </w:rPr>
              <w:t>wardship</w:t>
            </w:r>
            <w:proofErr w:type="spellEnd"/>
            <w:r w:rsidRPr="006E56E7">
              <w:rPr>
                <w:sz w:val="20"/>
              </w:rPr>
              <w:t xml:space="preserve"> order</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April 25, 2016</w:t>
            </w:r>
          </w:p>
          <w:p w:rsidR="006E56E7" w:rsidRPr="006E56E7" w:rsidRDefault="006E56E7" w:rsidP="006E56E7">
            <w:pPr>
              <w:jc w:val="both"/>
              <w:rPr>
                <w:sz w:val="20"/>
              </w:rPr>
            </w:pPr>
            <w:r w:rsidRPr="006E56E7">
              <w:rPr>
                <w:sz w:val="20"/>
              </w:rPr>
              <w:t>(Reasons for decision dated May 11, 2016)</w:t>
            </w:r>
          </w:p>
          <w:p w:rsidR="006E56E7" w:rsidRPr="006E56E7" w:rsidRDefault="006E56E7" w:rsidP="006E56E7">
            <w:pPr>
              <w:jc w:val="both"/>
              <w:rPr>
                <w:sz w:val="20"/>
              </w:rPr>
            </w:pPr>
            <w:r w:rsidRPr="006E56E7">
              <w:rPr>
                <w:sz w:val="20"/>
              </w:rPr>
              <w:t>Ontario Superior Court of Justice (Div. Ct.)</w:t>
            </w:r>
          </w:p>
          <w:p w:rsidR="006E56E7" w:rsidRPr="006E56E7" w:rsidRDefault="006E56E7" w:rsidP="006E56E7">
            <w:pPr>
              <w:jc w:val="both"/>
              <w:rPr>
                <w:sz w:val="20"/>
              </w:rPr>
            </w:pPr>
            <w:r w:rsidRPr="006E56E7">
              <w:rPr>
                <w:sz w:val="20"/>
              </w:rPr>
              <w:t>(</w:t>
            </w:r>
            <w:proofErr w:type="spellStart"/>
            <w:r w:rsidRPr="006E56E7">
              <w:rPr>
                <w:sz w:val="20"/>
              </w:rPr>
              <w:t>Dambrot</w:t>
            </w:r>
            <w:proofErr w:type="spellEnd"/>
            <w:r w:rsidRPr="006E56E7">
              <w:rPr>
                <w:sz w:val="20"/>
              </w:rPr>
              <w:t xml:space="preserve">, </w:t>
            </w:r>
            <w:proofErr w:type="spellStart"/>
            <w:r w:rsidRPr="006E56E7">
              <w:rPr>
                <w:sz w:val="20"/>
              </w:rPr>
              <w:t>Horkins</w:t>
            </w:r>
            <w:proofErr w:type="spellEnd"/>
            <w:r w:rsidRPr="006E56E7">
              <w:rPr>
                <w:sz w:val="20"/>
              </w:rPr>
              <w:t xml:space="preserve"> and </w:t>
            </w:r>
            <w:proofErr w:type="spellStart"/>
            <w:r w:rsidRPr="006E56E7">
              <w:rPr>
                <w:sz w:val="20"/>
              </w:rPr>
              <w:t>Arrell</w:t>
            </w:r>
            <w:proofErr w:type="spellEnd"/>
            <w:r w:rsidRPr="006E56E7">
              <w:rPr>
                <w:sz w:val="20"/>
              </w:rPr>
              <w:t xml:space="preserve"> JJ.)</w:t>
            </w:r>
          </w:p>
          <w:p w:rsidR="006E56E7" w:rsidRPr="006E56E7" w:rsidRDefault="007654AB" w:rsidP="006E56E7">
            <w:pPr>
              <w:jc w:val="both"/>
              <w:rPr>
                <w:sz w:val="20"/>
              </w:rPr>
            </w:pPr>
            <w:hyperlink r:id="rId32" w:history="1">
              <w:r w:rsidR="006E56E7" w:rsidRPr="006E56E7">
                <w:rPr>
                  <w:rStyle w:val="Hyperlink"/>
                  <w:sz w:val="20"/>
                </w:rPr>
                <w:t>2016 ONSC 3111</w:t>
              </w:r>
            </w:hyperlink>
            <w:r w:rsidR="006E56E7" w:rsidRPr="006E56E7">
              <w:rPr>
                <w:sz w:val="20"/>
              </w:rPr>
              <w:t xml:space="preserve"> </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 xml:space="preserve">Order granting dismissal of appeal of the </w:t>
            </w:r>
            <w:proofErr w:type="spellStart"/>
            <w:r w:rsidRPr="006E56E7">
              <w:rPr>
                <w:sz w:val="20"/>
              </w:rPr>
              <w:t>wardship</w:t>
            </w:r>
            <w:proofErr w:type="spellEnd"/>
            <w:r w:rsidRPr="006E56E7">
              <w:rPr>
                <w:sz w:val="20"/>
              </w:rPr>
              <w:t xml:space="preserve"> order, for reasons of delay</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June 28, 2016</w:t>
            </w:r>
          </w:p>
          <w:p w:rsidR="006E56E7" w:rsidRPr="006E56E7" w:rsidRDefault="006E56E7" w:rsidP="006E56E7">
            <w:pPr>
              <w:jc w:val="both"/>
              <w:rPr>
                <w:sz w:val="20"/>
              </w:rPr>
            </w:pPr>
            <w:r w:rsidRPr="006E56E7">
              <w:rPr>
                <w:sz w:val="20"/>
              </w:rPr>
              <w:t>Court of Appeal for Ontario</w:t>
            </w:r>
          </w:p>
          <w:p w:rsidR="006E56E7" w:rsidRPr="006E56E7" w:rsidRDefault="006E56E7" w:rsidP="006E56E7">
            <w:pPr>
              <w:jc w:val="both"/>
              <w:rPr>
                <w:sz w:val="20"/>
              </w:rPr>
            </w:pPr>
            <w:r w:rsidRPr="006E56E7">
              <w:rPr>
                <w:sz w:val="20"/>
              </w:rPr>
              <w:t xml:space="preserve">(Rouleau, van </w:t>
            </w:r>
            <w:proofErr w:type="spellStart"/>
            <w:r w:rsidRPr="006E56E7">
              <w:rPr>
                <w:sz w:val="20"/>
              </w:rPr>
              <w:t>Rensburg</w:t>
            </w:r>
            <w:proofErr w:type="spellEnd"/>
            <w:r w:rsidRPr="006E56E7">
              <w:rPr>
                <w:sz w:val="20"/>
              </w:rPr>
              <w:t xml:space="preserve"> and </w:t>
            </w:r>
            <w:proofErr w:type="spellStart"/>
            <w:r w:rsidRPr="006E56E7">
              <w:rPr>
                <w:sz w:val="20"/>
              </w:rPr>
              <w:t>Benotto</w:t>
            </w:r>
            <w:proofErr w:type="spellEnd"/>
            <w:r w:rsidRPr="006E56E7">
              <w:rPr>
                <w:sz w:val="20"/>
              </w:rPr>
              <w:t xml:space="preserve"> JJ.A.)</w:t>
            </w:r>
          </w:p>
          <w:p w:rsidR="006E56E7" w:rsidRPr="006E56E7" w:rsidRDefault="007654AB" w:rsidP="006E56E7">
            <w:pPr>
              <w:jc w:val="both"/>
              <w:rPr>
                <w:sz w:val="20"/>
              </w:rPr>
            </w:pPr>
            <w:hyperlink r:id="rId33" w:anchor="showHeadnotes" w:history="1">
              <w:r w:rsidR="006E56E7" w:rsidRPr="006E56E7">
                <w:rPr>
                  <w:rStyle w:val="Hyperlink"/>
                  <w:sz w:val="20"/>
                </w:rPr>
                <w:t>2016 ONCA 512</w:t>
              </w:r>
            </w:hyperlink>
            <w:r w:rsidR="006E56E7" w:rsidRPr="006E56E7">
              <w:rPr>
                <w:sz w:val="20"/>
              </w:rPr>
              <w:t xml:space="preserve"> </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Order dismissing motion to review procedural order of Simmons J.A. dated April 1, 2016</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July 8, 2016</w:t>
            </w:r>
          </w:p>
          <w:p w:rsidR="006E56E7" w:rsidRPr="006E56E7" w:rsidRDefault="006E56E7" w:rsidP="006E56E7">
            <w:pPr>
              <w:jc w:val="both"/>
              <w:rPr>
                <w:sz w:val="20"/>
              </w:rPr>
            </w:pPr>
            <w:r w:rsidRPr="006E56E7">
              <w:rPr>
                <w:sz w:val="20"/>
              </w:rPr>
              <w:t>Court of Appeal for Ontario</w:t>
            </w:r>
          </w:p>
          <w:p w:rsidR="006E56E7" w:rsidRPr="006E56E7" w:rsidRDefault="006E56E7" w:rsidP="006E56E7">
            <w:pPr>
              <w:jc w:val="both"/>
              <w:rPr>
                <w:sz w:val="20"/>
              </w:rPr>
            </w:pPr>
            <w:r w:rsidRPr="006E56E7">
              <w:rPr>
                <w:sz w:val="20"/>
              </w:rPr>
              <w:t xml:space="preserve">(MacPherson, Cronk and </w:t>
            </w:r>
            <w:proofErr w:type="spellStart"/>
            <w:r w:rsidRPr="006E56E7">
              <w:rPr>
                <w:sz w:val="20"/>
              </w:rPr>
              <w:t>Benotto</w:t>
            </w:r>
            <w:proofErr w:type="spellEnd"/>
            <w:r w:rsidRPr="006E56E7">
              <w:rPr>
                <w:sz w:val="20"/>
              </w:rPr>
              <w:t xml:space="preserve"> JJ.A.)</w:t>
            </w:r>
          </w:p>
          <w:p w:rsidR="006E56E7" w:rsidRPr="006E56E7" w:rsidRDefault="006E56E7" w:rsidP="006E56E7">
            <w:pPr>
              <w:jc w:val="both"/>
              <w:rPr>
                <w:sz w:val="20"/>
              </w:rPr>
            </w:pPr>
            <w:r w:rsidRPr="006E56E7">
              <w:rPr>
                <w:sz w:val="20"/>
              </w:rPr>
              <w:t xml:space="preserve">Court File No. M46527 </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Order dismissing motion to review Divisional Court order dated April 25, 2016</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December 22, 2016</w:t>
            </w:r>
          </w:p>
          <w:p w:rsidR="006E56E7" w:rsidRPr="006E56E7" w:rsidRDefault="006E56E7" w:rsidP="006E56E7">
            <w:pPr>
              <w:jc w:val="both"/>
              <w:rPr>
                <w:sz w:val="20"/>
              </w:rPr>
            </w:pPr>
            <w:r w:rsidRPr="006E56E7">
              <w:rPr>
                <w:sz w:val="20"/>
              </w:rPr>
              <w:t>Supreme Court of Canada</w:t>
            </w: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Application to extend time to serve and file application for leave to appeal and Application for leave to appeal filed</w:t>
            </w:r>
          </w:p>
        </w:tc>
      </w:tr>
    </w:tbl>
    <w:p w:rsidR="006E56E7" w:rsidRDefault="006E56E7" w:rsidP="006E56E7">
      <w:pPr>
        <w:jc w:val="both"/>
        <w:rPr>
          <w:sz w:val="20"/>
        </w:rPr>
      </w:pPr>
    </w:p>
    <w:p w:rsidR="006E56E7" w:rsidRPr="006E56E7" w:rsidRDefault="006E56E7" w:rsidP="006E56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t>37380</w:t>
            </w:r>
          </w:p>
        </w:tc>
        <w:tc>
          <w:tcPr>
            <w:tcW w:w="4457" w:type="pct"/>
            <w:gridSpan w:val="3"/>
          </w:tcPr>
          <w:p w:rsidR="006E56E7" w:rsidRPr="006E56E7" w:rsidRDefault="006E56E7" w:rsidP="006E56E7">
            <w:pPr>
              <w:pStyle w:val="SCCLsocParty"/>
              <w:jc w:val="both"/>
              <w:rPr>
                <w:b/>
                <w:sz w:val="20"/>
                <w:szCs w:val="20"/>
              </w:rPr>
            </w:pPr>
            <w:r w:rsidRPr="006E56E7">
              <w:rPr>
                <w:b/>
                <w:sz w:val="20"/>
                <w:szCs w:val="20"/>
              </w:rPr>
              <w:t>A.C., S.I. et R.M. c. La Société de l’aide à l’enfance d’Ottawa</w:t>
            </w:r>
          </w:p>
          <w:p w:rsidR="006E56E7" w:rsidRPr="006E56E7" w:rsidRDefault="006E56E7" w:rsidP="006E56E7">
            <w:pPr>
              <w:jc w:val="both"/>
              <w:rPr>
                <w:sz w:val="20"/>
              </w:rPr>
            </w:pPr>
            <w:r w:rsidRPr="006E56E7">
              <w:rPr>
                <w:sz w:val="20"/>
              </w:rPr>
              <w:t xml:space="preserve">(Ont.) (Civile) (Sur </w:t>
            </w:r>
            <w:proofErr w:type="spellStart"/>
            <w:r w:rsidRPr="006E56E7">
              <w:rPr>
                <w:sz w:val="20"/>
              </w:rPr>
              <w:t>autorisation</w:t>
            </w:r>
            <w:proofErr w:type="spellEnd"/>
            <w:r w:rsidRPr="006E56E7">
              <w:rPr>
                <w:sz w:val="20"/>
              </w:rPr>
              <w:t>)</w:t>
            </w:r>
          </w:p>
        </w:tc>
      </w:tr>
      <w:tr w:rsidR="006E56E7" w:rsidRPr="007654AB" w:rsidTr="006E56E7">
        <w:tc>
          <w:tcPr>
            <w:tcW w:w="5000" w:type="pct"/>
            <w:gridSpan w:val="4"/>
          </w:tcPr>
          <w:p w:rsidR="006E56E7" w:rsidRPr="006E56E7" w:rsidRDefault="006E56E7" w:rsidP="006E56E7">
            <w:pPr>
              <w:pStyle w:val="SCCBanSummary"/>
              <w:rPr>
                <w:sz w:val="20"/>
                <w:szCs w:val="20"/>
                <w:lang w:val="fr-CA"/>
              </w:rPr>
            </w:pPr>
            <w:r w:rsidRPr="006E56E7">
              <w:rPr>
                <w:sz w:val="20"/>
                <w:szCs w:val="20"/>
                <w:lang w:val="fr-CA"/>
              </w:rPr>
              <w:t>(ordonnance de non-publication dans le dossier) (ordonnance de non-publication visant une partie)</w:t>
            </w:r>
          </w:p>
          <w:p w:rsidR="006E56E7" w:rsidRPr="006E56E7" w:rsidRDefault="006E56E7" w:rsidP="006E56E7">
            <w:pPr>
              <w:jc w:val="both"/>
              <w:rPr>
                <w:sz w:val="20"/>
                <w:lang w:val="fr-CA"/>
              </w:rPr>
            </w:pP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 xml:space="preserve">Droit de la famille — Protection de l’enfance — Procédure civile — Appels — Tribunaux — Compétence — Juge de première instance rendant une ordonnance de tutelle par la Couronne sans droit de visite des parents — Rejet, par la Cour d’appel, de motions procédurales qui touchent l’appel de l’ordonnance de tutelle par la Couronne — Appel sur le fond rejeté par la Cour d’appel pour cause de retard — Droit des demandeurs et de leurs enfants, une famille autochtone visée par un traité, de conclure des traités avec le Parlement de nation à nation — Lorsque des organisations d’aide à l’enfance appréhendent des enfants autochtones, il s’agit d’un génocide culturel auquel concourent les décisions rendues par des juges non autochtones en l’espèce — La vérité et la réconciliation ne deviendront jamais des réalités au Canada ou avec ce pays tant que les lois autochtones ne sont pas reconnues égales à la common law et aux lois canadiennes et que les Autochtones ne récupèrent pas leur droit que les affaires soient tranchées par des juges autochtones — Il faut interpréter le préambule de la </w:t>
            </w:r>
            <w:r w:rsidRPr="006E56E7">
              <w:rPr>
                <w:i/>
                <w:sz w:val="20"/>
                <w:lang w:val="fr-CA"/>
              </w:rPr>
              <w:t>Loi constitutionnelle de 1982</w:t>
            </w:r>
            <w:r w:rsidRPr="006E56E7">
              <w:rPr>
                <w:sz w:val="20"/>
                <w:lang w:val="fr-CA"/>
              </w:rPr>
              <w:t xml:space="preserve"> compte tenu non seulement du Dieu hérité des Européens, mais aussi du Grand Esprit des Autochtones — Il faut interpréter l’article 35 de la </w:t>
            </w:r>
            <w:r w:rsidRPr="006E56E7">
              <w:rPr>
                <w:i/>
                <w:sz w:val="20"/>
                <w:lang w:val="fr-CA"/>
              </w:rPr>
              <w:t>Loi constitutionnelle de 1982</w:t>
            </w:r>
            <w:r w:rsidRPr="006E56E7">
              <w:rPr>
                <w:sz w:val="20"/>
                <w:lang w:val="fr-CA"/>
              </w:rPr>
              <w:t xml:space="preserve"> de manière à préserver les lois et traditions des Autochtones de nation à nation.</w:t>
            </w:r>
          </w:p>
        </w:tc>
      </w:tr>
      <w:tr w:rsidR="006E56E7" w:rsidRPr="007654AB" w:rsidTr="006E56E7">
        <w:tc>
          <w:tcPr>
            <w:tcW w:w="5000" w:type="pct"/>
            <w:gridSpan w:val="4"/>
          </w:tcPr>
          <w:p w:rsidR="006E56E7" w:rsidRPr="006E56E7" w:rsidRDefault="006E56E7" w:rsidP="006E56E7">
            <w:pPr>
              <w:jc w:val="both"/>
              <w:rPr>
                <w:sz w:val="20"/>
                <w:lang w:val="fr-CA"/>
              </w:rPr>
            </w:pPr>
          </w:p>
          <w:p w:rsidR="006E56E7" w:rsidRPr="006E56E7" w:rsidRDefault="006E56E7" w:rsidP="006E56E7">
            <w:pPr>
              <w:jc w:val="both"/>
              <w:rPr>
                <w:sz w:val="20"/>
                <w:lang w:val="fr-CA"/>
              </w:rPr>
            </w:pPr>
            <w:r w:rsidRPr="006E56E7">
              <w:rPr>
                <w:sz w:val="20"/>
                <w:lang w:val="fr-CA"/>
              </w:rPr>
              <w:t xml:space="preserve">R.M. a conclu des conventions de mère porteuse avec S.I. et A.C.; ces deux femmes ont donné naissance à un total de sept enfants, qui ont tous été appréhendés par un organisme albertain de protection de l’enfance. Trois autres enfants ont été appréhendés par la suite en Ontario. Le juge de première instance a rendu une ordonnance de tutelle par la Couronne sans droit de visite des parents à l’endroit des trois enfants appréhendés en Ontario, concluant que les parents n’étaient pas en mesure de s’occuper de l’entretien et de la santé des enfants ou de pourvoir à leurs besoins fondamentaux. Les trois parents ont interjeté appel de l’ordonnance de tutelle par la Couronne en Cour divisionnaire. </w:t>
            </w:r>
          </w:p>
          <w:p w:rsidR="006E56E7" w:rsidRPr="006E56E7" w:rsidRDefault="006E56E7" w:rsidP="006E56E7">
            <w:pPr>
              <w:jc w:val="both"/>
              <w:rPr>
                <w:sz w:val="20"/>
                <w:lang w:val="fr-CA"/>
              </w:rPr>
            </w:pPr>
          </w:p>
          <w:p w:rsidR="006E56E7" w:rsidRPr="006E56E7" w:rsidRDefault="006E56E7" w:rsidP="006E56E7">
            <w:pPr>
              <w:jc w:val="both"/>
              <w:rPr>
                <w:sz w:val="20"/>
                <w:lang w:val="fr-CA"/>
              </w:rPr>
            </w:pPr>
            <w:r w:rsidRPr="006E56E7">
              <w:rPr>
                <w:sz w:val="20"/>
                <w:lang w:val="fr-CA"/>
              </w:rPr>
              <w:t xml:space="preserve">Les parents ont présenté diverses motions procédurales avant l’audition de l’appel. Un juge de la Cour d’appel de l’Ontario les a rejetées, concluant que la Cour d’appel n’en était pas saisie à bon droit. Une formation complète de la Cour d’appel a rejeté l’appel de cette décision. </w:t>
            </w:r>
          </w:p>
          <w:p w:rsidR="006E56E7" w:rsidRPr="006E56E7" w:rsidRDefault="006E56E7" w:rsidP="006E56E7">
            <w:pPr>
              <w:jc w:val="both"/>
              <w:rPr>
                <w:sz w:val="20"/>
                <w:lang w:val="fr-CA"/>
              </w:rPr>
            </w:pPr>
          </w:p>
          <w:p w:rsidR="006E56E7" w:rsidRPr="006E56E7" w:rsidRDefault="006E56E7" w:rsidP="006E56E7">
            <w:pPr>
              <w:jc w:val="both"/>
              <w:rPr>
                <w:sz w:val="20"/>
                <w:lang w:val="fr-CA"/>
              </w:rPr>
            </w:pPr>
            <w:r w:rsidRPr="006E56E7">
              <w:rPr>
                <w:sz w:val="20"/>
                <w:lang w:val="fr-CA"/>
              </w:rPr>
              <w:lastRenderedPageBreak/>
              <w:t xml:space="preserve">Qui plus est, la Cour divisionnaire a rejeté l’appel sur le fond des parents pour cause de retard, estimant que l’intérêt véritable des enfants exigeait le rejet de l’appel. Les parents n’ont pu expliquer pourquoi ils n’avaient pas mis l’appel en état; le délai a causé un grave préjudice aux enfants; les parents n’avaient dressé aucun plan pour mettre l’appel en état ou pour s’occuper des enfants; après avoir examiné le fond de la contestation, la Cour divisionnaire est arrivée à la conclusion que l’appel sous-jacent était dénué de fondement. La Cour d’appel a rejeté une motion en révision de cette décision. </w:t>
            </w:r>
          </w:p>
          <w:p w:rsidR="006E56E7" w:rsidRPr="006E56E7" w:rsidRDefault="006E56E7" w:rsidP="006E56E7">
            <w:pPr>
              <w:jc w:val="both"/>
              <w:rPr>
                <w:sz w:val="20"/>
                <w:lang w:val="fr-CA"/>
              </w:rPr>
            </w:pPr>
          </w:p>
          <w:p w:rsidR="006E56E7" w:rsidRPr="006E56E7" w:rsidRDefault="006E56E7" w:rsidP="006E56E7">
            <w:pPr>
              <w:jc w:val="both"/>
              <w:rPr>
                <w:sz w:val="20"/>
                <w:lang w:val="fr-CA"/>
              </w:rPr>
            </w:pPr>
            <w:r w:rsidRPr="006E56E7">
              <w:rPr>
                <w:sz w:val="20"/>
                <w:lang w:val="fr-CA"/>
              </w:rPr>
              <w:t>Les parents demandent maintenant l’autorisation de porter en appel les deux décisions de la Cour d’appel (soit le refus de réviser la décision sur les motions procédurales et le refus de réviser l’ordonnance rejetant l’appel sur le fond pour cause de retard).</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lastRenderedPageBreak/>
              <w:t>20 octobre 2015</w:t>
            </w:r>
          </w:p>
          <w:p w:rsidR="006E56E7" w:rsidRPr="006E56E7" w:rsidRDefault="006E56E7" w:rsidP="006E56E7">
            <w:pPr>
              <w:jc w:val="both"/>
              <w:rPr>
                <w:sz w:val="20"/>
                <w:lang w:val="fr-CA"/>
              </w:rPr>
            </w:pPr>
            <w:r w:rsidRPr="006E56E7">
              <w:rPr>
                <w:sz w:val="20"/>
                <w:lang w:val="fr-CA"/>
              </w:rPr>
              <w:t>Cour supérieure de justice de l’Ontario</w:t>
            </w:r>
          </w:p>
          <w:p w:rsidR="006E56E7" w:rsidRPr="006E56E7" w:rsidRDefault="006E56E7" w:rsidP="006E56E7">
            <w:pPr>
              <w:jc w:val="both"/>
              <w:rPr>
                <w:sz w:val="20"/>
              </w:rPr>
            </w:pPr>
            <w:r w:rsidRPr="006E56E7">
              <w:rPr>
                <w:sz w:val="20"/>
              </w:rPr>
              <w:t>(Juge Shelston)</w:t>
            </w:r>
          </w:p>
          <w:p w:rsidR="006E56E7" w:rsidRPr="006E56E7" w:rsidRDefault="007654AB" w:rsidP="006E56E7">
            <w:pPr>
              <w:jc w:val="both"/>
              <w:rPr>
                <w:sz w:val="20"/>
              </w:rPr>
            </w:pPr>
            <w:hyperlink r:id="rId34" w:history="1">
              <w:r w:rsidR="006E56E7" w:rsidRPr="006E56E7">
                <w:rPr>
                  <w:rStyle w:val="Hyperlink"/>
                  <w:sz w:val="20"/>
                </w:rPr>
                <w:t>2015 ONSC 5692</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val="fr-CA"/>
              </w:rPr>
            </w:pPr>
            <w:r w:rsidRPr="006E56E7">
              <w:rPr>
                <w:sz w:val="20"/>
                <w:lang w:val="fr-CA"/>
              </w:rPr>
              <w:t xml:space="preserve">Ordonnance faisant de trois enfants des pupilles de la Couronne sans droit de visite des parents </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1</w:t>
            </w:r>
            <w:r w:rsidRPr="006E56E7">
              <w:rPr>
                <w:sz w:val="20"/>
                <w:vertAlign w:val="superscript"/>
                <w:lang w:val="fr-CA"/>
              </w:rPr>
              <w:t>er</w:t>
            </w:r>
            <w:r w:rsidRPr="006E56E7">
              <w:rPr>
                <w:sz w:val="20"/>
                <w:lang w:val="fr-CA"/>
              </w:rPr>
              <w:t xml:space="preserve"> avril 2016</w:t>
            </w:r>
          </w:p>
          <w:p w:rsidR="006E56E7" w:rsidRPr="006E56E7" w:rsidRDefault="006E56E7" w:rsidP="006E56E7">
            <w:pPr>
              <w:jc w:val="both"/>
              <w:rPr>
                <w:sz w:val="20"/>
                <w:lang w:val="fr-CA"/>
              </w:rPr>
            </w:pPr>
            <w:r w:rsidRPr="006E56E7">
              <w:rPr>
                <w:sz w:val="20"/>
                <w:lang w:val="fr-CA"/>
              </w:rPr>
              <w:t>Cour d’appel de l’Ontario</w:t>
            </w:r>
          </w:p>
          <w:p w:rsidR="006E56E7" w:rsidRPr="006E56E7" w:rsidRDefault="006E56E7" w:rsidP="006E56E7">
            <w:pPr>
              <w:jc w:val="both"/>
              <w:rPr>
                <w:sz w:val="20"/>
                <w:lang w:val="fr-CA"/>
              </w:rPr>
            </w:pPr>
            <w:r w:rsidRPr="006E56E7">
              <w:rPr>
                <w:sz w:val="20"/>
                <w:lang w:val="fr-CA"/>
              </w:rPr>
              <w:t>(Juge Simmons)</w:t>
            </w:r>
          </w:p>
          <w:p w:rsidR="006E56E7" w:rsidRPr="006E56E7" w:rsidRDefault="006E56E7" w:rsidP="006E56E7">
            <w:pPr>
              <w:jc w:val="both"/>
              <w:rPr>
                <w:sz w:val="20"/>
                <w:lang w:val="fr-CA"/>
              </w:rPr>
            </w:pPr>
            <w:r w:rsidRPr="006E56E7">
              <w:rPr>
                <w:sz w:val="20"/>
                <w:lang w:val="fr-CA"/>
              </w:rPr>
              <w:t>N</w:t>
            </w:r>
            <w:r w:rsidRPr="006E56E7">
              <w:rPr>
                <w:sz w:val="20"/>
                <w:vertAlign w:val="superscript"/>
                <w:lang w:val="fr-CA"/>
              </w:rPr>
              <w:t xml:space="preserve">o </w:t>
            </w:r>
            <w:r w:rsidRPr="006E56E7">
              <w:rPr>
                <w:sz w:val="20"/>
                <w:lang w:val="fr-CA"/>
              </w:rPr>
              <w:t>de greffe M46281 (M46276)</w:t>
            </w: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Ordonnance rejetant différentes motions procédurales qui touchent un appel de l’ordonnance de tutelle</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25 avril 2016</w:t>
            </w:r>
          </w:p>
          <w:p w:rsidR="006E56E7" w:rsidRPr="006E56E7" w:rsidRDefault="006E56E7" w:rsidP="006E56E7">
            <w:pPr>
              <w:jc w:val="both"/>
              <w:rPr>
                <w:sz w:val="20"/>
                <w:lang w:val="fr-CA"/>
              </w:rPr>
            </w:pPr>
            <w:r w:rsidRPr="006E56E7">
              <w:rPr>
                <w:sz w:val="20"/>
                <w:lang w:val="fr-CA"/>
              </w:rPr>
              <w:t>(Motifs de décision datés du 11 mai 2016)</w:t>
            </w:r>
          </w:p>
          <w:p w:rsidR="006E56E7" w:rsidRPr="006E56E7" w:rsidRDefault="006E56E7" w:rsidP="006E56E7">
            <w:pPr>
              <w:jc w:val="both"/>
              <w:rPr>
                <w:sz w:val="20"/>
                <w:lang w:val="fr-CA"/>
              </w:rPr>
            </w:pPr>
            <w:r w:rsidRPr="006E56E7">
              <w:rPr>
                <w:sz w:val="20"/>
                <w:lang w:val="fr-CA"/>
              </w:rPr>
              <w:t>Cour supérieure de justice de l’Ontario (C. div.)</w:t>
            </w:r>
          </w:p>
          <w:p w:rsidR="006E56E7" w:rsidRPr="006E56E7" w:rsidRDefault="006E56E7" w:rsidP="006E56E7">
            <w:pPr>
              <w:jc w:val="both"/>
              <w:rPr>
                <w:sz w:val="20"/>
                <w:lang w:val="fr-CA"/>
              </w:rPr>
            </w:pPr>
            <w:r w:rsidRPr="006E56E7">
              <w:rPr>
                <w:sz w:val="20"/>
                <w:lang w:val="fr-CA"/>
              </w:rPr>
              <w:t>(Juges Dambrot, Horkins et Arrell)</w:t>
            </w:r>
          </w:p>
          <w:p w:rsidR="006E56E7" w:rsidRPr="006E56E7" w:rsidRDefault="007654AB" w:rsidP="006E56E7">
            <w:pPr>
              <w:jc w:val="both"/>
              <w:rPr>
                <w:sz w:val="20"/>
              </w:rPr>
            </w:pPr>
            <w:hyperlink r:id="rId35" w:history="1">
              <w:r w:rsidR="006E56E7" w:rsidRPr="006E56E7">
                <w:rPr>
                  <w:rStyle w:val="Hyperlink"/>
                  <w:sz w:val="20"/>
                </w:rPr>
                <w:t>2016 ONSC 3111</w:t>
              </w:r>
            </w:hyperlink>
            <w:r w:rsidR="006E56E7" w:rsidRPr="006E56E7">
              <w:rPr>
                <w:sz w:val="20"/>
              </w:rPr>
              <w:t xml:space="preserve"> </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val="fr-CA"/>
              </w:rPr>
            </w:pPr>
            <w:r w:rsidRPr="006E56E7">
              <w:rPr>
                <w:sz w:val="20"/>
                <w:lang w:val="fr-CA"/>
              </w:rPr>
              <w:t xml:space="preserve">Ordonnance accordant le rejet de l’appel formé contre l’ordonnance de tutelle pour cause de retard </w:t>
            </w: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28 juin 2016</w:t>
            </w:r>
          </w:p>
          <w:p w:rsidR="006E56E7" w:rsidRPr="006E56E7" w:rsidRDefault="006E56E7" w:rsidP="006E56E7">
            <w:pPr>
              <w:jc w:val="both"/>
              <w:rPr>
                <w:sz w:val="20"/>
                <w:lang w:val="fr-CA"/>
              </w:rPr>
            </w:pPr>
            <w:r w:rsidRPr="006E56E7">
              <w:rPr>
                <w:sz w:val="20"/>
                <w:lang w:val="fr-CA"/>
              </w:rPr>
              <w:t>Cour d’appel de l’Ontario</w:t>
            </w:r>
          </w:p>
          <w:p w:rsidR="006E56E7" w:rsidRPr="006E56E7" w:rsidRDefault="006E56E7" w:rsidP="006E56E7">
            <w:pPr>
              <w:jc w:val="both"/>
              <w:rPr>
                <w:sz w:val="20"/>
                <w:lang w:val="fr-CA"/>
              </w:rPr>
            </w:pPr>
            <w:r w:rsidRPr="006E56E7">
              <w:rPr>
                <w:sz w:val="20"/>
                <w:lang w:val="fr-CA"/>
              </w:rPr>
              <w:t>(Juges Rouleau, van Rensburg et Benotto)</w:t>
            </w:r>
          </w:p>
          <w:p w:rsidR="006E56E7" w:rsidRPr="006E56E7" w:rsidRDefault="007654AB" w:rsidP="006E56E7">
            <w:pPr>
              <w:jc w:val="both"/>
              <w:rPr>
                <w:sz w:val="20"/>
              </w:rPr>
            </w:pPr>
            <w:hyperlink r:id="rId36" w:anchor="showHeadnotes" w:history="1">
              <w:r w:rsidR="006E56E7" w:rsidRPr="006E56E7">
                <w:rPr>
                  <w:rStyle w:val="Hyperlink"/>
                  <w:sz w:val="20"/>
                </w:rPr>
                <w:t>2016 ONCA 512</w:t>
              </w:r>
            </w:hyperlink>
            <w:r w:rsidR="006E56E7" w:rsidRPr="006E56E7">
              <w:rPr>
                <w:sz w:val="20"/>
              </w:rPr>
              <w:t xml:space="preserve"> </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val="fr-CA"/>
              </w:rPr>
            </w:pPr>
            <w:r w:rsidRPr="006E56E7">
              <w:rPr>
                <w:sz w:val="20"/>
                <w:lang w:val="fr-CA"/>
              </w:rPr>
              <w:t>Ordonnance rejetant la motion en révision de l’ordonnance procédurale du juge Simmons en date du 1</w:t>
            </w:r>
            <w:r w:rsidRPr="006E56E7">
              <w:rPr>
                <w:sz w:val="20"/>
                <w:vertAlign w:val="superscript"/>
                <w:lang w:val="fr-CA"/>
              </w:rPr>
              <w:t>er</w:t>
            </w:r>
            <w:r w:rsidRPr="006E56E7">
              <w:rPr>
                <w:sz w:val="20"/>
                <w:lang w:val="fr-CA"/>
              </w:rPr>
              <w:t xml:space="preserve"> avril 2016</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8 juillet 2016</w:t>
            </w:r>
          </w:p>
          <w:p w:rsidR="006E56E7" w:rsidRPr="006E56E7" w:rsidRDefault="006E56E7" w:rsidP="006E56E7">
            <w:pPr>
              <w:jc w:val="both"/>
              <w:rPr>
                <w:sz w:val="20"/>
                <w:lang w:val="fr-CA"/>
              </w:rPr>
            </w:pPr>
            <w:r w:rsidRPr="006E56E7">
              <w:rPr>
                <w:sz w:val="20"/>
                <w:lang w:val="fr-CA"/>
              </w:rPr>
              <w:t>Cour d’appel de l’Ontario</w:t>
            </w:r>
          </w:p>
          <w:p w:rsidR="006E56E7" w:rsidRPr="006E56E7" w:rsidRDefault="006E56E7" w:rsidP="006E56E7">
            <w:pPr>
              <w:jc w:val="both"/>
              <w:rPr>
                <w:sz w:val="20"/>
                <w:lang w:val="fr-CA"/>
              </w:rPr>
            </w:pPr>
            <w:r w:rsidRPr="006E56E7">
              <w:rPr>
                <w:sz w:val="20"/>
                <w:lang w:val="fr-CA"/>
              </w:rPr>
              <w:t>(Juges MacPherson, Cronk et Benotto)</w:t>
            </w:r>
          </w:p>
          <w:p w:rsidR="006E56E7" w:rsidRPr="006E56E7" w:rsidRDefault="006E56E7" w:rsidP="006E56E7">
            <w:pPr>
              <w:jc w:val="both"/>
              <w:rPr>
                <w:sz w:val="20"/>
              </w:rPr>
            </w:pPr>
            <w:r w:rsidRPr="006E56E7">
              <w:rPr>
                <w:sz w:val="20"/>
                <w:lang w:val="fr-CA"/>
              </w:rPr>
              <w:t>N</w:t>
            </w:r>
            <w:r w:rsidRPr="006E56E7">
              <w:rPr>
                <w:sz w:val="20"/>
                <w:vertAlign w:val="superscript"/>
                <w:lang w:val="fr-CA"/>
              </w:rPr>
              <w:t xml:space="preserve">o </w:t>
            </w:r>
            <w:r w:rsidRPr="006E56E7">
              <w:rPr>
                <w:sz w:val="20"/>
                <w:lang w:val="fr-CA"/>
              </w:rPr>
              <w:t xml:space="preserve">de greffe </w:t>
            </w:r>
            <w:r w:rsidRPr="006E56E7">
              <w:rPr>
                <w:sz w:val="20"/>
              </w:rPr>
              <w:t xml:space="preserve">M46527 </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val="fr-CA"/>
              </w:rPr>
            </w:pPr>
            <w:r w:rsidRPr="006E56E7">
              <w:rPr>
                <w:sz w:val="20"/>
                <w:lang w:val="fr-CA"/>
              </w:rPr>
              <w:t>Ordonnance rejetant la motion en révision de l’ordonnance de la Cour divisionnaire datée du 25 avril 2016</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22 décembre 2016</w:t>
            </w:r>
          </w:p>
          <w:p w:rsidR="006E56E7" w:rsidRPr="006E56E7" w:rsidRDefault="006E56E7" w:rsidP="006E56E7">
            <w:pPr>
              <w:jc w:val="both"/>
              <w:rPr>
                <w:sz w:val="20"/>
                <w:lang w:val="fr-CA"/>
              </w:rPr>
            </w:pPr>
            <w:r w:rsidRPr="006E56E7">
              <w:rPr>
                <w:sz w:val="20"/>
                <w:lang w:val="fr-CA"/>
              </w:rPr>
              <w:t>Cour suprême du Canada</w:t>
            </w: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Dépôt de la requête en prorogation du délai pour signifier et déposer la demande d’autorisation d’appel ainsi que de la demande d’autorisation d’appel</w:t>
            </w:r>
          </w:p>
        </w:tc>
      </w:tr>
    </w:tbl>
    <w:p w:rsidR="006E56E7" w:rsidRPr="006E56E7" w:rsidRDefault="006E56E7" w:rsidP="006E56E7">
      <w:pPr>
        <w:jc w:val="both"/>
        <w:rPr>
          <w:sz w:val="20"/>
          <w:lang w:val="fr-CA"/>
        </w:rPr>
      </w:pPr>
    </w:p>
    <w:p w:rsidR="006E56E7" w:rsidRPr="006E56E7" w:rsidRDefault="006E56E7" w:rsidP="006E56E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t>37327</w:t>
            </w:r>
          </w:p>
        </w:tc>
        <w:tc>
          <w:tcPr>
            <w:tcW w:w="4457" w:type="pct"/>
            <w:gridSpan w:val="3"/>
          </w:tcPr>
          <w:p w:rsidR="006E56E7" w:rsidRPr="006E56E7" w:rsidRDefault="006E56E7" w:rsidP="006E56E7">
            <w:pPr>
              <w:pStyle w:val="SCCLsocParty"/>
              <w:jc w:val="both"/>
              <w:rPr>
                <w:b/>
                <w:sz w:val="20"/>
                <w:szCs w:val="20"/>
                <w:lang w:val="en-US"/>
              </w:rPr>
            </w:pPr>
            <w:r w:rsidRPr="006E56E7">
              <w:rPr>
                <w:b/>
                <w:sz w:val="20"/>
                <w:szCs w:val="20"/>
                <w:lang w:val="en-US"/>
              </w:rPr>
              <w:t>Gary Grant v. Equifax Canada Co., Trans Union of Canada, Ministry of Government Services and Consumer Services</w:t>
            </w:r>
          </w:p>
          <w:p w:rsidR="006E56E7" w:rsidRPr="006E56E7" w:rsidRDefault="006E56E7" w:rsidP="006E56E7">
            <w:pPr>
              <w:jc w:val="both"/>
              <w:rPr>
                <w:sz w:val="20"/>
              </w:rPr>
            </w:pPr>
            <w:r w:rsidRPr="006E56E7">
              <w:rPr>
                <w:sz w:val="20"/>
              </w:rPr>
              <w:t>(Ont.) (Civil) (By Leave)</w:t>
            </w:r>
          </w:p>
        </w:tc>
      </w:tr>
      <w:tr w:rsidR="006E56E7" w:rsidRPr="006E56E7" w:rsidTr="006E56E7">
        <w:tc>
          <w:tcPr>
            <w:tcW w:w="5000" w:type="pct"/>
            <w:gridSpan w:val="4"/>
          </w:tcPr>
          <w:p w:rsidR="006E56E7" w:rsidRPr="006E56E7" w:rsidRDefault="006E56E7" w:rsidP="006E56E7">
            <w:pPr>
              <w:jc w:val="both"/>
              <w:rPr>
                <w:sz w:val="20"/>
              </w:rPr>
            </w:pPr>
            <w:r w:rsidRPr="006E56E7">
              <w:rPr>
                <w:sz w:val="20"/>
              </w:rPr>
              <w:t xml:space="preserve">Limitation of actions – Application of </w:t>
            </w:r>
            <w:r w:rsidRPr="006E56E7">
              <w:rPr>
                <w:i/>
                <w:sz w:val="20"/>
              </w:rPr>
              <w:t>Limitations Act, 2002</w:t>
            </w:r>
            <w:r w:rsidRPr="006E56E7">
              <w:rPr>
                <w:sz w:val="20"/>
              </w:rPr>
              <w:t xml:space="preserve">, S.O. 2002, c. 24, to statutory framework for consumer credit reporting in Ontario set out in </w:t>
            </w:r>
            <w:r w:rsidRPr="006E56E7">
              <w:rPr>
                <w:i/>
                <w:sz w:val="20"/>
              </w:rPr>
              <w:t>Consumer Reporting Act</w:t>
            </w:r>
            <w:r w:rsidRPr="006E56E7">
              <w:rPr>
                <w:sz w:val="20"/>
              </w:rPr>
              <w:t xml:space="preserve">, R.S.O. 1990, c. C.33 – Whether courts below erred in finding that </w:t>
            </w:r>
            <w:r w:rsidRPr="006E56E7">
              <w:rPr>
                <w:i/>
                <w:sz w:val="20"/>
              </w:rPr>
              <w:t>Limitations Act</w:t>
            </w:r>
            <w:r w:rsidRPr="006E56E7">
              <w:rPr>
                <w:sz w:val="20"/>
              </w:rPr>
              <w:t xml:space="preserve"> not applicable to statutory framework for consumer credit reporting in Ontario.</w:t>
            </w:r>
          </w:p>
        </w:tc>
      </w:tr>
      <w:tr w:rsidR="006E56E7" w:rsidRPr="006E56E7" w:rsidTr="006E56E7">
        <w:tc>
          <w:tcPr>
            <w:tcW w:w="5000" w:type="pct"/>
            <w:gridSpan w:val="4"/>
          </w:tcPr>
          <w:p w:rsidR="006E56E7" w:rsidRPr="006E56E7" w:rsidRDefault="006E56E7" w:rsidP="006E56E7">
            <w:pPr>
              <w:jc w:val="both"/>
              <w:rPr>
                <w:sz w:val="20"/>
              </w:rPr>
            </w:pPr>
          </w:p>
        </w:tc>
      </w:tr>
      <w:tr w:rsidR="006E56E7" w:rsidRPr="006E56E7" w:rsidTr="006E56E7">
        <w:tc>
          <w:tcPr>
            <w:tcW w:w="5000" w:type="pct"/>
            <w:gridSpan w:val="4"/>
          </w:tcPr>
          <w:p w:rsidR="006E56E7" w:rsidRPr="006E56E7" w:rsidRDefault="006E56E7" w:rsidP="006E56E7">
            <w:pPr>
              <w:jc w:val="both"/>
              <w:rPr>
                <w:sz w:val="20"/>
              </w:rPr>
            </w:pPr>
            <w:r w:rsidRPr="006E56E7">
              <w:rPr>
                <w:sz w:val="20"/>
              </w:rPr>
              <w:t xml:space="preserve">Mr. Grant, applicant, sought an order requiring Trans Union and Equifax, respondents, to remove from his credit report debts that were over two years old and for which no legal action had been commenced or judgment obtained. He argued that the basic limitation period of two years set out in the </w:t>
            </w:r>
            <w:r w:rsidRPr="006E56E7">
              <w:rPr>
                <w:i/>
                <w:sz w:val="20"/>
              </w:rPr>
              <w:t>Limitations Act, 2002</w:t>
            </w:r>
            <w:r w:rsidRPr="006E56E7">
              <w:rPr>
                <w:sz w:val="20"/>
              </w:rPr>
              <w:t xml:space="preserve">, S.O. 2002, c. 24, applied </w:t>
            </w:r>
            <w:r w:rsidRPr="006E56E7">
              <w:rPr>
                <w:sz w:val="20"/>
              </w:rPr>
              <w:lastRenderedPageBreak/>
              <w:t xml:space="preserve">to the statutory framework for consumer credit reporting in Ontario set out in the </w:t>
            </w:r>
            <w:r w:rsidRPr="006E56E7">
              <w:rPr>
                <w:i/>
                <w:sz w:val="20"/>
              </w:rPr>
              <w:t>Consumer Reporting Act</w:t>
            </w:r>
            <w:r w:rsidRPr="006E56E7">
              <w:rPr>
                <w:sz w:val="20"/>
              </w:rPr>
              <w:t xml:space="preserve">, R.S.O. 1990, c. C.33. Essentially, he submitted that consumer debts which could not be collected should not be listed on his credit report. The Superior Court dismissed Mr. Grant’s application on the basis that there was nothing in the </w:t>
            </w:r>
            <w:r w:rsidRPr="006E56E7">
              <w:rPr>
                <w:i/>
                <w:sz w:val="20"/>
              </w:rPr>
              <w:t>Limitations Act</w:t>
            </w:r>
            <w:r w:rsidRPr="006E56E7">
              <w:rPr>
                <w:sz w:val="20"/>
              </w:rPr>
              <w:t xml:space="preserve"> which extended its application to the </w:t>
            </w:r>
            <w:r w:rsidRPr="006E56E7">
              <w:rPr>
                <w:i/>
                <w:sz w:val="20"/>
              </w:rPr>
              <w:t>Consumer Reporting Act</w:t>
            </w:r>
            <w:r w:rsidRPr="006E56E7">
              <w:rPr>
                <w:sz w:val="20"/>
              </w:rPr>
              <w:t>. The Court of Appeal dismissed the appeal.</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lastRenderedPageBreak/>
              <w:t>November 2, 2015</w:t>
            </w:r>
          </w:p>
          <w:p w:rsidR="006E56E7" w:rsidRPr="006E56E7" w:rsidRDefault="006E56E7" w:rsidP="006E56E7">
            <w:pPr>
              <w:jc w:val="both"/>
              <w:rPr>
                <w:sz w:val="20"/>
              </w:rPr>
            </w:pPr>
            <w:r w:rsidRPr="006E56E7">
              <w:rPr>
                <w:sz w:val="20"/>
              </w:rPr>
              <w:t>Ontario Superior Court of Justice</w:t>
            </w:r>
          </w:p>
          <w:p w:rsidR="006E56E7" w:rsidRPr="006E56E7" w:rsidRDefault="006E56E7" w:rsidP="006E56E7">
            <w:pPr>
              <w:jc w:val="both"/>
              <w:rPr>
                <w:sz w:val="20"/>
              </w:rPr>
            </w:pPr>
            <w:r w:rsidRPr="006E56E7">
              <w:rPr>
                <w:sz w:val="20"/>
              </w:rPr>
              <w:t>(Barnes J.)</w:t>
            </w:r>
          </w:p>
          <w:p w:rsidR="006E56E7" w:rsidRPr="006E56E7" w:rsidRDefault="007654AB" w:rsidP="006E56E7">
            <w:pPr>
              <w:jc w:val="both"/>
              <w:rPr>
                <w:sz w:val="20"/>
              </w:rPr>
            </w:pPr>
            <w:hyperlink r:id="rId37" w:history="1">
              <w:r w:rsidR="006E56E7" w:rsidRPr="006E56E7">
                <w:rPr>
                  <w:rStyle w:val="Hyperlink"/>
                  <w:sz w:val="20"/>
                </w:rPr>
                <w:t>2015 ONSC 6745</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Application dismissed</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June 23, 2016</w:t>
            </w:r>
          </w:p>
          <w:p w:rsidR="006E56E7" w:rsidRPr="006E56E7" w:rsidRDefault="006E56E7" w:rsidP="006E56E7">
            <w:pPr>
              <w:jc w:val="both"/>
              <w:rPr>
                <w:sz w:val="20"/>
              </w:rPr>
            </w:pPr>
            <w:r w:rsidRPr="006E56E7">
              <w:rPr>
                <w:sz w:val="20"/>
              </w:rPr>
              <w:t>Court of Appeal for Ontario</w:t>
            </w:r>
          </w:p>
          <w:p w:rsidR="006E56E7" w:rsidRPr="006E56E7" w:rsidRDefault="006E56E7" w:rsidP="006E56E7">
            <w:pPr>
              <w:jc w:val="both"/>
              <w:rPr>
                <w:sz w:val="20"/>
              </w:rPr>
            </w:pPr>
            <w:r w:rsidRPr="006E56E7">
              <w:rPr>
                <w:sz w:val="20"/>
              </w:rPr>
              <w:t xml:space="preserve">(Rouleau, van </w:t>
            </w:r>
            <w:proofErr w:type="spellStart"/>
            <w:r w:rsidRPr="006E56E7">
              <w:rPr>
                <w:sz w:val="20"/>
              </w:rPr>
              <w:t>Rensburg</w:t>
            </w:r>
            <w:proofErr w:type="spellEnd"/>
            <w:r w:rsidRPr="006E56E7">
              <w:rPr>
                <w:sz w:val="20"/>
              </w:rPr>
              <w:t xml:space="preserve"> and </w:t>
            </w:r>
            <w:proofErr w:type="spellStart"/>
            <w:r w:rsidRPr="006E56E7">
              <w:rPr>
                <w:sz w:val="20"/>
              </w:rPr>
              <w:t>Benotto</w:t>
            </w:r>
            <w:proofErr w:type="spellEnd"/>
            <w:r w:rsidRPr="006E56E7">
              <w:rPr>
                <w:sz w:val="20"/>
              </w:rPr>
              <w:t xml:space="preserve"> JJ.A.)</w:t>
            </w:r>
          </w:p>
          <w:p w:rsidR="006E56E7" w:rsidRPr="006E56E7" w:rsidRDefault="007654AB" w:rsidP="006E56E7">
            <w:pPr>
              <w:jc w:val="both"/>
              <w:rPr>
                <w:sz w:val="20"/>
              </w:rPr>
            </w:pPr>
            <w:hyperlink r:id="rId38" w:history="1">
              <w:r w:rsidR="006E56E7" w:rsidRPr="006E56E7">
                <w:rPr>
                  <w:rStyle w:val="Hyperlink"/>
                  <w:sz w:val="20"/>
                </w:rPr>
                <w:t>2016 ONCA 500</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Appeal dismissed</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September 8, 2016</w:t>
            </w:r>
          </w:p>
          <w:p w:rsidR="006E56E7" w:rsidRPr="006E56E7" w:rsidRDefault="006E56E7" w:rsidP="006E56E7">
            <w:pPr>
              <w:jc w:val="both"/>
              <w:rPr>
                <w:sz w:val="20"/>
              </w:rPr>
            </w:pPr>
            <w:r w:rsidRPr="006E56E7">
              <w:rPr>
                <w:sz w:val="20"/>
              </w:rPr>
              <w:t>Supreme Court of Canada</w:t>
            </w: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Application for leave to appeal filed</w:t>
            </w:r>
          </w:p>
          <w:p w:rsidR="006E56E7" w:rsidRPr="006E56E7" w:rsidRDefault="006E56E7" w:rsidP="006E56E7">
            <w:pPr>
              <w:jc w:val="both"/>
              <w:rPr>
                <w:sz w:val="20"/>
              </w:rPr>
            </w:pPr>
          </w:p>
        </w:tc>
      </w:tr>
    </w:tbl>
    <w:p w:rsidR="006E56E7" w:rsidRDefault="006E56E7" w:rsidP="006E56E7">
      <w:pPr>
        <w:jc w:val="both"/>
        <w:rPr>
          <w:sz w:val="20"/>
        </w:rPr>
      </w:pPr>
    </w:p>
    <w:p w:rsidR="006E56E7" w:rsidRPr="006E56E7" w:rsidRDefault="006E56E7" w:rsidP="006E56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lang w:val="fr-CA"/>
              </w:rPr>
            </w:pPr>
            <w:r w:rsidRPr="006E56E7">
              <w:rPr>
                <w:rStyle w:val="SCCFileNumberChar"/>
                <w:sz w:val="20"/>
                <w:szCs w:val="20"/>
                <w:lang w:val="fr-CA"/>
              </w:rPr>
              <w:t>37327</w:t>
            </w:r>
          </w:p>
        </w:tc>
        <w:tc>
          <w:tcPr>
            <w:tcW w:w="4457" w:type="pct"/>
            <w:gridSpan w:val="3"/>
          </w:tcPr>
          <w:p w:rsidR="006E56E7" w:rsidRPr="006E56E7" w:rsidRDefault="006E56E7" w:rsidP="006E56E7">
            <w:pPr>
              <w:pStyle w:val="SCCLsocParty"/>
              <w:jc w:val="both"/>
              <w:rPr>
                <w:b/>
                <w:sz w:val="20"/>
                <w:szCs w:val="20"/>
              </w:rPr>
            </w:pPr>
            <w:r w:rsidRPr="006E56E7">
              <w:rPr>
                <w:b/>
                <w:sz w:val="20"/>
                <w:szCs w:val="20"/>
              </w:rPr>
              <w:t>Gary Grant c. Equifax Canada Co., Trans Union of Canada, ministère des Services gouvernementaux et des Services aux consommateurs</w:t>
            </w:r>
          </w:p>
          <w:p w:rsidR="006E56E7" w:rsidRPr="006E56E7" w:rsidRDefault="006E56E7" w:rsidP="006E56E7">
            <w:pPr>
              <w:jc w:val="both"/>
              <w:rPr>
                <w:sz w:val="20"/>
                <w:lang w:val="fr-CA"/>
              </w:rPr>
            </w:pPr>
            <w:r w:rsidRPr="006E56E7">
              <w:rPr>
                <w:sz w:val="20"/>
                <w:lang w:val="fr-CA"/>
              </w:rPr>
              <w:t>(Ont.) (Civile) (Sur autorisation)</w:t>
            </w: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 xml:space="preserve">Prescription – Application de la </w:t>
            </w:r>
            <w:r w:rsidRPr="006E56E7">
              <w:rPr>
                <w:i/>
                <w:sz w:val="20"/>
                <w:lang w:val="fr-CA"/>
              </w:rPr>
              <w:t>Loi de 2002 sur la prescription des actions</w:t>
            </w:r>
            <w:r w:rsidRPr="006E56E7">
              <w:rPr>
                <w:sz w:val="20"/>
                <w:lang w:val="fr-CA"/>
              </w:rPr>
              <w:t xml:space="preserve">, L.O. 2002, ch. 24, au régime législatif relatif aux renseignements sur la solvabilité des consommateurs en Ontario prévu dans la </w:t>
            </w:r>
            <w:r w:rsidRPr="006E56E7">
              <w:rPr>
                <w:i/>
                <w:sz w:val="20"/>
                <w:lang w:val="fr-CA"/>
              </w:rPr>
              <w:t>Loi sur les renseignements concernant le consommateur</w:t>
            </w:r>
            <w:r w:rsidRPr="006E56E7">
              <w:rPr>
                <w:sz w:val="20"/>
                <w:lang w:val="fr-CA"/>
              </w:rPr>
              <w:t>, L.R.O. 1990, ch. C.33 – Les juridictions inférieures ont-elles eu tort de conclure que la</w:t>
            </w:r>
            <w:r w:rsidRPr="006E56E7">
              <w:rPr>
                <w:i/>
                <w:sz w:val="20"/>
                <w:lang w:val="fr-CA"/>
              </w:rPr>
              <w:t xml:space="preserve"> Loi sur la prescription des actions</w:t>
            </w:r>
            <w:r w:rsidRPr="006E56E7">
              <w:rPr>
                <w:sz w:val="20"/>
                <w:lang w:val="fr-CA"/>
              </w:rPr>
              <w:t xml:space="preserve"> n’était pas applicable au régime législatif relatif aux renseignements sur la solvabilité des consommateurs en Ontario?</w:t>
            </w:r>
          </w:p>
        </w:tc>
      </w:tr>
      <w:tr w:rsidR="006E56E7" w:rsidRPr="007654AB" w:rsidTr="006E56E7">
        <w:tc>
          <w:tcPr>
            <w:tcW w:w="5000" w:type="pct"/>
            <w:gridSpan w:val="4"/>
          </w:tcPr>
          <w:p w:rsidR="006E56E7" w:rsidRPr="006E56E7" w:rsidRDefault="006E56E7" w:rsidP="006E56E7">
            <w:pPr>
              <w:jc w:val="both"/>
              <w:rPr>
                <w:sz w:val="20"/>
                <w:lang w:val="fr-CA"/>
              </w:rPr>
            </w:pPr>
          </w:p>
        </w:tc>
      </w:tr>
      <w:tr w:rsidR="006E56E7" w:rsidRPr="006E56E7" w:rsidTr="006E56E7">
        <w:tc>
          <w:tcPr>
            <w:tcW w:w="5000" w:type="pct"/>
            <w:gridSpan w:val="4"/>
          </w:tcPr>
          <w:p w:rsidR="006E56E7" w:rsidRPr="006E56E7" w:rsidRDefault="006E56E7" w:rsidP="006E56E7">
            <w:pPr>
              <w:jc w:val="both"/>
              <w:rPr>
                <w:sz w:val="20"/>
                <w:lang w:val="fr-CA"/>
              </w:rPr>
            </w:pPr>
            <w:r w:rsidRPr="006E56E7">
              <w:rPr>
                <w:sz w:val="20"/>
                <w:lang w:val="fr-CA"/>
              </w:rPr>
              <w:t xml:space="preserve">Monsieur Grant, le demandeur, a sollicité une ordonnance pour obliger Trans Union et Equifax, les intimées, de supprimer de son rapport de solvabilité les dettes qui remontaient à plus de deux ans et à l’égard desquelles aucune procédure judiciaire n’avait été introduite et aucun jugement n’avait été obtenu. Selon le demandeur, le délai de prescription de base de deux ans prévu dans la </w:t>
            </w:r>
            <w:r w:rsidRPr="006E56E7">
              <w:rPr>
                <w:i/>
                <w:sz w:val="20"/>
                <w:lang w:val="fr-CA"/>
              </w:rPr>
              <w:t>Loi de 2002 sur la prescription des actions</w:t>
            </w:r>
            <w:r w:rsidRPr="006E56E7">
              <w:rPr>
                <w:sz w:val="20"/>
                <w:lang w:val="fr-CA"/>
              </w:rPr>
              <w:t xml:space="preserve">, L.O. 2002, c. 24, s’appliquait au régime législatif relatif aux renseignements sur la solvabilité des consommateurs en Ontario prévu dans la </w:t>
            </w:r>
            <w:r w:rsidRPr="006E56E7">
              <w:rPr>
                <w:i/>
                <w:sz w:val="20"/>
                <w:lang w:val="fr-CA"/>
              </w:rPr>
              <w:t>Loi sur les renseignements concernant le consommateur</w:t>
            </w:r>
            <w:r w:rsidRPr="006E56E7">
              <w:rPr>
                <w:sz w:val="20"/>
                <w:lang w:val="fr-CA"/>
              </w:rPr>
              <w:t>, L.R.O. 1990, ch. C.33. Essentiellement, le demandeur prétend que les dettes d’un consommateur qui ne peuvent pas être recouvrés ne devraient pas figurer dans son rapport de solvabilité. La Cour supérieure a rejeté la demande de M. Grant, concluant qu’aucune disposition de la</w:t>
            </w:r>
            <w:r w:rsidRPr="006E56E7">
              <w:rPr>
                <w:i/>
                <w:sz w:val="20"/>
                <w:lang w:val="fr-CA"/>
              </w:rPr>
              <w:t xml:space="preserve"> Loi sur la prescription des actions</w:t>
            </w:r>
            <w:r w:rsidRPr="006E56E7">
              <w:rPr>
                <w:sz w:val="20"/>
                <w:lang w:val="fr-CA"/>
              </w:rPr>
              <w:t xml:space="preserve"> n’avait pour effet d’étendre son application à la </w:t>
            </w:r>
            <w:r w:rsidRPr="006E56E7">
              <w:rPr>
                <w:i/>
                <w:sz w:val="20"/>
                <w:lang w:val="fr-CA"/>
              </w:rPr>
              <w:t>Loi sur les renseignements concernant le consommateur</w:t>
            </w:r>
            <w:r w:rsidRPr="006E56E7">
              <w:rPr>
                <w:sz w:val="20"/>
                <w:lang w:val="fr-CA"/>
              </w:rPr>
              <w:t>. La Cour d’appel a rejeté l’appel.</w:t>
            </w:r>
          </w:p>
          <w:p w:rsidR="006E56E7" w:rsidRPr="006E56E7" w:rsidRDefault="006E56E7" w:rsidP="006E56E7">
            <w:pPr>
              <w:jc w:val="both"/>
              <w:rPr>
                <w:sz w:val="20"/>
                <w:lang w:val="fr-CA"/>
              </w:rPr>
            </w:pPr>
          </w:p>
        </w:tc>
      </w:tr>
      <w:tr w:rsidR="006E56E7" w:rsidRPr="006E56E7" w:rsidTr="006E56E7">
        <w:tc>
          <w:tcPr>
            <w:tcW w:w="2427" w:type="pct"/>
            <w:gridSpan w:val="2"/>
          </w:tcPr>
          <w:p w:rsidR="006E56E7" w:rsidRPr="006E56E7" w:rsidRDefault="006E56E7" w:rsidP="006E56E7">
            <w:pPr>
              <w:jc w:val="both"/>
              <w:rPr>
                <w:sz w:val="20"/>
                <w:lang w:val="fr-CA"/>
              </w:rPr>
            </w:pPr>
            <w:r w:rsidRPr="006E56E7">
              <w:rPr>
                <w:sz w:val="20"/>
                <w:lang w:val="fr-CA"/>
              </w:rPr>
              <w:t>2 novembre 2015</w:t>
            </w:r>
          </w:p>
          <w:p w:rsidR="006E56E7" w:rsidRPr="006E56E7" w:rsidRDefault="006E56E7" w:rsidP="006E56E7">
            <w:pPr>
              <w:jc w:val="both"/>
              <w:rPr>
                <w:sz w:val="20"/>
                <w:lang w:val="fr-CA"/>
              </w:rPr>
            </w:pPr>
            <w:r w:rsidRPr="006E56E7">
              <w:rPr>
                <w:sz w:val="20"/>
                <w:lang w:val="fr-CA"/>
              </w:rPr>
              <w:t>Cour supérieure de justice de l’Ontario</w:t>
            </w:r>
          </w:p>
          <w:p w:rsidR="006E56E7" w:rsidRPr="006E56E7" w:rsidRDefault="006E56E7" w:rsidP="006E56E7">
            <w:pPr>
              <w:jc w:val="both"/>
              <w:rPr>
                <w:sz w:val="20"/>
                <w:lang w:val="fr-CA"/>
              </w:rPr>
            </w:pPr>
            <w:r w:rsidRPr="006E56E7">
              <w:rPr>
                <w:sz w:val="20"/>
                <w:lang w:val="fr-CA"/>
              </w:rPr>
              <w:t>(Juge Barnes)</w:t>
            </w:r>
          </w:p>
          <w:p w:rsidR="006E56E7" w:rsidRPr="006E56E7" w:rsidRDefault="007654AB" w:rsidP="006E56E7">
            <w:pPr>
              <w:jc w:val="both"/>
              <w:rPr>
                <w:sz w:val="20"/>
                <w:lang w:val="fr-CA"/>
              </w:rPr>
            </w:pPr>
            <w:hyperlink r:id="rId39" w:history="1">
              <w:r w:rsidR="006E56E7" w:rsidRPr="006E56E7">
                <w:rPr>
                  <w:rStyle w:val="Hyperlink"/>
                  <w:sz w:val="20"/>
                  <w:lang w:val="fr-CA"/>
                </w:rPr>
                <w:t>2015 ONSC 6745</w:t>
              </w:r>
            </w:hyperlink>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Rejet de la demande</w:t>
            </w:r>
          </w:p>
          <w:p w:rsidR="006E56E7" w:rsidRPr="006E56E7" w:rsidRDefault="006E56E7" w:rsidP="006E56E7">
            <w:pPr>
              <w:jc w:val="both"/>
              <w:rPr>
                <w:sz w:val="20"/>
                <w:lang w:val="fr-CA"/>
              </w:rPr>
            </w:pPr>
          </w:p>
        </w:tc>
      </w:tr>
      <w:tr w:rsidR="006E56E7" w:rsidRPr="006E56E7" w:rsidTr="006E56E7">
        <w:tc>
          <w:tcPr>
            <w:tcW w:w="2427" w:type="pct"/>
            <w:gridSpan w:val="2"/>
          </w:tcPr>
          <w:p w:rsidR="006E56E7" w:rsidRPr="006E56E7" w:rsidRDefault="006E56E7" w:rsidP="006E56E7">
            <w:pPr>
              <w:jc w:val="both"/>
              <w:rPr>
                <w:sz w:val="20"/>
                <w:lang w:val="fr-CA"/>
              </w:rPr>
            </w:pPr>
            <w:r w:rsidRPr="006E56E7">
              <w:rPr>
                <w:sz w:val="20"/>
                <w:lang w:val="fr-CA"/>
              </w:rPr>
              <w:t>23 juin 2016</w:t>
            </w:r>
          </w:p>
          <w:p w:rsidR="006E56E7" w:rsidRPr="006E56E7" w:rsidRDefault="006E56E7" w:rsidP="006E56E7">
            <w:pPr>
              <w:jc w:val="both"/>
              <w:rPr>
                <w:sz w:val="20"/>
                <w:lang w:val="fr-CA"/>
              </w:rPr>
            </w:pPr>
            <w:r w:rsidRPr="006E56E7">
              <w:rPr>
                <w:sz w:val="20"/>
                <w:lang w:val="fr-CA"/>
              </w:rPr>
              <w:t xml:space="preserve">Cour d’appel de l’Ontario </w:t>
            </w:r>
          </w:p>
          <w:p w:rsidR="006E56E7" w:rsidRPr="006E56E7" w:rsidRDefault="006E56E7" w:rsidP="006E56E7">
            <w:pPr>
              <w:jc w:val="both"/>
              <w:rPr>
                <w:sz w:val="20"/>
                <w:lang w:val="fr-CA"/>
              </w:rPr>
            </w:pPr>
            <w:r w:rsidRPr="006E56E7">
              <w:rPr>
                <w:sz w:val="20"/>
                <w:lang w:val="fr-CA"/>
              </w:rPr>
              <w:t>(Juges Rouleau, van Rensburg et Benotto)</w:t>
            </w:r>
          </w:p>
          <w:p w:rsidR="006E56E7" w:rsidRPr="006E56E7" w:rsidRDefault="007654AB" w:rsidP="006E56E7">
            <w:pPr>
              <w:jc w:val="both"/>
              <w:rPr>
                <w:sz w:val="20"/>
                <w:lang w:val="fr-CA"/>
              </w:rPr>
            </w:pPr>
            <w:hyperlink r:id="rId40" w:history="1">
              <w:r w:rsidR="006E56E7" w:rsidRPr="006E56E7">
                <w:rPr>
                  <w:rStyle w:val="Hyperlink"/>
                  <w:sz w:val="20"/>
                  <w:lang w:val="fr-CA"/>
                </w:rPr>
                <w:t>2016 ONCA 500</w:t>
              </w:r>
            </w:hyperlink>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Rejet de l’appel</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8 septembre 2016</w:t>
            </w:r>
          </w:p>
          <w:p w:rsidR="006E56E7" w:rsidRPr="006E56E7" w:rsidRDefault="006E56E7" w:rsidP="006E56E7">
            <w:pPr>
              <w:jc w:val="both"/>
              <w:rPr>
                <w:sz w:val="20"/>
                <w:lang w:val="fr-CA"/>
              </w:rPr>
            </w:pPr>
            <w:r w:rsidRPr="006E56E7">
              <w:rPr>
                <w:sz w:val="20"/>
                <w:lang w:val="fr-CA"/>
              </w:rPr>
              <w:lastRenderedPageBreak/>
              <w:t>Cour suprême du Canada</w:t>
            </w: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Dépôt de la demande d’autorisation d’appel</w:t>
            </w:r>
          </w:p>
          <w:p w:rsidR="006E56E7" w:rsidRPr="006E56E7" w:rsidRDefault="006E56E7" w:rsidP="006E56E7">
            <w:pPr>
              <w:jc w:val="both"/>
              <w:rPr>
                <w:sz w:val="20"/>
                <w:lang w:val="fr-CA"/>
              </w:rPr>
            </w:pPr>
          </w:p>
        </w:tc>
      </w:tr>
    </w:tbl>
    <w:p w:rsidR="006E56E7" w:rsidRPr="006E56E7" w:rsidRDefault="006E56E7" w:rsidP="006E56E7">
      <w:pPr>
        <w:jc w:val="both"/>
        <w:rPr>
          <w:sz w:val="20"/>
          <w:lang w:val="fr-CA"/>
        </w:rPr>
      </w:pPr>
    </w:p>
    <w:p w:rsidR="006E56E7" w:rsidRPr="006E56E7" w:rsidRDefault="006E56E7" w:rsidP="006E56E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t>37379</w:t>
            </w:r>
          </w:p>
        </w:tc>
        <w:tc>
          <w:tcPr>
            <w:tcW w:w="4457" w:type="pct"/>
            <w:gridSpan w:val="3"/>
          </w:tcPr>
          <w:p w:rsidR="006E56E7" w:rsidRPr="006E56E7" w:rsidRDefault="006E56E7" w:rsidP="006E56E7">
            <w:pPr>
              <w:pStyle w:val="SCCLsocParty"/>
              <w:jc w:val="both"/>
              <w:rPr>
                <w:b/>
                <w:sz w:val="20"/>
                <w:szCs w:val="20"/>
                <w:lang w:val="en-US"/>
              </w:rPr>
            </w:pPr>
            <w:r w:rsidRPr="006E56E7">
              <w:rPr>
                <w:b/>
                <w:sz w:val="20"/>
                <w:szCs w:val="20"/>
                <w:lang w:val="en-US"/>
              </w:rPr>
              <w:t xml:space="preserve">Fabian </w:t>
            </w:r>
            <w:proofErr w:type="spellStart"/>
            <w:r w:rsidRPr="006E56E7">
              <w:rPr>
                <w:b/>
                <w:sz w:val="20"/>
                <w:szCs w:val="20"/>
                <w:lang w:val="en-US"/>
              </w:rPr>
              <w:t>Loayza-Penaloza</w:t>
            </w:r>
            <w:proofErr w:type="spellEnd"/>
            <w:r w:rsidRPr="006E56E7">
              <w:rPr>
                <w:b/>
                <w:sz w:val="20"/>
                <w:szCs w:val="20"/>
                <w:lang w:val="en-US"/>
              </w:rPr>
              <w:t xml:space="preserve"> v. Her Majesty the Queen</w:t>
            </w:r>
          </w:p>
          <w:p w:rsidR="006E56E7" w:rsidRPr="006E56E7" w:rsidRDefault="006E56E7" w:rsidP="006E56E7">
            <w:pPr>
              <w:jc w:val="both"/>
              <w:rPr>
                <w:sz w:val="20"/>
              </w:rPr>
            </w:pPr>
            <w:r w:rsidRPr="006E56E7">
              <w:rPr>
                <w:sz w:val="20"/>
              </w:rPr>
              <w:t>(Ont.) (Criminal) (By Leave)</w:t>
            </w:r>
          </w:p>
        </w:tc>
      </w:tr>
      <w:tr w:rsidR="006E56E7" w:rsidRPr="006E56E7" w:rsidTr="006E56E7">
        <w:tc>
          <w:tcPr>
            <w:tcW w:w="5000" w:type="pct"/>
            <w:gridSpan w:val="4"/>
          </w:tcPr>
          <w:p w:rsidR="006E56E7" w:rsidRPr="006E56E7" w:rsidRDefault="006E56E7" w:rsidP="006E56E7">
            <w:pPr>
              <w:jc w:val="both"/>
              <w:rPr>
                <w:sz w:val="20"/>
              </w:rPr>
            </w:pPr>
            <w:r w:rsidRPr="006E56E7">
              <w:rPr>
                <w:sz w:val="20"/>
              </w:rPr>
              <w:t xml:space="preserve">Criminal Law — Trial — Jury charge — First degree murder — Party to offence — Whether an accused can be convicted of first degree murder as an aider or abettor or common purpose party through the combined operation of ss. 21 and 231(5) of the </w:t>
            </w:r>
            <w:r w:rsidRPr="006E56E7">
              <w:rPr>
                <w:i/>
                <w:sz w:val="20"/>
              </w:rPr>
              <w:t>Criminal Code</w:t>
            </w:r>
            <w:r w:rsidRPr="006E56E7">
              <w:rPr>
                <w:sz w:val="20"/>
              </w:rPr>
              <w:t xml:space="preserve"> — Whether on the facts of the case, the trial judge erred in leaving party liability with the jury as routes of liability for first and second degree murder — Whether the trial judge erred in his charge to the jury in relating facts to law — Whether the Court of Appeal erred in holding a witness’s prior inconsistent statements admissible for the truth of their contents? </w:t>
            </w:r>
          </w:p>
        </w:tc>
      </w:tr>
      <w:tr w:rsidR="006E56E7" w:rsidRPr="006E56E7" w:rsidTr="006E56E7">
        <w:tc>
          <w:tcPr>
            <w:tcW w:w="5000" w:type="pct"/>
            <w:gridSpan w:val="4"/>
          </w:tcPr>
          <w:p w:rsidR="006E56E7" w:rsidRPr="006E56E7" w:rsidRDefault="006E56E7" w:rsidP="006E56E7">
            <w:pPr>
              <w:jc w:val="both"/>
              <w:rPr>
                <w:sz w:val="20"/>
              </w:rPr>
            </w:pPr>
          </w:p>
        </w:tc>
      </w:tr>
      <w:tr w:rsidR="006E56E7" w:rsidRPr="006E56E7" w:rsidTr="006E56E7">
        <w:tc>
          <w:tcPr>
            <w:tcW w:w="5000" w:type="pct"/>
            <w:gridSpan w:val="4"/>
          </w:tcPr>
          <w:p w:rsidR="006E56E7" w:rsidRPr="006E56E7" w:rsidRDefault="006E56E7" w:rsidP="006E56E7">
            <w:pPr>
              <w:jc w:val="both"/>
              <w:rPr>
                <w:sz w:val="20"/>
              </w:rPr>
            </w:pPr>
            <w:r w:rsidRPr="006E56E7">
              <w:rPr>
                <w:sz w:val="20"/>
              </w:rPr>
              <w:t>Mr. </w:t>
            </w:r>
            <w:proofErr w:type="spellStart"/>
            <w:r w:rsidRPr="006E56E7">
              <w:rPr>
                <w:sz w:val="20"/>
              </w:rPr>
              <w:t>Loayza-Penaloza</w:t>
            </w:r>
            <w:proofErr w:type="spellEnd"/>
            <w:r w:rsidRPr="006E56E7">
              <w:rPr>
                <w:sz w:val="20"/>
              </w:rPr>
              <w:t xml:space="preserve"> was tried jointly with Mr. Figueroa for the first degree murder of Ms. </w:t>
            </w:r>
            <w:proofErr w:type="spellStart"/>
            <w:r w:rsidRPr="006E56E7">
              <w:rPr>
                <w:sz w:val="20"/>
              </w:rPr>
              <w:t>Dulnuan</w:t>
            </w:r>
            <w:proofErr w:type="spellEnd"/>
            <w:r w:rsidRPr="006E56E7">
              <w:rPr>
                <w:sz w:val="20"/>
              </w:rPr>
              <w:t>, who was strangled to death during a home invasion and robbery. Each accused admitted he participated in the robbery and blamed the other for the murder. Mr. </w:t>
            </w:r>
            <w:proofErr w:type="spellStart"/>
            <w:r w:rsidRPr="006E56E7">
              <w:rPr>
                <w:sz w:val="20"/>
              </w:rPr>
              <w:t>Loayza-Penaloza</w:t>
            </w:r>
            <w:proofErr w:type="spellEnd"/>
            <w:r w:rsidRPr="006E56E7">
              <w:rPr>
                <w:sz w:val="20"/>
              </w:rPr>
              <w:t xml:space="preserve"> testified that he was a get-away driver, he was outside the house in his van when Mr. Figueroa killed Ms. </w:t>
            </w:r>
            <w:proofErr w:type="spellStart"/>
            <w:r w:rsidRPr="006E56E7">
              <w:rPr>
                <w:sz w:val="20"/>
              </w:rPr>
              <w:t>Dulnuan</w:t>
            </w:r>
            <w:proofErr w:type="spellEnd"/>
            <w:r w:rsidRPr="006E56E7">
              <w:rPr>
                <w:sz w:val="20"/>
              </w:rPr>
              <w:t>, he could not have anticipated a murder, and he did not know about the murder until later. The Crown’s evidence included a statement to the police by Mr. </w:t>
            </w:r>
            <w:proofErr w:type="spellStart"/>
            <w:r w:rsidRPr="006E56E7">
              <w:rPr>
                <w:sz w:val="20"/>
              </w:rPr>
              <w:t>Loayza-Penaloza’s</w:t>
            </w:r>
            <w:proofErr w:type="spellEnd"/>
            <w:r w:rsidRPr="006E56E7">
              <w:rPr>
                <w:sz w:val="20"/>
              </w:rPr>
              <w:t xml:space="preserve"> ex-wife that she had dreamed that Mr. </w:t>
            </w:r>
            <w:proofErr w:type="spellStart"/>
            <w:r w:rsidRPr="006E56E7">
              <w:rPr>
                <w:sz w:val="20"/>
              </w:rPr>
              <w:t>Loayza-Penaloza</w:t>
            </w:r>
            <w:proofErr w:type="spellEnd"/>
            <w:r w:rsidRPr="006E56E7">
              <w:rPr>
                <w:sz w:val="20"/>
              </w:rPr>
              <w:t xml:space="preserve"> had participated in the murder. She described details not released to the public. At trial, she testified that she lied to the police and the details in the fabricated dream were told to her by Mr. </w:t>
            </w:r>
            <w:proofErr w:type="spellStart"/>
            <w:r w:rsidRPr="006E56E7">
              <w:rPr>
                <w:sz w:val="20"/>
              </w:rPr>
              <w:t>Loayza-Penaloza</w:t>
            </w:r>
            <w:proofErr w:type="spellEnd"/>
            <w:r w:rsidRPr="006E56E7">
              <w:rPr>
                <w:sz w:val="20"/>
              </w:rPr>
              <w:t xml:space="preserve">, who also told her that Mr. Figueroa had done these things. </w:t>
            </w:r>
            <w:proofErr w:type="spellStart"/>
            <w:r w:rsidRPr="006E56E7">
              <w:rPr>
                <w:sz w:val="20"/>
              </w:rPr>
              <w:t>Sproat</w:t>
            </w:r>
            <w:proofErr w:type="spellEnd"/>
            <w:r w:rsidRPr="006E56E7">
              <w:rPr>
                <w:sz w:val="20"/>
              </w:rPr>
              <w:t xml:space="preserve"> J. in part instructed the jury that, pursuant to s. 231(5) of the </w:t>
            </w:r>
            <w:r w:rsidRPr="006E56E7">
              <w:rPr>
                <w:i/>
                <w:sz w:val="20"/>
              </w:rPr>
              <w:t>Criminal Code</w:t>
            </w:r>
            <w:r w:rsidRPr="006E56E7">
              <w:rPr>
                <w:sz w:val="20"/>
              </w:rPr>
              <w:t xml:space="preserve">, murder is first degree when death is caused while committing or attempting to commit forcible confinement. He also instructed the jury on party liability under s. 21 of the </w:t>
            </w:r>
            <w:r w:rsidRPr="006E56E7">
              <w:rPr>
                <w:i/>
                <w:sz w:val="20"/>
              </w:rPr>
              <w:t>Criminal Code</w:t>
            </w:r>
            <w:r w:rsidRPr="006E56E7">
              <w:rPr>
                <w:sz w:val="20"/>
              </w:rPr>
              <w:t>.</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June 11, 2010</w:t>
            </w:r>
          </w:p>
          <w:p w:rsidR="006E56E7" w:rsidRPr="006E56E7" w:rsidRDefault="006E56E7" w:rsidP="006E56E7">
            <w:pPr>
              <w:jc w:val="both"/>
              <w:rPr>
                <w:sz w:val="20"/>
              </w:rPr>
            </w:pPr>
            <w:r w:rsidRPr="006E56E7">
              <w:rPr>
                <w:sz w:val="20"/>
              </w:rPr>
              <w:t>Ontario Superior Court of Justice</w:t>
            </w:r>
          </w:p>
          <w:p w:rsidR="006E56E7" w:rsidRPr="006E56E7" w:rsidRDefault="006E56E7" w:rsidP="006E56E7">
            <w:pPr>
              <w:jc w:val="both"/>
              <w:rPr>
                <w:sz w:val="20"/>
              </w:rPr>
            </w:pPr>
            <w:r w:rsidRPr="006E56E7">
              <w:rPr>
                <w:sz w:val="20"/>
              </w:rPr>
              <w:t>(</w:t>
            </w:r>
            <w:proofErr w:type="spellStart"/>
            <w:r w:rsidRPr="006E56E7">
              <w:rPr>
                <w:sz w:val="20"/>
              </w:rPr>
              <w:t>Sproat</w:t>
            </w:r>
            <w:proofErr w:type="spellEnd"/>
            <w:r w:rsidRPr="006E56E7">
              <w:rPr>
                <w:sz w:val="20"/>
              </w:rPr>
              <w:t xml:space="preserve"> J.)(Unreported)</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 xml:space="preserve">Convictions by jury of first degree murder </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August 29, 2016</w:t>
            </w:r>
          </w:p>
          <w:p w:rsidR="006E56E7" w:rsidRPr="006E56E7" w:rsidRDefault="006E56E7" w:rsidP="006E56E7">
            <w:pPr>
              <w:jc w:val="both"/>
              <w:rPr>
                <w:sz w:val="20"/>
              </w:rPr>
            </w:pPr>
            <w:r w:rsidRPr="006E56E7">
              <w:rPr>
                <w:sz w:val="20"/>
              </w:rPr>
              <w:t>Court of Appeal for Ontario</w:t>
            </w:r>
          </w:p>
          <w:p w:rsidR="006E56E7" w:rsidRPr="006E56E7" w:rsidRDefault="006E56E7" w:rsidP="006E56E7">
            <w:pPr>
              <w:jc w:val="both"/>
              <w:rPr>
                <w:sz w:val="20"/>
              </w:rPr>
            </w:pPr>
            <w:r w:rsidRPr="006E56E7">
              <w:rPr>
                <w:sz w:val="20"/>
              </w:rPr>
              <w:t>(</w:t>
            </w:r>
            <w:proofErr w:type="spellStart"/>
            <w:r w:rsidRPr="006E56E7">
              <w:rPr>
                <w:sz w:val="20"/>
              </w:rPr>
              <w:t>Pepall</w:t>
            </w:r>
            <w:proofErr w:type="spellEnd"/>
            <w:r w:rsidRPr="006E56E7">
              <w:rPr>
                <w:sz w:val="20"/>
              </w:rPr>
              <w:t xml:space="preserve">, Tulloch, </w:t>
            </w:r>
            <w:proofErr w:type="spellStart"/>
            <w:r w:rsidRPr="006E56E7">
              <w:rPr>
                <w:sz w:val="20"/>
              </w:rPr>
              <w:t>Pardu</w:t>
            </w:r>
            <w:proofErr w:type="spellEnd"/>
            <w:r w:rsidRPr="006E56E7">
              <w:rPr>
                <w:sz w:val="20"/>
              </w:rPr>
              <w:t xml:space="preserve"> JJ.A.)</w:t>
            </w:r>
          </w:p>
          <w:p w:rsidR="006E56E7" w:rsidRPr="006E56E7" w:rsidRDefault="006E56E7" w:rsidP="006E56E7">
            <w:pPr>
              <w:jc w:val="both"/>
              <w:rPr>
                <w:sz w:val="20"/>
              </w:rPr>
            </w:pPr>
            <w:r w:rsidRPr="006E56E7">
              <w:rPr>
                <w:sz w:val="20"/>
              </w:rPr>
              <w:t xml:space="preserve">CA53939; </w:t>
            </w:r>
            <w:hyperlink r:id="rId41" w:history="1">
              <w:r w:rsidRPr="006E56E7">
                <w:rPr>
                  <w:rStyle w:val="Hyperlink"/>
                  <w:sz w:val="20"/>
                </w:rPr>
                <w:t>2016 ONCA 645</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 xml:space="preserve">Appeal from convictions dismissed </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January 3, 2017</w:t>
            </w:r>
          </w:p>
          <w:p w:rsidR="006E56E7" w:rsidRPr="006E56E7" w:rsidRDefault="006E56E7" w:rsidP="006E56E7">
            <w:pPr>
              <w:jc w:val="both"/>
              <w:rPr>
                <w:sz w:val="20"/>
              </w:rPr>
            </w:pPr>
            <w:r w:rsidRPr="006E56E7">
              <w:rPr>
                <w:sz w:val="20"/>
              </w:rPr>
              <w:t>Supreme Court of Canada</w:t>
            </w: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Motion for extension of time to serve and file application for leave to appeal and Application for leave to appeal filed</w:t>
            </w:r>
          </w:p>
        </w:tc>
      </w:tr>
    </w:tbl>
    <w:p w:rsidR="006E56E7" w:rsidRPr="006E56E7" w:rsidRDefault="006E56E7" w:rsidP="006E56E7">
      <w:pPr>
        <w:jc w:val="both"/>
        <w:rPr>
          <w:sz w:val="20"/>
        </w:rPr>
      </w:pPr>
    </w:p>
    <w:p w:rsidR="006E56E7" w:rsidRPr="006E56E7" w:rsidRDefault="006E56E7" w:rsidP="006E56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lang w:val="fr-CA"/>
              </w:rPr>
            </w:pPr>
            <w:r w:rsidRPr="006E56E7">
              <w:rPr>
                <w:rStyle w:val="SCCFileNumberChar"/>
                <w:sz w:val="20"/>
                <w:szCs w:val="20"/>
                <w:lang w:val="fr-CA"/>
              </w:rPr>
              <w:t>37379</w:t>
            </w:r>
          </w:p>
        </w:tc>
        <w:tc>
          <w:tcPr>
            <w:tcW w:w="4457" w:type="pct"/>
            <w:gridSpan w:val="3"/>
          </w:tcPr>
          <w:p w:rsidR="006E56E7" w:rsidRPr="006E56E7" w:rsidRDefault="006E56E7" w:rsidP="006E56E7">
            <w:pPr>
              <w:pStyle w:val="SCCLsocParty"/>
              <w:jc w:val="both"/>
              <w:rPr>
                <w:i/>
                <w:sz w:val="20"/>
                <w:szCs w:val="20"/>
              </w:rPr>
            </w:pPr>
            <w:r w:rsidRPr="006E56E7">
              <w:rPr>
                <w:i/>
                <w:sz w:val="20"/>
                <w:szCs w:val="20"/>
              </w:rPr>
              <w:t>Fabian Loayza-Penaloza c. Sa Majesté la Reine</w:t>
            </w:r>
          </w:p>
          <w:p w:rsidR="006E56E7" w:rsidRPr="006E56E7" w:rsidRDefault="006E56E7" w:rsidP="006E56E7">
            <w:pPr>
              <w:jc w:val="both"/>
              <w:rPr>
                <w:sz w:val="20"/>
                <w:lang w:val="fr-CA"/>
              </w:rPr>
            </w:pPr>
            <w:r w:rsidRPr="006E56E7">
              <w:rPr>
                <w:sz w:val="20"/>
                <w:lang w:val="fr-CA"/>
              </w:rPr>
              <w:t>(Ont.) (Criminelle) (Sur autorisation)</w:t>
            </w: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Droit criminel — Procès — Exposé au jury — Meurtre au premier degré — Partie à l’infraction — Un accusé peut-il être déclaré coupable de meurtre au premier degré à titre de personne qui a aidé ou encouragé la perpétration du crime ou de partie à une fin commune par l’effet combiné des art. 21 et 231(5) du</w:t>
            </w:r>
            <w:r w:rsidRPr="006E56E7">
              <w:rPr>
                <w:i/>
                <w:sz w:val="20"/>
                <w:lang w:val="fr-CA"/>
              </w:rPr>
              <w:t xml:space="preserve"> Code criminel</w:t>
            </w:r>
            <w:r w:rsidRPr="006E56E7">
              <w:rPr>
                <w:sz w:val="20"/>
                <w:lang w:val="fr-CA"/>
              </w:rPr>
              <w:t>?</w:t>
            </w:r>
            <w:r w:rsidRPr="006E56E7">
              <w:rPr>
                <w:i/>
                <w:sz w:val="20"/>
                <w:lang w:val="fr-CA"/>
              </w:rPr>
              <w:t xml:space="preserve"> </w:t>
            </w:r>
            <w:r w:rsidRPr="006E56E7">
              <w:rPr>
                <w:sz w:val="20"/>
                <w:lang w:val="fr-CA"/>
              </w:rPr>
              <w:t xml:space="preserve">— Au vu des faits de l’espèce, le juge du procès a-t-il eu tort de laisser le jury considérer la responsabilité du participant comme forme de responsabilité pour meurtre au premier et au deuxième degré? — Le juge du procès a-t-il commis une erreur dans son exposé au jury dans sa mise en corrélation des faits et du droit? — La Cour d’appel a-t-elle eu tort de conclure à l’admissibilité des déclarations incompatibles antérieures d’un témoin pour établir la véracité de leur contenu? </w:t>
            </w:r>
          </w:p>
        </w:tc>
      </w:tr>
      <w:tr w:rsidR="006E56E7" w:rsidRPr="007654AB" w:rsidTr="006E56E7">
        <w:tc>
          <w:tcPr>
            <w:tcW w:w="5000" w:type="pct"/>
            <w:gridSpan w:val="4"/>
          </w:tcPr>
          <w:p w:rsidR="006E56E7" w:rsidRPr="006E56E7" w:rsidRDefault="006E56E7" w:rsidP="006E56E7">
            <w:pPr>
              <w:jc w:val="both"/>
              <w:rPr>
                <w:sz w:val="20"/>
                <w:lang w:val="fr-CA"/>
              </w:rPr>
            </w:pP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 xml:space="preserve">Monsieur </w:t>
            </w:r>
            <w:proofErr w:type="spellStart"/>
            <w:r w:rsidRPr="006E56E7">
              <w:rPr>
                <w:sz w:val="20"/>
                <w:lang w:val="fr-CA"/>
              </w:rPr>
              <w:t>Loayza-Penaloza</w:t>
            </w:r>
            <w:proofErr w:type="spellEnd"/>
            <w:r w:rsidRPr="006E56E7">
              <w:rPr>
                <w:sz w:val="20"/>
                <w:lang w:val="fr-CA"/>
              </w:rPr>
              <w:t xml:space="preserve"> a subi son procès conjointement avec M. Figueroa relativement au meurtre au premier degré de Mme Dulnuan, qui a été mortellement étranglée pendant un cambriolage à domicile et un vol qualifié. Chaque accusé a admis avoir participé au vol qualifié et a blâmé l’autre pour le meurtre. Dans son témoignage </w:t>
            </w:r>
            <w:r w:rsidRPr="006E56E7">
              <w:rPr>
                <w:sz w:val="20"/>
                <w:lang w:val="fr-CA"/>
              </w:rPr>
              <w:lastRenderedPageBreak/>
              <w:t>M. Loayza-Penaloza a affirmé qu’il était le conducteur du véhicule utilisé pour la fuite, qu’il se trouvait à l’extérieur de la maison dans sa fourgonnette lorsque M. </w:t>
            </w:r>
            <w:proofErr w:type="spellStart"/>
            <w:r w:rsidRPr="006E56E7">
              <w:rPr>
                <w:sz w:val="20"/>
                <w:lang w:val="fr-CA"/>
              </w:rPr>
              <w:t>Figueroa</w:t>
            </w:r>
            <w:proofErr w:type="spellEnd"/>
            <w:r w:rsidRPr="006E56E7">
              <w:rPr>
                <w:sz w:val="20"/>
                <w:lang w:val="fr-CA"/>
              </w:rPr>
              <w:t xml:space="preserve"> a tué Mme </w:t>
            </w:r>
            <w:proofErr w:type="spellStart"/>
            <w:r w:rsidRPr="006E56E7">
              <w:rPr>
                <w:sz w:val="20"/>
                <w:lang w:val="fr-CA"/>
              </w:rPr>
              <w:t>Dulnuan</w:t>
            </w:r>
            <w:proofErr w:type="spellEnd"/>
            <w:r w:rsidRPr="006E56E7">
              <w:rPr>
                <w:sz w:val="20"/>
                <w:lang w:val="fr-CA"/>
              </w:rPr>
              <w:t xml:space="preserve">, qu’il lui avait été impossible de prévoir qu’un meurtre allait être commis et qu’il n’avait pris connaissance du meurtre que plus tard. La preuve du ministère public comprenait une déclaration faite aux policiers par l’ex-épouse de M. Loayza-Penaloza qui disait avoir rêvé que M. Loayza-Penaloza avait participé au meurtre. Elle a décrit des détails qui n’avaient pas été rendus publics. Au procès, elle a témoigné qu’elle avait menti aux policiers et que les détails du rêve fictif lui avaient été relatés par M. Loayza-Penaloza, qui lui avait également dit que c’est M. Figueroa qui avait fait ces choses. Dans ses directives, le juge </w:t>
            </w:r>
            <w:proofErr w:type="spellStart"/>
            <w:r w:rsidRPr="006E56E7">
              <w:rPr>
                <w:sz w:val="20"/>
                <w:lang w:val="fr-CA"/>
              </w:rPr>
              <w:t>Sproat</w:t>
            </w:r>
            <w:proofErr w:type="spellEnd"/>
            <w:r w:rsidRPr="006E56E7">
              <w:rPr>
                <w:sz w:val="20"/>
                <w:lang w:val="fr-CA"/>
              </w:rPr>
              <w:t xml:space="preserve"> a notamment dit au jury qu’en vertu du par. 231(5) du </w:t>
            </w:r>
            <w:r w:rsidRPr="006E56E7">
              <w:rPr>
                <w:i/>
                <w:sz w:val="20"/>
                <w:lang w:val="fr-CA"/>
              </w:rPr>
              <w:t>Code criminel</w:t>
            </w:r>
            <w:r w:rsidRPr="006E56E7">
              <w:rPr>
                <w:sz w:val="20"/>
                <w:lang w:val="fr-CA"/>
              </w:rPr>
              <w:t xml:space="preserve">, il y a meurtre au premier degré lorsque la mort est causée en commettant ou en tentant de commettre la séquestration. Il a également donné au jury des directives sur la responsabilité comme partie à l’infraction prévue à l’art. 21 du </w:t>
            </w:r>
            <w:r w:rsidRPr="006E56E7">
              <w:rPr>
                <w:i/>
                <w:sz w:val="20"/>
                <w:lang w:val="fr-CA"/>
              </w:rPr>
              <w:t>Code criminel</w:t>
            </w:r>
            <w:r w:rsidRPr="006E56E7">
              <w:rPr>
                <w:sz w:val="20"/>
                <w:lang w:val="fr-CA"/>
              </w:rPr>
              <w:t>.</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lastRenderedPageBreak/>
              <w:t>11 juin 2010</w:t>
            </w:r>
          </w:p>
          <w:p w:rsidR="006E56E7" w:rsidRPr="006E56E7" w:rsidRDefault="006E56E7" w:rsidP="006E56E7">
            <w:pPr>
              <w:jc w:val="both"/>
              <w:rPr>
                <w:sz w:val="20"/>
                <w:lang w:val="fr-CA"/>
              </w:rPr>
            </w:pPr>
            <w:r w:rsidRPr="006E56E7">
              <w:rPr>
                <w:sz w:val="20"/>
                <w:lang w:val="fr-CA"/>
              </w:rPr>
              <w:t xml:space="preserve">Cour supérieure de justice de l’Ontario </w:t>
            </w:r>
          </w:p>
          <w:p w:rsidR="006E56E7" w:rsidRPr="006E56E7" w:rsidRDefault="006E56E7" w:rsidP="006E56E7">
            <w:pPr>
              <w:jc w:val="both"/>
              <w:rPr>
                <w:sz w:val="20"/>
                <w:lang w:val="fr-CA"/>
              </w:rPr>
            </w:pPr>
            <w:r w:rsidRPr="006E56E7">
              <w:rPr>
                <w:sz w:val="20"/>
                <w:lang w:val="fr-CA"/>
              </w:rPr>
              <w:t>(Juge Sproat) (Non publié)</w:t>
            </w:r>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Déclaration de culpabilité par un jury de meurtre au premier degré</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29 août 2016</w:t>
            </w:r>
          </w:p>
          <w:p w:rsidR="006E56E7" w:rsidRPr="006E56E7" w:rsidRDefault="006E56E7" w:rsidP="006E56E7">
            <w:pPr>
              <w:jc w:val="both"/>
              <w:rPr>
                <w:sz w:val="20"/>
                <w:lang w:val="fr-CA"/>
              </w:rPr>
            </w:pPr>
            <w:r w:rsidRPr="006E56E7">
              <w:rPr>
                <w:sz w:val="20"/>
                <w:lang w:val="fr-CA"/>
              </w:rPr>
              <w:t xml:space="preserve">Cour d’appel de l’Ontario </w:t>
            </w:r>
          </w:p>
          <w:p w:rsidR="006E56E7" w:rsidRPr="006E56E7" w:rsidRDefault="006E56E7" w:rsidP="006E56E7">
            <w:pPr>
              <w:jc w:val="both"/>
              <w:rPr>
                <w:sz w:val="20"/>
                <w:lang w:val="fr-CA"/>
              </w:rPr>
            </w:pPr>
            <w:r w:rsidRPr="006E56E7">
              <w:rPr>
                <w:sz w:val="20"/>
                <w:lang w:val="fr-CA"/>
              </w:rPr>
              <w:t>(Juges Pepall, Tulloch et Pardu)</w:t>
            </w:r>
          </w:p>
          <w:p w:rsidR="006E56E7" w:rsidRPr="006E56E7" w:rsidRDefault="006E56E7" w:rsidP="006E56E7">
            <w:pPr>
              <w:jc w:val="both"/>
              <w:rPr>
                <w:sz w:val="20"/>
                <w:lang w:val="fr-CA"/>
              </w:rPr>
            </w:pPr>
            <w:r w:rsidRPr="006E56E7">
              <w:rPr>
                <w:sz w:val="20"/>
                <w:lang w:val="fr-CA"/>
              </w:rPr>
              <w:t xml:space="preserve">CA53939; </w:t>
            </w:r>
            <w:hyperlink r:id="rId42" w:history="1">
              <w:r w:rsidRPr="006E56E7">
                <w:rPr>
                  <w:rStyle w:val="Hyperlink"/>
                  <w:sz w:val="20"/>
                  <w:lang w:val="fr-CA"/>
                </w:rPr>
                <w:t>2016 ONCA 645</w:t>
              </w:r>
            </w:hyperlink>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Rejet de l’appel des déclarations de culpabilité</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3 janvier 2017</w:t>
            </w:r>
          </w:p>
          <w:p w:rsidR="006E56E7" w:rsidRPr="006E56E7" w:rsidRDefault="006E56E7" w:rsidP="006E56E7">
            <w:pPr>
              <w:jc w:val="both"/>
              <w:rPr>
                <w:sz w:val="20"/>
                <w:lang w:val="fr-CA"/>
              </w:rPr>
            </w:pPr>
            <w:r w:rsidRPr="006E56E7">
              <w:rPr>
                <w:sz w:val="20"/>
                <w:lang w:val="fr-CA"/>
              </w:rPr>
              <w:t>Cour suprême du Canada</w:t>
            </w: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Dépôt de la requête en prorogation du délai de signification et de dépôt de la demande d’autorisation d’appel et de la demande d’autorisation d’appel</w:t>
            </w:r>
          </w:p>
        </w:tc>
      </w:tr>
    </w:tbl>
    <w:p w:rsidR="006E56E7" w:rsidRPr="006E56E7" w:rsidRDefault="006E56E7" w:rsidP="006E56E7">
      <w:pPr>
        <w:jc w:val="both"/>
        <w:rPr>
          <w:sz w:val="20"/>
          <w:lang w:val="fr-CA"/>
        </w:rPr>
      </w:pPr>
    </w:p>
    <w:p w:rsidR="006E56E7" w:rsidRPr="006E56E7" w:rsidRDefault="006E56E7" w:rsidP="006E56E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t>37426</w:t>
            </w:r>
          </w:p>
        </w:tc>
        <w:tc>
          <w:tcPr>
            <w:tcW w:w="4457" w:type="pct"/>
            <w:gridSpan w:val="3"/>
          </w:tcPr>
          <w:p w:rsidR="006E56E7" w:rsidRPr="006E56E7" w:rsidRDefault="006E56E7" w:rsidP="006E56E7">
            <w:pPr>
              <w:pStyle w:val="SCCLsocParty"/>
              <w:jc w:val="both"/>
              <w:rPr>
                <w:b/>
                <w:sz w:val="20"/>
                <w:szCs w:val="20"/>
                <w:lang w:val="en-US"/>
              </w:rPr>
            </w:pPr>
            <w:r w:rsidRPr="006E56E7">
              <w:rPr>
                <w:b/>
                <w:sz w:val="20"/>
                <w:szCs w:val="20"/>
                <w:lang w:val="en-US"/>
              </w:rPr>
              <w:t>Michael Mullins v. Her Majesty the Queen</w:t>
            </w:r>
          </w:p>
          <w:p w:rsidR="006E56E7" w:rsidRPr="006E56E7" w:rsidRDefault="006E56E7" w:rsidP="006E56E7">
            <w:pPr>
              <w:jc w:val="both"/>
              <w:rPr>
                <w:sz w:val="20"/>
              </w:rPr>
            </w:pPr>
            <w:r w:rsidRPr="006E56E7">
              <w:rPr>
                <w:sz w:val="20"/>
              </w:rPr>
              <w:t>(Ont.) (Criminal) (By Leave)</w:t>
            </w:r>
          </w:p>
        </w:tc>
      </w:tr>
      <w:tr w:rsidR="006E56E7" w:rsidRPr="006E56E7" w:rsidTr="006E56E7">
        <w:tc>
          <w:tcPr>
            <w:tcW w:w="5000" w:type="pct"/>
            <w:gridSpan w:val="4"/>
          </w:tcPr>
          <w:p w:rsidR="006E56E7" w:rsidRPr="006E56E7" w:rsidRDefault="006E56E7" w:rsidP="006E56E7">
            <w:pPr>
              <w:jc w:val="both"/>
              <w:rPr>
                <w:sz w:val="20"/>
              </w:rPr>
            </w:pPr>
            <w:r w:rsidRPr="006E56E7">
              <w:rPr>
                <w:sz w:val="20"/>
              </w:rPr>
              <w:t>(PUBLICATION BAN IN CASE)</w:t>
            </w:r>
          </w:p>
          <w:p w:rsidR="006E56E7" w:rsidRPr="006E56E7" w:rsidRDefault="006E56E7" w:rsidP="006E56E7">
            <w:pPr>
              <w:jc w:val="both"/>
              <w:rPr>
                <w:sz w:val="20"/>
              </w:rPr>
            </w:pPr>
          </w:p>
          <w:p w:rsidR="006E56E7" w:rsidRPr="006E56E7" w:rsidRDefault="006E56E7" w:rsidP="006E56E7">
            <w:pPr>
              <w:jc w:val="both"/>
              <w:rPr>
                <w:sz w:val="20"/>
              </w:rPr>
            </w:pPr>
            <w:r w:rsidRPr="006E56E7">
              <w:rPr>
                <w:i/>
                <w:sz w:val="20"/>
              </w:rPr>
              <w:t xml:space="preserve">Charter of Rights </w:t>
            </w:r>
            <w:r w:rsidRPr="006E56E7">
              <w:rPr>
                <w:sz w:val="20"/>
              </w:rPr>
              <w:t xml:space="preserve">– Criminal law – Sexual assault – Whether the Applicant’s right to full answer and defence was breached – Whether the trial judge overlooked evidence and erred in finding the Applicant guilty – Whether the Applicant’s </w:t>
            </w:r>
            <w:r w:rsidRPr="006E56E7">
              <w:rPr>
                <w:i/>
                <w:sz w:val="20"/>
              </w:rPr>
              <w:t>Charter</w:t>
            </w:r>
            <w:r w:rsidRPr="006E56E7">
              <w:rPr>
                <w:sz w:val="20"/>
              </w:rPr>
              <w:t xml:space="preserve"> rights have been infringed.</w:t>
            </w:r>
          </w:p>
        </w:tc>
      </w:tr>
      <w:tr w:rsidR="006E56E7" w:rsidRPr="006E56E7" w:rsidTr="006E56E7">
        <w:tc>
          <w:tcPr>
            <w:tcW w:w="5000" w:type="pct"/>
            <w:gridSpan w:val="4"/>
          </w:tcPr>
          <w:p w:rsidR="006E56E7" w:rsidRPr="006E56E7" w:rsidRDefault="006E56E7" w:rsidP="006E56E7">
            <w:pPr>
              <w:jc w:val="both"/>
              <w:rPr>
                <w:sz w:val="20"/>
              </w:rPr>
            </w:pPr>
          </w:p>
        </w:tc>
      </w:tr>
      <w:tr w:rsidR="006E56E7" w:rsidRPr="006E56E7" w:rsidTr="006E56E7">
        <w:tc>
          <w:tcPr>
            <w:tcW w:w="5000" w:type="pct"/>
            <w:gridSpan w:val="4"/>
          </w:tcPr>
          <w:p w:rsidR="006E56E7" w:rsidRPr="006E56E7" w:rsidRDefault="006E56E7" w:rsidP="006E56E7">
            <w:pPr>
              <w:jc w:val="both"/>
              <w:rPr>
                <w:sz w:val="20"/>
              </w:rPr>
            </w:pPr>
            <w:r w:rsidRPr="006E56E7">
              <w:rPr>
                <w:sz w:val="20"/>
              </w:rPr>
              <w:t>The Applicant, Mr. Mullins was convicted of sexual assault and of administering a stupefying drug for the purpose of committing the assault. The victim was 18 years old and a close friend of his daughter. He was sentenced to 9 years and was given a credit of 9 months for the period from the date of his arrest to the date of his sentencing, to take into account pre-trial custody, time spent on bail, and time served since conviction. The Court of Appeal dismissed the appeal from conviction. Leave to appeal the sentence was however granted and the appeal allowed, to the extent that the sentence was reduced to 8 years, less 8 days.</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January 13, 2015</w:t>
            </w:r>
          </w:p>
          <w:p w:rsidR="006E56E7" w:rsidRPr="006E56E7" w:rsidRDefault="006E56E7" w:rsidP="006E56E7">
            <w:pPr>
              <w:jc w:val="both"/>
              <w:rPr>
                <w:sz w:val="20"/>
              </w:rPr>
            </w:pPr>
            <w:r w:rsidRPr="006E56E7">
              <w:rPr>
                <w:sz w:val="20"/>
              </w:rPr>
              <w:t>Ontario Superior Court of Justice</w:t>
            </w:r>
          </w:p>
          <w:p w:rsidR="006E56E7" w:rsidRPr="006E56E7" w:rsidRDefault="006E56E7" w:rsidP="006E56E7">
            <w:pPr>
              <w:jc w:val="both"/>
              <w:rPr>
                <w:sz w:val="20"/>
              </w:rPr>
            </w:pPr>
            <w:r w:rsidRPr="006E56E7">
              <w:rPr>
                <w:sz w:val="20"/>
              </w:rPr>
              <w:t>(Molloy J.)</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Applicant convicted of sexual assault and of administering a stupefying drug for the purpose of committing sexual assault</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March 24, 2015</w:t>
            </w:r>
          </w:p>
          <w:p w:rsidR="006E56E7" w:rsidRPr="006E56E7" w:rsidRDefault="006E56E7" w:rsidP="006E56E7">
            <w:pPr>
              <w:jc w:val="both"/>
              <w:rPr>
                <w:sz w:val="20"/>
              </w:rPr>
            </w:pPr>
            <w:r w:rsidRPr="006E56E7">
              <w:rPr>
                <w:sz w:val="20"/>
              </w:rPr>
              <w:t>Ontario Superior Court of Justice</w:t>
            </w:r>
          </w:p>
          <w:p w:rsidR="006E56E7" w:rsidRPr="006E56E7" w:rsidRDefault="006E56E7" w:rsidP="006E56E7">
            <w:pPr>
              <w:jc w:val="both"/>
              <w:rPr>
                <w:sz w:val="20"/>
              </w:rPr>
            </w:pPr>
            <w:r w:rsidRPr="006E56E7">
              <w:rPr>
                <w:sz w:val="20"/>
              </w:rPr>
              <w:t>(Molloy J.)</w:t>
            </w:r>
          </w:p>
          <w:p w:rsidR="006E56E7" w:rsidRPr="006E56E7" w:rsidRDefault="007654AB" w:rsidP="006E56E7">
            <w:pPr>
              <w:jc w:val="both"/>
              <w:rPr>
                <w:sz w:val="20"/>
              </w:rPr>
            </w:pPr>
            <w:hyperlink r:id="rId43" w:history="1">
              <w:r w:rsidR="006E56E7" w:rsidRPr="006E56E7">
                <w:rPr>
                  <w:rStyle w:val="Hyperlink"/>
                  <w:sz w:val="20"/>
                </w:rPr>
                <w:t>2015 ONSC 1724</w:t>
              </w:r>
            </w:hyperlink>
            <w:r w:rsidR="006E56E7" w:rsidRPr="006E56E7">
              <w:rPr>
                <w:sz w:val="20"/>
              </w:rPr>
              <w:t>; CR 14-30000382-0000</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Applicant sentenced to 9 years (with a credit of nine months)</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lastRenderedPageBreak/>
              <w:t>May 11, 2016</w:t>
            </w:r>
          </w:p>
          <w:p w:rsidR="006E56E7" w:rsidRPr="006E56E7" w:rsidRDefault="006E56E7" w:rsidP="006E56E7">
            <w:pPr>
              <w:jc w:val="both"/>
              <w:rPr>
                <w:sz w:val="20"/>
              </w:rPr>
            </w:pPr>
            <w:r w:rsidRPr="006E56E7">
              <w:rPr>
                <w:sz w:val="20"/>
              </w:rPr>
              <w:t>Court of Appeal for Ontario</w:t>
            </w:r>
          </w:p>
          <w:p w:rsidR="006E56E7" w:rsidRPr="006E56E7" w:rsidRDefault="006E56E7" w:rsidP="006E56E7">
            <w:pPr>
              <w:jc w:val="both"/>
              <w:rPr>
                <w:sz w:val="20"/>
              </w:rPr>
            </w:pPr>
            <w:r w:rsidRPr="006E56E7">
              <w:rPr>
                <w:sz w:val="20"/>
              </w:rPr>
              <w:t xml:space="preserve">(Watt, Tulloch and </w:t>
            </w:r>
            <w:proofErr w:type="spellStart"/>
            <w:r w:rsidRPr="006E56E7">
              <w:rPr>
                <w:sz w:val="20"/>
              </w:rPr>
              <w:t>Huscroft</w:t>
            </w:r>
            <w:proofErr w:type="spellEnd"/>
            <w:r w:rsidRPr="006E56E7">
              <w:rPr>
                <w:sz w:val="20"/>
              </w:rPr>
              <w:t xml:space="preserve"> JJ.A.)</w:t>
            </w:r>
          </w:p>
          <w:p w:rsidR="006E56E7" w:rsidRPr="006E56E7" w:rsidRDefault="006E56E7" w:rsidP="006E56E7">
            <w:pPr>
              <w:jc w:val="both"/>
              <w:rPr>
                <w:sz w:val="20"/>
              </w:rPr>
            </w:pPr>
            <w:r w:rsidRPr="006E56E7">
              <w:rPr>
                <w:sz w:val="20"/>
              </w:rPr>
              <w:t>2016 ONCA 415; C60200</w:t>
            </w:r>
          </w:p>
          <w:p w:rsidR="006E56E7" w:rsidRPr="006E56E7" w:rsidRDefault="006E56E7" w:rsidP="006E56E7">
            <w:pPr>
              <w:jc w:val="both"/>
              <w:rPr>
                <w:sz w:val="20"/>
              </w:rPr>
            </w:pPr>
            <w:r w:rsidRPr="006E56E7">
              <w:rPr>
                <w:sz w:val="20"/>
              </w:rPr>
              <w:t xml:space="preserve">(decision not reported on </w:t>
            </w:r>
            <w:proofErr w:type="spellStart"/>
            <w:r w:rsidRPr="006E56E7">
              <w:rPr>
                <w:sz w:val="20"/>
              </w:rPr>
              <w:t>CanLII</w:t>
            </w:r>
            <w:proofErr w:type="spellEnd"/>
            <w:r w:rsidRPr="006E56E7">
              <w:rPr>
                <w:sz w:val="20"/>
              </w:rPr>
              <w:t>)</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Appeal from conviction dismissed; leave to appeal sentence granted and appeal allowed; sentence reduced to 8 years, less 8 days</w:t>
            </w:r>
          </w:p>
          <w:p w:rsidR="006E56E7" w:rsidRPr="006E56E7" w:rsidRDefault="006E56E7" w:rsidP="006E56E7">
            <w:pPr>
              <w:jc w:val="both"/>
              <w:rPr>
                <w:sz w:val="20"/>
              </w:rPr>
            </w:pP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January 6, 2017</w:t>
            </w:r>
          </w:p>
          <w:p w:rsidR="006E56E7" w:rsidRPr="006E56E7" w:rsidRDefault="006E56E7" w:rsidP="006E56E7">
            <w:pPr>
              <w:jc w:val="both"/>
              <w:rPr>
                <w:sz w:val="20"/>
              </w:rPr>
            </w:pPr>
            <w:r w:rsidRPr="006E56E7">
              <w:rPr>
                <w:sz w:val="20"/>
              </w:rPr>
              <w:t>Supreme Court of Canada</w:t>
            </w:r>
          </w:p>
          <w:p w:rsidR="006E56E7" w:rsidRPr="006E56E7" w:rsidRDefault="006E56E7" w:rsidP="006E56E7">
            <w:pPr>
              <w:jc w:val="both"/>
              <w:rPr>
                <w:sz w:val="20"/>
              </w:rPr>
            </w:pP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Motion to extend time to serve and file application for leave to appeal; motion for stay of proceedings; motion to appoint counsel; and Application for leave to appeal filed</w:t>
            </w:r>
          </w:p>
        </w:tc>
      </w:tr>
    </w:tbl>
    <w:p w:rsidR="006E56E7" w:rsidRDefault="006E56E7" w:rsidP="006E56E7">
      <w:pPr>
        <w:jc w:val="both"/>
        <w:rPr>
          <w:sz w:val="20"/>
        </w:rPr>
      </w:pPr>
    </w:p>
    <w:p w:rsidR="006E56E7" w:rsidRPr="006E56E7" w:rsidRDefault="006E56E7" w:rsidP="006E56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t>37426</w:t>
            </w:r>
          </w:p>
        </w:tc>
        <w:tc>
          <w:tcPr>
            <w:tcW w:w="4457" w:type="pct"/>
            <w:gridSpan w:val="3"/>
          </w:tcPr>
          <w:p w:rsidR="006E56E7" w:rsidRPr="006E56E7" w:rsidRDefault="006E56E7" w:rsidP="006E56E7">
            <w:pPr>
              <w:pStyle w:val="SCCLsocParty"/>
              <w:jc w:val="both"/>
              <w:rPr>
                <w:b/>
                <w:sz w:val="20"/>
                <w:szCs w:val="20"/>
              </w:rPr>
            </w:pPr>
            <w:r w:rsidRPr="006E56E7">
              <w:rPr>
                <w:b/>
                <w:sz w:val="20"/>
                <w:szCs w:val="20"/>
              </w:rPr>
              <w:t>Michael Mullins c. Sa Majesté la Reine</w:t>
            </w:r>
          </w:p>
          <w:p w:rsidR="006E56E7" w:rsidRPr="006E56E7" w:rsidRDefault="006E56E7" w:rsidP="006E56E7">
            <w:pPr>
              <w:jc w:val="both"/>
              <w:rPr>
                <w:sz w:val="20"/>
              </w:rPr>
            </w:pPr>
            <w:r w:rsidRPr="006E56E7">
              <w:rPr>
                <w:sz w:val="20"/>
              </w:rPr>
              <w:t>(Ont.) (Criminelle) (Sur autorisation)</w:t>
            </w: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(ORDONNANCE DE NON-PUBLICATION DANS LE DOSSIER)</w:t>
            </w:r>
          </w:p>
          <w:p w:rsidR="006E56E7" w:rsidRPr="006E56E7" w:rsidRDefault="006E56E7" w:rsidP="006E56E7">
            <w:pPr>
              <w:jc w:val="both"/>
              <w:rPr>
                <w:sz w:val="20"/>
                <w:lang w:val="fr-CA"/>
              </w:rPr>
            </w:pPr>
          </w:p>
          <w:p w:rsidR="006E56E7" w:rsidRPr="006E56E7" w:rsidRDefault="006E56E7" w:rsidP="006E56E7">
            <w:pPr>
              <w:jc w:val="both"/>
              <w:rPr>
                <w:sz w:val="20"/>
                <w:lang w:val="fr-CA"/>
              </w:rPr>
            </w:pPr>
            <w:r w:rsidRPr="006E56E7">
              <w:rPr>
                <w:i/>
                <w:sz w:val="20"/>
                <w:lang w:val="fr-CA"/>
              </w:rPr>
              <w:t xml:space="preserve">Charte des droits </w:t>
            </w:r>
            <w:r w:rsidRPr="006E56E7">
              <w:rPr>
                <w:sz w:val="20"/>
                <w:lang w:val="fr-CA"/>
              </w:rPr>
              <w:t xml:space="preserve">– Droit criminel – Agression sexuelle – Y a-t-il eu atteinte au droit du demandeur à une défense pleine et entière? – La juge de première instance a-t-elle négligé des éléments de preuve et fait erreur en concluant à la culpabilité du demandeur? – Y a-t-il eu atteinte aux droits que la </w:t>
            </w:r>
            <w:r w:rsidRPr="006E56E7">
              <w:rPr>
                <w:i/>
                <w:sz w:val="20"/>
                <w:lang w:val="fr-CA"/>
              </w:rPr>
              <w:t>Charte</w:t>
            </w:r>
            <w:r w:rsidRPr="006E56E7">
              <w:rPr>
                <w:sz w:val="20"/>
                <w:lang w:val="fr-CA"/>
              </w:rPr>
              <w:t xml:space="preserve"> confère au demandeur?</w:t>
            </w:r>
          </w:p>
        </w:tc>
      </w:tr>
      <w:tr w:rsidR="006E56E7" w:rsidRPr="007654AB" w:rsidTr="006E56E7">
        <w:tc>
          <w:tcPr>
            <w:tcW w:w="5000" w:type="pct"/>
            <w:gridSpan w:val="4"/>
          </w:tcPr>
          <w:p w:rsidR="006E56E7" w:rsidRPr="006E56E7" w:rsidRDefault="006E56E7" w:rsidP="006E56E7">
            <w:pPr>
              <w:jc w:val="both"/>
              <w:rPr>
                <w:sz w:val="20"/>
                <w:lang w:val="fr-CA"/>
              </w:rPr>
            </w:pP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Le demandeur, M. Mullins, a été reconnu coupable d’agression sexuelle et d’administration d’une drogue stupéfiante dans le but de commettre l’agression. La victime avait 18 ans et était une bonne amie de sa fille. Il a été condamné à 9 ans d’emprisonnement et s’est vu octroyer un crédit de 9 mois pour la période allant de la date de son arrestation à la date du prononcé de la sentence compte tenu de la détention avant le procès, de la liberté sous caution et de la détention suivant la déclaration de culpabilité. La Cour d’appel a rejeté l’appel formé contre la déclaration de culpabilité. L’autorisation de porter la peine en appel a cependant été accordée, et l’appel accueilli, dans la mesure où la peine a été réduite à 8 ans moins 8 jours.</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13 janvier 2015</w:t>
            </w:r>
          </w:p>
          <w:p w:rsidR="006E56E7" w:rsidRPr="006E56E7" w:rsidRDefault="006E56E7" w:rsidP="006E56E7">
            <w:pPr>
              <w:jc w:val="both"/>
              <w:rPr>
                <w:sz w:val="20"/>
                <w:lang w:val="fr-CA"/>
              </w:rPr>
            </w:pPr>
            <w:r w:rsidRPr="006E56E7">
              <w:rPr>
                <w:sz w:val="20"/>
                <w:lang w:val="fr-CA"/>
              </w:rPr>
              <w:t>Cour supérieure de justice de l’Ontario</w:t>
            </w:r>
          </w:p>
          <w:p w:rsidR="006E56E7" w:rsidRPr="006E56E7" w:rsidRDefault="006E56E7" w:rsidP="006E56E7">
            <w:pPr>
              <w:jc w:val="both"/>
              <w:rPr>
                <w:sz w:val="20"/>
              </w:rPr>
            </w:pPr>
            <w:r w:rsidRPr="006E56E7">
              <w:rPr>
                <w:sz w:val="20"/>
              </w:rPr>
              <w:t>(Juge Molloy)</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val="fr-CA"/>
              </w:rPr>
            </w:pPr>
            <w:r w:rsidRPr="006E56E7">
              <w:rPr>
                <w:sz w:val="20"/>
                <w:lang w:val="fr-CA"/>
              </w:rPr>
              <w:t>Demandeur reconnu coupable d’agression sexuelle et d’administration d’une drogue stupéfiante dans le but de commettre une agression sexuelle</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24 mars 2015</w:t>
            </w:r>
          </w:p>
          <w:p w:rsidR="006E56E7" w:rsidRPr="006E56E7" w:rsidRDefault="006E56E7" w:rsidP="006E56E7">
            <w:pPr>
              <w:jc w:val="both"/>
              <w:rPr>
                <w:sz w:val="20"/>
                <w:lang w:val="fr-CA"/>
              </w:rPr>
            </w:pPr>
            <w:r w:rsidRPr="006E56E7">
              <w:rPr>
                <w:sz w:val="20"/>
                <w:lang w:val="fr-CA"/>
              </w:rPr>
              <w:t xml:space="preserve">Cour supérieure de justice de l’Ontario </w:t>
            </w:r>
          </w:p>
          <w:p w:rsidR="006E56E7" w:rsidRPr="006E56E7" w:rsidRDefault="006E56E7" w:rsidP="006E56E7">
            <w:pPr>
              <w:jc w:val="both"/>
              <w:rPr>
                <w:sz w:val="20"/>
              </w:rPr>
            </w:pPr>
            <w:r w:rsidRPr="006E56E7">
              <w:rPr>
                <w:sz w:val="20"/>
              </w:rPr>
              <w:t>(Juge Molloy)</w:t>
            </w:r>
          </w:p>
          <w:p w:rsidR="006E56E7" w:rsidRPr="006E56E7" w:rsidRDefault="007654AB" w:rsidP="006E56E7">
            <w:pPr>
              <w:jc w:val="both"/>
              <w:rPr>
                <w:sz w:val="20"/>
              </w:rPr>
            </w:pPr>
            <w:hyperlink r:id="rId44" w:history="1">
              <w:r w:rsidR="006E56E7" w:rsidRPr="006E56E7">
                <w:rPr>
                  <w:rStyle w:val="Hyperlink"/>
                  <w:sz w:val="20"/>
                </w:rPr>
                <w:t>2015 ONSC 1724</w:t>
              </w:r>
            </w:hyperlink>
            <w:r w:rsidR="006E56E7" w:rsidRPr="006E56E7">
              <w:rPr>
                <w:sz w:val="20"/>
              </w:rPr>
              <w:t>; CR 14-30000382-0000</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val="fr-CA"/>
              </w:rPr>
            </w:pPr>
            <w:r w:rsidRPr="006E56E7">
              <w:rPr>
                <w:sz w:val="20"/>
                <w:lang w:val="fr-CA"/>
              </w:rPr>
              <w:t>Demandeur condamné à 9 ans d’emprisonnement (avec un crédit de neuf mois)</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11 mai 2016</w:t>
            </w:r>
          </w:p>
          <w:p w:rsidR="006E56E7" w:rsidRPr="006E56E7" w:rsidRDefault="006E56E7" w:rsidP="006E56E7">
            <w:pPr>
              <w:jc w:val="both"/>
              <w:rPr>
                <w:sz w:val="20"/>
                <w:lang w:val="fr-CA"/>
              </w:rPr>
            </w:pPr>
            <w:r w:rsidRPr="006E56E7">
              <w:rPr>
                <w:sz w:val="20"/>
                <w:lang w:val="fr-CA"/>
              </w:rPr>
              <w:t>Cour d’appel de l’Ontario</w:t>
            </w:r>
          </w:p>
          <w:p w:rsidR="006E56E7" w:rsidRPr="006E56E7" w:rsidRDefault="006E56E7" w:rsidP="006E56E7">
            <w:pPr>
              <w:jc w:val="both"/>
              <w:rPr>
                <w:sz w:val="20"/>
                <w:lang w:val="fr-CA"/>
              </w:rPr>
            </w:pPr>
            <w:r w:rsidRPr="006E56E7">
              <w:rPr>
                <w:sz w:val="20"/>
                <w:lang w:val="fr-CA"/>
              </w:rPr>
              <w:t>(Juges Watt, Tulloch et Huscroft)</w:t>
            </w:r>
          </w:p>
          <w:p w:rsidR="006E56E7" w:rsidRPr="006E56E7" w:rsidRDefault="006E56E7" w:rsidP="006E56E7">
            <w:pPr>
              <w:jc w:val="both"/>
              <w:rPr>
                <w:sz w:val="20"/>
                <w:lang w:val="fr-CA"/>
              </w:rPr>
            </w:pPr>
            <w:r w:rsidRPr="006E56E7">
              <w:rPr>
                <w:sz w:val="20"/>
                <w:lang w:val="fr-CA"/>
              </w:rPr>
              <w:t>2016 ONCA 415; C60200</w:t>
            </w:r>
          </w:p>
          <w:p w:rsidR="006E56E7" w:rsidRPr="006E56E7" w:rsidRDefault="006E56E7" w:rsidP="006E56E7">
            <w:pPr>
              <w:jc w:val="both"/>
              <w:rPr>
                <w:sz w:val="20"/>
                <w:lang w:val="fr-CA"/>
              </w:rPr>
            </w:pPr>
            <w:r w:rsidRPr="006E56E7">
              <w:rPr>
                <w:sz w:val="20"/>
                <w:lang w:val="fr-CA"/>
              </w:rPr>
              <w:t>(décision non publiée dans CanLII)</w:t>
            </w:r>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Rejet de l’appel formé contre la déclaration de culpabilité; autorisation de porter la peine en appel accordée et appel accueilli; peine réduite à 8 ans moins 8 jours</w:t>
            </w:r>
          </w:p>
          <w:p w:rsidR="006E56E7" w:rsidRPr="006E56E7" w:rsidRDefault="006E56E7" w:rsidP="006E56E7">
            <w:pPr>
              <w:jc w:val="both"/>
              <w:rPr>
                <w:sz w:val="20"/>
                <w:lang w:val="fr-CA"/>
              </w:rPr>
            </w:pP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rPr>
            </w:pPr>
            <w:r w:rsidRPr="006E56E7">
              <w:rPr>
                <w:sz w:val="20"/>
              </w:rPr>
              <w:t xml:space="preserve">6 </w:t>
            </w:r>
            <w:proofErr w:type="spellStart"/>
            <w:r w:rsidRPr="006E56E7">
              <w:rPr>
                <w:sz w:val="20"/>
              </w:rPr>
              <w:t>janvier</w:t>
            </w:r>
            <w:proofErr w:type="spellEnd"/>
            <w:r w:rsidRPr="006E56E7">
              <w:rPr>
                <w:sz w:val="20"/>
              </w:rPr>
              <w:t xml:space="preserve"> 2017</w:t>
            </w:r>
          </w:p>
          <w:p w:rsidR="006E56E7" w:rsidRPr="006E56E7" w:rsidRDefault="006E56E7" w:rsidP="006E56E7">
            <w:pPr>
              <w:jc w:val="both"/>
              <w:rPr>
                <w:sz w:val="20"/>
              </w:rPr>
            </w:pPr>
            <w:r w:rsidRPr="006E56E7">
              <w:rPr>
                <w:sz w:val="20"/>
              </w:rPr>
              <w:t>Cour suprême du Canada</w:t>
            </w:r>
          </w:p>
          <w:p w:rsidR="006E56E7" w:rsidRPr="006E56E7" w:rsidRDefault="006E56E7" w:rsidP="006E56E7">
            <w:pPr>
              <w:jc w:val="both"/>
              <w:rPr>
                <w:sz w:val="20"/>
              </w:rPr>
            </w:pP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val="fr-CA"/>
              </w:rPr>
            </w:pPr>
            <w:r w:rsidRPr="006E56E7">
              <w:rPr>
                <w:sz w:val="20"/>
                <w:lang w:val="fr-CA"/>
              </w:rPr>
              <w:t xml:space="preserve">Dépôt de la requête en prorogation du délai pour signifier et déposer la demande d’autorisation d’appel, de la requête en arrêt des procédures, de la requête en désignation d’un avocat ainsi que de la demande d’autorisation d’appel  </w:t>
            </w:r>
          </w:p>
        </w:tc>
      </w:tr>
    </w:tbl>
    <w:p w:rsidR="006E56E7" w:rsidRPr="006E56E7" w:rsidRDefault="006E56E7" w:rsidP="006E56E7">
      <w:pPr>
        <w:jc w:val="both"/>
        <w:rPr>
          <w:sz w:val="20"/>
          <w:lang w:val="fr-CA"/>
        </w:rPr>
      </w:pPr>
    </w:p>
    <w:p w:rsidR="006E56E7" w:rsidRPr="006E56E7" w:rsidRDefault="006E56E7" w:rsidP="006E56E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lastRenderedPageBreak/>
              <w:t>37353</w:t>
            </w:r>
          </w:p>
        </w:tc>
        <w:tc>
          <w:tcPr>
            <w:tcW w:w="4457" w:type="pct"/>
            <w:gridSpan w:val="3"/>
          </w:tcPr>
          <w:p w:rsidR="006E56E7" w:rsidRPr="006E56E7" w:rsidRDefault="006E56E7" w:rsidP="006E56E7">
            <w:pPr>
              <w:pStyle w:val="SCCLsocParty"/>
              <w:jc w:val="both"/>
              <w:rPr>
                <w:b/>
                <w:sz w:val="20"/>
                <w:szCs w:val="20"/>
                <w:lang w:val="en-US"/>
              </w:rPr>
            </w:pPr>
            <w:r w:rsidRPr="006E56E7">
              <w:rPr>
                <w:b/>
                <w:sz w:val="20"/>
                <w:szCs w:val="20"/>
                <w:lang w:val="en-US"/>
              </w:rPr>
              <w:t>Roberto Orellana Gonzalez v. Workers’ Compensation Board (</w:t>
            </w:r>
            <w:proofErr w:type="spellStart"/>
            <w:r w:rsidRPr="006E56E7">
              <w:rPr>
                <w:b/>
                <w:sz w:val="20"/>
                <w:szCs w:val="20"/>
                <w:lang w:val="en-US"/>
              </w:rPr>
              <w:t>Worksafe</w:t>
            </w:r>
            <w:proofErr w:type="spellEnd"/>
            <w:r w:rsidRPr="006E56E7">
              <w:rPr>
                <w:b/>
                <w:sz w:val="20"/>
                <w:szCs w:val="20"/>
                <w:lang w:val="en-US"/>
              </w:rPr>
              <w:t>) of British Columbia, Workers’ Compensation Appeal Tribunal and Her Majesty the Queen in Right of the Province of British Columbia (Attorney General - Ministry of Attorney General in the City of Victoria)</w:t>
            </w:r>
          </w:p>
          <w:p w:rsidR="006E56E7" w:rsidRPr="006E56E7" w:rsidRDefault="006E56E7" w:rsidP="006E56E7">
            <w:pPr>
              <w:jc w:val="both"/>
              <w:rPr>
                <w:sz w:val="20"/>
              </w:rPr>
            </w:pPr>
            <w:r w:rsidRPr="006E56E7">
              <w:rPr>
                <w:sz w:val="20"/>
              </w:rPr>
              <w:t>(B.C.) (Civil) (By Leave)</w:t>
            </w:r>
          </w:p>
        </w:tc>
      </w:tr>
      <w:tr w:rsidR="006E56E7" w:rsidRPr="006E56E7" w:rsidTr="006E56E7">
        <w:tc>
          <w:tcPr>
            <w:tcW w:w="5000" w:type="pct"/>
            <w:gridSpan w:val="4"/>
          </w:tcPr>
          <w:p w:rsidR="006E56E7" w:rsidRPr="006E56E7" w:rsidRDefault="006E56E7" w:rsidP="006E56E7">
            <w:pPr>
              <w:jc w:val="both"/>
              <w:rPr>
                <w:sz w:val="20"/>
              </w:rPr>
            </w:pPr>
            <w:r w:rsidRPr="006E56E7">
              <w:rPr>
                <w:i/>
                <w:sz w:val="20"/>
              </w:rPr>
              <w:t xml:space="preserve">Charter of Rights and Freedoms </w:t>
            </w:r>
            <w:r w:rsidRPr="006E56E7">
              <w:rPr>
                <w:sz w:val="20"/>
              </w:rPr>
              <w:t>― Constitutional law ― Fundamental justice ― Administrative law ― Boards and tribunals ― Workers Compensation Appeal Tribunal ― Judicial review ― Appeals ― Applicant seeking reinstatement of appeal from 2010 dismissal of judicial review petition of tribunal decisions ― Lower courts dismissing application for reinstatement of appeal ― Whether lower courts erred in their reasoning and decisions.</w:t>
            </w:r>
            <w:r w:rsidRPr="006E56E7">
              <w:rPr>
                <w:i/>
                <w:sz w:val="20"/>
              </w:rPr>
              <w:t xml:space="preserve"> </w:t>
            </w:r>
          </w:p>
          <w:p w:rsidR="006E56E7" w:rsidRPr="006E56E7" w:rsidRDefault="006E56E7" w:rsidP="006E56E7">
            <w:pPr>
              <w:jc w:val="both"/>
              <w:rPr>
                <w:sz w:val="20"/>
              </w:rPr>
            </w:pPr>
          </w:p>
        </w:tc>
      </w:tr>
      <w:tr w:rsidR="006E56E7" w:rsidRPr="006E56E7" w:rsidTr="006E56E7">
        <w:tc>
          <w:tcPr>
            <w:tcW w:w="5000" w:type="pct"/>
            <w:gridSpan w:val="4"/>
          </w:tcPr>
          <w:p w:rsidR="006E56E7" w:rsidRPr="006E56E7" w:rsidRDefault="006E56E7" w:rsidP="006E56E7">
            <w:pPr>
              <w:jc w:val="both"/>
              <w:rPr>
                <w:sz w:val="20"/>
              </w:rPr>
            </w:pPr>
            <w:r w:rsidRPr="006E56E7">
              <w:rPr>
                <w:sz w:val="20"/>
                <w:lang w:eastAsia="en-CA"/>
              </w:rPr>
              <w:t xml:space="preserve">The applicant, Mr. Gonzalez suffered a work-place injury in 1995. This application stems from a dismissed petition for judicial review in 2010 from two </w:t>
            </w:r>
            <w:r w:rsidRPr="006E56E7">
              <w:rPr>
                <w:sz w:val="20"/>
              </w:rPr>
              <w:t>Workers’ Compensation Appeal Tribunal</w:t>
            </w:r>
            <w:r w:rsidRPr="006E56E7">
              <w:rPr>
                <w:sz w:val="20"/>
                <w:lang w:eastAsia="en-CA"/>
              </w:rPr>
              <w:t xml:space="preserve"> decisions. After the 2010 decision was rendered, Mr. Gonzalez filed a notice of appeal but took no steps to prosecute the appeal and it was dismissed as abandoned in 2011. Four and a half years later, Mr. Gonzalez brought an application before the British Columbia Court of Appeal to reinstate the appeal. It was dismissed. On appeal, the Court of Appeal also dismissed the application to vary that order. </w:t>
            </w:r>
          </w:p>
        </w:tc>
      </w:tr>
      <w:tr w:rsidR="006E56E7" w:rsidRPr="006E56E7" w:rsidTr="006E56E7">
        <w:tc>
          <w:tcPr>
            <w:tcW w:w="5000" w:type="pct"/>
            <w:gridSpan w:val="4"/>
          </w:tcPr>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April 9, 2010</w:t>
            </w:r>
          </w:p>
          <w:p w:rsidR="006E56E7" w:rsidRPr="006E56E7" w:rsidRDefault="006E56E7" w:rsidP="006E56E7">
            <w:pPr>
              <w:jc w:val="both"/>
              <w:rPr>
                <w:sz w:val="20"/>
              </w:rPr>
            </w:pPr>
            <w:r w:rsidRPr="006E56E7">
              <w:rPr>
                <w:sz w:val="20"/>
              </w:rPr>
              <w:t>Supreme Court of British Columbia</w:t>
            </w:r>
          </w:p>
          <w:p w:rsidR="006E56E7" w:rsidRPr="006E56E7" w:rsidRDefault="006E56E7" w:rsidP="006E56E7">
            <w:pPr>
              <w:jc w:val="both"/>
              <w:rPr>
                <w:sz w:val="20"/>
              </w:rPr>
            </w:pPr>
            <w:r w:rsidRPr="006E56E7">
              <w:rPr>
                <w:sz w:val="20"/>
              </w:rPr>
              <w:t>(</w:t>
            </w:r>
            <w:proofErr w:type="spellStart"/>
            <w:r w:rsidRPr="006E56E7">
              <w:rPr>
                <w:sz w:val="20"/>
              </w:rPr>
              <w:t>Kloegman</w:t>
            </w:r>
            <w:proofErr w:type="spellEnd"/>
            <w:r w:rsidRPr="006E56E7">
              <w:rPr>
                <w:sz w:val="20"/>
              </w:rPr>
              <w:t xml:space="preserve"> J.)</w:t>
            </w:r>
          </w:p>
          <w:p w:rsidR="006E56E7" w:rsidRPr="006E56E7" w:rsidRDefault="007654AB" w:rsidP="006E56E7">
            <w:pPr>
              <w:jc w:val="both"/>
              <w:rPr>
                <w:sz w:val="20"/>
              </w:rPr>
            </w:pPr>
            <w:hyperlink r:id="rId45" w:history="1">
              <w:r w:rsidR="006E56E7" w:rsidRPr="006E56E7">
                <w:rPr>
                  <w:rStyle w:val="Hyperlink"/>
                  <w:sz w:val="20"/>
                </w:rPr>
                <w:t>2010 BCSC 476</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eastAsia="en-CA"/>
              </w:rPr>
            </w:pPr>
            <w:r w:rsidRPr="006E56E7">
              <w:rPr>
                <w:sz w:val="20"/>
                <w:lang w:eastAsia="en-CA"/>
              </w:rPr>
              <w:t>Petition for judicial review of Workers’ Compensation Appeal Division decisions, dismissed.</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May 25, 2016</w:t>
            </w:r>
          </w:p>
          <w:p w:rsidR="006E56E7" w:rsidRPr="006E56E7" w:rsidRDefault="006E56E7" w:rsidP="006E56E7">
            <w:pPr>
              <w:jc w:val="both"/>
              <w:rPr>
                <w:sz w:val="20"/>
              </w:rPr>
            </w:pPr>
            <w:r w:rsidRPr="006E56E7">
              <w:rPr>
                <w:sz w:val="20"/>
              </w:rPr>
              <w:t>Court of Appeal for British Columbia</w:t>
            </w:r>
          </w:p>
          <w:p w:rsidR="006E56E7" w:rsidRPr="006E56E7" w:rsidRDefault="006E56E7" w:rsidP="006E56E7">
            <w:pPr>
              <w:jc w:val="both"/>
              <w:rPr>
                <w:sz w:val="20"/>
              </w:rPr>
            </w:pPr>
            <w:r w:rsidRPr="006E56E7">
              <w:rPr>
                <w:sz w:val="20"/>
              </w:rPr>
              <w:t>(</w:t>
            </w:r>
            <w:proofErr w:type="spellStart"/>
            <w:r w:rsidRPr="006E56E7">
              <w:rPr>
                <w:sz w:val="20"/>
              </w:rPr>
              <w:t>Tysoe</w:t>
            </w:r>
            <w:proofErr w:type="spellEnd"/>
            <w:r w:rsidRPr="006E56E7">
              <w:rPr>
                <w:sz w:val="20"/>
              </w:rPr>
              <w:t xml:space="preserve"> J.A.)</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 xml:space="preserve">Application to reinstate appeal from </w:t>
            </w:r>
            <w:proofErr w:type="spellStart"/>
            <w:r w:rsidRPr="006E56E7">
              <w:rPr>
                <w:sz w:val="20"/>
              </w:rPr>
              <w:t>Kloegman</w:t>
            </w:r>
            <w:proofErr w:type="spellEnd"/>
            <w:r w:rsidRPr="006E56E7">
              <w:rPr>
                <w:sz w:val="20"/>
              </w:rPr>
              <w:t> J.’s 2010 decision, dismissed.</w:t>
            </w:r>
          </w:p>
        </w:tc>
      </w:tr>
      <w:tr w:rsidR="006E56E7" w:rsidRPr="006E56E7" w:rsidTr="006E56E7">
        <w:tc>
          <w:tcPr>
            <w:tcW w:w="2427" w:type="pct"/>
            <w:gridSpan w:val="2"/>
          </w:tcPr>
          <w:p w:rsidR="006E56E7" w:rsidRPr="006E56E7" w:rsidRDefault="006E56E7" w:rsidP="006E56E7">
            <w:pPr>
              <w:jc w:val="both"/>
              <w:rPr>
                <w:sz w:val="20"/>
              </w:rPr>
            </w:pPr>
            <w:r w:rsidRPr="006E56E7">
              <w:rPr>
                <w:sz w:val="20"/>
              </w:rPr>
              <w:t>September 28, 2016</w:t>
            </w:r>
          </w:p>
          <w:p w:rsidR="006E56E7" w:rsidRPr="006E56E7" w:rsidRDefault="006E56E7" w:rsidP="006E56E7">
            <w:pPr>
              <w:jc w:val="both"/>
              <w:rPr>
                <w:sz w:val="20"/>
              </w:rPr>
            </w:pPr>
            <w:r w:rsidRPr="006E56E7">
              <w:rPr>
                <w:sz w:val="20"/>
              </w:rPr>
              <w:t xml:space="preserve">Court of Appeal for British Columbia </w:t>
            </w:r>
          </w:p>
          <w:p w:rsidR="006E56E7" w:rsidRPr="006E56E7" w:rsidRDefault="006E56E7" w:rsidP="006E56E7">
            <w:pPr>
              <w:jc w:val="both"/>
              <w:rPr>
                <w:sz w:val="20"/>
              </w:rPr>
            </w:pPr>
            <w:r w:rsidRPr="006E56E7">
              <w:rPr>
                <w:sz w:val="20"/>
              </w:rPr>
              <w:t>(Vancouver)</w:t>
            </w:r>
          </w:p>
          <w:p w:rsidR="006E56E7" w:rsidRPr="006E56E7" w:rsidRDefault="006E56E7" w:rsidP="006E56E7">
            <w:pPr>
              <w:jc w:val="both"/>
              <w:rPr>
                <w:sz w:val="20"/>
              </w:rPr>
            </w:pPr>
            <w:r w:rsidRPr="006E56E7">
              <w:rPr>
                <w:sz w:val="20"/>
              </w:rPr>
              <w:t xml:space="preserve">(Saunders, </w:t>
            </w:r>
            <w:proofErr w:type="spellStart"/>
            <w:r w:rsidRPr="006E56E7">
              <w:rPr>
                <w:sz w:val="20"/>
              </w:rPr>
              <w:t>Groberman</w:t>
            </w:r>
            <w:proofErr w:type="spellEnd"/>
            <w:r w:rsidRPr="006E56E7">
              <w:rPr>
                <w:sz w:val="20"/>
              </w:rPr>
              <w:t xml:space="preserve"> and </w:t>
            </w:r>
            <w:proofErr w:type="spellStart"/>
            <w:r w:rsidRPr="006E56E7">
              <w:rPr>
                <w:sz w:val="20"/>
              </w:rPr>
              <w:t>Willcock</w:t>
            </w:r>
            <w:proofErr w:type="spellEnd"/>
            <w:r w:rsidRPr="006E56E7">
              <w:rPr>
                <w:sz w:val="20"/>
              </w:rPr>
              <w:t xml:space="preserve"> JJ.A.)</w:t>
            </w:r>
          </w:p>
          <w:p w:rsidR="006E56E7" w:rsidRPr="006E56E7" w:rsidRDefault="007654AB" w:rsidP="006E56E7">
            <w:pPr>
              <w:jc w:val="both"/>
              <w:rPr>
                <w:sz w:val="20"/>
              </w:rPr>
            </w:pPr>
            <w:hyperlink r:id="rId46" w:history="1">
              <w:r w:rsidR="006E56E7" w:rsidRPr="006E56E7">
                <w:rPr>
                  <w:rStyle w:val="Hyperlink"/>
                  <w:sz w:val="20"/>
                </w:rPr>
                <w:t>2016 BCCA 394</w:t>
              </w:r>
            </w:hyperlink>
          </w:p>
          <w:p w:rsidR="006E56E7" w:rsidRPr="006E56E7" w:rsidRDefault="006E56E7" w:rsidP="006E56E7">
            <w:pPr>
              <w:jc w:val="both"/>
              <w:rPr>
                <w:sz w:val="20"/>
              </w:rPr>
            </w:pPr>
            <w:r w:rsidRPr="006E56E7">
              <w:rPr>
                <w:sz w:val="20"/>
              </w:rPr>
              <w:t>File No.: CA38059</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eastAsia="en-CA"/>
              </w:rPr>
            </w:pPr>
            <w:r w:rsidRPr="006E56E7">
              <w:rPr>
                <w:sz w:val="20"/>
                <w:lang w:eastAsia="en-CA"/>
              </w:rPr>
              <w:t xml:space="preserve">Application to vary order of </w:t>
            </w:r>
            <w:proofErr w:type="spellStart"/>
            <w:r w:rsidRPr="006E56E7">
              <w:rPr>
                <w:sz w:val="20"/>
                <w:lang w:eastAsia="en-CA"/>
              </w:rPr>
              <w:t>Tysoe</w:t>
            </w:r>
            <w:proofErr w:type="spellEnd"/>
            <w:r w:rsidRPr="006E56E7">
              <w:rPr>
                <w:sz w:val="20"/>
                <w:lang w:eastAsia="en-CA"/>
              </w:rPr>
              <w:t xml:space="preserve"> J.A., dismissed. </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November 22, 2016</w:t>
            </w:r>
          </w:p>
          <w:p w:rsidR="006E56E7" w:rsidRPr="006E56E7" w:rsidRDefault="006E56E7" w:rsidP="006E56E7">
            <w:pPr>
              <w:jc w:val="both"/>
              <w:rPr>
                <w:sz w:val="20"/>
              </w:rPr>
            </w:pPr>
            <w:r w:rsidRPr="006E56E7">
              <w:rPr>
                <w:sz w:val="20"/>
              </w:rPr>
              <w:t>Supreme Court of Canada</w:t>
            </w: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eastAsia="en-CA"/>
              </w:rPr>
            </w:pPr>
            <w:r w:rsidRPr="006E56E7">
              <w:rPr>
                <w:sz w:val="20"/>
                <w:lang w:eastAsia="en-CA"/>
              </w:rPr>
              <w:t>Application for leave to appeal filed.</w:t>
            </w:r>
          </w:p>
        </w:tc>
      </w:tr>
    </w:tbl>
    <w:p w:rsidR="006E56E7" w:rsidRDefault="006E56E7" w:rsidP="006E56E7">
      <w:pPr>
        <w:jc w:val="both"/>
        <w:rPr>
          <w:sz w:val="20"/>
        </w:rPr>
      </w:pPr>
    </w:p>
    <w:p w:rsidR="006E56E7" w:rsidRPr="006E56E7" w:rsidRDefault="006E56E7" w:rsidP="006E56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7654AB" w:rsidTr="006E56E7">
        <w:tc>
          <w:tcPr>
            <w:tcW w:w="543" w:type="pct"/>
          </w:tcPr>
          <w:p w:rsidR="006E56E7" w:rsidRPr="006E56E7" w:rsidRDefault="006E56E7" w:rsidP="006E56E7">
            <w:pPr>
              <w:jc w:val="both"/>
              <w:rPr>
                <w:sz w:val="20"/>
                <w:lang w:val="fr-CA"/>
              </w:rPr>
            </w:pPr>
            <w:r w:rsidRPr="006E56E7">
              <w:rPr>
                <w:rStyle w:val="SCCFileNumberChar"/>
                <w:sz w:val="20"/>
                <w:szCs w:val="20"/>
                <w:lang w:val="fr-CA"/>
              </w:rPr>
              <w:t>37353</w:t>
            </w:r>
          </w:p>
        </w:tc>
        <w:tc>
          <w:tcPr>
            <w:tcW w:w="4457" w:type="pct"/>
            <w:gridSpan w:val="3"/>
          </w:tcPr>
          <w:p w:rsidR="006E56E7" w:rsidRPr="006E56E7" w:rsidRDefault="006E56E7" w:rsidP="006E56E7">
            <w:pPr>
              <w:pStyle w:val="SCCLsocParty"/>
              <w:jc w:val="both"/>
              <w:rPr>
                <w:b/>
                <w:sz w:val="20"/>
                <w:szCs w:val="20"/>
                <w:lang w:val="en-US"/>
              </w:rPr>
            </w:pPr>
            <w:r w:rsidRPr="006E56E7">
              <w:rPr>
                <w:b/>
                <w:sz w:val="20"/>
                <w:szCs w:val="20"/>
                <w:lang w:val="en-US"/>
              </w:rPr>
              <w:t>Roberto Orellana Gonzalez c. Workers’ Compensation Board (</w:t>
            </w:r>
            <w:proofErr w:type="spellStart"/>
            <w:r w:rsidRPr="006E56E7">
              <w:rPr>
                <w:b/>
                <w:sz w:val="20"/>
                <w:szCs w:val="20"/>
                <w:lang w:val="en-US"/>
              </w:rPr>
              <w:t>Worksafe</w:t>
            </w:r>
            <w:proofErr w:type="spellEnd"/>
            <w:r w:rsidRPr="006E56E7">
              <w:rPr>
                <w:b/>
                <w:sz w:val="20"/>
                <w:szCs w:val="20"/>
                <w:lang w:val="en-US"/>
              </w:rPr>
              <w:t xml:space="preserve">) of British Columbia, Workers’ Compensation Appeal Tribunal et Sa </w:t>
            </w:r>
            <w:proofErr w:type="spellStart"/>
            <w:r w:rsidRPr="006E56E7">
              <w:rPr>
                <w:b/>
                <w:sz w:val="20"/>
                <w:szCs w:val="20"/>
                <w:lang w:val="en-US"/>
              </w:rPr>
              <w:t>Majesté</w:t>
            </w:r>
            <w:proofErr w:type="spellEnd"/>
            <w:r w:rsidRPr="006E56E7">
              <w:rPr>
                <w:b/>
                <w:sz w:val="20"/>
                <w:szCs w:val="20"/>
                <w:lang w:val="en-US"/>
              </w:rPr>
              <w:t xml:space="preserve"> la </w:t>
            </w:r>
            <w:proofErr w:type="spellStart"/>
            <w:r w:rsidRPr="006E56E7">
              <w:rPr>
                <w:b/>
                <w:sz w:val="20"/>
                <w:szCs w:val="20"/>
                <w:lang w:val="en-US"/>
              </w:rPr>
              <w:t>Reine</w:t>
            </w:r>
            <w:proofErr w:type="spellEnd"/>
            <w:r w:rsidRPr="006E56E7">
              <w:rPr>
                <w:b/>
                <w:sz w:val="20"/>
                <w:szCs w:val="20"/>
                <w:lang w:val="en-US"/>
              </w:rPr>
              <w:t xml:space="preserve"> du chef de la province de Colombie-Britannique (Attorney General – Ministry of Attorney General in the City of Victoria)</w:t>
            </w:r>
          </w:p>
          <w:p w:rsidR="006E56E7" w:rsidRPr="006E56E7" w:rsidRDefault="006E56E7" w:rsidP="006E56E7">
            <w:pPr>
              <w:jc w:val="both"/>
              <w:rPr>
                <w:sz w:val="20"/>
                <w:lang w:val="fr-CA"/>
              </w:rPr>
            </w:pPr>
            <w:r w:rsidRPr="006E56E7">
              <w:rPr>
                <w:sz w:val="20"/>
                <w:lang w:val="fr-CA"/>
              </w:rPr>
              <w:t>(C.-B.) (Civile) (Sur autorisation)</w:t>
            </w:r>
          </w:p>
        </w:tc>
      </w:tr>
      <w:tr w:rsidR="006E56E7" w:rsidRPr="007654AB" w:rsidTr="006E56E7">
        <w:tc>
          <w:tcPr>
            <w:tcW w:w="5000" w:type="pct"/>
            <w:gridSpan w:val="4"/>
          </w:tcPr>
          <w:p w:rsidR="006E56E7" w:rsidRPr="006E56E7" w:rsidRDefault="006E56E7" w:rsidP="006E56E7">
            <w:pPr>
              <w:jc w:val="both"/>
              <w:rPr>
                <w:sz w:val="20"/>
                <w:lang w:val="fr-CA"/>
              </w:rPr>
            </w:pPr>
            <w:r w:rsidRPr="006E56E7">
              <w:rPr>
                <w:i/>
                <w:sz w:val="20"/>
                <w:lang w:val="fr-CA"/>
              </w:rPr>
              <w:t xml:space="preserve">Charte des droits et libertés </w:t>
            </w:r>
            <w:r w:rsidRPr="006E56E7">
              <w:rPr>
                <w:sz w:val="20"/>
                <w:lang w:val="fr-CA"/>
              </w:rPr>
              <w:t>― Droit constitutionnel ― Justice fondamentale ― Droit administratif ― Organismes et tribunaux administratifs ― Tribunal d’appel des accidents du travail ― Contrôle judiciaire ― Appels ― Le demandeur sollicite le rétablissement de l’appel du rejet en 2010 d’une requête en contrôle judiciaire de décisions d’un tribunal administratif ― Les juridictions inférieures ont rejeté la demande de rétablissement de l’appel ― Les juridictions inférieures ont-elles commis une erreur dans leur raisonnement et dans leurs décisions?</w:t>
            </w:r>
            <w:r w:rsidRPr="006E56E7">
              <w:rPr>
                <w:i/>
                <w:sz w:val="20"/>
                <w:lang w:val="fr-CA"/>
              </w:rPr>
              <w:t xml:space="preserve"> </w:t>
            </w:r>
          </w:p>
          <w:p w:rsidR="006E56E7" w:rsidRPr="006E56E7" w:rsidRDefault="006E56E7" w:rsidP="006E56E7">
            <w:pPr>
              <w:jc w:val="both"/>
              <w:rPr>
                <w:sz w:val="20"/>
                <w:lang w:val="fr-CA"/>
              </w:rPr>
            </w:pP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eastAsia="en-CA"/>
              </w:rPr>
              <w:t xml:space="preserve">Le demandeur, M. Gonzalez, a subi une blessure au travail en 1995. La présente demande a pour origine le rejet, en 2010, d’une requête en contrôle judiciaire de deux décisions prises par le tribunal d’appel des accidents du travail. Après la décision de 2010, M. Gonzalez a déposé un avis d’appel, mais n’a pris aucune mesure pour y donner suite et l’appel a été rejeté pour cause d’abandon en 2011. Quatre ans et demi plus tard, M. Gonzalez a présenté une </w:t>
            </w:r>
            <w:r w:rsidRPr="006E56E7">
              <w:rPr>
                <w:sz w:val="20"/>
                <w:lang w:val="fr-CA" w:eastAsia="en-CA"/>
              </w:rPr>
              <w:lastRenderedPageBreak/>
              <w:t xml:space="preserve">demande en Cour d’appel de la Colombie-Britannique en vue de rétablir l’appel. La demande a été rejetée. En appel, la Cour d’appel a rejeté la demande en vue de modifier cette ordonnance. </w:t>
            </w:r>
          </w:p>
        </w:tc>
      </w:tr>
      <w:tr w:rsidR="006E56E7" w:rsidRPr="007654AB" w:rsidTr="006E56E7">
        <w:tc>
          <w:tcPr>
            <w:tcW w:w="5000" w:type="pct"/>
            <w:gridSpan w:val="4"/>
          </w:tcPr>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9 avril 2010</w:t>
            </w:r>
          </w:p>
          <w:p w:rsidR="006E56E7" w:rsidRPr="006E56E7" w:rsidRDefault="006E56E7" w:rsidP="006E56E7">
            <w:pPr>
              <w:jc w:val="both"/>
              <w:rPr>
                <w:sz w:val="20"/>
                <w:lang w:val="fr-CA"/>
              </w:rPr>
            </w:pPr>
            <w:r w:rsidRPr="006E56E7">
              <w:rPr>
                <w:sz w:val="20"/>
                <w:lang w:val="fr-CA"/>
              </w:rPr>
              <w:t>Cour suprême de la Colombie-Britannique</w:t>
            </w:r>
          </w:p>
          <w:p w:rsidR="006E56E7" w:rsidRPr="006E56E7" w:rsidRDefault="006E56E7" w:rsidP="006E56E7">
            <w:pPr>
              <w:jc w:val="both"/>
              <w:rPr>
                <w:sz w:val="20"/>
                <w:lang w:val="fr-CA"/>
              </w:rPr>
            </w:pPr>
            <w:r w:rsidRPr="006E56E7">
              <w:rPr>
                <w:sz w:val="20"/>
                <w:lang w:val="fr-CA"/>
              </w:rPr>
              <w:t>(Juge Kloegman)</w:t>
            </w:r>
          </w:p>
          <w:p w:rsidR="006E56E7" w:rsidRPr="006E56E7" w:rsidRDefault="007654AB" w:rsidP="006E56E7">
            <w:pPr>
              <w:jc w:val="both"/>
              <w:rPr>
                <w:sz w:val="20"/>
                <w:lang w:val="fr-CA"/>
              </w:rPr>
            </w:pPr>
            <w:hyperlink r:id="rId47" w:history="1">
              <w:r w:rsidR="006E56E7" w:rsidRPr="006E56E7">
                <w:rPr>
                  <w:rStyle w:val="Hyperlink"/>
                  <w:sz w:val="20"/>
                  <w:lang w:val="fr-CA"/>
                </w:rPr>
                <w:t>2010 BCSC 476</w:t>
              </w:r>
            </w:hyperlink>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eastAsia="en-CA"/>
              </w:rPr>
            </w:pPr>
            <w:r w:rsidRPr="006E56E7">
              <w:rPr>
                <w:sz w:val="20"/>
                <w:lang w:val="fr-CA" w:eastAsia="en-CA"/>
              </w:rPr>
              <w:t>Rejet de la requête en contrôle judiciaire de décisions de la Worker’s Compensation Appeal Division.</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25 mai 2016</w:t>
            </w:r>
          </w:p>
          <w:p w:rsidR="006E56E7" w:rsidRPr="006E56E7" w:rsidRDefault="006E56E7" w:rsidP="006E56E7">
            <w:pPr>
              <w:jc w:val="both"/>
              <w:rPr>
                <w:sz w:val="20"/>
                <w:lang w:val="fr-CA"/>
              </w:rPr>
            </w:pPr>
            <w:r w:rsidRPr="006E56E7">
              <w:rPr>
                <w:sz w:val="20"/>
                <w:lang w:val="fr-CA"/>
              </w:rPr>
              <w:t>Cour d’appel de la Colombie-Britannique</w:t>
            </w:r>
          </w:p>
          <w:p w:rsidR="006E56E7" w:rsidRPr="006E56E7" w:rsidRDefault="006E56E7" w:rsidP="006E56E7">
            <w:pPr>
              <w:jc w:val="both"/>
              <w:rPr>
                <w:sz w:val="20"/>
                <w:lang w:val="fr-CA"/>
              </w:rPr>
            </w:pPr>
            <w:r w:rsidRPr="006E56E7">
              <w:rPr>
                <w:sz w:val="20"/>
                <w:lang w:val="fr-CA"/>
              </w:rPr>
              <w:t>(Juge Tysoe)</w:t>
            </w:r>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Rejet de la demande de rétablissement de l’appel de la décision rendue par la juge Kloegman en 2010.</w:t>
            </w: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28 septembre 2016</w:t>
            </w:r>
          </w:p>
          <w:p w:rsidR="006E56E7" w:rsidRPr="006E56E7" w:rsidRDefault="006E56E7" w:rsidP="006E56E7">
            <w:pPr>
              <w:jc w:val="both"/>
              <w:rPr>
                <w:sz w:val="20"/>
                <w:lang w:val="fr-CA"/>
              </w:rPr>
            </w:pPr>
            <w:r w:rsidRPr="006E56E7">
              <w:rPr>
                <w:sz w:val="20"/>
                <w:lang w:val="fr-CA"/>
              </w:rPr>
              <w:t xml:space="preserve">Cour d’appel de la Colombie-Britannique </w:t>
            </w:r>
          </w:p>
          <w:p w:rsidR="006E56E7" w:rsidRPr="006E56E7" w:rsidRDefault="006E56E7" w:rsidP="006E56E7">
            <w:pPr>
              <w:jc w:val="both"/>
              <w:rPr>
                <w:sz w:val="20"/>
                <w:lang w:val="fr-CA"/>
              </w:rPr>
            </w:pPr>
            <w:r w:rsidRPr="006E56E7">
              <w:rPr>
                <w:sz w:val="20"/>
                <w:lang w:val="fr-CA"/>
              </w:rPr>
              <w:t>(Vancouver)</w:t>
            </w:r>
          </w:p>
          <w:p w:rsidR="006E56E7" w:rsidRPr="006E56E7" w:rsidRDefault="006E56E7" w:rsidP="006E56E7">
            <w:pPr>
              <w:jc w:val="both"/>
              <w:rPr>
                <w:sz w:val="20"/>
                <w:lang w:val="fr-CA"/>
              </w:rPr>
            </w:pPr>
            <w:r w:rsidRPr="006E56E7">
              <w:rPr>
                <w:sz w:val="20"/>
                <w:lang w:val="fr-CA"/>
              </w:rPr>
              <w:t>(Juges Saunders, Groberman et Willcock)</w:t>
            </w:r>
          </w:p>
          <w:p w:rsidR="006E56E7" w:rsidRPr="006E56E7" w:rsidRDefault="007654AB" w:rsidP="006E56E7">
            <w:pPr>
              <w:jc w:val="both"/>
              <w:rPr>
                <w:sz w:val="20"/>
                <w:lang w:val="fr-CA"/>
              </w:rPr>
            </w:pPr>
            <w:hyperlink r:id="rId48" w:history="1">
              <w:r w:rsidR="006E56E7" w:rsidRPr="006E56E7">
                <w:rPr>
                  <w:rStyle w:val="Hyperlink"/>
                  <w:sz w:val="20"/>
                  <w:lang w:val="fr-CA"/>
                </w:rPr>
                <w:t>2016 BCCA 394</w:t>
              </w:r>
            </w:hyperlink>
          </w:p>
          <w:p w:rsidR="006E56E7" w:rsidRPr="006E56E7" w:rsidRDefault="006E56E7" w:rsidP="006E56E7">
            <w:pPr>
              <w:jc w:val="both"/>
              <w:rPr>
                <w:sz w:val="20"/>
                <w:lang w:val="fr-CA"/>
              </w:rPr>
            </w:pPr>
            <w:r w:rsidRPr="006E56E7">
              <w:rPr>
                <w:sz w:val="20"/>
                <w:lang w:val="fr-CA"/>
              </w:rPr>
              <w:t>N</w:t>
            </w:r>
            <w:r w:rsidRPr="006E56E7">
              <w:rPr>
                <w:sz w:val="20"/>
                <w:vertAlign w:val="superscript"/>
                <w:lang w:val="fr-CA"/>
              </w:rPr>
              <w:t>o</w:t>
            </w:r>
            <w:r w:rsidRPr="006E56E7">
              <w:rPr>
                <w:sz w:val="20"/>
                <w:lang w:val="fr-CA"/>
              </w:rPr>
              <w:t xml:space="preserve"> de dossier : CA38059</w:t>
            </w:r>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eastAsia="en-CA"/>
              </w:rPr>
            </w:pPr>
            <w:r w:rsidRPr="006E56E7">
              <w:rPr>
                <w:sz w:val="20"/>
                <w:lang w:val="fr-CA" w:eastAsia="en-CA"/>
              </w:rPr>
              <w:t xml:space="preserve">Rejet de la demande de modification de l’ordonnance du juge Tysoe. </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22 novembre 2016</w:t>
            </w:r>
          </w:p>
          <w:p w:rsidR="006E56E7" w:rsidRPr="006E56E7" w:rsidRDefault="006E56E7" w:rsidP="006E56E7">
            <w:pPr>
              <w:jc w:val="both"/>
              <w:rPr>
                <w:sz w:val="20"/>
                <w:lang w:val="fr-CA"/>
              </w:rPr>
            </w:pPr>
            <w:r w:rsidRPr="006E56E7">
              <w:rPr>
                <w:sz w:val="20"/>
                <w:lang w:val="fr-CA"/>
              </w:rPr>
              <w:t>Cour suprême du Canada</w:t>
            </w: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eastAsia="en-CA"/>
              </w:rPr>
            </w:pPr>
            <w:r w:rsidRPr="006E56E7">
              <w:rPr>
                <w:sz w:val="20"/>
                <w:lang w:val="fr-CA" w:eastAsia="en-CA"/>
              </w:rPr>
              <w:t>Dépôt de la demande d’autorisation d’appel.</w:t>
            </w:r>
          </w:p>
        </w:tc>
      </w:tr>
    </w:tbl>
    <w:p w:rsidR="006E56E7" w:rsidRPr="006E56E7" w:rsidRDefault="006E56E7" w:rsidP="006E56E7">
      <w:pPr>
        <w:jc w:val="both"/>
        <w:rPr>
          <w:sz w:val="20"/>
          <w:lang w:val="fr-CA"/>
        </w:rPr>
      </w:pPr>
    </w:p>
    <w:p w:rsidR="006E56E7" w:rsidRPr="006E56E7" w:rsidRDefault="006E56E7" w:rsidP="006E56E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t>37343</w:t>
            </w:r>
          </w:p>
        </w:tc>
        <w:tc>
          <w:tcPr>
            <w:tcW w:w="4457" w:type="pct"/>
            <w:gridSpan w:val="3"/>
          </w:tcPr>
          <w:p w:rsidR="006E56E7" w:rsidRPr="006E56E7" w:rsidRDefault="006E56E7" w:rsidP="006E56E7">
            <w:pPr>
              <w:pStyle w:val="SCCLsocParty"/>
              <w:jc w:val="both"/>
              <w:rPr>
                <w:b/>
                <w:sz w:val="20"/>
                <w:szCs w:val="20"/>
                <w:lang w:val="en-US"/>
              </w:rPr>
            </w:pPr>
            <w:r w:rsidRPr="006E56E7">
              <w:rPr>
                <w:b/>
                <w:sz w:val="20"/>
                <w:szCs w:val="20"/>
                <w:lang w:val="en-US"/>
              </w:rPr>
              <w:t>Glenda Bonilla v. The Personal Insurance Company of Canada</w:t>
            </w:r>
          </w:p>
          <w:p w:rsidR="006E56E7" w:rsidRPr="006E56E7" w:rsidRDefault="006E56E7" w:rsidP="006E56E7">
            <w:pPr>
              <w:jc w:val="both"/>
              <w:rPr>
                <w:sz w:val="20"/>
              </w:rPr>
            </w:pPr>
            <w:r w:rsidRPr="006E56E7">
              <w:rPr>
                <w:sz w:val="20"/>
              </w:rPr>
              <w:t>(Ont.) (Civil) (By Leave)</w:t>
            </w:r>
          </w:p>
        </w:tc>
      </w:tr>
      <w:tr w:rsidR="006E56E7" w:rsidRPr="006E56E7" w:rsidTr="006E56E7">
        <w:tc>
          <w:tcPr>
            <w:tcW w:w="5000" w:type="pct"/>
            <w:gridSpan w:val="4"/>
          </w:tcPr>
          <w:p w:rsidR="006E56E7" w:rsidRPr="006E56E7" w:rsidRDefault="006E56E7" w:rsidP="006E56E7">
            <w:pPr>
              <w:jc w:val="both"/>
              <w:rPr>
                <w:sz w:val="20"/>
              </w:rPr>
            </w:pPr>
            <w:r w:rsidRPr="006E56E7">
              <w:rPr>
                <w:sz w:val="20"/>
              </w:rPr>
              <w:t>Insurance – Automobile insurance – Statutory accident benefits scheme – Denial of income replacement benefits by insurer – Whether the Court of Appeal erred in its interpretation of the limitation provision in dispute – Whether the Court of Appeal misapplied Supreme Court of Canada jurisprudence – Whether the Court of Appeal contradicted other Court of Appeal jurisprudence – Whether the Court of Appeal impaired access to justice for ordinary Canadians.</w:t>
            </w:r>
          </w:p>
        </w:tc>
      </w:tr>
      <w:tr w:rsidR="006E56E7" w:rsidRPr="006E56E7" w:rsidTr="006E56E7">
        <w:tc>
          <w:tcPr>
            <w:tcW w:w="5000" w:type="pct"/>
            <w:gridSpan w:val="4"/>
          </w:tcPr>
          <w:p w:rsidR="006E56E7" w:rsidRPr="006E56E7" w:rsidRDefault="006E56E7" w:rsidP="006E56E7">
            <w:pPr>
              <w:jc w:val="both"/>
              <w:rPr>
                <w:sz w:val="20"/>
              </w:rPr>
            </w:pPr>
          </w:p>
        </w:tc>
      </w:tr>
      <w:tr w:rsidR="006E56E7" w:rsidRPr="006E56E7" w:rsidTr="006E56E7">
        <w:tc>
          <w:tcPr>
            <w:tcW w:w="5000" w:type="pct"/>
            <w:gridSpan w:val="4"/>
          </w:tcPr>
          <w:p w:rsidR="006E56E7" w:rsidRPr="006E56E7" w:rsidRDefault="006E56E7" w:rsidP="006E56E7">
            <w:pPr>
              <w:jc w:val="both"/>
              <w:rPr>
                <w:sz w:val="20"/>
              </w:rPr>
            </w:pPr>
            <w:r w:rsidRPr="006E56E7">
              <w:rPr>
                <w:sz w:val="20"/>
              </w:rPr>
              <w:t xml:space="preserve">The applicant, Ms. Bonilla, was involved in a motor vehicle accident in 2002. Shortly thereafter, she applied for and received Income Replacement Benefits (“IRB”) from the respondent insurer, The Personal Insurance Company of Canada. On February 4, 2003, Personal wrote to Ms. Bonilla advising her that, effective February 27, 2003, her IRBs would no longer be paid. Ms. Bonilla did not commence an action against Personal in respect of her entitlement to IRBs until 2007. </w:t>
            </w:r>
          </w:p>
          <w:p w:rsidR="006E56E7" w:rsidRPr="006E56E7" w:rsidRDefault="006E56E7" w:rsidP="006E56E7">
            <w:pPr>
              <w:jc w:val="both"/>
              <w:rPr>
                <w:sz w:val="20"/>
              </w:rPr>
            </w:pPr>
          </w:p>
          <w:p w:rsidR="006E56E7" w:rsidRPr="006E56E7" w:rsidRDefault="006E56E7" w:rsidP="006E56E7">
            <w:pPr>
              <w:jc w:val="both"/>
              <w:rPr>
                <w:sz w:val="20"/>
              </w:rPr>
            </w:pPr>
            <w:r w:rsidRPr="006E56E7">
              <w:rPr>
                <w:sz w:val="20"/>
              </w:rPr>
              <w:t xml:space="preserve">Personal brought a motion for summary judgment seeking a dismissal of Ms. Bonilla’s action with respect to IRB entitlement on the basis that her claim was barred by the two-year limitation period set out in s. 281.1 of the </w:t>
            </w:r>
            <w:r w:rsidRPr="006E56E7">
              <w:rPr>
                <w:i/>
                <w:iCs/>
                <w:sz w:val="20"/>
              </w:rPr>
              <w:t>Insurance Act</w:t>
            </w:r>
            <w:r w:rsidRPr="006E56E7">
              <w:rPr>
                <w:sz w:val="20"/>
              </w:rPr>
              <w:t xml:space="preserve"> R.S.O. 1990 c. I8, and s. 51 of the </w:t>
            </w:r>
            <w:r w:rsidRPr="006E56E7">
              <w:rPr>
                <w:i/>
                <w:iCs/>
                <w:sz w:val="20"/>
              </w:rPr>
              <w:t>Statutory Accident Benefit Schedule – Accidents</w:t>
            </w:r>
            <w:r w:rsidRPr="006E56E7">
              <w:rPr>
                <w:sz w:val="20"/>
              </w:rPr>
              <w:t xml:space="preserve"> </w:t>
            </w:r>
            <w:r w:rsidRPr="006E56E7">
              <w:rPr>
                <w:i/>
                <w:iCs/>
                <w:sz w:val="20"/>
              </w:rPr>
              <w:t>on or After</w:t>
            </w:r>
            <w:r w:rsidRPr="006E56E7">
              <w:rPr>
                <w:sz w:val="20"/>
              </w:rPr>
              <w:t xml:space="preserve"> </w:t>
            </w:r>
            <w:r w:rsidRPr="006E56E7">
              <w:rPr>
                <w:i/>
                <w:iCs/>
                <w:sz w:val="20"/>
              </w:rPr>
              <w:t>November 1, 1996</w:t>
            </w:r>
            <w:r w:rsidRPr="006E56E7">
              <w:rPr>
                <w:sz w:val="20"/>
              </w:rPr>
              <w:t>, O. Reg. 403/96, as those provisions read at the relevant time.</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February 29, 2016</w:t>
            </w:r>
          </w:p>
          <w:p w:rsidR="006E56E7" w:rsidRPr="006E56E7" w:rsidRDefault="006E56E7" w:rsidP="006E56E7">
            <w:pPr>
              <w:jc w:val="both"/>
              <w:rPr>
                <w:sz w:val="20"/>
              </w:rPr>
            </w:pPr>
            <w:r w:rsidRPr="006E56E7">
              <w:rPr>
                <w:sz w:val="20"/>
              </w:rPr>
              <w:t>Ontario Superior Court of Justice</w:t>
            </w:r>
          </w:p>
          <w:p w:rsidR="006E56E7" w:rsidRPr="006E56E7" w:rsidRDefault="006E56E7" w:rsidP="006E56E7">
            <w:pPr>
              <w:jc w:val="both"/>
              <w:rPr>
                <w:sz w:val="20"/>
              </w:rPr>
            </w:pPr>
            <w:r w:rsidRPr="006E56E7">
              <w:rPr>
                <w:sz w:val="20"/>
              </w:rPr>
              <w:t>(Diamond J.)</w:t>
            </w:r>
          </w:p>
          <w:p w:rsidR="006E56E7" w:rsidRPr="006E56E7" w:rsidRDefault="007654AB" w:rsidP="006E56E7">
            <w:pPr>
              <w:jc w:val="both"/>
              <w:rPr>
                <w:sz w:val="20"/>
              </w:rPr>
            </w:pPr>
            <w:hyperlink r:id="rId49" w:history="1">
              <w:r w:rsidR="006E56E7" w:rsidRPr="006E56E7">
                <w:rPr>
                  <w:rStyle w:val="Hyperlink"/>
                  <w:sz w:val="20"/>
                </w:rPr>
                <w:t>2016 ONSC 1411</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 xml:space="preserve">Motion for summary judgment granted, action against insurer for terminating income replacement benefits dismissed  </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October 17, 2016</w:t>
            </w:r>
          </w:p>
          <w:p w:rsidR="006E56E7" w:rsidRPr="006E56E7" w:rsidRDefault="006E56E7" w:rsidP="006E56E7">
            <w:pPr>
              <w:jc w:val="both"/>
              <w:rPr>
                <w:sz w:val="20"/>
              </w:rPr>
            </w:pPr>
            <w:r w:rsidRPr="006E56E7">
              <w:rPr>
                <w:sz w:val="20"/>
              </w:rPr>
              <w:t>Court of Appeal for Ontario</w:t>
            </w:r>
          </w:p>
          <w:p w:rsidR="006E56E7" w:rsidRPr="006E56E7" w:rsidRDefault="006E56E7" w:rsidP="006E56E7">
            <w:pPr>
              <w:jc w:val="both"/>
              <w:rPr>
                <w:sz w:val="20"/>
              </w:rPr>
            </w:pPr>
            <w:r w:rsidRPr="006E56E7">
              <w:rPr>
                <w:sz w:val="20"/>
              </w:rPr>
              <w:t xml:space="preserve">(Hoy A.C.J.O., </w:t>
            </w:r>
            <w:proofErr w:type="spellStart"/>
            <w:r w:rsidRPr="006E56E7">
              <w:rPr>
                <w:sz w:val="20"/>
              </w:rPr>
              <w:t>Benotto</w:t>
            </w:r>
            <w:proofErr w:type="spellEnd"/>
            <w:r w:rsidRPr="006E56E7">
              <w:rPr>
                <w:sz w:val="20"/>
              </w:rPr>
              <w:t xml:space="preserve"> and </w:t>
            </w:r>
            <w:proofErr w:type="spellStart"/>
            <w:r w:rsidRPr="006E56E7">
              <w:rPr>
                <w:sz w:val="20"/>
              </w:rPr>
              <w:t>Huscroft</w:t>
            </w:r>
            <w:proofErr w:type="spellEnd"/>
            <w:r w:rsidRPr="006E56E7">
              <w:rPr>
                <w:sz w:val="20"/>
              </w:rPr>
              <w:t xml:space="preserve"> JJ.A.)</w:t>
            </w:r>
          </w:p>
          <w:p w:rsidR="006E56E7" w:rsidRPr="006E56E7" w:rsidRDefault="007654AB" w:rsidP="006E56E7">
            <w:pPr>
              <w:jc w:val="both"/>
              <w:rPr>
                <w:sz w:val="20"/>
              </w:rPr>
            </w:pPr>
            <w:hyperlink r:id="rId50" w:history="1">
              <w:r w:rsidR="006E56E7" w:rsidRPr="006E56E7">
                <w:rPr>
                  <w:rStyle w:val="Hyperlink"/>
                  <w:sz w:val="20"/>
                </w:rPr>
                <w:t>2016 ONCA 759</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 xml:space="preserve">Appeal dismissed </w:t>
            </w: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lastRenderedPageBreak/>
              <w:t>December 12, 2016</w:t>
            </w:r>
          </w:p>
          <w:p w:rsidR="006E56E7" w:rsidRPr="006E56E7" w:rsidRDefault="006E56E7" w:rsidP="006E56E7">
            <w:pPr>
              <w:jc w:val="both"/>
              <w:rPr>
                <w:sz w:val="20"/>
              </w:rPr>
            </w:pPr>
            <w:r w:rsidRPr="006E56E7">
              <w:rPr>
                <w:sz w:val="20"/>
              </w:rPr>
              <w:t>Supreme Court of Canada</w:t>
            </w: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Application for leave to appeal filed</w:t>
            </w:r>
          </w:p>
        </w:tc>
      </w:tr>
    </w:tbl>
    <w:p w:rsidR="006E56E7" w:rsidRDefault="006E56E7" w:rsidP="006E56E7">
      <w:pPr>
        <w:jc w:val="both"/>
        <w:rPr>
          <w:sz w:val="20"/>
        </w:rPr>
      </w:pPr>
    </w:p>
    <w:p w:rsidR="006E56E7" w:rsidRPr="006E56E7" w:rsidRDefault="006E56E7" w:rsidP="006E56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lang w:val="fr-CA"/>
              </w:rPr>
            </w:pPr>
            <w:r w:rsidRPr="006E56E7">
              <w:rPr>
                <w:rStyle w:val="SCCFileNumberChar"/>
                <w:sz w:val="20"/>
                <w:szCs w:val="20"/>
                <w:lang w:val="fr-CA"/>
              </w:rPr>
              <w:t>37343</w:t>
            </w:r>
          </w:p>
        </w:tc>
        <w:tc>
          <w:tcPr>
            <w:tcW w:w="4457" w:type="pct"/>
            <w:gridSpan w:val="3"/>
          </w:tcPr>
          <w:p w:rsidR="006E56E7" w:rsidRPr="006E56E7" w:rsidRDefault="006E56E7" w:rsidP="006E56E7">
            <w:pPr>
              <w:pStyle w:val="SCCLsocParty"/>
              <w:jc w:val="both"/>
              <w:rPr>
                <w:b/>
                <w:sz w:val="20"/>
                <w:szCs w:val="20"/>
              </w:rPr>
            </w:pPr>
            <w:r w:rsidRPr="006E56E7">
              <w:rPr>
                <w:b/>
                <w:sz w:val="20"/>
                <w:szCs w:val="20"/>
              </w:rPr>
              <w:t>Glenda Bonilla c. La Personnelle Compagnie d’Assurance du Canada</w:t>
            </w:r>
          </w:p>
          <w:p w:rsidR="006E56E7" w:rsidRPr="006E56E7" w:rsidRDefault="006E56E7" w:rsidP="006E56E7">
            <w:pPr>
              <w:jc w:val="both"/>
              <w:rPr>
                <w:sz w:val="20"/>
                <w:lang w:val="fr-CA"/>
              </w:rPr>
            </w:pPr>
            <w:r w:rsidRPr="006E56E7">
              <w:rPr>
                <w:sz w:val="20"/>
                <w:lang w:val="fr-CA"/>
              </w:rPr>
              <w:t>(Ont.) (Civile) (Sur autorisation)</w:t>
            </w: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Assurance – Assurance automobile – Régime d’indemnités d’accident légales – Refus de l’assureur de verser les indemnités de remplacement du revenu – La Cour d’appel a-t-elle commis une erreur dans son interprétation de la disposition sur la prescription en cause? – La Cour d’appel a-t-elle mal appliqué la jurisprudence de la Cour suprême du Canada? – La Cour d’appel a-t-elle contredit la jurisprudence d’autres cours d’appel? – La Cour d’appel a-t-elle limité l’accès à la justice des Canadiens ordinaires?</w:t>
            </w:r>
          </w:p>
        </w:tc>
      </w:tr>
      <w:tr w:rsidR="006E56E7" w:rsidRPr="007654AB" w:rsidTr="006E56E7">
        <w:tc>
          <w:tcPr>
            <w:tcW w:w="5000" w:type="pct"/>
            <w:gridSpan w:val="4"/>
          </w:tcPr>
          <w:p w:rsidR="006E56E7" w:rsidRPr="006E56E7" w:rsidRDefault="006E56E7" w:rsidP="006E56E7">
            <w:pPr>
              <w:jc w:val="both"/>
              <w:rPr>
                <w:sz w:val="20"/>
                <w:lang w:val="fr-CA"/>
              </w:rPr>
            </w:pPr>
          </w:p>
        </w:tc>
      </w:tr>
      <w:tr w:rsidR="006E56E7" w:rsidRPr="007654AB" w:rsidTr="006E56E7">
        <w:tc>
          <w:tcPr>
            <w:tcW w:w="5000" w:type="pct"/>
            <w:gridSpan w:val="4"/>
          </w:tcPr>
          <w:p w:rsidR="006E56E7" w:rsidRPr="006E56E7" w:rsidRDefault="006E56E7" w:rsidP="006E56E7">
            <w:pPr>
              <w:jc w:val="both"/>
              <w:rPr>
                <w:sz w:val="20"/>
                <w:lang w:val="fr-CA"/>
              </w:rPr>
            </w:pPr>
            <w:r w:rsidRPr="006E56E7">
              <w:rPr>
                <w:sz w:val="20"/>
                <w:lang w:val="fr-CA"/>
              </w:rPr>
              <w:t>La demanderesse, Mme Bonilla, a été impliquée dans un accident de voiture en 2002. Peu de temps après, elle a demandé et reçu des indemnités de remplacement du revenu (« IRR ») de l’assureur intimé, la Personnelle Compagnie d’Assurance du Canada. Le 4 février 2003, La Personnelle a écrit à Mme </w:t>
            </w:r>
            <w:proofErr w:type="spellStart"/>
            <w:r w:rsidRPr="006E56E7">
              <w:rPr>
                <w:sz w:val="20"/>
                <w:lang w:val="fr-CA"/>
              </w:rPr>
              <w:t>Bonilla</w:t>
            </w:r>
            <w:proofErr w:type="spellEnd"/>
            <w:r w:rsidRPr="006E56E7">
              <w:rPr>
                <w:sz w:val="20"/>
                <w:lang w:val="fr-CA"/>
              </w:rPr>
              <w:t xml:space="preserve"> pour l’informer qu’à compter du 27 février 2003, ses IRR ne seraient plus versées. Ce n’est qu’en 2007 que Mme Bonilla a intenté une action contre La Personnelle relativement à son droit aux IRR. </w:t>
            </w:r>
          </w:p>
          <w:p w:rsidR="006E56E7" w:rsidRPr="006E56E7" w:rsidRDefault="006E56E7" w:rsidP="006E56E7">
            <w:pPr>
              <w:jc w:val="both"/>
              <w:rPr>
                <w:sz w:val="20"/>
                <w:lang w:val="fr-CA"/>
              </w:rPr>
            </w:pPr>
          </w:p>
          <w:p w:rsidR="006E56E7" w:rsidRPr="006E56E7" w:rsidRDefault="006E56E7" w:rsidP="006E56E7">
            <w:pPr>
              <w:jc w:val="both"/>
              <w:rPr>
                <w:sz w:val="20"/>
                <w:lang w:val="fr-CA"/>
              </w:rPr>
            </w:pPr>
            <w:r w:rsidRPr="006E56E7">
              <w:rPr>
                <w:sz w:val="20"/>
                <w:lang w:val="fr-CA"/>
              </w:rPr>
              <w:t>La Personnelle a présenté une motion en vue d’obtenir un jugement sommaire, sollicitant le rejet de l’action de Mme </w:t>
            </w:r>
            <w:proofErr w:type="spellStart"/>
            <w:r w:rsidRPr="006E56E7">
              <w:rPr>
                <w:sz w:val="20"/>
                <w:lang w:val="fr-CA"/>
              </w:rPr>
              <w:t>Bonilla</w:t>
            </w:r>
            <w:proofErr w:type="spellEnd"/>
            <w:r w:rsidRPr="006E56E7">
              <w:rPr>
                <w:sz w:val="20"/>
                <w:lang w:val="fr-CA"/>
              </w:rPr>
              <w:t xml:space="preserve"> à l’égard du droit aux IRR, plaidant que son droit d’action était prescrit par le délai de prescription prévu à l’art. 281.1 de la </w:t>
            </w:r>
            <w:r w:rsidRPr="006E56E7">
              <w:rPr>
                <w:i/>
                <w:iCs/>
                <w:sz w:val="20"/>
                <w:lang w:val="fr-CA"/>
              </w:rPr>
              <w:t>Loi sur les assurances</w:t>
            </w:r>
            <w:r w:rsidRPr="006E56E7">
              <w:rPr>
                <w:sz w:val="20"/>
                <w:lang w:val="fr-CA"/>
              </w:rPr>
              <w:t xml:space="preserve"> L.R.O. 1990 ch. I8, et à l’art. 51 de l’</w:t>
            </w:r>
            <w:r w:rsidRPr="006E56E7">
              <w:rPr>
                <w:i/>
                <w:iCs/>
                <w:sz w:val="20"/>
                <w:lang w:val="fr-CA"/>
              </w:rPr>
              <w:t xml:space="preserve">Annexe sur les indemnités d’accident légales </w:t>
            </w:r>
            <w:r w:rsidRPr="006E56E7">
              <w:rPr>
                <w:sz w:val="20"/>
                <w:lang w:val="fr-CA"/>
              </w:rPr>
              <w:t xml:space="preserve">– </w:t>
            </w:r>
            <w:r w:rsidRPr="006E56E7">
              <w:rPr>
                <w:i/>
                <w:iCs/>
                <w:sz w:val="20"/>
                <w:lang w:val="fr-CA"/>
              </w:rPr>
              <w:t>Accidents survenus le 1</w:t>
            </w:r>
            <w:r w:rsidRPr="006E56E7">
              <w:rPr>
                <w:i/>
                <w:iCs/>
                <w:sz w:val="20"/>
                <w:vertAlign w:val="superscript"/>
                <w:lang w:val="fr-CA"/>
              </w:rPr>
              <w:t>er </w:t>
            </w:r>
            <w:r w:rsidRPr="006E56E7">
              <w:rPr>
                <w:i/>
                <w:iCs/>
                <w:sz w:val="20"/>
                <w:lang w:val="fr-CA"/>
              </w:rPr>
              <w:t>novembre 1996 ou après ce jour</w:t>
            </w:r>
            <w:r w:rsidRPr="006E56E7">
              <w:rPr>
                <w:iCs/>
                <w:sz w:val="20"/>
                <w:lang w:val="fr-CA"/>
              </w:rPr>
              <w:t>,</w:t>
            </w:r>
            <w:r w:rsidRPr="006E56E7">
              <w:rPr>
                <w:i/>
                <w:iCs/>
                <w:sz w:val="20"/>
                <w:lang w:val="fr-CA"/>
              </w:rPr>
              <w:t xml:space="preserve"> </w:t>
            </w:r>
            <w:proofErr w:type="spellStart"/>
            <w:r w:rsidRPr="006E56E7">
              <w:rPr>
                <w:iCs/>
                <w:sz w:val="20"/>
                <w:lang w:val="fr-CA"/>
              </w:rPr>
              <w:t>Règl</w:t>
            </w:r>
            <w:proofErr w:type="spellEnd"/>
            <w:r w:rsidRPr="006E56E7">
              <w:rPr>
                <w:iCs/>
                <w:sz w:val="20"/>
                <w:lang w:val="fr-CA"/>
              </w:rPr>
              <w:t xml:space="preserve"> de l’Ont 403/96</w:t>
            </w:r>
            <w:r w:rsidRPr="006E56E7">
              <w:rPr>
                <w:sz w:val="20"/>
                <w:lang w:val="fr-CA"/>
              </w:rPr>
              <w:t>, en vigueur à l’époque pertinente.</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29 février 2016</w:t>
            </w:r>
          </w:p>
          <w:p w:rsidR="006E56E7" w:rsidRPr="006E56E7" w:rsidRDefault="006E56E7" w:rsidP="006E56E7">
            <w:pPr>
              <w:jc w:val="both"/>
              <w:rPr>
                <w:sz w:val="20"/>
                <w:lang w:val="fr-CA"/>
              </w:rPr>
            </w:pPr>
            <w:r w:rsidRPr="006E56E7">
              <w:rPr>
                <w:sz w:val="20"/>
                <w:lang w:val="fr-CA"/>
              </w:rPr>
              <w:t xml:space="preserve">Cour supérieure de justice de l’Ontario </w:t>
            </w:r>
          </w:p>
          <w:p w:rsidR="006E56E7" w:rsidRPr="006E56E7" w:rsidRDefault="006E56E7" w:rsidP="006E56E7">
            <w:pPr>
              <w:jc w:val="both"/>
              <w:rPr>
                <w:sz w:val="20"/>
                <w:lang w:val="fr-CA"/>
              </w:rPr>
            </w:pPr>
            <w:r w:rsidRPr="006E56E7">
              <w:rPr>
                <w:sz w:val="20"/>
                <w:lang w:val="fr-CA"/>
              </w:rPr>
              <w:t>(Juge Diamond)</w:t>
            </w:r>
          </w:p>
          <w:p w:rsidR="006E56E7" w:rsidRPr="006E56E7" w:rsidRDefault="007654AB" w:rsidP="006E56E7">
            <w:pPr>
              <w:jc w:val="both"/>
              <w:rPr>
                <w:sz w:val="20"/>
                <w:lang w:val="fr-CA"/>
              </w:rPr>
            </w:pPr>
            <w:hyperlink r:id="rId51" w:history="1">
              <w:r w:rsidR="006E56E7" w:rsidRPr="006E56E7">
                <w:rPr>
                  <w:rStyle w:val="Hyperlink"/>
                  <w:sz w:val="20"/>
                  <w:lang w:val="fr-CA"/>
                </w:rPr>
                <w:t>2016 ONSC 1411</w:t>
              </w:r>
            </w:hyperlink>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 xml:space="preserve">Jugement accueillant la motion en vue d’obtenir un jugement sommaire et rejetant l’action contre l’assureur pour avoir mis fin aux indemnités de remplacement de revenu </w:t>
            </w:r>
          </w:p>
          <w:p w:rsidR="006E56E7" w:rsidRPr="006E56E7" w:rsidRDefault="006E56E7" w:rsidP="006E56E7">
            <w:pPr>
              <w:jc w:val="both"/>
              <w:rPr>
                <w:sz w:val="20"/>
                <w:lang w:val="fr-CA"/>
              </w:rPr>
            </w:pPr>
          </w:p>
        </w:tc>
      </w:tr>
      <w:tr w:rsidR="006E56E7" w:rsidRPr="006E56E7" w:rsidTr="006E56E7">
        <w:tc>
          <w:tcPr>
            <w:tcW w:w="2427" w:type="pct"/>
            <w:gridSpan w:val="2"/>
          </w:tcPr>
          <w:p w:rsidR="006E56E7" w:rsidRPr="006E56E7" w:rsidRDefault="006E56E7" w:rsidP="006E56E7">
            <w:pPr>
              <w:jc w:val="both"/>
              <w:rPr>
                <w:sz w:val="20"/>
                <w:lang w:val="fr-CA"/>
              </w:rPr>
            </w:pPr>
            <w:r w:rsidRPr="006E56E7">
              <w:rPr>
                <w:sz w:val="20"/>
                <w:lang w:val="fr-CA"/>
              </w:rPr>
              <w:t>17 octobre 2016</w:t>
            </w:r>
          </w:p>
          <w:p w:rsidR="006E56E7" w:rsidRPr="006E56E7" w:rsidRDefault="006E56E7" w:rsidP="006E56E7">
            <w:pPr>
              <w:jc w:val="both"/>
              <w:rPr>
                <w:sz w:val="20"/>
                <w:lang w:val="fr-CA"/>
              </w:rPr>
            </w:pPr>
            <w:r w:rsidRPr="006E56E7">
              <w:rPr>
                <w:sz w:val="20"/>
                <w:lang w:val="fr-CA"/>
              </w:rPr>
              <w:t xml:space="preserve">Cour d’appel de l’Ontario </w:t>
            </w:r>
          </w:p>
          <w:p w:rsidR="006E56E7" w:rsidRPr="006E56E7" w:rsidRDefault="006E56E7" w:rsidP="006E56E7">
            <w:pPr>
              <w:jc w:val="both"/>
              <w:rPr>
                <w:sz w:val="20"/>
                <w:lang w:val="fr-CA"/>
              </w:rPr>
            </w:pPr>
            <w:r w:rsidRPr="006E56E7">
              <w:rPr>
                <w:sz w:val="20"/>
                <w:lang w:val="fr-CA"/>
              </w:rPr>
              <w:t>(Juge en chef adjoint Hoy, juges Benotto et Huscroft)</w:t>
            </w:r>
          </w:p>
          <w:p w:rsidR="006E56E7" w:rsidRPr="006E56E7" w:rsidRDefault="007654AB" w:rsidP="006E56E7">
            <w:pPr>
              <w:jc w:val="both"/>
              <w:rPr>
                <w:sz w:val="20"/>
                <w:lang w:val="fr-CA"/>
              </w:rPr>
            </w:pPr>
            <w:hyperlink r:id="rId52" w:history="1">
              <w:r w:rsidR="006E56E7" w:rsidRPr="006E56E7">
                <w:rPr>
                  <w:rStyle w:val="Hyperlink"/>
                  <w:sz w:val="20"/>
                  <w:lang w:val="fr-CA"/>
                </w:rPr>
                <w:t>2016 ONCA 759</w:t>
              </w:r>
            </w:hyperlink>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Rejet de l’appel</w:t>
            </w: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12 décembre 2016</w:t>
            </w:r>
          </w:p>
          <w:p w:rsidR="006E56E7" w:rsidRPr="006E56E7" w:rsidRDefault="006E56E7" w:rsidP="006E56E7">
            <w:pPr>
              <w:jc w:val="both"/>
              <w:rPr>
                <w:sz w:val="20"/>
                <w:lang w:val="fr-CA"/>
              </w:rPr>
            </w:pPr>
            <w:r w:rsidRPr="006E56E7">
              <w:rPr>
                <w:sz w:val="20"/>
                <w:lang w:val="fr-CA"/>
              </w:rPr>
              <w:t>Cour suprême du Canada</w:t>
            </w: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Dépôt de la demande d’autorisation d’appel</w:t>
            </w:r>
          </w:p>
        </w:tc>
      </w:tr>
    </w:tbl>
    <w:p w:rsidR="006E56E7" w:rsidRPr="006E56E7" w:rsidRDefault="006E56E7" w:rsidP="006E56E7">
      <w:pPr>
        <w:jc w:val="both"/>
        <w:rPr>
          <w:sz w:val="20"/>
          <w:lang w:val="fr-CA"/>
        </w:rPr>
      </w:pPr>
    </w:p>
    <w:p w:rsidR="006E56E7" w:rsidRPr="006E56E7" w:rsidRDefault="006E56E7" w:rsidP="006E56E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6E56E7" w:rsidTr="006E56E7">
        <w:tc>
          <w:tcPr>
            <w:tcW w:w="543" w:type="pct"/>
          </w:tcPr>
          <w:p w:rsidR="006E56E7" w:rsidRPr="006E56E7" w:rsidRDefault="006E56E7" w:rsidP="006E56E7">
            <w:pPr>
              <w:jc w:val="both"/>
              <w:rPr>
                <w:sz w:val="20"/>
              </w:rPr>
            </w:pPr>
            <w:r w:rsidRPr="006E56E7">
              <w:rPr>
                <w:rStyle w:val="SCCFileNumberChar"/>
                <w:sz w:val="20"/>
                <w:szCs w:val="20"/>
              </w:rPr>
              <w:t>37221</w:t>
            </w:r>
          </w:p>
        </w:tc>
        <w:tc>
          <w:tcPr>
            <w:tcW w:w="4457" w:type="pct"/>
            <w:gridSpan w:val="3"/>
          </w:tcPr>
          <w:p w:rsidR="006E56E7" w:rsidRPr="006E56E7" w:rsidRDefault="006E56E7" w:rsidP="006E56E7">
            <w:pPr>
              <w:pStyle w:val="SCCLsocParty"/>
              <w:jc w:val="both"/>
              <w:rPr>
                <w:b/>
                <w:sz w:val="20"/>
                <w:szCs w:val="20"/>
                <w:lang w:val="en-US"/>
              </w:rPr>
            </w:pPr>
            <w:r w:rsidRPr="006E56E7">
              <w:rPr>
                <w:b/>
                <w:sz w:val="20"/>
                <w:szCs w:val="20"/>
                <w:lang w:val="en-US"/>
              </w:rPr>
              <w:t>C.K.Z., G.L.P. v. Nova Scotia Minister of Community Services</w:t>
            </w:r>
          </w:p>
          <w:p w:rsidR="006E56E7" w:rsidRPr="006E56E7" w:rsidRDefault="006E56E7" w:rsidP="006E56E7">
            <w:pPr>
              <w:jc w:val="both"/>
              <w:rPr>
                <w:sz w:val="20"/>
              </w:rPr>
            </w:pPr>
            <w:r w:rsidRPr="006E56E7">
              <w:rPr>
                <w:sz w:val="20"/>
              </w:rPr>
              <w:t>(N.S.) (Civil) (By Leave)</w:t>
            </w:r>
          </w:p>
        </w:tc>
      </w:tr>
      <w:tr w:rsidR="006E56E7" w:rsidRPr="006E56E7" w:rsidTr="006E56E7">
        <w:tc>
          <w:tcPr>
            <w:tcW w:w="5000" w:type="pct"/>
            <w:gridSpan w:val="4"/>
          </w:tcPr>
          <w:p w:rsidR="006E56E7" w:rsidRPr="006E56E7" w:rsidRDefault="006E56E7" w:rsidP="006E56E7">
            <w:pPr>
              <w:pStyle w:val="SCCBanSummary"/>
              <w:rPr>
                <w:sz w:val="20"/>
                <w:szCs w:val="20"/>
              </w:rPr>
            </w:pPr>
            <w:r w:rsidRPr="006E56E7">
              <w:rPr>
                <w:sz w:val="20"/>
                <w:szCs w:val="20"/>
              </w:rPr>
              <w:t>(Publication ban in case) (Publication ban on party) (Court file contains information that is not available for inspection by the public)</w:t>
            </w:r>
          </w:p>
          <w:p w:rsidR="006E56E7" w:rsidRPr="006E56E7" w:rsidRDefault="006E56E7" w:rsidP="006E56E7">
            <w:pPr>
              <w:jc w:val="both"/>
              <w:rPr>
                <w:sz w:val="20"/>
              </w:rPr>
            </w:pPr>
          </w:p>
          <w:p w:rsidR="006E56E7" w:rsidRPr="006E56E7" w:rsidRDefault="006E56E7" w:rsidP="006E56E7">
            <w:pPr>
              <w:autoSpaceDE w:val="0"/>
              <w:autoSpaceDN w:val="0"/>
              <w:adjustRightInd w:val="0"/>
              <w:jc w:val="both"/>
              <w:rPr>
                <w:sz w:val="20"/>
              </w:rPr>
            </w:pPr>
            <w:r w:rsidRPr="006E56E7">
              <w:rPr>
                <w:i/>
                <w:sz w:val="20"/>
              </w:rPr>
              <w:t>Charter of Rights</w:t>
            </w:r>
            <w:r w:rsidRPr="006E56E7">
              <w:rPr>
                <w:sz w:val="20"/>
              </w:rPr>
              <w:t xml:space="preserve"> – Right to equality – Disability – Status of persons – Child protection – Minister applying for order of permanent care of two children born to parents with intellectual disabilities – </w:t>
            </w:r>
            <w:r w:rsidRPr="006E56E7">
              <w:rPr>
                <w:iCs/>
                <w:sz w:val="20"/>
              </w:rPr>
              <w:t>Should best interests of the child analysis under child protection legislation include a substantive consideration of a parent’s disability</w:t>
            </w:r>
            <w:r w:rsidRPr="006E56E7">
              <w:rPr>
                <w:sz w:val="20"/>
              </w:rPr>
              <w:t xml:space="preserve">? – Whether courts should consider role of </w:t>
            </w:r>
            <w:r w:rsidRPr="006E56E7">
              <w:rPr>
                <w:i/>
                <w:iCs/>
                <w:sz w:val="20"/>
              </w:rPr>
              <w:t xml:space="preserve">Charter </w:t>
            </w:r>
            <w:r w:rsidRPr="006E56E7">
              <w:rPr>
                <w:iCs/>
                <w:sz w:val="20"/>
              </w:rPr>
              <w:t>and</w:t>
            </w:r>
            <w:r w:rsidRPr="006E56E7">
              <w:rPr>
                <w:sz w:val="20"/>
              </w:rPr>
              <w:t xml:space="preserve"> impact of Canada’s international human rights obligations on the proper interpretation of the child’s best interest under child protection legislation.</w:t>
            </w:r>
          </w:p>
          <w:p w:rsidR="006E56E7" w:rsidRPr="006E56E7" w:rsidRDefault="006E56E7" w:rsidP="006E56E7">
            <w:pPr>
              <w:autoSpaceDE w:val="0"/>
              <w:autoSpaceDN w:val="0"/>
              <w:adjustRightInd w:val="0"/>
              <w:jc w:val="both"/>
              <w:rPr>
                <w:sz w:val="20"/>
              </w:rPr>
            </w:pPr>
          </w:p>
        </w:tc>
      </w:tr>
      <w:tr w:rsidR="006E56E7" w:rsidRPr="006E56E7" w:rsidTr="006E56E7">
        <w:tc>
          <w:tcPr>
            <w:tcW w:w="5000" w:type="pct"/>
            <w:gridSpan w:val="4"/>
          </w:tcPr>
          <w:p w:rsidR="006E56E7" w:rsidRPr="006E56E7" w:rsidRDefault="006E56E7" w:rsidP="006E56E7">
            <w:pPr>
              <w:jc w:val="both"/>
              <w:rPr>
                <w:sz w:val="20"/>
              </w:rPr>
            </w:pPr>
            <w:r w:rsidRPr="006E56E7">
              <w:rPr>
                <w:sz w:val="20"/>
              </w:rPr>
              <w:t xml:space="preserve">The mother and the father have been in a relationship for approximately eight years. They both have intellectual disabilities. They have two boys who are almost four and three years of age. Both were found to be in need of </w:t>
            </w:r>
            <w:r w:rsidRPr="006E56E7">
              <w:rPr>
                <w:sz w:val="20"/>
              </w:rPr>
              <w:lastRenderedPageBreak/>
              <w:t xml:space="preserve">protective services in separate protection proceedings. The eldest was taken into temporary care and custody by the Minister when he was three months old pursuant to </w:t>
            </w:r>
            <w:hyperlink r:id="rId53" w:anchor="sec22subsec2_smooth" w:history="1">
              <w:r w:rsidRPr="006E56E7">
                <w:rPr>
                  <w:sz w:val="20"/>
                </w:rPr>
                <w:t>s. 22(2)</w:t>
              </w:r>
            </w:hyperlink>
            <w:r w:rsidRPr="006E56E7">
              <w:rPr>
                <w:sz w:val="20"/>
              </w:rPr>
              <w:t xml:space="preserve"> of the </w:t>
            </w:r>
            <w:hyperlink r:id="rId54" w:history="1">
              <w:r w:rsidRPr="006E56E7">
                <w:rPr>
                  <w:i/>
                  <w:iCs/>
                  <w:sz w:val="20"/>
                </w:rPr>
                <w:t>Children and Family Services Act</w:t>
              </w:r>
            </w:hyperlink>
            <w:r w:rsidRPr="006E56E7">
              <w:rPr>
                <w:iCs/>
                <w:sz w:val="20"/>
              </w:rPr>
              <w:t>,</w:t>
            </w:r>
            <w:r w:rsidRPr="006E56E7">
              <w:rPr>
                <w:sz w:val="20"/>
              </w:rPr>
              <w:t xml:space="preserve"> S.N.S. 1990, c. 5. He was found to be at substantial risk of physical and emotional harm by reason chronic and serious neglect. The parents were unable to resume his care but were granted supervised access. The parents had many parenting challenges that impeded their ability to provide for the children’s care, needs and safety. Multiple disposition reviews ensued and the parents’ access increased with reduced supervision. Initially, it appeared that the circumstances might be improving but in April, 2015, the Minister took the younger child into care when he was ten months old. He was also found to be in need of protection due to substantial risk of physical and emotional harm. The Minister reverted to seeking an order placing both children in permanent care and custody. The parents contested the disposition.</w:t>
            </w:r>
          </w:p>
        </w:tc>
      </w:tr>
      <w:tr w:rsidR="006E56E7" w:rsidRPr="006E56E7" w:rsidTr="006E56E7">
        <w:tc>
          <w:tcPr>
            <w:tcW w:w="5000" w:type="pct"/>
            <w:gridSpan w:val="4"/>
          </w:tcPr>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February 3, 2016</w:t>
            </w:r>
          </w:p>
          <w:p w:rsidR="006E56E7" w:rsidRPr="006E56E7" w:rsidRDefault="006E56E7" w:rsidP="006E56E7">
            <w:pPr>
              <w:jc w:val="both"/>
              <w:rPr>
                <w:sz w:val="20"/>
              </w:rPr>
            </w:pPr>
            <w:r w:rsidRPr="006E56E7">
              <w:rPr>
                <w:sz w:val="20"/>
              </w:rPr>
              <w:t>Family Court of Nova Scotia</w:t>
            </w:r>
          </w:p>
          <w:p w:rsidR="006E56E7" w:rsidRPr="006E56E7" w:rsidRDefault="006E56E7" w:rsidP="006E56E7">
            <w:pPr>
              <w:jc w:val="both"/>
              <w:rPr>
                <w:sz w:val="20"/>
              </w:rPr>
            </w:pPr>
            <w:r w:rsidRPr="006E56E7">
              <w:rPr>
                <w:sz w:val="20"/>
              </w:rPr>
              <w:t>(Dyer J.)</w:t>
            </w:r>
          </w:p>
          <w:p w:rsidR="006E56E7" w:rsidRPr="006E56E7" w:rsidRDefault="006E56E7" w:rsidP="006E56E7">
            <w:pPr>
              <w:jc w:val="both"/>
              <w:rPr>
                <w:sz w:val="20"/>
              </w:rPr>
            </w:pPr>
            <w:r w:rsidRPr="006E56E7">
              <w:rPr>
                <w:sz w:val="20"/>
              </w:rPr>
              <w:t>2016 NSFC 9</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Minister’s applications for permanent care and custody of two children dismissed</w:t>
            </w:r>
          </w:p>
          <w:p w:rsidR="006E56E7" w:rsidRPr="006E56E7" w:rsidRDefault="006E56E7" w:rsidP="006E56E7">
            <w:pPr>
              <w:jc w:val="both"/>
              <w:rPr>
                <w:sz w:val="20"/>
              </w:rPr>
            </w:pP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July 29, 2016</w:t>
            </w:r>
          </w:p>
          <w:p w:rsidR="006E56E7" w:rsidRPr="006E56E7" w:rsidRDefault="006E56E7" w:rsidP="006E56E7">
            <w:pPr>
              <w:jc w:val="both"/>
              <w:rPr>
                <w:sz w:val="20"/>
              </w:rPr>
            </w:pPr>
            <w:r w:rsidRPr="006E56E7">
              <w:rPr>
                <w:sz w:val="20"/>
              </w:rPr>
              <w:t>Nova Scotia Court of Appeal</w:t>
            </w:r>
          </w:p>
          <w:p w:rsidR="006E56E7" w:rsidRPr="006E56E7" w:rsidRDefault="006E56E7" w:rsidP="006E56E7">
            <w:pPr>
              <w:jc w:val="both"/>
              <w:rPr>
                <w:sz w:val="20"/>
              </w:rPr>
            </w:pPr>
            <w:r w:rsidRPr="006E56E7">
              <w:rPr>
                <w:sz w:val="20"/>
              </w:rPr>
              <w:t>(</w:t>
            </w:r>
            <w:proofErr w:type="spellStart"/>
            <w:r w:rsidRPr="006E56E7">
              <w:rPr>
                <w:sz w:val="20"/>
              </w:rPr>
              <w:t>Scanlan</w:t>
            </w:r>
            <w:proofErr w:type="spellEnd"/>
            <w:r w:rsidRPr="006E56E7">
              <w:rPr>
                <w:sz w:val="20"/>
              </w:rPr>
              <w:t xml:space="preserve">, Bourgeois and Van den </w:t>
            </w:r>
            <w:proofErr w:type="spellStart"/>
            <w:r w:rsidRPr="006E56E7">
              <w:rPr>
                <w:sz w:val="20"/>
              </w:rPr>
              <w:t>Eynden</w:t>
            </w:r>
            <w:proofErr w:type="spellEnd"/>
            <w:r w:rsidRPr="006E56E7">
              <w:rPr>
                <w:sz w:val="20"/>
              </w:rPr>
              <w:t xml:space="preserve"> </w:t>
            </w:r>
          </w:p>
          <w:p w:rsidR="006E56E7" w:rsidRPr="006E56E7" w:rsidRDefault="006E56E7" w:rsidP="006E56E7">
            <w:pPr>
              <w:jc w:val="both"/>
              <w:rPr>
                <w:sz w:val="20"/>
              </w:rPr>
            </w:pPr>
            <w:r w:rsidRPr="006E56E7">
              <w:rPr>
                <w:sz w:val="20"/>
              </w:rPr>
              <w:t>JJ.A.)</w:t>
            </w:r>
          </w:p>
          <w:p w:rsidR="006E56E7" w:rsidRPr="006E56E7" w:rsidRDefault="007654AB" w:rsidP="006E56E7">
            <w:pPr>
              <w:jc w:val="both"/>
              <w:rPr>
                <w:sz w:val="20"/>
              </w:rPr>
            </w:pPr>
            <w:hyperlink r:id="rId55" w:history="1">
              <w:r w:rsidR="006E56E7" w:rsidRPr="006E56E7">
                <w:rPr>
                  <w:rStyle w:val="Hyperlink"/>
                  <w:sz w:val="20"/>
                </w:rPr>
                <w:t>2016 NSCA 61</w:t>
              </w:r>
            </w:hyperlink>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Minister’s appeal allowed; Order for permanent care granted</w:t>
            </w:r>
          </w:p>
          <w:p w:rsidR="006E56E7" w:rsidRPr="006E56E7" w:rsidRDefault="006E56E7" w:rsidP="006E56E7">
            <w:pPr>
              <w:jc w:val="both"/>
              <w:rPr>
                <w:sz w:val="20"/>
              </w:rPr>
            </w:pPr>
          </w:p>
          <w:p w:rsidR="006E56E7" w:rsidRPr="006E56E7" w:rsidRDefault="006E56E7" w:rsidP="006E56E7">
            <w:pPr>
              <w:jc w:val="both"/>
              <w:rPr>
                <w:sz w:val="20"/>
              </w:rPr>
            </w:pPr>
          </w:p>
        </w:tc>
      </w:tr>
      <w:tr w:rsidR="006E56E7" w:rsidRPr="006E56E7" w:rsidTr="006E56E7">
        <w:tc>
          <w:tcPr>
            <w:tcW w:w="2427" w:type="pct"/>
            <w:gridSpan w:val="2"/>
          </w:tcPr>
          <w:p w:rsidR="006E56E7" w:rsidRPr="006E56E7" w:rsidRDefault="006E56E7" w:rsidP="006E56E7">
            <w:pPr>
              <w:jc w:val="both"/>
              <w:rPr>
                <w:sz w:val="20"/>
              </w:rPr>
            </w:pPr>
            <w:r w:rsidRPr="006E56E7">
              <w:rPr>
                <w:sz w:val="20"/>
              </w:rPr>
              <w:t>September 29, 2016</w:t>
            </w:r>
          </w:p>
          <w:p w:rsidR="006E56E7" w:rsidRPr="006E56E7" w:rsidRDefault="006E56E7" w:rsidP="006E56E7">
            <w:pPr>
              <w:jc w:val="both"/>
              <w:rPr>
                <w:sz w:val="20"/>
              </w:rPr>
            </w:pPr>
            <w:r w:rsidRPr="006E56E7">
              <w:rPr>
                <w:sz w:val="20"/>
              </w:rPr>
              <w:t>Supreme Court of Canada</w:t>
            </w: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rPr>
            </w:pPr>
            <w:r w:rsidRPr="006E56E7">
              <w:rPr>
                <w:sz w:val="20"/>
              </w:rPr>
              <w:t>Application for leave to appeal filed</w:t>
            </w:r>
          </w:p>
          <w:p w:rsidR="006E56E7" w:rsidRPr="006E56E7" w:rsidRDefault="006E56E7" w:rsidP="006E56E7">
            <w:pPr>
              <w:jc w:val="both"/>
              <w:rPr>
                <w:sz w:val="20"/>
              </w:rPr>
            </w:pPr>
          </w:p>
        </w:tc>
      </w:tr>
    </w:tbl>
    <w:p w:rsidR="006E56E7" w:rsidRDefault="006E56E7" w:rsidP="006E56E7">
      <w:pPr>
        <w:jc w:val="both"/>
        <w:rPr>
          <w:sz w:val="20"/>
        </w:rPr>
      </w:pPr>
    </w:p>
    <w:p w:rsidR="006E56E7" w:rsidRPr="006E56E7" w:rsidRDefault="006E56E7" w:rsidP="006E56E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56E7" w:rsidRPr="007654AB" w:rsidTr="006E56E7">
        <w:tc>
          <w:tcPr>
            <w:tcW w:w="543" w:type="pct"/>
          </w:tcPr>
          <w:p w:rsidR="006E56E7" w:rsidRPr="006E56E7" w:rsidRDefault="006E56E7" w:rsidP="006E56E7">
            <w:pPr>
              <w:jc w:val="both"/>
              <w:rPr>
                <w:sz w:val="20"/>
              </w:rPr>
            </w:pPr>
            <w:r w:rsidRPr="006E56E7">
              <w:rPr>
                <w:rStyle w:val="SCCFileNumberChar"/>
                <w:sz w:val="20"/>
                <w:szCs w:val="20"/>
              </w:rPr>
              <w:t>37221</w:t>
            </w:r>
          </w:p>
        </w:tc>
        <w:tc>
          <w:tcPr>
            <w:tcW w:w="4457" w:type="pct"/>
            <w:gridSpan w:val="3"/>
          </w:tcPr>
          <w:p w:rsidR="006E56E7" w:rsidRPr="006E56E7" w:rsidRDefault="006E56E7" w:rsidP="006E56E7">
            <w:pPr>
              <w:pStyle w:val="SCCLsocParty"/>
              <w:jc w:val="both"/>
              <w:rPr>
                <w:b/>
                <w:sz w:val="20"/>
                <w:szCs w:val="20"/>
              </w:rPr>
            </w:pPr>
            <w:r w:rsidRPr="006E56E7">
              <w:rPr>
                <w:b/>
                <w:sz w:val="20"/>
                <w:szCs w:val="20"/>
              </w:rPr>
              <w:t>C.K.Z., G.L.P. c. Ministre des Services communautaires de la Nouvelle-Écosse</w:t>
            </w:r>
          </w:p>
          <w:p w:rsidR="006E56E7" w:rsidRPr="006E56E7" w:rsidRDefault="006E56E7" w:rsidP="006E56E7">
            <w:pPr>
              <w:jc w:val="both"/>
              <w:rPr>
                <w:sz w:val="20"/>
                <w:lang w:val="fr-CA"/>
              </w:rPr>
            </w:pPr>
            <w:r w:rsidRPr="006E56E7">
              <w:rPr>
                <w:sz w:val="20"/>
                <w:lang w:val="fr-CA"/>
              </w:rPr>
              <w:t>(N.-É.) (Civile) (Sur autorisation)</w:t>
            </w:r>
          </w:p>
        </w:tc>
      </w:tr>
      <w:tr w:rsidR="006E56E7" w:rsidRPr="007654AB" w:rsidTr="006E56E7">
        <w:tc>
          <w:tcPr>
            <w:tcW w:w="5000" w:type="pct"/>
            <w:gridSpan w:val="4"/>
          </w:tcPr>
          <w:p w:rsidR="006E56E7" w:rsidRPr="006E56E7" w:rsidRDefault="006E56E7" w:rsidP="006E56E7">
            <w:pPr>
              <w:pStyle w:val="SCCBanSummary"/>
              <w:rPr>
                <w:sz w:val="20"/>
                <w:szCs w:val="20"/>
                <w:lang w:val="fr-CA"/>
              </w:rPr>
            </w:pPr>
            <w:r w:rsidRPr="006E56E7">
              <w:rPr>
                <w:sz w:val="20"/>
                <w:szCs w:val="20"/>
                <w:lang w:val="fr-CA"/>
              </w:rPr>
              <w:t>(Ordonnance de non-publication dans le dossier) (Ordonnance de non-publication visant une partie) (Le dossier renferme des données que le public n’est pas autorisé à consulter)</w:t>
            </w:r>
          </w:p>
          <w:p w:rsidR="006E56E7" w:rsidRPr="006E56E7" w:rsidRDefault="006E56E7" w:rsidP="006E56E7">
            <w:pPr>
              <w:jc w:val="both"/>
              <w:rPr>
                <w:sz w:val="20"/>
                <w:lang w:val="fr-CA"/>
              </w:rPr>
            </w:pPr>
          </w:p>
          <w:p w:rsidR="006E56E7" w:rsidRPr="006E56E7" w:rsidRDefault="006E56E7" w:rsidP="006E56E7">
            <w:pPr>
              <w:autoSpaceDE w:val="0"/>
              <w:autoSpaceDN w:val="0"/>
              <w:adjustRightInd w:val="0"/>
              <w:jc w:val="both"/>
              <w:rPr>
                <w:iCs/>
                <w:sz w:val="20"/>
                <w:lang w:val="fr-CA"/>
              </w:rPr>
            </w:pPr>
            <w:r w:rsidRPr="006E56E7">
              <w:rPr>
                <w:i/>
                <w:sz w:val="20"/>
                <w:lang w:val="fr-CA"/>
              </w:rPr>
              <w:t>Charte des droits</w:t>
            </w:r>
            <w:r w:rsidRPr="006E56E7">
              <w:rPr>
                <w:sz w:val="20"/>
                <w:lang w:val="fr-CA"/>
              </w:rPr>
              <w:t xml:space="preserve"> – Droit à l’égalité – Déficience – Statut des personnes – Protection de l’enfance – Ministre demandant une ordonnance de prise en charge permanente de deux enfants issus de parents ayant des déficiences intellectuelles – L’analyse de l’intérêt véritable de l’enfant prévue par la loi sur la protection de l’enfance comprend-elle un examen sur le fond de la déficience d’un parent? – Les tribunaux doivent-ils prendre en considération le rôle de la </w:t>
            </w:r>
            <w:r w:rsidRPr="006E56E7">
              <w:rPr>
                <w:i/>
                <w:iCs/>
                <w:sz w:val="20"/>
                <w:lang w:val="fr-CA"/>
              </w:rPr>
              <w:t xml:space="preserve">Charte </w:t>
            </w:r>
            <w:r w:rsidRPr="006E56E7">
              <w:rPr>
                <w:iCs/>
                <w:sz w:val="20"/>
                <w:lang w:val="fr-CA"/>
              </w:rPr>
              <w:t xml:space="preserve">et l’incidence des obligations du Canada en matière de droit international des droits de la personne sur l’interprétation qu’il convient de donner à l’intérêt véritable de l’enfant au sens de la loi sur la protection de l’enfance? </w:t>
            </w:r>
          </w:p>
          <w:p w:rsidR="006E56E7" w:rsidRPr="006E56E7" w:rsidRDefault="006E56E7" w:rsidP="006E56E7">
            <w:pPr>
              <w:autoSpaceDE w:val="0"/>
              <w:autoSpaceDN w:val="0"/>
              <w:adjustRightInd w:val="0"/>
              <w:jc w:val="both"/>
              <w:rPr>
                <w:sz w:val="20"/>
                <w:lang w:val="fr-CA"/>
              </w:rPr>
            </w:pPr>
          </w:p>
        </w:tc>
      </w:tr>
      <w:tr w:rsidR="006E56E7" w:rsidRPr="006E56E7" w:rsidTr="006E56E7">
        <w:tc>
          <w:tcPr>
            <w:tcW w:w="5000" w:type="pct"/>
            <w:gridSpan w:val="4"/>
          </w:tcPr>
          <w:p w:rsidR="006E56E7" w:rsidRPr="006E56E7" w:rsidRDefault="006E56E7" w:rsidP="006E56E7">
            <w:pPr>
              <w:jc w:val="both"/>
              <w:rPr>
                <w:sz w:val="20"/>
                <w:lang w:val="fr-CA"/>
              </w:rPr>
            </w:pPr>
            <w:r w:rsidRPr="006E56E7">
              <w:rPr>
                <w:sz w:val="20"/>
                <w:lang w:val="fr-CA"/>
              </w:rPr>
              <w:t xml:space="preserve">La mère et le père sont en couple depuis environ huit ans. Ils ont tous les deux des déficiences intellectuelles. Ils ont deux garçons âgés respectivement de presque quatre ans et de trois ans. Les deux ont été déclarés avoir besoin de protection dans des instances distinctes. La ministre a obtenu la prise en charge et la garde temporaires de l’aîné quand il avait trois mois conformément au </w:t>
            </w:r>
            <w:proofErr w:type="spellStart"/>
            <w:r w:rsidRPr="006E56E7">
              <w:rPr>
                <w:sz w:val="20"/>
                <w:lang w:val="fr-CA"/>
              </w:rPr>
              <w:t>par</w:t>
            </w:r>
            <w:proofErr w:type="spellEnd"/>
            <w:r w:rsidRPr="006E56E7">
              <w:rPr>
                <w:sz w:val="20"/>
                <w:lang w:val="fr-CA"/>
              </w:rPr>
              <w:t>. </w:t>
            </w:r>
            <w:hyperlink r:id="rId56" w:anchor="sec22subsec2_smooth" w:history="1">
              <w:r w:rsidRPr="006E56E7">
                <w:rPr>
                  <w:sz w:val="20"/>
                </w:rPr>
                <w:t>22(2)</w:t>
              </w:r>
            </w:hyperlink>
            <w:r w:rsidRPr="006E56E7">
              <w:rPr>
                <w:sz w:val="20"/>
              </w:rPr>
              <w:t xml:space="preserve"> de la </w:t>
            </w:r>
            <w:hyperlink r:id="rId57" w:history="1">
              <w:r w:rsidRPr="006E56E7">
                <w:rPr>
                  <w:i/>
                  <w:iCs/>
                  <w:sz w:val="20"/>
                </w:rPr>
                <w:t>Children and Family Services Act</w:t>
              </w:r>
            </w:hyperlink>
            <w:r w:rsidRPr="006E56E7">
              <w:rPr>
                <w:iCs/>
                <w:sz w:val="20"/>
              </w:rPr>
              <w:t>,</w:t>
            </w:r>
            <w:r w:rsidRPr="006E56E7">
              <w:rPr>
                <w:sz w:val="20"/>
              </w:rPr>
              <w:t xml:space="preserve"> S.N.S. 1990, c. 5. </w:t>
            </w:r>
            <w:r w:rsidRPr="006E56E7">
              <w:rPr>
                <w:sz w:val="20"/>
                <w:lang w:val="fr-CA"/>
              </w:rPr>
              <w:t>Le tribunal a jugé que cet enfant courait un risque important de subir des maux physiques ou affectifs en raison d’une négligence chronique et grave. Les parents n’étaient pas en mesure de continuer de s’occuper de lui, mais on leur a accordé un droit de visite avec supervision. Les parents éprouvaient de nombreuses difficultés d’ordre parental qui les empêchaient de pourvoir aux soins, aux besoins et à la sécurité des enfants. La décision a été revue par la suite à maintes reprises et les parents ont obtenu un droit de visite accru avec supervision réduite. Au départ, la situation semblait s’améliorer mais en avril 2015, la ministre a pris en charge le cadet quand il avait dix mois. Il a lui aussi été déclaré avoir besoin de protection à cause d’un risque important de subir des maux physiques ou affectifs. La ministre a demandé à nouveau une ordonnance de prise en charge et de garde permanentes des deux enfants. Les parents ont contesté la décision.</w:t>
            </w:r>
          </w:p>
        </w:tc>
      </w:tr>
      <w:tr w:rsidR="006E56E7" w:rsidRPr="006E56E7" w:rsidTr="006E56E7">
        <w:tc>
          <w:tcPr>
            <w:tcW w:w="5000" w:type="pct"/>
            <w:gridSpan w:val="4"/>
          </w:tcPr>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lastRenderedPageBreak/>
              <w:t>3 février 2016</w:t>
            </w:r>
          </w:p>
          <w:p w:rsidR="006E56E7" w:rsidRPr="006E56E7" w:rsidRDefault="006E56E7" w:rsidP="006E56E7">
            <w:pPr>
              <w:jc w:val="both"/>
              <w:rPr>
                <w:sz w:val="20"/>
                <w:lang w:val="fr-CA"/>
              </w:rPr>
            </w:pPr>
            <w:r w:rsidRPr="006E56E7">
              <w:rPr>
                <w:sz w:val="20"/>
                <w:lang w:val="fr-CA"/>
              </w:rPr>
              <w:t>Tribunal de la famille de la Nouvelle-Écosse</w:t>
            </w:r>
          </w:p>
          <w:p w:rsidR="006E56E7" w:rsidRPr="006E56E7" w:rsidRDefault="006E56E7" w:rsidP="006E56E7">
            <w:pPr>
              <w:jc w:val="both"/>
              <w:rPr>
                <w:sz w:val="20"/>
              </w:rPr>
            </w:pPr>
            <w:r w:rsidRPr="006E56E7">
              <w:rPr>
                <w:sz w:val="20"/>
              </w:rPr>
              <w:t>(Juge Dyer)</w:t>
            </w:r>
          </w:p>
          <w:p w:rsidR="006E56E7" w:rsidRPr="006E56E7" w:rsidRDefault="006E56E7" w:rsidP="006E56E7">
            <w:pPr>
              <w:jc w:val="both"/>
              <w:rPr>
                <w:sz w:val="20"/>
              </w:rPr>
            </w:pPr>
            <w:r w:rsidRPr="006E56E7">
              <w:rPr>
                <w:sz w:val="20"/>
              </w:rPr>
              <w:t>2016 NSFC 9</w:t>
            </w:r>
          </w:p>
          <w:p w:rsidR="006E56E7" w:rsidRPr="006E56E7" w:rsidRDefault="006E56E7" w:rsidP="006E56E7">
            <w:pPr>
              <w:jc w:val="both"/>
              <w:rPr>
                <w:sz w:val="20"/>
              </w:rPr>
            </w:pPr>
          </w:p>
        </w:tc>
        <w:tc>
          <w:tcPr>
            <w:tcW w:w="243" w:type="pct"/>
          </w:tcPr>
          <w:p w:rsidR="006E56E7" w:rsidRPr="006E56E7" w:rsidRDefault="006E56E7" w:rsidP="006E56E7">
            <w:pPr>
              <w:jc w:val="both"/>
              <w:rPr>
                <w:sz w:val="20"/>
              </w:rPr>
            </w:pPr>
          </w:p>
        </w:tc>
        <w:tc>
          <w:tcPr>
            <w:tcW w:w="2330" w:type="pct"/>
          </w:tcPr>
          <w:p w:rsidR="006E56E7" w:rsidRPr="006E56E7" w:rsidRDefault="006E56E7" w:rsidP="006E56E7">
            <w:pPr>
              <w:jc w:val="both"/>
              <w:rPr>
                <w:sz w:val="20"/>
                <w:lang w:val="fr-CA"/>
              </w:rPr>
            </w:pPr>
            <w:r w:rsidRPr="006E56E7">
              <w:rPr>
                <w:sz w:val="20"/>
                <w:lang w:val="fr-CA"/>
              </w:rPr>
              <w:t>Rejet des demandes de la ministre en vue d’obtenir la prise en charge et la garde permanentes des deux enfants</w:t>
            </w:r>
          </w:p>
          <w:p w:rsidR="006E56E7" w:rsidRPr="006E56E7" w:rsidRDefault="006E56E7" w:rsidP="006E56E7">
            <w:pPr>
              <w:jc w:val="both"/>
              <w:rPr>
                <w:sz w:val="20"/>
                <w:lang w:val="fr-CA"/>
              </w:rPr>
            </w:pP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29 juillet 2016</w:t>
            </w:r>
          </w:p>
          <w:p w:rsidR="006E56E7" w:rsidRPr="006E56E7" w:rsidRDefault="006E56E7" w:rsidP="006E56E7">
            <w:pPr>
              <w:jc w:val="both"/>
              <w:rPr>
                <w:sz w:val="20"/>
                <w:lang w:val="fr-CA"/>
              </w:rPr>
            </w:pPr>
            <w:r w:rsidRPr="006E56E7">
              <w:rPr>
                <w:sz w:val="20"/>
                <w:lang w:val="fr-CA"/>
              </w:rPr>
              <w:t>Cour d’appel de la Nouvelle-Écosse</w:t>
            </w:r>
          </w:p>
          <w:p w:rsidR="006E56E7" w:rsidRPr="006E56E7" w:rsidRDefault="006E56E7" w:rsidP="006E56E7">
            <w:pPr>
              <w:jc w:val="both"/>
              <w:rPr>
                <w:sz w:val="20"/>
                <w:lang w:val="fr-CA"/>
              </w:rPr>
            </w:pPr>
            <w:r w:rsidRPr="006E56E7">
              <w:rPr>
                <w:sz w:val="20"/>
                <w:lang w:val="fr-CA"/>
              </w:rPr>
              <w:t xml:space="preserve">(Juges </w:t>
            </w:r>
            <w:proofErr w:type="spellStart"/>
            <w:r w:rsidRPr="006E56E7">
              <w:rPr>
                <w:sz w:val="20"/>
                <w:lang w:val="fr-CA"/>
              </w:rPr>
              <w:t>Scanlan</w:t>
            </w:r>
            <w:proofErr w:type="spellEnd"/>
            <w:r w:rsidRPr="006E56E7">
              <w:rPr>
                <w:sz w:val="20"/>
                <w:lang w:val="fr-CA"/>
              </w:rPr>
              <w:t xml:space="preserve">, Bourgeois et Van den </w:t>
            </w:r>
            <w:proofErr w:type="spellStart"/>
            <w:r w:rsidRPr="006E56E7">
              <w:rPr>
                <w:sz w:val="20"/>
                <w:lang w:val="fr-CA"/>
              </w:rPr>
              <w:t>Eynden</w:t>
            </w:r>
            <w:proofErr w:type="spellEnd"/>
            <w:r w:rsidRPr="006E56E7">
              <w:rPr>
                <w:sz w:val="20"/>
                <w:lang w:val="fr-CA"/>
              </w:rPr>
              <w:t>)</w:t>
            </w:r>
          </w:p>
          <w:p w:rsidR="006E56E7" w:rsidRPr="006E56E7" w:rsidRDefault="007654AB" w:rsidP="006E56E7">
            <w:pPr>
              <w:jc w:val="both"/>
              <w:rPr>
                <w:sz w:val="20"/>
                <w:lang w:val="fr-CA"/>
              </w:rPr>
            </w:pPr>
            <w:hyperlink r:id="rId58" w:history="1">
              <w:r w:rsidR="006E56E7" w:rsidRPr="006E56E7">
                <w:rPr>
                  <w:rStyle w:val="Hyperlink"/>
                  <w:sz w:val="20"/>
                  <w:lang w:val="fr-CA"/>
                </w:rPr>
                <w:t>2016 NSCA 61</w:t>
              </w:r>
            </w:hyperlink>
          </w:p>
          <w:p w:rsidR="006E56E7" w:rsidRPr="006E56E7" w:rsidRDefault="006E56E7" w:rsidP="006E56E7">
            <w:pPr>
              <w:jc w:val="both"/>
              <w:rPr>
                <w:sz w:val="20"/>
                <w:lang w:val="fr-CA"/>
              </w:rPr>
            </w:pPr>
          </w:p>
        </w:tc>
        <w:tc>
          <w:tcPr>
            <w:tcW w:w="243" w:type="pct"/>
          </w:tcPr>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Appel de la ministre accueilli; prononcé d’une ordonnance de prise en charge permanente</w:t>
            </w:r>
          </w:p>
          <w:p w:rsidR="006E56E7" w:rsidRPr="006E56E7" w:rsidRDefault="006E56E7" w:rsidP="006E56E7">
            <w:pPr>
              <w:jc w:val="both"/>
              <w:rPr>
                <w:sz w:val="20"/>
                <w:lang w:val="fr-CA"/>
              </w:rPr>
            </w:pPr>
          </w:p>
          <w:p w:rsidR="006E56E7" w:rsidRPr="006E56E7" w:rsidRDefault="006E56E7" w:rsidP="006E56E7">
            <w:pPr>
              <w:jc w:val="both"/>
              <w:rPr>
                <w:sz w:val="20"/>
                <w:lang w:val="fr-CA"/>
              </w:rPr>
            </w:pPr>
          </w:p>
        </w:tc>
      </w:tr>
      <w:tr w:rsidR="006E56E7" w:rsidRPr="007654AB" w:rsidTr="006E56E7">
        <w:tc>
          <w:tcPr>
            <w:tcW w:w="2427" w:type="pct"/>
            <w:gridSpan w:val="2"/>
          </w:tcPr>
          <w:p w:rsidR="006E56E7" w:rsidRPr="006E56E7" w:rsidRDefault="006E56E7" w:rsidP="006E56E7">
            <w:pPr>
              <w:jc w:val="both"/>
              <w:rPr>
                <w:sz w:val="20"/>
                <w:lang w:val="fr-CA"/>
              </w:rPr>
            </w:pPr>
            <w:r w:rsidRPr="006E56E7">
              <w:rPr>
                <w:sz w:val="20"/>
                <w:lang w:val="fr-CA"/>
              </w:rPr>
              <w:t>29 septembre 2016</w:t>
            </w:r>
          </w:p>
          <w:p w:rsidR="006E56E7" w:rsidRPr="006E56E7" w:rsidRDefault="006E56E7" w:rsidP="006E56E7">
            <w:pPr>
              <w:jc w:val="both"/>
              <w:rPr>
                <w:sz w:val="20"/>
                <w:lang w:val="fr-CA"/>
              </w:rPr>
            </w:pPr>
            <w:r w:rsidRPr="006E56E7">
              <w:rPr>
                <w:sz w:val="20"/>
                <w:lang w:val="fr-CA"/>
              </w:rPr>
              <w:t>Cour suprême du Canada</w:t>
            </w:r>
          </w:p>
        </w:tc>
        <w:tc>
          <w:tcPr>
            <w:tcW w:w="243" w:type="pct"/>
          </w:tcPr>
          <w:p w:rsidR="006E56E7" w:rsidRPr="006E56E7" w:rsidRDefault="006E56E7" w:rsidP="006E56E7">
            <w:pPr>
              <w:jc w:val="both"/>
              <w:rPr>
                <w:sz w:val="20"/>
                <w:lang w:val="fr-CA"/>
              </w:rPr>
            </w:pPr>
          </w:p>
          <w:p w:rsidR="006E56E7" w:rsidRPr="006E56E7" w:rsidRDefault="006E56E7" w:rsidP="006E56E7">
            <w:pPr>
              <w:jc w:val="both"/>
              <w:rPr>
                <w:sz w:val="20"/>
                <w:lang w:val="fr-CA"/>
              </w:rPr>
            </w:pPr>
          </w:p>
        </w:tc>
        <w:tc>
          <w:tcPr>
            <w:tcW w:w="2330" w:type="pct"/>
          </w:tcPr>
          <w:p w:rsidR="006E56E7" w:rsidRPr="006E56E7" w:rsidRDefault="006E56E7" w:rsidP="006E56E7">
            <w:pPr>
              <w:jc w:val="both"/>
              <w:rPr>
                <w:sz w:val="20"/>
                <w:lang w:val="fr-CA"/>
              </w:rPr>
            </w:pPr>
            <w:r w:rsidRPr="006E56E7">
              <w:rPr>
                <w:sz w:val="20"/>
                <w:lang w:val="fr-CA"/>
              </w:rPr>
              <w:t>Dépôt de la demande d’autorisation d’appel</w:t>
            </w:r>
          </w:p>
        </w:tc>
      </w:tr>
    </w:tbl>
    <w:p w:rsidR="006E56E7" w:rsidRPr="006E56E7" w:rsidRDefault="006E56E7" w:rsidP="006E56E7">
      <w:pPr>
        <w:jc w:val="both"/>
        <w:rPr>
          <w:sz w:val="20"/>
          <w:lang w:val="fr-CA"/>
        </w:rPr>
      </w:pPr>
    </w:p>
    <w:p w:rsidR="00A87E30" w:rsidRPr="006E56E7" w:rsidRDefault="00A87E30" w:rsidP="006E56E7">
      <w:pPr>
        <w:ind w:left="360" w:hanging="360"/>
        <w:jc w:val="both"/>
        <w:rPr>
          <w:sz w:val="20"/>
          <w:lang w:val="fr-CA" w:eastAsia="en-CA"/>
        </w:rPr>
      </w:pPr>
    </w:p>
    <w:tbl>
      <w:tblPr>
        <w:tblW w:w="9684" w:type="pct"/>
        <w:tblLayout w:type="fixed"/>
        <w:tblCellMar>
          <w:left w:w="0" w:type="dxa"/>
          <w:bottom w:w="99" w:type="dxa"/>
          <w:right w:w="0" w:type="dxa"/>
        </w:tblCellMar>
        <w:tblLook w:val="04A0" w:firstRow="1" w:lastRow="0" w:firstColumn="1" w:lastColumn="0" w:noHBand="0" w:noVBand="1"/>
      </w:tblPr>
      <w:tblGrid>
        <w:gridCol w:w="1004"/>
        <w:gridCol w:w="3495"/>
        <w:gridCol w:w="450"/>
        <w:gridCol w:w="4322"/>
        <w:gridCol w:w="4430"/>
        <w:gridCol w:w="4427"/>
      </w:tblGrid>
      <w:tr w:rsidR="006E56E7" w:rsidRPr="006E56E7" w:rsidTr="006E56E7">
        <w:trPr>
          <w:gridAfter w:val="2"/>
          <w:wAfter w:w="2443" w:type="pct"/>
        </w:trPr>
        <w:tc>
          <w:tcPr>
            <w:tcW w:w="277" w:type="pct"/>
          </w:tcPr>
          <w:p w:rsidR="006E56E7" w:rsidRPr="006E56E7" w:rsidRDefault="006E56E7" w:rsidP="006E56E7">
            <w:pPr>
              <w:jc w:val="both"/>
              <w:rPr>
                <w:sz w:val="20"/>
              </w:rPr>
            </w:pPr>
            <w:r w:rsidRPr="006E56E7">
              <w:rPr>
                <w:rStyle w:val="SCCFileNumberChar"/>
                <w:sz w:val="20"/>
                <w:szCs w:val="20"/>
              </w:rPr>
              <w:t>37392</w:t>
            </w:r>
          </w:p>
        </w:tc>
        <w:tc>
          <w:tcPr>
            <w:tcW w:w="2279" w:type="pct"/>
            <w:gridSpan w:val="3"/>
          </w:tcPr>
          <w:p w:rsidR="006E56E7" w:rsidRPr="001F5478" w:rsidRDefault="006E56E7" w:rsidP="006E56E7">
            <w:pPr>
              <w:pStyle w:val="SCCLsocParty"/>
              <w:jc w:val="both"/>
              <w:rPr>
                <w:b/>
                <w:sz w:val="20"/>
                <w:szCs w:val="20"/>
                <w:lang w:val="en-US"/>
              </w:rPr>
            </w:pPr>
            <w:r w:rsidRPr="001F5478">
              <w:rPr>
                <w:b/>
                <w:sz w:val="20"/>
                <w:szCs w:val="20"/>
                <w:lang w:val="en-US"/>
              </w:rPr>
              <w:t>D.M, M.M. and G.M. v. Director, Child and Family Services Authority</w:t>
            </w:r>
          </w:p>
          <w:p w:rsidR="006E56E7" w:rsidRPr="006E56E7" w:rsidRDefault="006E56E7" w:rsidP="006E56E7">
            <w:pPr>
              <w:jc w:val="both"/>
              <w:rPr>
                <w:sz w:val="20"/>
              </w:rPr>
            </w:pPr>
            <w:r w:rsidRPr="006E56E7">
              <w:rPr>
                <w:sz w:val="20"/>
              </w:rPr>
              <w:t>(Alta.) (Civil) (By Leave)</w:t>
            </w:r>
          </w:p>
        </w:tc>
      </w:tr>
      <w:tr w:rsidR="006E56E7" w:rsidRPr="006E56E7" w:rsidTr="006E56E7">
        <w:trPr>
          <w:gridAfter w:val="2"/>
          <w:wAfter w:w="2443" w:type="pct"/>
        </w:trPr>
        <w:tc>
          <w:tcPr>
            <w:tcW w:w="2557" w:type="pct"/>
            <w:gridSpan w:val="4"/>
          </w:tcPr>
          <w:p w:rsidR="006E56E7" w:rsidRPr="006E56E7" w:rsidRDefault="006E56E7" w:rsidP="006E56E7">
            <w:pPr>
              <w:pStyle w:val="SCCBanSummary"/>
              <w:rPr>
                <w:sz w:val="20"/>
                <w:szCs w:val="20"/>
              </w:rPr>
            </w:pPr>
            <w:r w:rsidRPr="006E56E7">
              <w:rPr>
                <w:sz w:val="20"/>
                <w:szCs w:val="20"/>
              </w:rPr>
              <w:t>(Publication ban in case)</w:t>
            </w:r>
          </w:p>
        </w:tc>
      </w:tr>
      <w:tr w:rsidR="006E56E7" w:rsidRPr="006E56E7" w:rsidTr="006E56E7">
        <w:trPr>
          <w:gridAfter w:val="2"/>
          <w:wAfter w:w="2443" w:type="pct"/>
        </w:trPr>
        <w:tc>
          <w:tcPr>
            <w:tcW w:w="2557" w:type="pct"/>
            <w:gridSpan w:val="4"/>
          </w:tcPr>
          <w:p w:rsidR="006E56E7" w:rsidRPr="006E56E7" w:rsidRDefault="006E56E7" w:rsidP="006E56E7">
            <w:pPr>
              <w:jc w:val="both"/>
              <w:rPr>
                <w:sz w:val="20"/>
              </w:rPr>
            </w:pPr>
          </w:p>
          <w:p w:rsidR="006E56E7" w:rsidRPr="006E56E7" w:rsidRDefault="006E56E7" w:rsidP="006E56E7">
            <w:pPr>
              <w:jc w:val="both"/>
              <w:rPr>
                <w:sz w:val="20"/>
              </w:rPr>
            </w:pPr>
            <w:r w:rsidRPr="006E56E7">
              <w:rPr>
                <w:sz w:val="20"/>
              </w:rPr>
              <w:t>Civil procedure – Appeals – Leave to appeal – Restoration of appeal – Whether the courts below erred in denying leave to appeal and dismissing application to restore appeal.</w:t>
            </w:r>
          </w:p>
        </w:tc>
      </w:tr>
      <w:tr w:rsidR="006E56E7" w:rsidRPr="006E56E7" w:rsidTr="006E56E7">
        <w:tc>
          <w:tcPr>
            <w:tcW w:w="2557" w:type="pct"/>
            <w:gridSpan w:val="4"/>
          </w:tcPr>
          <w:p w:rsidR="006E56E7" w:rsidRPr="006E56E7" w:rsidRDefault="006E56E7" w:rsidP="006E56E7">
            <w:pPr>
              <w:jc w:val="both"/>
              <w:rPr>
                <w:sz w:val="20"/>
              </w:rPr>
            </w:pPr>
          </w:p>
          <w:p w:rsidR="006E56E7" w:rsidRPr="006E56E7" w:rsidRDefault="006E56E7" w:rsidP="006E56E7">
            <w:pPr>
              <w:jc w:val="both"/>
              <w:rPr>
                <w:sz w:val="20"/>
              </w:rPr>
            </w:pPr>
            <w:r w:rsidRPr="006E56E7">
              <w:rPr>
                <w:sz w:val="20"/>
              </w:rPr>
              <w:t>The proceedings arise from an order of the Provincial Court of Alberta granting guardianship of three minor children to the respondent, Director. The applicants’ appeal from that order to the Alberta Court of Queen’s Bench was dismissed due to the applicants’ failure to comply with an order to serve and file a complete transcript of the proceedings below. The applicants did not appeal the dismissal order, but instead brought an application to restore the appeal in the Court of Queen’s Bench which was dismissed for lack of merit. The applicants’ appeal from that dismissal was subsequently struck by the Court of Appeal for failure by the applicants to file their Appeal Record or seek and extension of time. The applicants then brought two applications in the Court of Appeal seeking: (</w:t>
            </w:r>
            <w:proofErr w:type="spellStart"/>
            <w:r w:rsidRPr="006E56E7">
              <w:rPr>
                <w:sz w:val="20"/>
              </w:rPr>
              <w:t>i</w:t>
            </w:r>
            <w:proofErr w:type="spellEnd"/>
            <w:r w:rsidRPr="006E56E7">
              <w:rPr>
                <w:sz w:val="20"/>
              </w:rPr>
              <w:t>) permission to appeal the decision of the Court of Queen’s Bench dismissing the application to restore their appeal and (ii) an order to restore their appeal which had been struck in the Court of Appeal.</w:t>
            </w:r>
          </w:p>
          <w:p w:rsidR="006E56E7" w:rsidRPr="006E56E7" w:rsidRDefault="006E56E7" w:rsidP="006E56E7">
            <w:pPr>
              <w:jc w:val="both"/>
              <w:rPr>
                <w:sz w:val="20"/>
              </w:rPr>
            </w:pPr>
          </w:p>
          <w:p w:rsidR="006E56E7" w:rsidRPr="006E56E7" w:rsidRDefault="006E56E7" w:rsidP="006E56E7">
            <w:pPr>
              <w:jc w:val="both"/>
              <w:rPr>
                <w:sz w:val="20"/>
              </w:rPr>
            </w:pPr>
            <w:r w:rsidRPr="006E56E7">
              <w:rPr>
                <w:sz w:val="20"/>
              </w:rPr>
              <w:t>The Court of Appeal dismissed the applications. As to the first application, the court held that the applicants had not satisfied the requirements of Rule 12.71 of the Alberta Rules of Court for granting leave to the Court of Appeal; no error of law or jurisdiction on the part of the Queen’s Bench judge had been established. Second, the application to restore the appeal was found to be moot, however, for the sake of completeness, the court dismissed the application.</w:t>
            </w:r>
          </w:p>
          <w:p w:rsidR="006E56E7" w:rsidRPr="006E56E7" w:rsidRDefault="006E56E7" w:rsidP="006E56E7">
            <w:pPr>
              <w:jc w:val="both"/>
              <w:rPr>
                <w:sz w:val="20"/>
              </w:rPr>
            </w:pPr>
          </w:p>
        </w:tc>
        <w:tc>
          <w:tcPr>
            <w:tcW w:w="1222" w:type="pct"/>
          </w:tcPr>
          <w:p w:rsidR="006E56E7" w:rsidRPr="006E56E7" w:rsidRDefault="006E56E7" w:rsidP="006E56E7">
            <w:pPr>
              <w:spacing w:after="200" w:line="276" w:lineRule="auto"/>
              <w:jc w:val="both"/>
              <w:rPr>
                <w:sz w:val="20"/>
              </w:rPr>
            </w:pPr>
          </w:p>
        </w:tc>
        <w:tc>
          <w:tcPr>
            <w:tcW w:w="1222" w:type="pct"/>
          </w:tcPr>
          <w:p w:rsidR="006E56E7" w:rsidRPr="006E56E7" w:rsidRDefault="006E56E7" w:rsidP="006E56E7">
            <w:pPr>
              <w:spacing w:after="200" w:line="276" w:lineRule="auto"/>
              <w:jc w:val="both"/>
              <w:rPr>
                <w:sz w:val="20"/>
              </w:rPr>
            </w:pPr>
          </w:p>
        </w:tc>
      </w:tr>
      <w:tr w:rsidR="006E56E7" w:rsidRPr="006E56E7" w:rsidTr="006E56E7">
        <w:trPr>
          <w:gridAfter w:val="2"/>
          <w:wAfter w:w="2443" w:type="pct"/>
        </w:trPr>
        <w:tc>
          <w:tcPr>
            <w:tcW w:w="1241" w:type="pct"/>
            <w:gridSpan w:val="2"/>
          </w:tcPr>
          <w:p w:rsidR="006E56E7" w:rsidRPr="006E56E7" w:rsidRDefault="006E56E7" w:rsidP="006E56E7">
            <w:pPr>
              <w:jc w:val="both"/>
              <w:rPr>
                <w:sz w:val="20"/>
              </w:rPr>
            </w:pPr>
            <w:r w:rsidRPr="006E56E7">
              <w:rPr>
                <w:sz w:val="20"/>
              </w:rPr>
              <w:t>August 18, 2016</w:t>
            </w:r>
          </w:p>
          <w:p w:rsidR="006E56E7" w:rsidRPr="006E56E7" w:rsidRDefault="006E56E7" w:rsidP="006E56E7">
            <w:pPr>
              <w:jc w:val="both"/>
              <w:rPr>
                <w:sz w:val="20"/>
              </w:rPr>
            </w:pPr>
            <w:r w:rsidRPr="006E56E7">
              <w:rPr>
                <w:sz w:val="20"/>
              </w:rPr>
              <w:t>Court of Queen’s Bench of Alberta</w:t>
            </w:r>
          </w:p>
          <w:p w:rsidR="006E56E7" w:rsidRPr="006E56E7" w:rsidRDefault="006E56E7" w:rsidP="006E56E7">
            <w:pPr>
              <w:jc w:val="both"/>
              <w:rPr>
                <w:sz w:val="20"/>
              </w:rPr>
            </w:pPr>
            <w:r w:rsidRPr="006E56E7">
              <w:rPr>
                <w:sz w:val="20"/>
              </w:rPr>
              <w:t>(Dario J.)</w:t>
            </w:r>
          </w:p>
          <w:p w:rsidR="006E56E7" w:rsidRPr="006E56E7" w:rsidRDefault="006E56E7" w:rsidP="006E56E7">
            <w:pPr>
              <w:jc w:val="both"/>
              <w:rPr>
                <w:sz w:val="20"/>
              </w:rPr>
            </w:pPr>
            <w:r w:rsidRPr="006E56E7">
              <w:rPr>
                <w:sz w:val="20"/>
              </w:rPr>
              <w:t>Unreported oral reasons for judgment</w:t>
            </w:r>
          </w:p>
          <w:p w:rsidR="006E56E7" w:rsidRPr="006E56E7" w:rsidRDefault="006E56E7" w:rsidP="006E56E7">
            <w:pPr>
              <w:jc w:val="both"/>
              <w:rPr>
                <w:sz w:val="20"/>
              </w:rPr>
            </w:pPr>
          </w:p>
        </w:tc>
        <w:tc>
          <w:tcPr>
            <w:tcW w:w="124" w:type="pct"/>
          </w:tcPr>
          <w:p w:rsidR="006E56E7" w:rsidRPr="006E56E7" w:rsidRDefault="006E56E7" w:rsidP="006E56E7">
            <w:pPr>
              <w:jc w:val="both"/>
              <w:rPr>
                <w:sz w:val="20"/>
              </w:rPr>
            </w:pPr>
          </w:p>
        </w:tc>
        <w:tc>
          <w:tcPr>
            <w:tcW w:w="1192" w:type="pct"/>
          </w:tcPr>
          <w:p w:rsidR="006E56E7" w:rsidRPr="006E56E7" w:rsidRDefault="006E56E7" w:rsidP="006E56E7">
            <w:pPr>
              <w:jc w:val="both"/>
              <w:rPr>
                <w:sz w:val="20"/>
              </w:rPr>
            </w:pPr>
            <w:r w:rsidRPr="006E56E7">
              <w:rPr>
                <w:sz w:val="20"/>
              </w:rPr>
              <w:t xml:space="preserve">Applicants’ application to restore appeal, dismissed for lack of merit. </w:t>
            </w:r>
          </w:p>
          <w:p w:rsidR="006E56E7" w:rsidRPr="006E56E7" w:rsidRDefault="006E56E7" w:rsidP="006E56E7">
            <w:pPr>
              <w:jc w:val="both"/>
              <w:rPr>
                <w:sz w:val="20"/>
              </w:rPr>
            </w:pPr>
          </w:p>
        </w:tc>
      </w:tr>
      <w:tr w:rsidR="006E56E7" w:rsidRPr="006E56E7" w:rsidTr="006E56E7">
        <w:trPr>
          <w:gridAfter w:val="2"/>
          <w:wAfter w:w="2443" w:type="pct"/>
        </w:trPr>
        <w:tc>
          <w:tcPr>
            <w:tcW w:w="1241" w:type="pct"/>
            <w:gridSpan w:val="2"/>
          </w:tcPr>
          <w:p w:rsidR="006E56E7" w:rsidRPr="006E56E7" w:rsidRDefault="006E56E7" w:rsidP="006E56E7">
            <w:pPr>
              <w:jc w:val="both"/>
              <w:rPr>
                <w:sz w:val="20"/>
              </w:rPr>
            </w:pPr>
            <w:r w:rsidRPr="006E56E7">
              <w:rPr>
                <w:sz w:val="20"/>
              </w:rPr>
              <w:t>December 13, 2016</w:t>
            </w:r>
          </w:p>
          <w:p w:rsidR="006E56E7" w:rsidRPr="006E56E7" w:rsidRDefault="006E56E7" w:rsidP="006E56E7">
            <w:pPr>
              <w:jc w:val="both"/>
              <w:rPr>
                <w:sz w:val="20"/>
              </w:rPr>
            </w:pPr>
            <w:r w:rsidRPr="006E56E7">
              <w:rPr>
                <w:sz w:val="20"/>
              </w:rPr>
              <w:t>Court of Appeal of Alberta (Calgary)</w:t>
            </w:r>
          </w:p>
          <w:p w:rsidR="006E56E7" w:rsidRPr="006E56E7" w:rsidRDefault="006E56E7" w:rsidP="006E56E7">
            <w:pPr>
              <w:jc w:val="both"/>
              <w:rPr>
                <w:sz w:val="20"/>
              </w:rPr>
            </w:pPr>
            <w:r w:rsidRPr="006E56E7">
              <w:rPr>
                <w:sz w:val="20"/>
              </w:rPr>
              <w:t>(McDonald J.A.)</w:t>
            </w:r>
          </w:p>
          <w:p w:rsidR="006E56E7" w:rsidRPr="006E56E7" w:rsidRDefault="007654AB" w:rsidP="006E56E7">
            <w:pPr>
              <w:jc w:val="both"/>
              <w:rPr>
                <w:sz w:val="20"/>
              </w:rPr>
            </w:pPr>
            <w:hyperlink r:id="rId59" w:history="1">
              <w:r w:rsidR="006E56E7" w:rsidRPr="006E56E7">
                <w:rPr>
                  <w:rStyle w:val="Hyperlink"/>
                  <w:sz w:val="20"/>
                </w:rPr>
                <w:t>2016 ABCA 400</w:t>
              </w:r>
            </w:hyperlink>
          </w:p>
          <w:p w:rsidR="006E56E7" w:rsidRPr="006E56E7" w:rsidRDefault="006E56E7" w:rsidP="006E56E7">
            <w:pPr>
              <w:jc w:val="both"/>
              <w:rPr>
                <w:sz w:val="20"/>
              </w:rPr>
            </w:pPr>
          </w:p>
        </w:tc>
        <w:tc>
          <w:tcPr>
            <w:tcW w:w="124" w:type="pct"/>
          </w:tcPr>
          <w:p w:rsidR="006E56E7" w:rsidRPr="006E56E7" w:rsidRDefault="006E56E7" w:rsidP="006E56E7">
            <w:pPr>
              <w:jc w:val="both"/>
              <w:rPr>
                <w:sz w:val="20"/>
              </w:rPr>
            </w:pPr>
          </w:p>
        </w:tc>
        <w:tc>
          <w:tcPr>
            <w:tcW w:w="1192" w:type="pct"/>
          </w:tcPr>
          <w:p w:rsidR="006E56E7" w:rsidRPr="006E56E7" w:rsidRDefault="006E56E7" w:rsidP="006E56E7">
            <w:pPr>
              <w:jc w:val="both"/>
              <w:rPr>
                <w:sz w:val="20"/>
              </w:rPr>
            </w:pPr>
            <w:r w:rsidRPr="006E56E7">
              <w:rPr>
                <w:sz w:val="20"/>
              </w:rPr>
              <w:t>Applicants’ application for leave to appeal and application to restore appeal, dismissed.</w:t>
            </w:r>
          </w:p>
          <w:p w:rsidR="006E56E7" w:rsidRPr="006E56E7" w:rsidRDefault="006E56E7" w:rsidP="006E56E7">
            <w:pPr>
              <w:jc w:val="both"/>
              <w:rPr>
                <w:sz w:val="20"/>
              </w:rPr>
            </w:pPr>
          </w:p>
        </w:tc>
      </w:tr>
      <w:tr w:rsidR="006E56E7" w:rsidRPr="006E56E7" w:rsidTr="006E56E7">
        <w:trPr>
          <w:gridAfter w:val="2"/>
          <w:wAfter w:w="2443" w:type="pct"/>
        </w:trPr>
        <w:tc>
          <w:tcPr>
            <w:tcW w:w="1241" w:type="pct"/>
            <w:gridSpan w:val="2"/>
          </w:tcPr>
          <w:p w:rsidR="006E56E7" w:rsidRPr="006E56E7" w:rsidRDefault="006E56E7" w:rsidP="006E56E7">
            <w:pPr>
              <w:jc w:val="both"/>
              <w:rPr>
                <w:sz w:val="20"/>
              </w:rPr>
            </w:pPr>
            <w:r w:rsidRPr="006E56E7">
              <w:rPr>
                <w:sz w:val="20"/>
              </w:rPr>
              <w:t>December 30, 2016</w:t>
            </w:r>
          </w:p>
          <w:p w:rsidR="006E56E7" w:rsidRPr="006E56E7" w:rsidRDefault="006E56E7" w:rsidP="006E56E7">
            <w:pPr>
              <w:jc w:val="both"/>
              <w:rPr>
                <w:sz w:val="20"/>
              </w:rPr>
            </w:pPr>
            <w:r w:rsidRPr="006E56E7">
              <w:rPr>
                <w:sz w:val="20"/>
              </w:rPr>
              <w:t>Supreme Court of Canada</w:t>
            </w:r>
          </w:p>
        </w:tc>
        <w:tc>
          <w:tcPr>
            <w:tcW w:w="124" w:type="pct"/>
          </w:tcPr>
          <w:p w:rsidR="006E56E7" w:rsidRPr="006E56E7" w:rsidRDefault="006E56E7" w:rsidP="006E56E7">
            <w:pPr>
              <w:jc w:val="both"/>
              <w:rPr>
                <w:sz w:val="20"/>
              </w:rPr>
            </w:pPr>
          </w:p>
        </w:tc>
        <w:tc>
          <w:tcPr>
            <w:tcW w:w="1192" w:type="pct"/>
          </w:tcPr>
          <w:p w:rsidR="006E56E7" w:rsidRPr="006E56E7" w:rsidRDefault="006E56E7" w:rsidP="006E56E7">
            <w:pPr>
              <w:jc w:val="both"/>
              <w:rPr>
                <w:sz w:val="20"/>
              </w:rPr>
            </w:pPr>
            <w:r w:rsidRPr="006E56E7">
              <w:rPr>
                <w:sz w:val="20"/>
              </w:rPr>
              <w:t>Application for leave to appeal, filed.</w:t>
            </w:r>
          </w:p>
          <w:p w:rsidR="006E56E7" w:rsidRPr="006E56E7" w:rsidRDefault="006E56E7" w:rsidP="006E56E7">
            <w:pPr>
              <w:jc w:val="both"/>
              <w:rPr>
                <w:sz w:val="20"/>
              </w:rPr>
            </w:pPr>
          </w:p>
        </w:tc>
      </w:tr>
    </w:tbl>
    <w:p w:rsidR="006E56E7" w:rsidRDefault="006E56E7" w:rsidP="006E56E7">
      <w:pPr>
        <w:jc w:val="both"/>
        <w:rPr>
          <w:sz w:val="20"/>
        </w:rPr>
      </w:pPr>
    </w:p>
    <w:p w:rsidR="001F5478" w:rsidRPr="006E56E7" w:rsidRDefault="001F5478" w:rsidP="006E56E7">
      <w:pPr>
        <w:jc w:val="both"/>
        <w:rPr>
          <w:sz w:val="20"/>
        </w:rPr>
      </w:pPr>
    </w:p>
    <w:tbl>
      <w:tblPr>
        <w:tblW w:w="9684" w:type="pct"/>
        <w:tblLayout w:type="fixed"/>
        <w:tblCellMar>
          <w:left w:w="0" w:type="dxa"/>
          <w:bottom w:w="99" w:type="dxa"/>
          <w:right w:w="0" w:type="dxa"/>
        </w:tblCellMar>
        <w:tblLook w:val="04A0" w:firstRow="1" w:lastRow="0" w:firstColumn="1" w:lastColumn="0" w:noHBand="0" w:noVBand="1"/>
      </w:tblPr>
      <w:tblGrid>
        <w:gridCol w:w="1004"/>
        <w:gridCol w:w="3495"/>
        <w:gridCol w:w="450"/>
        <w:gridCol w:w="4322"/>
        <w:gridCol w:w="4430"/>
        <w:gridCol w:w="4427"/>
      </w:tblGrid>
      <w:tr w:rsidR="006E56E7" w:rsidRPr="006E56E7" w:rsidTr="006E56E7">
        <w:trPr>
          <w:gridAfter w:val="2"/>
          <w:wAfter w:w="2443" w:type="pct"/>
        </w:trPr>
        <w:tc>
          <w:tcPr>
            <w:tcW w:w="277" w:type="pct"/>
          </w:tcPr>
          <w:p w:rsidR="006E56E7" w:rsidRPr="006E56E7" w:rsidRDefault="006E56E7" w:rsidP="006E56E7">
            <w:pPr>
              <w:jc w:val="both"/>
              <w:rPr>
                <w:sz w:val="20"/>
                <w:lang w:val="fr-CA"/>
              </w:rPr>
            </w:pPr>
            <w:r w:rsidRPr="006E56E7">
              <w:rPr>
                <w:rStyle w:val="SCCFileNumberChar"/>
                <w:sz w:val="20"/>
                <w:szCs w:val="20"/>
                <w:lang w:val="fr-CA"/>
              </w:rPr>
              <w:t>37392</w:t>
            </w:r>
          </w:p>
        </w:tc>
        <w:tc>
          <w:tcPr>
            <w:tcW w:w="2279" w:type="pct"/>
            <w:gridSpan w:val="3"/>
          </w:tcPr>
          <w:p w:rsidR="006E56E7" w:rsidRPr="001F5478" w:rsidRDefault="006E56E7" w:rsidP="006E56E7">
            <w:pPr>
              <w:pStyle w:val="SCCLsocParty"/>
              <w:jc w:val="both"/>
              <w:rPr>
                <w:b/>
                <w:sz w:val="20"/>
                <w:szCs w:val="20"/>
                <w:lang w:val="en-US"/>
              </w:rPr>
            </w:pPr>
            <w:r w:rsidRPr="001F5478">
              <w:rPr>
                <w:b/>
                <w:sz w:val="20"/>
                <w:szCs w:val="20"/>
                <w:lang w:val="en-US"/>
              </w:rPr>
              <w:t>D.M, M.M. et G.M. c. Director, Child and Family Services Authority</w:t>
            </w:r>
          </w:p>
          <w:p w:rsidR="006E56E7" w:rsidRPr="006E56E7" w:rsidRDefault="006E56E7" w:rsidP="006E56E7">
            <w:pPr>
              <w:jc w:val="both"/>
              <w:rPr>
                <w:sz w:val="20"/>
                <w:lang w:val="fr-CA"/>
              </w:rPr>
            </w:pPr>
            <w:r w:rsidRPr="006E56E7">
              <w:rPr>
                <w:sz w:val="20"/>
                <w:lang w:val="fr-CA"/>
              </w:rPr>
              <w:lastRenderedPageBreak/>
              <w:t>(Alb.) (Civile) (Sur autorisation)</w:t>
            </w:r>
          </w:p>
        </w:tc>
      </w:tr>
      <w:tr w:rsidR="006E56E7" w:rsidRPr="007654AB" w:rsidTr="006E56E7">
        <w:trPr>
          <w:gridAfter w:val="2"/>
          <w:wAfter w:w="2443" w:type="pct"/>
        </w:trPr>
        <w:tc>
          <w:tcPr>
            <w:tcW w:w="2557" w:type="pct"/>
            <w:gridSpan w:val="4"/>
          </w:tcPr>
          <w:p w:rsidR="006E56E7" w:rsidRPr="006E56E7" w:rsidRDefault="006E56E7" w:rsidP="006E56E7">
            <w:pPr>
              <w:pStyle w:val="SCCBanSummary"/>
              <w:rPr>
                <w:sz w:val="20"/>
                <w:szCs w:val="20"/>
                <w:lang w:val="fr-CA"/>
              </w:rPr>
            </w:pPr>
            <w:r w:rsidRPr="006E56E7">
              <w:rPr>
                <w:sz w:val="20"/>
                <w:szCs w:val="20"/>
                <w:lang w:val="fr-CA"/>
              </w:rPr>
              <w:lastRenderedPageBreak/>
              <w:t>(Ordonnance de non-publication dans le dossier)</w:t>
            </w:r>
          </w:p>
        </w:tc>
      </w:tr>
      <w:tr w:rsidR="006E56E7" w:rsidRPr="007654AB" w:rsidTr="006E56E7">
        <w:trPr>
          <w:gridAfter w:val="2"/>
          <w:wAfter w:w="2443" w:type="pct"/>
        </w:trPr>
        <w:tc>
          <w:tcPr>
            <w:tcW w:w="2557" w:type="pct"/>
            <w:gridSpan w:val="4"/>
          </w:tcPr>
          <w:p w:rsidR="006E56E7" w:rsidRPr="006E56E7" w:rsidRDefault="006E56E7" w:rsidP="006E56E7">
            <w:pPr>
              <w:jc w:val="both"/>
              <w:rPr>
                <w:sz w:val="20"/>
                <w:lang w:val="fr-CA"/>
              </w:rPr>
            </w:pPr>
          </w:p>
          <w:p w:rsidR="006E56E7" w:rsidRPr="006E56E7" w:rsidRDefault="006E56E7" w:rsidP="006E56E7">
            <w:pPr>
              <w:jc w:val="both"/>
              <w:rPr>
                <w:sz w:val="20"/>
                <w:lang w:val="fr-CA"/>
              </w:rPr>
            </w:pPr>
            <w:r w:rsidRPr="006E56E7">
              <w:rPr>
                <w:sz w:val="20"/>
                <w:lang w:val="fr-CA"/>
              </w:rPr>
              <w:t>Procédure civile – Appels – Autorisation d’appel – Rétablissement de l’appel – Les juridictions inférieures ont-elles eu tort de refuser l’autorisation d’appel et de rejeter la demande de rétablissement de l’appel?</w:t>
            </w:r>
          </w:p>
        </w:tc>
      </w:tr>
      <w:tr w:rsidR="006E56E7" w:rsidRPr="007654AB" w:rsidTr="006E56E7">
        <w:tc>
          <w:tcPr>
            <w:tcW w:w="2557" w:type="pct"/>
            <w:gridSpan w:val="4"/>
          </w:tcPr>
          <w:p w:rsidR="006E56E7" w:rsidRPr="006E56E7" w:rsidRDefault="006E56E7" w:rsidP="006E56E7">
            <w:pPr>
              <w:jc w:val="both"/>
              <w:rPr>
                <w:sz w:val="20"/>
                <w:lang w:val="fr-CA"/>
              </w:rPr>
            </w:pPr>
          </w:p>
          <w:p w:rsidR="006E56E7" w:rsidRPr="006E56E7" w:rsidRDefault="006E56E7" w:rsidP="006E56E7">
            <w:pPr>
              <w:jc w:val="both"/>
              <w:rPr>
                <w:sz w:val="20"/>
                <w:lang w:val="fr-CA"/>
              </w:rPr>
            </w:pPr>
            <w:r w:rsidRPr="006E56E7">
              <w:rPr>
                <w:sz w:val="20"/>
                <w:lang w:val="fr-CA"/>
              </w:rPr>
              <w:t>L’instance a pour origine une ordonnance de la Cour provinciale de l’Alberta qui a confié la tutelle de trois enfants mineurs au directeur intimé. L’appel de cette ordonnance interjeté par les demandeurs à la Cour du Banc de la Reine de l’Alberta a été rejeté parce que les demandeurs avaient omis de se conformer à une ordonnance de signification et de dépôt d’une transcription complète des procédures devant les juridictions inférieures. Les demandeurs n’ont pas interjeté appel de l’ordonnance de rejet, mais ont plutôt présenté une demande en rétablissement de l’appel en Cour du Banc de la Reine qui avait été rejetée, parce que non fondée. La Cour d’appel a subséquemment radié l’appel des demandeurs de ce rejet parce que les demandeurs avaient omis de déposer leur dossier d’appel ou de demander une prorogation de délai. Les demandeurs ont alors demandé à la Cour d’appel (i) la permission d’en appeler de la décision de la Cour du Banc de la Reine rejetant la demande de rétablissement de leur appel et (ii) une ordonnance en rétablissement de l’appel qui avait été radié en Cour d’appel.</w:t>
            </w:r>
          </w:p>
          <w:p w:rsidR="006E56E7" w:rsidRPr="006E56E7" w:rsidRDefault="006E56E7" w:rsidP="006E56E7">
            <w:pPr>
              <w:jc w:val="both"/>
              <w:rPr>
                <w:sz w:val="20"/>
                <w:lang w:val="fr-CA"/>
              </w:rPr>
            </w:pPr>
          </w:p>
          <w:p w:rsidR="006E56E7" w:rsidRPr="006E56E7" w:rsidRDefault="006E56E7" w:rsidP="006E56E7">
            <w:pPr>
              <w:jc w:val="both"/>
              <w:rPr>
                <w:sz w:val="20"/>
                <w:lang w:val="fr-CA"/>
              </w:rPr>
            </w:pPr>
            <w:r w:rsidRPr="006E56E7">
              <w:rPr>
                <w:sz w:val="20"/>
                <w:lang w:val="fr-CA"/>
              </w:rPr>
              <w:t xml:space="preserve">La Cour d’appel a rejeté les demandes. Pour ce qui est de la première demande, la Cour a statué que les demandeurs n’avaient pas satisfait aux exigences de la règle 12.71 des </w:t>
            </w:r>
            <w:r w:rsidRPr="006E56E7">
              <w:rPr>
                <w:i/>
                <w:sz w:val="20"/>
                <w:lang w:val="fr-CA"/>
              </w:rPr>
              <w:t>Alberta Rules of Court</w:t>
            </w:r>
            <w:r w:rsidRPr="006E56E7">
              <w:rPr>
                <w:sz w:val="20"/>
                <w:lang w:val="fr-CA"/>
              </w:rPr>
              <w:t xml:space="preserve"> relatives à la recevabilité des demandes d’autorisation à la Cour d’appel; aucune erreur de droit ou de compétence du juge de la Cour du Banc de la Reine n’a été établie. Deuxièmement, la Cour a conclu que la demande de rétablissement de l’appel revêtait un caractère théorique; toutefois, par souci d’exhaustivité, la Cour a rejeté la demande.</w:t>
            </w:r>
          </w:p>
          <w:p w:rsidR="006E56E7" w:rsidRPr="006E56E7" w:rsidRDefault="006E56E7" w:rsidP="006E56E7">
            <w:pPr>
              <w:jc w:val="both"/>
              <w:rPr>
                <w:sz w:val="20"/>
                <w:lang w:val="fr-CA"/>
              </w:rPr>
            </w:pPr>
          </w:p>
        </w:tc>
        <w:tc>
          <w:tcPr>
            <w:tcW w:w="1222" w:type="pct"/>
          </w:tcPr>
          <w:p w:rsidR="006E56E7" w:rsidRPr="006E56E7" w:rsidRDefault="006E56E7" w:rsidP="006E56E7">
            <w:pPr>
              <w:spacing w:after="200"/>
              <w:jc w:val="both"/>
              <w:rPr>
                <w:sz w:val="20"/>
                <w:lang w:val="fr-CA"/>
              </w:rPr>
            </w:pPr>
          </w:p>
        </w:tc>
        <w:tc>
          <w:tcPr>
            <w:tcW w:w="1222" w:type="pct"/>
          </w:tcPr>
          <w:p w:rsidR="006E56E7" w:rsidRPr="006E56E7" w:rsidRDefault="006E56E7" w:rsidP="006E56E7">
            <w:pPr>
              <w:spacing w:after="200"/>
              <w:jc w:val="both"/>
              <w:rPr>
                <w:sz w:val="20"/>
                <w:lang w:val="fr-CA"/>
              </w:rPr>
            </w:pPr>
          </w:p>
        </w:tc>
      </w:tr>
      <w:tr w:rsidR="006E56E7" w:rsidRPr="007654AB" w:rsidTr="006E56E7">
        <w:trPr>
          <w:gridAfter w:val="2"/>
          <w:wAfter w:w="2443" w:type="pct"/>
        </w:trPr>
        <w:tc>
          <w:tcPr>
            <w:tcW w:w="1241" w:type="pct"/>
            <w:gridSpan w:val="2"/>
          </w:tcPr>
          <w:p w:rsidR="006E56E7" w:rsidRPr="006E56E7" w:rsidRDefault="006E56E7" w:rsidP="006E56E7">
            <w:pPr>
              <w:jc w:val="both"/>
              <w:rPr>
                <w:sz w:val="20"/>
                <w:lang w:val="fr-CA"/>
              </w:rPr>
            </w:pPr>
            <w:r w:rsidRPr="006E56E7">
              <w:rPr>
                <w:sz w:val="20"/>
                <w:lang w:val="fr-CA"/>
              </w:rPr>
              <w:t>18 août 2016</w:t>
            </w:r>
          </w:p>
          <w:p w:rsidR="006E56E7" w:rsidRPr="006E56E7" w:rsidRDefault="006E56E7" w:rsidP="006E56E7">
            <w:pPr>
              <w:jc w:val="both"/>
              <w:rPr>
                <w:sz w:val="20"/>
                <w:lang w:val="fr-CA"/>
              </w:rPr>
            </w:pPr>
            <w:r w:rsidRPr="006E56E7">
              <w:rPr>
                <w:sz w:val="20"/>
                <w:lang w:val="fr-CA"/>
              </w:rPr>
              <w:t>Cour du Banc de la Reine de l’Alberta</w:t>
            </w:r>
          </w:p>
          <w:p w:rsidR="006E56E7" w:rsidRPr="006E56E7" w:rsidRDefault="006E56E7" w:rsidP="006E56E7">
            <w:pPr>
              <w:jc w:val="both"/>
              <w:rPr>
                <w:sz w:val="20"/>
                <w:lang w:val="fr-CA"/>
              </w:rPr>
            </w:pPr>
            <w:r w:rsidRPr="006E56E7">
              <w:rPr>
                <w:sz w:val="20"/>
                <w:lang w:val="fr-CA"/>
              </w:rPr>
              <w:t>(Juge Dario)</w:t>
            </w:r>
          </w:p>
          <w:p w:rsidR="006E56E7" w:rsidRPr="006E56E7" w:rsidRDefault="006E56E7" w:rsidP="006E56E7">
            <w:pPr>
              <w:jc w:val="both"/>
              <w:rPr>
                <w:sz w:val="20"/>
                <w:lang w:val="fr-CA"/>
              </w:rPr>
            </w:pPr>
            <w:r w:rsidRPr="006E56E7">
              <w:rPr>
                <w:sz w:val="20"/>
                <w:lang w:val="fr-CA"/>
              </w:rPr>
              <w:t>Motifs du jugement prononcés oralement, non publiés</w:t>
            </w:r>
          </w:p>
          <w:p w:rsidR="006E56E7" w:rsidRPr="006E56E7" w:rsidRDefault="006E56E7" w:rsidP="006E56E7">
            <w:pPr>
              <w:jc w:val="both"/>
              <w:rPr>
                <w:sz w:val="20"/>
                <w:lang w:val="fr-CA"/>
              </w:rPr>
            </w:pPr>
          </w:p>
        </w:tc>
        <w:tc>
          <w:tcPr>
            <w:tcW w:w="124" w:type="pct"/>
          </w:tcPr>
          <w:p w:rsidR="006E56E7" w:rsidRPr="006E56E7" w:rsidRDefault="006E56E7" w:rsidP="006E56E7">
            <w:pPr>
              <w:jc w:val="both"/>
              <w:rPr>
                <w:sz w:val="20"/>
                <w:lang w:val="fr-CA"/>
              </w:rPr>
            </w:pPr>
          </w:p>
        </w:tc>
        <w:tc>
          <w:tcPr>
            <w:tcW w:w="1192" w:type="pct"/>
          </w:tcPr>
          <w:p w:rsidR="006E56E7" w:rsidRPr="006E56E7" w:rsidRDefault="006E56E7" w:rsidP="006E56E7">
            <w:pPr>
              <w:jc w:val="both"/>
              <w:rPr>
                <w:sz w:val="20"/>
                <w:lang w:val="fr-CA"/>
              </w:rPr>
            </w:pPr>
            <w:r w:rsidRPr="006E56E7">
              <w:rPr>
                <w:sz w:val="20"/>
                <w:lang w:val="fr-CA"/>
              </w:rPr>
              <w:t xml:space="preserve">Rejet de la demande des demandeurs en rétablissement de l’appel, parce que non fondée. </w:t>
            </w:r>
          </w:p>
          <w:p w:rsidR="006E56E7" w:rsidRPr="006E56E7" w:rsidRDefault="006E56E7" w:rsidP="006E56E7">
            <w:pPr>
              <w:jc w:val="both"/>
              <w:rPr>
                <w:sz w:val="20"/>
                <w:lang w:val="fr-CA"/>
              </w:rPr>
            </w:pPr>
          </w:p>
        </w:tc>
      </w:tr>
      <w:tr w:rsidR="006E56E7" w:rsidRPr="007654AB" w:rsidTr="006E56E7">
        <w:trPr>
          <w:gridAfter w:val="2"/>
          <w:wAfter w:w="2443" w:type="pct"/>
        </w:trPr>
        <w:tc>
          <w:tcPr>
            <w:tcW w:w="1241" w:type="pct"/>
            <w:gridSpan w:val="2"/>
          </w:tcPr>
          <w:p w:rsidR="006E56E7" w:rsidRPr="006E56E7" w:rsidRDefault="006E56E7" w:rsidP="006E56E7">
            <w:pPr>
              <w:jc w:val="both"/>
              <w:rPr>
                <w:sz w:val="20"/>
                <w:lang w:val="fr-CA"/>
              </w:rPr>
            </w:pPr>
            <w:r w:rsidRPr="006E56E7">
              <w:rPr>
                <w:sz w:val="20"/>
                <w:lang w:val="fr-CA"/>
              </w:rPr>
              <w:t>13 décembre 2016</w:t>
            </w:r>
          </w:p>
          <w:p w:rsidR="006E56E7" w:rsidRPr="006E56E7" w:rsidRDefault="006E56E7" w:rsidP="006E56E7">
            <w:pPr>
              <w:jc w:val="both"/>
              <w:rPr>
                <w:sz w:val="20"/>
                <w:lang w:val="fr-CA"/>
              </w:rPr>
            </w:pPr>
            <w:r w:rsidRPr="006E56E7">
              <w:rPr>
                <w:sz w:val="20"/>
                <w:lang w:val="fr-CA"/>
              </w:rPr>
              <w:t>Cour d’appel de l’Alberta (Calgary)</w:t>
            </w:r>
          </w:p>
          <w:p w:rsidR="006E56E7" w:rsidRPr="006E56E7" w:rsidRDefault="006E56E7" w:rsidP="006E56E7">
            <w:pPr>
              <w:jc w:val="both"/>
              <w:rPr>
                <w:sz w:val="20"/>
                <w:lang w:val="fr-CA"/>
              </w:rPr>
            </w:pPr>
            <w:r w:rsidRPr="006E56E7">
              <w:rPr>
                <w:sz w:val="20"/>
                <w:lang w:val="fr-CA"/>
              </w:rPr>
              <w:t>(Juge McDonald)</w:t>
            </w:r>
          </w:p>
          <w:p w:rsidR="006E56E7" w:rsidRPr="006E56E7" w:rsidRDefault="007654AB" w:rsidP="006E56E7">
            <w:pPr>
              <w:jc w:val="both"/>
              <w:rPr>
                <w:sz w:val="20"/>
                <w:lang w:val="fr-CA"/>
              </w:rPr>
            </w:pPr>
            <w:hyperlink r:id="rId60" w:history="1">
              <w:r w:rsidR="006E56E7" w:rsidRPr="006E56E7">
                <w:rPr>
                  <w:rStyle w:val="Hyperlink"/>
                  <w:sz w:val="20"/>
                  <w:lang w:val="fr-CA"/>
                </w:rPr>
                <w:t>2016 ABCA 400</w:t>
              </w:r>
            </w:hyperlink>
          </w:p>
          <w:p w:rsidR="006E56E7" w:rsidRPr="006E56E7" w:rsidRDefault="006E56E7" w:rsidP="006E56E7">
            <w:pPr>
              <w:jc w:val="both"/>
              <w:rPr>
                <w:sz w:val="20"/>
                <w:lang w:val="fr-CA"/>
              </w:rPr>
            </w:pPr>
          </w:p>
        </w:tc>
        <w:tc>
          <w:tcPr>
            <w:tcW w:w="124" w:type="pct"/>
          </w:tcPr>
          <w:p w:rsidR="006E56E7" w:rsidRPr="006E56E7" w:rsidRDefault="006E56E7" w:rsidP="006E56E7">
            <w:pPr>
              <w:jc w:val="both"/>
              <w:rPr>
                <w:sz w:val="20"/>
                <w:lang w:val="fr-CA"/>
              </w:rPr>
            </w:pPr>
          </w:p>
        </w:tc>
        <w:tc>
          <w:tcPr>
            <w:tcW w:w="1192" w:type="pct"/>
          </w:tcPr>
          <w:p w:rsidR="006E56E7" w:rsidRPr="006E56E7" w:rsidRDefault="006E56E7" w:rsidP="006E56E7">
            <w:pPr>
              <w:jc w:val="both"/>
              <w:rPr>
                <w:sz w:val="20"/>
                <w:lang w:val="fr-CA"/>
              </w:rPr>
            </w:pPr>
            <w:r w:rsidRPr="006E56E7">
              <w:rPr>
                <w:sz w:val="20"/>
                <w:lang w:val="fr-CA"/>
              </w:rPr>
              <w:t>Rejet de la demande d’autorisation d’appel et de la demande de rétablissement de l’appel des demandeurs.</w:t>
            </w:r>
          </w:p>
          <w:p w:rsidR="006E56E7" w:rsidRPr="006E56E7" w:rsidRDefault="006E56E7" w:rsidP="006E56E7">
            <w:pPr>
              <w:jc w:val="both"/>
              <w:rPr>
                <w:sz w:val="20"/>
                <w:lang w:val="fr-CA"/>
              </w:rPr>
            </w:pPr>
          </w:p>
        </w:tc>
      </w:tr>
      <w:tr w:rsidR="006E56E7" w:rsidRPr="007654AB" w:rsidTr="006E56E7">
        <w:trPr>
          <w:gridAfter w:val="2"/>
          <w:wAfter w:w="2443" w:type="pct"/>
        </w:trPr>
        <w:tc>
          <w:tcPr>
            <w:tcW w:w="1241" w:type="pct"/>
            <w:gridSpan w:val="2"/>
          </w:tcPr>
          <w:p w:rsidR="006E56E7" w:rsidRPr="006E56E7" w:rsidRDefault="006E56E7" w:rsidP="006E56E7">
            <w:pPr>
              <w:jc w:val="both"/>
              <w:rPr>
                <w:sz w:val="20"/>
                <w:lang w:val="fr-CA"/>
              </w:rPr>
            </w:pPr>
            <w:r w:rsidRPr="006E56E7">
              <w:rPr>
                <w:sz w:val="20"/>
                <w:lang w:val="fr-CA"/>
              </w:rPr>
              <w:t>30 décembre 2016</w:t>
            </w:r>
          </w:p>
          <w:p w:rsidR="006E56E7" w:rsidRPr="006E56E7" w:rsidRDefault="006E56E7" w:rsidP="006E56E7">
            <w:pPr>
              <w:jc w:val="both"/>
              <w:rPr>
                <w:sz w:val="20"/>
                <w:lang w:val="fr-CA"/>
              </w:rPr>
            </w:pPr>
            <w:r w:rsidRPr="006E56E7">
              <w:rPr>
                <w:sz w:val="20"/>
                <w:lang w:val="fr-CA"/>
              </w:rPr>
              <w:t>Cour suprême du Canada</w:t>
            </w:r>
          </w:p>
        </w:tc>
        <w:tc>
          <w:tcPr>
            <w:tcW w:w="124" w:type="pct"/>
          </w:tcPr>
          <w:p w:rsidR="006E56E7" w:rsidRPr="006E56E7" w:rsidRDefault="006E56E7" w:rsidP="006E56E7">
            <w:pPr>
              <w:jc w:val="both"/>
              <w:rPr>
                <w:sz w:val="20"/>
                <w:lang w:val="fr-CA"/>
              </w:rPr>
            </w:pPr>
          </w:p>
        </w:tc>
        <w:tc>
          <w:tcPr>
            <w:tcW w:w="1192" w:type="pct"/>
          </w:tcPr>
          <w:p w:rsidR="006E56E7" w:rsidRPr="006E56E7" w:rsidRDefault="006E56E7" w:rsidP="006E56E7">
            <w:pPr>
              <w:jc w:val="both"/>
              <w:rPr>
                <w:sz w:val="20"/>
                <w:lang w:val="fr-CA"/>
              </w:rPr>
            </w:pPr>
            <w:r w:rsidRPr="006E56E7">
              <w:rPr>
                <w:sz w:val="20"/>
                <w:lang w:val="fr-CA"/>
              </w:rPr>
              <w:t>Dépôt de la demande d’autorisation d’appel.</w:t>
            </w:r>
          </w:p>
          <w:p w:rsidR="006E56E7" w:rsidRPr="006E56E7" w:rsidRDefault="006E56E7" w:rsidP="006E56E7">
            <w:pPr>
              <w:jc w:val="both"/>
              <w:rPr>
                <w:sz w:val="20"/>
                <w:lang w:val="fr-CA"/>
              </w:rPr>
            </w:pPr>
          </w:p>
        </w:tc>
      </w:tr>
    </w:tbl>
    <w:p w:rsidR="006E56E7" w:rsidRPr="006E56E7" w:rsidRDefault="006E56E7" w:rsidP="006E56E7">
      <w:pPr>
        <w:jc w:val="both"/>
        <w:rPr>
          <w:sz w:val="20"/>
          <w:lang w:val="fr-CA"/>
        </w:rPr>
      </w:pPr>
    </w:p>
    <w:p w:rsidR="00161E40" w:rsidRPr="003F4DDB" w:rsidRDefault="00161E40" w:rsidP="00531C3D">
      <w:pPr>
        <w:ind w:left="360" w:hanging="360"/>
        <w:jc w:val="both"/>
        <w:rPr>
          <w:sz w:val="20"/>
          <w:lang w:val="fr-CA" w:eastAsia="en-CA"/>
        </w:rPr>
      </w:pPr>
    </w:p>
    <w:p w:rsidR="00D05D7C" w:rsidRPr="003F4DDB" w:rsidRDefault="00D05D7C" w:rsidP="00CF234B">
      <w:pPr>
        <w:ind w:left="360" w:hanging="360"/>
        <w:rPr>
          <w:sz w:val="20"/>
          <w:lang w:val="fr-CA" w:eastAsia="en-CA"/>
        </w:rPr>
      </w:pPr>
    </w:p>
    <w:p w:rsidR="00D3344A" w:rsidRPr="006E2953" w:rsidRDefault="00D3344A" w:rsidP="00D3344A">
      <w:pPr>
        <w:widowControl w:val="0"/>
        <w:outlineLvl w:val="0"/>
      </w:pPr>
      <w:r w:rsidRPr="006E2953">
        <w:t xml:space="preserve">Supreme Court of Canada / Cour suprême du </w:t>
      </w:r>
      <w:proofErr w:type="gramStart"/>
      <w:r w:rsidRPr="006E2953">
        <w:t>Canad</w:t>
      </w:r>
      <w:r w:rsidR="00EE289F" w:rsidRPr="006E2953">
        <w:t>a</w:t>
      </w:r>
      <w:r w:rsidRPr="006E2953">
        <w:t xml:space="preserve"> :</w:t>
      </w:r>
      <w:proofErr w:type="gramEnd"/>
    </w:p>
    <w:p w:rsidR="00D3344A" w:rsidRPr="006E2953" w:rsidRDefault="007654AB" w:rsidP="00D3344A">
      <w:pPr>
        <w:widowControl w:val="0"/>
        <w:outlineLvl w:val="0"/>
        <w:rPr>
          <w:u w:val="single"/>
        </w:rPr>
      </w:pPr>
      <w:hyperlink r:id="rId61" w:history="1">
        <w:r w:rsidR="009B7391" w:rsidRPr="006E2953">
          <w:rPr>
            <w:rStyle w:val="Hyperlink"/>
          </w:rPr>
          <w:t>comments-commentaires@scc-csc.ca</w:t>
        </w:r>
      </w:hyperlink>
    </w:p>
    <w:p w:rsidR="00D3344A" w:rsidRPr="006E2953" w:rsidRDefault="0065588C" w:rsidP="00D3344A">
      <w:pPr>
        <w:widowControl w:val="0"/>
        <w:outlineLvl w:val="0"/>
      </w:pPr>
      <w:r w:rsidRPr="006E2953">
        <w:t>613-</w:t>
      </w:r>
      <w:r w:rsidR="00D3344A" w:rsidRPr="006E2953">
        <w:t>995-4330</w:t>
      </w:r>
    </w:p>
    <w:p w:rsidR="00497B5E" w:rsidRPr="006E2953" w:rsidRDefault="00497B5E" w:rsidP="00497B5E">
      <w:pPr>
        <w:widowControl w:val="0"/>
        <w:rPr>
          <w:sz w:val="20"/>
        </w:rPr>
      </w:pPr>
    </w:p>
    <w:p w:rsidR="00F6251B" w:rsidRPr="006E558B" w:rsidRDefault="003F43E6" w:rsidP="00F6251B">
      <w:pPr>
        <w:pStyle w:val="Footer"/>
        <w:jc w:val="center"/>
      </w:pPr>
      <w:r w:rsidRPr="006E2953">
        <w:t>- 30 -</w:t>
      </w:r>
    </w:p>
    <w:p w:rsidR="00F6251B" w:rsidRPr="006E558B" w:rsidRDefault="00F6251B" w:rsidP="00F6251B">
      <w:pPr>
        <w:pStyle w:val="Footer"/>
        <w:jc w:val="center"/>
      </w:pPr>
    </w:p>
    <w:sectPr w:rsidR="00F6251B" w:rsidRPr="006E558B" w:rsidSect="00524822">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E7" w:rsidRDefault="006E56E7" w:rsidP="0034178A">
      <w:r>
        <w:separator/>
      </w:r>
    </w:p>
  </w:endnote>
  <w:endnote w:type="continuationSeparator" w:id="0">
    <w:p w:rsidR="006E56E7" w:rsidRDefault="006E56E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E7" w:rsidRDefault="006E5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E7" w:rsidRPr="009F77F0" w:rsidRDefault="006E56E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E7" w:rsidRDefault="006E5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E7" w:rsidRDefault="006E56E7" w:rsidP="0034178A">
      <w:r>
        <w:separator/>
      </w:r>
    </w:p>
  </w:footnote>
  <w:footnote w:type="continuationSeparator" w:id="0">
    <w:p w:rsidR="006E56E7" w:rsidRDefault="006E56E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E7" w:rsidRDefault="006E5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E7" w:rsidRDefault="006E5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E7" w:rsidRDefault="006E5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0"/>
  </w:num>
  <w:num w:numId="5">
    <w:abstractNumId w:val="7"/>
  </w:num>
  <w:num w:numId="6">
    <w:abstractNumId w:val="3"/>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1"/>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7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26D6"/>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348"/>
    <w:rsid w:val="00081C6A"/>
    <w:rsid w:val="00082444"/>
    <w:rsid w:val="000825A5"/>
    <w:rsid w:val="0008288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549"/>
    <w:rsid w:val="001A562F"/>
    <w:rsid w:val="001A646C"/>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C39"/>
    <w:rsid w:val="001C0E0C"/>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3BCD"/>
    <w:rsid w:val="001E4E84"/>
    <w:rsid w:val="001E55D4"/>
    <w:rsid w:val="001E7B18"/>
    <w:rsid w:val="001F15CD"/>
    <w:rsid w:val="001F1F3F"/>
    <w:rsid w:val="001F27B1"/>
    <w:rsid w:val="001F2F00"/>
    <w:rsid w:val="001F348D"/>
    <w:rsid w:val="001F3AE7"/>
    <w:rsid w:val="001F47D0"/>
    <w:rsid w:val="001F5478"/>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A0621"/>
    <w:rsid w:val="002A07B1"/>
    <w:rsid w:val="002A17E0"/>
    <w:rsid w:val="002A21C3"/>
    <w:rsid w:val="002A4823"/>
    <w:rsid w:val="002A50D2"/>
    <w:rsid w:val="002A5245"/>
    <w:rsid w:val="002A55D1"/>
    <w:rsid w:val="002A5C41"/>
    <w:rsid w:val="002A5CF5"/>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10D1"/>
    <w:rsid w:val="002C239C"/>
    <w:rsid w:val="002C3A5F"/>
    <w:rsid w:val="002C3DF6"/>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A71"/>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BBD"/>
    <w:rsid w:val="003C2D62"/>
    <w:rsid w:val="003C3816"/>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1588"/>
    <w:rsid w:val="00441CF2"/>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5E87"/>
    <w:rsid w:val="005264A5"/>
    <w:rsid w:val="00526D01"/>
    <w:rsid w:val="00531932"/>
    <w:rsid w:val="00531C3D"/>
    <w:rsid w:val="00532EB0"/>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56E7"/>
    <w:rsid w:val="006E7F4D"/>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744"/>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54AB"/>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1AA1"/>
    <w:rsid w:val="007A20A0"/>
    <w:rsid w:val="007A2AD1"/>
    <w:rsid w:val="007A2BE6"/>
    <w:rsid w:val="007A340C"/>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72D7"/>
    <w:rsid w:val="00887F03"/>
    <w:rsid w:val="00893B95"/>
    <w:rsid w:val="008941B2"/>
    <w:rsid w:val="008A1084"/>
    <w:rsid w:val="008A1DA7"/>
    <w:rsid w:val="008A3884"/>
    <w:rsid w:val="008A3A4B"/>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62BB"/>
    <w:rsid w:val="0090688C"/>
    <w:rsid w:val="0090766E"/>
    <w:rsid w:val="0091038B"/>
    <w:rsid w:val="009119D3"/>
    <w:rsid w:val="00911F66"/>
    <w:rsid w:val="00913DCC"/>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14F"/>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4E10"/>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6DB9"/>
    <w:rsid w:val="009F740D"/>
    <w:rsid w:val="009F77F0"/>
    <w:rsid w:val="00A00370"/>
    <w:rsid w:val="00A00F88"/>
    <w:rsid w:val="00A01A02"/>
    <w:rsid w:val="00A01AAA"/>
    <w:rsid w:val="00A02007"/>
    <w:rsid w:val="00A024F6"/>
    <w:rsid w:val="00A02A8B"/>
    <w:rsid w:val="00A030F3"/>
    <w:rsid w:val="00A03652"/>
    <w:rsid w:val="00A041C7"/>
    <w:rsid w:val="00A04F4B"/>
    <w:rsid w:val="00A06B3C"/>
    <w:rsid w:val="00A1084E"/>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6EE4"/>
    <w:rsid w:val="00A67235"/>
    <w:rsid w:val="00A70197"/>
    <w:rsid w:val="00A70585"/>
    <w:rsid w:val="00A715EF"/>
    <w:rsid w:val="00A71BDB"/>
    <w:rsid w:val="00A720B7"/>
    <w:rsid w:val="00A72719"/>
    <w:rsid w:val="00A72BCC"/>
    <w:rsid w:val="00A731D2"/>
    <w:rsid w:val="00A73387"/>
    <w:rsid w:val="00A73405"/>
    <w:rsid w:val="00A745D3"/>
    <w:rsid w:val="00A7462D"/>
    <w:rsid w:val="00A77A0F"/>
    <w:rsid w:val="00A8029C"/>
    <w:rsid w:val="00A8033D"/>
    <w:rsid w:val="00A826B4"/>
    <w:rsid w:val="00A82E1A"/>
    <w:rsid w:val="00A8395A"/>
    <w:rsid w:val="00A83C7E"/>
    <w:rsid w:val="00A8418C"/>
    <w:rsid w:val="00A84DA1"/>
    <w:rsid w:val="00A856DD"/>
    <w:rsid w:val="00A85812"/>
    <w:rsid w:val="00A864D8"/>
    <w:rsid w:val="00A871C9"/>
    <w:rsid w:val="00A87E30"/>
    <w:rsid w:val="00A87FE2"/>
    <w:rsid w:val="00A91271"/>
    <w:rsid w:val="00A915C6"/>
    <w:rsid w:val="00A9205F"/>
    <w:rsid w:val="00A92AC2"/>
    <w:rsid w:val="00A93C3D"/>
    <w:rsid w:val="00A9456E"/>
    <w:rsid w:val="00A948B2"/>
    <w:rsid w:val="00A95355"/>
    <w:rsid w:val="00A960E9"/>
    <w:rsid w:val="00A97B41"/>
    <w:rsid w:val="00A97DC4"/>
    <w:rsid w:val="00A97F0C"/>
    <w:rsid w:val="00A97F93"/>
    <w:rsid w:val="00AA0E4D"/>
    <w:rsid w:val="00AA219A"/>
    <w:rsid w:val="00AA25C5"/>
    <w:rsid w:val="00AA53A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1E79"/>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377"/>
    <w:rsid w:val="00C86829"/>
    <w:rsid w:val="00C86A4F"/>
    <w:rsid w:val="00C86DA3"/>
    <w:rsid w:val="00C871F5"/>
    <w:rsid w:val="00C914F8"/>
    <w:rsid w:val="00C935F6"/>
    <w:rsid w:val="00C95234"/>
    <w:rsid w:val="00C9788C"/>
    <w:rsid w:val="00C97C59"/>
    <w:rsid w:val="00CA0C2B"/>
    <w:rsid w:val="00CA418B"/>
    <w:rsid w:val="00CA42DE"/>
    <w:rsid w:val="00CA52C0"/>
    <w:rsid w:val="00CB16E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7F64"/>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67C8A"/>
    <w:rsid w:val="00D709B7"/>
    <w:rsid w:val="00D71211"/>
    <w:rsid w:val="00D7143F"/>
    <w:rsid w:val="00D72409"/>
    <w:rsid w:val="00D72A0C"/>
    <w:rsid w:val="00D72AD0"/>
    <w:rsid w:val="00D73033"/>
    <w:rsid w:val="00D73621"/>
    <w:rsid w:val="00D73785"/>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4AC9"/>
    <w:rsid w:val="00DE5E69"/>
    <w:rsid w:val="00DE610C"/>
    <w:rsid w:val="00DE6776"/>
    <w:rsid w:val="00DE7B73"/>
    <w:rsid w:val="00DE7CEB"/>
    <w:rsid w:val="00DE7F13"/>
    <w:rsid w:val="00DF06C4"/>
    <w:rsid w:val="00DF1212"/>
    <w:rsid w:val="00DF234C"/>
    <w:rsid w:val="00DF2C09"/>
    <w:rsid w:val="00DF3A31"/>
    <w:rsid w:val="00DF3DDB"/>
    <w:rsid w:val="00DF563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6FB"/>
    <w:rsid w:val="00E419BD"/>
    <w:rsid w:val="00E41F06"/>
    <w:rsid w:val="00E422DC"/>
    <w:rsid w:val="00E42B30"/>
    <w:rsid w:val="00E42DA2"/>
    <w:rsid w:val="00E45E6B"/>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AEB"/>
    <w:rsid w:val="00F22AFE"/>
    <w:rsid w:val="00F23754"/>
    <w:rsid w:val="00F237A4"/>
    <w:rsid w:val="00F23F6D"/>
    <w:rsid w:val="00F24087"/>
    <w:rsid w:val="00F24A5E"/>
    <w:rsid w:val="00F265F6"/>
    <w:rsid w:val="00F26653"/>
    <w:rsid w:val="00F27291"/>
    <w:rsid w:val="00F2770C"/>
    <w:rsid w:val="00F31113"/>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FA6"/>
    <w:rsid w:val="00F67BD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06783665">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379" TargetMode="External"/><Relationship Id="rId18" Type="http://schemas.openxmlformats.org/officeDocument/2006/relationships/hyperlink" Target="http://www.scc-csc.ca/case-dossier/info/sum-som-eng.aspx?cas=37392" TargetMode="External"/><Relationship Id="rId26" Type="http://schemas.openxmlformats.org/officeDocument/2006/relationships/hyperlink" Target="http://www.canlii.org/fr/qc/qccq/doc/2015/2015qccq4771/2015qccq4771.html?searchUrlHash=AAAAAAAAAAEAEDIwMTMgUUNUQVEgMTAxODQAAAABAA8vcmVmbGV4MS0zMDQ0OTMB&amp;resultIndex=1" TargetMode="External"/><Relationship Id="rId39" Type="http://schemas.openxmlformats.org/officeDocument/2006/relationships/hyperlink" Target="http://www.canlii.org/en/on/onsc/doc/2015/2015onsc6745/2015onsc6745.html?autocompleteStr=2015%20ONSC%206745&amp;autocompletePos=1" TargetMode="External"/><Relationship Id="rId21" Type="http://schemas.openxmlformats.org/officeDocument/2006/relationships/hyperlink" Target="http://www.canlii.org/fr/qc/qctaq/doc/2013/2013canlii66193/2013canlii66193.html?searchUrlHash=AAAAAAAAAAEAEDIwMTMgUUNUQVEgMTAxODQAAAABAA8vcmVmbGV4MS0zMDQ0OTMB&amp;resultIndex=2" TargetMode="External"/><Relationship Id="rId34" Type="http://schemas.openxmlformats.org/officeDocument/2006/relationships/hyperlink" Target="http://www.canlii.org/en/on/onsc/doc/2015/2015onsc5692/2015onsc5692.html?autocompleteStr=2015%20ONSC%205692&amp;autocompletePos=1" TargetMode="External"/><Relationship Id="rId42" Type="http://schemas.openxmlformats.org/officeDocument/2006/relationships/hyperlink" Target="http://www.canlii.org/en/on/onca/doc/2016/2016onca645/2016onca645.html?resultIndex=1" TargetMode="External"/><Relationship Id="rId47" Type="http://schemas.openxmlformats.org/officeDocument/2006/relationships/hyperlink" Target="http://www.canlii.org/en/bc/bcsc/doc/2010/2010bcsc476/2010bcsc476.html?autocompleteStr=2010%20BCSC%20476&amp;autocompletePos=1" TargetMode="External"/><Relationship Id="rId50" Type="http://schemas.openxmlformats.org/officeDocument/2006/relationships/hyperlink" Target="http://canlii.ca/t/gv4q3" TargetMode="External"/><Relationship Id="rId55" Type="http://schemas.openxmlformats.org/officeDocument/2006/relationships/hyperlink" Target="http://canlii.ca/t/gsqtx"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c-csc.ca/case-dossier/info/sum-som-eng.aspx?cas=37343" TargetMode="External"/><Relationship Id="rId29" Type="http://schemas.openxmlformats.org/officeDocument/2006/relationships/hyperlink" Target="http://canlii.ca/t/26kp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380" TargetMode="External"/><Relationship Id="rId24" Type="http://schemas.openxmlformats.org/officeDocument/2006/relationships/hyperlink" Target="http://www.canlii.org/fr/qc/qcca/doc/2016/2016qcca1558/2016qcca1558.html" TargetMode="External"/><Relationship Id="rId32" Type="http://schemas.openxmlformats.org/officeDocument/2006/relationships/hyperlink" Target="http://www.canlii.org/en/on/onscdc/doc/2016/2016onsc3111/2016onsc3111.html?autocompleteStr=2016%20ONSC%203111&amp;autocompletePos=1" TargetMode="External"/><Relationship Id="rId37" Type="http://schemas.openxmlformats.org/officeDocument/2006/relationships/hyperlink" Target="http://www.canlii.org/en/on/onsc/doc/2015/2015onsc6745/2015onsc6745.html?autocompleteStr=2015%20ONSC%206745&amp;autocompletePos=1" TargetMode="External"/><Relationship Id="rId40" Type="http://schemas.openxmlformats.org/officeDocument/2006/relationships/hyperlink" Target="http://www.canlii.org/en/on/onca/doc/2016/2016onca500/2016onca500.html?autocompleteStr=2016%20ONCA%20500&amp;autocompletePos=1" TargetMode="External"/><Relationship Id="rId45" Type="http://schemas.openxmlformats.org/officeDocument/2006/relationships/hyperlink" Target="http://www.canlii.org/en/bc/bcsc/doc/2010/2010bcsc476/2010bcsc476.html?autocompleteStr=2010%20BCSC%20476&amp;autocompletePos=1" TargetMode="External"/><Relationship Id="rId53" Type="http://schemas.openxmlformats.org/officeDocument/2006/relationships/hyperlink" Target="http://www.canlii.org/en/ns/laws/stat/sns-1990-c-5/latest/sns-1990-c-5.html" TargetMode="External"/><Relationship Id="rId58" Type="http://schemas.openxmlformats.org/officeDocument/2006/relationships/hyperlink" Target="http://canlii.ca/t/gsqtx"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eng.aspx?cas=37353" TargetMode="External"/><Relationship Id="rId23" Type="http://schemas.openxmlformats.org/officeDocument/2006/relationships/hyperlink" Target="http://www.canlii.org/fr/qc/qccs/doc/2016/2016qccs3796/2016qccs3796.html?autocompleteStr=2016%20qccs%203796&amp;autocompletePos=1" TargetMode="External"/><Relationship Id="rId28" Type="http://schemas.openxmlformats.org/officeDocument/2006/relationships/hyperlink" Target="http://www.canlii.org/fr/qc/qcca/doc/2016/2016qcca1558/2016qcca1558.html" TargetMode="External"/><Relationship Id="rId36" Type="http://schemas.openxmlformats.org/officeDocument/2006/relationships/hyperlink" Target="http://www.canlii.org/en/on/onca/doc/2016/2016onca512/2016onca512.html?autocompleteStr=2016%20ONCA%20512&amp;autocompletePos=1" TargetMode="External"/><Relationship Id="rId49" Type="http://schemas.openxmlformats.org/officeDocument/2006/relationships/hyperlink" Target="http://canlii.ca/t/gnp6l" TargetMode="External"/><Relationship Id="rId57" Type="http://schemas.openxmlformats.org/officeDocument/2006/relationships/hyperlink" Target="http://www.canlii.org/en/ns/laws/stat/sns-1990-c-5/latest/sns-1990-c-5.html" TargetMode="External"/><Relationship Id="rId61"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7297" TargetMode="External"/><Relationship Id="rId19" Type="http://schemas.openxmlformats.org/officeDocument/2006/relationships/hyperlink" Target="http://www.canlii.org/en/on/onca/doc/2016/2016onca732/2016onca732.html?resultIndex=1" TargetMode="External"/><Relationship Id="rId31" Type="http://schemas.openxmlformats.org/officeDocument/2006/relationships/hyperlink" Target="http://www.canlii.org/en/on/onsc/doc/2015/2015onsc5692/2015onsc5692.html?autocompleteStr=2015%20ONSC%205692&amp;autocompletePos=1" TargetMode="External"/><Relationship Id="rId44" Type="http://schemas.openxmlformats.org/officeDocument/2006/relationships/hyperlink" Target="http://www.canlii.org/en/on/onsc/doc/2015/2015onsc1724/2015onsc1724.html?resultIndex=19" TargetMode="External"/><Relationship Id="rId52" Type="http://schemas.openxmlformats.org/officeDocument/2006/relationships/hyperlink" Target="http://canlii.ca/t/gv4q3" TargetMode="External"/><Relationship Id="rId60" Type="http://schemas.openxmlformats.org/officeDocument/2006/relationships/hyperlink" Target="http://www.canlii.org/en/ab/abca/doc/2016/2016abca400/2016abca400.html?autocompleteStr=2016%20ABCA%20400&amp;autocompletePos=1"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fra.aspx?cas=37312" TargetMode="External"/><Relationship Id="rId14" Type="http://schemas.openxmlformats.org/officeDocument/2006/relationships/hyperlink" Target="http://www.scc-csc.ca/case-dossier/info/sum-som-eng.aspx?cas=37426" TargetMode="External"/><Relationship Id="rId22" Type="http://schemas.openxmlformats.org/officeDocument/2006/relationships/hyperlink" Target="http://www.canlii.org/fr/qc/qccq/doc/2015/2015qccq4771/2015qccq4771.html?searchUrlHash=AAAAAAAAAAEAEDIwMTMgUUNUQVEgMTAxODQAAAABAA8vcmVmbGV4MS0zMDQ0OTMB&amp;resultIndex=1" TargetMode="External"/><Relationship Id="rId27" Type="http://schemas.openxmlformats.org/officeDocument/2006/relationships/hyperlink" Target="http://www.canlii.org/fr/qc/qccs/doc/2016/2016qccs3796/2016qccs3796.html?autocompleteStr=2016%20qccs%203796&amp;autocompletePos=1" TargetMode="External"/><Relationship Id="rId30" Type="http://schemas.openxmlformats.org/officeDocument/2006/relationships/hyperlink" Target="http://canlii.ca/t/26kp7" TargetMode="External"/><Relationship Id="rId35" Type="http://schemas.openxmlformats.org/officeDocument/2006/relationships/hyperlink" Target="http://www.canlii.org/en/on/onscdc/doc/2016/2016onsc3111/2016onsc3111.html?autocompleteStr=2016%20ONSC%203111&amp;autocompletePos=1" TargetMode="External"/><Relationship Id="rId43" Type="http://schemas.openxmlformats.org/officeDocument/2006/relationships/hyperlink" Target="http://www.canlii.org/en/on/onsc/doc/2015/2015onsc1724/2015onsc1724.html?resultIndex=19" TargetMode="External"/><Relationship Id="rId48" Type="http://schemas.openxmlformats.org/officeDocument/2006/relationships/hyperlink" Target="http://www.canlii.org/en/bc/bcca/doc/2016/2016bcca394/2016bcca394.html?autocompleteStr=2016%20BCCA%20394&amp;autocompletePos=1" TargetMode="External"/><Relationship Id="rId56" Type="http://schemas.openxmlformats.org/officeDocument/2006/relationships/hyperlink" Target="http://www.canlii.org/en/ns/laws/stat/sns-1990-c-5/latest/sns-1990-c-5.html"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www.scc-csc.ca/case-dossier/info/sum-som-eng.aspx?cas=37334" TargetMode="External"/><Relationship Id="rId51" Type="http://schemas.openxmlformats.org/officeDocument/2006/relationships/hyperlink" Target="http://canlii.ca/t/gnp6l" TargetMode="External"/><Relationship Id="rId3" Type="http://schemas.openxmlformats.org/officeDocument/2006/relationships/styles" Target="styles.xml"/><Relationship Id="rId12" Type="http://schemas.openxmlformats.org/officeDocument/2006/relationships/hyperlink" Target="http://www.scc-csc.ca/case-dossier/info/sum-som-eng.aspx?cas=37327" TargetMode="External"/><Relationship Id="rId17" Type="http://schemas.openxmlformats.org/officeDocument/2006/relationships/hyperlink" Target="http://www.scc-csc.ca/case-dossier/info/sum-som-eng.aspx?cas=37221" TargetMode="External"/><Relationship Id="rId25" Type="http://schemas.openxmlformats.org/officeDocument/2006/relationships/hyperlink" Target="http://www.canlii.org/fr/qc/qctaq/doc/2013/2013canlii66193/2013canlii66193.html?searchUrlHash=AAAAAAAAAAEAEDIwMTMgUUNUQVEgMTAxODQAAAABAA8vcmVmbGV4MS0zMDQ0OTMB&amp;resultIndex=2" TargetMode="External"/><Relationship Id="rId33" Type="http://schemas.openxmlformats.org/officeDocument/2006/relationships/hyperlink" Target="http://www.canlii.org/en/on/onca/doc/2016/2016onca512/2016onca512.html?autocompleteStr=2016%20ONCA%20512&amp;autocompletePos=1" TargetMode="External"/><Relationship Id="rId38" Type="http://schemas.openxmlformats.org/officeDocument/2006/relationships/hyperlink" Target="http://www.canlii.org/en/on/onca/doc/2016/2016onca500/2016onca500.html?autocompleteStr=2016%20ONCA%20500&amp;autocompletePos=1" TargetMode="External"/><Relationship Id="rId46" Type="http://schemas.openxmlformats.org/officeDocument/2006/relationships/hyperlink" Target="http://www.canlii.org/en/bc/bcca/doc/2016/2016bcca394/2016bcca394.html?autocompleteStr=2016%20BCCA%20394&amp;autocompletePos=1" TargetMode="External"/><Relationship Id="rId59" Type="http://schemas.openxmlformats.org/officeDocument/2006/relationships/hyperlink" Target="http://www.canlii.org/en/ab/abca/doc/2016/2016abca400/2016abca400.html?autocompleteStr=2016%20ABCA%20400&amp;autocompletePos=1" TargetMode="External"/><Relationship Id="rId67" Type="http://schemas.openxmlformats.org/officeDocument/2006/relationships/footer" Target="footer3.xml"/><Relationship Id="rId20" Type="http://schemas.openxmlformats.org/officeDocument/2006/relationships/hyperlink" Target="http://www.canlii.org/en/on/onca/doc/2016/2016onca732/2016onca732.html?resultIndex=1" TargetMode="External"/><Relationship Id="rId41" Type="http://schemas.openxmlformats.org/officeDocument/2006/relationships/hyperlink" Target="http://www.canlii.org/en/on/onca/doc/2016/2016onca645/2016onca645.html?resultIndex=1" TargetMode="External"/><Relationship Id="rId54" Type="http://schemas.openxmlformats.org/officeDocument/2006/relationships/hyperlink" Target="http://www.canlii.org/en/ns/laws/stat/sns-1990-c-5/latest/sns-1990-c-5.html"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412A5-6911-4E91-A2AB-6E488CF2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9089</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60776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2017-03-17T12:58:00Z</dcterms:created>
  <dcterms:modified xsi:type="dcterms:W3CDTF">2017-03-21T11:57:00Z</dcterms:modified>
</cp:coreProperties>
</file>