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A95F70" w:rsidRDefault="003F43E6" w:rsidP="00122CE1">
      <w:pPr>
        <w:pStyle w:val="Header"/>
        <w:tabs>
          <w:tab w:val="left" w:pos="1620"/>
          <w:tab w:val="left" w:pos="1710"/>
        </w:tabs>
        <w:jc w:val="center"/>
        <w:rPr>
          <w:b/>
          <w:sz w:val="32"/>
        </w:rPr>
      </w:pPr>
      <w:r w:rsidRPr="00A95F70">
        <w:rPr>
          <w:b/>
          <w:sz w:val="32"/>
        </w:rPr>
        <w:t>Supreme Court of Canada / Cour suprême du Canada</w:t>
      </w:r>
    </w:p>
    <w:p w:rsidR="003F43E6" w:rsidRPr="00A95F70" w:rsidRDefault="003F43E6" w:rsidP="006F2579">
      <w:pPr>
        <w:widowControl w:val="0"/>
        <w:rPr>
          <w:i/>
        </w:rPr>
      </w:pPr>
    </w:p>
    <w:p w:rsidR="006F2579" w:rsidRPr="00A95F70" w:rsidRDefault="006F2579" w:rsidP="006F2579">
      <w:pPr>
        <w:widowControl w:val="0"/>
        <w:rPr>
          <w:i/>
        </w:rPr>
      </w:pPr>
      <w:r w:rsidRPr="00A95F70">
        <w:rPr>
          <w:i/>
        </w:rPr>
        <w:t>(le français suit)</w:t>
      </w:r>
    </w:p>
    <w:p w:rsidR="006F2579" w:rsidRPr="00A95F70" w:rsidRDefault="006F2579" w:rsidP="006F2579">
      <w:pPr>
        <w:widowControl w:val="0"/>
      </w:pPr>
    </w:p>
    <w:p w:rsidR="006F2579" w:rsidRPr="00A95F70" w:rsidRDefault="00B07908" w:rsidP="006F2579">
      <w:pPr>
        <w:widowControl w:val="0"/>
        <w:jc w:val="center"/>
        <w:rPr>
          <w:b/>
        </w:rPr>
      </w:pPr>
      <w:r w:rsidRPr="00A95F70">
        <w:fldChar w:fldCharType="begin"/>
      </w:r>
      <w:r w:rsidR="006F2579" w:rsidRPr="00A95F70">
        <w:instrText xml:space="preserve"> SEQ CHAPTER \h \r 1</w:instrText>
      </w:r>
      <w:r w:rsidRPr="00A95F70">
        <w:fldChar w:fldCharType="end"/>
      </w:r>
      <w:r w:rsidR="006F2579" w:rsidRPr="00A95F70">
        <w:rPr>
          <w:b/>
        </w:rPr>
        <w:t>JUDGMENT</w:t>
      </w:r>
      <w:r w:rsidR="00B17AAC" w:rsidRPr="00A95F70">
        <w:rPr>
          <w:b/>
        </w:rPr>
        <w:t>S</w:t>
      </w:r>
      <w:r w:rsidR="006F2579" w:rsidRPr="00A95F70">
        <w:rPr>
          <w:b/>
        </w:rPr>
        <w:t xml:space="preserve"> TO B</w:t>
      </w:r>
      <w:r w:rsidR="00001846" w:rsidRPr="00A95F70">
        <w:rPr>
          <w:b/>
        </w:rPr>
        <w:t>E RENDERED IN LEAVE APPLICATION</w:t>
      </w:r>
      <w:r w:rsidR="00AE4C09" w:rsidRPr="00A95F70">
        <w:rPr>
          <w:b/>
        </w:rPr>
        <w:t>S</w:t>
      </w:r>
    </w:p>
    <w:p w:rsidR="006F2579" w:rsidRPr="00A95F70" w:rsidRDefault="006F2579" w:rsidP="006F2579">
      <w:pPr>
        <w:widowControl w:val="0"/>
      </w:pPr>
    </w:p>
    <w:p w:rsidR="006F2579" w:rsidRPr="00A95F70" w:rsidRDefault="00ED3EDC" w:rsidP="006F2579">
      <w:pPr>
        <w:widowControl w:val="0"/>
        <w:rPr>
          <w:b/>
        </w:rPr>
      </w:pPr>
      <w:r w:rsidRPr="00A95F70">
        <w:rPr>
          <w:b/>
        </w:rPr>
        <w:t>March</w:t>
      </w:r>
      <w:r w:rsidR="00FD37D0" w:rsidRPr="00A95F70">
        <w:rPr>
          <w:b/>
        </w:rPr>
        <w:t xml:space="preserve"> </w:t>
      </w:r>
      <w:r w:rsidR="00081348" w:rsidRPr="00A95F70">
        <w:rPr>
          <w:b/>
        </w:rPr>
        <w:t>2</w:t>
      </w:r>
      <w:r w:rsidR="00B23822">
        <w:rPr>
          <w:b/>
        </w:rPr>
        <w:t>7</w:t>
      </w:r>
      <w:r w:rsidR="00AB5538" w:rsidRPr="00A95F70">
        <w:rPr>
          <w:b/>
        </w:rPr>
        <w:t>,</w:t>
      </w:r>
      <w:r w:rsidR="006F2579" w:rsidRPr="00A95F70">
        <w:rPr>
          <w:b/>
        </w:rPr>
        <w:t xml:space="preserve"> </w:t>
      </w:r>
      <w:r w:rsidR="0054689F" w:rsidRPr="00A95F70">
        <w:rPr>
          <w:b/>
        </w:rPr>
        <w:t>201</w:t>
      </w:r>
      <w:r w:rsidR="00A151D1" w:rsidRPr="00A95F70">
        <w:rPr>
          <w:b/>
        </w:rPr>
        <w:t>7</w:t>
      </w:r>
    </w:p>
    <w:p w:rsidR="006F2579" w:rsidRPr="00A95F70" w:rsidRDefault="006F2579" w:rsidP="006F2579">
      <w:pPr>
        <w:widowControl w:val="0"/>
        <w:rPr>
          <w:b/>
        </w:rPr>
      </w:pPr>
      <w:r w:rsidRPr="00A95F70">
        <w:rPr>
          <w:b/>
        </w:rPr>
        <w:t>For immediate release</w:t>
      </w:r>
    </w:p>
    <w:p w:rsidR="006F2579" w:rsidRPr="00A95F70" w:rsidRDefault="006F2579" w:rsidP="006F2579">
      <w:pPr>
        <w:widowControl w:val="0"/>
      </w:pPr>
    </w:p>
    <w:p w:rsidR="006F2579" w:rsidRPr="00222D61" w:rsidRDefault="006F2579" w:rsidP="006F2579">
      <w:pPr>
        <w:widowControl w:val="0"/>
        <w:rPr>
          <w:lang w:val="fr-CA"/>
        </w:rPr>
      </w:pPr>
      <w:r w:rsidRPr="00A95F70">
        <w:rPr>
          <w:b/>
        </w:rPr>
        <w:t>OTTAWA</w:t>
      </w:r>
      <w:r w:rsidRPr="00A95F70">
        <w:t xml:space="preserve"> – The Supreme Court of Canad</w:t>
      </w:r>
      <w:r w:rsidR="006246E4" w:rsidRPr="00A95F70">
        <w:t>a</w:t>
      </w:r>
      <w:r w:rsidRPr="00A95F70">
        <w:t xml:space="preserve"> announced today that judgment in the following application</w:t>
      </w:r>
      <w:r w:rsidR="008600ED" w:rsidRPr="00A95F70">
        <w:t>s</w:t>
      </w:r>
      <w:r w:rsidRPr="00A95F70">
        <w:t xml:space="preserve"> for leave to appeal will be delivered at 9:45 a.m. E</w:t>
      </w:r>
      <w:r w:rsidR="009F6DB9" w:rsidRPr="00A95F70">
        <w:t>D</w:t>
      </w:r>
      <w:r w:rsidRPr="00A95F70">
        <w:t xml:space="preserve">T on Thursday, </w:t>
      </w:r>
      <w:r w:rsidR="00D72AD0" w:rsidRPr="00A95F70">
        <w:t xml:space="preserve">March </w:t>
      </w:r>
      <w:r w:rsidR="00081348" w:rsidRPr="00A95F70">
        <w:t>3</w:t>
      </w:r>
      <w:r w:rsidR="00B23822">
        <w:t>0</w:t>
      </w:r>
      <w:r w:rsidR="007E112F" w:rsidRPr="00A95F70">
        <w:t>,</w:t>
      </w:r>
      <w:r w:rsidR="002F38D7" w:rsidRPr="00A95F70">
        <w:t xml:space="preserve"> </w:t>
      </w:r>
      <w:r w:rsidR="006648D1" w:rsidRPr="00A95F70">
        <w:t>201</w:t>
      </w:r>
      <w:r w:rsidR="00A151D1" w:rsidRPr="00A95F70">
        <w:t>7</w:t>
      </w:r>
      <w:r w:rsidRPr="00A95F70">
        <w:t xml:space="preserve">. </w:t>
      </w:r>
      <w:r w:rsidRPr="00222D61">
        <w:rPr>
          <w:lang w:val="fr-CA"/>
        </w:rPr>
        <w:t>This list is subject to change.</w:t>
      </w:r>
    </w:p>
    <w:p w:rsidR="00FF5AA4" w:rsidRPr="00222D61" w:rsidRDefault="00FF5AA4" w:rsidP="006F2579">
      <w:pPr>
        <w:widowControl w:val="0"/>
        <w:rPr>
          <w:lang w:val="fr-CA"/>
        </w:rPr>
      </w:pPr>
    </w:p>
    <w:p w:rsidR="00B43418" w:rsidRPr="00222D61" w:rsidRDefault="00B43418" w:rsidP="006F2579">
      <w:pPr>
        <w:widowControl w:val="0"/>
        <w:rPr>
          <w:lang w:val="fr-CA"/>
        </w:rPr>
      </w:pPr>
    </w:p>
    <w:p w:rsidR="006F2579" w:rsidRPr="00A95F70" w:rsidRDefault="006F2579" w:rsidP="006F2579">
      <w:pPr>
        <w:widowControl w:val="0"/>
        <w:jc w:val="center"/>
        <w:rPr>
          <w:lang w:val="fr-CA"/>
        </w:rPr>
      </w:pPr>
      <w:r w:rsidRPr="00A95F70">
        <w:rPr>
          <w:b/>
          <w:lang w:val="fr-CA"/>
        </w:rPr>
        <w:t>PROCHAIN</w:t>
      </w:r>
      <w:r w:rsidR="00B17AAC" w:rsidRPr="00A95F70">
        <w:rPr>
          <w:b/>
          <w:lang w:val="fr-CA"/>
        </w:rPr>
        <w:t>S</w:t>
      </w:r>
      <w:r w:rsidRPr="00A95F70">
        <w:rPr>
          <w:b/>
          <w:lang w:val="fr-CA"/>
        </w:rPr>
        <w:t xml:space="preserve"> JUGEMENT</w:t>
      </w:r>
      <w:r w:rsidR="00B17AAC" w:rsidRPr="00A95F70">
        <w:rPr>
          <w:b/>
          <w:lang w:val="fr-CA"/>
        </w:rPr>
        <w:t>S</w:t>
      </w:r>
      <w:r w:rsidR="00001846" w:rsidRPr="00A95F70">
        <w:rPr>
          <w:b/>
          <w:lang w:val="fr-CA"/>
        </w:rPr>
        <w:t xml:space="preserve"> SUR DEMANDE</w:t>
      </w:r>
      <w:r w:rsidR="00B17AAC" w:rsidRPr="00A95F70">
        <w:rPr>
          <w:b/>
          <w:lang w:val="fr-CA"/>
        </w:rPr>
        <w:t>S</w:t>
      </w:r>
      <w:r w:rsidRPr="00A95F70">
        <w:rPr>
          <w:b/>
          <w:lang w:val="fr-CA"/>
        </w:rPr>
        <w:t xml:space="preserve"> D’AUTORISATION</w:t>
      </w:r>
    </w:p>
    <w:p w:rsidR="006F2579" w:rsidRPr="00A95F70" w:rsidRDefault="006F2579" w:rsidP="006F2579">
      <w:pPr>
        <w:widowControl w:val="0"/>
        <w:rPr>
          <w:lang w:val="fr-CA"/>
        </w:rPr>
      </w:pPr>
    </w:p>
    <w:p w:rsidR="006F2579" w:rsidRPr="00A95F70" w:rsidRDefault="006F2579" w:rsidP="006F2579">
      <w:pPr>
        <w:widowControl w:val="0"/>
        <w:rPr>
          <w:b/>
          <w:lang w:val="fr-CA"/>
        </w:rPr>
      </w:pPr>
      <w:r w:rsidRPr="00A95F70">
        <w:rPr>
          <w:b/>
          <w:lang w:val="fr-CA"/>
        </w:rPr>
        <w:t>Le</w:t>
      </w:r>
      <w:r w:rsidR="00957A76" w:rsidRPr="00A95F70">
        <w:rPr>
          <w:b/>
          <w:lang w:val="fr-CA"/>
        </w:rPr>
        <w:t xml:space="preserve"> </w:t>
      </w:r>
      <w:r w:rsidR="00081348" w:rsidRPr="00A95F70">
        <w:rPr>
          <w:b/>
          <w:lang w:val="fr-CA"/>
        </w:rPr>
        <w:t>2</w:t>
      </w:r>
      <w:r w:rsidR="00B23822">
        <w:rPr>
          <w:b/>
          <w:lang w:val="fr-CA"/>
        </w:rPr>
        <w:t>7</w:t>
      </w:r>
      <w:r w:rsidR="00FD37D0" w:rsidRPr="00A95F70">
        <w:rPr>
          <w:b/>
          <w:lang w:val="fr-CA"/>
        </w:rPr>
        <w:t xml:space="preserve"> </w:t>
      </w:r>
      <w:r w:rsidR="00ED3EDC" w:rsidRPr="00A95F70">
        <w:rPr>
          <w:b/>
          <w:lang w:val="fr-CA"/>
        </w:rPr>
        <w:t>mars</w:t>
      </w:r>
      <w:r w:rsidR="00A151D1" w:rsidRPr="00A95F70">
        <w:rPr>
          <w:b/>
          <w:lang w:val="fr-CA"/>
        </w:rPr>
        <w:t xml:space="preserve"> 2017</w:t>
      </w:r>
    </w:p>
    <w:p w:rsidR="006F2579" w:rsidRPr="00A95F70" w:rsidRDefault="006F2579" w:rsidP="006F2579">
      <w:pPr>
        <w:widowControl w:val="0"/>
        <w:rPr>
          <w:b/>
          <w:lang w:val="fr-CA"/>
        </w:rPr>
      </w:pPr>
      <w:r w:rsidRPr="00A95F70">
        <w:rPr>
          <w:b/>
          <w:lang w:val="fr-CA"/>
        </w:rPr>
        <w:t>Pour diffusion immédiate</w:t>
      </w:r>
    </w:p>
    <w:p w:rsidR="006F2579" w:rsidRPr="00A95F70" w:rsidRDefault="006F2579" w:rsidP="006F2579">
      <w:pPr>
        <w:widowControl w:val="0"/>
        <w:rPr>
          <w:b/>
          <w:lang w:val="fr-CA"/>
        </w:rPr>
      </w:pPr>
    </w:p>
    <w:p w:rsidR="006F2579" w:rsidRPr="00A95F70" w:rsidRDefault="006F2579" w:rsidP="006F2579">
      <w:pPr>
        <w:widowControl w:val="0"/>
        <w:rPr>
          <w:lang w:val="fr-CA"/>
        </w:rPr>
      </w:pPr>
      <w:r w:rsidRPr="00A95F70">
        <w:rPr>
          <w:b/>
          <w:lang w:val="fr-CA"/>
        </w:rPr>
        <w:t>OTTAWA</w:t>
      </w:r>
      <w:r w:rsidRPr="00A95F70">
        <w:rPr>
          <w:lang w:val="fr-CA"/>
        </w:rPr>
        <w:t xml:space="preserve"> – La Cour suprême du Canada annonce que jugement ser</w:t>
      </w:r>
      <w:r w:rsidR="004259F9" w:rsidRPr="00A95F70">
        <w:rPr>
          <w:lang w:val="fr-CA"/>
        </w:rPr>
        <w:t>a</w:t>
      </w:r>
      <w:r w:rsidRPr="00A95F70">
        <w:rPr>
          <w:lang w:val="fr-CA"/>
        </w:rPr>
        <w:t xml:space="preserve"> rendu dans l</w:t>
      </w:r>
      <w:r w:rsidR="008600ED" w:rsidRPr="00A95F70">
        <w:rPr>
          <w:lang w:val="fr-CA"/>
        </w:rPr>
        <w:t>es</w:t>
      </w:r>
      <w:r w:rsidRPr="00A95F70">
        <w:rPr>
          <w:lang w:val="fr-CA"/>
        </w:rPr>
        <w:t xml:space="preserve"> demande</w:t>
      </w:r>
      <w:r w:rsidR="008600ED" w:rsidRPr="00A95F70">
        <w:rPr>
          <w:lang w:val="fr-CA"/>
        </w:rPr>
        <w:t>s</w:t>
      </w:r>
      <w:r w:rsidRPr="00A95F70">
        <w:rPr>
          <w:lang w:val="fr-CA"/>
        </w:rPr>
        <w:t xml:space="preserve"> d</w:t>
      </w:r>
      <w:r w:rsidR="00001846" w:rsidRPr="00A95F70">
        <w:rPr>
          <w:lang w:val="fr-CA"/>
        </w:rPr>
        <w:t>’autorisation d’appel suivante</w:t>
      </w:r>
      <w:r w:rsidR="008600ED" w:rsidRPr="00A95F70">
        <w:rPr>
          <w:lang w:val="fr-CA"/>
        </w:rPr>
        <w:t>s</w:t>
      </w:r>
      <w:r w:rsidRPr="00A95F70">
        <w:rPr>
          <w:lang w:val="fr-CA"/>
        </w:rPr>
        <w:t xml:space="preserve"> le jeudi </w:t>
      </w:r>
      <w:r w:rsidR="00081348" w:rsidRPr="00A95F70">
        <w:rPr>
          <w:lang w:val="fr-CA"/>
        </w:rPr>
        <w:t>3</w:t>
      </w:r>
      <w:r w:rsidR="00B23822">
        <w:rPr>
          <w:lang w:val="fr-CA"/>
        </w:rPr>
        <w:t>0</w:t>
      </w:r>
      <w:r w:rsidR="00D72AD0" w:rsidRPr="00A95F70">
        <w:rPr>
          <w:lang w:val="fr-CA"/>
        </w:rPr>
        <w:t xml:space="preserve"> mars</w:t>
      </w:r>
      <w:r w:rsidR="00674329" w:rsidRPr="00A95F70">
        <w:rPr>
          <w:lang w:val="fr-CA"/>
        </w:rPr>
        <w:t xml:space="preserve"> </w:t>
      </w:r>
      <w:r w:rsidR="006648D1" w:rsidRPr="00A95F70">
        <w:rPr>
          <w:lang w:val="fr-CA"/>
        </w:rPr>
        <w:t>201</w:t>
      </w:r>
      <w:r w:rsidR="00A151D1" w:rsidRPr="00A95F70">
        <w:rPr>
          <w:lang w:val="fr-CA"/>
        </w:rPr>
        <w:t>7</w:t>
      </w:r>
      <w:r w:rsidRPr="00A95F70">
        <w:rPr>
          <w:lang w:val="fr-CA"/>
        </w:rPr>
        <w:t xml:space="preserve">, à 9 h 45 </w:t>
      </w:r>
      <w:r w:rsidR="000627A2" w:rsidRPr="00A95F70">
        <w:rPr>
          <w:lang w:val="fr-CA"/>
        </w:rPr>
        <w:t>H</w:t>
      </w:r>
      <w:r w:rsidR="009F6DB9" w:rsidRPr="00A95F70">
        <w:rPr>
          <w:lang w:val="fr-CA"/>
        </w:rPr>
        <w:t>A</w:t>
      </w:r>
      <w:r w:rsidRPr="00A95F70">
        <w:rPr>
          <w:lang w:val="fr-CA"/>
        </w:rPr>
        <w:t>E. Cette liste est sujette à modifications.</w:t>
      </w:r>
    </w:p>
    <w:p w:rsidR="0080556B" w:rsidRPr="00A95F70" w:rsidRDefault="0080556B" w:rsidP="009B14F4">
      <w:pPr>
        <w:widowControl w:val="0"/>
        <w:jc w:val="both"/>
        <w:rPr>
          <w:sz w:val="20"/>
          <w:lang w:val="fr-CA"/>
        </w:rPr>
      </w:pPr>
    </w:p>
    <w:p w:rsidR="001838E0" w:rsidRPr="00A95F70" w:rsidRDefault="003D353C" w:rsidP="009B14F4">
      <w:pPr>
        <w:widowControl w:val="0"/>
        <w:jc w:val="both"/>
        <w:rPr>
          <w:sz w:val="20"/>
          <w:lang w:val="fr-CA"/>
        </w:rPr>
      </w:pPr>
      <w:r w:rsidRPr="00A95F70">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AD4728" w:rsidRDefault="00AD4728" w:rsidP="00531C3D">
      <w:pPr>
        <w:ind w:left="360" w:hanging="360"/>
        <w:jc w:val="both"/>
        <w:rPr>
          <w:sz w:val="20"/>
          <w:lang w:val="fr-CA" w:eastAsia="en-CA"/>
        </w:rPr>
      </w:pPr>
    </w:p>
    <w:p w:rsidR="00A65C73" w:rsidRPr="00A826A0" w:rsidRDefault="00A65C73" w:rsidP="00A65C73">
      <w:pPr>
        <w:pStyle w:val="ListParagraph"/>
        <w:numPr>
          <w:ilvl w:val="0"/>
          <w:numId w:val="14"/>
        </w:numPr>
        <w:ind w:left="360"/>
        <w:rPr>
          <w:sz w:val="20"/>
          <w:lang w:val="en-CA"/>
        </w:rPr>
      </w:pPr>
      <w:r w:rsidRPr="00A65C73">
        <w:rPr>
          <w:i/>
          <w:sz w:val="20"/>
          <w:lang w:val="en-CA"/>
        </w:rPr>
        <w:t xml:space="preserve">Her Majesty the Queen v. Brittany Leigh Derbyshire </w:t>
      </w:r>
      <w:r w:rsidRPr="00A65C73">
        <w:rPr>
          <w:sz w:val="20"/>
          <w:lang w:val="en-CA"/>
        </w:rPr>
        <w:t>(N.S.) (Criminal) (By Leave)</w:t>
      </w:r>
      <w:r w:rsidR="00A826A0" w:rsidRPr="00A826A0">
        <w:rPr>
          <w:sz w:val="20"/>
          <w:lang w:val="en-CA"/>
        </w:rPr>
        <w:t xml:space="preserve"> </w:t>
      </w:r>
      <w:r w:rsidR="00A826A0" w:rsidRPr="00A826A0">
        <w:rPr>
          <w:sz w:val="20"/>
          <w:lang w:val="en-CA" w:eastAsia="en-CA"/>
        </w:rPr>
        <w:t>(</w:t>
      </w:r>
      <w:hyperlink r:id="rId8" w:history="1">
        <w:r w:rsidR="00A826A0" w:rsidRPr="00A826A0">
          <w:rPr>
            <w:rStyle w:val="Hyperlink"/>
            <w:sz w:val="20"/>
            <w:lang w:val="en-CA" w:eastAsia="en-CA"/>
          </w:rPr>
          <w:t>3733</w:t>
        </w:r>
        <w:r w:rsidR="00A826A0">
          <w:rPr>
            <w:rStyle w:val="Hyperlink"/>
            <w:sz w:val="20"/>
            <w:lang w:val="en-CA" w:eastAsia="en-CA"/>
          </w:rPr>
          <w:t>7</w:t>
        </w:r>
      </w:hyperlink>
      <w:r w:rsidR="00A826A0" w:rsidRPr="00A826A0">
        <w:rPr>
          <w:sz w:val="20"/>
          <w:lang w:val="en-CA" w:eastAsia="en-CA"/>
        </w:rPr>
        <w:t>)</w:t>
      </w:r>
    </w:p>
    <w:p w:rsidR="00A65C73" w:rsidRPr="00A65C73" w:rsidRDefault="00A65C73" w:rsidP="00A65C73">
      <w:pPr>
        <w:ind w:left="360" w:hanging="360"/>
        <w:rPr>
          <w:sz w:val="20"/>
          <w:lang w:val="en-CA"/>
        </w:rPr>
      </w:pPr>
    </w:p>
    <w:p w:rsidR="00A65C73" w:rsidRPr="0011219D" w:rsidRDefault="00A65C73" w:rsidP="00A65C73">
      <w:pPr>
        <w:pStyle w:val="ListParagraph"/>
        <w:numPr>
          <w:ilvl w:val="0"/>
          <w:numId w:val="14"/>
        </w:numPr>
        <w:ind w:left="360"/>
        <w:rPr>
          <w:sz w:val="20"/>
          <w:lang w:val="en-CA"/>
        </w:rPr>
      </w:pPr>
      <w:r w:rsidRPr="00A65C73">
        <w:rPr>
          <w:i/>
          <w:sz w:val="20"/>
          <w:lang w:val="en-CA"/>
        </w:rPr>
        <w:t xml:space="preserve">Sharon Mallett v. Keith McCaskill et al. </w:t>
      </w:r>
      <w:r w:rsidRPr="00A65C73">
        <w:rPr>
          <w:sz w:val="20"/>
          <w:lang w:val="en-CA"/>
        </w:rPr>
        <w:t>(Man.) (Civil) (By Leave)</w:t>
      </w:r>
      <w:r w:rsidR="0011219D" w:rsidRPr="0011219D">
        <w:rPr>
          <w:sz w:val="20"/>
          <w:lang w:val="en-CA"/>
        </w:rPr>
        <w:t xml:space="preserve"> </w:t>
      </w:r>
      <w:r w:rsidR="0011219D" w:rsidRPr="0011219D">
        <w:rPr>
          <w:sz w:val="20"/>
          <w:lang w:val="en-CA" w:eastAsia="en-CA"/>
        </w:rPr>
        <w:t>(</w:t>
      </w:r>
      <w:hyperlink r:id="rId9" w:history="1">
        <w:r w:rsidR="0011219D" w:rsidRPr="0011219D">
          <w:rPr>
            <w:rStyle w:val="Hyperlink"/>
            <w:sz w:val="20"/>
            <w:lang w:val="en-CA" w:eastAsia="en-CA"/>
          </w:rPr>
          <w:t>37385</w:t>
        </w:r>
      </w:hyperlink>
      <w:r w:rsidR="0011219D" w:rsidRPr="0011219D">
        <w:rPr>
          <w:sz w:val="20"/>
          <w:lang w:val="en-CA" w:eastAsia="en-CA"/>
        </w:rPr>
        <w:t>)</w:t>
      </w:r>
    </w:p>
    <w:p w:rsidR="00A65C73" w:rsidRPr="00A65C73" w:rsidRDefault="00A65C73" w:rsidP="00A65C73">
      <w:pPr>
        <w:ind w:left="360" w:hanging="360"/>
        <w:rPr>
          <w:sz w:val="20"/>
          <w:lang w:val="en-CA"/>
        </w:rPr>
      </w:pPr>
    </w:p>
    <w:p w:rsidR="00A65C73" w:rsidRPr="00A65C73" w:rsidRDefault="00A65C73" w:rsidP="00A65C73">
      <w:pPr>
        <w:pStyle w:val="ListParagraph"/>
        <w:numPr>
          <w:ilvl w:val="0"/>
          <w:numId w:val="14"/>
        </w:numPr>
        <w:ind w:left="360"/>
        <w:rPr>
          <w:sz w:val="20"/>
        </w:rPr>
      </w:pPr>
      <w:r w:rsidRPr="00A65C73">
        <w:rPr>
          <w:i/>
          <w:sz w:val="20"/>
        </w:rPr>
        <w:t xml:space="preserve">Dino Orsini v. Canada Revenue Agency </w:t>
      </w:r>
      <w:r w:rsidRPr="00A65C73">
        <w:rPr>
          <w:sz w:val="20"/>
        </w:rPr>
        <w:t>(Que.) (Civil) (By Leave)</w:t>
      </w:r>
      <w:r w:rsidR="0011219D">
        <w:rPr>
          <w:sz w:val="20"/>
        </w:rPr>
        <w:t xml:space="preserve"> </w:t>
      </w:r>
      <w:r w:rsidR="0011219D" w:rsidRPr="0011219D">
        <w:rPr>
          <w:sz w:val="20"/>
          <w:lang w:val="en-CA" w:eastAsia="en-CA"/>
        </w:rPr>
        <w:t>(</w:t>
      </w:r>
      <w:hyperlink r:id="rId10" w:history="1">
        <w:r w:rsidR="0011219D" w:rsidRPr="0011219D">
          <w:rPr>
            <w:rStyle w:val="Hyperlink"/>
            <w:sz w:val="20"/>
            <w:lang w:val="en-CA" w:eastAsia="en-CA"/>
          </w:rPr>
          <w:t>373</w:t>
        </w:r>
        <w:r w:rsidR="00AA66A3">
          <w:rPr>
            <w:rStyle w:val="Hyperlink"/>
            <w:sz w:val="20"/>
            <w:lang w:val="en-CA" w:eastAsia="en-CA"/>
          </w:rPr>
          <w:t>64</w:t>
        </w:r>
      </w:hyperlink>
      <w:r w:rsidR="0011219D" w:rsidRPr="0011219D">
        <w:rPr>
          <w:sz w:val="20"/>
          <w:lang w:val="en-CA" w:eastAsia="en-CA"/>
        </w:rPr>
        <w:t>)</w:t>
      </w:r>
    </w:p>
    <w:p w:rsidR="00A65C73" w:rsidRPr="00A65C73" w:rsidRDefault="00A65C73" w:rsidP="00A65C73">
      <w:pPr>
        <w:ind w:left="360" w:hanging="360"/>
        <w:rPr>
          <w:sz w:val="20"/>
        </w:rPr>
      </w:pPr>
    </w:p>
    <w:p w:rsidR="00A65C73" w:rsidRPr="00A65C73" w:rsidRDefault="00A65C73" w:rsidP="00A65C73">
      <w:pPr>
        <w:pStyle w:val="ListParagraph"/>
        <w:numPr>
          <w:ilvl w:val="0"/>
          <w:numId w:val="14"/>
        </w:numPr>
        <w:ind w:left="360"/>
        <w:rPr>
          <w:sz w:val="20"/>
        </w:rPr>
      </w:pPr>
      <w:r w:rsidRPr="00A65C73">
        <w:rPr>
          <w:i/>
          <w:sz w:val="20"/>
        </w:rPr>
        <w:t xml:space="preserve">Canadian Human Rights Commission v. Attorney General of Canada </w:t>
      </w:r>
      <w:r w:rsidRPr="00A65C73">
        <w:rPr>
          <w:sz w:val="20"/>
        </w:rPr>
        <w:t>(F</w:t>
      </w:r>
      <w:r>
        <w:rPr>
          <w:sz w:val="20"/>
        </w:rPr>
        <w:t>.</w:t>
      </w:r>
      <w:r w:rsidRPr="00A65C73">
        <w:rPr>
          <w:sz w:val="20"/>
        </w:rPr>
        <w:t>C</w:t>
      </w:r>
      <w:r>
        <w:rPr>
          <w:sz w:val="20"/>
        </w:rPr>
        <w:t>.</w:t>
      </w:r>
      <w:r w:rsidRPr="00A65C73">
        <w:rPr>
          <w:sz w:val="20"/>
        </w:rPr>
        <w:t>) (Civil) (By Leave)</w:t>
      </w:r>
      <w:r w:rsidR="00733C12">
        <w:rPr>
          <w:sz w:val="20"/>
        </w:rPr>
        <w:t xml:space="preserve"> </w:t>
      </w:r>
      <w:r w:rsidR="00733C12" w:rsidRPr="0011219D">
        <w:rPr>
          <w:sz w:val="20"/>
          <w:lang w:val="en-CA" w:eastAsia="en-CA"/>
        </w:rPr>
        <w:t>(</w:t>
      </w:r>
      <w:hyperlink r:id="rId11" w:history="1">
        <w:r w:rsidR="00733C12" w:rsidRPr="0011219D">
          <w:rPr>
            <w:rStyle w:val="Hyperlink"/>
            <w:sz w:val="20"/>
            <w:lang w:val="en-CA" w:eastAsia="en-CA"/>
          </w:rPr>
          <w:t>37</w:t>
        </w:r>
        <w:r w:rsidR="00733C12">
          <w:rPr>
            <w:rStyle w:val="Hyperlink"/>
            <w:sz w:val="20"/>
            <w:lang w:val="en-CA" w:eastAsia="en-CA"/>
          </w:rPr>
          <w:t>20</w:t>
        </w:r>
        <w:r w:rsidR="00733C12" w:rsidRPr="0011219D">
          <w:rPr>
            <w:rStyle w:val="Hyperlink"/>
            <w:sz w:val="20"/>
            <w:lang w:val="en-CA" w:eastAsia="en-CA"/>
          </w:rPr>
          <w:t>8</w:t>
        </w:r>
      </w:hyperlink>
      <w:r w:rsidR="00733C12" w:rsidRPr="0011219D">
        <w:rPr>
          <w:sz w:val="20"/>
          <w:lang w:val="en-CA" w:eastAsia="en-CA"/>
        </w:rPr>
        <w:t>)</w:t>
      </w:r>
    </w:p>
    <w:p w:rsidR="00A65C73" w:rsidRPr="00A65C73" w:rsidRDefault="00A65C73" w:rsidP="00A65C73">
      <w:pPr>
        <w:ind w:left="360" w:hanging="360"/>
        <w:rPr>
          <w:sz w:val="20"/>
        </w:rPr>
      </w:pPr>
    </w:p>
    <w:p w:rsidR="00A65C73" w:rsidRPr="004D47B9" w:rsidRDefault="00A65C73" w:rsidP="00A65C73">
      <w:pPr>
        <w:pStyle w:val="ListParagraph"/>
        <w:numPr>
          <w:ilvl w:val="0"/>
          <w:numId w:val="14"/>
        </w:numPr>
        <w:ind w:left="360"/>
        <w:rPr>
          <w:sz w:val="20"/>
          <w:lang w:val="fr-CA"/>
        </w:rPr>
      </w:pPr>
      <w:r w:rsidRPr="00A65C73">
        <w:rPr>
          <w:i/>
          <w:sz w:val="20"/>
          <w:lang w:val="fr-CA"/>
        </w:rPr>
        <w:t>Gemma A. Le</w:t>
      </w:r>
      <w:bookmarkStart w:id="0" w:name="_GoBack"/>
      <w:bookmarkEnd w:id="0"/>
      <w:r w:rsidRPr="00A65C73">
        <w:rPr>
          <w:i/>
          <w:sz w:val="20"/>
          <w:lang w:val="fr-CA"/>
        </w:rPr>
        <w:t xml:space="preserve">Bouthillier c. J.M. Bastille inc., une corporation </w:t>
      </w:r>
      <w:r w:rsidRPr="004D47B9">
        <w:rPr>
          <w:i/>
          <w:sz w:val="20"/>
          <w:lang w:val="fr-CA"/>
        </w:rPr>
        <w:t>et autre</w:t>
      </w:r>
      <w:r w:rsidRPr="00A65C73">
        <w:rPr>
          <w:i/>
          <w:sz w:val="20"/>
          <w:lang w:val="fr-CA"/>
        </w:rPr>
        <w:t xml:space="preserve"> </w:t>
      </w:r>
      <w:r w:rsidRPr="00A65C73">
        <w:rPr>
          <w:sz w:val="20"/>
          <w:lang w:val="fr-CA"/>
        </w:rPr>
        <w:t xml:space="preserve">(N.-B.) </w:t>
      </w:r>
      <w:r w:rsidRPr="004D47B9">
        <w:rPr>
          <w:sz w:val="20"/>
          <w:lang w:val="fr-CA"/>
        </w:rPr>
        <w:t>(Civile) (Autorisation)</w:t>
      </w:r>
      <w:r w:rsidR="007E724E" w:rsidRPr="004D47B9">
        <w:rPr>
          <w:sz w:val="20"/>
          <w:lang w:val="fr-CA"/>
        </w:rPr>
        <w:t xml:space="preserve"> </w:t>
      </w:r>
      <w:r w:rsidR="007E724E" w:rsidRPr="004D47B9">
        <w:rPr>
          <w:sz w:val="20"/>
          <w:lang w:val="fr-CA" w:eastAsia="en-CA"/>
        </w:rPr>
        <w:t>(</w:t>
      </w:r>
      <w:hyperlink r:id="rId12" w:history="1">
        <w:r w:rsidR="007E724E" w:rsidRPr="004D47B9">
          <w:rPr>
            <w:rStyle w:val="Hyperlink"/>
            <w:sz w:val="20"/>
            <w:lang w:val="fr-CA" w:eastAsia="en-CA"/>
          </w:rPr>
          <w:t>37350</w:t>
        </w:r>
      </w:hyperlink>
      <w:r w:rsidR="007E724E" w:rsidRPr="004D47B9">
        <w:rPr>
          <w:sz w:val="20"/>
          <w:lang w:val="fr-CA" w:eastAsia="en-CA"/>
        </w:rPr>
        <w:t>)</w:t>
      </w:r>
    </w:p>
    <w:p w:rsidR="00A65C73" w:rsidRPr="004D47B9" w:rsidRDefault="00A65C73" w:rsidP="00A65C73">
      <w:pPr>
        <w:ind w:left="360" w:hanging="360"/>
        <w:rPr>
          <w:sz w:val="20"/>
          <w:lang w:val="fr-CA"/>
        </w:rPr>
      </w:pPr>
    </w:p>
    <w:p w:rsidR="00A65C73" w:rsidRPr="00A65C73" w:rsidRDefault="00A65C73" w:rsidP="00A65C73">
      <w:pPr>
        <w:pStyle w:val="ListParagraph"/>
        <w:numPr>
          <w:ilvl w:val="0"/>
          <w:numId w:val="14"/>
        </w:numPr>
        <w:ind w:left="360"/>
        <w:jc w:val="both"/>
        <w:rPr>
          <w:sz w:val="20"/>
          <w:lang w:val="en-CA"/>
        </w:rPr>
      </w:pPr>
      <w:r w:rsidRPr="00A65C73">
        <w:rPr>
          <w:i/>
          <w:sz w:val="20"/>
          <w:lang w:val="en-CA"/>
        </w:rPr>
        <w:t xml:space="preserve">Wing Wha Wong v. Her Majesty the Queen </w:t>
      </w:r>
      <w:r w:rsidRPr="00A65C73">
        <w:rPr>
          <w:sz w:val="20"/>
          <w:lang w:val="en-CA"/>
        </w:rPr>
        <w:t>(B.C.) (Criminal) (By Leave)</w:t>
      </w:r>
      <w:r w:rsidR="00A77F4A">
        <w:rPr>
          <w:sz w:val="20"/>
          <w:lang w:val="en-CA"/>
        </w:rPr>
        <w:t xml:space="preserve"> </w:t>
      </w:r>
      <w:r w:rsidR="00A77F4A" w:rsidRPr="0011219D">
        <w:rPr>
          <w:sz w:val="20"/>
          <w:lang w:val="en-CA" w:eastAsia="en-CA"/>
        </w:rPr>
        <w:t>(</w:t>
      </w:r>
      <w:hyperlink r:id="rId13" w:history="1">
        <w:r w:rsidR="00A77F4A" w:rsidRPr="0011219D">
          <w:rPr>
            <w:rStyle w:val="Hyperlink"/>
            <w:sz w:val="20"/>
            <w:lang w:val="en-CA" w:eastAsia="en-CA"/>
          </w:rPr>
          <w:t>373</w:t>
        </w:r>
        <w:r w:rsidR="00A77F4A">
          <w:rPr>
            <w:rStyle w:val="Hyperlink"/>
            <w:sz w:val="20"/>
            <w:lang w:val="en-CA" w:eastAsia="en-CA"/>
          </w:rPr>
          <w:t>67</w:t>
        </w:r>
      </w:hyperlink>
      <w:r w:rsidR="00A77F4A" w:rsidRPr="0011219D">
        <w:rPr>
          <w:sz w:val="20"/>
          <w:lang w:val="en-CA" w:eastAsia="en-CA"/>
        </w:rPr>
        <w:t>)</w:t>
      </w:r>
    </w:p>
    <w:p w:rsidR="00A65C73" w:rsidRPr="00A65C73" w:rsidRDefault="00A65C73" w:rsidP="00A65C73">
      <w:pPr>
        <w:ind w:left="360" w:hanging="360"/>
        <w:jc w:val="both"/>
        <w:rPr>
          <w:sz w:val="20"/>
          <w:lang w:val="en-CA"/>
        </w:rPr>
      </w:pPr>
    </w:p>
    <w:p w:rsidR="00A65C73" w:rsidRPr="00A65C73" w:rsidRDefault="00A65C73" w:rsidP="00A65C73">
      <w:pPr>
        <w:pStyle w:val="ListParagraph"/>
        <w:numPr>
          <w:ilvl w:val="0"/>
          <w:numId w:val="14"/>
        </w:numPr>
        <w:ind w:left="360"/>
        <w:jc w:val="both"/>
        <w:rPr>
          <w:sz w:val="20"/>
          <w:lang w:val="en-CA"/>
        </w:rPr>
      </w:pPr>
      <w:r w:rsidRPr="00A65C73">
        <w:rPr>
          <w:i/>
          <w:sz w:val="20"/>
          <w:lang w:val="en-CA"/>
        </w:rPr>
        <w:t xml:space="preserve">Bryan James Balla v. Her Majesty the Queen </w:t>
      </w:r>
      <w:r w:rsidRPr="00A65C73">
        <w:rPr>
          <w:sz w:val="20"/>
          <w:lang w:val="en-CA"/>
        </w:rPr>
        <w:t>(Alta.) (Criminal) (By Leave)</w:t>
      </w:r>
      <w:r w:rsidR="005336CE">
        <w:rPr>
          <w:sz w:val="20"/>
          <w:lang w:val="en-CA"/>
        </w:rPr>
        <w:t xml:space="preserve"> </w:t>
      </w:r>
      <w:r w:rsidR="005336CE" w:rsidRPr="0011219D">
        <w:rPr>
          <w:sz w:val="20"/>
          <w:lang w:val="en-CA" w:eastAsia="en-CA"/>
        </w:rPr>
        <w:t>(</w:t>
      </w:r>
      <w:hyperlink r:id="rId14" w:history="1">
        <w:r w:rsidR="005336CE" w:rsidRPr="0011219D">
          <w:rPr>
            <w:rStyle w:val="Hyperlink"/>
            <w:sz w:val="20"/>
            <w:lang w:val="en-CA" w:eastAsia="en-CA"/>
          </w:rPr>
          <w:t>373</w:t>
        </w:r>
        <w:r w:rsidR="005336CE">
          <w:rPr>
            <w:rStyle w:val="Hyperlink"/>
            <w:sz w:val="20"/>
            <w:lang w:val="en-CA" w:eastAsia="en-CA"/>
          </w:rPr>
          <w:t>21</w:t>
        </w:r>
      </w:hyperlink>
      <w:r w:rsidR="005336CE" w:rsidRPr="0011219D">
        <w:rPr>
          <w:sz w:val="20"/>
          <w:lang w:val="en-CA" w:eastAsia="en-CA"/>
        </w:rPr>
        <w:t>)</w:t>
      </w:r>
    </w:p>
    <w:p w:rsidR="00A65C73" w:rsidRPr="00A65C73" w:rsidRDefault="00A65C73" w:rsidP="00A65C73">
      <w:pPr>
        <w:ind w:left="360" w:hanging="360"/>
        <w:jc w:val="both"/>
        <w:rPr>
          <w:sz w:val="20"/>
          <w:lang w:val="en-CA"/>
        </w:rPr>
      </w:pPr>
    </w:p>
    <w:p w:rsidR="00A65C73" w:rsidRPr="00A65C73" w:rsidRDefault="00A65C73" w:rsidP="00A65C73">
      <w:pPr>
        <w:pStyle w:val="ListParagraph"/>
        <w:numPr>
          <w:ilvl w:val="0"/>
          <w:numId w:val="14"/>
        </w:numPr>
        <w:ind w:left="360"/>
        <w:jc w:val="both"/>
        <w:rPr>
          <w:sz w:val="20"/>
          <w:lang w:val="en-CA"/>
        </w:rPr>
      </w:pPr>
      <w:r w:rsidRPr="00A65C73">
        <w:rPr>
          <w:i/>
          <w:sz w:val="20"/>
          <w:lang w:val="en-CA"/>
        </w:rPr>
        <w:t xml:space="preserve">Robert James Thomson v. Attorney General of Canada </w:t>
      </w:r>
      <w:r w:rsidRPr="00A65C73">
        <w:rPr>
          <w:sz w:val="20"/>
          <w:lang w:val="en-CA"/>
        </w:rPr>
        <w:t>(F</w:t>
      </w:r>
      <w:r>
        <w:rPr>
          <w:sz w:val="20"/>
          <w:lang w:val="en-CA"/>
        </w:rPr>
        <w:t>.</w:t>
      </w:r>
      <w:r w:rsidRPr="00A65C73">
        <w:rPr>
          <w:sz w:val="20"/>
          <w:lang w:val="en-CA"/>
        </w:rPr>
        <w:t>C</w:t>
      </w:r>
      <w:r>
        <w:rPr>
          <w:sz w:val="20"/>
          <w:lang w:val="en-CA"/>
        </w:rPr>
        <w:t>.</w:t>
      </w:r>
      <w:r w:rsidRPr="00A65C73">
        <w:rPr>
          <w:sz w:val="20"/>
          <w:lang w:val="en-CA"/>
        </w:rPr>
        <w:t>) (Civil) (By Leave)</w:t>
      </w:r>
      <w:r w:rsidR="00DF5D6C">
        <w:rPr>
          <w:sz w:val="20"/>
          <w:lang w:val="en-CA"/>
        </w:rPr>
        <w:t xml:space="preserve"> </w:t>
      </w:r>
      <w:r w:rsidR="00DF5D6C" w:rsidRPr="0011219D">
        <w:rPr>
          <w:sz w:val="20"/>
          <w:lang w:val="en-CA" w:eastAsia="en-CA"/>
        </w:rPr>
        <w:t>(</w:t>
      </w:r>
      <w:hyperlink r:id="rId15" w:history="1">
        <w:r w:rsidR="00DF5D6C" w:rsidRPr="0011219D">
          <w:rPr>
            <w:rStyle w:val="Hyperlink"/>
            <w:sz w:val="20"/>
            <w:lang w:val="en-CA" w:eastAsia="en-CA"/>
          </w:rPr>
          <w:t>373</w:t>
        </w:r>
        <w:r w:rsidR="00DF5D6C">
          <w:rPr>
            <w:rStyle w:val="Hyperlink"/>
            <w:sz w:val="20"/>
            <w:lang w:val="en-CA" w:eastAsia="en-CA"/>
          </w:rPr>
          <w:t>51</w:t>
        </w:r>
      </w:hyperlink>
      <w:r w:rsidR="00DF5D6C" w:rsidRPr="0011219D">
        <w:rPr>
          <w:sz w:val="20"/>
          <w:lang w:val="en-CA" w:eastAsia="en-CA"/>
        </w:rPr>
        <w:t>)</w:t>
      </w:r>
    </w:p>
    <w:p w:rsidR="00A65C73" w:rsidRPr="00A65C73" w:rsidRDefault="00A65C73" w:rsidP="00A65C73">
      <w:pPr>
        <w:ind w:left="360" w:hanging="360"/>
        <w:jc w:val="both"/>
        <w:rPr>
          <w:sz w:val="20"/>
          <w:lang w:val="en-CA"/>
        </w:rPr>
      </w:pPr>
    </w:p>
    <w:p w:rsidR="00A65C73" w:rsidRPr="00A65C73" w:rsidRDefault="00A65C73" w:rsidP="00A65C73">
      <w:pPr>
        <w:pStyle w:val="ListParagraph"/>
        <w:numPr>
          <w:ilvl w:val="0"/>
          <w:numId w:val="14"/>
        </w:numPr>
        <w:ind w:left="360"/>
        <w:jc w:val="both"/>
        <w:rPr>
          <w:sz w:val="20"/>
          <w:lang w:val="en-CA"/>
        </w:rPr>
      </w:pPr>
      <w:r w:rsidRPr="00A65C73">
        <w:rPr>
          <w:i/>
          <w:sz w:val="20"/>
          <w:lang w:val="fr-CA"/>
        </w:rPr>
        <w:t xml:space="preserve">Sylvester Chuang et al. v. Toyota Canada Inc. </w:t>
      </w:r>
      <w:r w:rsidRPr="00A65C73">
        <w:rPr>
          <w:sz w:val="20"/>
          <w:lang w:val="en-CA"/>
        </w:rPr>
        <w:t>(Ont.) (Civil) (By Leave)</w:t>
      </w:r>
      <w:r w:rsidR="00A114CC">
        <w:rPr>
          <w:sz w:val="20"/>
          <w:lang w:val="en-CA"/>
        </w:rPr>
        <w:t xml:space="preserve"> </w:t>
      </w:r>
      <w:r w:rsidR="00A114CC" w:rsidRPr="0011219D">
        <w:rPr>
          <w:sz w:val="20"/>
          <w:lang w:val="en-CA" w:eastAsia="en-CA"/>
        </w:rPr>
        <w:t>(</w:t>
      </w:r>
      <w:hyperlink r:id="rId16" w:history="1">
        <w:r w:rsidR="00A114CC" w:rsidRPr="0011219D">
          <w:rPr>
            <w:rStyle w:val="Hyperlink"/>
            <w:sz w:val="20"/>
            <w:lang w:val="en-CA" w:eastAsia="en-CA"/>
          </w:rPr>
          <w:t>37</w:t>
        </w:r>
        <w:r w:rsidR="00A114CC">
          <w:rPr>
            <w:rStyle w:val="Hyperlink"/>
            <w:sz w:val="20"/>
            <w:lang w:val="en-CA" w:eastAsia="en-CA"/>
          </w:rPr>
          <w:t>2</w:t>
        </w:r>
        <w:r w:rsidR="00A114CC" w:rsidRPr="0011219D">
          <w:rPr>
            <w:rStyle w:val="Hyperlink"/>
            <w:sz w:val="20"/>
            <w:lang w:val="en-CA" w:eastAsia="en-CA"/>
          </w:rPr>
          <w:t>3</w:t>
        </w:r>
        <w:r w:rsidR="00A114CC">
          <w:rPr>
            <w:rStyle w:val="Hyperlink"/>
            <w:sz w:val="20"/>
            <w:lang w:val="en-CA" w:eastAsia="en-CA"/>
          </w:rPr>
          <w:t>0</w:t>
        </w:r>
      </w:hyperlink>
      <w:r w:rsidR="00A114CC" w:rsidRPr="0011219D">
        <w:rPr>
          <w:sz w:val="20"/>
          <w:lang w:val="en-CA" w:eastAsia="en-CA"/>
        </w:rPr>
        <w:t>)</w:t>
      </w:r>
    </w:p>
    <w:p w:rsidR="00A65C73" w:rsidRPr="00A65C73" w:rsidRDefault="00A65C73" w:rsidP="00A65C73">
      <w:pPr>
        <w:ind w:left="360" w:hanging="360"/>
        <w:jc w:val="both"/>
        <w:rPr>
          <w:sz w:val="20"/>
          <w:lang w:val="en-CA"/>
        </w:rPr>
      </w:pPr>
    </w:p>
    <w:p w:rsidR="00A65C73" w:rsidRPr="00A65C73" w:rsidRDefault="00A65C73" w:rsidP="00A65C73">
      <w:pPr>
        <w:pStyle w:val="ListParagraph"/>
        <w:numPr>
          <w:ilvl w:val="0"/>
          <w:numId w:val="14"/>
        </w:numPr>
        <w:ind w:left="360"/>
        <w:jc w:val="both"/>
        <w:rPr>
          <w:sz w:val="20"/>
          <w:lang w:val="en-CA"/>
        </w:rPr>
      </w:pPr>
      <w:r w:rsidRPr="00A65C73">
        <w:rPr>
          <w:i/>
          <w:sz w:val="20"/>
          <w:lang w:val="en-CA"/>
        </w:rPr>
        <w:t xml:space="preserve">Donna Elizabeth Gariepy et al. v. Her Majesty the Queen </w:t>
      </w:r>
      <w:r w:rsidRPr="00A65C73">
        <w:rPr>
          <w:sz w:val="20"/>
          <w:lang w:val="en-CA"/>
        </w:rPr>
        <w:t>(F</w:t>
      </w:r>
      <w:r>
        <w:rPr>
          <w:sz w:val="20"/>
          <w:lang w:val="en-CA"/>
        </w:rPr>
        <w:t>.</w:t>
      </w:r>
      <w:r w:rsidRPr="00A65C73">
        <w:rPr>
          <w:sz w:val="20"/>
          <w:lang w:val="en-CA"/>
        </w:rPr>
        <w:t>C</w:t>
      </w:r>
      <w:r>
        <w:rPr>
          <w:sz w:val="20"/>
          <w:lang w:val="en-CA"/>
        </w:rPr>
        <w:t>.</w:t>
      </w:r>
      <w:r w:rsidRPr="00A65C73">
        <w:rPr>
          <w:sz w:val="20"/>
          <w:lang w:val="en-CA"/>
        </w:rPr>
        <w:t>) (Civil) (By Leave)</w:t>
      </w:r>
      <w:r w:rsidR="006A0169">
        <w:rPr>
          <w:sz w:val="20"/>
          <w:lang w:val="en-CA"/>
        </w:rPr>
        <w:t xml:space="preserve"> </w:t>
      </w:r>
      <w:r w:rsidR="006A0169" w:rsidRPr="0011219D">
        <w:rPr>
          <w:sz w:val="20"/>
          <w:lang w:val="en-CA" w:eastAsia="en-CA"/>
        </w:rPr>
        <w:t>(</w:t>
      </w:r>
      <w:hyperlink r:id="rId17" w:history="1">
        <w:r w:rsidR="006A0169" w:rsidRPr="0011219D">
          <w:rPr>
            <w:rStyle w:val="Hyperlink"/>
            <w:sz w:val="20"/>
            <w:lang w:val="en-CA" w:eastAsia="en-CA"/>
          </w:rPr>
          <w:t>37</w:t>
        </w:r>
        <w:r w:rsidR="006A0169">
          <w:rPr>
            <w:rStyle w:val="Hyperlink"/>
            <w:sz w:val="20"/>
            <w:lang w:val="en-CA" w:eastAsia="en-CA"/>
          </w:rPr>
          <w:t>299</w:t>
        </w:r>
      </w:hyperlink>
      <w:r w:rsidR="006A0169" w:rsidRPr="0011219D">
        <w:rPr>
          <w:sz w:val="20"/>
          <w:lang w:val="en-CA" w:eastAsia="en-CA"/>
        </w:rPr>
        <w:t>)</w:t>
      </w:r>
    </w:p>
    <w:p w:rsidR="00A65C73" w:rsidRPr="00A65C73" w:rsidRDefault="00A65C73" w:rsidP="00A65C73">
      <w:pPr>
        <w:ind w:left="360" w:hanging="360"/>
        <w:rPr>
          <w:sz w:val="20"/>
          <w:lang w:val="en-CA"/>
        </w:rPr>
      </w:pPr>
    </w:p>
    <w:p w:rsidR="00A65C73" w:rsidRPr="00A65C73" w:rsidRDefault="00A65C73" w:rsidP="00A65C73">
      <w:pPr>
        <w:pStyle w:val="ListParagraph"/>
        <w:numPr>
          <w:ilvl w:val="0"/>
          <w:numId w:val="14"/>
        </w:numPr>
        <w:ind w:left="360"/>
        <w:rPr>
          <w:sz w:val="20"/>
          <w:lang w:val="en-CA"/>
        </w:rPr>
      </w:pPr>
      <w:r w:rsidRPr="00A65C73">
        <w:rPr>
          <w:i/>
          <w:sz w:val="20"/>
          <w:lang w:val="en-CA"/>
        </w:rPr>
        <w:t xml:space="preserve">V.I. Fabrikant v. Her Majesty the Queen </w:t>
      </w:r>
      <w:r w:rsidRPr="00A65C73">
        <w:rPr>
          <w:sz w:val="20"/>
          <w:lang w:val="en-CA"/>
        </w:rPr>
        <w:t>(F</w:t>
      </w:r>
      <w:r>
        <w:rPr>
          <w:sz w:val="20"/>
          <w:lang w:val="en-CA"/>
        </w:rPr>
        <w:t>.</w:t>
      </w:r>
      <w:r w:rsidRPr="00A65C73">
        <w:rPr>
          <w:sz w:val="20"/>
          <w:lang w:val="en-CA"/>
        </w:rPr>
        <w:t>C</w:t>
      </w:r>
      <w:r>
        <w:rPr>
          <w:sz w:val="20"/>
          <w:lang w:val="en-CA"/>
        </w:rPr>
        <w:t>.</w:t>
      </w:r>
      <w:r w:rsidRPr="00A65C73">
        <w:rPr>
          <w:sz w:val="20"/>
          <w:lang w:val="en-CA"/>
        </w:rPr>
        <w:t>) (Civil) (By Leave)</w:t>
      </w:r>
      <w:r w:rsidR="009A0B7F">
        <w:rPr>
          <w:sz w:val="20"/>
          <w:lang w:val="en-CA"/>
        </w:rPr>
        <w:t xml:space="preserve"> </w:t>
      </w:r>
      <w:r w:rsidR="009A0B7F" w:rsidRPr="0011219D">
        <w:rPr>
          <w:sz w:val="20"/>
          <w:lang w:val="en-CA" w:eastAsia="en-CA"/>
        </w:rPr>
        <w:t>(</w:t>
      </w:r>
      <w:hyperlink r:id="rId18" w:history="1">
        <w:r w:rsidR="009A0B7F" w:rsidRPr="0011219D">
          <w:rPr>
            <w:rStyle w:val="Hyperlink"/>
            <w:sz w:val="20"/>
            <w:lang w:val="en-CA" w:eastAsia="en-CA"/>
          </w:rPr>
          <w:t>3738</w:t>
        </w:r>
        <w:r w:rsidR="009A0B7F">
          <w:rPr>
            <w:rStyle w:val="Hyperlink"/>
            <w:sz w:val="20"/>
            <w:lang w:val="en-CA" w:eastAsia="en-CA"/>
          </w:rPr>
          <w:t>8</w:t>
        </w:r>
      </w:hyperlink>
      <w:r w:rsidR="009A0B7F" w:rsidRPr="0011219D">
        <w:rPr>
          <w:sz w:val="20"/>
          <w:lang w:val="en-CA" w:eastAsia="en-CA"/>
        </w:rPr>
        <w:t>)</w:t>
      </w:r>
    </w:p>
    <w:p w:rsidR="00B23822" w:rsidRDefault="00B23822" w:rsidP="00531C3D">
      <w:pPr>
        <w:ind w:left="360" w:hanging="360"/>
        <w:jc w:val="both"/>
        <w:rPr>
          <w:sz w:val="20"/>
          <w:lang w:eastAsia="en-CA"/>
        </w:rPr>
      </w:pPr>
    </w:p>
    <w:p w:rsidR="00222D61" w:rsidRPr="00222D61" w:rsidRDefault="00222D61" w:rsidP="00222D61">
      <w:pPr>
        <w:ind w:left="360" w:hanging="360"/>
        <w:jc w:val="both"/>
        <w:rPr>
          <w:sz w:val="20"/>
          <w:lang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22D61" w:rsidRPr="00222D61" w:rsidTr="00E95A6A">
        <w:tc>
          <w:tcPr>
            <w:tcW w:w="543" w:type="pct"/>
          </w:tcPr>
          <w:p w:rsidR="00222D61" w:rsidRPr="00222D61" w:rsidRDefault="00222D61" w:rsidP="00222D61">
            <w:pPr>
              <w:jc w:val="both"/>
              <w:rPr>
                <w:sz w:val="20"/>
              </w:rPr>
            </w:pPr>
            <w:r w:rsidRPr="00222D61">
              <w:rPr>
                <w:rStyle w:val="SCCFileNumberChar"/>
                <w:sz w:val="20"/>
                <w:szCs w:val="20"/>
              </w:rPr>
              <w:t>37337</w:t>
            </w:r>
          </w:p>
        </w:tc>
        <w:tc>
          <w:tcPr>
            <w:tcW w:w="4457" w:type="pct"/>
            <w:gridSpan w:val="3"/>
          </w:tcPr>
          <w:p w:rsidR="00222D61" w:rsidRPr="00222D61" w:rsidRDefault="00222D61" w:rsidP="00222D61">
            <w:pPr>
              <w:pStyle w:val="SCCLsocParty"/>
              <w:jc w:val="both"/>
              <w:rPr>
                <w:b/>
                <w:sz w:val="20"/>
                <w:szCs w:val="20"/>
                <w:lang w:val="en-US"/>
              </w:rPr>
            </w:pPr>
            <w:r w:rsidRPr="00222D61">
              <w:rPr>
                <w:b/>
                <w:sz w:val="20"/>
                <w:szCs w:val="20"/>
                <w:lang w:val="en-US"/>
              </w:rPr>
              <w:t>Her Majesty the Queen v. Brittany Leigh Derbyshire</w:t>
            </w:r>
          </w:p>
          <w:p w:rsidR="00222D61" w:rsidRPr="00222D61" w:rsidRDefault="00222D61" w:rsidP="00222D61">
            <w:pPr>
              <w:jc w:val="both"/>
              <w:rPr>
                <w:sz w:val="20"/>
              </w:rPr>
            </w:pPr>
            <w:r w:rsidRPr="00222D61">
              <w:rPr>
                <w:sz w:val="20"/>
              </w:rPr>
              <w:t>(N.S.) (Criminal) (By Leave)</w:t>
            </w:r>
          </w:p>
        </w:tc>
      </w:tr>
      <w:tr w:rsidR="00222D61" w:rsidRPr="00222D61" w:rsidTr="00E95A6A">
        <w:tc>
          <w:tcPr>
            <w:tcW w:w="5000" w:type="pct"/>
            <w:gridSpan w:val="4"/>
          </w:tcPr>
          <w:p w:rsidR="00222D61" w:rsidRPr="00222D61" w:rsidRDefault="00222D61" w:rsidP="00222D61">
            <w:pPr>
              <w:jc w:val="both"/>
              <w:rPr>
                <w:sz w:val="20"/>
              </w:rPr>
            </w:pPr>
            <w:r w:rsidRPr="00222D61">
              <w:rPr>
                <w:i/>
                <w:sz w:val="20"/>
              </w:rPr>
              <w:lastRenderedPageBreak/>
              <w:t>Charter of Rights and Freedoms</w:t>
            </w:r>
            <w:r w:rsidRPr="00222D61">
              <w:rPr>
                <w:sz w:val="20"/>
              </w:rPr>
              <w:t xml:space="preserve"> – Fundamental justice – Criminal law – Abuse of process – Relationship between common law and </w:t>
            </w:r>
            <w:r w:rsidRPr="00222D61">
              <w:rPr>
                <w:i/>
                <w:sz w:val="20"/>
              </w:rPr>
              <w:t xml:space="preserve">Charter </w:t>
            </w:r>
            <w:r w:rsidRPr="00222D61">
              <w:rPr>
                <w:sz w:val="20"/>
              </w:rPr>
              <w:t>doctrines with respect to abuse of process – Whether common law doctrine of abuse of process continues to exist as an alternative analytical approach to abuse of process – Correct analytical approach to be taken when an allegation of abuse of process is made.</w:t>
            </w:r>
          </w:p>
        </w:tc>
      </w:tr>
      <w:tr w:rsidR="00222D61" w:rsidRPr="00222D61" w:rsidTr="00E95A6A">
        <w:tc>
          <w:tcPr>
            <w:tcW w:w="5000" w:type="pct"/>
            <w:gridSpan w:val="4"/>
          </w:tcPr>
          <w:p w:rsidR="00222D61" w:rsidRPr="00222D61" w:rsidRDefault="00222D61" w:rsidP="00222D61">
            <w:pPr>
              <w:jc w:val="both"/>
              <w:rPr>
                <w:sz w:val="20"/>
              </w:rPr>
            </w:pPr>
          </w:p>
        </w:tc>
      </w:tr>
      <w:tr w:rsidR="00222D61" w:rsidRPr="00222D61" w:rsidTr="00E95A6A">
        <w:tc>
          <w:tcPr>
            <w:tcW w:w="5000" w:type="pct"/>
            <w:gridSpan w:val="4"/>
          </w:tcPr>
          <w:p w:rsidR="00222D61" w:rsidRPr="00222D61" w:rsidRDefault="00222D61" w:rsidP="00222D61">
            <w:pPr>
              <w:jc w:val="both"/>
              <w:rPr>
                <w:sz w:val="20"/>
              </w:rPr>
            </w:pPr>
            <w:r w:rsidRPr="00222D61">
              <w:rPr>
                <w:sz w:val="20"/>
              </w:rPr>
              <w:t xml:space="preserve">Police officers investigating a murder believed that a drug dealer committed the murder and Ms. Derbyshire assisted him after the murder. They believed Ms. Derbyshire’s boyfriend also was a drug dealer and was an associate of the murderer. They believed Ms. Derbyshire often participated in her boyfriend’s drug business. They obtained an authorization and a warrant to intercept and record communications. To elicit communications to intercept, they staged an undercover operation targeting Ms. Derbyshire. Two officers posed as gang members from Quebec sent to clean up after the murder. They confronted Ms. Derbyshire. Within minutes, she provided information about the murder and her involvement. She located where evidence was hidden and drew maps. She then drove the officers to the locations and gave them the clothes she had worn that day. A </w:t>
            </w:r>
            <w:proofErr w:type="spellStart"/>
            <w:r w:rsidRPr="00222D61">
              <w:rPr>
                <w:i/>
                <w:sz w:val="20"/>
              </w:rPr>
              <w:t>voir</w:t>
            </w:r>
            <w:proofErr w:type="spellEnd"/>
            <w:r w:rsidRPr="00222D61">
              <w:rPr>
                <w:i/>
                <w:sz w:val="20"/>
              </w:rPr>
              <w:t xml:space="preserve"> dire </w:t>
            </w:r>
            <w:r w:rsidRPr="00222D61">
              <w:rPr>
                <w:sz w:val="20"/>
              </w:rPr>
              <w:t xml:space="preserve">was held into the admissibility of the evidence. Ms. Derbyshire testified that she cooperated out of fear. The officers testified that she appeared cooperative and friendly. </w:t>
            </w:r>
          </w:p>
          <w:p w:rsidR="00222D61" w:rsidRPr="00222D61" w:rsidRDefault="00222D61" w:rsidP="00222D61">
            <w:pPr>
              <w:jc w:val="both"/>
              <w:rPr>
                <w:sz w:val="20"/>
              </w:rPr>
            </w:pPr>
          </w:p>
        </w:tc>
      </w:tr>
      <w:tr w:rsidR="00222D61" w:rsidRPr="00222D61" w:rsidTr="00E95A6A">
        <w:tc>
          <w:tcPr>
            <w:tcW w:w="2427" w:type="pct"/>
            <w:gridSpan w:val="2"/>
          </w:tcPr>
          <w:p w:rsidR="00222D61" w:rsidRPr="00222D61" w:rsidRDefault="00222D61" w:rsidP="00222D61">
            <w:pPr>
              <w:jc w:val="both"/>
              <w:rPr>
                <w:sz w:val="20"/>
              </w:rPr>
            </w:pPr>
            <w:r w:rsidRPr="00222D61">
              <w:rPr>
                <w:sz w:val="20"/>
              </w:rPr>
              <w:t>October 15, 2014</w:t>
            </w:r>
          </w:p>
          <w:p w:rsidR="00222D61" w:rsidRPr="00222D61" w:rsidRDefault="00222D61" w:rsidP="00222D61">
            <w:pPr>
              <w:jc w:val="both"/>
              <w:rPr>
                <w:sz w:val="20"/>
              </w:rPr>
            </w:pPr>
            <w:r w:rsidRPr="00222D61">
              <w:rPr>
                <w:sz w:val="20"/>
              </w:rPr>
              <w:t>Supreme Court of Nova Scotia, Trial Division</w:t>
            </w:r>
          </w:p>
          <w:p w:rsidR="00222D61" w:rsidRPr="00222D61" w:rsidRDefault="00222D61" w:rsidP="00222D61">
            <w:pPr>
              <w:jc w:val="both"/>
              <w:rPr>
                <w:sz w:val="20"/>
              </w:rPr>
            </w:pPr>
            <w:r w:rsidRPr="00222D61">
              <w:rPr>
                <w:sz w:val="20"/>
              </w:rPr>
              <w:t>(Wood J.)</w:t>
            </w:r>
          </w:p>
          <w:p w:rsidR="00222D61" w:rsidRPr="00222D61" w:rsidRDefault="00817781" w:rsidP="00222D61">
            <w:pPr>
              <w:jc w:val="both"/>
              <w:rPr>
                <w:sz w:val="20"/>
              </w:rPr>
            </w:pPr>
            <w:hyperlink r:id="rId19" w:history="1">
              <w:r w:rsidR="00222D61" w:rsidRPr="00222D61">
                <w:rPr>
                  <w:rStyle w:val="Hyperlink"/>
                  <w:sz w:val="20"/>
                </w:rPr>
                <w:t>2014 NSSC 371</w:t>
              </w:r>
            </w:hyperlink>
          </w:p>
          <w:p w:rsidR="00222D61" w:rsidRPr="00222D61" w:rsidRDefault="00222D61" w:rsidP="00222D61">
            <w:pPr>
              <w:jc w:val="both"/>
              <w:rPr>
                <w:sz w:val="20"/>
              </w:rPr>
            </w:pPr>
          </w:p>
        </w:tc>
        <w:tc>
          <w:tcPr>
            <w:tcW w:w="243" w:type="pct"/>
          </w:tcPr>
          <w:p w:rsidR="00222D61" w:rsidRPr="00222D61" w:rsidRDefault="00222D61" w:rsidP="00222D61">
            <w:pPr>
              <w:jc w:val="both"/>
              <w:rPr>
                <w:sz w:val="20"/>
              </w:rPr>
            </w:pPr>
          </w:p>
        </w:tc>
        <w:tc>
          <w:tcPr>
            <w:tcW w:w="2330" w:type="pct"/>
          </w:tcPr>
          <w:p w:rsidR="00222D61" w:rsidRPr="00222D61" w:rsidRDefault="00222D61" w:rsidP="00222D61">
            <w:pPr>
              <w:jc w:val="both"/>
              <w:rPr>
                <w:sz w:val="20"/>
              </w:rPr>
            </w:pPr>
            <w:r w:rsidRPr="00222D61">
              <w:rPr>
                <w:sz w:val="20"/>
              </w:rPr>
              <w:t>Evidence excluded for abuse of process</w:t>
            </w:r>
          </w:p>
        </w:tc>
      </w:tr>
      <w:tr w:rsidR="00222D61" w:rsidRPr="00222D61" w:rsidTr="00E95A6A">
        <w:tc>
          <w:tcPr>
            <w:tcW w:w="2427" w:type="pct"/>
            <w:gridSpan w:val="2"/>
          </w:tcPr>
          <w:p w:rsidR="00222D61" w:rsidRPr="00222D61" w:rsidRDefault="00222D61" w:rsidP="00222D61">
            <w:pPr>
              <w:jc w:val="both"/>
              <w:rPr>
                <w:sz w:val="20"/>
              </w:rPr>
            </w:pPr>
            <w:r w:rsidRPr="00222D61">
              <w:rPr>
                <w:sz w:val="20"/>
              </w:rPr>
              <w:t>January 14, 2015</w:t>
            </w:r>
          </w:p>
          <w:p w:rsidR="00222D61" w:rsidRPr="00222D61" w:rsidRDefault="00222D61" w:rsidP="00222D61">
            <w:pPr>
              <w:jc w:val="both"/>
              <w:rPr>
                <w:sz w:val="20"/>
              </w:rPr>
            </w:pPr>
            <w:r w:rsidRPr="00222D61">
              <w:rPr>
                <w:sz w:val="20"/>
              </w:rPr>
              <w:t>Supreme Court of Nova Scotia, Trial Division</w:t>
            </w:r>
          </w:p>
          <w:p w:rsidR="00222D61" w:rsidRPr="00222D61" w:rsidRDefault="00222D61" w:rsidP="00222D61">
            <w:pPr>
              <w:jc w:val="both"/>
              <w:rPr>
                <w:sz w:val="20"/>
              </w:rPr>
            </w:pPr>
            <w:r w:rsidRPr="00222D61">
              <w:rPr>
                <w:sz w:val="20"/>
              </w:rPr>
              <w:t>(Wood J.)(unreported)</w:t>
            </w:r>
          </w:p>
          <w:p w:rsidR="00222D61" w:rsidRPr="00222D61" w:rsidRDefault="00222D61" w:rsidP="00222D61">
            <w:pPr>
              <w:jc w:val="both"/>
              <w:rPr>
                <w:sz w:val="20"/>
              </w:rPr>
            </w:pPr>
          </w:p>
        </w:tc>
        <w:tc>
          <w:tcPr>
            <w:tcW w:w="243" w:type="pct"/>
          </w:tcPr>
          <w:p w:rsidR="00222D61" w:rsidRPr="00222D61" w:rsidRDefault="00222D61" w:rsidP="00222D61">
            <w:pPr>
              <w:jc w:val="both"/>
              <w:rPr>
                <w:sz w:val="20"/>
              </w:rPr>
            </w:pPr>
          </w:p>
        </w:tc>
        <w:tc>
          <w:tcPr>
            <w:tcW w:w="2330" w:type="pct"/>
          </w:tcPr>
          <w:p w:rsidR="00222D61" w:rsidRPr="00222D61" w:rsidRDefault="00222D61" w:rsidP="00222D61">
            <w:pPr>
              <w:jc w:val="both"/>
              <w:rPr>
                <w:sz w:val="20"/>
              </w:rPr>
            </w:pPr>
            <w:r w:rsidRPr="00222D61">
              <w:rPr>
                <w:sz w:val="20"/>
              </w:rPr>
              <w:t>Acquittal on charge of accessory after the fact to murder</w:t>
            </w:r>
          </w:p>
          <w:p w:rsidR="00222D61" w:rsidRPr="00222D61" w:rsidRDefault="00222D61" w:rsidP="00222D61">
            <w:pPr>
              <w:jc w:val="both"/>
              <w:rPr>
                <w:sz w:val="20"/>
              </w:rPr>
            </w:pPr>
          </w:p>
        </w:tc>
      </w:tr>
      <w:tr w:rsidR="00222D61" w:rsidRPr="00222D61" w:rsidTr="00E95A6A">
        <w:tc>
          <w:tcPr>
            <w:tcW w:w="2427" w:type="pct"/>
            <w:gridSpan w:val="2"/>
          </w:tcPr>
          <w:p w:rsidR="00222D61" w:rsidRPr="00222D61" w:rsidRDefault="00222D61" w:rsidP="00222D61">
            <w:pPr>
              <w:jc w:val="both"/>
              <w:rPr>
                <w:sz w:val="20"/>
              </w:rPr>
            </w:pPr>
            <w:r w:rsidRPr="00222D61">
              <w:rPr>
                <w:sz w:val="20"/>
              </w:rPr>
              <w:t>September 13, 2016</w:t>
            </w:r>
          </w:p>
          <w:p w:rsidR="00222D61" w:rsidRPr="00222D61" w:rsidRDefault="00222D61" w:rsidP="00222D61">
            <w:pPr>
              <w:jc w:val="both"/>
              <w:rPr>
                <w:sz w:val="20"/>
              </w:rPr>
            </w:pPr>
            <w:r w:rsidRPr="00222D61">
              <w:rPr>
                <w:sz w:val="20"/>
              </w:rPr>
              <w:t>Nova Scotia Court of Appeal</w:t>
            </w:r>
          </w:p>
          <w:p w:rsidR="00222D61" w:rsidRPr="00222D61" w:rsidRDefault="00222D61" w:rsidP="00222D61">
            <w:pPr>
              <w:jc w:val="both"/>
              <w:rPr>
                <w:sz w:val="20"/>
              </w:rPr>
            </w:pPr>
            <w:r w:rsidRPr="00222D61">
              <w:rPr>
                <w:sz w:val="20"/>
              </w:rPr>
              <w:t xml:space="preserve">(Beveridge, Saunders, Van den </w:t>
            </w:r>
            <w:proofErr w:type="spellStart"/>
            <w:r w:rsidRPr="00222D61">
              <w:rPr>
                <w:sz w:val="20"/>
              </w:rPr>
              <w:t>Eynden</w:t>
            </w:r>
            <w:proofErr w:type="spellEnd"/>
            <w:r w:rsidRPr="00222D61">
              <w:rPr>
                <w:sz w:val="20"/>
              </w:rPr>
              <w:t xml:space="preserve"> JJ.A.)</w:t>
            </w:r>
          </w:p>
          <w:p w:rsidR="00222D61" w:rsidRPr="00222D61" w:rsidRDefault="00222D61" w:rsidP="00222D61">
            <w:pPr>
              <w:jc w:val="both"/>
              <w:rPr>
                <w:sz w:val="20"/>
              </w:rPr>
            </w:pPr>
            <w:r w:rsidRPr="00222D61">
              <w:rPr>
                <w:sz w:val="20"/>
              </w:rPr>
              <w:t xml:space="preserve">CAC435848; </w:t>
            </w:r>
            <w:hyperlink r:id="rId20" w:history="1">
              <w:r w:rsidRPr="00222D61">
                <w:rPr>
                  <w:rStyle w:val="Hyperlink"/>
                  <w:sz w:val="20"/>
                </w:rPr>
                <w:t>2016 NSCA 67</w:t>
              </w:r>
            </w:hyperlink>
          </w:p>
          <w:p w:rsidR="00222D61" w:rsidRPr="00222D61" w:rsidRDefault="00222D61" w:rsidP="00222D61">
            <w:pPr>
              <w:jc w:val="both"/>
              <w:rPr>
                <w:sz w:val="20"/>
              </w:rPr>
            </w:pPr>
          </w:p>
        </w:tc>
        <w:tc>
          <w:tcPr>
            <w:tcW w:w="243" w:type="pct"/>
          </w:tcPr>
          <w:p w:rsidR="00222D61" w:rsidRPr="00222D61" w:rsidRDefault="00222D61" w:rsidP="00222D61">
            <w:pPr>
              <w:jc w:val="both"/>
              <w:rPr>
                <w:sz w:val="20"/>
              </w:rPr>
            </w:pPr>
          </w:p>
        </w:tc>
        <w:tc>
          <w:tcPr>
            <w:tcW w:w="2330" w:type="pct"/>
          </w:tcPr>
          <w:p w:rsidR="00222D61" w:rsidRPr="00222D61" w:rsidRDefault="00222D61" w:rsidP="00222D61">
            <w:pPr>
              <w:jc w:val="both"/>
              <w:rPr>
                <w:sz w:val="20"/>
              </w:rPr>
            </w:pPr>
            <w:r w:rsidRPr="00222D61">
              <w:rPr>
                <w:sz w:val="20"/>
              </w:rPr>
              <w:t>Appeal dismissed</w:t>
            </w:r>
          </w:p>
          <w:p w:rsidR="00222D61" w:rsidRPr="00222D61" w:rsidRDefault="00222D61" w:rsidP="00222D61">
            <w:pPr>
              <w:jc w:val="both"/>
              <w:rPr>
                <w:sz w:val="20"/>
              </w:rPr>
            </w:pPr>
          </w:p>
        </w:tc>
      </w:tr>
      <w:tr w:rsidR="00222D61" w:rsidRPr="00222D61" w:rsidTr="00E95A6A">
        <w:tc>
          <w:tcPr>
            <w:tcW w:w="2427" w:type="pct"/>
            <w:gridSpan w:val="2"/>
          </w:tcPr>
          <w:p w:rsidR="00222D61" w:rsidRPr="00222D61" w:rsidRDefault="00222D61" w:rsidP="00222D61">
            <w:pPr>
              <w:jc w:val="both"/>
              <w:rPr>
                <w:sz w:val="20"/>
              </w:rPr>
            </w:pPr>
            <w:r w:rsidRPr="00222D61">
              <w:rPr>
                <w:sz w:val="20"/>
              </w:rPr>
              <w:t>December 5, 2016</w:t>
            </w:r>
          </w:p>
          <w:p w:rsidR="00222D61" w:rsidRPr="00222D61" w:rsidRDefault="00222D61" w:rsidP="00222D61">
            <w:pPr>
              <w:jc w:val="both"/>
              <w:rPr>
                <w:sz w:val="20"/>
              </w:rPr>
            </w:pPr>
            <w:r w:rsidRPr="00222D61">
              <w:rPr>
                <w:sz w:val="20"/>
              </w:rPr>
              <w:t>Supreme Court of Canada</w:t>
            </w:r>
          </w:p>
        </w:tc>
        <w:tc>
          <w:tcPr>
            <w:tcW w:w="243" w:type="pct"/>
          </w:tcPr>
          <w:p w:rsidR="00222D61" w:rsidRPr="00222D61" w:rsidRDefault="00222D61" w:rsidP="00222D61">
            <w:pPr>
              <w:jc w:val="both"/>
              <w:rPr>
                <w:sz w:val="20"/>
              </w:rPr>
            </w:pPr>
          </w:p>
        </w:tc>
        <w:tc>
          <w:tcPr>
            <w:tcW w:w="2330" w:type="pct"/>
          </w:tcPr>
          <w:p w:rsidR="00222D61" w:rsidRPr="00222D61" w:rsidRDefault="00222D61" w:rsidP="00222D61">
            <w:pPr>
              <w:jc w:val="both"/>
              <w:rPr>
                <w:sz w:val="20"/>
              </w:rPr>
            </w:pPr>
            <w:r w:rsidRPr="00222D61">
              <w:rPr>
                <w:sz w:val="20"/>
              </w:rPr>
              <w:t>Application for extension of time to serve and file application for leave to appeal and Application for leave to appeal filed</w:t>
            </w:r>
          </w:p>
        </w:tc>
      </w:tr>
    </w:tbl>
    <w:p w:rsidR="00222D61" w:rsidRDefault="00222D61" w:rsidP="00222D61">
      <w:pPr>
        <w:jc w:val="both"/>
        <w:rPr>
          <w:sz w:val="20"/>
        </w:rPr>
      </w:pPr>
    </w:p>
    <w:p w:rsidR="00222D61" w:rsidRPr="00222D61" w:rsidRDefault="00222D61" w:rsidP="00222D6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22D61" w:rsidRPr="00817781" w:rsidTr="00E95A6A">
        <w:tc>
          <w:tcPr>
            <w:tcW w:w="543" w:type="pct"/>
          </w:tcPr>
          <w:p w:rsidR="00222D61" w:rsidRPr="00222D61" w:rsidRDefault="00222D61" w:rsidP="00222D61">
            <w:pPr>
              <w:jc w:val="both"/>
              <w:rPr>
                <w:sz w:val="20"/>
                <w:lang w:val="fr-CA"/>
              </w:rPr>
            </w:pPr>
            <w:r w:rsidRPr="00222D61">
              <w:rPr>
                <w:rStyle w:val="SCCFileNumberChar"/>
                <w:sz w:val="20"/>
                <w:szCs w:val="20"/>
                <w:lang w:val="fr-CA"/>
              </w:rPr>
              <w:t>37337</w:t>
            </w:r>
          </w:p>
        </w:tc>
        <w:tc>
          <w:tcPr>
            <w:tcW w:w="4457" w:type="pct"/>
            <w:gridSpan w:val="3"/>
          </w:tcPr>
          <w:p w:rsidR="00222D61" w:rsidRPr="00222D61" w:rsidRDefault="00222D61" w:rsidP="00222D61">
            <w:pPr>
              <w:pStyle w:val="SCCLsocParty"/>
              <w:jc w:val="both"/>
              <w:rPr>
                <w:b/>
                <w:sz w:val="20"/>
                <w:szCs w:val="20"/>
              </w:rPr>
            </w:pPr>
            <w:r w:rsidRPr="00222D61">
              <w:rPr>
                <w:b/>
                <w:sz w:val="20"/>
                <w:szCs w:val="20"/>
              </w:rPr>
              <w:t>Sa Majesté la Reine c. Brittany Leigh Derbyshire</w:t>
            </w:r>
          </w:p>
          <w:p w:rsidR="00222D61" w:rsidRPr="00222D61" w:rsidRDefault="00222D61" w:rsidP="00222D61">
            <w:pPr>
              <w:jc w:val="both"/>
              <w:rPr>
                <w:sz w:val="20"/>
                <w:lang w:val="fr-CA"/>
              </w:rPr>
            </w:pPr>
            <w:r w:rsidRPr="00222D61">
              <w:rPr>
                <w:sz w:val="20"/>
                <w:lang w:val="fr-CA"/>
              </w:rPr>
              <w:t>(N.-É.) (Criminelle) (Sur autorisation)</w:t>
            </w:r>
          </w:p>
        </w:tc>
      </w:tr>
      <w:tr w:rsidR="00222D61" w:rsidRPr="00817781" w:rsidTr="00E95A6A">
        <w:tc>
          <w:tcPr>
            <w:tcW w:w="5000" w:type="pct"/>
            <w:gridSpan w:val="4"/>
          </w:tcPr>
          <w:p w:rsidR="00222D61" w:rsidRPr="00222D61" w:rsidRDefault="00222D61" w:rsidP="00222D61">
            <w:pPr>
              <w:jc w:val="both"/>
              <w:rPr>
                <w:sz w:val="20"/>
                <w:lang w:val="fr-CA"/>
              </w:rPr>
            </w:pPr>
            <w:r w:rsidRPr="00222D61">
              <w:rPr>
                <w:i/>
                <w:sz w:val="20"/>
                <w:lang w:val="fr-CA"/>
              </w:rPr>
              <w:t xml:space="preserve">Charte des droits et libertés </w:t>
            </w:r>
            <w:r w:rsidRPr="00222D61">
              <w:rPr>
                <w:sz w:val="20"/>
                <w:lang w:val="fr-CA"/>
              </w:rPr>
              <w:t xml:space="preserve">– Justice fondamentale – Droit criminel – Abus de procédure – Lien entre les règles de common law et les règles fondées sur la </w:t>
            </w:r>
            <w:r w:rsidRPr="00222D61">
              <w:rPr>
                <w:i/>
                <w:sz w:val="20"/>
                <w:lang w:val="fr-CA"/>
              </w:rPr>
              <w:t>Charte</w:t>
            </w:r>
            <w:r w:rsidRPr="00222D61">
              <w:rPr>
                <w:sz w:val="20"/>
                <w:lang w:val="fr-CA"/>
              </w:rPr>
              <w:t xml:space="preserve"> en matière d’abus de procédure – La règle de common law en matière d’abus de procédure continue-t-elle d’exister en tant que démarche analytique subsidiaire en cette matière? – Démarche  analytique qu’il convient de suivre en présence d’allégations d’abus de procédure.</w:t>
            </w:r>
          </w:p>
        </w:tc>
      </w:tr>
      <w:tr w:rsidR="00222D61" w:rsidRPr="00817781" w:rsidTr="00E95A6A">
        <w:tc>
          <w:tcPr>
            <w:tcW w:w="5000" w:type="pct"/>
            <w:gridSpan w:val="4"/>
          </w:tcPr>
          <w:p w:rsidR="00222D61" w:rsidRPr="00222D61" w:rsidRDefault="00222D61" w:rsidP="00222D61">
            <w:pPr>
              <w:jc w:val="both"/>
              <w:rPr>
                <w:sz w:val="20"/>
                <w:lang w:val="fr-CA"/>
              </w:rPr>
            </w:pPr>
          </w:p>
        </w:tc>
      </w:tr>
      <w:tr w:rsidR="00222D61" w:rsidRPr="00817781" w:rsidTr="00E95A6A">
        <w:tc>
          <w:tcPr>
            <w:tcW w:w="5000" w:type="pct"/>
            <w:gridSpan w:val="4"/>
          </w:tcPr>
          <w:p w:rsidR="00222D61" w:rsidRPr="00222D61" w:rsidRDefault="00222D61" w:rsidP="00222D61">
            <w:pPr>
              <w:jc w:val="both"/>
              <w:rPr>
                <w:sz w:val="20"/>
                <w:lang w:val="fr-CA"/>
              </w:rPr>
            </w:pPr>
            <w:r w:rsidRPr="00222D61">
              <w:rPr>
                <w:sz w:val="20"/>
                <w:lang w:val="fr-CA"/>
              </w:rPr>
              <w:t xml:space="preserve">Des policiers qui enquêtaient sur un meurtre croyaient qu’un trafiquant de drogue en était l’auteur et que Mme Derbyshire l’avait aidé après la perpétration de l’infraction. Ils croyaient que le petit ami de Mme Derbyshire était lui aussi un trafiquant de drogue et qu’il était un associé du meurtrier. Ils croyaient que Mme Derbyshire participait souvent aux activités de trafic de drogue de son petit ami. Ils ont obtenu une autorisation et un mandat pour intercepter et enregistrer des communications. Pour soutirer des communications à intercepter, ils ont mis en scène une opération d’infiltration ciblant Mme Derbyshire. Deux agents se sont fait passer pour des membres d’un gang du Québec chargé de faire disparaître les preuves après le meurtre. Ils ont posé des questions à Mme Derbyshire. Au bout de quelques minutes, elle a fourni des renseignements sur le meurtre et sur sa participation. Elle a indiqué où étaient cachés des éléments de preuve et a dessiné des cartes. Elle a ensuite conduit les agents aux endroits en </w:t>
            </w:r>
            <w:r w:rsidRPr="00222D61">
              <w:rPr>
                <w:sz w:val="20"/>
                <w:lang w:val="fr-CA"/>
              </w:rPr>
              <w:lastRenderedPageBreak/>
              <w:t>question et leur a donné les vêtements qu’elle avait portés ce jour-là. Un voir-dire</w:t>
            </w:r>
            <w:r w:rsidRPr="00222D61">
              <w:rPr>
                <w:i/>
                <w:sz w:val="20"/>
                <w:lang w:val="fr-CA"/>
              </w:rPr>
              <w:t xml:space="preserve"> </w:t>
            </w:r>
            <w:r w:rsidRPr="00222D61">
              <w:rPr>
                <w:sz w:val="20"/>
                <w:lang w:val="fr-CA"/>
              </w:rPr>
              <w:t xml:space="preserve">a été tenu pour déterminer l’admissibilité de la preuve. Dans son témoignage, Mme Derbyshire a affirmé qu’elle avait collaboré sous l’effet de la peur. Les agents ont témoigné qu’elle s’était montrée coopérative et amicale. </w:t>
            </w:r>
          </w:p>
          <w:p w:rsidR="00222D61" w:rsidRPr="00222D61" w:rsidRDefault="00222D61" w:rsidP="00222D61">
            <w:pPr>
              <w:jc w:val="both"/>
              <w:rPr>
                <w:sz w:val="20"/>
                <w:lang w:val="fr-CA"/>
              </w:rPr>
            </w:pPr>
          </w:p>
        </w:tc>
      </w:tr>
      <w:tr w:rsidR="00222D61" w:rsidRPr="00817781" w:rsidTr="00E95A6A">
        <w:tc>
          <w:tcPr>
            <w:tcW w:w="2427" w:type="pct"/>
            <w:gridSpan w:val="2"/>
          </w:tcPr>
          <w:p w:rsidR="00222D61" w:rsidRPr="00222D61" w:rsidRDefault="00222D61" w:rsidP="00222D61">
            <w:pPr>
              <w:jc w:val="both"/>
              <w:rPr>
                <w:sz w:val="20"/>
                <w:lang w:val="fr-CA"/>
              </w:rPr>
            </w:pPr>
            <w:r w:rsidRPr="00222D61">
              <w:rPr>
                <w:sz w:val="20"/>
                <w:lang w:val="fr-CA"/>
              </w:rPr>
              <w:lastRenderedPageBreak/>
              <w:t>15 octobre 2014</w:t>
            </w:r>
          </w:p>
          <w:p w:rsidR="00222D61" w:rsidRPr="00222D61" w:rsidRDefault="00222D61" w:rsidP="00222D61">
            <w:pPr>
              <w:jc w:val="both"/>
              <w:rPr>
                <w:sz w:val="20"/>
                <w:lang w:val="fr-CA"/>
              </w:rPr>
            </w:pPr>
            <w:r w:rsidRPr="00222D61">
              <w:rPr>
                <w:sz w:val="20"/>
                <w:lang w:val="fr-CA"/>
              </w:rPr>
              <w:t xml:space="preserve">Cour suprême de la Nouvelle-Écosse, Section de première instance </w:t>
            </w:r>
          </w:p>
          <w:p w:rsidR="00222D61" w:rsidRPr="00222D61" w:rsidRDefault="00222D61" w:rsidP="00222D61">
            <w:pPr>
              <w:jc w:val="both"/>
              <w:rPr>
                <w:sz w:val="20"/>
                <w:lang w:val="fr-CA"/>
              </w:rPr>
            </w:pPr>
            <w:r w:rsidRPr="00222D61">
              <w:rPr>
                <w:sz w:val="20"/>
                <w:lang w:val="fr-CA"/>
              </w:rPr>
              <w:t>(Juge Wood)</w:t>
            </w:r>
          </w:p>
          <w:p w:rsidR="00222D61" w:rsidRPr="00222D61" w:rsidRDefault="00817781" w:rsidP="00222D61">
            <w:pPr>
              <w:jc w:val="both"/>
              <w:rPr>
                <w:sz w:val="20"/>
                <w:lang w:val="fr-CA"/>
              </w:rPr>
            </w:pPr>
            <w:hyperlink r:id="rId21" w:history="1">
              <w:r w:rsidR="00222D61" w:rsidRPr="00222D61">
                <w:rPr>
                  <w:rStyle w:val="Hyperlink"/>
                  <w:sz w:val="20"/>
                  <w:lang w:val="fr-CA"/>
                </w:rPr>
                <w:t>2014 NSSC 371</w:t>
              </w:r>
            </w:hyperlink>
          </w:p>
          <w:p w:rsidR="00222D61" w:rsidRPr="00222D61" w:rsidRDefault="00222D61" w:rsidP="00222D61">
            <w:pPr>
              <w:jc w:val="both"/>
              <w:rPr>
                <w:sz w:val="20"/>
                <w:lang w:val="fr-CA"/>
              </w:rPr>
            </w:pPr>
          </w:p>
        </w:tc>
        <w:tc>
          <w:tcPr>
            <w:tcW w:w="243" w:type="pct"/>
          </w:tcPr>
          <w:p w:rsidR="00222D61" w:rsidRPr="00222D61" w:rsidRDefault="00222D61" w:rsidP="00222D61">
            <w:pPr>
              <w:jc w:val="both"/>
              <w:rPr>
                <w:sz w:val="20"/>
                <w:lang w:val="fr-CA"/>
              </w:rPr>
            </w:pPr>
          </w:p>
        </w:tc>
        <w:tc>
          <w:tcPr>
            <w:tcW w:w="2330" w:type="pct"/>
          </w:tcPr>
          <w:p w:rsidR="00222D61" w:rsidRPr="00222D61" w:rsidRDefault="00222D61" w:rsidP="00222D61">
            <w:pPr>
              <w:jc w:val="both"/>
              <w:rPr>
                <w:sz w:val="20"/>
                <w:lang w:val="fr-CA"/>
              </w:rPr>
            </w:pPr>
            <w:r w:rsidRPr="00222D61">
              <w:rPr>
                <w:sz w:val="20"/>
                <w:lang w:val="fr-CA"/>
              </w:rPr>
              <w:t>Exclusion de la preuve pour abus de procédure</w:t>
            </w:r>
          </w:p>
        </w:tc>
      </w:tr>
      <w:tr w:rsidR="00222D61" w:rsidRPr="00817781" w:rsidTr="00E95A6A">
        <w:tc>
          <w:tcPr>
            <w:tcW w:w="2427" w:type="pct"/>
            <w:gridSpan w:val="2"/>
          </w:tcPr>
          <w:p w:rsidR="00222D61" w:rsidRPr="00222D61" w:rsidRDefault="00222D61" w:rsidP="00222D61">
            <w:pPr>
              <w:jc w:val="both"/>
              <w:rPr>
                <w:sz w:val="20"/>
                <w:lang w:val="fr-CA"/>
              </w:rPr>
            </w:pPr>
            <w:r w:rsidRPr="00222D61">
              <w:rPr>
                <w:sz w:val="20"/>
                <w:lang w:val="fr-CA"/>
              </w:rPr>
              <w:t>14 janvier 2015</w:t>
            </w:r>
          </w:p>
          <w:p w:rsidR="00222D61" w:rsidRPr="00222D61" w:rsidRDefault="00222D61" w:rsidP="00222D61">
            <w:pPr>
              <w:jc w:val="both"/>
              <w:rPr>
                <w:sz w:val="20"/>
                <w:lang w:val="fr-CA"/>
              </w:rPr>
            </w:pPr>
            <w:r w:rsidRPr="00222D61">
              <w:rPr>
                <w:sz w:val="20"/>
                <w:lang w:val="fr-CA"/>
              </w:rPr>
              <w:t xml:space="preserve">Cour suprême de la Nouvelle-Écosse, Section de première instance </w:t>
            </w:r>
          </w:p>
          <w:p w:rsidR="00222D61" w:rsidRPr="00222D61" w:rsidRDefault="00222D61" w:rsidP="00222D61">
            <w:pPr>
              <w:jc w:val="both"/>
              <w:rPr>
                <w:sz w:val="20"/>
                <w:lang w:val="fr-CA"/>
              </w:rPr>
            </w:pPr>
            <w:r w:rsidRPr="00222D61">
              <w:rPr>
                <w:sz w:val="20"/>
                <w:lang w:val="fr-CA"/>
              </w:rPr>
              <w:t>(Juge Wood) (Non publié)</w:t>
            </w:r>
          </w:p>
          <w:p w:rsidR="00222D61" w:rsidRPr="00222D61" w:rsidRDefault="00222D61" w:rsidP="00222D61">
            <w:pPr>
              <w:jc w:val="both"/>
              <w:rPr>
                <w:sz w:val="20"/>
                <w:lang w:val="fr-CA"/>
              </w:rPr>
            </w:pPr>
          </w:p>
        </w:tc>
        <w:tc>
          <w:tcPr>
            <w:tcW w:w="243" w:type="pct"/>
          </w:tcPr>
          <w:p w:rsidR="00222D61" w:rsidRPr="00222D61" w:rsidRDefault="00222D61" w:rsidP="00222D61">
            <w:pPr>
              <w:jc w:val="both"/>
              <w:rPr>
                <w:sz w:val="20"/>
                <w:lang w:val="fr-CA"/>
              </w:rPr>
            </w:pPr>
          </w:p>
        </w:tc>
        <w:tc>
          <w:tcPr>
            <w:tcW w:w="2330" w:type="pct"/>
          </w:tcPr>
          <w:p w:rsidR="00222D61" w:rsidRPr="00222D61" w:rsidRDefault="00222D61" w:rsidP="00222D61">
            <w:pPr>
              <w:jc w:val="both"/>
              <w:rPr>
                <w:sz w:val="20"/>
                <w:lang w:val="fr-CA"/>
              </w:rPr>
            </w:pPr>
            <w:r w:rsidRPr="00222D61">
              <w:rPr>
                <w:sz w:val="20"/>
                <w:lang w:val="fr-CA"/>
              </w:rPr>
              <w:t xml:space="preserve">Acquittement prononcé relativement à l’accusation de complicité de meurtre après le fait </w:t>
            </w:r>
          </w:p>
          <w:p w:rsidR="00222D61" w:rsidRPr="00222D61" w:rsidRDefault="00222D61" w:rsidP="00222D61">
            <w:pPr>
              <w:jc w:val="both"/>
              <w:rPr>
                <w:sz w:val="20"/>
                <w:lang w:val="fr-CA"/>
              </w:rPr>
            </w:pPr>
          </w:p>
        </w:tc>
      </w:tr>
      <w:tr w:rsidR="00222D61" w:rsidRPr="00222D61" w:rsidTr="00E95A6A">
        <w:tc>
          <w:tcPr>
            <w:tcW w:w="2427" w:type="pct"/>
            <w:gridSpan w:val="2"/>
          </w:tcPr>
          <w:p w:rsidR="00222D61" w:rsidRPr="00222D61" w:rsidRDefault="00222D61" w:rsidP="00222D61">
            <w:pPr>
              <w:jc w:val="both"/>
              <w:rPr>
                <w:sz w:val="20"/>
                <w:lang w:val="fr-CA"/>
              </w:rPr>
            </w:pPr>
            <w:r w:rsidRPr="00222D61">
              <w:rPr>
                <w:sz w:val="20"/>
                <w:lang w:val="fr-CA"/>
              </w:rPr>
              <w:t>13 septembre 2016</w:t>
            </w:r>
          </w:p>
          <w:p w:rsidR="00222D61" w:rsidRPr="00222D61" w:rsidRDefault="00222D61" w:rsidP="00222D61">
            <w:pPr>
              <w:jc w:val="both"/>
              <w:rPr>
                <w:sz w:val="20"/>
                <w:lang w:val="fr-CA"/>
              </w:rPr>
            </w:pPr>
            <w:r w:rsidRPr="00222D61">
              <w:rPr>
                <w:sz w:val="20"/>
                <w:lang w:val="fr-CA"/>
              </w:rPr>
              <w:t>Cour d’appel de la Nouvelle-Écosse</w:t>
            </w:r>
          </w:p>
          <w:p w:rsidR="00222D61" w:rsidRPr="00222D61" w:rsidRDefault="00222D61" w:rsidP="00222D61">
            <w:pPr>
              <w:jc w:val="both"/>
              <w:rPr>
                <w:sz w:val="20"/>
                <w:lang w:val="fr-CA"/>
              </w:rPr>
            </w:pPr>
            <w:r w:rsidRPr="00222D61">
              <w:rPr>
                <w:sz w:val="20"/>
                <w:lang w:val="fr-CA"/>
              </w:rPr>
              <w:t>(Juges Beveridge, Saunders et Van den Eynden)</w:t>
            </w:r>
          </w:p>
          <w:p w:rsidR="00222D61" w:rsidRPr="00222D61" w:rsidRDefault="00222D61" w:rsidP="00222D61">
            <w:pPr>
              <w:jc w:val="both"/>
              <w:rPr>
                <w:sz w:val="20"/>
                <w:lang w:val="fr-CA"/>
              </w:rPr>
            </w:pPr>
            <w:r w:rsidRPr="00222D61">
              <w:rPr>
                <w:sz w:val="20"/>
                <w:lang w:val="fr-CA"/>
              </w:rPr>
              <w:t xml:space="preserve">CAC435848; </w:t>
            </w:r>
            <w:hyperlink r:id="rId22" w:history="1">
              <w:r w:rsidRPr="00222D61">
                <w:rPr>
                  <w:rStyle w:val="Hyperlink"/>
                  <w:sz w:val="20"/>
                  <w:lang w:val="fr-CA"/>
                </w:rPr>
                <w:t>2016 NSCA 67</w:t>
              </w:r>
            </w:hyperlink>
          </w:p>
          <w:p w:rsidR="00222D61" w:rsidRPr="00222D61" w:rsidRDefault="00222D61" w:rsidP="00222D61">
            <w:pPr>
              <w:jc w:val="both"/>
              <w:rPr>
                <w:sz w:val="20"/>
                <w:lang w:val="fr-CA"/>
              </w:rPr>
            </w:pPr>
          </w:p>
        </w:tc>
        <w:tc>
          <w:tcPr>
            <w:tcW w:w="243" w:type="pct"/>
          </w:tcPr>
          <w:p w:rsidR="00222D61" w:rsidRPr="00222D61" w:rsidRDefault="00222D61" w:rsidP="00222D61">
            <w:pPr>
              <w:jc w:val="both"/>
              <w:rPr>
                <w:sz w:val="20"/>
                <w:lang w:val="fr-CA"/>
              </w:rPr>
            </w:pPr>
          </w:p>
        </w:tc>
        <w:tc>
          <w:tcPr>
            <w:tcW w:w="2330" w:type="pct"/>
          </w:tcPr>
          <w:p w:rsidR="00222D61" w:rsidRPr="00222D61" w:rsidRDefault="00222D61" w:rsidP="00222D61">
            <w:pPr>
              <w:jc w:val="both"/>
              <w:rPr>
                <w:sz w:val="20"/>
                <w:lang w:val="fr-CA"/>
              </w:rPr>
            </w:pPr>
            <w:r w:rsidRPr="00222D61">
              <w:rPr>
                <w:sz w:val="20"/>
                <w:lang w:val="fr-CA"/>
              </w:rPr>
              <w:t>Rejet de l’appel</w:t>
            </w:r>
          </w:p>
          <w:p w:rsidR="00222D61" w:rsidRPr="00222D61" w:rsidRDefault="00222D61" w:rsidP="00222D61">
            <w:pPr>
              <w:jc w:val="both"/>
              <w:rPr>
                <w:sz w:val="20"/>
                <w:lang w:val="fr-CA"/>
              </w:rPr>
            </w:pPr>
          </w:p>
        </w:tc>
      </w:tr>
      <w:tr w:rsidR="00222D61" w:rsidRPr="00817781" w:rsidTr="00E95A6A">
        <w:tc>
          <w:tcPr>
            <w:tcW w:w="2427" w:type="pct"/>
            <w:gridSpan w:val="2"/>
          </w:tcPr>
          <w:p w:rsidR="00222D61" w:rsidRPr="00222D61" w:rsidRDefault="00222D61" w:rsidP="00222D61">
            <w:pPr>
              <w:jc w:val="both"/>
              <w:rPr>
                <w:sz w:val="20"/>
                <w:lang w:val="fr-CA"/>
              </w:rPr>
            </w:pPr>
            <w:r w:rsidRPr="00222D61">
              <w:rPr>
                <w:sz w:val="20"/>
                <w:lang w:val="fr-CA"/>
              </w:rPr>
              <w:t>5 décembre 2016</w:t>
            </w:r>
          </w:p>
          <w:p w:rsidR="00222D61" w:rsidRPr="00222D61" w:rsidRDefault="00222D61" w:rsidP="00222D61">
            <w:pPr>
              <w:jc w:val="both"/>
              <w:rPr>
                <w:sz w:val="20"/>
                <w:lang w:val="fr-CA"/>
              </w:rPr>
            </w:pPr>
            <w:r w:rsidRPr="00222D61">
              <w:rPr>
                <w:sz w:val="20"/>
                <w:lang w:val="fr-CA"/>
              </w:rPr>
              <w:t>Cour suprême du Canada</w:t>
            </w:r>
          </w:p>
        </w:tc>
        <w:tc>
          <w:tcPr>
            <w:tcW w:w="243" w:type="pct"/>
          </w:tcPr>
          <w:p w:rsidR="00222D61" w:rsidRPr="00222D61" w:rsidRDefault="00222D61" w:rsidP="00222D61">
            <w:pPr>
              <w:jc w:val="both"/>
              <w:rPr>
                <w:sz w:val="20"/>
                <w:lang w:val="fr-CA"/>
              </w:rPr>
            </w:pPr>
          </w:p>
        </w:tc>
        <w:tc>
          <w:tcPr>
            <w:tcW w:w="2330" w:type="pct"/>
          </w:tcPr>
          <w:p w:rsidR="00222D61" w:rsidRPr="00222D61" w:rsidRDefault="00222D61" w:rsidP="00222D61">
            <w:pPr>
              <w:jc w:val="both"/>
              <w:rPr>
                <w:sz w:val="20"/>
                <w:lang w:val="fr-CA"/>
              </w:rPr>
            </w:pPr>
            <w:r w:rsidRPr="00222D61">
              <w:rPr>
                <w:sz w:val="20"/>
                <w:lang w:val="fr-CA"/>
              </w:rPr>
              <w:t>Dépôt de la requête en prorogation du délai de signification et de dépôt de la demande d’autorisation d’appel et de la</w:t>
            </w:r>
            <w:r>
              <w:rPr>
                <w:sz w:val="20"/>
                <w:lang w:val="fr-CA"/>
              </w:rPr>
              <w:t xml:space="preserve"> demande d’autorisation d’appel</w:t>
            </w:r>
          </w:p>
        </w:tc>
      </w:tr>
    </w:tbl>
    <w:p w:rsidR="00222D61" w:rsidRPr="00222D61" w:rsidRDefault="00222D61" w:rsidP="00222D61">
      <w:pPr>
        <w:jc w:val="both"/>
        <w:rPr>
          <w:sz w:val="20"/>
          <w:lang w:val="fr-CA"/>
        </w:rPr>
      </w:pPr>
    </w:p>
    <w:p w:rsidR="00222D61" w:rsidRPr="00222D61" w:rsidRDefault="00222D61" w:rsidP="00222D61">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22D61" w:rsidRPr="00222D61" w:rsidTr="00E95A6A">
        <w:tc>
          <w:tcPr>
            <w:tcW w:w="543" w:type="pct"/>
          </w:tcPr>
          <w:p w:rsidR="00222D61" w:rsidRPr="00222D61" w:rsidRDefault="00222D61" w:rsidP="00222D61">
            <w:pPr>
              <w:jc w:val="both"/>
              <w:rPr>
                <w:sz w:val="20"/>
              </w:rPr>
            </w:pPr>
            <w:r w:rsidRPr="00222D61">
              <w:rPr>
                <w:rStyle w:val="SCCFileNumberChar"/>
                <w:sz w:val="20"/>
                <w:szCs w:val="20"/>
              </w:rPr>
              <w:t>37385</w:t>
            </w:r>
          </w:p>
        </w:tc>
        <w:tc>
          <w:tcPr>
            <w:tcW w:w="4457" w:type="pct"/>
            <w:gridSpan w:val="3"/>
          </w:tcPr>
          <w:p w:rsidR="00222D61" w:rsidRPr="00222D61" w:rsidRDefault="00222D61" w:rsidP="00222D61">
            <w:pPr>
              <w:pStyle w:val="SCCLsocParty"/>
              <w:jc w:val="both"/>
              <w:rPr>
                <w:b/>
                <w:sz w:val="20"/>
                <w:szCs w:val="20"/>
                <w:lang w:val="en-US"/>
              </w:rPr>
            </w:pPr>
            <w:r w:rsidRPr="00222D61">
              <w:rPr>
                <w:b/>
                <w:sz w:val="20"/>
                <w:szCs w:val="20"/>
                <w:lang w:val="en-US"/>
              </w:rPr>
              <w:t xml:space="preserve">Sharon </w:t>
            </w:r>
            <w:proofErr w:type="spellStart"/>
            <w:r w:rsidRPr="00222D61">
              <w:rPr>
                <w:b/>
                <w:sz w:val="20"/>
                <w:szCs w:val="20"/>
                <w:lang w:val="en-US"/>
              </w:rPr>
              <w:t>Mallett</w:t>
            </w:r>
            <w:proofErr w:type="spellEnd"/>
            <w:r w:rsidRPr="00222D61">
              <w:rPr>
                <w:b/>
                <w:sz w:val="20"/>
                <w:szCs w:val="20"/>
                <w:lang w:val="en-US"/>
              </w:rPr>
              <w:t xml:space="preserve"> v. Keith </w:t>
            </w:r>
            <w:proofErr w:type="spellStart"/>
            <w:r w:rsidRPr="00222D61">
              <w:rPr>
                <w:b/>
                <w:sz w:val="20"/>
                <w:szCs w:val="20"/>
                <w:lang w:val="en-US"/>
              </w:rPr>
              <w:t>McCaskill</w:t>
            </w:r>
            <w:proofErr w:type="spellEnd"/>
            <w:r w:rsidRPr="00222D61">
              <w:rPr>
                <w:b/>
                <w:sz w:val="20"/>
                <w:szCs w:val="20"/>
                <w:lang w:val="en-US"/>
              </w:rPr>
              <w:t xml:space="preserve">, Carrie Nash, Dallas </w:t>
            </w:r>
            <w:proofErr w:type="spellStart"/>
            <w:r w:rsidRPr="00222D61">
              <w:rPr>
                <w:b/>
                <w:sz w:val="20"/>
                <w:szCs w:val="20"/>
                <w:lang w:val="en-US"/>
              </w:rPr>
              <w:t>Vannus</w:t>
            </w:r>
            <w:proofErr w:type="spellEnd"/>
            <w:r w:rsidRPr="00222D61">
              <w:rPr>
                <w:b/>
                <w:sz w:val="20"/>
                <w:szCs w:val="20"/>
                <w:lang w:val="en-US"/>
              </w:rPr>
              <w:t xml:space="preserve">, Nicholas Bisson, Brigitte </w:t>
            </w:r>
            <w:proofErr w:type="spellStart"/>
            <w:r w:rsidRPr="00222D61">
              <w:rPr>
                <w:b/>
                <w:sz w:val="20"/>
                <w:szCs w:val="20"/>
                <w:lang w:val="en-US"/>
              </w:rPr>
              <w:t>Friedenberger</w:t>
            </w:r>
            <w:proofErr w:type="spellEnd"/>
            <w:r w:rsidRPr="00222D61">
              <w:rPr>
                <w:b/>
                <w:sz w:val="20"/>
                <w:szCs w:val="20"/>
                <w:lang w:val="en-US"/>
              </w:rPr>
              <w:t xml:space="preserve">, Eric </w:t>
            </w:r>
            <w:proofErr w:type="spellStart"/>
            <w:r w:rsidRPr="00222D61">
              <w:rPr>
                <w:b/>
                <w:sz w:val="20"/>
                <w:szCs w:val="20"/>
                <w:lang w:val="en-US"/>
              </w:rPr>
              <w:t>Wytinck</w:t>
            </w:r>
            <w:proofErr w:type="spellEnd"/>
            <w:r w:rsidRPr="00222D61">
              <w:rPr>
                <w:b/>
                <w:sz w:val="20"/>
                <w:szCs w:val="20"/>
                <w:lang w:val="en-US"/>
              </w:rPr>
              <w:t xml:space="preserve">, Constable Van Den </w:t>
            </w:r>
            <w:proofErr w:type="spellStart"/>
            <w:r w:rsidRPr="00222D61">
              <w:rPr>
                <w:b/>
                <w:sz w:val="20"/>
                <w:szCs w:val="20"/>
                <w:lang w:val="en-US"/>
              </w:rPr>
              <w:t>Driessche</w:t>
            </w:r>
            <w:proofErr w:type="spellEnd"/>
            <w:r w:rsidRPr="00222D61">
              <w:rPr>
                <w:b/>
                <w:sz w:val="20"/>
                <w:szCs w:val="20"/>
                <w:lang w:val="en-US"/>
              </w:rPr>
              <w:t xml:space="preserve"> and Gregory </w:t>
            </w:r>
            <w:proofErr w:type="spellStart"/>
            <w:r w:rsidRPr="00222D61">
              <w:rPr>
                <w:b/>
                <w:sz w:val="20"/>
                <w:szCs w:val="20"/>
                <w:lang w:val="en-US"/>
              </w:rPr>
              <w:t>Kaatz</w:t>
            </w:r>
            <w:proofErr w:type="spellEnd"/>
          </w:p>
          <w:p w:rsidR="00222D61" w:rsidRPr="00222D61" w:rsidRDefault="00222D61" w:rsidP="00222D61">
            <w:pPr>
              <w:jc w:val="both"/>
              <w:rPr>
                <w:sz w:val="20"/>
              </w:rPr>
            </w:pPr>
            <w:r w:rsidRPr="00222D61">
              <w:rPr>
                <w:sz w:val="20"/>
              </w:rPr>
              <w:t>(Man.) (Civil) (By Leave)</w:t>
            </w:r>
          </w:p>
        </w:tc>
      </w:tr>
      <w:tr w:rsidR="00222D61" w:rsidRPr="00222D61" w:rsidTr="00E95A6A">
        <w:tc>
          <w:tcPr>
            <w:tcW w:w="5000" w:type="pct"/>
            <w:gridSpan w:val="4"/>
          </w:tcPr>
          <w:p w:rsidR="00222D61" w:rsidRPr="00222D61" w:rsidRDefault="00222D61" w:rsidP="00222D61">
            <w:pPr>
              <w:jc w:val="both"/>
              <w:rPr>
                <w:sz w:val="20"/>
              </w:rPr>
            </w:pPr>
            <w:r w:rsidRPr="00222D61">
              <w:rPr>
                <w:i/>
                <w:sz w:val="20"/>
                <w:lang w:val="en-GB"/>
              </w:rPr>
              <w:t>Charter of Rights</w:t>
            </w:r>
            <w:r w:rsidRPr="00222D61">
              <w:rPr>
                <w:sz w:val="20"/>
                <w:lang w:val="en-GB"/>
              </w:rPr>
              <w:t xml:space="preserve"> — Constitutional law — </w:t>
            </w:r>
            <w:r w:rsidRPr="00222D61">
              <w:rPr>
                <w:sz w:val="20"/>
                <w:lang w:val="en-ZW"/>
              </w:rPr>
              <w:t xml:space="preserve">Search and seizure — Police — Powers — Forced entry — Police officers responding to 911 calls and forcing entry into applicant’s residence — Applicant suing Chief of Police and individual police officers in tort for trespass, assault and battery, and invasion of privacy, and seeking damages for breach of </w:t>
            </w:r>
            <w:r w:rsidRPr="00222D61">
              <w:rPr>
                <w:i/>
                <w:sz w:val="20"/>
                <w:lang w:val="en-ZW"/>
              </w:rPr>
              <w:t>Charter</w:t>
            </w:r>
            <w:r w:rsidRPr="00222D61">
              <w:rPr>
                <w:sz w:val="20"/>
                <w:lang w:val="en-ZW"/>
              </w:rPr>
              <w:t xml:space="preserve"> right to be free from unreasonable search and seizure — Trial judge and Court of Appeal finding officers’ actions lawful and justified in the circumstances — Whether Court of Appeal erred in law in finding warrantless incursions into applicant’s dwelling were reasonable or justified — Whether Court of Appeal erred in law in confirming palpable factual errors of trial judge — </w:t>
            </w:r>
            <w:r w:rsidRPr="00222D61">
              <w:rPr>
                <w:i/>
                <w:sz w:val="20"/>
                <w:lang w:val="en-ZW"/>
              </w:rPr>
              <w:t>Canadian Charter of Rights and Freedoms</w:t>
            </w:r>
            <w:r w:rsidRPr="00222D61">
              <w:rPr>
                <w:sz w:val="20"/>
                <w:lang w:val="en-ZW"/>
              </w:rPr>
              <w:t xml:space="preserve">, ss. 8, 24(1) — </w:t>
            </w:r>
            <w:r w:rsidRPr="00222D61">
              <w:rPr>
                <w:i/>
                <w:sz w:val="20"/>
                <w:lang w:val="en-ZW"/>
              </w:rPr>
              <w:t>The Privacy Act</w:t>
            </w:r>
            <w:r w:rsidRPr="00222D61">
              <w:rPr>
                <w:sz w:val="20"/>
                <w:lang w:val="en-ZW"/>
              </w:rPr>
              <w:t>, C.C.S.M., c. P125, ss. 2, 5</w:t>
            </w:r>
          </w:p>
        </w:tc>
      </w:tr>
      <w:tr w:rsidR="00222D61" w:rsidRPr="00222D61" w:rsidTr="00E95A6A">
        <w:tc>
          <w:tcPr>
            <w:tcW w:w="5000" w:type="pct"/>
            <w:gridSpan w:val="4"/>
          </w:tcPr>
          <w:p w:rsidR="00222D61" w:rsidRPr="00222D61" w:rsidRDefault="00222D61" w:rsidP="00222D61">
            <w:pPr>
              <w:jc w:val="both"/>
              <w:rPr>
                <w:sz w:val="20"/>
              </w:rPr>
            </w:pPr>
          </w:p>
        </w:tc>
      </w:tr>
      <w:tr w:rsidR="00222D61" w:rsidRPr="00222D61" w:rsidTr="00E95A6A">
        <w:tc>
          <w:tcPr>
            <w:tcW w:w="5000" w:type="pct"/>
            <w:gridSpan w:val="4"/>
          </w:tcPr>
          <w:p w:rsidR="00222D61" w:rsidRPr="00222D61" w:rsidRDefault="00222D61" w:rsidP="00222D61">
            <w:pPr>
              <w:jc w:val="both"/>
              <w:rPr>
                <w:sz w:val="20"/>
              </w:rPr>
            </w:pPr>
            <w:r w:rsidRPr="00222D61">
              <w:rPr>
                <w:sz w:val="20"/>
              </w:rPr>
              <w:t xml:space="preserve">On two occasions in July 2008, Winnipeg police forced entry into the home of the applicant, Ms. Sharon </w:t>
            </w:r>
            <w:proofErr w:type="spellStart"/>
            <w:r w:rsidRPr="00222D61">
              <w:rPr>
                <w:sz w:val="20"/>
              </w:rPr>
              <w:t>Mallett</w:t>
            </w:r>
            <w:proofErr w:type="spellEnd"/>
            <w:r w:rsidRPr="00222D61">
              <w:rPr>
                <w:sz w:val="20"/>
              </w:rPr>
              <w:t>. On both occasions, the police presence was precipitated by an anonymous 911 call. Ms. </w:t>
            </w:r>
            <w:proofErr w:type="spellStart"/>
            <w:r w:rsidRPr="00222D61">
              <w:rPr>
                <w:sz w:val="20"/>
              </w:rPr>
              <w:t>Mallett</w:t>
            </w:r>
            <w:proofErr w:type="spellEnd"/>
            <w:r w:rsidRPr="00222D61">
              <w:rPr>
                <w:sz w:val="20"/>
              </w:rPr>
              <w:t xml:space="preserve"> sued the Chief of Police and various police officers in tort for trespass, assault and battery, and breach of privacy, and sought </w:t>
            </w:r>
            <w:r w:rsidRPr="00222D61">
              <w:rPr>
                <w:i/>
                <w:sz w:val="20"/>
              </w:rPr>
              <w:t>Charter</w:t>
            </w:r>
            <w:r w:rsidRPr="00222D61">
              <w:rPr>
                <w:sz w:val="20"/>
              </w:rPr>
              <w:t xml:space="preserve"> damages to remedy an alleged breach of her right to be free from unreasonable search and seizure under s. 8 of the </w:t>
            </w:r>
            <w:r w:rsidRPr="00222D61">
              <w:rPr>
                <w:i/>
                <w:sz w:val="20"/>
              </w:rPr>
              <w:t>Charter</w:t>
            </w:r>
            <w:r w:rsidRPr="00222D61">
              <w:rPr>
                <w:sz w:val="20"/>
              </w:rPr>
              <w:t>.</w:t>
            </w:r>
          </w:p>
          <w:p w:rsidR="00222D61" w:rsidRPr="00222D61" w:rsidRDefault="00222D61" w:rsidP="00222D61">
            <w:pPr>
              <w:jc w:val="both"/>
              <w:rPr>
                <w:sz w:val="20"/>
              </w:rPr>
            </w:pPr>
          </w:p>
          <w:p w:rsidR="00222D61" w:rsidRPr="00222D61" w:rsidRDefault="00222D61" w:rsidP="00222D61">
            <w:pPr>
              <w:jc w:val="both"/>
              <w:rPr>
                <w:sz w:val="20"/>
              </w:rPr>
            </w:pPr>
            <w:r w:rsidRPr="00222D61">
              <w:rPr>
                <w:sz w:val="20"/>
              </w:rPr>
              <w:t>The trial judge dismissed Ms. </w:t>
            </w:r>
            <w:proofErr w:type="spellStart"/>
            <w:r w:rsidRPr="00222D61">
              <w:rPr>
                <w:sz w:val="20"/>
              </w:rPr>
              <w:t>Mallett’s</w:t>
            </w:r>
            <w:proofErr w:type="spellEnd"/>
            <w:r w:rsidRPr="00222D61">
              <w:rPr>
                <w:sz w:val="20"/>
              </w:rPr>
              <w:t xml:space="preserve"> action, making findings of fact and credibility in favour of the police officers. He dismissed the claims for trespass and assault and battery because the police conduct in question was lawful. The claim for breach of privacy was dismissed on the basis that there was in fact no invasion of privacy as defined by provincial legislation, and that statutory defences applied. The trial judge also dismissed the claim for </w:t>
            </w:r>
            <w:r w:rsidRPr="00222D61">
              <w:rPr>
                <w:i/>
                <w:sz w:val="20"/>
              </w:rPr>
              <w:t>Charter</w:t>
            </w:r>
            <w:r w:rsidRPr="00222D61">
              <w:rPr>
                <w:sz w:val="20"/>
              </w:rPr>
              <w:t xml:space="preserve"> damages because her claim was not brought against the state, but rather against individual officers. The Court of Appeal dismissed Ms. </w:t>
            </w:r>
            <w:proofErr w:type="spellStart"/>
            <w:r w:rsidRPr="00222D61">
              <w:rPr>
                <w:sz w:val="20"/>
              </w:rPr>
              <w:t>Mallett’s</w:t>
            </w:r>
            <w:proofErr w:type="spellEnd"/>
            <w:r w:rsidRPr="00222D61">
              <w:rPr>
                <w:sz w:val="20"/>
              </w:rPr>
              <w:t xml:space="preserve"> appeal, concluding that the trial judge correctly interpreted the law and applied the appropriate legal principles to the facts and the evidence, and properly found that the officers’ actions were lawful. There was no error of law, and no palpable and overriding error.</w:t>
            </w:r>
          </w:p>
          <w:p w:rsidR="00222D61" w:rsidRPr="00222D61" w:rsidRDefault="00222D61" w:rsidP="00222D61">
            <w:pPr>
              <w:jc w:val="both"/>
              <w:rPr>
                <w:sz w:val="20"/>
              </w:rPr>
            </w:pPr>
          </w:p>
        </w:tc>
      </w:tr>
      <w:tr w:rsidR="00222D61" w:rsidRPr="00222D61" w:rsidTr="00E95A6A">
        <w:tc>
          <w:tcPr>
            <w:tcW w:w="2427" w:type="pct"/>
            <w:gridSpan w:val="2"/>
          </w:tcPr>
          <w:p w:rsidR="00222D61" w:rsidRPr="00222D61" w:rsidRDefault="00222D61" w:rsidP="00222D61">
            <w:pPr>
              <w:jc w:val="both"/>
              <w:rPr>
                <w:sz w:val="20"/>
              </w:rPr>
            </w:pPr>
            <w:r w:rsidRPr="00222D61">
              <w:rPr>
                <w:sz w:val="20"/>
              </w:rPr>
              <w:t>November 19, 2014</w:t>
            </w:r>
          </w:p>
          <w:p w:rsidR="00222D61" w:rsidRPr="00222D61" w:rsidRDefault="00222D61" w:rsidP="00222D61">
            <w:pPr>
              <w:jc w:val="both"/>
              <w:rPr>
                <w:sz w:val="20"/>
              </w:rPr>
            </w:pPr>
            <w:r w:rsidRPr="00222D61">
              <w:rPr>
                <w:sz w:val="20"/>
              </w:rPr>
              <w:lastRenderedPageBreak/>
              <w:t>Court of Queen’s Bench of Manitoba</w:t>
            </w:r>
          </w:p>
          <w:p w:rsidR="00222D61" w:rsidRPr="00222D61" w:rsidRDefault="00222D61" w:rsidP="00222D61">
            <w:pPr>
              <w:jc w:val="both"/>
              <w:rPr>
                <w:sz w:val="20"/>
              </w:rPr>
            </w:pPr>
            <w:r w:rsidRPr="00222D61">
              <w:rPr>
                <w:sz w:val="20"/>
              </w:rPr>
              <w:t>(Edmond J.)</w:t>
            </w:r>
          </w:p>
          <w:p w:rsidR="00222D61" w:rsidRPr="00222D61" w:rsidRDefault="00817781" w:rsidP="00222D61">
            <w:pPr>
              <w:jc w:val="both"/>
              <w:rPr>
                <w:sz w:val="20"/>
              </w:rPr>
            </w:pPr>
            <w:hyperlink r:id="rId23" w:history="1">
              <w:r w:rsidR="00222D61" w:rsidRPr="00222D61">
                <w:rPr>
                  <w:rStyle w:val="Hyperlink"/>
                  <w:sz w:val="20"/>
                </w:rPr>
                <w:t>2014 MBQB 227</w:t>
              </w:r>
            </w:hyperlink>
            <w:r w:rsidR="00222D61" w:rsidRPr="00222D61">
              <w:rPr>
                <w:sz w:val="20"/>
              </w:rPr>
              <w:t xml:space="preserve"> </w:t>
            </w:r>
          </w:p>
          <w:p w:rsidR="00222D61" w:rsidRPr="00222D61" w:rsidRDefault="00222D61" w:rsidP="00222D61">
            <w:pPr>
              <w:jc w:val="both"/>
              <w:rPr>
                <w:sz w:val="20"/>
              </w:rPr>
            </w:pPr>
          </w:p>
        </w:tc>
        <w:tc>
          <w:tcPr>
            <w:tcW w:w="243" w:type="pct"/>
          </w:tcPr>
          <w:p w:rsidR="00222D61" w:rsidRPr="00222D61" w:rsidRDefault="00222D61" w:rsidP="00222D61">
            <w:pPr>
              <w:jc w:val="both"/>
              <w:rPr>
                <w:sz w:val="20"/>
              </w:rPr>
            </w:pPr>
          </w:p>
        </w:tc>
        <w:tc>
          <w:tcPr>
            <w:tcW w:w="2330" w:type="pct"/>
          </w:tcPr>
          <w:p w:rsidR="00222D61" w:rsidRPr="00222D61" w:rsidRDefault="00222D61" w:rsidP="00222D61">
            <w:pPr>
              <w:jc w:val="both"/>
              <w:rPr>
                <w:sz w:val="20"/>
              </w:rPr>
            </w:pPr>
            <w:r w:rsidRPr="00222D61">
              <w:rPr>
                <w:sz w:val="20"/>
              </w:rPr>
              <w:t xml:space="preserve">Plaintiff’s claim dismissed </w:t>
            </w:r>
          </w:p>
          <w:p w:rsidR="00222D61" w:rsidRPr="00222D61" w:rsidRDefault="00222D61" w:rsidP="00222D61">
            <w:pPr>
              <w:jc w:val="both"/>
              <w:rPr>
                <w:sz w:val="20"/>
              </w:rPr>
            </w:pPr>
          </w:p>
        </w:tc>
      </w:tr>
      <w:tr w:rsidR="00222D61" w:rsidRPr="00222D61" w:rsidTr="00E95A6A">
        <w:tc>
          <w:tcPr>
            <w:tcW w:w="2427" w:type="pct"/>
            <w:gridSpan w:val="2"/>
          </w:tcPr>
          <w:p w:rsidR="00222D61" w:rsidRPr="00222D61" w:rsidRDefault="00222D61" w:rsidP="00222D61">
            <w:pPr>
              <w:jc w:val="both"/>
              <w:rPr>
                <w:sz w:val="20"/>
              </w:rPr>
            </w:pPr>
            <w:r w:rsidRPr="00222D61">
              <w:rPr>
                <w:sz w:val="20"/>
              </w:rPr>
              <w:lastRenderedPageBreak/>
              <w:t>November 28, 2016</w:t>
            </w:r>
          </w:p>
          <w:p w:rsidR="00222D61" w:rsidRPr="00222D61" w:rsidRDefault="00222D61" w:rsidP="00222D61">
            <w:pPr>
              <w:jc w:val="both"/>
              <w:rPr>
                <w:sz w:val="20"/>
              </w:rPr>
            </w:pPr>
            <w:r w:rsidRPr="00222D61">
              <w:rPr>
                <w:sz w:val="20"/>
              </w:rPr>
              <w:t>Court of Appeal of Manitoba</w:t>
            </w:r>
          </w:p>
          <w:p w:rsidR="00222D61" w:rsidRPr="00222D61" w:rsidRDefault="00222D61" w:rsidP="00222D61">
            <w:pPr>
              <w:jc w:val="both"/>
              <w:rPr>
                <w:sz w:val="20"/>
              </w:rPr>
            </w:pPr>
            <w:r w:rsidRPr="00222D61">
              <w:rPr>
                <w:sz w:val="20"/>
              </w:rPr>
              <w:t>(</w:t>
            </w:r>
            <w:proofErr w:type="spellStart"/>
            <w:r w:rsidRPr="00222D61">
              <w:rPr>
                <w:sz w:val="20"/>
              </w:rPr>
              <w:t>MacInnes</w:t>
            </w:r>
            <w:proofErr w:type="spellEnd"/>
            <w:r w:rsidRPr="00222D61">
              <w:rPr>
                <w:sz w:val="20"/>
              </w:rPr>
              <w:t xml:space="preserve">, Burnett and </w:t>
            </w:r>
            <w:proofErr w:type="spellStart"/>
            <w:r w:rsidRPr="00222D61">
              <w:rPr>
                <w:sz w:val="20"/>
              </w:rPr>
              <w:t>leMaistre</w:t>
            </w:r>
            <w:proofErr w:type="spellEnd"/>
            <w:r w:rsidRPr="00222D61">
              <w:rPr>
                <w:sz w:val="20"/>
              </w:rPr>
              <w:t xml:space="preserve"> JJ.A.)</w:t>
            </w:r>
          </w:p>
          <w:p w:rsidR="00222D61" w:rsidRPr="00222D61" w:rsidRDefault="00817781" w:rsidP="00222D61">
            <w:pPr>
              <w:jc w:val="both"/>
              <w:rPr>
                <w:sz w:val="20"/>
              </w:rPr>
            </w:pPr>
            <w:hyperlink r:id="rId24" w:history="1">
              <w:r w:rsidR="00222D61" w:rsidRPr="00222D61">
                <w:rPr>
                  <w:rStyle w:val="Hyperlink"/>
                  <w:sz w:val="20"/>
                </w:rPr>
                <w:t>2016 MBCA 114</w:t>
              </w:r>
            </w:hyperlink>
            <w:r w:rsidR="00222D61" w:rsidRPr="00222D61">
              <w:rPr>
                <w:sz w:val="20"/>
              </w:rPr>
              <w:t xml:space="preserve"> </w:t>
            </w:r>
          </w:p>
          <w:p w:rsidR="00222D61" w:rsidRPr="00222D61" w:rsidRDefault="00222D61" w:rsidP="00222D61">
            <w:pPr>
              <w:jc w:val="both"/>
              <w:rPr>
                <w:sz w:val="20"/>
              </w:rPr>
            </w:pPr>
          </w:p>
        </w:tc>
        <w:tc>
          <w:tcPr>
            <w:tcW w:w="243" w:type="pct"/>
          </w:tcPr>
          <w:p w:rsidR="00222D61" w:rsidRPr="00222D61" w:rsidRDefault="00222D61" w:rsidP="00222D61">
            <w:pPr>
              <w:jc w:val="both"/>
              <w:rPr>
                <w:sz w:val="20"/>
              </w:rPr>
            </w:pPr>
          </w:p>
        </w:tc>
        <w:tc>
          <w:tcPr>
            <w:tcW w:w="2330" w:type="pct"/>
          </w:tcPr>
          <w:p w:rsidR="00222D61" w:rsidRPr="00222D61" w:rsidRDefault="00222D61" w:rsidP="00222D61">
            <w:pPr>
              <w:jc w:val="both"/>
              <w:rPr>
                <w:sz w:val="20"/>
              </w:rPr>
            </w:pPr>
            <w:r w:rsidRPr="00222D61">
              <w:rPr>
                <w:sz w:val="20"/>
              </w:rPr>
              <w:t>Plaintiff’s appeal dismissed</w:t>
            </w:r>
          </w:p>
          <w:p w:rsidR="00222D61" w:rsidRPr="00222D61" w:rsidRDefault="00222D61" w:rsidP="00222D61">
            <w:pPr>
              <w:jc w:val="both"/>
              <w:rPr>
                <w:sz w:val="20"/>
              </w:rPr>
            </w:pPr>
          </w:p>
        </w:tc>
      </w:tr>
      <w:tr w:rsidR="00222D61" w:rsidRPr="00222D61" w:rsidTr="00E95A6A">
        <w:tc>
          <w:tcPr>
            <w:tcW w:w="2427" w:type="pct"/>
            <w:gridSpan w:val="2"/>
          </w:tcPr>
          <w:p w:rsidR="00222D61" w:rsidRPr="00222D61" w:rsidRDefault="00222D61" w:rsidP="00222D61">
            <w:pPr>
              <w:jc w:val="both"/>
              <w:rPr>
                <w:sz w:val="20"/>
              </w:rPr>
            </w:pPr>
            <w:r w:rsidRPr="00222D61">
              <w:rPr>
                <w:sz w:val="20"/>
              </w:rPr>
              <w:t>January 6, 2017</w:t>
            </w:r>
          </w:p>
          <w:p w:rsidR="00222D61" w:rsidRPr="00222D61" w:rsidRDefault="00222D61" w:rsidP="00222D61">
            <w:pPr>
              <w:jc w:val="both"/>
              <w:rPr>
                <w:sz w:val="20"/>
              </w:rPr>
            </w:pPr>
            <w:r w:rsidRPr="00222D61">
              <w:rPr>
                <w:sz w:val="20"/>
              </w:rPr>
              <w:t>Supreme Court of Canada</w:t>
            </w:r>
          </w:p>
        </w:tc>
        <w:tc>
          <w:tcPr>
            <w:tcW w:w="243" w:type="pct"/>
          </w:tcPr>
          <w:p w:rsidR="00222D61" w:rsidRPr="00222D61" w:rsidRDefault="00222D61" w:rsidP="00222D61">
            <w:pPr>
              <w:jc w:val="both"/>
              <w:rPr>
                <w:sz w:val="20"/>
              </w:rPr>
            </w:pPr>
          </w:p>
        </w:tc>
        <w:tc>
          <w:tcPr>
            <w:tcW w:w="2330" w:type="pct"/>
          </w:tcPr>
          <w:p w:rsidR="00222D61" w:rsidRPr="00222D61" w:rsidRDefault="00222D61" w:rsidP="00222D61">
            <w:pPr>
              <w:jc w:val="both"/>
              <w:rPr>
                <w:sz w:val="20"/>
              </w:rPr>
            </w:pPr>
            <w:r w:rsidRPr="00222D61">
              <w:rPr>
                <w:sz w:val="20"/>
              </w:rPr>
              <w:t>Application for leave to appeal filed</w:t>
            </w:r>
          </w:p>
        </w:tc>
      </w:tr>
    </w:tbl>
    <w:p w:rsidR="00222D61" w:rsidRDefault="00222D61" w:rsidP="00222D61">
      <w:pPr>
        <w:jc w:val="both"/>
        <w:rPr>
          <w:sz w:val="20"/>
        </w:rPr>
      </w:pPr>
    </w:p>
    <w:p w:rsidR="00222D61" w:rsidRPr="00222D61" w:rsidRDefault="00222D61" w:rsidP="00222D6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22D61" w:rsidRPr="00222D61" w:rsidTr="00E95A6A">
        <w:tc>
          <w:tcPr>
            <w:tcW w:w="543" w:type="pct"/>
          </w:tcPr>
          <w:p w:rsidR="00222D61" w:rsidRPr="00222D61" w:rsidRDefault="00222D61" w:rsidP="00222D61">
            <w:pPr>
              <w:jc w:val="both"/>
              <w:rPr>
                <w:sz w:val="20"/>
                <w:lang w:val="fr-CA"/>
              </w:rPr>
            </w:pPr>
            <w:r w:rsidRPr="00222D61">
              <w:rPr>
                <w:rStyle w:val="SCCFileNumberChar"/>
                <w:sz w:val="20"/>
                <w:szCs w:val="20"/>
                <w:lang w:val="fr-CA"/>
              </w:rPr>
              <w:t>37385</w:t>
            </w:r>
          </w:p>
        </w:tc>
        <w:tc>
          <w:tcPr>
            <w:tcW w:w="4457" w:type="pct"/>
            <w:gridSpan w:val="3"/>
          </w:tcPr>
          <w:p w:rsidR="00222D61" w:rsidRPr="00222D61" w:rsidRDefault="00222D61" w:rsidP="00222D61">
            <w:pPr>
              <w:pStyle w:val="SCCLsocParty"/>
              <w:jc w:val="both"/>
              <w:rPr>
                <w:b/>
                <w:sz w:val="20"/>
                <w:szCs w:val="20"/>
                <w:lang w:val="en-US"/>
              </w:rPr>
            </w:pPr>
            <w:r w:rsidRPr="00222D61">
              <w:rPr>
                <w:b/>
                <w:sz w:val="20"/>
                <w:szCs w:val="20"/>
                <w:lang w:val="en-US"/>
              </w:rPr>
              <w:t xml:space="preserve">Sharon </w:t>
            </w:r>
            <w:proofErr w:type="spellStart"/>
            <w:r w:rsidRPr="00222D61">
              <w:rPr>
                <w:b/>
                <w:sz w:val="20"/>
                <w:szCs w:val="20"/>
                <w:lang w:val="en-US"/>
              </w:rPr>
              <w:t>Mallett</w:t>
            </w:r>
            <w:proofErr w:type="spellEnd"/>
            <w:r w:rsidRPr="00222D61">
              <w:rPr>
                <w:b/>
                <w:sz w:val="20"/>
                <w:szCs w:val="20"/>
                <w:lang w:val="en-US"/>
              </w:rPr>
              <w:t xml:space="preserve"> c. Keith </w:t>
            </w:r>
            <w:proofErr w:type="spellStart"/>
            <w:r w:rsidRPr="00222D61">
              <w:rPr>
                <w:b/>
                <w:sz w:val="20"/>
                <w:szCs w:val="20"/>
                <w:lang w:val="en-US"/>
              </w:rPr>
              <w:t>McCaskill</w:t>
            </w:r>
            <w:proofErr w:type="spellEnd"/>
            <w:r w:rsidRPr="00222D61">
              <w:rPr>
                <w:b/>
                <w:sz w:val="20"/>
                <w:szCs w:val="20"/>
                <w:lang w:val="en-US"/>
              </w:rPr>
              <w:t xml:space="preserve">, Carrie Nash, Dallas </w:t>
            </w:r>
            <w:proofErr w:type="spellStart"/>
            <w:r w:rsidRPr="00222D61">
              <w:rPr>
                <w:b/>
                <w:sz w:val="20"/>
                <w:szCs w:val="20"/>
                <w:lang w:val="en-US"/>
              </w:rPr>
              <w:t>Vannus</w:t>
            </w:r>
            <w:proofErr w:type="spellEnd"/>
            <w:r w:rsidRPr="00222D61">
              <w:rPr>
                <w:b/>
                <w:sz w:val="20"/>
                <w:szCs w:val="20"/>
                <w:lang w:val="en-US"/>
              </w:rPr>
              <w:t xml:space="preserve">, Nicholas Bisson, Brigitte </w:t>
            </w:r>
            <w:proofErr w:type="spellStart"/>
            <w:r w:rsidRPr="00222D61">
              <w:rPr>
                <w:b/>
                <w:sz w:val="20"/>
                <w:szCs w:val="20"/>
                <w:lang w:val="en-US"/>
              </w:rPr>
              <w:t>Friedenberger</w:t>
            </w:r>
            <w:proofErr w:type="spellEnd"/>
            <w:r w:rsidRPr="00222D61">
              <w:rPr>
                <w:b/>
                <w:sz w:val="20"/>
                <w:szCs w:val="20"/>
                <w:lang w:val="en-US"/>
              </w:rPr>
              <w:t xml:space="preserve">, Eric </w:t>
            </w:r>
            <w:proofErr w:type="spellStart"/>
            <w:r w:rsidRPr="00222D61">
              <w:rPr>
                <w:b/>
                <w:sz w:val="20"/>
                <w:szCs w:val="20"/>
                <w:lang w:val="en-US"/>
              </w:rPr>
              <w:t>Wytinck</w:t>
            </w:r>
            <w:proofErr w:type="spellEnd"/>
            <w:r w:rsidRPr="00222D61">
              <w:rPr>
                <w:b/>
                <w:sz w:val="20"/>
                <w:szCs w:val="20"/>
                <w:lang w:val="en-US"/>
              </w:rPr>
              <w:t xml:space="preserve">, agent Van Den </w:t>
            </w:r>
            <w:proofErr w:type="spellStart"/>
            <w:r w:rsidRPr="00222D61">
              <w:rPr>
                <w:b/>
                <w:sz w:val="20"/>
                <w:szCs w:val="20"/>
                <w:lang w:val="en-US"/>
              </w:rPr>
              <w:t>Driessche</w:t>
            </w:r>
            <w:proofErr w:type="spellEnd"/>
            <w:r w:rsidRPr="00222D61">
              <w:rPr>
                <w:b/>
                <w:sz w:val="20"/>
                <w:szCs w:val="20"/>
                <w:lang w:val="en-US"/>
              </w:rPr>
              <w:t xml:space="preserve"> et Gregory </w:t>
            </w:r>
            <w:proofErr w:type="spellStart"/>
            <w:r w:rsidRPr="00222D61">
              <w:rPr>
                <w:b/>
                <w:sz w:val="20"/>
                <w:szCs w:val="20"/>
                <w:lang w:val="en-US"/>
              </w:rPr>
              <w:t>Kaatz</w:t>
            </w:r>
            <w:proofErr w:type="spellEnd"/>
          </w:p>
          <w:p w:rsidR="00222D61" w:rsidRPr="00222D61" w:rsidRDefault="00222D61" w:rsidP="00222D61">
            <w:pPr>
              <w:jc w:val="both"/>
              <w:rPr>
                <w:sz w:val="20"/>
                <w:lang w:val="fr-CA"/>
              </w:rPr>
            </w:pPr>
            <w:r w:rsidRPr="00222D61">
              <w:rPr>
                <w:sz w:val="20"/>
                <w:lang w:val="fr-CA"/>
              </w:rPr>
              <w:t>(Man.) (Civile) (Sur autorisation)</w:t>
            </w:r>
          </w:p>
        </w:tc>
      </w:tr>
      <w:tr w:rsidR="00222D61" w:rsidRPr="00222D61" w:rsidTr="00E95A6A">
        <w:tc>
          <w:tcPr>
            <w:tcW w:w="5000" w:type="pct"/>
            <w:gridSpan w:val="4"/>
          </w:tcPr>
          <w:p w:rsidR="00222D61" w:rsidRPr="00222D61" w:rsidRDefault="00222D61" w:rsidP="00222D61">
            <w:pPr>
              <w:jc w:val="both"/>
              <w:rPr>
                <w:sz w:val="20"/>
                <w:lang w:val="fr-CA"/>
              </w:rPr>
            </w:pPr>
            <w:r w:rsidRPr="00222D61">
              <w:rPr>
                <w:i/>
                <w:sz w:val="20"/>
                <w:lang w:val="fr-CA"/>
              </w:rPr>
              <w:t xml:space="preserve">Charte des droits </w:t>
            </w:r>
            <w:r w:rsidRPr="00222D61">
              <w:rPr>
                <w:sz w:val="20"/>
                <w:lang w:val="fr-CA"/>
              </w:rPr>
              <w:t xml:space="preserve">— Droit constitutionnel — Fouilles, perquisitions et saisies — Police — Pouvoirs — Entrée par la force — Des policiers ont répondu à des appels au service 911 et sont entrés par la force dans la maison de la demanderesse — La demanderesse poursuit le chef de police et des policiers en responsabilité délictuelle pour intrusion, voies de fait et actes de violence et atteinte à la vie privée et elle sollicite des dommages-intérêts pour atteinte au droit à la protection contre les fouilles, les perquisitions ou les saisies abusives garanti par la </w:t>
            </w:r>
            <w:r w:rsidRPr="00222D61">
              <w:rPr>
                <w:i/>
                <w:sz w:val="20"/>
                <w:lang w:val="fr-CA"/>
              </w:rPr>
              <w:t xml:space="preserve">Charte </w:t>
            </w:r>
            <w:r w:rsidRPr="00222D61">
              <w:rPr>
                <w:sz w:val="20"/>
                <w:lang w:val="fr-CA"/>
              </w:rPr>
              <w:t xml:space="preserve">— Le juge du procès et la Cour d’appel ont conclu que les policiers avaient agi légalement et que leurs actions étaient justifiées dans les circonstances — La Cour d’appel a-t-elle commis une erreur de droit en concluant que les introductions sans mandat dans la maison d’habitation de la demanderesse étaient raisonnables ou justifiées? — La Cour d’appel a-t-elle commis une erreur de droit en confirmant les erreurs de fait manifestes commises par le juge du procès? — </w:t>
            </w:r>
            <w:r w:rsidRPr="00222D61">
              <w:rPr>
                <w:i/>
                <w:sz w:val="20"/>
                <w:lang w:val="fr-CA"/>
              </w:rPr>
              <w:t>Charte canadienne des droits et libertés</w:t>
            </w:r>
            <w:r w:rsidRPr="00222D61">
              <w:rPr>
                <w:sz w:val="20"/>
                <w:lang w:val="fr-CA"/>
              </w:rPr>
              <w:t xml:space="preserve">, art. 8, 24(1) — </w:t>
            </w:r>
            <w:r w:rsidRPr="00222D61">
              <w:rPr>
                <w:i/>
                <w:sz w:val="20"/>
                <w:lang w:val="fr-CA"/>
              </w:rPr>
              <w:t>Loi sur la protection de la vie privée</w:t>
            </w:r>
            <w:r w:rsidRPr="00222D61">
              <w:rPr>
                <w:sz w:val="20"/>
                <w:lang w:val="fr-CA"/>
              </w:rPr>
              <w:t>, C.P.L.M., ch. P125, art. 2, 5</w:t>
            </w:r>
          </w:p>
        </w:tc>
      </w:tr>
      <w:tr w:rsidR="00222D61" w:rsidRPr="00222D61" w:rsidTr="00E95A6A">
        <w:tc>
          <w:tcPr>
            <w:tcW w:w="5000" w:type="pct"/>
            <w:gridSpan w:val="4"/>
          </w:tcPr>
          <w:p w:rsidR="00222D61" w:rsidRPr="00222D61" w:rsidRDefault="00222D61" w:rsidP="00222D61">
            <w:pPr>
              <w:jc w:val="both"/>
              <w:rPr>
                <w:sz w:val="20"/>
                <w:lang w:val="fr-CA"/>
              </w:rPr>
            </w:pPr>
          </w:p>
        </w:tc>
      </w:tr>
      <w:tr w:rsidR="00222D61" w:rsidRPr="00817781" w:rsidTr="00E95A6A">
        <w:tc>
          <w:tcPr>
            <w:tcW w:w="5000" w:type="pct"/>
            <w:gridSpan w:val="4"/>
          </w:tcPr>
          <w:p w:rsidR="00222D61" w:rsidRPr="00222D61" w:rsidRDefault="00222D61" w:rsidP="00222D61">
            <w:pPr>
              <w:jc w:val="both"/>
              <w:rPr>
                <w:sz w:val="20"/>
                <w:lang w:val="fr-CA"/>
              </w:rPr>
            </w:pPr>
            <w:r w:rsidRPr="00222D61">
              <w:rPr>
                <w:sz w:val="20"/>
                <w:lang w:val="fr-CA"/>
              </w:rPr>
              <w:t xml:space="preserve">À deux occasions en juillet 2008, des policiers de Winnipeg sont entrés par la force dans la maison de la demanderesse, Mme Sharon Mallett. Les deux fois, les policiers s’étaient rendus sur les lieux en réponse à un appel anonyme au service 911. Madame Mallett a poursuivi le chef de police et divers policiers en responsabilité délictuelle pour intrusion, voies de fait et actes de violence et atteinte à la vie privée et elle a sollicité des dommages-intérêts en vertu de la </w:t>
            </w:r>
            <w:r w:rsidRPr="00222D61">
              <w:rPr>
                <w:i/>
                <w:sz w:val="20"/>
                <w:lang w:val="fr-CA"/>
              </w:rPr>
              <w:t>Charte</w:t>
            </w:r>
            <w:r w:rsidRPr="00222D61">
              <w:rPr>
                <w:sz w:val="20"/>
                <w:lang w:val="fr-CA"/>
              </w:rPr>
              <w:t xml:space="preserve"> pour atteinte présumée au droit à la protection contre les fouilles, les perquisitions ou les saisies abusives que lui garantit l’art. 8 de la </w:t>
            </w:r>
            <w:r w:rsidRPr="00222D61">
              <w:rPr>
                <w:i/>
                <w:sz w:val="20"/>
                <w:lang w:val="fr-CA"/>
              </w:rPr>
              <w:t>Charte</w:t>
            </w:r>
            <w:r w:rsidRPr="00222D61">
              <w:rPr>
                <w:sz w:val="20"/>
                <w:lang w:val="fr-CA"/>
              </w:rPr>
              <w:t>.</w:t>
            </w:r>
          </w:p>
          <w:p w:rsidR="00222D61" w:rsidRPr="00222D61" w:rsidRDefault="00222D61" w:rsidP="00222D61">
            <w:pPr>
              <w:jc w:val="both"/>
              <w:rPr>
                <w:sz w:val="20"/>
                <w:lang w:val="fr-CA"/>
              </w:rPr>
            </w:pPr>
          </w:p>
          <w:p w:rsidR="00222D61" w:rsidRPr="00222D61" w:rsidRDefault="00222D61" w:rsidP="00222D61">
            <w:pPr>
              <w:jc w:val="both"/>
              <w:rPr>
                <w:sz w:val="20"/>
                <w:lang w:val="fr-CA"/>
              </w:rPr>
            </w:pPr>
            <w:r w:rsidRPr="00222D61">
              <w:rPr>
                <w:sz w:val="20"/>
                <w:lang w:val="fr-CA"/>
              </w:rPr>
              <w:t xml:space="preserve">Le juge du procès a rejeté l’action de Mme Mallett, tirant des conclusions de fait et des conclusions relatives à la crédibilité favorables aux policiers. Il a rejeté les allégations d’intrusion et de voies de fait et d’actes de violence, concluant qu’en l’espèce, les policiers avaient agi légalement. Il a rejeté l’allégation d’atteinte à la vie privée, concluant qu’il n’y avait eu dans les faits aucune atteinte à la vie privée au sens de la loi provinciale et que les moyens de défense prévus par la loi s’appliquaient. Le juge du procès a également rejeté la demande en dommages-intérêts en vertu de la </w:t>
            </w:r>
            <w:r w:rsidRPr="00222D61">
              <w:rPr>
                <w:i/>
                <w:sz w:val="20"/>
                <w:lang w:val="fr-CA"/>
              </w:rPr>
              <w:t>Charte</w:t>
            </w:r>
            <w:r w:rsidRPr="00222D61">
              <w:rPr>
                <w:sz w:val="20"/>
                <w:lang w:val="fr-CA"/>
              </w:rPr>
              <w:t>, puisque la demande n’avait pas été dirigée contre l’État, mais plutôt contre des agents individuels. La Cour d’appel a rejeté l’appel de Mme Mallett, concluant que le juge du procès avait correctement interprété le droit, qu’il avait appliqué les principes juridiques appropriés aux faits et à la preuve, et qu’il avait conclu à bon droit que les policiers avaient agi légalement. Il n’y avait aucune erreur de droit et aucune erreur manifeste et dominante.</w:t>
            </w:r>
          </w:p>
          <w:p w:rsidR="00222D61" w:rsidRPr="00222D61" w:rsidRDefault="00222D61" w:rsidP="00222D61">
            <w:pPr>
              <w:jc w:val="both"/>
              <w:rPr>
                <w:sz w:val="20"/>
                <w:lang w:val="fr-CA"/>
              </w:rPr>
            </w:pPr>
          </w:p>
        </w:tc>
      </w:tr>
      <w:tr w:rsidR="00222D61" w:rsidRPr="00817781" w:rsidTr="00E95A6A">
        <w:tc>
          <w:tcPr>
            <w:tcW w:w="2427" w:type="pct"/>
            <w:gridSpan w:val="2"/>
          </w:tcPr>
          <w:p w:rsidR="00222D61" w:rsidRPr="00222D61" w:rsidRDefault="00222D61" w:rsidP="00222D61">
            <w:pPr>
              <w:jc w:val="both"/>
              <w:rPr>
                <w:sz w:val="20"/>
                <w:lang w:val="fr-CA"/>
              </w:rPr>
            </w:pPr>
            <w:r w:rsidRPr="00222D61">
              <w:rPr>
                <w:sz w:val="20"/>
                <w:lang w:val="fr-CA"/>
              </w:rPr>
              <w:t>19 novembre 2014</w:t>
            </w:r>
          </w:p>
          <w:p w:rsidR="00222D61" w:rsidRPr="00222D61" w:rsidRDefault="00222D61" w:rsidP="00222D61">
            <w:pPr>
              <w:jc w:val="both"/>
              <w:rPr>
                <w:sz w:val="20"/>
                <w:lang w:val="fr-CA"/>
              </w:rPr>
            </w:pPr>
            <w:r w:rsidRPr="00222D61">
              <w:rPr>
                <w:sz w:val="20"/>
                <w:lang w:val="fr-CA"/>
              </w:rPr>
              <w:t>Cour du Banc de la Reine du Manitoba</w:t>
            </w:r>
          </w:p>
          <w:p w:rsidR="00222D61" w:rsidRPr="00222D61" w:rsidRDefault="00222D61" w:rsidP="00222D61">
            <w:pPr>
              <w:jc w:val="both"/>
              <w:rPr>
                <w:sz w:val="20"/>
                <w:lang w:val="fr-CA"/>
              </w:rPr>
            </w:pPr>
            <w:r w:rsidRPr="00222D61">
              <w:rPr>
                <w:sz w:val="20"/>
                <w:lang w:val="fr-CA"/>
              </w:rPr>
              <w:t>(Juge Edmond)</w:t>
            </w:r>
          </w:p>
          <w:p w:rsidR="00222D61" w:rsidRPr="00222D61" w:rsidRDefault="00817781" w:rsidP="00222D61">
            <w:pPr>
              <w:jc w:val="both"/>
              <w:rPr>
                <w:sz w:val="20"/>
                <w:lang w:val="fr-CA"/>
              </w:rPr>
            </w:pPr>
            <w:hyperlink r:id="rId25" w:history="1">
              <w:r w:rsidR="00222D61" w:rsidRPr="00222D61">
                <w:rPr>
                  <w:rStyle w:val="Hyperlink"/>
                  <w:sz w:val="20"/>
                  <w:lang w:val="fr-CA"/>
                </w:rPr>
                <w:t>2014 MBQB 227</w:t>
              </w:r>
            </w:hyperlink>
            <w:r w:rsidR="00222D61" w:rsidRPr="00222D61">
              <w:rPr>
                <w:sz w:val="20"/>
                <w:lang w:val="fr-CA"/>
              </w:rPr>
              <w:t xml:space="preserve"> </w:t>
            </w:r>
          </w:p>
          <w:p w:rsidR="00222D61" w:rsidRPr="00222D61" w:rsidRDefault="00222D61" w:rsidP="00222D61">
            <w:pPr>
              <w:jc w:val="both"/>
              <w:rPr>
                <w:sz w:val="20"/>
                <w:lang w:val="fr-CA"/>
              </w:rPr>
            </w:pPr>
          </w:p>
        </w:tc>
        <w:tc>
          <w:tcPr>
            <w:tcW w:w="243" w:type="pct"/>
          </w:tcPr>
          <w:p w:rsidR="00222D61" w:rsidRPr="00222D61" w:rsidRDefault="00222D61" w:rsidP="00222D61">
            <w:pPr>
              <w:jc w:val="both"/>
              <w:rPr>
                <w:sz w:val="20"/>
                <w:lang w:val="fr-CA"/>
              </w:rPr>
            </w:pPr>
          </w:p>
        </w:tc>
        <w:tc>
          <w:tcPr>
            <w:tcW w:w="2330" w:type="pct"/>
          </w:tcPr>
          <w:p w:rsidR="00222D61" w:rsidRPr="00222D61" w:rsidRDefault="00222D61" w:rsidP="00222D61">
            <w:pPr>
              <w:jc w:val="both"/>
              <w:rPr>
                <w:sz w:val="20"/>
                <w:lang w:val="fr-CA"/>
              </w:rPr>
            </w:pPr>
            <w:r w:rsidRPr="00222D61">
              <w:rPr>
                <w:sz w:val="20"/>
                <w:lang w:val="fr-CA"/>
              </w:rPr>
              <w:t>Rejet de la demande de la demanderesse</w:t>
            </w:r>
          </w:p>
          <w:p w:rsidR="00222D61" w:rsidRPr="00222D61" w:rsidRDefault="00222D61" w:rsidP="00222D61">
            <w:pPr>
              <w:jc w:val="both"/>
              <w:rPr>
                <w:sz w:val="20"/>
                <w:lang w:val="fr-CA"/>
              </w:rPr>
            </w:pPr>
          </w:p>
        </w:tc>
      </w:tr>
      <w:tr w:rsidR="00222D61" w:rsidRPr="00817781" w:rsidTr="00E95A6A">
        <w:tc>
          <w:tcPr>
            <w:tcW w:w="2427" w:type="pct"/>
            <w:gridSpan w:val="2"/>
          </w:tcPr>
          <w:p w:rsidR="00222D61" w:rsidRPr="00222D61" w:rsidRDefault="00222D61" w:rsidP="00222D61">
            <w:pPr>
              <w:jc w:val="both"/>
              <w:rPr>
                <w:sz w:val="20"/>
                <w:lang w:val="fr-CA"/>
              </w:rPr>
            </w:pPr>
            <w:r w:rsidRPr="00222D61">
              <w:rPr>
                <w:sz w:val="20"/>
                <w:lang w:val="fr-CA"/>
              </w:rPr>
              <w:t>28 novembre 2016</w:t>
            </w:r>
          </w:p>
          <w:p w:rsidR="00222D61" w:rsidRPr="00222D61" w:rsidRDefault="00222D61" w:rsidP="00222D61">
            <w:pPr>
              <w:jc w:val="both"/>
              <w:rPr>
                <w:sz w:val="20"/>
                <w:lang w:val="fr-CA"/>
              </w:rPr>
            </w:pPr>
            <w:r w:rsidRPr="00222D61">
              <w:rPr>
                <w:sz w:val="20"/>
                <w:lang w:val="fr-CA"/>
              </w:rPr>
              <w:lastRenderedPageBreak/>
              <w:t xml:space="preserve">Cour d’appel du Manitoba </w:t>
            </w:r>
          </w:p>
          <w:p w:rsidR="00222D61" w:rsidRPr="00222D61" w:rsidRDefault="00222D61" w:rsidP="00222D61">
            <w:pPr>
              <w:jc w:val="both"/>
              <w:rPr>
                <w:sz w:val="20"/>
                <w:lang w:val="fr-CA"/>
              </w:rPr>
            </w:pPr>
            <w:r w:rsidRPr="00222D61">
              <w:rPr>
                <w:sz w:val="20"/>
                <w:lang w:val="fr-CA"/>
              </w:rPr>
              <w:t>(Juges MacInnes, Burnett et leMaistre)</w:t>
            </w:r>
          </w:p>
          <w:p w:rsidR="00222D61" w:rsidRPr="00222D61" w:rsidRDefault="00817781" w:rsidP="00222D61">
            <w:pPr>
              <w:jc w:val="both"/>
              <w:rPr>
                <w:sz w:val="20"/>
                <w:lang w:val="fr-CA"/>
              </w:rPr>
            </w:pPr>
            <w:hyperlink r:id="rId26" w:history="1">
              <w:r w:rsidR="00222D61" w:rsidRPr="00222D61">
                <w:rPr>
                  <w:rStyle w:val="Hyperlink"/>
                  <w:sz w:val="20"/>
                  <w:lang w:val="fr-CA"/>
                </w:rPr>
                <w:t>2016 MBCA 114</w:t>
              </w:r>
            </w:hyperlink>
            <w:r w:rsidR="00222D61" w:rsidRPr="00222D61">
              <w:rPr>
                <w:sz w:val="20"/>
                <w:lang w:val="fr-CA"/>
              </w:rPr>
              <w:t xml:space="preserve"> </w:t>
            </w:r>
          </w:p>
          <w:p w:rsidR="00222D61" w:rsidRPr="00222D61" w:rsidRDefault="00222D61" w:rsidP="00222D61">
            <w:pPr>
              <w:jc w:val="both"/>
              <w:rPr>
                <w:sz w:val="20"/>
                <w:lang w:val="fr-CA"/>
              </w:rPr>
            </w:pPr>
          </w:p>
        </w:tc>
        <w:tc>
          <w:tcPr>
            <w:tcW w:w="243" w:type="pct"/>
          </w:tcPr>
          <w:p w:rsidR="00222D61" w:rsidRPr="00222D61" w:rsidRDefault="00222D61" w:rsidP="00222D61">
            <w:pPr>
              <w:jc w:val="both"/>
              <w:rPr>
                <w:sz w:val="20"/>
                <w:lang w:val="fr-CA"/>
              </w:rPr>
            </w:pPr>
          </w:p>
        </w:tc>
        <w:tc>
          <w:tcPr>
            <w:tcW w:w="2330" w:type="pct"/>
          </w:tcPr>
          <w:p w:rsidR="00222D61" w:rsidRPr="00222D61" w:rsidRDefault="00222D61" w:rsidP="00222D61">
            <w:pPr>
              <w:jc w:val="both"/>
              <w:rPr>
                <w:sz w:val="20"/>
                <w:lang w:val="fr-CA"/>
              </w:rPr>
            </w:pPr>
            <w:r w:rsidRPr="00222D61">
              <w:rPr>
                <w:sz w:val="20"/>
                <w:lang w:val="fr-CA"/>
              </w:rPr>
              <w:t>Rejet de l’appel de la demanderesse</w:t>
            </w:r>
          </w:p>
          <w:p w:rsidR="00222D61" w:rsidRPr="00222D61" w:rsidRDefault="00222D61" w:rsidP="00222D61">
            <w:pPr>
              <w:jc w:val="both"/>
              <w:rPr>
                <w:sz w:val="20"/>
                <w:lang w:val="fr-CA"/>
              </w:rPr>
            </w:pPr>
          </w:p>
        </w:tc>
      </w:tr>
      <w:tr w:rsidR="00222D61" w:rsidRPr="00817781" w:rsidTr="00E95A6A">
        <w:tc>
          <w:tcPr>
            <w:tcW w:w="2427" w:type="pct"/>
            <w:gridSpan w:val="2"/>
          </w:tcPr>
          <w:p w:rsidR="00222D61" w:rsidRPr="00222D61" w:rsidRDefault="00222D61" w:rsidP="00222D61">
            <w:pPr>
              <w:jc w:val="both"/>
              <w:rPr>
                <w:sz w:val="20"/>
                <w:lang w:val="fr-CA"/>
              </w:rPr>
            </w:pPr>
            <w:r w:rsidRPr="00222D61">
              <w:rPr>
                <w:sz w:val="20"/>
                <w:lang w:val="fr-CA"/>
              </w:rPr>
              <w:lastRenderedPageBreak/>
              <w:t>6 janvier 2017</w:t>
            </w:r>
          </w:p>
          <w:p w:rsidR="00222D61" w:rsidRPr="00222D61" w:rsidRDefault="00222D61" w:rsidP="00222D61">
            <w:pPr>
              <w:jc w:val="both"/>
              <w:rPr>
                <w:sz w:val="20"/>
                <w:lang w:val="fr-CA"/>
              </w:rPr>
            </w:pPr>
            <w:r w:rsidRPr="00222D61">
              <w:rPr>
                <w:sz w:val="20"/>
                <w:lang w:val="fr-CA"/>
              </w:rPr>
              <w:t>Cour suprême du Canada</w:t>
            </w:r>
          </w:p>
        </w:tc>
        <w:tc>
          <w:tcPr>
            <w:tcW w:w="243" w:type="pct"/>
          </w:tcPr>
          <w:p w:rsidR="00222D61" w:rsidRPr="00222D61" w:rsidRDefault="00222D61" w:rsidP="00222D61">
            <w:pPr>
              <w:jc w:val="both"/>
              <w:rPr>
                <w:sz w:val="20"/>
                <w:lang w:val="fr-CA"/>
              </w:rPr>
            </w:pPr>
          </w:p>
        </w:tc>
        <w:tc>
          <w:tcPr>
            <w:tcW w:w="2330" w:type="pct"/>
          </w:tcPr>
          <w:p w:rsidR="00222D61" w:rsidRPr="00222D61" w:rsidRDefault="00222D61" w:rsidP="00222D61">
            <w:pPr>
              <w:jc w:val="both"/>
              <w:rPr>
                <w:sz w:val="20"/>
                <w:lang w:val="fr-CA"/>
              </w:rPr>
            </w:pPr>
            <w:r w:rsidRPr="00222D61">
              <w:rPr>
                <w:sz w:val="20"/>
                <w:lang w:val="fr-CA"/>
              </w:rPr>
              <w:t>Dépôt de la demande d’autorisation d’appel</w:t>
            </w:r>
          </w:p>
        </w:tc>
      </w:tr>
    </w:tbl>
    <w:p w:rsidR="00222D61" w:rsidRPr="00222D61" w:rsidRDefault="00222D61" w:rsidP="00222D61">
      <w:pPr>
        <w:jc w:val="both"/>
        <w:rPr>
          <w:sz w:val="20"/>
          <w:lang w:val="fr-CA"/>
        </w:rPr>
      </w:pPr>
    </w:p>
    <w:p w:rsidR="00222D61" w:rsidRPr="00222D61" w:rsidRDefault="00222D61" w:rsidP="00222D61">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24"/>
        <w:gridCol w:w="501"/>
        <w:gridCol w:w="4338"/>
      </w:tblGrid>
      <w:tr w:rsidR="00222D61" w:rsidRPr="00222D61" w:rsidTr="00CE6389">
        <w:tc>
          <w:tcPr>
            <w:tcW w:w="543" w:type="pct"/>
          </w:tcPr>
          <w:p w:rsidR="00222D61" w:rsidRPr="00222D61" w:rsidRDefault="00222D61" w:rsidP="00222D61">
            <w:pPr>
              <w:jc w:val="both"/>
              <w:rPr>
                <w:sz w:val="20"/>
              </w:rPr>
            </w:pPr>
            <w:r w:rsidRPr="00222D61">
              <w:rPr>
                <w:rStyle w:val="SCCFileNumberChar"/>
                <w:sz w:val="20"/>
                <w:szCs w:val="20"/>
              </w:rPr>
              <w:t>37364</w:t>
            </w:r>
          </w:p>
        </w:tc>
        <w:tc>
          <w:tcPr>
            <w:tcW w:w="4457" w:type="pct"/>
            <w:gridSpan w:val="3"/>
          </w:tcPr>
          <w:p w:rsidR="00222D61" w:rsidRPr="00222D61" w:rsidRDefault="00222D61" w:rsidP="00222D61">
            <w:pPr>
              <w:pStyle w:val="SCCLsocParty"/>
              <w:jc w:val="both"/>
              <w:rPr>
                <w:b/>
                <w:sz w:val="20"/>
                <w:szCs w:val="20"/>
                <w:lang w:val="en-US"/>
              </w:rPr>
            </w:pPr>
            <w:r w:rsidRPr="00222D61">
              <w:rPr>
                <w:b/>
                <w:sz w:val="20"/>
                <w:szCs w:val="20"/>
                <w:lang w:val="en-US"/>
              </w:rPr>
              <w:t xml:space="preserve">Dino </w:t>
            </w:r>
            <w:proofErr w:type="spellStart"/>
            <w:r w:rsidRPr="00222D61">
              <w:rPr>
                <w:b/>
                <w:sz w:val="20"/>
                <w:szCs w:val="20"/>
                <w:lang w:val="en-US"/>
              </w:rPr>
              <w:t>Orsini</w:t>
            </w:r>
            <w:proofErr w:type="spellEnd"/>
            <w:r w:rsidRPr="00222D61">
              <w:rPr>
                <w:b/>
                <w:sz w:val="20"/>
                <w:szCs w:val="20"/>
                <w:lang w:val="en-US"/>
              </w:rPr>
              <w:t xml:space="preserve"> v. Canada Revenue Agency</w:t>
            </w:r>
          </w:p>
          <w:p w:rsidR="00222D61" w:rsidRPr="00222D61" w:rsidRDefault="00222D61" w:rsidP="00222D61">
            <w:pPr>
              <w:jc w:val="both"/>
              <w:rPr>
                <w:sz w:val="20"/>
              </w:rPr>
            </w:pPr>
            <w:r w:rsidRPr="00222D61">
              <w:rPr>
                <w:sz w:val="20"/>
              </w:rPr>
              <w:t>(Que.) (Civil) (By Leave)</w:t>
            </w:r>
          </w:p>
        </w:tc>
      </w:tr>
      <w:tr w:rsidR="00222D61" w:rsidRPr="00222D61" w:rsidTr="00CE6389">
        <w:tc>
          <w:tcPr>
            <w:tcW w:w="5000" w:type="pct"/>
            <w:gridSpan w:val="4"/>
          </w:tcPr>
          <w:p w:rsidR="00222D61" w:rsidRPr="00222D61" w:rsidRDefault="00222D61" w:rsidP="00222D61">
            <w:pPr>
              <w:jc w:val="both"/>
              <w:rPr>
                <w:sz w:val="20"/>
              </w:rPr>
            </w:pPr>
            <w:r w:rsidRPr="00222D61">
              <w:rPr>
                <w:i/>
                <w:sz w:val="20"/>
              </w:rPr>
              <w:t>Charter of Rights</w:t>
            </w:r>
            <w:r w:rsidRPr="00222D61">
              <w:rPr>
                <w:sz w:val="20"/>
              </w:rPr>
              <w:t xml:space="preserve"> — Fundamental justice –– Claim in moral and punitive damages following the action of the respondent –– Summary judgment –– Motion to strike –– Whether the violation of the applicant’s </w:t>
            </w:r>
            <w:r w:rsidRPr="00222D61">
              <w:rPr>
                <w:i/>
                <w:sz w:val="20"/>
              </w:rPr>
              <w:t>Charter’s</w:t>
            </w:r>
            <w:r w:rsidRPr="00222D61">
              <w:rPr>
                <w:sz w:val="20"/>
              </w:rPr>
              <w:t xml:space="preserve"> rights were ignored? –– Whether the lower courts erred in finding the action </w:t>
            </w:r>
            <w:r w:rsidRPr="00222D61">
              <w:rPr>
                <w:i/>
                <w:sz w:val="20"/>
              </w:rPr>
              <w:t xml:space="preserve">res judicata </w:t>
            </w:r>
            <w:r w:rsidRPr="00222D61">
              <w:rPr>
                <w:sz w:val="20"/>
              </w:rPr>
              <w:t xml:space="preserve">and time-barred? </w:t>
            </w:r>
          </w:p>
          <w:p w:rsidR="00222D61" w:rsidRPr="00222D61" w:rsidRDefault="00222D61" w:rsidP="00222D61">
            <w:pPr>
              <w:jc w:val="both"/>
              <w:rPr>
                <w:sz w:val="20"/>
              </w:rPr>
            </w:pPr>
          </w:p>
        </w:tc>
      </w:tr>
      <w:tr w:rsidR="00222D61" w:rsidRPr="00222D61" w:rsidTr="00CE6389">
        <w:tc>
          <w:tcPr>
            <w:tcW w:w="5000" w:type="pct"/>
            <w:gridSpan w:val="4"/>
          </w:tcPr>
          <w:p w:rsidR="00222D61" w:rsidRPr="00222D61" w:rsidRDefault="00222D61" w:rsidP="00222D61">
            <w:pPr>
              <w:jc w:val="both"/>
              <w:rPr>
                <w:sz w:val="20"/>
              </w:rPr>
            </w:pPr>
            <w:r w:rsidRPr="00222D61">
              <w:rPr>
                <w:sz w:val="20"/>
              </w:rPr>
              <w:t xml:space="preserve">The applicant was the owner of a family business. In 1998, a search warrant was issued and executed on the business premises. The business was missing one of the permits required to operate. The applicant is claiming moral and punitive damages against the Canada Revenue Agency. </w:t>
            </w:r>
          </w:p>
        </w:tc>
      </w:tr>
      <w:tr w:rsidR="00222D61" w:rsidRPr="00222D61" w:rsidTr="00CE6389">
        <w:tc>
          <w:tcPr>
            <w:tcW w:w="5000" w:type="pct"/>
            <w:gridSpan w:val="4"/>
          </w:tcPr>
          <w:p w:rsidR="00222D61" w:rsidRPr="00222D61" w:rsidRDefault="00222D61" w:rsidP="00222D61">
            <w:pPr>
              <w:jc w:val="both"/>
              <w:rPr>
                <w:sz w:val="20"/>
              </w:rPr>
            </w:pPr>
          </w:p>
        </w:tc>
      </w:tr>
      <w:tr w:rsidR="00222D61" w:rsidRPr="00222D61" w:rsidTr="00CE6389">
        <w:tblPrEx>
          <w:tblCellMar>
            <w:bottom w:w="0" w:type="dxa"/>
          </w:tblCellMar>
        </w:tblPrEx>
        <w:tc>
          <w:tcPr>
            <w:tcW w:w="2390" w:type="pct"/>
            <w:gridSpan w:val="2"/>
          </w:tcPr>
          <w:p w:rsidR="00222D61" w:rsidRPr="00222D61" w:rsidRDefault="00222D61" w:rsidP="00222D61">
            <w:pPr>
              <w:jc w:val="both"/>
              <w:rPr>
                <w:sz w:val="20"/>
              </w:rPr>
            </w:pPr>
            <w:r w:rsidRPr="00222D61">
              <w:rPr>
                <w:sz w:val="20"/>
              </w:rPr>
              <w:t>April 26, 2016</w:t>
            </w:r>
          </w:p>
          <w:p w:rsidR="00222D61" w:rsidRPr="00222D61" w:rsidRDefault="00222D61" w:rsidP="00222D61">
            <w:pPr>
              <w:jc w:val="both"/>
              <w:rPr>
                <w:sz w:val="20"/>
              </w:rPr>
            </w:pPr>
            <w:r w:rsidRPr="00222D61">
              <w:rPr>
                <w:sz w:val="20"/>
              </w:rPr>
              <w:t>Superior Court of Quebec</w:t>
            </w:r>
          </w:p>
          <w:p w:rsidR="00222D61" w:rsidRPr="00222D61" w:rsidRDefault="00222D61" w:rsidP="00222D61">
            <w:pPr>
              <w:jc w:val="both"/>
              <w:rPr>
                <w:sz w:val="20"/>
              </w:rPr>
            </w:pPr>
            <w:r w:rsidRPr="00222D61">
              <w:rPr>
                <w:sz w:val="20"/>
              </w:rPr>
              <w:t>(</w:t>
            </w:r>
            <w:proofErr w:type="spellStart"/>
            <w:r w:rsidRPr="00222D61">
              <w:rPr>
                <w:sz w:val="20"/>
              </w:rPr>
              <w:t>Déziel</w:t>
            </w:r>
            <w:proofErr w:type="spellEnd"/>
            <w:r w:rsidRPr="00222D61">
              <w:rPr>
                <w:sz w:val="20"/>
              </w:rPr>
              <w:t xml:space="preserve"> J.)</w:t>
            </w:r>
          </w:p>
          <w:p w:rsidR="00222D61" w:rsidRPr="00222D61" w:rsidRDefault="00817781" w:rsidP="00222D61">
            <w:pPr>
              <w:jc w:val="both"/>
              <w:rPr>
                <w:sz w:val="20"/>
              </w:rPr>
            </w:pPr>
            <w:hyperlink r:id="rId27" w:history="1">
              <w:r w:rsidR="00222D61" w:rsidRPr="00222D61">
                <w:rPr>
                  <w:rStyle w:val="Hyperlink"/>
                  <w:sz w:val="20"/>
                </w:rPr>
                <w:t>2016 QCCS 2035</w:t>
              </w:r>
            </w:hyperlink>
          </w:p>
          <w:p w:rsidR="00222D61" w:rsidRPr="00222D61" w:rsidRDefault="00222D61" w:rsidP="00222D61">
            <w:pPr>
              <w:jc w:val="both"/>
              <w:rPr>
                <w:sz w:val="20"/>
              </w:rPr>
            </w:pPr>
          </w:p>
        </w:tc>
        <w:tc>
          <w:tcPr>
            <w:tcW w:w="270" w:type="pct"/>
          </w:tcPr>
          <w:p w:rsidR="00222D61" w:rsidRPr="00222D61" w:rsidRDefault="00222D61" w:rsidP="00222D61">
            <w:pPr>
              <w:jc w:val="both"/>
              <w:rPr>
                <w:sz w:val="20"/>
              </w:rPr>
            </w:pPr>
          </w:p>
        </w:tc>
        <w:tc>
          <w:tcPr>
            <w:tcW w:w="2340" w:type="pct"/>
          </w:tcPr>
          <w:p w:rsidR="00222D61" w:rsidRPr="00222D61" w:rsidRDefault="00222D61" w:rsidP="00222D61">
            <w:pPr>
              <w:ind w:right="90"/>
              <w:jc w:val="both"/>
              <w:rPr>
                <w:sz w:val="20"/>
              </w:rPr>
            </w:pPr>
            <w:r w:rsidRPr="00222D61">
              <w:rPr>
                <w:sz w:val="20"/>
              </w:rPr>
              <w:t xml:space="preserve">Respondent’s motion to strike granted </w:t>
            </w:r>
          </w:p>
          <w:p w:rsidR="00222D61" w:rsidRPr="00222D61" w:rsidRDefault="00222D61" w:rsidP="00222D61">
            <w:pPr>
              <w:ind w:right="90"/>
              <w:jc w:val="both"/>
              <w:rPr>
                <w:sz w:val="20"/>
              </w:rPr>
            </w:pPr>
          </w:p>
        </w:tc>
      </w:tr>
      <w:tr w:rsidR="00222D61" w:rsidRPr="00222D61" w:rsidTr="00CE6389">
        <w:tblPrEx>
          <w:tblCellMar>
            <w:bottom w:w="0" w:type="dxa"/>
          </w:tblCellMar>
        </w:tblPrEx>
        <w:tc>
          <w:tcPr>
            <w:tcW w:w="2390" w:type="pct"/>
            <w:gridSpan w:val="2"/>
          </w:tcPr>
          <w:p w:rsidR="00222D61" w:rsidRPr="00222D61" w:rsidRDefault="00222D61" w:rsidP="00222D61">
            <w:pPr>
              <w:jc w:val="both"/>
              <w:rPr>
                <w:sz w:val="20"/>
              </w:rPr>
            </w:pPr>
            <w:r w:rsidRPr="00222D61">
              <w:rPr>
                <w:sz w:val="20"/>
              </w:rPr>
              <w:t>September 26, 2016</w:t>
            </w:r>
          </w:p>
          <w:p w:rsidR="00222D61" w:rsidRPr="00222D61" w:rsidRDefault="00222D61" w:rsidP="00222D61">
            <w:pPr>
              <w:jc w:val="both"/>
              <w:rPr>
                <w:sz w:val="20"/>
              </w:rPr>
            </w:pPr>
            <w:r w:rsidRPr="00222D61">
              <w:rPr>
                <w:sz w:val="20"/>
              </w:rPr>
              <w:t>Court of Appeal of Quebec (Montréal)</w:t>
            </w:r>
          </w:p>
          <w:p w:rsidR="00222D61" w:rsidRPr="00222D61" w:rsidRDefault="00222D61" w:rsidP="00222D61">
            <w:pPr>
              <w:jc w:val="both"/>
              <w:rPr>
                <w:sz w:val="20"/>
              </w:rPr>
            </w:pPr>
            <w:r w:rsidRPr="00222D61">
              <w:rPr>
                <w:sz w:val="20"/>
              </w:rPr>
              <w:t>(</w:t>
            </w:r>
            <w:proofErr w:type="spellStart"/>
            <w:r w:rsidRPr="00222D61">
              <w:rPr>
                <w:sz w:val="20"/>
              </w:rPr>
              <w:t>Dutil</w:t>
            </w:r>
            <w:proofErr w:type="spellEnd"/>
            <w:r w:rsidRPr="00222D61">
              <w:rPr>
                <w:sz w:val="20"/>
              </w:rPr>
              <w:t>, Schrager and Parent JJ.A.)</w:t>
            </w:r>
          </w:p>
          <w:p w:rsidR="00222D61" w:rsidRPr="00222D61" w:rsidRDefault="00817781" w:rsidP="00222D61">
            <w:pPr>
              <w:jc w:val="both"/>
              <w:rPr>
                <w:sz w:val="20"/>
              </w:rPr>
            </w:pPr>
            <w:hyperlink r:id="rId28" w:history="1">
              <w:r w:rsidR="00222D61" w:rsidRPr="00222D61">
                <w:rPr>
                  <w:rStyle w:val="Hyperlink"/>
                  <w:sz w:val="20"/>
                </w:rPr>
                <w:t>2016 QCCA 1579</w:t>
              </w:r>
            </w:hyperlink>
          </w:p>
          <w:p w:rsidR="00222D61" w:rsidRPr="00222D61" w:rsidRDefault="00222D61" w:rsidP="00222D61">
            <w:pPr>
              <w:jc w:val="both"/>
              <w:rPr>
                <w:sz w:val="20"/>
              </w:rPr>
            </w:pPr>
          </w:p>
        </w:tc>
        <w:tc>
          <w:tcPr>
            <w:tcW w:w="270" w:type="pct"/>
          </w:tcPr>
          <w:p w:rsidR="00222D61" w:rsidRPr="00222D61" w:rsidRDefault="00222D61" w:rsidP="00222D61">
            <w:pPr>
              <w:jc w:val="both"/>
              <w:rPr>
                <w:sz w:val="20"/>
              </w:rPr>
            </w:pPr>
          </w:p>
        </w:tc>
        <w:tc>
          <w:tcPr>
            <w:tcW w:w="2340" w:type="pct"/>
          </w:tcPr>
          <w:p w:rsidR="00222D61" w:rsidRPr="00222D61" w:rsidRDefault="00222D61" w:rsidP="00222D61">
            <w:pPr>
              <w:jc w:val="both"/>
              <w:rPr>
                <w:sz w:val="20"/>
              </w:rPr>
            </w:pPr>
            <w:r w:rsidRPr="00222D61">
              <w:rPr>
                <w:sz w:val="20"/>
              </w:rPr>
              <w:t>Respondent’s application to dismiss the appeal granted</w:t>
            </w:r>
          </w:p>
          <w:p w:rsidR="00222D61" w:rsidRPr="00222D61" w:rsidRDefault="00222D61" w:rsidP="00222D61">
            <w:pPr>
              <w:ind w:right="180"/>
              <w:jc w:val="both"/>
              <w:rPr>
                <w:sz w:val="20"/>
              </w:rPr>
            </w:pPr>
          </w:p>
        </w:tc>
      </w:tr>
      <w:tr w:rsidR="00222D61" w:rsidRPr="00222D61" w:rsidTr="00CE6389">
        <w:tblPrEx>
          <w:tblCellMar>
            <w:bottom w:w="0" w:type="dxa"/>
          </w:tblCellMar>
        </w:tblPrEx>
        <w:tc>
          <w:tcPr>
            <w:tcW w:w="2390" w:type="pct"/>
            <w:gridSpan w:val="2"/>
          </w:tcPr>
          <w:p w:rsidR="00222D61" w:rsidRPr="00222D61" w:rsidRDefault="00222D61" w:rsidP="00222D61">
            <w:pPr>
              <w:jc w:val="both"/>
              <w:rPr>
                <w:sz w:val="20"/>
              </w:rPr>
            </w:pPr>
            <w:r w:rsidRPr="00222D61">
              <w:rPr>
                <w:sz w:val="20"/>
              </w:rPr>
              <w:t>November 24, 2016</w:t>
            </w:r>
          </w:p>
          <w:p w:rsidR="00222D61" w:rsidRPr="00222D61" w:rsidRDefault="00222D61" w:rsidP="00222D61">
            <w:pPr>
              <w:jc w:val="both"/>
              <w:rPr>
                <w:sz w:val="20"/>
              </w:rPr>
            </w:pPr>
            <w:r w:rsidRPr="00222D61">
              <w:rPr>
                <w:sz w:val="20"/>
              </w:rPr>
              <w:t>Supreme Court of Canada</w:t>
            </w:r>
          </w:p>
        </w:tc>
        <w:tc>
          <w:tcPr>
            <w:tcW w:w="270" w:type="pct"/>
          </w:tcPr>
          <w:p w:rsidR="00222D61" w:rsidRPr="00222D61" w:rsidRDefault="00222D61" w:rsidP="00222D61">
            <w:pPr>
              <w:jc w:val="both"/>
              <w:rPr>
                <w:sz w:val="20"/>
              </w:rPr>
            </w:pPr>
          </w:p>
        </w:tc>
        <w:tc>
          <w:tcPr>
            <w:tcW w:w="2340" w:type="pct"/>
          </w:tcPr>
          <w:p w:rsidR="00222D61" w:rsidRPr="00222D61" w:rsidRDefault="00222D61" w:rsidP="00222D61">
            <w:pPr>
              <w:jc w:val="both"/>
              <w:rPr>
                <w:sz w:val="20"/>
              </w:rPr>
            </w:pPr>
            <w:r w:rsidRPr="00222D61">
              <w:rPr>
                <w:sz w:val="20"/>
              </w:rPr>
              <w:t>Application for leave to appeal filed</w:t>
            </w:r>
          </w:p>
          <w:p w:rsidR="00222D61" w:rsidRPr="00222D61" w:rsidRDefault="00222D61" w:rsidP="00222D61">
            <w:pPr>
              <w:jc w:val="both"/>
              <w:rPr>
                <w:sz w:val="20"/>
              </w:rPr>
            </w:pPr>
          </w:p>
        </w:tc>
      </w:tr>
    </w:tbl>
    <w:p w:rsidR="00222D61" w:rsidRDefault="00222D61" w:rsidP="00222D61">
      <w:pPr>
        <w:jc w:val="both"/>
        <w:rPr>
          <w:sz w:val="20"/>
        </w:rPr>
      </w:pPr>
    </w:p>
    <w:p w:rsidR="00222D61" w:rsidRPr="00222D61" w:rsidRDefault="00222D61" w:rsidP="00222D6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24"/>
        <w:gridCol w:w="501"/>
        <w:gridCol w:w="4338"/>
      </w:tblGrid>
      <w:tr w:rsidR="00222D61" w:rsidRPr="00222D61" w:rsidTr="00CE6389">
        <w:tc>
          <w:tcPr>
            <w:tcW w:w="543" w:type="pct"/>
          </w:tcPr>
          <w:p w:rsidR="00222D61" w:rsidRPr="00222D61" w:rsidRDefault="00222D61" w:rsidP="00222D61">
            <w:pPr>
              <w:jc w:val="both"/>
              <w:rPr>
                <w:sz w:val="20"/>
                <w:lang w:val="fr-CA"/>
              </w:rPr>
            </w:pPr>
            <w:r w:rsidRPr="00222D61">
              <w:rPr>
                <w:rStyle w:val="SCCFileNumberChar"/>
                <w:sz w:val="20"/>
                <w:szCs w:val="20"/>
                <w:lang w:val="fr-CA"/>
              </w:rPr>
              <w:t>37364</w:t>
            </w:r>
          </w:p>
        </w:tc>
        <w:tc>
          <w:tcPr>
            <w:tcW w:w="4457" w:type="pct"/>
            <w:gridSpan w:val="3"/>
          </w:tcPr>
          <w:p w:rsidR="00222D61" w:rsidRPr="00222D61" w:rsidRDefault="00222D61" w:rsidP="00222D61">
            <w:pPr>
              <w:pStyle w:val="SCCLsocParty"/>
              <w:jc w:val="both"/>
              <w:rPr>
                <w:b/>
                <w:sz w:val="20"/>
                <w:szCs w:val="20"/>
              </w:rPr>
            </w:pPr>
            <w:r w:rsidRPr="00222D61">
              <w:rPr>
                <w:b/>
                <w:sz w:val="20"/>
                <w:szCs w:val="20"/>
              </w:rPr>
              <w:t>Dino Orsini c. Agence du revenu du Canada</w:t>
            </w:r>
          </w:p>
          <w:p w:rsidR="00222D61" w:rsidRPr="00222D61" w:rsidRDefault="00222D61" w:rsidP="00222D61">
            <w:pPr>
              <w:jc w:val="both"/>
              <w:rPr>
                <w:sz w:val="20"/>
                <w:lang w:val="fr-CA"/>
              </w:rPr>
            </w:pPr>
            <w:r w:rsidRPr="00222D61">
              <w:rPr>
                <w:sz w:val="20"/>
                <w:lang w:val="fr-CA"/>
              </w:rPr>
              <w:t>(Qué.) (Civile) (Sur autorisation)</w:t>
            </w:r>
          </w:p>
        </w:tc>
      </w:tr>
      <w:tr w:rsidR="00222D61" w:rsidRPr="00817781" w:rsidTr="00CE6389">
        <w:tc>
          <w:tcPr>
            <w:tcW w:w="5000" w:type="pct"/>
            <w:gridSpan w:val="4"/>
          </w:tcPr>
          <w:p w:rsidR="00222D61" w:rsidRPr="00222D61" w:rsidRDefault="00222D61" w:rsidP="00222D61">
            <w:pPr>
              <w:jc w:val="both"/>
              <w:rPr>
                <w:sz w:val="20"/>
                <w:lang w:val="fr-CA"/>
              </w:rPr>
            </w:pPr>
            <w:r w:rsidRPr="00222D61">
              <w:rPr>
                <w:i/>
                <w:sz w:val="20"/>
                <w:lang w:val="fr-CA"/>
              </w:rPr>
              <w:t>Charte des droits</w:t>
            </w:r>
            <w:r w:rsidRPr="00222D61">
              <w:rPr>
                <w:sz w:val="20"/>
                <w:lang w:val="fr-CA"/>
              </w:rPr>
              <w:t xml:space="preserve"> — Justice fondamentale –– Action en dommages-intérêts moraux et punitifs à la suite des agissements de l’intimée –– Jugement sommaire –– Requête en radiation –– A-t-on fait abstraction de la violation des droits que la </w:t>
            </w:r>
            <w:r w:rsidRPr="00222D61">
              <w:rPr>
                <w:i/>
                <w:sz w:val="20"/>
                <w:lang w:val="fr-CA"/>
              </w:rPr>
              <w:t>Charte</w:t>
            </w:r>
            <w:r w:rsidRPr="00222D61">
              <w:rPr>
                <w:sz w:val="20"/>
                <w:lang w:val="fr-CA"/>
              </w:rPr>
              <w:t xml:space="preserve"> garantit au demandeur? –– Les juridictions inférieures ont-elles eu tort de conclure que l’action était chose jugée et prescrite? </w:t>
            </w:r>
          </w:p>
          <w:p w:rsidR="00222D61" w:rsidRPr="00222D61" w:rsidRDefault="00222D61" w:rsidP="00222D61">
            <w:pPr>
              <w:jc w:val="both"/>
              <w:rPr>
                <w:sz w:val="20"/>
                <w:lang w:val="fr-CA"/>
              </w:rPr>
            </w:pPr>
          </w:p>
        </w:tc>
      </w:tr>
      <w:tr w:rsidR="00222D61" w:rsidRPr="00817781" w:rsidTr="00CE6389">
        <w:tc>
          <w:tcPr>
            <w:tcW w:w="5000" w:type="pct"/>
            <w:gridSpan w:val="4"/>
          </w:tcPr>
          <w:p w:rsidR="00222D61" w:rsidRPr="00222D61" w:rsidRDefault="00222D61" w:rsidP="00222D61">
            <w:pPr>
              <w:jc w:val="both"/>
              <w:rPr>
                <w:sz w:val="20"/>
                <w:lang w:val="fr-CA"/>
              </w:rPr>
            </w:pPr>
            <w:r w:rsidRPr="00222D61">
              <w:rPr>
                <w:sz w:val="20"/>
                <w:lang w:val="fr-CA"/>
              </w:rPr>
              <w:t xml:space="preserve">Le demandeur était propriétaire d’une entreprise familiale. En 1998, un mandat de perquisition a été délivré et exécuté dans les locaux de l’entreprise. L’entreprise ne possédait pas un des permis nécessaires à l’exercice de ses activités. Le demandeur demande que l’Agence du revenu du Canada soit condamnée à dommages-intérêts moraux et punitifs. </w:t>
            </w:r>
          </w:p>
        </w:tc>
      </w:tr>
      <w:tr w:rsidR="00222D61" w:rsidRPr="00817781" w:rsidTr="00CE6389">
        <w:tc>
          <w:tcPr>
            <w:tcW w:w="5000" w:type="pct"/>
            <w:gridSpan w:val="4"/>
          </w:tcPr>
          <w:p w:rsidR="00222D61" w:rsidRPr="00222D61" w:rsidRDefault="00222D61" w:rsidP="00222D61">
            <w:pPr>
              <w:jc w:val="both"/>
              <w:rPr>
                <w:sz w:val="20"/>
                <w:lang w:val="fr-CA"/>
              </w:rPr>
            </w:pPr>
          </w:p>
        </w:tc>
      </w:tr>
      <w:tr w:rsidR="00222D61" w:rsidRPr="00817781" w:rsidTr="00CE6389">
        <w:tblPrEx>
          <w:tblCellMar>
            <w:bottom w:w="0" w:type="dxa"/>
          </w:tblCellMar>
        </w:tblPrEx>
        <w:tc>
          <w:tcPr>
            <w:tcW w:w="2390" w:type="pct"/>
            <w:gridSpan w:val="2"/>
          </w:tcPr>
          <w:p w:rsidR="00222D61" w:rsidRPr="00222D61" w:rsidRDefault="00222D61" w:rsidP="00222D61">
            <w:pPr>
              <w:jc w:val="both"/>
              <w:rPr>
                <w:sz w:val="20"/>
                <w:lang w:val="fr-CA"/>
              </w:rPr>
            </w:pPr>
            <w:r w:rsidRPr="00222D61">
              <w:rPr>
                <w:sz w:val="20"/>
                <w:lang w:val="fr-CA"/>
              </w:rPr>
              <w:t>26 avril 2016</w:t>
            </w:r>
          </w:p>
          <w:p w:rsidR="00222D61" w:rsidRPr="00222D61" w:rsidRDefault="00222D61" w:rsidP="00222D61">
            <w:pPr>
              <w:jc w:val="both"/>
              <w:rPr>
                <w:sz w:val="20"/>
                <w:lang w:val="fr-CA"/>
              </w:rPr>
            </w:pPr>
            <w:r w:rsidRPr="00222D61">
              <w:rPr>
                <w:sz w:val="20"/>
                <w:lang w:val="fr-CA"/>
              </w:rPr>
              <w:t>Cour supérieure du Québec</w:t>
            </w:r>
          </w:p>
          <w:p w:rsidR="00222D61" w:rsidRPr="00222D61" w:rsidRDefault="00222D61" w:rsidP="00222D61">
            <w:pPr>
              <w:jc w:val="both"/>
              <w:rPr>
                <w:sz w:val="20"/>
                <w:lang w:val="fr-CA"/>
              </w:rPr>
            </w:pPr>
            <w:r w:rsidRPr="00222D61">
              <w:rPr>
                <w:sz w:val="20"/>
                <w:lang w:val="fr-CA"/>
              </w:rPr>
              <w:t>Juge Déziel)</w:t>
            </w:r>
          </w:p>
          <w:p w:rsidR="00222D61" w:rsidRPr="00222D61" w:rsidRDefault="00817781" w:rsidP="00222D61">
            <w:pPr>
              <w:jc w:val="both"/>
              <w:rPr>
                <w:sz w:val="20"/>
                <w:lang w:val="fr-CA"/>
              </w:rPr>
            </w:pPr>
            <w:hyperlink r:id="rId29" w:history="1">
              <w:r w:rsidR="00222D61" w:rsidRPr="00222D61">
                <w:rPr>
                  <w:rStyle w:val="Hyperlink"/>
                  <w:sz w:val="20"/>
                  <w:lang w:val="fr-CA"/>
                </w:rPr>
                <w:t>2016 QCCS 2035</w:t>
              </w:r>
            </w:hyperlink>
          </w:p>
          <w:p w:rsidR="00222D61" w:rsidRPr="00222D61" w:rsidRDefault="00222D61" w:rsidP="00222D61">
            <w:pPr>
              <w:jc w:val="both"/>
              <w:rPr>
                <w:sz w:val="20"/>
                <w:lang w:val="fr-CA"/>
              </w:rPr>
            </w:pPr>
          </w:p>
        </w:tc>
        <w:tc>
          <w:tcPr>
            <w:tcW w:w="270" w:type="pct"/>
          </w:tcPr>
          <w:p w:rsidR="00222D61" w:rsidRPr="00222D61" w:rsidRDefault="00222D61" w:rsidP="00222D61">
            <w:pPr>
              <w:jc w:val="both"/>
              <w:rPr>
                <w:sz w:val="20"/>
                <w:lang w:val="fr-CA"/>
              </w:rPr>
            </w:pPr>
          </w:p>
        </w:tc>
        <w:tc>
          <w:tcPr>
            <w:tcW w:w="2340" w:type="pct"/>
          </w:tcPr>
          <w:p w:rsidR="00222D61" w:rsidRPr="00222D61" w:rsidRDefault="00222D61" w:rsidP="00222D61">
            <w:pPr>
              <w:ind w:right="90"/>
              <w:jc w:val="both"/>
              <w:rPr>
                <w:sz w:val="20"/>
                <w:lang w:val="fr-CA"/>
              </w:rPr>
            </w:pPr>
            <w:r w:rsidRPr="00222D61">
              <w:rPr>
                <w:sz w:val="20"/>
                <w:lang w:val="fr-CA"/>
              </w:rPr>
              <w:t xml:space="preserve">Jugement accueillant la requête de l’intimée en radiation </w:t>
            </w:r>
          </w:p>
          <w:p w:rsidR="00222D61" w:rsidRPr="00222D61" w:rsidRDefault="00222D61" w:rsidP="00222D61">
            <w:pPr>
              <w:ind w:right="90"/>
              <w:jc w:val="both"/>
              <w:rPr>
                <w:sz w:val="20"/>
                <w:lang w:val="fr-CA"/>
              </w:rPr>
            </w:pPr>
          </w:p>
        </w:tc>
      </w:tr>
      <w:tr w:rsidR="00222D61" w:rsidRPr="00817781" w:rsidTr="00CE6389">
        <w:tblPrEx>
          <w:tblCellMar>
            <w:bottom w:w="0" w:type="dxa"/>
          </w:tblCellMar>
        </w:tblPrEx>
        <w:tc>
          <w:tcPr>
            <w:tcW w:w="2390" w:type="pct"/>
            <w:gridSpan w:val="2"/>
          </w:tcPr>
          <w:p w:rsidR="00222D61" w:rsidRPr="00222D61" w:rsidRDefault="00222D61" w:rsidP="00222D61">
            <w:pPr>
              <w:jc w:val="both"/>
              <w:rPr>
                <w:sz w:val="20"/>
                <w:lang w:val="fr-CA"/>
              </w:rPr>
            </w:pPr>
            <w:r w:rsidRPr="00222D61">
              <w:rPr>
                <w:sz w:val="20"/>
                <w:lang w:val="fr-CA"/>
              </w:rPr>
              <w:t>26 septembre 2016</w:t>
            </w:r>
          </w:p>
          <w:p w:rsidR="00222D61" w:rsidRPr="00222D61" w:rsidRDefault="00222D61" w:rsidP="00222D61">
            <w:pPr>
              <w:jc w:val="both"/>
              <w:rPr>
                <w:sz w:val="20"/>
                <w:lang w:val="fr-CA"/>
              </w:rPr>
            </w:pPr>
            <w:r w:rsidRPr="00222D61">
              <w:rPr>
                <w:sz w:val="20"/>
                <w:lang w:val="fr-CA"/>
              </w:rPr>
              <w:t>Cour d’appel du Québec (Montréal)</w:t>
            </w:r>
          </w:p>
          <w:p w:rsidR="00222D61" w:rsidRPr="00222D61" w:rsidRDefault="00222D61" w:rsidP="00222D61">
            <w:pPr>
              <w:jc w:val="both"/>
              <w:rPr>
                <w:sz w:val="20"/>
                <w:lang w:val="fr-CA"/>
              </w:rPr>
            </w:pPr>
            <w:r w:rsidRPr="00222D61">
              <w:rPr>
                <w:sz w:val="20"/>
                <w:lang w:val="fr-CA"/>
              </w:rPr>
              <w:t>(Juges Dutil, Schrager et Parent)</w:t>
            </w:r>
          </w:p>
          <w:p w:rsidR="00222D61" w:rsidRPr="00222D61" w:rsidRDefault="00817781" w:rsidP="00222D61">
            <w:pPr>
              <w:jc w:val="both"/>
              <w:rPr>
                <w:sz w:val="20"/>
                <w:lang w:val="fr-CA"/>
              </w:rPr>
            </w:pPr>
            <w:hyperlink r:id="rId30" w:history="1">
              <w:r w:rsidR="00222D61" w:rsidRPr="00222D61">
                <w:rPr>
                  <w:rStyle w:val="Hyperlink"/>
                  <w:sz w:val="20"/>
                  <w:lang w:val="fr-CA"/>
                </w:rPr>
                <w:t>2016 QCCA 1579</w:t>
              </w:r>
            </w:hyperlink>
          </w:p>
          <w:p w:rsidR="00222D61" w:rsidRPr="00222D61" w:rsidRDefault="00222D61" w:rsidP="00222D61">
            <w:pPr>
              <w:jc w:val="both"/>
              <w:rPr>
                <w:sz w:val="20"/>
                <w:lang w:val="fr-CA"/>
              </w:rPr>
            </w:pPr>
          </w:p>
        </w:tc>
        <w:tc>
          <w:tcPr>
            <w:tcW w:w="270" w:type="pct"/>
          </w:tcPr>
          <w:p w:rsidR="00222D61" w:rsidRPr="00222D61" w:rsidRDefault="00222D61" w:rsidP="00222D61">
            <w:pPr>
              <w:jc w:val="both"/>
              <w:rPr>
                <w:sz w:val="20"/>
                <w:lang w:val="fr-CA"/>
              </w:rPr>
            </w:pPr>
          </w:p>
        </w:tc>
        <w:tc>
          <w:tcPr>
            <w:tcW w:w="2340" w:type="pct"/>
          </w:tcPr>
          <w:p w:rsidR="00222D61" w:rsidRPr="00222D61" w:rsidRDefault="00222D61" w:rsidP="00222D61">
            <w:pPr>
              <w:jc w:val="both"/>
              <w:rPr>
                <w:sz w:val="20"/>
                <w:lang w:val="fr-CA"/>
              </w:rPr>
            </w:pPr>
            <w:r w:rsidRPr="00222D61">
              <w:rPr>
                <w:sz w:val="20"/>
                <w:lang w:val="fr-CA"/>
              </w:rPr>
              <w:t>Arrêt accueillant la requête de l’intimée en rejet de l’appel</w:t>
            </w:r>
          </w:p>
          <w:p w:rsidR="00222D61" w:rsidRPr="00222D61" w:rsidRDefault="00222D61" w:rsidP="00222D61">
            <w:pPr>
              <w:ind w:right="180"/>
              <w:jc w:val="both"/>
              <w:rPr>
                <w:sz w:val="20"/>
                <w:lang w:val="fr-CA"/>
              </w:rPr>
            </w:pPr>
          </w:p>
        </w:tc>
      </w:tr>
      <w:tr w:rsidR="00222D61" w:rsidRPr="00817781" w:rsidTr="00CE6389">
        <w:tblPrEx>
          <w:tblCellMar>
            <w:bottom w:w="0" w:type="dxa"/>
          </w:tblCellMar>
        </w:tblPrEx>
        <w:tc>
          <w:tcPr>
            <w:tcW w:w="2390" w:type="pct"/>
            <w:gridSpan w:val="2"/>
          </w:tcPr>
          <w:p w:rsidR="00222D61" w:rsidRPr="00222D61" w:rsidRDefault="00222D61" w:rsidP="00222D61">
            <w:pPr>
              <w:jc w:val="both"/>
              <w:rPr>
                <w:sz w:val="20"/>
                <w:lang w:val="fr-CA"/>
              </w:rPr>
            </w:pPr>
            <w:r w:rsidRPr="00222D61">
              <w:rPr>
                <w:sz w:val="20"/>
                <w:lang w:val="fr-CA"/>
              </w:rPr>
              <w:t>24 novembre 2016</w:t>
            </w:r>
          </w:p>
          <w:p w:rsidR="00222D61" w:rsidRPr="00222D61" w:rsidRDefault="00222D61" w:rsidP="00222D61">
            <w:pPr>
              <w:jc w:val="both"/>
              <w:rPr>
                <w:sz w:val="20"/>
                <w:lang w:val="fr-CA"/>
              </w:rPr>
            </w:pPr>
            <w:r w:rsidRPr="00222D61">
              <w:rPr>
                <w:sz w:val="20"/>
                <w:lang w:val="fr-CA"/>
              </w:rPr>
              <w:t>Cour suprême du Canada</w:t>
            </w:r>
          </w:p>
        </w:tc>
        <w:tc>
          <w:tcPr>
            <w:tcW w:w="270" w:type="pct"/>
          </w:tcPr>
          <w:p w:rsidR="00222D61" w:rsidRPr="00222D61" w:rsidRDefault="00222D61" w:rsidP="00222D61">
            <w:pPr>
              <w:jc w:val="both"/>
              <w:rPr>
                <w:sz w:val="20"/>
                <w:lang w:val="fr-CA"/>
              </w:rPr>
            </w:pPr>
          </w:p>
        </w:tc>
        <w:tc>
          <w:tcPr>
            <w:tcW w:w="2340" w:type="pct"/>
          </w:tcPr>
          <w:p w:rsidR="00222D61" w:rsidRPr="00222D61" w:rsidRDefault="00222D61" w:rsidP="00222D61">
            <w:pPr>
              <w:jc w:val="both"/>
              <w:rPr>
                <w:sz w:val="20"/>
                <w:lang w:val="fr-CA"/>
              </w:rPr>
            </w:pPr>
            <w:r w:rsidRPr="00222D61">
              <w:rPr>
                <w:sz w:val="20"/>
                <w:lang w:val="fr-CA"/>
              </w:rPr>
              <w:t>Dépôt de la demande d’autorisation d’appel</w:t>
            </w:r>
          </w:p>
          <w:p w:rsidR="00222D61" w:rsidRPr="00222D61" w:rsidRDefault="00222D61" w:rsidP="00222D61">
            <w:pPr>
              <w:jc w:val="both"/>
              <w:rPr>
                <w:sz w:val="20"/>
                <w:lang w:val="fr-CA"/>
              </w:rPr>
            </w:pPr>
          </w:p>
        </w:tc>
      </w:tr>
    </w:tbl>
    <w:p w:rsidR="00222D61" w:rsidRPr="00222D61" w:rsidRDefault="00222D61" w:rsidP="00222D61">
      <w:pPr>
        <w:jc w:val="both"/>
        <w:rPr>
          <w:sz w:val="20"/>
          <w:lang w:val="fr-CA"/>
        </w:rPr>
      </w:pPr>
    </w:p>
    <w:p w:rsidR="00222D61" w:rsidRPr="00222D61" w:rsidRDefault="00222D61" w:rsidP="00222D61">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8263"/>
      </w:tblGrid>
      <w:tr w:rsidR="00222D61" w:rsidRPr="00222D61" w:rsidTr="00E95A6A">
        <w:tc>
          <w:tcPr>
            <w:tcW w:w="543" w:type="pct"/>
          </w:tcPr>
          <w:p w:rsidR="00222D61" w:rsidRPr="00222D61" w:rsidRDefault="00222D61" w:rsidP="00222D61">
            <w:pPr>
              <w:jc w:val="both"/>
              <w:rPr>
                <w:sz w:val="20"/>
              </w:rPr>
            </w:pPr>
            <w:r w:rsidRPr="00222D61">
              <w:rPr>
                <w:rStyle w:val="SCCFileNumberChar"/>
                <w:sz w:val="20"/>
                <w:szCs w:val="20"/>
              </w:rPr>
              <w:t>37208</w:t>
            </w:r>
          </w:p>
        </w:tc>
        <w:tc>
          <w:tcPr>
            <w:tcW w:w="4457" w:type="pct"/>
          </w:tcPr>
          <w:p w:rsidR="00222D61" w:rsidRPr="00222D61" w:rsidRDefault="00222D61" w:rsidP="00222D61">
            <w:pPr>
              <w:pStyle w:val="SCCLsocParty"/>
              <w:jc w:val="both"/>
              <w:rPr>
                <w:b/>
                <w:sz w:val="20"/>
                <w:szCs w:val="20"/>
                <w:lang w:val="en-US"/>
              </w:rPr>
            </w:pPr>
            <w:r w:rsidRPr="00222D61">
              <w:rPr>
                <w:b/>
                <w:sz w:val="20"/>
                <w:szCs w:val="20"/>
                <w:lang w:val="en-US"/>
              </w:rPr>
              <w:t>Canadian Human Rights Commission v. Attorney General of Canada</w:t>
            </w:r>
          </w:p>
          <w:p w:rsidR="00222D61" w:rsidRPr="00222D61" w:rsidRDefault="00222D61" w:rsidP="00222D61">
            <w:pPr>
              <w:jc w:val="both"/>
              <w:rPr>
                <w:sz w:val="20"/>
              </w:rPr>
            </w:pPr>
            <w:r w:rsidRPr="00222D61">
              <w:rPr>
                <w:sz w:val="20"/>
              </w:rPr>
              <w:t>(FC) (Civil) (By Leave)</w:t>
            </w:r>
          </w:p>
        </w:tc>
      </w:tr>
      <w:tr w:rsidR="00222D61" w:rsidRPr="00222D61" w:rsidTr="00E95A6A">
        <w:tc>
          <w:tcPr>
            <w:tcW w:w="5000" w:type="pct"/>
            <w:gridSpan w:val="2"/>
          </w:tcPr>
          <w:p w:rsidR="00222D61" w:rsidRDefault="00222D61" w:rsidP="00222D61">
            <w:pPr>
              <w:jc w:val="both"/>
              <w:rPr>
                <w:sz w:val="20"/>
              </w:rPr>
            </w:pPr>
            <w:r w:rsidRPr="00222D61">
              <w:rPr>
                <w:i/>
                <w:sz w:val="20"/>
              </w:rPr>
              <w:t>Canadian Charter of Rights and Freedoms</w:t>
            </w:r>
            <w:r w:rsidRPr="00222D61">
              <w:rPr>
                <w:sz w:val="20"/>
              </w:rPr>
              <w:t xml:space="preserve"> – Equality rights –Administrative law – Standard of review – Human Rights – Discrimination – Meaning of “service customarily available to the general public,” under s. 5 of the </w:t>
            </w:r>
            <w:r w:rsidRPr="00222D61">
              <w:rPr>
                <w:i/>
                <w:sz w:val="20"/>
              </w:rPr>
              <w:t>Canadian Human Rights Act</w:t>
            </w:r>
            <w:r w:rsidRPr="00222D61">
              <w:rPr>
                <w:sz w:val="20"/>
              </w:rPr>
              <w:t xml:space="preserve"> – Aboriginal law – “Indian” status – Eligibility for registration under </w:t>
            </w:r>
            <w:r w:rsidRPr="00222D61">
              <w:rPr>
                <w:i/>
                <w:sz w:val="20"/>
              </w:rPr>
              <w:t>Indian Act</w:t>
            </w:r>
            <w:r w:rsidRPr="00222D61">
              <w:rPr>
                <w:sz w:val="20"/>
              </w:rPr>
              <w:t xml:space="preserve"> – Whether Federal Courts erred (</w:t>
            </w:r>
            <w:proofErr w:type="spellStart"/>
            <w:r w:rsidRPr="00222D61">
              <w:rPr>
                <w:sz w:val="20"/>
              </w:rPr>
              <w:t>i</w:t>
            </w:r>
            <w:proofErr w:type="spellEnd"/>
            <w:r w:rsidRPr="00222D61">
              <w:rPr>
                <w:sz w:val="20"/>
              </w:rPr>
              <w:t xml:space="preserve">) in applying reasonableness standard of review, or misapplied standard, when assessing impugned decisions of Canadian Human Rights Tribunal, and (ii) by upholding unduly narrow interpretation of protection against discrimination in provision of services – Whether s. 5 can be used to challenge denials of government benefits based on discriminatory eligibility criteria found in federal legislation or whether a challenge must be brought under s. 15 of the </w:t>
            </w:r>
            <w:r w:rsidRPr="00222D61">
              <w:rPr>
                <w:i/>
                <w:sz w:val="20"/>
              </w:rPr>
              <w:t>Charter</w:t>
            </w:r>
            <w:r w:rsidRPr="00222D61">
              <w:rPr>
                <w:sz w:val="20"/>
              </w:rPr>
              <w:t xml:space="preserve"> – </w:t>
            </w:r>
            <w:r w:rsidRPr="00222D61">
              <w:rPr>
                <w:i/>
                <w:sz w:val="20"/>
              </w:rPr>
              <w:t>Canadian Charter of Rights and Freedoms</w:t>
            </w:r>
            <w:r w:rsidRPr="00222D61">
              <w:rPr>
                <w:sz w:val="20"/>
              </w:rPr>
              <w:t xml:space="preserve">, s. 15 – </w:t>
            </w:r>
            <w:r w:rsidRPr="00222D61">
              <w:rPr>
                <w:i/>
                <w:sz w:val="20"/>
              </w:rPr>
              <w:t>Canadian Human Rights Act</w:t>
            </w:r>
            <w:r w:rsidRPr="00222D61">
              <w:rPr>
                <w:sz w:val="20"/>
              </w:rPr>
              <w:t xml:space="preserve">, R.S.C. 1985, c. H-6, s. 5 – </w:t>
            </w:r>
            <w:r w:rsidRPr="00222D61">
              <w:rPr>
                <w:i/>
                <w:sz w:val="20"/>
              </w:rPr>
              <w:t>Indian Act</w:t>
            </w:r>
            <w:r w:rsidRPr="00222D61">
              <w:rPr>
                <w:sz w:val="20"/>
              </w:rPr>
              <w:t>, R.S.C. 1985, c. 1-5, s. 6.</w:t>
            </w:r>
          </w:p>
          <w:p w:rsidR="00222D61" w:rsidRPr="00222D61" w:rsidRDefault="00222D61" w:rsidP="00222D61">
            <w:pPr>
              <w:jc w:val="both"/>
              <w:rPr>
                <w:sz w:val="20"/>
              </w:rPr>
            </w:pPr>
          </w:p>
        </w:tc>
      </w:tr>
      <w:tr w:rsidR="00222D61" w:rsidRPr="00222D61" w:rsidTr="00E95A6A">
        <w:tc>
          <w:tcPr>
            <w:tcW w:w="5000" w:type="pct"/>
            <w:gridSpan w:val="2"/>
          </w:tcPr>
          <w:p w:rsidR="00222D61" w:rsidRDefault="00222D61" w:rsidP="00222D61">
            <w:pPr>
              <w:jc w:val="both"/>
              <w:rPr>
                <w:sz w:val="20"/>
              </w:rPr>
            </w:pPr>
            <w:r w:rsidRPr="00222D61">
              <w:rPr>
                <w:sz w:val="20"/>
              </w:rPr>
              <w:t xml:space="preserve">Several members of two First Nations filed complaints under the </w:t>
            </w:r>
            <w:r w:rsidRPr="00222D61">
              <w:rPr>
                <w:i/>
                <w:sz w:val="20"/>
              </w:rPr>
              <w:t>Canadian Human Rights Act</w:t>
            </w:r>
            <w:r w:rsidRPr="00222D61">
              <w:rPr>
                <w:sz w:val="20"/>
              </w:rPr>
              <w:t xml:space="preserve">, R.S.C. 1985, </w:t>
            </w:r>
            <w:proofErr w:type="gramStart"/>
            <w:r w:rsidRPr="00222D61">
              <w:rPr>
                <w:sz w:val="20"/>
              </w:rPr>
              <w:t>c</w:t>
            </w:r>
            <w:proofErr w:type="gramEnd"/>
            <w:r w:rsidRPr="00222D61">
              <w:rPr>
                <w:sz w:val="20"/>
              </w:rPr>
              <w:t>. H-6 (“</w:t>
            </w:r>
            <w:r w:rsidRPr="00222D61">
              <w:rPr>
                <w:i/>
                <w:sz w:val="20"/>
              </w:rPr>
              <w:t>CHRA</w:t>
            </w:r>
            <w:r w:rsidRPr="00222D61">
              <w:rPr>
                <w:sz w:val="20"/>
              </w:rPr>
              <w:t xml:space="preserve">”) with the Canadian Human Rights Commission. The complainants alleged that the eligibility criteria in s. 6 of the </w:t>
            </w:r>
            <w:r w:rsidRPr="00222D61">
              <w:rPr>
                <w:i/>
                <w:sz w:val="20"/>
              </w:rPr>
              <w:t>Indian Act</w:t>
            </w:r>
            <w:r w:rsidRPr="00222D61">
              <w:rPr>
                <w:sz w:val="20"/>
              </w:rPr>
              <w:t xml:space="preserve">, R.S.C. 1985, c. I-5, that precludes the registration of their children as “Indians” in their particular circumstances, violates their human rights because the impugned restrictions constitute prohibited discrimination in the provision of a service “customarily available to the public” under s. 5 of the </w:t>
            </w:r>
            <w:r w:rsidRPr="00222D61">
              <w:rPr>
                <w:i/>
                <w:sz w:val="20"/>
              </w:rPr>
              <w:t>CHRA</w:t>
            </w:r>
            <w:r w:rsidRPr="00222D61">
              <w:rPr>
                <w:sz w:val="20"/>
              </w:rPr>
              <w:t xml:space="preserve">. In two decisions which relied on </w:t>
            </w:r>
            <w:r w:rsidRPr="00222D61">
              <w:rPr>
                <w:i/>
                <w:sz w:val="20"/>
              </w:rPr>
              <w:t>Public Service Alliance of Canada v. Canada (Revenue Agency)</w:t>
            </w:r>
            <w:r w:rsidRPr="00222D61">
              <w:rPr>
                <w:sz w:val="20"/>
              </w:rPr>
              <w:t xml:space="preserve">, 2012 FCA 7, 428 N.R. 240, the Canadian Human Rights Tribunal dismissed the complaints for lack of jurisdiction. In doing so, the Tribunal found the complaints were direct challenges to provisions in the </w:t>
            </w:r>
            <w:r w:rsidRPr="00222D61">
              <w:rPr>
                <w:i/>
                <w:sz w:val="20"/>
              </w:rPr>
              <w:t>Indian Act</w:t>
            </w:r>
            <w:r w:rsidRPr="00222D61">
              <w:rPr>
                <w:sz w:val="20"/>
              </w:rPr>
              <w:t xml:space="preserve"> and the adoption of legislation is not a service customarily available to the general public within the meaning of s. 5 of the </w:t>
            </w:r>
            <w:r w:rsidRPr="00222D61">
              <w:rPr>
                <w:i/>
                <w:sz w:val="20"/>
              </w:rPr>
              <w:t>CHRA</w:t>
            </w:r>
            <w:r w:rsidRPr="00222D61">
              <w:rPr>
                <w:sz w:val="20"/>
              </w:rPr>
              <w:t xml:space="preserve">. The Tribunal concluded such a challenge may only be brought under s. 15 of the </w:t>
            </w:r>
            <w:r w:rsidRPr="00222D61">
              <w:rPr>
                <w:i/>
                <w:sz w:val="20"/>
              </w:rPr>
              <w:t>Canadian Charter of Rights and Freedoms</w:t>
            </w:r>
            <w:r w:rsidRPr="00222D61">
              <w:rPr>
                <w:sz w:val="20"/>
              </w:rPr>
              <w:t xml:space="preserve"> and therefore must be made to a court of law. Applying a reasonableness standard of review, the Federal Court held the Tribunal’s decisions were reasonable and dismissed the Commission’s applications for judicial review. The Federal Court of Appeal dismissed the Commission’s appeal.</w:t>
            </w:r>
          </w:p>
          <w:p w:rsidR="00222D61" w:rsidRPr="00222D61" w:rsidRDefault="00222D61" w:rsidP="00222D61">
            <w:pPr>
              <w:jc w:val="both"/>
              <w:rPr>
                <w:sz w:val="20"/>
              </w:rPr>
            </w:pPr>
          </w:p>
        </w:tc>
      </w:tr>
      <w:tr w:rsidR="00222D61" w:rsidRPr="00222D61" w:rsidTr="00E95A6A">
        <w:tc>
          <w:tcPr>
            <w:tcW w:w="5000" w:type="pct"/>
            <w:gridSpan w:val="2"/>
          </w:tcPr>
          <w:tbl>
            <w:tblPr>
              <w:tblW w:w="5000" w:type="pct"/>
              <w:tblLayout w:type="fixed"/>
              <w:tblCellMar>
                <w:left w:w="0" w:type="dxa"/>
                <w:right w:w="0" w:type="dxa"/>
              </w:tblCellMar>
              <w:tblLook w:val="04A0" w:firstRow="1" w:lastRow="0" w:firstColumn="1" w:lastColumn="0" w:noHBand="0" w:noVBand="1"/>
            </w:tblPr>
            <w:tblGrid>
              <w:gridCol w:w="4388"/>
              <w:gridCol w:w="495"/>
              <w:gridCol w:w="4387"/>
            </w:tblGrid>
            <w:tr w:rsidR="00222D61" w:rsidRPr="00222D61" w:rsidTr="006D2533">
              <w:tc>
                <w:tcPr>
                  <w:tcW w:w="2367" w:type="pct"/>
                </w:tcPr>
                <w:p w:rsidR="00222D61" w:rsidRPr="00222D61" w:rsidRDefault="00222D61" w:rsidP="00222D61">
                  <w:pPr>
                    <w:jc w:val="both"/>
                    <w:rPr>
                      <w:sz w:val="20"/>
                    </w:rPr>
                  </w:pPr>
                  <w:r w:rsidRPr="00222D61">
                    <w:rPr>
                      <w:sz w:val="20"/>
                    </w:rPr>
                    <w:t>March 30, 2015</w:t>
                  </w:r>
                </w:p>
                <w:p w:rsidR="00222D61" w:rsidRPr="00222D61" w:rsidRDefault="00222D61" w:rsidP="00222D61">
                  <w:pPr>
                    <w:jc w:val="both"/>
                    <w:rPr>
                      <w:sz w:val="20"/>
                    </w:rPr>
                  </w:pPr>
                  <w:r w:rsidRPr="00222D61">
                    <w:rPr>
                      <w:sz w:val="20"/>
                    </w:rPr>
                    <w:t>Federal Court</w:t>
                  </w:r>
                </w:p>
                <w:p w:rsidR="00222D61" w:rsidRPr="00222D61" w:rsidRDefault="00222D61" w:rsidP="00222D61">
                  <w:pPr>
                    <w:jc w:val="both"/>
                    <w:rPr>
                      <w:sz w:val="20"/>
                    </w:rPr>
                  </w:pPr>
                  <w:r w:rsidRPr="00222D61">
                    <w:rPr>
                      <w:sz w:val="20"/>
                    </w:rPr>
                    <w:t>(McVeigh J.)</w:t>
                  </w:r>
                </w:p>
                <w:p w:rsidR="00222D61" w:rsidRPr="00222D61" w:rsidRDefault="00817781" w:rsidP="00222D61">
                  <w:pPr>
                    <w:jc w:val="both"/>
                    <w:rPr>
                      <w:sz w:val="20"/>
                    </w:rPr>
                  </w:pPr>
                  <w:hyperlink r:id="rId31" w:history="1">
                    <w:r w:rsidR="00222D61" w:rsidRPr="00222D61">
                      <w:rPr>
                        <w:rStyle w:val="Hyperlink"/>
                        <w:sz w:val="20"/>
                      </w:rPr>
                      <w:t>2015 FC 398</w:t>
                    </w:r>
                  </w:hyperlink>
                </w:p>
                <w:p w:rsidR="00222D61" w:rsidRPr="00222D61" w:rsidRDefault="00222D61" w:rsidP="00222D61">
                  <w:pPr>
                    <w:jc w:val="both"/>
                    <w:rPr>
                      <w:sz w:val="20"/>
                    </w:rPr>
                  </w:pPr>
                  <w:r w:rsidRPr="00222D61">
                    <w:rPr>
                      <w:sz w:val="20"/>
                    </w:rPr>
                    <w:t xml:space="preserve">Dockets: T-1088-13; T-1777-13 </w:t>
                  </w:r>
                </w:p>
                <w:p w:rsidR="00222D61" w:rsidRPr="00222D61" w:rsidRDefault="00222D61" w:rsidP="00222D61">
                  <w:pPr>
                    <w:jc w:val="both"/>
                    <w:rPr>
                      <w:sz w:val="20"/>
                    </w:rPr>
                  </w:pPr>
                </w:p>
              </w:tc>
              <w:tc>
                <w:tcPr>
                  <w:tcW w:w="267" w:type="pct"/>
                </w:tcPr>
                <w:p w:rsidR="00222D61" w:rsidRPr="00222D61" w:rsidRDefault="00222D61" w:rsidP="00222D61">
                  <w:pPr>
                    <w:jc w:val="both"/>
                    <w:rPr>
                      <w:sz w:val="20"/>
                    </w:rPr>
                  </w:pPr>
                </w:p>
              </w:tc>
              <w:tc>
                <w:tcPr>
                  <w:tcW w:w="2366" w:type="pct"/>
                </w:tcPr>
                <w:p w:rsidR="00222D61" w:rsidRPr="00222D61" w:rsidRDefault="00222D61" w:rsidP="00222D61">
                  <w:pPr>
                    <w:jc w:val="both"/>
                    <w:rPr>
                      <w:sz w:val="20"/>
                    </w:rPr>
                  </w:pPr>
                  <w:r w:rsidRPr="00222D61">
                    <w:rPr>
                      <w:sz w:val="20"/>
                    </w:rPr>
                    <w:t xml:space="preserve">Applicant’s applications for judicial review of Canadian Human Rights Tribunal decisions dismissing complaints filed under </w:t>
                  </w:r>
                  <w:r w:rsidRPr="00222D61">
                    <w:rPr>
                      <w:i/>
                      <w:sz w:val="20"/>
                    </w:rPr>
                    <w:t>Canadian Human Rights Act</w:t>
                  </w:r>
                  <w:r w:rsidRPr="00222D61">
                    <w:rPr>
                      <w:sz w:val="20"/>
                    </w:rPr>
                    <w:t>, dismissed.</w:t>
                  </w:r>
                </w:p>
                <w:p w:rsidR="00222D61" w:rsidRPr="00222D61" w:rsidRDefault="00222D61" w:rsidP="00222D61">
                  <w:pPr>
                    <w:jc w:val="both"/>
                    <w:rPr>
                      <w:sz w:val="20"/>
                    </w:rPr>
                  </w:pPr>
                </w:p>
              </w:tc>
            </w:tr>
            <w:tr w:rsidR="00222D61" w:rsidRPr="00222D61" w:rsidTr="006D2533">
              <w:tc>
                <w:tcPr>
                  <w:tcW w:w="2367" w:type="pct"/>
                </w:tcPr>
                <w:p w:rsidR="00222D61" w:rsidRPr="00222D61" w:rsidRDefault="00222D61" w:rsidP="00222D61">
                  <w:pPr>
                    <w:jc w:val="both"/>
                    <w:rPr>
                      <w:sz w:val="20"/>
                    </w:rPr>
                  </w:pPr>
                  <w:r w:rsidRPr="00222D61">
                    <w:rPr>
                      <w:sz w:val="20"/>
                    </w:rPr>
                    <w:t>July 21, 2016</w:t>
                  </w:r>
                </w:p>
                <w:p w:rsidR="00222D61" w:rsidRPr="00222D61" w:rsidRDefault="00222D61" w:rsidP="00222D61">
                  <w:pPr>
                    <w:jc w:val="both"/>
                    <w:rPr>
                      <w:sz w:val="20"/>
                    </w:rPr>
                  </w:pPr>
                  <w:r w:rsidRPr="00222D61">
                    <w:rPr>
                      <w:sz w:val="20"/>
                    </w:rPr>
                    <w:t>Federal Court of Appeal</w:t>
                  </w:r>
                </w:p>
                <w:p w:rsidR="00222D61" w:rsidRPr="00222D61" w:rsidRDefault="00222D61" w:rsidP="00222D61">
                  <w:pPr>
                    <w:jc w:val="both"/>
                    <w:rPr>
                      <w:sz w:val="20"/>
                    </w:rPr>
                  </w:pPr>
                  <w:r w:rsidRPr="00222D61">
                    <w:rPr>
                      <w:sz w:val="20"/>
                    </w:rPr>
                    <w:t>(Pelletier, De </w:t>
                  </w:r>
                  <w:proofErr w:type="spellStart"/>
                  <w:r w:rsidRPr="00222D61">
                    <w:rPr>
                      <w:sz w:val="20"/>
                    </w:rPr>
                    <w:t>Montigny</w:t>
                  </w:r>
                  <w:proofErr w:type="spellEnd"/>
                  <w:r w:rsidRPr="00222D61">
                    <w:rPr>
                      <w:sz w:val="20"/>
                    </w:rPr>
                    <w:t xml:space="preserve"> and Gleason JJ.A.)</w:t>
                  </w:r>
                </w:p>
                <w:p w:rsidR="00222D61" w:rsidRPr="00222D61" w:rsidRDefault="00817781" w:rsidP="00222D61">
                  <w:pPr>
                    <w:jc w:val="both"/>
                    <w:rPr>
                      <w:sz w:val="20"/>
                    </w:rPr>
                  </w:pPr>
                  <w:hyperlink r:id="rId32" w:history="1">
                    <w:r w:rsidR="00222D61" w:rsidRPr="00222D61">
                      <w:rPr>
                        <w:rStyle w:val="Hyperlink"/>
                        <w:sz w:val="20"/>
                      </w:rPr>
                      <w:t>2016 FCA 200</w:t>
                    </w:r>
                  </w:hyperlink>
                </w:p>
                <w:p w:rsidR="00222D61" w:rsidRPr="00222D61" w:rsidRDefault="00222D61" w:rsidP="00222D61">
                  <w:pPr>
                    <w:jc w:val="both"/>
                    <w:rPr>
                      <w:sz w:val="20"/>
                    </w:rPr>
                  </w:pPr>
                  <w:r w:rsidRPr="00222D61">
                    <w:rPr>
                      <w:sz w:val="20"/>
                    </w:rPr>
                    <w:t xml:space="preserve">Docket: A-221-15 </w:t>
                  </w:r>
                </w:p>
                <w:p w:rsidR="00222D61" w:rsidRPr="00222D61" w:rsidRDefault="00222D61" w:rsidP="00222D61">
                  <w:pPr>
                    <w:jc w:val="both"/>
                    <w:rPr>
                      <w:sz w:val="20"/>
                    </w:rPr>
                  </w:pPr>
                </w:p>
              </w:tc>
              <w:tc>
                <w:tcPr>
                  <w:tcW w:w="267" w:type="pct"/>
                </w:tcPr>
                <w:p w:rsidR="00222D61" w:rsidRPr="00222D61" w:rsidRDefault="00222D61" w:rsidP="00222D61">
                  <w:pPr>
                    <w:jc w:val="both"/>
                    <w:rPr>
                      <w:sz w:val="20"/>
                    </w:rPr>
                  </w:pPr>
                </w:p>
              </w:tc>
              <w:tc>
                <w:tcPr>
                  <w:tcW w:w="2366" w:type="pct"/>
                </w:tcPr>
                <w:p w:rsidR="00222D61" w:rsidRPr="00222D61" w:rsidRDefault="00222D61" w:rsidP="00222D61">
                  <w:pPr>
                    <w:jc w:val="both"/>
                    <w:rPr>
                      <w:sz w:val="20"/>
                    </w:rPr>
                  </w:pPr>
                  <w:r w:rsidRPr="00222D61">
                    <w:rPr>
                      <w:sz w:val="20"/>
                    </w:rPr>
                    <w:t>Applicant’s appeal, dismissed.</w:t>
                  </w:r>
                </w:p>
                <w:p w:rsidR="00222D61" w:rsidRPr="00222D61" w:rsidRDefault="00222D61" w:rsidP="00222D61">
                  <w:pPr>
                    <w:jc w:val="both"/>
                    <w:rPr>
                      <w:sz w:val="20"/>
                    </w:rPr>
                  </w:pPr>
                </w:p>
              </w:tc>
            </w:tr>
            <w:tr w:rsidR="00222D61" w:rsidRPr="00222D61" w:rsidTr="006D2533">
              <w:tc>
                <w:tcPr>
                  <w:tcW w:w="2367" w:type="pct"/>
                </w:tcPr>
                <w:p w:rsidR="00222D61" w:rsidRPr="00222D61" w:rsidRDefault="00222D61" w:rsidP="00222D61">
                  <w:pPr>
                    <w:jc w:val="both"/>
                    <w:rPr>
                      <w:sz w:val="20"/>
                    </w:rPr>
                  </w:pPr>
                  <w:r w:rsidRPr="00222D61">
                    <w:rPr>
                      <w:sz w:val="20"/>
                    </w:rPr>
                    <w:t>September 28, 2016</w:t>
                  </w:r>
                </w:p>
                <w:p w:rsidR="00222D61" w:rsidRPr="00222D61" w:rsidRDefault="00222D61" w:rsidP="00222D61">
                  <w:pPr>
                    <w:jc w:val="both"/>
                    <w:rPr>
                      <w:sz w:val="20"/>
                    </w:rPr>
                  </w:pPr>
                  <w:r w:rsidRPr="00222D61">
                    <w:rPr>
                      <w:sz w:val="20"/>
                    </w:rPr>
                    <w:t>Supreme Court of Canada</w:t>
                  </w:r>
                </w:p>
              </w:tc>
              <w:tc>
                <w:tcPr>
                  <w:tcW w:w="267" w:type="pct"/>
                </w:tcPr>
                <w:p w:rsidR="00222D61" w:rsidRPr="00222D61" w:rsidRDefault="00222D61" w:rsidP="00222D61">
                  <w:pPr>
                    <w:jc w:val="both"/>
                    <w:rPr>
                      <w:sz w:val="20"/>
                    </w:rPr>
                  </w:pPr>
                </w:p>
              </w:tc>
              <w:tc>
                <w:tcPr>
                  <w:tcW w:w="2366" w:type="pct"/>
                </w:tcPr>
                <w:p w:rsidR="00222D61" w:rsidRPr="00222D61" w:rsidRDefault="00222D61" w:rsidP="00222D61">
                  <w:pPr>
                    <w:jc w:val="both"/>
                    <w:rPr>
                      <w:sz w:val="20"/>
                    </w:rPr>
                  </w:pPr>
                  <w:r w:rsidRPr="00222D61">
                    <w:rPr>
                      <w:sz w:val="20"/>
                    </w:rPr>
                    <w:t>Application for leave to appeal, filed.</w:t>
                  </w:r>
                </w:p>
              </w:tc>
            </w:tr>
          </w:tbl>
          <w:p w:rsidR="00222D61" w:rsidRPr="00222D61" w:rsidRDefault="00222D61" w:rsidP="00222D61">
            <w:pPr>
              <w:jc w:val="both"/>
              <w:rPr>
                <w:sz w:val="20"/>
              </w:rPr>
            </w:pPr>
          </w:p>
        </w:tc>
      </w:tr>
    </w:tbl>
    <w:p w:rsidR="00222D61" w:rsidRDefault="00222D61" w:rsidP="00222D61">
      <w:pPr>
        <w:jc w:val="both"/>
        <w:rPr>
          <w:sz w:val="20"/>
        </w:rPr>
      </w:pPr>
    </w:p>
    <w:p w:rsidR="00222D61" w:rsidRPr="00222D61" w:rsidRDefault="00222D61" w:rsidP="00222D6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8263"/>
      </w:tblGrid>
      <w:tr w:rsidR="00222D61" w:rsidRPr="00222D61" w:rsidTr="00E95A6A">
        <w:tc>
          <w:tcPr>
            <w:tcW w:w="543" w:type="pct"/>
          </w:tcPr>
          <w:p w:rsidR="00222D61" w:rsidRPr="00222D61" w:rsidRDefault="00222D61" w:rsidP="00222D61">
            <w:pPr>
              <w:jc w:val="both"/>
              <w:rPr>
                <w:sz w:val="20"/>
                <w:lang w:val="fr-CA"/>
              </w:rPr>
            </w:pPr>
            <w:r w:rsidRPr="00222D61">
              <w:rPr>
                <w:rStyle w:val="SCCFileNumberChar"/>
                <w:sz w:val="20"/>
                <w:szCs w:val="20"/>
                <w:lang w:val="fr-CA"/>
              </w:rPr>
              <w:t>37208</w:t>
            </w:r>
          </w:p>
        </w:tc>
        <w:tc>
          <w:tcPr>
            <w:tcW w:w="4457" w:type="pct"/>
          </w:tcPr>
          <w:p w:rsidR="00222D61" w:rsidRPr="00222D61" w:rsidRDefault="00222D61" w:rsidP="00222D61">
            <w:pPr>
              <w:pStyle w:val="SCCLsocParty"/>
              <w:jc w:val="both"/>
              <w:rPr>
                <w:b/>
                <w:sz w:val="20"/>
                <w:szCs w:val="20"/>
              </w:rPr>
            </w:pPr>
            <w:r w:rsidRPr="00222D61">
              <w:rPr>
                <w:b/>
                <w:sz w:val="20"/>
                <w:szCs w:val="20"/>
              </w:rPr>
              <w:t>Commission canadienne des droits de la personne c. Procureur général du Canada</w:t>
            </w:r>
          </w:p>
          <w:p w:rsidR="00222D61" w:rsidRPr="00222D61" w:rsidRDefault="00222D61" w:rsidP="00222D61">
            <w:pPr>
              <w:jc w:val="both"/>
              <w:rPr>
                <w:sz w:val="20"/>
                <w:lang w:val="fr-CA"/>
              </w:rPr>
            </w:pPr>
            <w:r w:rsidRPr="00222D61">
              <w:rPr>
                <w:sz w:val="20"/>
                <w:lang w:val="fr-CA"/>
              </w:rPr>
              <w:t>(CF) (Civile) (Sur autorisation)</w:t>
            </w:r>
          </w:p>
        </w:tc>
      </w:tr>
      <w:tr w:rsidR="00222D61" w:rsidRPr="00817781" w:rsidTr="00E95A6A">
        <w:tc>
          <w:tcPr>
            <w:tcW w:w="5000" w:type="pct"/>
            <w:gridSpan w:val="2"/>
          </w:tcPr>
          <w:p w:rsidR="00222D61" w:rsidRDefault="00222D61" w:rsidP="00222D61">
            <w:pPr>
              <w:jc w:val="both"/>
              <w:rPr>
                <w:sz w:val="20"/>
                <w:lang w:val="fr-CA"/>
              </w:rPr>
            </w:pPr>
            <w:r w:rsidRPr="00222D61">
              <w:rPr>
                <w:i/>
                <w:sz w:val="20"/>
                <w:lang w:val="fr-CA"/>
              </w:rPr>
              <w:t xml:space="preserve">Charte canadienne des droits et libertés </w:t>
            </w:r>
            <w:r w:rsidRPr="00222D61">
              <w:rPr>
                <w:sz w:val="20"/>
                <w:lang w:val="fr-CA"/>
              </w:rPr>
              <w:t>– Droits à l’égalité – Droit administratif – Norme de contrôle – Droits de la personne – Discrimination – Sens de l’expression « services destinés au public » que l’on trouve à l’art. 5 de la</w:t>
            </w:r>
            <w:r w:rsidRPr="00222D61">
              <w:rPr>
                <w:i/>
                <w:sz w:val="20"/>
                <w:lang w:val="fr-CA"/>
              </w:rPr>
              <w:t xml:space="preserve"> Loi canadienne sur les droits de la personne </w:t>
            </w:r>
            <w:r w:rsidRPr="00222D61">
              <w:rPr>
                <w:sz w:val="20"/>
                <w:lang w:val="fr-CA"/>
              </w:rPr>
              <w:t>– Droit des Autochtones – Statut d’« Indien » – Admissibilité à l’inscription sous le régime de la</w:t>
            </w:r>
            <w:r w:rsidRPr="00222D61">
              <w:rPr>
                <w:i/>
                <w:sz w:val="20"/>
                <w:lang w:val="fr-CA"/>
              </w:rPr>
              <w:t xml:space="preserve"> Loi sur les Indiens </w:t>
            </w:r>
            <w:r w:rsidRPr="00222D61">
              <w:rPr>
                <w:sz w:val="20"/>
                <w:lang w:val="fr-CA"/>
              </w:rPr>
              <w:t xml:space="preserve">– Les Cours fédérales </w:t>
            </w:r>
            <w:proofErr w:type="spellStart"/>
            <w:r w:rsidRPr="00222D61">
              <w:rPr>
                <w:sz w:val="20"/>
                <w:lang w:val="fr-CA"/>
              </w:rPr>
              <w:t>ont-elles</w:t>
            </w:r>
            <w:proofErr w:type="spellEnd"/>
            <w:r w:rsidRPr="00222D61">
              <w:rPr>
                <w:sz w:val="20"/>
                <w:lang w:val="fr-CA"/>
              </w:rPr>
              <w:t xml:space="preserve"> eu tort (i) d’appliquer la norme de contrôle </w:t>
            </w:r>
            <w:r w:rsidRPr="00222D61">
              <w:rPr>
                <w:sz w:val="20"/>
                <w:lang w:val="fr-CA"/>
              </w:rPr>
              <w:lastRenderedPageBreak/>
              <w:t xml:space="preserve">de la décision raisonnable, ou ont elles mal appliqué cette norme, dans leur appréciation des décisions contestées du Tribunal canadien des droits de la personne et </w:t>
            </w:r>
            <w:proofErr w:type="spellStart"/>
            <w:r w:rsidRPr="00222D61">
              <w:rPr>
                <w:sz w:val="20"/>
                <w:lang w:val="fr-CA"/>
              </w:rPr>
              <w:t>ont-elles</w:t>
            </w:r>
            <w:proofErr w:type="spellEnd"/>
            <w:r w:rsidRPr="00222D61">
              <w:rPr>
                <w:sz w:val="20"/>
                <w:lang w:val="fr-CA"/>
              </w:rPr>
              <w:t xml:space="preserve"> eu tort (ii) de donner une interprétation trop stricte à la protection contre la discrimination dans la prestation des services? – Peut-on s’appuyer sur l’art. 5 pour contester les refus d’avantages gouvernementaux fondés sur des critères d’admissibilité discriminatoires prévus dans les lois fédérales, ou bien la contestation </w:t>
            </w:r>
            <w:proofErr w:type="spellStart"/>
            <w:r w:rsidRPr="00222D61">
              <w:rPr>
                <w:sz w:val="20"/>
                <w:lang w:val="fr-CA"/>
              </w:rPr>
              <w:t>doit-elle</w:t>
            </w:r>
            <w:proofErr w:type="spellEnd"/>
            <w:r w:rsidRPr="00222D61">
              <w:rPr>
                <w:sz w:val="20"/>
                <w:lang w:val="fr-CA"/>
              </w:rPr>
              <w:t xml:space="preserve"> être présentée en application de l’art. 15 de la </w:t>
            </w:r>
            <w:r w:rsidRPr="00222D61">
              <w:rPr>
                <w:i/>
                <w:sz w:val="20"/>
                <w:lang w:val="fr-CA"/>
              </w:rPr>
              <w:t>Charte</w:t>
            </w:r>
            <w:r w:rsidRPr="00222D61">
              <w:rPr>
                <w:sz w:val="20"/>
                <w:lang w:val="fr-CA"/>
              </w:rPr>
              <w:t xml:space="preserve">? – </w:t>
            </w:r>
            <w:r w:rsidRPr="00222D61">
              <w:rPr>
                <w:i/>
                <w:sz w:val="20"/>
                <w:lang w:val="fr-CA"/>
              </w:rPr>
              <w:t>Charte canadienne des droits et libertés</w:t>
            </w:r>
            <w:r w:rsidRPr="00222D61">
              <w:rPr>
                <w:sz w:val="20"/>
                <w:lang w:val="fr-CA"/>
              </w:rPr>
              <w:t xml:space="preserve">, art. 15 – </w:t>
            </w:r>
            <w:r w:rsidRPr="00222D61">
              <w:rPr>
                <w:i/>
                <w:sz w:val="20"/>
                <w:lang w:val="fr-CA"/>
              </w:rPr>
              <w:t>Loi canadienne sur les droits de la personne</w:t>
            </w:r>
            <w:r w:rsidRPr="00222D61">
              <w:rPr>
                <w:sz w:val="20"/>
                <w:lang w:val="fr-CA"/>
              </w:rPr>
              <w:t xml:space="preserve">, L.R.C. 1985, ch. H-6, art. 5 – </w:t>
            </w:r>
            <w:r w:rsidRPr="00222D61">
              <w:rPr>
                <w:i/>
                <w:sz w:val="20"/>
                <w:lang w:val="fr-CA"/>
              </w:rPr>
              <w:t>Loi sur les Indiens</w:t>
            </w:r>
            <w:r w:rsidRPr="00222D61">
              <w:rPr>
                <w:sz w:val="20"/>
                <w:lang w:val="fr-CA"/>
              </w:rPr>
              <w:t>, L.R.C. 1985, ch. 1-5, art. 6.</w:t>
            </w:r>
          </w:p>
          <w:p w:rsidR="00222D61" w:rsidRPr="00222D61" w:rsidRDefault="00222D61" w:rsidP="00222D61">
            <w:pPr>
              <w:jc w:val="both"/>
              <w:rPr>
                <w:sz w:val="20"/>
                <w:lang w:val="fr-CA"/>
              </w:rPr>
            </w:pPr>
          </w:p>
        </w:tc>
      </w:tr>
      <w:tr w:rsidR="00222D61" w:rsidRPr="00817781" w:rsidTr="00E95A6A">
        <w:tc>
          <w:tcPr>
            <w:tcW w:w="5000" w:type="pct"/>
            <w:gridSpan w:val="2"/>
          </w:tcPr>
          <w:p w:rsidR="00222D61" w:rsidRDefault="00222D61" w:rsidP="00222D61">
            <w:pPr>
              <w:jc w:val="both"/>
              <w:rPr>
                <w:sz w:val="20"/>
                <w:lang w:val="fr-CA"/>
              </w:rPr>
            </w:pPr>
            <w:r w:rsidRPr="00222D61">
              <w:rPr>
                <w:sz w:val="20"/>
                <w:lang w:val="fr-CA"/>
              </w:rPr>
              <w:lastRenderedPageBreak/>
              <w:t xml:space="preserve">Plusieurs membres de deux Premières Nations ont déposé à la Commission canadienne des droits de la personne des plaintes sous le régime de la </w:t>
            </w:r>
            <w:r w:rsidRPr="00222D61">
              <w:rPr>
                <w:i/>
                <w:sz w:val="20"/>
                <w:lang w:val="fr-CA"/>
              </w:rPr>
              <w:t>Loi canadienne sur les droits de la personne</w:t>
            </w:r>
            <w:r w:rsidRPr="00222D61">
              <w:rPr>
                <w:sz w:val="20"/>
                <w:lang w:val="fr-CA"/>
              </w:rPr>
              <w:t>, L.R.C. 1985, ch. H-6 (« </w:t>
            </w:r>
            <w:r w:rsidRPr="00222D61">
              <w:rPr>
                <w:i/>
                <w:sz w:val="20"/>
                <w:lang w:val="fr-CA"/>
              </w:rPr>
              <w:t>LCDP</w:t>
            </w:r>
            <w:r w:rsidRPr="00222D61">
              <w:rPr>
                <w:sz w:val="20"/>
                <w:lang w:val="fr-CA"/>
              </w:rPr>
              <w:t xml:space="preserve"> »). Selon les plaignants, les critères d’admissibilité prévus à l’art. 6 de la </w:t>
            </w:r>
            <w:r w:rsidRPr="00222D61">
              <w:rPr>
                <w:i/>
                <w:sz w:val="20"/>
                <w:lang w:val="fr-CA"/>
              </w:rPr>
              <w:t>Loi sur les Indiens</w:t>
            </w:r>
            <w:r w:rsidRPr="00222D61">
              <w:rPr>
                <w:sz w:val="20"/>
                <w:lang w:val="fr-CA"/>
              </w:rPr>
              <w:t xml:space="preserve">, L.R.C. 1985, ch. I-5, qui empêchent l’inscription de leurs enfants comme « Indiens » dans leur situation particulière, violent leurs droits de la personne, parce que les restrictions contestées constituent de la discrimination illicite dans la prestation d’un service « destiné au public » visé par l’art. 5 de la </w:t>
            </w:r>
            <w:r w:rsidRPr="00222D61">
              <w:rPr>
                <w:i/>
                <w:sz w:val="20"/>
                <w:lang w:val="fr-CA"/>
              </w:rPr>
              <w:t>LCDP</w:t>
            </w:r>
            <w:r w:rsidRPr="00222D61">
              <w:rPr>
                <w:sz w:val="20"/>
                <w:lang w:val="fr-CA"/>
              </w:rPr>
              <w:t xml:space="preserve">. Dans deux décisions qui s’appuyaient sur l’arrêt </w:t>
            </w:r>
            <w:r w:rsidRPr="00222D61">
              <w:rPr>
                <w:i/>
                <w:sz w:val="20"/>
                <w:lang w:val="fr-CA"/>
              </w:rPr>
              <w:t>Alliance de la fonction publique du Canada c. Canada (Agence du revenu)</w:t>
            </w:r>
            <w:r w:rsidRPr="00222D61">
              <w:rPr>
                <w:sz w:val="20"/>
                <w:lang w:val="fr-CA"/>
              </w:rPr>
              <w:t xml:space="preserve">, 2012 CAF 7, 428 N.R. 240, le Tribunal canadien des droits de la personne a rejeté les plaintes, se déclarant incompétent. Ce faisant, le Tribunal a conclu que les plaintes constituaient des contestations directes de dispositions de la </w:t>
            </w:r>
            <w:r w:rsidRPr="00222D61">
              <w:rPr>
                <w:i/>
                <w:sz w:val="20"/>
                <w:lang w:val="fr-CA"/>
              </w:rPr>
              <w:t>Loi sur les Indiens</w:t>
            </w:r>
            <w:r w:rsidRPr="00222D61">
              <w:rPr>
                <w:sz w:val="20"/>
                <w:lang w:val="fr-CA"/>
              </w:rPr>
              <w:t xml:space="preserve"> et que l’adoption de la loi n’était pas un service destiné au public au sens de l’art. 5 de la </w:t>
            </w:r>
            <w:r w:rsidRPr="00222D61">
              <w:rPr>
                <w:i/>
                <w:sz w:val="20"/>
                <w:lang w:val="fr-CA"/>
              </w:rPr>
              <w:t>LCDP</w:t>
            </w:r>
            <w:r w:rsidRPr="00222D61">
              <w:rPr>
                <w:sz w:val="20"/>
                <w:lang w:val="fr-CA"/>
              </w:rPr>
              <w:t>. Le Tribunal a conclu qu’une telle contestation ne pouvait être présentée qu’en application de l’art. 15 de la</w:t>
            </w:r>
            <w:r w:rsidRPr="00222D61">
              <w:rPr>
                <w:i/>
                <w:sz w:val="20"/>
                <w:lang w:val="fr-CA"/>
              </w:rPr>
              <w:t xml:space="preserve"> Charte canadienne des droits et libertés </w:t>
            </w:r>
            <w:r w:rsidRPr="00222D61">
              <w:rPr>
                <w:sz w:val="20"/>
                <w:lang w:val="fr-CA"/>
              </w:rPr>
              <w:t>et qu’elle devait donc être présentée à une cour de justice. Appliquant la norme de contrôle de la décision raisonnable, la Cour fédérale a statué que les décisions du Tribunal étaient raisonnables et a rejeté les demandes de contrôle judiciaire de la Commission. La Cour d’appel fédérale a rejeté l’appel de la Commission.</w:t>
            </w:r>
          </w:p>
          <w:p w:rsidR="00222D61" w:rsidRPr="00222D61" w:rsidRDefault="00222D61" w:rsidP="00222D61">
            <w:pPr>
              <w:jc w:val="both"/>
              <w:rPr>
                <w:sz w:val="20"/>
                <w:lang w:val="fr-CA"/>
              </w:rPr>
            </w:pPr>
          </w:p>
        </w:tc>
      </w:tr>
      <w:tr w:rsidR="00222D61" w:rsidRPr="00817781" w:rsidTr="00E95A6A">
        <w:tc>
          <w:tcPr>
            <w:tcW w:w="5000" w:type="pct"/>
            <w:gridSpan w:val="2"/>
          </w:tcPr>
          <w:tbl>
            <w:tblPr>
              <w:tblW w:w="5000" w:type="pct"/>
              <w:tblLayout w:type="fixed"/>
              <w:tblCellMar>
                <w:left w:w="0" w:type="dxa"/>
                <w:right w:w="0" w:type="dxa"/>
              </w:tblCellMar>
              <w:tblLook w:val="04A0" w:firstRow="1" w:lastRow="0" w:firstColumn="1" w:lastColumn="0" w:noHBand="0" w:noVBand="1"/>
            </w:tblPr>
            <w:tblGrid>
              <w:gridCol w:w="4388"/>
              <w:gridCol w:w="495"/>
              <w:gridCol w:w="4387"/>
            </w:tblGrid>
            <w:tr w:rsidR="00222D61" w:rsidRPr="00817781" w:rsidTr="006D2533">
              <w:tc>
                <w:tcPr>
                  <w:tcW w:w="2367" w:type="pct"/>
                </w:tcPr>
                <w:p w:rsidR="00222D61" w:rsidRPr="00222D61" w:rsidRDefault="00222D61" w:rsidP="00222D61">
                  <w:pPr>
                    <w:jc w:val="both"/>
                    <w:rPr>
                      <w:sz w:val="20"/>
                      <w:lang w:val="fr-CA"/>
                    </w:rPr>
                  </w:pPr>
                  <w:r w:rsidRPr="00222D61">
                    <w:rPr>
                      <w:sz w:val="20"/>
                      <w:lang w:val="fr-CA"/>
                    </w:rPr>
                    <w:t>30 mars 2015</w:t>
                  </w:r>
                </w:p>
                <w:p w:rsidR="00222D61" w:rsidRPr="00222D61" w:rsidRDefault="00222D61" w:rsidP="00222D61">
                  <w:pPr>
                    <w:jc w:val="both"/>
                    <w:rPr>
                      <w:sz w:val="20"/>
                      <w:lang w:val="fr-CA"/>
                    </w:rPr>
                  </w:pPr>
                  <w:r w:rsidRPr="00222D61">
                    <w:rPr>
                      <w:sz w:val="20"/>
                      <w:lang w:val="fr-CA"/>
                    </w:rPr>
                    <w:t xml:space="preserve">Cour fédérale </w:t>
                  </w:r>
                </w:p>
                <w:p w:rsidR="00222D61" w:rsidRPr="00222D61" w:rsidRDefault="00222D61" w:rsidP="00222D61">
                  <w:pPr>
                    <w:jc w:val="both"/>
                    <w:rPr>
                      <w:sz w:val="20"/>
                      <w:lang w:val="fr-CA"/>
                    </w:rPr>
                  </w:pPr>
                  <w:r w:rsidRPr="00222D61">
                    <w:rPr>
                      <w:sz w:val="20"/>
                      <w:lang w:val="fr-CA"/>
                    </w:rPr>
                    <w:t xml:space="preserve">(Juge </w:t>
                  </w:r>
                  <w:proofErr w:type="spellStart"/>
                  <w:r w:rsidRPr="00222D61">
                    <w:rPr>
                      <w:sz w:val="20"/>
                      <w:lang w:val="fr-CA"/>
                    </w:rPr>
                    <w:t>McVeigh</w:t>
                  </w:r>
                  <w:proofErr w:type="spellEnd"/>
                  <w:r w:rsidRPr="00222D61">
                    <w:rPr>
                      <w:sz w:val="20"/>
                      <w:lang w:val="fr-CA"/>
                    </w:rPr>
                    <w:t>)</w:t>
                  </w:r>
                </w:p>
                <w:p w:rsidR="00222D61" w:rsidRPr="00222D61" w:rsidRDefault="00817781" w:rsidP="00222D61">
                  <w:pPr>
                    <w:jc w:val="both"/>
                    <w:rPr>
                      <w:sz w:val="20"/>
                      <w:lang w:val="fr-CA"/>
                    </w:rPr>
                  </w:pPr>
                  <w:r>
                    <w:fldChar w:fldCharType="begin"/>
                  </w:r>
                  <w:r w:rsidRPr="00817781">
                    <w:rPr>
                      <w:lang w:val="fr-CA"/>
                    </w:rPr>
                    <w:instrText xml:space="preserve"> HYPERLINK "https://www.canlii.org/en/ca/fct/doc/2015/2015fc398/2015fc398.html?autocompleteStr=2015%20FC%20398&amp;autocompletePos=1" </w:instrText>
                  </w:r>
                  <w:r>
                    <w:fldChar w:fldCharType="separate"/>
                  </w:r>
                  <w:r w:rsidR="00222D61" w:rsidRPr="00222D61">
                    <w:rPr>
                      <w:rStyle w:val="Hyperlink"/>
                      <w:sz w:val="20"/>
                      <w:lang w:val="fr-CA"/>
                    </w:rPr>
                    <w:t>2015 FC 398</w:t>
                  </w:r>
                  <w:r>
                    <w:rPr>
                      <w:rStyle w:val="Hyperlink"/>
                      <w:sz w:val="20"/>
                      <w:lang w:val="fr-CA"/>
                    </w:rPr>
                    <w:fldChar w:fldCharType="end"/>
                  </w:r>
                </w:p>
                <w:p w:rsidR="00222D61" w:rsidRPr="00222D61" w:rsidRDefault="00222D61" w:rsidP="00222D61">
                  <w:pPr>
                    <w:jc w:val="both"/>
                    <w:rPr>
                      <w:sz w:val="20"/>
                      <w:lang w:val="fr-CA"/>
                    </w:rPr>
                  </w:pPr>
                  <w:r w:rsidRPr="00222D61">
                    <w:rPr>
                      <w:sz w:val="20"/>
                      <w:lang w:val="fr-CA"/>
                    </w:rPr>
                    <w:t>N</w:t>
                  </w:r>
                  <w:r w:rsidRPr="00222D61">
                    <w:rPr>
                      <w:sz w:val="20"/>
                      <w:vertAlign w:val="superscript"/>
                      <w:lang w:val="fr-CA"/>
                    </w:rPr>
                    <w:t>os</w:t>
                  </w:r>
                  <w:r w:rsidRPr="00222D61">
                    <w:rPr>
                      <w:sz w:val="20"/>
                      <w:lang w:val="fr-CA"/>
                    </w:rPr>
                    <w:t xml:space="preserve"> du greffe : T-1088-13; T-1777-13 </w:t>
                  </w:r>
                </w:p>
                <w:p w:rsidR="00222D61" w:rsidRPr="00222D61" w:rsidRDefault="00222D61" w:rsidP="00222D61">
                  <w:pPr>
                    <w:jc w:val="both"/>
                    <w:rPr>
                      <w:sz w:val="20"/>
                      <w:lang w:val="fr-CA"/>
                    </w:rPr>
                  </w:pPr>
                </w:p>
              </w:tc>
              <w:tc>
                <w:tcPr>
                  <w:tcW w:w="267" w:type="pct"/>
                </w:tcPr>
                <w:p w:rsidR="00222D61" w:rsidRPr="00222D61" w:rsidRDefault="00222D61" w:rsidP="00222D61">
                  <w:pPr>
                    <w:jc w:val="both"/>
                    <w:rPr>
                      <w:sz w:val="20"/>
                      <w:lang w:val="fr-CA"/>
                    </w:rPr>
                  </w:pPr>
                </w:p>
              </w:tc>
              <w:tc>
                <w:tcPr>
                  <w:tcW w:w="2366" w:type="pct"/>
                </w:tcPr>
                <w:p w:rsidR="00222D61" w:rsidRPr="00222D61" w:rsidRDefault="00222D61" w:rsidP="00222D61">
                  <w:pPr>
                    <w:jc w:val="both"/>
                    <w:rPr>
                      <w:sz w:val="20"/>
                      <w:lang w:val="fr-CA"/>
                    </w:rPr>
                  </w:pPr>
                  <w:r w:rsidRPr="00222D61">
                    <w:rPr>
                      <w:sz w:val="20"/>
                      <w:lang w:val="fr-CA"/>
                    </w:rPr>
                    <w:t xml:space="preserve">Rejet des demandes de la demanderesse en contrôle judiciaire des décisions du Tribunal canadien des droits de la personne rejetant les plaintes déposées sous le régime de la </w:t>
                  </w:r>
                  <w:r w:rsidRPr="00222D61">
                    <w:rPr>
                      <w:i/>
                      <w:sz w:val="20"/>
                      <w:lang w:val="fr-CA"/>
                    </w:rPr>
                    <w:t>Loi canadienne sur les droits de la personne</w:t>
                  </w:r>
                  <w:r w:rsidRPr="00222D61">
                    <w:rPr>
                      <w:sz w:val="20"/>
                      <w:lang w:val="fr-CA"/>
                    </w:rPr>
                    <w:t>.</w:t>
                  </w:r>
                </w:p>
                <w:p w:rsidR="00222D61" w:rsidRPr="00222D61" w:rsidRDefault="00222D61" w:rsidP="00222D61">
                  <w:pPr>
                    <w:jc w:val="both"/>
                    <w:rPr>
                      <w:sz w:val="20"/>
                      <w:lang w:val="fr-CA"/>
                    </w:rPr>
                  </w:pPr>
                </w:p>
              </w:tc>
            </w:tr>
            <w:tr w:rsidR="00222D61" w:rsidRPr="00817781" w:rsidTr="006D2533">
              <w:tc>
                <w:tcPr>
                  <w:tcW w:w="2367" w:type="pct"/>
                </w:tcPr>
                <w:p w:rsidR="00222D61" w:rsidRPr="00222D61" w:rsidRDefault="00222D61" w:rsidP="00222D61">
                  <w:pPr>
                    <w:jc w:val="both"/>
                    <w:rPr>
                      <w:sz w:val="20"/>
                      <w:lang w:val="fr-CA"/>
                    </w:rPr>
                  </w:pPr>
                  <w:r w:rsidRPr="00222D61">
                    <w:rPr>
                      <w:sz w:val="20"/>
                      <w:lang w:val="fr-CA"/>
                    </w:rPr>
                    <w:t>21 juillet 2016</w:t>
                  </w:r>
                </w:p>
                <w:p w:rsidR="00222D61" w:rsidRPr="00222D61" w:rsidRDefault="00222D61" w:rsidP="00222D61">
                  <w:pPr>
                    <w:jc w:val="both"/>
                    <w:rPr>
                      <w:sz w:val="20"/>
                      <w:lang w:val="fr-CA"/>
                    </w:rPr>
                  </w:pPr>
                  <w:r w:rsidRPr="00222D61">
                    <w:rPr>
                      <w:sz w:val="20"/>
                      <w:lang w:val="fr-CA"/>
                    </w:rPr>
                    <w:t xml:space="preserve">Cour d’appel fédérale </w:t>
                  </w:r>
                </w:p>
                <w:p w:rsidR="00222D61" w:rsidRPr="00222D61" w:rsidRDefault="00222D61" w:rsidP="00222D61">
                  <w:pPr>
                    <w:jc w:val="both"/>
                    <w:rPr>
                      <w:sz w:val="20"/>
                      <w:lang w:val="fr-CA"/>
                    </w:rPr>
                  </w:pPr>
                  <w:r w:rsidRPr="00222D61">
                    <w:rPr>
                      <w:sz w:val="20"/>
                      <w:lang w:val="fr-CA"/>
                    </w:rPr>
                    <w:t xml:space="preserve">(Juges Pelletier, De Montigny et </w:t>
                  </w:r>
                  <w:proofErr w:type="spellStart"/>
                  <w:r w:rsidRPr="00222D61">
                    <w:rPr>
                      <w:sz w:val="20"/>
                      <w:lang w:val="fr-CA"/>
                    </w:rPr>
                    <w:t>Gleason</w:t>
                  </w:r>
                  <w:proofErr w:type="spellEnd"/>
                  <w:r w:rsidRPr="00222D61">
                    <w:rPr>
                      <w:sz w:val="20"/>
                      <w:lang w:val="fr-CA"/>
                    </w:rPr>
                    <w:t>)</w:t>
                  </w:r>
                </w:p>
                <w:p w:rsidR="00222D61" w:rsidRPr="00222D61" w:rsidRDefault="00817781" w:rsidP="00222D61">
                  <w:pPr>
                    <w:jc w:val="both"/>
                    <w:rPr>
                      <w:sz w:val="20"/>
                    </w:rPr>
                  </w:pPr>
                  <w:hyperlink r:id="rId33" w:history="1">
                    <w:r w:rsidR="00222D61" w:rsidRPr="00222D61">
                      <w:rPr>
                        <w:rStyle w:val="Hyperlink"/>
                        <w:sz w:val="20"/>
                      </w:rPr>
                      <w:t>2016 FCA 200</w:t>
                    </w:r>
                  </w:hyperlink>
                </w:p>
                <w:p w:rsidR="00222D61" w:rsidRPr="00222D61" w:rsidRDefault="00222D61" w:rsidP="00222D61">
                  <w:pPr>
                    <w:jc w:val="both"/>
                    <w:rPr>
                      <w:sz w:val="20"/>
                    </w:rPr>
                  </w:pPr>
                  <w:r w:rsidRPr="00222D61">
                    <w:rPr>
                      <w:sz w:val="20"/>
                    </w:rPr>
                    <w:t>N</w:t>
                  </w:r>
                  <w:r w:rsidRPr="00222D61">
                    <w:rPr>
                      <w:sz w:val="20"/>
                      <w:vertAlign w:val="superscript"/>
                    </w:rPr>
                    <w:t>o</w:t>
                  </w:r>
                  <w:r w:rsidRPr="00222D61">
                    <w:rPr>
                      <w:sz w:val="20"/>
                    </w:rPr>
                    <w:t xml:space="preserve"> du greffe : A-221-15 </w:t>
                  </w:r>
                </w:p>
                <w:p w:rsidR="00222D61" w:rsidRPr="00222D61" w:rsidRDefault="00222D61" w:rsidP="00222D61">
                  <w:pPr>
                    <w:jc w:val="both"/>
                    <w:rPr>
                      <w:sz w:val="20"/>
                    </w:rPr>
                  </w:pPr>
                </w:p>
              </w:tc>
              <w:tc>
                <w:tcPr>
                  <w:tcW w:w="267" w:type="pct"/>
                </w:tcPr>
                <w:p w:rsidR="00222D61" w:rsidRPr="00222D61" w:rsidRDefault="00222D61" w:rsidP="00222D61">
                  <w:pPr>
                    <w:jc w:val="both"/>
                    <w:rPr>
                      <w:sz w:val="20"/>
                    </w:rPr>
                  </w:pPr>
                </w:p>
              </w:tc>
              <w:tc>
                <w:tcPr>
                  <w:tcW w:w="2366" w:type="pct"/>
                </w:tcPr>
                <w:p w:rsidR="00222D61" w:rsidRPr="00222D61" w:rsidRDefault="00222D61" w:rsidP="00222D61">
                  <w:pPr>
                    <w:jc w:val="both"/>
                    <w:rPr>
                      <w:sz w:val="20"/>
                      <w:lang w:val="fr-CA"/>
                    </w:rPr>
                  </w:pPr>
                  <w:r w:rsidRPr="00222D61">
                    <w:rPr>
                      <w:sz w:val="20"/>
                      <w:lang w:val="fr-CA"/>
                    </w:rPr>
                    <w:t>Rejet de l’appel de la demanderesse.</w:t>
                  </w:r>
                </w:p>
                <w:p w:rsidR="00222D61" w:rsidRPr="00222D61" w:rsidRDefault="00222D61" w:rsidP="00222D61">
                  <w:pPr>
                    <w:jc w:val="both"/>
                    <w:rPr>
                      <w:sz w:val="20"/>
                      <w:lang w:val="fr-CA"/>
                    </w:rPr>
                  </w:pPr>
                </w:p>
              </w:tc>
            </w:tr>
            <w:tr w:rsidR="00222D61" w:rsidRPr="00817781" w:rsidTr="006D2533">
              <w:tc>
                <w:tcPr>
                  <w:tcW w:w="2367" w:type="pct"/>
                </w:tcPr>
                <w:p w:rsidR="00222D61" w:rsidRPr="00222D61" w:rsidRDefault="00222D61" w:rsidP="00222D61">
                  <w:pPr>
                    <w:jc w:val="both"/>
                    <w:rPr>
                      <w:sz w:val="20"/>
                      <w:lang w:val="fr-CA"/>
                    </w:rPr>
                  </w:pPr>
                  <w:r w:rsidRPr="00222D61">
                    <w:rPr>
                      <w:sz w:val="20"/>
                      <w:lang w:val="fr-CA"/>
                    </w:rPr>
                    <w:t>28 septembre 2016</w:t>
                  </w:r>
                </w:p>
                <w:p w:rsidR="00222D61" w:rsidRPr="00222D61" w:rsidRDefault="00222D61" w:rsidP="00222D61">
                  <w:pPr>
                    <w:jc w:val="both"/>
                    <w:rPr>
                      <w:sz w:val="20"/>
                      <w:lang w:val="fr-CA"/>
                    </w:rPr>
                  </w:pPr>
                  <w:r w:rsidRPr="00222D61">
                    <w:rPr>
                      <w:sz w:val="20"/>
                      <w:lang w:val="fr-CA"/>
                    </w:rPr>
                    <w:t>Cour suprême du Canada</w:t>
                  </w:r>
                </w:p>
              </w:tc>
              <w:tc>
                <w:tcPr>
                  <w:tcW w:w="267" w:type="pct"/>
                </w:tcPr>
                <w:p w:rsidR="00222D61" w:rsidRPr="00222D61" w:rsidRDefault="00222D61" w:rsidP="00222D61">
                  <w:pPr>
                    <w:jc w:val="both"/>
                    <w:rPr>
                      <w:sz w:val="20"/>
                      <w:lang w:val="fr-CA"/>
                    </w:rPr>
                  </w:pPr>
                </w:p>
              </w:tc>
              <w:tc>
                <w:tcPr>
                  <w:tcW w:w="2366" w:type="pct"/>
                </w:tcPr>
                <w:p w:rsidR="00222D61" w:rsidRPr="00222D61" w:rsidRDefault="00222D61" w:rsidP="00222D61">
                  <w:pPr>
                    <w:jc w:val="both"/>
                    <w:rPr>
                      <w:sz w:val="20"/>
                      <w:lang w:val="fr-CA"/>
                    </w:rPr>
                  </w:pPr>
                  <w:r w:rsidRPr="00222D61">
                    <w:rPr>
                      <w:sz w:val="20"/>
                      <w:lang w:val="fr-CA"/>
                    </w:rPr>
                    <w:t>Dépôt de la demande d’autorisation d’appel.</w:t>
                  </w:r>
                </w:p>
              </w:tc>
            </w:tr>
          </w:tbl>
          <w:p w:rsidR="00222D61" w:rsidRPr="00222D61" w:rsidRDefault="00222D61" w:rsidP="00222D61">
            <w:pPr>
              <w:jc w:val="both"/>
              <w:rPr>
                <w:sz w:val="20"/>
                <w:lang w:val="fr-CA"/>
              </w:rPr>
            </w:pPr>
          </w:p>
        </w:tc>
      </w:tr>
    </w:tbl>
    <w:p w:rsidR="00222D61" w:rsidRPr="00222D61" w:rsidRDefault="00222D61" w:rsidP="00222D61">
      <w:pPr>
        <w:jc w:val="both"/>
        <w:rPr>
          <w:sz w:val="20"/>
          <w:lang w:val="fr-CA"/>
        </w:rPr>
      </w:pPr>
    </w:p>
    <w:p w:rsidR="00222D61" w:rsidRPr="00222D61" w:rsidRDefault="00222D61" w:rsidP="00222D61">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22D61" w:rsidRPr="00222D61" w:rsidTr="00E95A6A">
        <w:tc>
          <w:tcPr>
            <w:tcW w:w="543" w:type="pct"/>
          </w:tcPr>
          <w:p w:rsidR="00222D61" w:rsidRPr="00222D61" w:rsidRDefault="00222D61" w:rsidP="00222D61">
            <w:pPr>
              <w:jc w:val="both"/>
              <w:rPr>
                <w:sz w:val="20"/>
                <w:lang w:val="en-CA"/>
              </w:rPr>
            </w:pPr>
            <w:r w:rsidRPr="00222D61">
              <w:rPr>
                <w:rStyle w:val="SCCFileNumberChar"/>
                <w:sz w:val="20"/>
                <w:szCs w:val="20"/>
              </w:rPr>
              <w:t>37350</w:t>
            </w:r>
          </w:p>
        </w:tc>
        <w:tc>
          <w:tcPr>
            <w:tcW w:w="4457" w:type="pct"/>
            <w:gridSpan w:val="3"/>
          </w:tcPr>
          <w:p w:rsidR="00222D61" w:rsidRPr="00222D61" w:rsidRDefault="00222D61" w:rsidP="00222D61">
            <w:pPr>
              <w:pStyle w:val="SCCLsocParty"/>
              <w:jc w:val="both"/>
              <w:rPr>
                <w:b/>
                <w:sz w:val="20"/>
                <w:szCs w:val="20"/>
                <w:lang w:val="en-CA"/>
              </w:rPr>
            </w:pPr>
            <w:r w:rsidRPr="00222D61">
              <w:rPr>
                <w:b/>
                <w:sz w:val="20"/>
                <w:szCs w:val="20"/>
                <w:lang w:val="en-CA"/>
              </w:rPr>
              <w:t>Gemma A. Le Bouthillier v. J.M. Bastille Inc., a corporation, Claude Boudreau</w:t>
            </w:r>
          </w:p>
          <w:p w:rsidR="00222D61" w:rsidRPr="00222D61" w:rsidRDefault="00222D61" w:rsidP="00222D61">
            <w:pPr>
              <w:jc w:val="both"/>
              <w:rPr>
                <w:sz w:val="20"/>
                <w:lang w:val="en-CA"/>
              </w:rPr>
            </w:pPr>
            <w:r w:rsidRPr="00222D61">
              <w:rPr>
                <w:sz w:val="20"/>
                <w:lang w:val="en-CA"/>
              </w:rPr>
              <w:t>(N.B.) (Civil) (By Leave)</w:t>
            </w:r>
          </w:p>
        </w:tc>
      </w:tr>
      <w:tr w:rsidR="00222D61" w:rsidRPr="00222D61" w:rsidTr="00E95A6A">
        <w:tc>
          <w:tcPr>
            <w:tcW w:w="5000" w:type="pct"/>
            <w:gridSpan w:val="4"/>
          </w:tcPr>
          <w:p w:rsidR="00222D61" w:rsidRPr="00222D61" w:rsidRDefault="00222D61" w:rsidP="00222D61">
            <w:pPr>
              <w:jc w:val="both"/>
              <w:rPr>
                <w:sz w:val="20"/>
                <w:lang w:val="en-CA"/>
              </w:rPr>
            </w:pPr>
            <w:r w:rsidRPr="00222D61">
              <w:rPr>
                <w:sz w:val="20"/>
                <w:lang w:val="en-CA"/>
              </w:rPr>
              <w:t>Procedure – Appeal – Dismissal of appeal – Insurance – Accident – Motor vehicles – Compensation – Reimbursement for lost wages and injuries suffered – Whether courts below erred in assessing damages at issue.</w:t>
            </w:r>
          </w:p>
        </w:tc>
      </w:tr>
      <w:tr w:rsidR="00222D61" w:rsidRPr="00222D61" w:rsidTr="00E95A6A">
        <w:tc>
          <w:tcPr>
            <w:tcW w:w="5000" w:type="pct"/>
            <w:gridSpan w:val="4"/>
          </w:tcPr>
          <w:p w:rsidR="00222D61" w:rsidRPr="00222D61" w:rsidRDefault="00222D61" w:rsidP="00222D61">
            <w:pPr>
              <w:jc w:val="both"/>
              <w:rPr>
                <w:sz w:val="20"/>
                <w:lang w:val="en-CA"/>
              </w:rPr>
            </w:pPr>
          </w:p>
        </w:tc>
      </w:tr>
      <w:tr w:rsidR="00222D61" w:rsidRPr="00222D61" w:rsidTr="00E95A6A">
        <w:tc>
          <w:tcPr>
            <w:tcW w:w="5000" w:type="pct"/>
            <w:gridSpan w:val="4"/>
          </w:tcPr>
          <w:p w:rsidR="00222D61" w:rsidRPr="00222D61" w:rsidRDefault="00222D61" w:rsidP="00222D61">
            <w:pPr>
              <w:jc w:val="both"/>
              <w:rPr>
                <w:sz w:val="20"/>
                <w:lang w:val="en-CA"/>
              </w:rPr>
            </w:pPr>
            <w:r w:rsidRPr="00222D61">
              <w:rPr>
                <w:sz w:val="20"/>
                <w:lang w:val="en-CA"/>
              </w:rPr>
              <w:t xml:space="preserve">On June 24, 2004, the applicant was injured in a motor vehicle accident after she swerved to avoid colliding with a Freightliner </w:t>
            </w:r>
            <w:proofErr w:type="gramStart"/>
            <w:r w:rsidRPr="00222D61">
              <w:rPr>
                <w:sz w:val="20"/>
                <w:lang w:val="en-CA"/>
              </w:rPr>
              <w:t>tractor trailer</w:t>
            </w:r>
            <w:proofErr w:type="gramEnd"/>
            <w:r w:rsidRPr="00222D61">
              <w:rPr>
                <w:sz w:val="20"/>
                <w:lang w:val="en-CA"/>
              </w:rPr>
              <w:t xml:space="preserve"> (“Freightliner”) and lost control of her vehicle. The accident occurred as she tried to overtake the Freightliner once its driver indicated his intention to turn right. In the process of making the right turn, the Freightliner made a wide sweep to the left and encroached upon the lane of traffic occupied by the applicant. She commenced an action against the owner and driver of the Freightliner, alleging that they were solely responsible for the accident and claiming damages for injuries suffered. The trial judge in 2013 found the applicant solely responsible for the accident. On appeal, the Court of Appeal allowed the appeal and ordered a new trial on the issues of liability and damages (2014 NBCA 73).</w:t>
            </w:r>
          </w:p>
          <w:p w:rsidR="00222D61" w:rsidRPr="00222D61" w:rsidRDefault="00222D61" w:rsidP="00222D61">
            <w:pPr>
              <w:jc w:val="both"/>
              <w:rPr>
                <w:sz w:val="20"/>
                <w:lang w:val="en-CA"/>
              </w:rPr>
            </w:pPr>
          </w:p>
        </w:tc>
      </w:tr>
      <w:tr w:rsidR="00222D61" w:rsidRPr="00222D61" w:rsidTr="00E95A6A">
        <w:tc>
          <w:tcPr>
            <w:tcW w:w="2427" w:type="pct"/>
            <w:gridSpan w:val="2"/>
          </w:tcPr>
          <w:p w:rsidR="00222D61" w:rsidRPr="00222D61" w:rsidRDefault="00222D61" w:rsidP="00222D61">
            <w:pPr>
              <w:jc w:val="both"/>
              <w:rPr>
                <w:sz w:val="20"/>
                <w:lang w:val="en-CA"/>
              </w:rPr>
            </w:pPr>
            <w:r w:rsidRPr="00222D61">
              <w:rPr>
                <w:sz w:val="20"/>
                <w:lang w:val="en-CA"/>
              </w:rPr>
              <w:lastRenderedPageBreak/>
              <w:t>November 5, 2015</w:t>
            </w:r>
          </w:p>
          <w:p w:rsidR="00222D61" w:rsidRPr="00222D61" w:rsidRDefault="00222D61" w:rsidP="00222D61">
            <w:pPr>
              <w:jc w:val="both"/>
              <w:rPr>
                <w:sz w:val="20"/>
                <w:lang w:val="en-CA"/>
              </w:rPr>
            </w:pPr>
            <w:r w:rsidRPr="00222D61">
              <w:rPr>
                <w:sz w:val="20"/>
                <w:lang w:val="en-CA"/>
              </w:rPr>
              <w:t>New Brunswick Court of Queen’s Bench</w:t>
            </w:r>
          </w:p>
          <w:p w:rsidR="00222D61" w:rsidRPr="00222D61" w:rsidRDefault="00222D61" w:rsidP="00222D61">
            <w:pPr>
              <w:jc w:val="both"/>
              <w:rPr>
                <w:sz w:val="20"/>
                <w:lang w:val="en-CA"/>
              </w:rPr>
            </w:pPr>
            <w:r w:rsidRPr="00222D61">
              <w:rPr>
                <w:sz w:val="20"/>
                <w:lang w:val="en-CA"/>
              </w:rPr>
              <w:t>(DeWare J.)</w:t>
            </w:r>
          </w:p>
          <w:p w:rsidR="00222D61" w:rsidRPr="00222D61" w:rsidRDefault="00817781" w:rsidP="00222D61">
            <w:pPr>
              <w:jc w:val="both"/>
              <w:rPr>
                <w:sz w:val="20"/>
                <w:lang w:val="en-CA" w:eastAsia="en-CA"/>
              </w:rPr>
            </w:pPr>
            <w:hyperlink r:id="rId34" w:history="1">
              <w:r w:rsidR="00222D61" w:rsidRPr="00222D61">
                <w:rPr>
                  <w:color w:val="0000FF" w:themeColor="hyperlink"/>
                  <w:sz w:val="20"/>
                  <w:u w:val="single"/>
                  <w:lang w:val="en-CA" w:eastAsia="en-CA"/>
                </w:rPr>
                <w:t>2015 NBQB 190</w:t>
              </w:r>
            </w:hyperlink>
          </w:p>
          <w:p w:rsidR="00222D61" w:rsidRPr="00222D61" w:rsidRDefault="00222D61" w:rsidP="00222D61">
            <w:pPr>
              <w:jc w:val="both"/>
              <w:rPr>
                <w:sz w:val="20"/>
                <w:lang w:val="en-CA"/>
              </w:rPr>
            </w:pPr>
          </w:p>
        </w:tc>
        <w:tc>
          <w:tcPr>
            <w:tcW w:w="243" w:type="pct"/>
          </w:tcPr>
          <w:p w:rsidR="00222D61" w:rsidRPr="00222D61" w:rsidRDefault="00222D61" w:rsidP="00222D61">
            <w:pPr>
              <w:jc w:val="both"/>
              <w:rPr>
                <w:sz w:val="20"/>
                <w:lang w:val="en-CA"/>
              </w:rPr>
            </w:pPr>
          </w:p>
        </w:tc>
        <w:tc>
          <w:tcPr>
            <w:tcW w:w="2330" w:type="pct"/>
          </w:tcPr>
          <w:p w:rsidR="00222D61" w:rsidRPr="00222D61" w:rsidRDefault="00222D61" w:rsidP="00222D61">
            <w:pPr>
              <w:jc w:val="both"/>
              <w:rPr>
                <w:sz w:val="20"/>
                <w:lang w:val="en-CA"/>
              </w:rPr>
            </w:pPr>
            <w:r w:rsidRPr="00222D61">
              <w:rPr>
                <w:sz w:val="20"/>
                <w:lang w:val="en-CA"/>
              </w:rPr>
              <w:t>Second trial on liability and damages: Freightliner driver found 80% liable and applicant found 20% liable; damages assessed at $8,973.51</w:t>
            </w:r>
          </w:p>
          <w:p w:rsidR="00222D61" w:rsidRPr="00222D61" w:rsidRDefault="00222D61" w:rsidP="00222D61">
            <w:pPr>
              <w:jc w:val="both"/>
              <w:rPr>
                <w:sz w:val="20"/>
                <w:lang w:val="en-CA"/>
              </w:rPr>
            </w:pPr>
          </w:p>
        </w:tc>
      </w:tr>
      <w:tr w:rsidR="00222D61" w:rsidRPr="00222D61" w:rsidTr="00E95A6A">
        <w:tc>
          <w:tcPr>
            <w:tcW w:w="2427" w:type="pct"/>
            <w:gridSpan w:val="2"/>
          </w:tcPr>
          <w:p w:rsidR="00222D61" w:rsidRPr="00222D61" w:rsidRDefault="00222D61" w:rsidP="00222D61">
            <w:pPr>
              <w:jc w:val="both"/>
              <w:rPr>
                <w:sz w:val="20"/>
                <w:lang w:val="en-CA"/>
              </w:rPr>
            </w:pPr>
            <w:r w:rsidRPr="00222D61">
              <w:rPr>
                <w:sz w:val="20"/>
                <w:lang w:val="en-CA"/>
              </w:rPr>
              <w:t>August 11, 2016</w:t>
            </w:r>
          </w:p>
          <w:p w:rsidR="00222D61" w:rsidRPr="00222D61" w:rsidRDefault="00222D61" w:rsidP="00222D61">
            <w:pPr>
              <w:jc w:val="both"/>
              <w:rPr>
                <w:sz w:val="20"/>
                <w:lang w:val="en-CA"/>
              </w:rPr>
            </w:pPr>
            <w:r w:rsidRPr="00222D61">
              <w:rPr>
                <w:sz w:val="20"/>
                <w:lang w:val="en-CA"/>
              </w:rPr>
              <w:t>New Brunswick Court of Appeal</w:t>
            </w:r>
          </w:p>
          <w:p w:rsidR="00222D61" w:rsidRPr="00222D61" w:rsidRDefault="00222D61" w:rsidP="00222D61">
            <w:pPr>
              <w:jc w:val="both"/>
              <w:rPr>
                <w:sz w:val="20"/>
                <w:lang w:val="en-CA"/>
              </w:rPr>
            </w:pPr>
            <w:r w:rsidRPr="00222D61">
              <w:rPr>
                <w:sz w:val="20"/>
                <w:lang w:val="en-CA"/>
              </w:rPr>
              <w:t>(Larlee, Richard and Quigg JJ.A.)</w:t>
            </w:r>
          </w:p>
          <w:p w:rsidR="00222D61" w:rsidRPr="00222D61" w:rsidRDefault="00817781" w:rsidP="00222D61">
            <w:pPr>
              <w:jc w:val="both"/>
              <w:rPr>
                <w:sz w:val="20"/>
                <w:lang w:val="en-CA" w:eastAsia="en-CA"/>
              </w:rPr>
            </w:pPr>
            <w:hyperlink r:id="rId35" w:history="1">
              <w:r w:rsidR="00222D61" w:rsidRPr="00222D61">
                <w:rPr>
                  <w:color w:val="0000FF" w:themeColor="hyperlink"/>
                  <w:sz w:val="20"/>
                  <w:u w:val="single"/>
                  <w:lang w:val="en-CA" w:eastAsia="en-CA"/>
                </w:rPr>
                <w:t>2016 NBCA 39</w:t>
              </w:r>
            </w:hyperlink>
          </w:p>
          <w:p w:rsidR="00222D61" w:rsidRPr="00222D61" w:rsidRDefault="00222D61" w:rsidP="00222D61">
            <w:pPr>
              <w:jc w:val="both"/>
              <w:rPr>
                <w:sz w:val="20"/>
                <w:lang w:val="en-CA"/>
              </w:rPr>
            </w:pPr>
          </w:p>
        </w:tc>
        <w:tc>
          <w:tcPr>
            <w:tcW w:w="243" w:type="pct"/>
          </w:tcPr>
          <w:p w:rsidR="00222D61" w:rsidRPr="00222D61" w:rsidRDefault="00222D61" w:rsidP="00222D61">
            <w:pPr>
              <w:jc w:val="both"/>
              <w:rPr>
                <w:sz w:val="20"/>
                <w:lang w:val="en-CA"/>
              </w:rPr>
            </w:pPr>
          </w:p>
        </w:tc>
        <w:tc>
          <w:tcPr>
            <w:tcW w:w="2330" w:type="pct"/>
          </w:tcPr>
          <w:p w:rsidR="00222D61" w:rsidRPr="00222D61" w:rsidRDefault="00222D61" w:rsidP="00222D61">
            <w:pPr>
              <w:jc w:val="both"/>
              <w:rPr>
                <w:sz w:val="20"/>
                <w:lang w:val="en-CA"/>
              </w:rPr>
            </w:pPr>
            <w:r w:rsidRPr="00222D61">
              <w:rPr>
                <w:sz w:val="20"/>
                <w:lang w:val="en-CA"/>
              </w:rPr>
              <w:t>Appeal dismissed</w:t>
            </w:r>
          </w:p>
          <w:p w:rsidR="00222D61" w:rsidRPr="00222D61" w:rsidRDefault="00222D61" w:rsidP="00222D61">
            <w:pPr>
              <w:jc w:val="both"/>
              <w:rPr>
                <w:sz w:val="20"/>
                <w:lang w:val="en-CA"/>
              </w:rPr>
            </w:pPr>
          </w:p>
        </w:tc>
      </w:tr>
      <w:tr w:rsidR="00222D61" w:rsidRPr="00222D61" w:rsidTr="00E95A6A">
        <w:tc>
          <w:tcPr>
            <w:tcW w:w="2427" w:type="pct"/>
            <w:gridSpan w:val="2"/>
          </w:tcPr>
          <w:p w:rsidR="00222D61" w:rsidRPr="00222D61" w:rsidRDefault="00222D61" w:rsidP="00222D61">
            <w:pPr>
              <w:jc w:val="both"/>
              <w:rPr>
                <w:sz w:val="20"/>
                <w:lang w:val="en-CA"/>
              </w:rPr>
            </w:pPr>
            <w:r w:rsidRPr="00222D61">
              <w:rPr>
                <w:sz w:val="20"/>
                <w:lang w:val="en-CA"/>
              </w:rPr>
              <w:t>December 5, 2016</w:t>
            </w:r>
          </w:p>
          <w:p w:rsidR="00222D61" w:rsidRPr="00222D61" w:rsidRDefault="00222D61" w:rsidP="00222D61">
            <w:pPr>
              <w:jc w:val="both"/>
              <w:rPr>
                <w:sz w:val="20"/>
                <w:lang w:val="en-CA"/>
              </w:rPr>
            </w:pPr>
            <w:r w:rsidRPr="00222D61">
              <w:rPr>
                <w:sz w:val="20"/>
                <w:lang w:val="en-CA"/>
              </w:rPr>
              <w:t xml:space="preserve">Supreme Court of </w:t>
            </w:r>
            <w:proofErr w:type="spellStart"/>
            <w:r>
              <w:rPr>
                <w:sz w:val="20"/>
                <w:lang w:val="en-CA"/>
              </w:rPr>
              <w:t>Canad</w:t>
            </w:r>
            <w:proofErr w:type="spellEnd"/>
          </w:p>
          <w:p w:rsidR="00222D61" w:rsidRPr="00222D61" w:rsidRDefault="00222D61" w:rsidP="00222D61">
            <w:pPr>
              <w:jc w:val="both"/>
              <w:rPr>
                <w:sz w:val="20"/>
                <w:lang w:val="en-CA"/>
              </w:rPr>
            </w:pPr>
          </w:p>
        </w:tc>
        <w:tc>
          <w:tcPr>
            <w:tcW w:w="243" w:type="pct"/>
          </w:tcPr>
          <w:p w:rsidR="00222D61" w:rsidRPr="00222D61" w:rsidRDefault="00222D61" w:rsidP="00222D61">
            <w:pPr>
              <w:jc w:val="both"/>
              <w:rPr>
                <w:sz w:val="20"/>
                <w:lang w:val="en-CA"/>
              </w:rPr>
            </w:pPr>
          </w:p>
        </w:tc>
        <w:tc>
          <w:tcPr>
            <w:tcW w:w="2330" w:type="pct"/>
          </w:tcPr>
          <w:p w:rsidR="00222D61" w:rsidRPr="00222D61" w:rsidRDefault="00222D61" w:rsidP="00222D61">
            <w:pPr>
              <w:jc w:val="both"/>
              <w:rPr>
                <w:sz w:val="20"/>
                <w:lang w:val="en-CA"/>
              </w:rPr>
            </w:pPr>
            <w:r w:rsidRPr="00222D61">
              <w:rPr>
                <w:sz w:val="20"/>
                <w:lang w:val="en-CA"/>
              </w:rPr>
              <w:t>Application to extend time to serve and file application for leave to appeal and application for leave to appeal filed</w:t>
            </w:r>
          </w:p>
        </w:tc>
      </w:tr>
    </w:tbl>
    <w:p w:rsidR="00222D61" w:rsidRDefault="00222D61" w:rsidP="00222D61">
      <w:pPr>
        <w:jc w:val="both"/>
        <w:rPr>
          <w:sz w:val="20"/>
          <w:lang w:val="en-CA"/>
        </w:rPr>
      </w:pPr>
    </w:p>
    <w:p w:rsidR="00222D61" w:rsidRPr="00222D61" w:rsidRDefault="00222D61" w:rsidP="00222D61">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22D61" w:rsidRPr="00222D61" w:rsidTr="00E95A6A">
        <w:tc>
          <w:tcPr>
            <w:tcW w:w="543" w:type="pct"/>
          </w:tcPr>
          <w:p w:rsidR="00222D61" w:rsidRPr="00222D61" w:rsidRDefault="00222D61" w:rsidP="00222D61">
            <w:pPr>
              <w:jc w:val="both"/>
              <w:rPr>
                <w:sz w:val="20"/>
              </w:rPr>
            </w:pPr>
            <w:r w:rsidRPr="00222D61">
              <w:rPr>
                <w:rStyle w:val="SCCFileNumberChar"/>
                <w:sz w:val="20"/>
                <w:szCs w:val="20"/>
              </w:rPr>
              <w:t>37350</w:t>
            </w:r>
          </w:p>
        </w:tc>
        <w:tc>
          <w:tcPr>
            <w:tcW w:w="4457" w:type="pct"/>
            <w:gridSpan w:val="3"/>
          </w:tcPr>
          <w:p w:rsidR="00222D61" w:rsidRPr="00222D61" w:rsidRDefault="00222D61" w:rsidP="00222D61">
            <w:pPr>
              <w:pStyle w:val="SCCLsocParty"/>
              <w:jc w:val="both"/>
              <w:rPr>
                <w:b/>
                <w:sz w:val="20"/>
                <w:szCs w:val="20"/>
              </w:rPr>
            </w:pPr>
            <w:r w:rsidRPr="00222D61">
              <w:rPr>
                <w:b/>
                <w:sz w:val="20"/>
                <w:szCs w:val="20"/>
              </w:rPr>
              <w:t>Gemma A. Le Bouthillier c. J.M. Bastille inc., une corporation, Claude Boudreau</w:t>
            </w:r>
          </w:p>
          <w:p w:rsidR="00222D61" w:rsidRPr="00222D61" w:rsidRDefault="00222D61" w:rsidP="00222D61">
            <w:pPr>
              <w:jc w:val="both"/>
              <w:rPr>
                <w:sz w:val="20"/>
              </w:rPr>
            </w:pPr>
            <w:r w:rsidRPr="00222D61">
              <w:rPr>
                <w:sz w:val="20"/>
              </w:rPr>
              <w:t>(N.-B.) (Civile) (Autorisation)</w:t>
            </w:r>
          </w:p>
        </w:tc>
      </w:tr>
      <w:tr w:rsidR="00222D61" w:rsidRPr="00817781" w:rsidTr="00E95A6A">
        <w:tc>
          <w:tcPr>
            <w:tcW w:w="5000" w:type="pct"/>
            <w:gridSpan w:val="4"/>
          </w:tcPr>
          <w:p w:rsidR="00222D61" w:rsidRPr="00222D61" w:rsidRDefault="00222D61" w:rsidP="00222D61">
            <w:pPr>
              <w:jc w:val="both"/>
              <w:rPr>
                <w:sz w:val="20"/>
                <w:lang w:val="fr-CA"/>
              </w:rPr>
            </w:pPr>
            <w:r w:rsidRPr="00222D61">
              <w:rPr>
                <w:sz w:val="20"/>
                <w:lang w:val="fr-CA"/>
              </w:rPr>
              <w:t>Procédure – Appel – Rejet d’appel – Assurance – Accident – Véhicules automobiles – Indemnisation – Remboursement de salaires perdus et préjudices vécus – Est-ce que les cours inférieures ont errés en évaluant les dommages-intérêts en cause?</w:t>
            </w:r>
          </w:p>
        </w:tc>
      </w:tr>
      <w:tr w:rsidR="00222D61" w:rsidRPr="00817781" w:rsidTr="00E95A6A">
        <w:tc>
          <w:tcPr>
            <w:tcW w:w="5000" w:type="pct"/>
            <w:gridSpan w:val="4"/>
          </w:tcPr>
          <w:p w:rsidR="00222D61" w:rsidRPr="00222D61" w:rsidRDefault="00222D61" w:rsidP="00222D61">
            <w:pPr>
              <w:jc w:val="both"/>
              <w:rPr>
                <w:sz w:val="20"/>
                <w:lang w:val="fr-CA"/>
              </w:rPr>
            </w:pPr>
          </w:p>
        </w:tc>
      </w:tr>
      <w:tr w:rsidR="00222D61" w:rsidRPr="00817781" w:rsidTr="00E95A6A">
        <w:tc>
          <w:tcPr>
            <w:tcW w:w="5000" w:type="pct"/>
            <w:gridSpan w:val="4"/>
          </w:tcPr>
          <w:p w:rsidR="00222D61" w:rsidRPr="00222D61" w:rsidRDefault="00222D61" w:rsidP="00222D61">
            <w:pPr>
              <w:jc w:val="both"/>
              <w:rPr>
                <w:sz w:val="20"/>
                <w:lang w:val="fr-CA"/>
              </w:rPr>
            </w:pPr>
            <w:r w:rsidRPr="00222D61">
              <w:rPr>
                <w:sz w:val="20"/>
                <w:lang w:val="fr-CA"/>
              </w:rPr>
              <w:t xml:space="preserve">Le 24 juin 2004, la demanderesse a subi des blessures suite à un accident de la route survenu lorsqu’elle a fait une embardée afin d’éviter une collision avec une semi-remorque </w:t>
            </w:r>
            <w:proofErr w:type="spellStart"/>
            <w:r w:rsidRPr="00222D61">
              <w:rPr>
                <w:sz w:val="20"/>
                <w:lang w:val="fr-CA"/>
              </w:rPr>
              <w:t>Freightliner</w:t>
            </w:r>
            <w:proofErr w:type="spellEnd"/>
            <w:r w:rsidRPr="00222D61">
              <w:rPr>
                <w:sz w:val="20"/>
                <w:lang w:val="fr-CA"/>
              </w:rPr>
              <w:t xml:space="preserve"> (« </w:t>
            </w:r>
            <w:proofErr w:type="spellStart"/>
            <w:r w:rsidRPr="00222D61">
              <w:rPr>
                <w:sz w:val="20"/>
                <w:lang w:val="fr-CA"/>
              </w:rPr>
              <w:t>Freightliner</w:t>
            </w:r>
            <w:proofErr w:type="spellEnd"/>
            <w:r w:rsidRPr="00222D61">
              <w:rPr>
                <w:sz w:val="20"/>
                <w:lang w:val="fr-CA"/>
              </w:rPr>
              <w:t xml:space="preserve"> ») et a perdu la maîtrise de sa voiture. L’accident est survenu alors qu’elle tentait de dépasser le </w:t>
            </w:r>
            <w:proofErr w:type="spellStart"/>
            <w:r w:rsidRPr="00222D61">
              <w:rPr>
                <w:sz w:val="20"/>
                <w:lang w:val="fr-CA"/>
              </w:rPr>
              <w:t>Freightliner</w:t>
            </w:r>
            <w:proofErr w:type="spellEnd"/>
            <w:r w:rsidRPr="00222D61">
              <w:rPr>
                <w:sz w:val="20"/>
                <w:lang w:val="fr-CA"/>
              </w:rPr>
              <w:t xml:space="preserve">, le conducteur ayant indiqué son intention de faire un virage à droite. Afin de virer à droite, le </w:t>
            </w:r>
            <w:proofErr w:type="spellStart"/>
            <w:r w:rsidRPr="00222D61">
              <w:rPr>
                <w:sz w:val="20"/>
                <w:lang w:val="fr-CA"/>
              </w:rPr>
              <w:t>Freightliner</w:t>
            </w:r>
            <w:proofErr w:type="spellEnd"/>
            <w:r w:rsidRPr="00222D61">
              <w:rPr>
                <w:sz w:val="20"/>
                <w:lang w:val="fr-CA"/>
              </w:rPr>
              <w:t xml:space="preserve"> a fait un virage large vers la gauche et a empiété sur la voie dans laquelle circulait la demanderesse. Elle a intenté une poursuite contre le propriétaire et le conducteur du </w:t>
            </w:r>
            <w:proofErr w:type="spellStart"/>
            <w:r w:rsidRPr="00222D61">
              <w:rPr>
                <w:sz w:val="20"/>
                <w:lang w:val="fr-CA"/>
              </w:rPr>
              <w:t>Freightliner</w:t>
            </w:r>
            <w:proofErr w:type="spellEnd"/>
            <w:r w:rsidRPr="00222D61">
              <w:rPr>
                <w:sz w:val="20"/>
                <w:lang w:val="fr-CA"/>
              </w:rPr>
              <w:t>, dans laquelle elle alléguait qu’ils étaient les seuls responsables de l’accident et sollicitait des dommages-intérêts pour les blessures subies. Le juge de première instance en 2013 a conclu que la demanderesse était l’unique responsable de l’accident. En appel, la Cour d’appel a accueilli l’appel et ordonné la tenue d’un nouveau procès sur les questions de la responsabilité et des dommages-intérêts (2014 NBCA 73).</w:t>
            </w:r>
          </w:p>
          <w:p w:rsidR="00222D61" w:rsidRPr="00222D61" w:rsidRDefault="00222D61" w:rsidP="00222D61">
            <w:pPr>
              <w:jc w:val="both"/>
              <w:rPr>
                <w:sz w:val="20"/>
                <w:lang w:val="fr-CA"/>
              </w:rPr>
            </w:pPr>
          </w:p>
        </w:tc>
      </w:tr>
      <w:tr w:rsidR="00222D61" w:rsidRPr="00817781" w:rsidTr="00E95A6A">
        <w:tc>
          <w:tcPr>
            <w:tcW w:w="2427" w:type="pct"/>
            <w:gridSpan w:val="2"/>
          </w:tcPr>
          <w:p w:rsidR="00222D61" w:rsidRPr="00222D61" w:rsidRDefault="00222D61" w:rsidP="00222D61">
            <w:pPr>
              <w:jc w:val="both"/>
              <w:rPr>
                <w:sz w:val="20"/>
                <w:lang w:val="fr-CA"/>
              </w:rPr>
            </w:pPr>
            <w:r w:rsidRPr="00222D61">
              <w:rPr>
                <w:sz w:val="20"/>
                <w:lang w:val="fr-CA"/>
              </w:rPr>
              <w:t>Le 5 novembre 2015</w:t>
            </w:r>
          </w:p>
          <w:p w:rsidR="00222D61" w:rsidRPr="00222D61" w:rsidRDefault="00222D61" w:rsidP="00222D61">
            <w:pPr>
              <w:jc w:val="both"/>
              <w:rPr>
                <w:sz w:val="20"/>
                <w:lang w:val="fr-CA"/>
              </w:rPr>
            </w:pPr>
            <w:r w:rsidRPr="00222D61">
              <w:rPr>
                <w:sz w:val="20"/>
                <w:lang w:val="fr-CA"/>
              </w:rPr>
              <w:t>Cour du Banc de la Reine du Nouveau-</w:t>
            </w:r>
          </w:p>
          <w:p w:rsidR="00222D61" w:rsidRPr="00222D61" w:rsidRDefault="00222D61" w:rsidP="00222D61">
            <w:pPr>
              <w:jc w:val="both"/>
              <w:rPr>
                <w:sz w:val="20"/>
                <w:lang w:val="fr-CA"/>
              </w:rPr>
            </w:pPr>
            <w:r w:rsidRPr="00222D61">
              <w:rPr>
                <w:sz w:val="20"/>
                <w:lang w:val="fr-CA"/>
              </w:rPr>
              <w:t>Brunswick</w:t>
            </w:r>
          </w:p>
          <w:p w:rsidR="00222D61" w:rsidRPr="00222D61" w:rsidRDefault="00222D61" w:rsidP="00222D61">
            <w:pPr>
              <w:jc w:val="both"/>
              <w:rPr>
                <w:sz w:val="20"/>
                <w:lang w:val="fr-CA"/>
              </w:rPr>
            </w:pPr>
            <w:r w:rsidRPr="00222D61">
              <w:rPr>
                <w:sz w:val="20"/>
                <w:lang w:val="fr-CA"/>
              </w:rPr>
              <w:t xml:space="preserve">(La juge </w:t>
            </w:r>
            <w:proofErr w:type="spellStart"/>
            <w:r w:rsidRPr="00222D61">
              <w:rPr>
                <w:sz w:val="20"/>
                <w:lang w:val="fr-CA"/>
              </w:rPr>
              <w:t>DeWare</w:t>
            </w:r>
            <w:proofErr w:type="spellEnd"/>
            <w:r w:rsidRPr="00222D61">
              <w:rPr>
                <w:sz w:val="20"/>
                <w:lang w:val="fr-CA"/>
              </w:rPr>
              <w:t>)</w:t>
            </w:r>
          </w:p>
          <w:p w:rsidR="00222D61" w:rsidRPr="00222D61" w:rsidRDefault="00817781" w:rsidP="00222D61">
            <w:pPr>
              <w:jc w:val="both"/>
              <w:rPr>
                <w:sz w:val="20"/>
                <w:lang w:val="fr-CA" w:eastAsia="en-CA"/>
              </w:rPr>
            </w:pPr>
            <w:r>
              <w:fldChar w:fldCharType="begin"/>
            </w:r>
            <w:r w:rsidRPr="00817781">
              <w:rPr>
                <w:lang w:val="fr-CA"/>
              </w:rPr>
              <w:instrText xml:space="preserve"> HYPERLINK "http://canlii.ca/t/glzrz" </w:instrText>
            </w:r>
            <w:r>
              <w:fldChar w:fldCharType="separate"/>
            </w:r>
            <w:r w:rsidR="00222D61" w:rsidRPr="00222D61">
              <w:rPr>
                <w:color w:val="0000FF" w:themeColor="hyperlink"/>
                <w:sz w:val="20"/>
                <w:u w:val="single"/>
                <w:lang w:val="fr-CA" w:eastAsia="en-CA"/>
              </w:rPr>
              <w:t>2015 NBBR 190</w:t>
            </w:r>
            <w:r>
              <w:rPr>
                <w:color w:val="0000FF" w:themeColor="hyperlink"/>
                <w:sz w:val="20"/>
                <w:u w:val="single"/>
                <w:lang w:val="fr-CA" w:eastAsia="en-CA"/>
              </w:rPr>
              <w:fldChar w:fldCharType="end"/>
            </w:r>
          </w:p>
          <w:p w:rsidR="00222D61" w:rsidRPr="00222D61" w:rsidRDefault="00222D61" w:rsidP="00222D61">
            <w:pPr>
              <w:jc w:val="both"/>
              <w:rPr>
                <w:sz w:val="20"/>
                <w:lang w:val="fr-CA"/>
              </w:rPr>
            </w:pPr>
          </w:p>
        </w:tc>
        <w:tc>
          <w:tcPr>
            <w:tcW w:w="243" w:type="pct"/>
          </w:tcPr>
          <w:p w:rsidR="00222D61" w:rsidRPr="00222D61" w:rsidRDefault="00222D61" w:rsidP="00222D61">
            <w:pPr>
              <w:jc w:val="both"/>
              <w:rPr>
                <w:sz w:val="20"/>
                <w:lang w:val="fr-CA"/>
              </w:rPr>
            </w:pPr>
          </w:p>
        </w:tc>
        <w:tc>
          <w:tcPr>
            <w:tcW w:w="2330" w:type="pct"/>
          </w:tcPr>
          <w:p w:rsidR="00222D61" w:rsidRPr="00222D61" w:rsidRDefault="00222D61" w:rsidP="00222D61">
            <w:pPr>
              <w:jc w:val="both"/>
              <w:rPr>
                <w:sz w:val="20"/>
                <w:lang w:val="fr-CA"/>
              </w:rPr>
            </w:pPr>
            <w:r w:rsidRPr="00222D61">
              <w:rPr>
                <w:sz w:val="20"/>
                <w:lang w:val="fr-CA"/>
              </w:rPr>
              <w:t xml:space="preserve">2ième procès sur responsabilité et dommages-intérêts : la part de responsabilité du conducteur du </w:t>
            </w:r>
            <w:proofErr w:type="spellStart"/>
            <w:r w:rsidRPr="00222D61">
              <w:rPr>
                <w:sz w:val="20"/>
                <w:lang w:val="fr-CA"/>
              </w:rPr>
              <w:t>Freightliner</w:t>
            </w:r>
            <w:proofErr w:type="spellEnd"/>
            <w:r w:rsidRPr="00222D61">
              <w:rPr>
                <w:sz w:val="20"/>
                <w:lang w:val="fr-CA"/>
              </w:rPr>
              <w:t xml:space="preserve"> s’établit à 80 % et celle de la demanderesse à 20 %; dommages évalués à 8 973,51 $.</w:t>
            </w:r>
          </w:p>
          <w:p w:rsidR="00222D61" w:rsidRPr="00222D61" w:rsidRDefault="00222D61" w:rsidP="00222D61">
            <w:pPr>
              <w:jc w:val="both"/>
              <w:rPr>
                <w:sz w:val="20"/>
                <w:lang w:val="fr-CA"/>
              </w:rPr>
            </w:pPr>
          </w:p>
        </w:tc>
      </w:tr>
      <w:tr w:rsidR="00222D61" w:rsidRPr="00222D61" w:rsidTr="00E95A6A">
        <w:tc>
          <w:tcPr>
            <w:tcW w:w="2427" w:type="pct"/>
            <w:gridSpan w:val="2"/>
          </w:tcPr>
          <w:p w:rsidR="00222D61" w:rsidRPr="00222D61" w:rsidRDefault="00222D61" w:rsidP="00222D61">
            <w:pPr>
              <w:jc w:val="both"/>
              <w:rPr>
                <w:sz w:val="20"/>
                <w:lang w:val="fr-CA"/>
              </w:rPr>
            </w:pPr>
            <w:r w:rsidRPr="00222D61">
              <w:rPr>
                <w:sz w:val="20"/>
                <w:lang w:val="fr-CA"/>
              </w:rPr>
              <w:t>Le 11 août 2016</w:t>
            </w:r>
          </w:p>
          <w:p w:rsidR="00222D61" w:rsidRPr="00222D61" w:rsidRDefault="00222D61" w:rsidP="00222D61">
            <w:pPr>
              <w:jc w:val="both"/>
              <w:rPr>
                <w:sz w:val="20"/>
                <w:lang w:val="fr-CA"/>
              </w:rPr>
            </w:pPr>
            <w:r w:rsidRPr="00222D61">
              <w:rPr>
                <w:sz w:val="20"/>
                <w:lang w:val="fr-CA"/>
              </w:rPr>
              <w:t>Cour d’appel du Nouveau-Brunswick</w:t>
            </w:r>
          </w:p>
          <w:p w:rsidR="00222D61" w:rsidRPr="00222D61" w:rsidRDefault="00222D61" w:rsidP="00222D61">
            <w:pPr>
              <w:jc w:val="both"/>
              <w:rPr>
                <w:sz w:val="20"/>
                <w:lang w:val="fr-CA"/>
              </w:rPr>
            </w:pPr>
            <w:r w:rsidRPr="00222D61">
              <w:rPr>
                <w:sz w:val="20"/>
                <w:lang w:val="fr-CA"/>
              </w:rPr>
              <w:t xml:space="preserve">(Les juges </w:t>
            </w:r>
            <w:proofErr w:type="spellStart"/>
            <w:r w:rsidRPr="00222D61">
              <w:rPr>
                <w:sz w:val="20"/>
                <w:lang w:val="fr-CA"/>
              </w:rPr>
              <w:t>Larlee</w:t>
            </w:r>
            <w:proofErr w:type="spellEnd"/>
            <w:r w:rsidRPr="00222D61">
              <w:rPr>
                <w:sz w:val="20"/>
                <w:lang w:val="fr-CA"/>
              </w:rPr>
              <w:t xml:space="preserve">, Richard et </w:t>
            </w:r>
            <w:proofErr w:type="spellStart"/>
            <w:r w:rsidRPr="00222D61">
              <w:rPr>
                <w:sz w:val="20"/>
                <w:lang w:val="fr-CA"/>
              </w:rPr>
              <w:t>Quigg</w:t>
            </w:r>
            <w:proofErr w:type="spellEnd"/>
            <w:r w:rsidRPr="00222D61">
              <w:rPr>
                <w:sz w:val="20"/>
                <w:lang w:val="fr-CA"/>
              </w:rPr>
              <w:t>)</w:t>
            </w:r>
          </w:p>
          <w:p w:rsidR="00222D61" w:rsidRPr="00222D61" w:rsidRDefault="00817781" w:rsidP="00222D61">
            <w:pPr>
              <w:jc w:val="both"/>
              <w:rPr>
                <w:sz w:val="20"/>
                <w:lang w:val="en-CA" w:eastAsia="en-CA"/>
              </w:rPr>
            </w:pPr>
            <w:hyperlink r:id="rId36" w:history="1">
              <w:r w:rsidR="00222D61" w:rsidRPr="00222D61">
                <w:rPr>
                  <w:color w:val="0000FF" w:themeColor="hyperlink"/>
                  <w:sz w:val="20"/>
                  <w:u w:val="single"/>
                  <w:lang w:val="en-CA" w:eastAsia="en-CA"/>
                </w:rPr>
                <w:t>2016 NBCA 39</w:t>
              </w:r>
            </w:hyperlink>
          </w:p>
          <w:p w:rsidR="00222D61" w:rsidRPr="00222D61" w:rsidRDefault="00222D61" w:rsidP="00222D61">
            <w:pPr>
              <w:jc w:val="both"/>
              <w:rPr>
                <w:sz w:val="20"/>
              </w:rPr>
            </w:pPr>
          </w:p>
        </w:tc>
        <w:tc>
          <w:tcPr>
            <w:tcW w:w="243" w:type="pct"/>
          </w:tcPr>
          <w:p w:rsidR="00222D61" w:rsidRPr="00222D61" w:rsidRDefault="00222D61" w:rsidP="00222D61">
            <w:pPr>
              <w:jc w:val="both"/>
              <w:rPr>
                <w:sz w:val="20"/>
              </w:rPr>
            </w:pPr>
          </w:p>
        </w:tc>
        <w:tc>
          <w:tcPr>
            <w:tcW w:w="2330" w:type="pct"/>
          </w:tcPr>
          <w:p w:rsidR="00222D61" w:rsidRPr="00222D61" w:rsidRDefault="00222D61" w:rsidP="00222D61">
            <w:pPr>
              <w:jc w:val="both"/>
              <w:rPr>
                <w:sz w:val="20"/>
              </w:rPr>
            </w:pPr>
            <w:r w:rsidRPr="00222D61">
              <w:rPr>
                <w:sz w:val="20"/>
              </w:rPr>
              <w:t>Appel rejeté.</w:t>
            </w:r>
          </w:p>
          <w:p w:rsidR="00222D61" w:rsidRPr="00222D61" w:rsidRDefault="00222D61" w:rsidP="00222D61">
            <w:pPr>
              <w:jc w:val="both"/>
              <w:rPr>
                <w:sz w:val="20"/>
              </w:rPr>
            </w:pPr>
          </w:p>
        </w:tc>
      </w:tr>
      <w:tr w:rsidR="00222D61" w:rsidRPr="00817781" w:rsidTr="00E95A6A">
        <w:tc>
          <w:tcPr>
            <w:tcW w:w="2427" w:type="pct"/>
            <w:gridSpan w:val="2"/>
          </w:tcPr>
          <w:p w:rsidR="00222D61" w:rsidRPr="00222D61" w:rsidRDefault="00222D61" w:rsidP="00222D61">
            <w:pPr>
              <w:jc w:val="both"/>
              <w:rPr>
                <w:sz w:val="20"/>
                <w:lang w:val="fr-CA"/>
              </w:rPr>
            </w:pPr>
            <w:r w:rsidRPr="00222D61">
              <w:rPr>
                <w:sz w:val="20"/>
                <w:lang w:val="fr-CA"/>
              </w:rPr>
              <w:t>Le 5 décembre 2016</w:t>
            </w:r>
          </w:p>
          <w:p w:rsidR="00222D61" w:rsidRPr="00222D61" w:rsidRDefault="00222D61" w:rsidP="00222D61">
            <w:pPr>
              <w:jc w:val="both"/>
              <w:rPr>
                <w:sz w:val="20"/>
                <w:lang w:val="fr-FR"/>
              </w:rPr>
            </w:pPr>
            <w:r w:rsidRPr="00222D61">
              <w:rPr>
                <w:sz w:val="20"/>
                <w:lang w:val="fr-CA"/>
              </w:rPr>
              <w:t>Cour suprême du Canada</w:t>
            </w:r>
          </w:p>
        </w:tc>
        <w:tc>
          <w:tcPr>
            <w:tcW w:w="243" w:type="pct"/>
          </w:tcPr>
          <w:p w:rsidR="00222D61" w:rsidRPr="00222D61" w:rsidRDefault="00222D61" w:rsidP="00222D61">
            <w:pPr>
              <w:jc w:val="both"/>
              <w:rPr>
                <w:sz w:val="20"/>
                <w:lang w:val="fr-FR"/>
              </w:rPr>
            </w:pPr>
          </w:p>
        </w:tc>
        <w:tc>
          <w:tcPr>
            <w:tcW w:w="2330" w:type="pct"/>
          </w:tcPr>
          <w:p w:rsidR="00222D61" w:rsidRPr="00222D61" w:rsidRDefault="00222D61" w:rsidP="00222D61">
            <w:pPr>
              <w:jc w:val="both"/>
              <w:rPr>
                <w:sz w:val="20"/>
                <w:lang w:val="fr-CA"/>
              </w:rPr>
            </w:pPr>
            <w:r w:rsidRPr="00222D61">
              <w:rPr>
                <w:sz w:val="20"/>
                <w:lang w:val="fr-CA"/>
              </w:rPr>
              <w:t>Demande en prorogation de délai pour signifier et déposer demande d’autorisation d’appel et demande d’autorisation d’appel déposées.</w:t>
            </w:r>
          </w:p>
        </w:tc>
      </w:tr>
    </w:tbl>
    <w:p w:rsidR="00222D61" w:rsidRPr="00222D61" w:rsidRDefault="00222D61" w:rsidP="00222D61">
      <w:pPr>
        <w:jc w:val="both"/>
        <w:rPr>
          <w:sz w:val="20"/>
          <w:lang w:val="fr-CA"/>
        </w:rPr>
      </w:pPr>
    </w:p>
    <w:p w:rsidR="00222D61" w:rsidRPr="00222D61" w:rsidRDefault="00222D61" w:rsidP="00222D61">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22D61" w:rsidRPr="00222D61" w:rsidTr="00E95A6A">
        <w:tc>
          <w:tcPr>
            <w:tcW w:w="543" w:type="pct"/>
          </w:tcPr>
          <w:p w:rsidR="00222D61" w:rsidRPr="00222D61" w:rsidRDefault="00222D61" w:rsidP="00222D61">
            <w:pPr>
              <w:jc w:val="both"/>
              <w:rPr>
                <w:sz w:val="20"/>
              </w:rPr>
            </w:pPr>
            <w:r w:rsidRPr="00222D61">
              <w:rPr>
                <w:rStyle w:val="SCCFileNumberChar"/>
                <w:sz w:val="20"/>
                <w:szCs w:val="20"/>
              </w:rPr>
              <w:t>37367</w:t>
            </w:r>
          </w:p>
        </w:tc>
        <w:tc>
          <w:tcPr>
            <w:tcW w:w="4457" w:type="pct"/>
            <w:gridSpan w:val="3"/>
          </w:tcPr>
          <w:p w:rsidR="00222D61" w:rsidRPr="00222D61" w:rsidRDefault="00222D61" w:rsidP="00222D61">
            <w:pPr>
              <w:pStyle w:val="SCCLsocParty"/>
              <w:jc w:val="both"/>
              <w:rPr>
                <w:b/>
                <w:sz w:val="20"/>
                <w:szCs w:val="20"/>
                <w:lang w:val="en-US"/>
              </w:rPr>
            </w:pPr>
            <w:r w:rsidRPr="00222D61">
              <w:rPr>
                <w:b/>
                <w:sz w:val="20"/>
                <w:szCs w:val="20"/>
                <w:lang w:val="en-US"/>
              </w:rPr>
              <w:t xml:space="preserve">Wing </w:t>
            </w:r>
            <w:proofErr w:type="spellStart"/>
            <w:r w:rsidRPr="00222D61">
              <w:rPr>
                <w:b/>
                <w:sz w:val="20"/>
                <w:szCs w:val="20"/>
                <w:lang w:val="en-US"/>
              </w:rPr>
              <w:t>Wha</w:t>
            </w:r>
            <w:proofErr w:type="spellEnd"/>
            <w:r w:rsidRPr="00222D61">
              <w:rPr>
                <w:b/>
                <w:sz w:val="20"/>
                <w:szCs w:val="20"/>
                <w:lang w:val="en-US"/>
              </w:rPr>
              <w:t xml:space="preserve"> Wong v. Her Majesty the Queen</w:t>
            </w:r>
          </w:p>
          <w:p w:rsidR="00222D61" w:rsidRPr="00222D61" w:rsidRDefault="00222D61" w:rsidP="00222D61">
            <w:pPr>
              <w:jc w:val="both"/>
              <w:rPr>
                <w:sz w:val="20"/>
              </w:rPr>
            </w:pPr>
            <w:r w:rsidRPr="00222D61">
              <w:rPr>
                <w:sz w:val="20"/>
              </w:rPr>
              <w:t>(B.C.) (Criminal) (By Leave)</w:t>
            </w:r>
          </w:p>
        </w:tc>
      </w:tr>
      <w:tr w:rsidR="00222D61" w:rsidRPr="00222D61" w:rsidTr="00E95A6A">
        <w:tc>
          <w:tcPr>
            <w:tcW w:w="5000" w:type="pct"/>
            <w:gridSpan w:val="4"/>
          </w:tcPr>
          <w:p w:rsidR="00222D61" w:rsidRPr="00222D61" w:rsidRDefault="00222D61" w:rsidP="00222D61">
            <w:pPr>
              <w:jc w:val="both"/>
              <w:rPr>
                <w:sz w:val="20"/>
              </w:rPr>
            </w:pPr>
            <w:r w:rsidRPr="00222D61">
              <w:rPr>
                <w:sz w:val="20"/>
              </w:rPr>
              <w:t xml:space="preserve">Criminal law – Miscarriage of justice – Guilty plea – At time of pleading guilty to trafficking cocaine, applicant not informed that conviction would make him inadmissible to Canada on grounds of serious criminality pursuant to </w:t>
            </w:r>
            <w:r w:rsidRPr="00222D61">
              <w:rPr>
                <w:sz w:val="20"/>
              </w:rPr>
              <w:lastRenderedPageBreak/>
              <w:t xml:space="preserve">s. 36(1)(a) of </w:t>
            </w:r>
            <w:r w:rsidRPr="00222D61">
              <w:rPr>
                <w:i/>
                <w:sz w:val="20"/>
              </w:rPr>
              <w:t>Immigration and Refugee Protection Act</w:t>
            </w:r>
            <w:r w:rsidRPr="00222D61">
              <w:rPr>
                <w:sz w:val="20"/>
              </w:rPr>
              <w:t xml:space="preserve">, S.C. 2001, c. 27 – Applicant’s counsel also not discussing with him defence of entrapment – Applicant appealing conviction on basis of ineffective assistance of counsel – Whether Court of Appeal erred in assessment of applicant’s request to withdraw guilty plea after finding applicant was uninformed of significant collateral consequences of plea – </w:t>
            </w:r>
            <w:r w:rsidRPr="00222D61">
              <w:rPr>
                <w:i/>
                <w:sz w:val="20"/>
              </w:rPr>
              <w:t>Criminal Code</w:t>
            </w:r>
            <w:r w:rsidRPr="00222D61">
              <w:rPr>
                <w:sz w:val="20"/>
              </w:rPr>
              <w:t>, R.S.C. 1985, c. C-46, s. 686(1)(a)(iii).</w:t>
            </w:r>
          </w:p>
        </w:tc>
      </w:tr>
      <w:tr w:rsidR="00222D61" w:rsidRPr="00222D61" w:rsidTr="00E95A6A">
        <w:tc>
          <w:tcPr>
            <w:tcW w:w="5000" w:type="pct"/>
            <w:gridSpan w:val="4"/>
          </w:tcPr>
          <w:p w:rsidR="00222D61" w:rsidRPr="00222D61" w:rsidRDefault="00222D61" w:rsidP="00222D61">
            <w:pPr>
              <w:jc w:val="both"/>
              <w:rPr>
                <w:sz w:val="20"/>
              </w:rPr>
            </w:pPr>
          </w:p>
        </w:tc>
      </w:tr>
      <w:tr w:rsidR="00222D61" w:rsidRPr="00222D61" w:rsidTr="00E95A6A">
        <w:tc>
          <w:tcPr>
            <w:tcW w:w="5000" w:type="pct"/>
            <w:gridSpan w:val="4"/>
          </w:tcPr>
          <w:p w:rsidR="00222D61" w:rsidRPr="00222D61" w:rsidRDefault="00222D61" w:rsidP="00222D61">
            <w:pPr>
              <w:jc w:val="both"/>
              <w:rPr>
                <w:sz w:val="20"/>
              </w:rPr>
            </w:pPr>
            <w:r w:rsidRPr="00222D61">
              <w:rPr>
                <w:sz w:val="20"/>
              </w:rPr>
              <w:t xml:space="preserve">Mr. Wong, applicant, pled guilty to one count of trafficking cocaine. At the time he entered the plea, his counsel had not informed him that a conviction for trafficking cocaine would make him inadmissible to Canada on grounds of serious criminality pursuant to s. 36(1)(a) of the </w:t>
            </w:r>
            <w:r w:rsidRPr="00222D61">
              <w:rPr>
                <w:i/>
                <w:sz w:val="20"/>
              </w:rPr>
              <w:t>Immigration and Refugee Protection Act</w:t>
            </w:r>
            <w:r w:rsidRPr="00222D61">
              <w:rPr>
                <w:sz w:val="20"/>
              </w:rPr>
              <w:t>, S.C. 2001, c. 27. Nor had his counsel discussed the defence of entrapment with him. On appeal, Mr. Wong argued his plea should be set aside on the basis of ineffective assistance of counsel. The Court of Appeal dismissed the appeal. It found that allowing the conviction to stand, despite Mr. Wong’s uninformed plea, would not amount to a miscarriage of justice, because there was no evidence that he would not have pled guilty had he been informed of the collateral immigration consequences of his plea. Specifically, the court noted that Mr. Wong did not depose in his affidavit that had he known the jeopardy a conviction created to his permanent resident status, he would not have pled guilty.</w:t>
            </w:r>
          </w:p>
          <w:p w:rsidR="00222D61" w:rsidRPr="00222D61" w:rsidRDefault="00222D61" w:rsidP="00222D61">
            <w:pPr>
              <w:jc w:val="both"/>
              <w:rPr>
                <w:sz w:val="20"/>
              </w:rPr>
            </w:pPr>
          </w:p>
        </w:tc>
      </w:tr>
      <w:tr w:rsidR="00222D61" w:rsidRPr="00222D61" w:rsidTr="00E95A6A">
        <w:tc>
          <w:tcPr>
            <w:tcW w:w="2427" w:type="pct"/>
            <w:gridSpan w:val="2"/>
          </w:tcPr>
          <w:p w:rsidR="00222D61" w:rsidRPr="00222D61" w:rsidRDefault="00222D61" w:rsidP="00222D61">
            <w:pPr>
              <w:jc w:val="both"/>
              <w:rPr>
                <w:sz w:val="20"/>
              </w:rPr>
            </w:pPr>
            <w:r w:rsidRPr="00222D61">
              <w:rPr>
                <w:sz w:val="20"/>
              </w:rPr>
              <w:t>February 21, 2014</w:t>
            </w:r>
          </w:p>
          <w:p w:rsidR="00222D61" w:rsidRPr="00222D61" w:rsidRDefault="00222D61" w:rsidP="00222D61">
            <w:pPr>
              <w:jc w:val="both"/>
              <w:rPr>
                <w:sz w:val="20"/>
              </w:rPr>
            </w:pPr>
            <w:r w:rsidRPr="00222D61">
              <w:rPr>
                <w:sz w:val="20"/>
              </w:rPr>
              <w:t>Provincial Court of British Columbia</w:t>
            </w:r>
          </w:p>
          <w:p w:rsidR="00222D61" w:rsidRPr="00222D61" w:rsidRDefault="00222D61" w:rsidP="00222D61">
            <w:pPr>
              <w:jc w:val="both"/>
              <w:rPr>
                <w:sz w:val="20"/>
              </w:rPr>
            </w:pPr>
            <w:r w:rsidRPr="00222D61">
              <w:rPr>
                <w:sz w:val="20"/>
              </w:rPr>
              <w:t>(Hogan J.)</w:t>
            </w:r>
          </w:p>
          <w:p w:rsidR="00222D61" w:rsidRPr="00222D61" w:rsidRDefault="00222D61" w:rsidP="00222D61">
            <w:pPr>
              <w:jc w:val="both"/>
              <w:rPr>
                <w:sz w:val="20"/>
              </w:rPr>
            </w:pPr>
          </w:p>
        </w:tc>
        <w:tc>
          <w:tcPr>
            <w:tcW w:w="243" w:type="pct"/>
          </w:tcPr>
          <w:p w:rsidR="00222D61" w:rsidRPr="00222D61" w:rsidRDefault="00222D61" w:rsidP="00222D61">
            <w:pPr>
              <w:jc w:val="both"/>
              <w:rPr>
                <w:sz w:val="20"/>
              </w:rPr>
            </w:pPr>
          </w:p>
        </w:tc>
        <w:tc>
          <w:tcPr>
            <w:tcW w:w="2330" w:type="pct"/>
          </w:tcPr>
          <w:p w:rsidR="00222D61" w:rsidRPr="00222D61" w:rsidRDefault="00222D61" w:rsidP="00222D61">
            <w:pPr>
              <w:jc w:val="both"/>
              <w:rPr>
                <w:sz w:val="20"/>
              </w:rPr>
            </w:pPr>
            <w:r w:rsidRPr="00222D61">
              <w:rPr>
                <w:sz w:val="20"/>
              </w:rPr>
              <w:t xml:space="preserve">Applicant convicted of one count of trafficking cocaine after entering guilty plea; applicant sentenced to 9 months’ incarceration </w:t>
            </w:r>
          </w:p>
          <w:p w:rsidR="00222D61" w:rsidRPr="00222D61" w:rsidRDefault="00222D61" w:rsidP="00222D61">
            <w:pPr>
              <w:jc w:val="both"/>
              <w:rPr>
                <w:sz w:val="20"/>
              </w:rPr>
            </w:pPr>
          </w:p>
        </w:tc>
      </w:tr>
      <w:tr w:rsidR="00222D61" w:rsidRPr="00222D61" w:rsidTr="00E95A6A">
        <w:tc>
          <w:tcPr>
            <w:tcW w:w="2427" w:type="pct"/>
            <w:gridSpan w:val="2"/>
          </w:tcPr>
          <w:p w:rsidR="00222D61" w:rsidRPr="00222D61" w:rsidRDefault="00222D61" w:rsidP="00222D61">
            <w:pPr>
              <w:jc w:val="both"/>
              <w:rPr>
                <w:sz w:val="20"/>
              </w:rPr>
            </w:pPr>
            <w:r w:rsidRPr="00222D61">
              <w:rPr>
                <w:sz w:val="20"/>
              </w:rPr>
              <w:t>October 26, 2016</w:t>
            </w:r>
          </w:p>
          <w:p w:rsidR="00222D61" w:rsidRPr="00222D61" w:rsidRDefault="00222D61" w:rsidP="00222D61">
            <w:pPr>
              <w:jc w:val="both"/>
              <w:rPr>
                <w:sz w:val="20"/>
              </w:rPr>
            </w:pPr>
            <w:r w:rsidRPr="00222D61">
              <w:rPr>
                <w:sz w:val="20"/>
              </w:rPr>
              <w:t>Court of Appeal for British Columbia</w:t>
            </w:r>
          </w:p>
          <w:p w:rsidR="00222D61" w:rsidRPr="00222D61" w:rsidRDefault="00222D61" w:rsidP="00222D61">
            <w:pPr>
              <w:jc w:val="both"/>
              <w:rPr>
                <w:sz w:val="20"/>
              </w:rPr>
            </w:pPr>
            <w:r w:rsidRPr="00222D61">
              <w:rPr>
                <w:sz w:val="20"/>
              </w:rPr>
              <w:t>(Saunders, Harris and Fitch JJ.A.)</w:t>
            </w:r>
          </w:p>
          <w:p w:rsidR="00222D61" w:rsidRPr="00222D61" w:rsidRDefault="00817781" w:rsidP="00222D61">
            <w:pPr>
              <w:jc w:val="both"/>
              <w:rPr>
                <w:sz w:val="20"/>
              </w:rPr>
            </w:pPr>
            <w:hyperlink r:id="rId37" w:history="1">
              <w:r w:rsidR="00222D61" w:rsidRPr="00222D61">
                <w:rPr>
                  <w:rStyle w:val="Hyperlink"/>
                  <w:sz w:val="20"/>
                </w:rPr>
                <w:t>2016 BCCA 416</w:t>
              </w:r>
            </w:hyperlink>
          </w:p>
          <w:p w:rsidR="00222D61" w:rsidRPr="00222D61" w:rsidRDefault="00222D61" w:rsidP="00222D61">
            <w:pPr>
              <w:jc w:val="both"/>
              <w:rPr>
                <w:sz w:val="20"/>
              </w:rPr>
            </w:pPr>
          </w:p>
        </w:tc>
        <w:tc>
          <w:tcPr>
            <w:tcW w:w="243" w:type="pct"/>
          </w:tcPr>
          <w:p w:rsidR="00222D61" w:rsidRPr="00222D61" w:rsidRDefault="00222D61" w:rsidP="00222D61">
            <w:pPr>
              <w:jc w:val="both"/>
              <w:rPr>
                <w:sz w:val="20"/>
              </w:rPr>
            </w:pPr>
          </w:p>
        </w:tc>
        <w:tc>
          <w:tcPr>
            <w:tcW w:w="2330" w:type="pct"/>
          </w:tcPr>
          <w:p w:rsidR="00222D61" w:rsidRPr="00222D61" w:rsidRDefault="00222D61" w:rsidP="00222D61">
            <w:pPr>
              <w:jc w:val="both"/>
              <w:rPr>
                <w:sz w:val="20"/>
              </w:rPr>
            </w:pPr>
            <w:r w:rsidRPr="00222D61">
              <w:rPr>
                <w:sz w:val="20"/>
              </w:rPr>
              <w:t>Extension of time to appeal conviction and sentence granted; leave to appeal sentence granted; application to adduce fresh evidence granted; conviction appeal dismissed</w:t>
            </w:r>
          </w:p>
          <w:p w:rsidR="00222D61" w:rsidRPr="00222D61" w:rsidRDefault="00222D61" w:rsidP="00222D61">
            <w:pPr>
              <w:jc w:val="both"/>
              <w:rPr>
                <w:sz w:val="20"/>
              </w:rPr>
            </w:pPr>
          </w:p>
        </w:tc>
      </w:tr>
      <w:tr w:rsidR="00222D61" w:rsidRPr="00222D61" w:rsidTr="00E95A6A">
        <w:tc>
          <w:tcPr>
            <w:tcW w:w="2427" w:type="pct"/>
            <w:gridSpan w:val="2"/>
          </w:tcPr>
          <w:p w:rsidR="00222D61" w:rsidRPr="00222D61" w:rsidRDefault="00222D61" w:rsidP="00222D61">
            <w:pPr>
              <w:jc w:val="both"/>
              <w:rPr>
                <w:sz w:val="20"/>
              </w:rPr>
            </w:pPr>
            <w:r w:rsidRPr="00222D61">
              <w:rPr>
                <w:sz w:val="20"/>
              </w:rPr>
              <w:t>December 23, 2016</w:t>
            </w:r>
          </w:p>
          <w:p w:rsidR="00222D61" w:rsidRPr="00222D61" w:rsidRDefault="00222D61" w:rsidP="00222D61">
            <w:pPr>
              <w:jc w:val="both"/>
              <w:rPr>
                <w:sz w:val="20"/>
              </w:rPr>
            </w:pPr>
            <w:r w:rsidRPr="00222D61">
              <w:rPr>
                <w:sz w:val="20"/>
              </w:rPr>
              <w:t>Supreme Court of Canada</w:t>
            </w:r>
          </w:p>
        </w:tc>
        <w:tc>
          <w:tcPr>
            <w:tcW w:w="243" w:type="pct"/>
          </w:tcPr>
          <w:p w:rsidR="00222D61" w:rsidRPr="00222D61" w:rsidRDefault="00222D61" w:rsidP="00222D61">
            <w:pPr>
              <w:jc w:val="both"/>
              <w:rPr>
                <w:sz w:val="20"/>
              </w:rPr>
            </w:pPr>
          </w:p>
        </w:tc>
        <w:tc>
          <w:tcPr>
            <w:tcW w:w="2330" w:type="pct"/>
          </w:tcPr>
          <w:p w:rsidR="00222D61" w:rsidRPr="00222D61" w:rsidRDefault="00222D61" w:rsidP="00222D61">
            <w:pPr>
              <w:jc w:val="both"/>
              <w:rPr>
                <w:sz w:val="20"/>
              </w:rPr>
            </w:pPr>
            <w:r w:rsidRPr="00222D61">
              <w:rPr>
                <w:sz w:val="20"/>
              </w:rPr>
              <w:t>Application for leave to appeal filed</w:t>
            </w:r>
          </w:p>
          <w:p w:rsidR="00222D61" w:rsidRPr="00222D61" w:rsidRDefault="00222D61" w:rsidP="00222D61">
            <w:pPr>
              <w:jc w:val="both"/>
              <w:rPr>
                <w:sz w:val="20"/>
              </w:rPr>
            </w:pPr>
          </w:p>
        </w:tc>
      </w:tr>
    </w:tbl>
    <w:p w:rsidR="00222D61" w:rsidRDefault="00222D61" w:rsidP="00222D61">
      <w:pPr>
        <w:jc w:val="both"/>
        <w:rPr>
          <w:sz w:val="20"/>
        </w:rPr>
      </w:pPr>
    </w:p>
    <w:p w:rsidR="00222D61" w:rsidRPr="00222D61" w:rsidRDefault="00222D61" w:rsidP="00222D6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22D61" w:rsidRPr="00817781" w:rsidTr="00E95A6A">
        <w:tc>
          <w:tcPr>
            <w:tcW w:w="543" w:type="pct"/>
          </w:tcPr>
          <w:p w:rsidR="00222D61" w:rsidRPr="00222D61" w:rsidRDefault="00222D61" w:rsidP="00222D61">
            <w:pPr>
              <w:jc w:val="both"/>
              <w:rPr>
                <w:sz w:val="20"/>
                <w:lang w:val="fr-CA"/>
              </w:rPr>
            </w:pPr>
            <w:r w:rsidRPr="00222D61">
              <w:rPr>
                <w:rStyle w:val="SCCFileNumberChar"/>
                <w:sz w:val="20"/>
                <w:szCs w:val="20"/>
                <w:lang w:val="fr-CA"/>
              </w:rPr>
              <w:t>37367</w:t>
            </w:r>
          </w:p>
        </w:tc>
        <w:tc>
          <w:tcPr>
            <w:tcW w:w="4457" w:type="pct"/>
            <w:gridSpan w:val="3"/>
          </w:tcPr>
          <w:p w:rsidR="00222D61" w:rsidRPr="00222D61" w:rsidRDefault="00222D61" w:rsidP="00222D61">
            <w:pPr>
              <w:pStyle w:val="SCCLsocParty"/>
              <w:jc w:val="both"/>
              <w:rPr>
                <w:b/>
                <w:sz w:val="20"/>
                <w:szCs w:val="20"/>
              </w:rPr>
            </w:pPr>
            <w:r w:rsidRPr="00222D61">
              <w:rPr>
                <w:b/>
                <w:sz w:val="20"/>
                <w:szCs w:val="20"/>
              </w:rPr>
              <w:t>Wing Wha Wong c. Sa Majesté la Reine</w:t>
            </w:r>
          </w:p>
          <w:p w:rsidR="00222D61" w:rsidRPr="00222D61" w:rsidRDefault="00222D61" w:rsidP="00222D61">
            <w:pPr>
              <w:jc w:val="both"/>
              <w:rPr>
                <w:sz w:val="20"/>
                <w:lang w:val="fr-CA"/>
              </w:rPr>
            </w:pPr>
            <w:r w:rsidRPr="00222D61">
              <w:rPr>
                <w:sz w:val="20"/>
                <w:lang w:val="fr-CA"/>
              </w:rPr>
              <w:t>(C.-B.) (Criminelle) (Sur autorisation)</w:t>
            </w:r>
          </w:p>
        </w:tc>
      </w:tr>
      <w:tr w:rsidR="00222D61" w:rsidRPr="00222D61" w:rsidTr="00E95A6A">
        <w:tc>
          <w:tcPr>
            <w:tcW w:w="5000" w:type="pct"/>
            <w:gridSpan w:val="4"/>
          </w:tcPr>
          <w:p w:rsidR="00222D61" w:rsidRPr="00222D61" w:rsidRDefault="00222D61" w:rsidP="00222D61">
            <w:pPr>
              <w:jc w:val="both"/>
              <w:rPr>
                <w:sz w:val="20"/>
                <w:lang w:val="fr-CA"/>
              </w:rPr>
            </w:pPr>
            <w:r w:rsidRPr="00222D61">
              <w:rPr>
                <w:sz w:val="20"/>
                <w:lang w:val="fr-CA"/>
              </w:rPr>
              <w:t xml:space="preserve">Droit criminel – Déni de justice – Plaidoyer de culpabilité – Au moment de plaider coupable de trafic de cocaïne, le demandeur n’a pas été informé qu’une déclaration de culpabilité entraînerait son interdiction du territoire canadien pour cause de grande criminalité en application de l’al. 36(1)a) de la </w:t>
            </w:r>
            <w:r w:rsidRPr="00222D61">
              <w:rPr>
                <w:i/>
                <w:sz w:val="20"/>
                <w:lang w:val="fr-CA"/>
              </w:rPr>
              <w:t>Loi sur l’immigration et la protection des réfugiés</w:t>
            </w:r>
            <w:r w:rsidRPr="00222D61">
              <w:rPr>
                <w:sz w:val="20"/>
                <w:lang w:val="fr-CA"/>
              </w:rPr>
              <w:t xml:space="preserve">, L.C. 2001, ch. 27 – De plus, l’avocat du demandeur n’avait pas discuté avec lui de la défense de provocation policière – Le demandeur a interjeté appel de la déclaration de culpabilité, plaidant l’assistance ineffective de son avocat – La Cour d’appel a-t-elle commis une erreur dans son évaluation de la requête du demandeur de retirer son plaidoyer de culpabilité après avoir conclu que le demandeur avait été mal informé des conséquences indirectes importantes de ce plaidoyer? – </w:t>
            </w:r>
            <w:r w:rsidRPr="00222D61">
              <w:rPr>
                <w:i/>
                <w:sz w:val="20"/>
                <w:lang w:val="fr-CA"/>
              </w:rPr>
              <w:t>Code criminel</w:t>
            </w:r>
            <w:r w:rsidRPr="00222D61">
              <w:rPr>
                <w:sz w:val="20"/>
                <w:lang w:val="fr-CA"/>
              </w:rPr>
              <w:t>, L.R.C. 1985, ch. C-46, sous-al. 686(1)a</w:t>
            </w:r>
            <w:proofErr w:type="gramStart"/>
            <w:r w:rsidRPr="00222D61">
              <w:rPr>
                <w:sz w:val="20"/>
                <w:lang w:val="fr-CA"/>
              </w:rPr>
              <w:t>)(</w:t>
            </w:r>
            <w:proofErr w:type="gramEnd"/>
            <w:r w:rsidRPr="00222D61">
              <w:rPr>
                <w:sz w:val="20"/>
                <w:lang w:val="fr-CA"/>
              </w:rPr>
              <w:t>iii).</w:t>
            </w:r>
          </w:p>
        </w:tc>
      </w:tr>
      <w:tr w:rsidR="00222D61" w:rsidRPr="00222D61" w:rsidTr="00E95A6A">
        <w:tc>
          <w:tcPr>
            <w:tcW w:w="5000" w:type="pct"/>
            <w:gridSpan w:val="4"/>
          </w:tcPr>
          <w:p w:rsidR="00222D61" w:rsidRPr="00222D61" w:rsidRDefault="00222D61" w:rsidP="00222D61">
            <w:pPr>
              <w:jc w:val="both"/>
              <w:rPr>
                <w:sz w:val="20"/>
                <w:lang w:val="fr-CA"/>
              </w:rPr>
            </w:pPr>
          </w:p>
        </w:tc>
      </w:tr>
      <w:tr w:rsidR="00222D61" w:rsidRPr="00817781" w:rsidTr="00E95A6A">
        <w:tc>
          <w:tcPr>
            <w:tcW w:w="5000" w:type="pct"/>
            <w:gridSpan w:val="4"/>
          </w:tcPr>
          <w:p w:rsidR="00222D61" w:rsidRPr="00222D61" w:rsidRDefault="00222D61" w:rsidP="00222D61">
            <w:pPr>
              <w:jc w:val="both"/>
              <w:rPr>
                <w:sz w:val="20"/>
                <w:lang w:val="fr-CA"/>
              </w:rPr>
            </w:pPr>
            <w:r w:rsidRPr="00222D61">
              <w:rPr>
                <w:sz w:val="20"/>
                <w:lang w:val="fr-CA"/>
              </w:rPr>
              <w:t xml:space="preserve">Le demandeur, M. Wong, a plaidé coupable d’un chef d’accusation de trafic de cocaïne. Au moment d’inscrire le plaidoyer, son avocat ne l’avait pas informé qu’une déclaration de culpabilité de trafic de cocaïne entraînerait son interdiction du territoire canadien pour cause de grande criminalité, en application de l’al. 36(1)a) de la </w:t>
            </w:r>
            <w:r w:rsidRPr="00222D61">
              <w:rPr>
                <w:i/>
                <w:sz w:val="20"/>
                <w:lang w:val="fr-CA"/>
              </w:rPr>
              <w:t>Loi sur l’immigration et la protection des réfugiés</w:t>
            </w:r>
            <w:r w:rsidRPr="00222D61">
              <w:rPr>
                <w:sz w:val="20"/>
                <w:lang w:val="fr-CA"/>
              </w:rPr>
              <w:t>, L.C. 2001, c. 27. Son avocat n’avait pas non plus discuté avec lui de la défense de provocation policière. En appel, M. Wong a fait valoir que son plaidoyer devait être annulé en raison de l’assistance ineffective de son avocat. La Cour d’appel a rejeté l’appel. Elle a conclu que le maintien de la déclaration de culpabilité, malgré le plaidoyer peu éclairé de M. Wong, n’équivaudrait pas à un déni de justice, puisqu’il n’y avait aucune preuve selon laquelle il n’aurait pas plaidé coupable s’il avait été informé des conséquences indirectes de son plaidoyer sur le plan de l’immigration. En particulier, la Cour a noté que M. Wong n’avait pas déclaré dans son affidavit que s’il avait eu connaissance du risque que créait une déclaration de culpabilité sur son statut de résident permanent, il n’aurait pas plaidé coupable.</w:t>
            </w:r>
          </w:p>
          <w:p w:rsidR="00222D61" w:rsidRPr="00222D61" w:rsidRDefault="00222D61" w:rsidP="00222D61">
            <w:pPr>
              <w:jc w:val="both"/>
              <w:rPr>
                <w:sz w:val="20"/>
                <w:lang w:val="fr-CA"/>
              </w:rPr>
            </w:pPr>
          </w:p>
        </w:tc>
      </w:tr>
      <w:tr w:rsidR="00222D61" w:rsidRPr="00817781" w:rsidTr="00E95A6A">
        <w:tc>
          <w:tcPr>
            <w:tcW w:w="2427" w:type="pct"/>
            <w:gridSpan w:val="2"/>
          </w:tcPr>
          <w:p w:rsidR="00222D61" w:rsidRPr="00222D61" w:rsidRDefault="00222D61" w:rsidP="00222D61">
            <w:pPr>
              <w:jc w:val="both"/>
              <w:rPr>
                <w:sz w:val="20"/>
                <w:lang w:val="fr-CA"/>
              </w:rPr>
            </w:pPr>
            <w:r w:rsidRPr="00222D61">
              <w:rPr>
                <w:sz w:val="20"/>
                <w:lang w:val="fr-CA"/>
              </w:rPr>
              <w:lastRenderedPageBreak/>
              <w:t>21 février 2014</w:t>
            </w:r>
          </w:p>
          <w:p w:rsidR="00222D61" w:rsidRPr="00222D61" w:rsidRDefault="00222D61" w:rsidP="00222D61">
            <w:pPr>
              <w:jc w:val="both"/>
              <w:rPr>
                <w:sz w:val="20"/>
                <w:lang w:val="fr-CA"/>
              </w:rPr>
            </w:pPr>
            <w:r w:rsidRPr="00222D61">
              <w:rPr>
                <w:sz w:val="20"/>
                <w:lang w:val="fr-CA"/>
              </w:rPr>
              <w:t xml:space="preserve">Cour provinciale de la Colombie-Britannique </w:t>
            </w:r>
          </w:p>
          <w:p w:rsidR="00222D61" w:rsidRPr="00222D61" w:rsidRDefault="00222D61" w:rsidP="00222D61">
            <w:pPr>
              <w:jc w:val="both"/>
              <w:rPr>
                <w:sz w:val="20"/>
                <w:lang w:val="fr-CA"/>
              </w:rPr>
            </w:pPr>
            <w:r w:rsidRPr="00222D61">
              <w:rPr>
                <w:sz w:val="20"/>
                <w:lang w:val="fr-CA"/>
              </w:rPr>
              <w:t>(Juge Hogan)</w:t>
            </w:r>
          </w:p>
          <w:p w:rsidR="00222D61" w:rsidRPr="00222D61" w:rsidRDefault="00222D61" w:rsidP="00222D61">
            <w:pPr>
              <w:jc w:val="both"/>
              <w:rPr>
                <w:sz w:val="20"/>
                <w:lang w:val="fr-CA"/>
              </w:rPr>
            </w:pPr>
          </w:p>
        </w:tc>
        <w:tc>
          <w:tcPr>
            <w:tcW w:w="243" w:type="pct"/>
          </w:tcPr>
          <w:p w:rsidR="00222D61" w:rsidRPr="00222D61" w:rsidRDefault="00222D61" w:rsidP="00222D61">
            <w:pPr>
              <w:jc w:val="both"/>
              <w:rPr>
                <w:sz w:val="20"/>
                <w:lang w:val="fr-CA"/>
              </w:rPr>
            </w:pPr>
          </w:p>
        </w:tc>
        <w:tc>
          <w:tcPr>
            <w:tcW w:w="2330" w:type="pct"/>
          </w:tcPr>
          <w:p w:rsidR="00222D61" w:rsidRPr="00222D61" w:rsidRDefault="00222D61" w:rsidP="00222D61">
            <w:pPr>
              <w:jc w:val="both"/>
              <w:rPr>
                <w:sz w:val="20"/>
                <w:lang w:val="fr-CA"/>
              </w:rPr>
            </w:pPr>
            <w:r w:rsidRPr="00222D61">
              <w:rPr>
                <w:sz w:val="20"/>
                <w:lang w:val="fr-CA"/>
              </w:rPr>
              <w:t xml:space="preserve">Déclaration de culpabilité du demandeur d’un chef d’accusation de trafic de cocaïne après inscription de plaidoyer de culpabilité; peine de neuf mois d’emprisonnement infligée au demandeur </w:t>
            </w:r>
          </w:p>
          <w:p w:rsidR="00222D61" w:rsidRPr="00222D61" w:rsidRDefault="00222D61" w:rsidP="00222D61">
            <w:pPr>
              <w:jc w:val="both"/>
              <w:rPr>
                <w:sz w:val="20"/>
                <w:lang w:val="fr-CA"/>
              </w:rPr>
            </w:pPr>
          </w:p>
        </w:tc>
      </w:tr>
      <w:tr w:rsidR="00222D61" w:rsidRPr="00817781" w:rsidTr="00E95A6A">
        <w:tc>
          <w:tcPr>
            <w:tcW w:w="2427" w:type="pct"/>
            <w:gridSpan w:val="2"/>
          </w:tcPr>
          <w:p w:rsidR="00222D61" w:rsidRPr="00222D61" w:rsidRDefault="00222D61" w:rsidP="00222D61">
            <w:pPr>
              <w:jc w:val="both"/>
              <w:rPr>
                <w:sz w:val="20"/>
                <w:lang w:val="fr-CA"/>
              </w:rPr>
            </w:pPr>
            <w:r w:rsidRPr="00222D61">
              <w:rPr>
                <w:sz w:val="20"/>
                <w:lang w:val="fr-CA"/>
              </w:rPr>
              <w:t>26 octobre 2016</w:t>
            </w:r>
          </w:p>
          <w:p w:rsidR="00222D61" w:rsidRPr="00222D61" w:rsidRDefault="00222D61" w:rsidP="00222D61">
            <w:pPr>
              <w:jc w:val="both"/>
              <w:rPr>
                <w:sz w:val="20"/>
                <w:lang w:val="fr-CA"/>
              </w:rPr>
            </w:pPr>
            <w:r w:rsidRPr="00222D61">
              <w:rPr>
                <w:sz w:val="20"/>
                <w:lang w:val="fr-CA"/>
              </w:rPr>
              <w:t xml:space="preserve">Cour d’appel de la Colombie-Britannique </w:t>
            </w:r>
          </w:p>
          <w:p w:rsidR="00222D61" w:rsidRPr="00222D61" w:rsidRDefault="00222D61" w:rsidP="00222D61">
            <w:pPr>
              <w:jc w:val="both"/>
              <w:rPr>
                <w:sz w:val="20"/>
                <w:lang w:val="fr-CA"/>
              </w:rPr>
            </w:pPr>
            <w:r w:rsidRPr="00222D61">
              <w:rPr>
                <w:sz w:val="20"/>
                <w:lang w:val="fr-CA"/>
              </w:rPr>
              <w:t>(Juges Saunders, Harris et Fitch)</w:t>
            </w:r>
          </w:p>
          <w:p w:rsidR="00222D61" w:rsidRPr="00222D61" w:rsidRDefault="00817781" w:rsidP="00222D61">
            <w:pPr>
              <w:jc w:val="both"/>
              <w:rPr>
                <w:sz w:val="20"/>
                <w:lang w:val="fr-CA"/>
              </w:rPr>
            </w:pPr>
            <w:hyperlink r:id="rId38" w:history="1">
              <w:r w:rsidR="00222D61" w:rsidRPr="00222D61">
                <w:rPr>
                  <w:rStyle w:val="Hyperlink"/>
                  <w:sz w:val="20"/>
                  <w:lang w:val="fr-CA"/>
                </w:rPr>
                <w:t>2016 BCCA 416</w:t>
              </w:r>
            </w:hyperlink>
          </w:p>
          <w:p w:rsidR="00222D61" w:rsidRPr="00222D61" w:rsidRDefault="00222D61" w:rsidP="00222D61">
            <w:pPr>
              <w:jc w:val="both"/>
              <w:rPr>
                <w:sz w:val="20"/>
                <w:lang w:val="fr-CA"/>
              </w:rPr>
            </w:pPr>
          </w:p>
        </w:tc>
        <w:tc>
          <w:tcPr>
            <w:tcW w:w="243" w:type="pct"/>
          </w:tcPr>
          <w:p w:rsidR="00222D61" w:rsidRPr="00222D61" w:rsidRDefault="00222D61" w:rsidP="00222D61">
            <w:pPr>
              <w:jc w:val="both"/>
              <w:rPr>
                <w:sz w:val="20"/>
                <w:lang w:val="fr-CA"/>
              </w:rPr>
            </w:pPr>
          </w:p>
        </w:tc>
        <w:tc>
          <w:tcPr>
            <w:tcW w:w="2330" w:type="pct"/>
          </w:tcPr>
          <w:p w:rsidR="00222D61" w:rsidRPr="00222D61" w:rsidRDefault="00222D61" w:rsidP="00222D61">
            <w:pPr>
              <w:jc w:val="both"/>
              <w:rPr>
                <w:sz w:val="20"/>
                <w:lang w:val="fr-CA"/>
              </w:rPr>
            </w:pPr>
            <w:r w:rsidRPr="00222D61">
              <w:rPr>
                <w:sz w:val="20"/>
                <w:lang w:val="fr-CA"/>
              </w:rPr>
              <w:t xml:space="preserve">Arrêt accueillant la demande de prorogation du délai d’interjeter appel de la déclaration de culpabilité et de la peine, accordant l’autorisation d’interjeter appel de la peine, accueillant la demande de présentation de preuves nouvelles et rejetant l’appel de la déclaration de culpabilité </w:t>
            </w:r>
          </w:p>
          <w:p w:rsidR="00222D61" w:rsidRPr="00222D61" w:rsidRDefault="00222D61" w:rsidP="00222D61">
            <w:pPr>
              <w:jc w:val="both"/>
              <w:rPr>
                <w:sz w:val="20"/>
                <w:lang w:val="fr-CA"/>
              </w:rPr>
            </w:pPr>
          </w:p>
        </w:tc>
      </w:tr>
      <w:tr w:rsidR="00222D61" w:rsidRPr="00817781" w:rsidTr="00E95A6A">
        <w:tc>
          <w:tcPr>
            <w:tcW w:w="2427" w:type="pct"/>
            <w:gridSpan w:val="2"/>
          </w:tcPr>
          <w:p w:rsidR="00222D61" w:rsidRPr="00222D61" w:rsidRDefault="00222D61" w:rsidP="00222D61">
            <w:pPr>
              <w:jc w:val="both"/>
              <w:rPr>
                <w:sz w:val="20"/>
                <w:lang w:val="fr-CA"/>
              </w:rPr>
            </w:pPr>
            <w:r w:rsidRPr="00222D61">
              <w:rPr>
                <w:sz w:val="20"/>
                <w:lang w:val="fr-CA"/>
              </w:rPr>
              <w:t>23 décembre 2016</w:t>
            </w:r>
          </w:p>
          <w:p w:rsidR="00222D61" w:rsidRPr="00222D61" w:rsidRDefault="00222D61" w:rsidP="00222D61">
            <w:pPr>
              <w:jc w:val="both"/>
              <w:rPr>
                <w:sz w:val="20"/>
                <w:lang w:val="fr-CA"/>
              </w:rPr>
            </w:pPr>
            <w:r w:rsidRPr="00222D61">
              <w:rPr>
                <w:sz w:val="20"/>
                <w:lang w:val="fr-CA"/>
              </w:rPr>
              <w:t>Cour suprême du Canada</w:t>
            </w:r>
          </w:p>
        </w:tc>
        <w:tc>
          <w:tcPr>
            <w:tcW w:w="243" w:type="pct"/>
          </w:tcPr>
          <w:p w:rsidR="00222D61" w:rsidRPr="00222D61" w:rsidRDefault="00222D61" w:rsidP="00222D61">
            <w:pPr>
              <w:jc w:val="both"/>
              <w:rPr>
                <w:sz w:val="20"/>
                <w:lang w:val="fr-CA"/>
              </w:rPr>
            </w:pPr>
          </w:p>
        </w:tc>
        <w:tc>
          <w:tcPr>
            <w:tcW w:w="2330" w:type="pct"/>
          </w:tcPr>
          <w:p w:rsidR="00222D61" w:rsidRPr="00222D61" w:rsidRDefault="00222D61" w:rsidP="00222D61">
            <w:pPr>
              <w:jc w:val="both"/>
              <w:rPr>
                <w:sz w:val="20"/>
                <w:lang w:val="fr-CA"/>
              </w:rPr>
            </w:pPr>
            <w:r w:rsidRPr="00222D61">
              <w:rPr>
                <w:sz w:val="20"/>
                <w:lang w:val="fr-CA"/>
              </w:rPr>
              <w:t>Dépôt de la demande d’autorisation d’appel</w:t>
            </w:r>
          </w:p>
        </w:tc>
      </w:tr>
    </w:tbl>
    <w:p w:rsidR="00222D61" w:rsidRPr="00222D61" w:rsidRDefault="00222D61" w:rsidP="00222D61">
      <w:pPr>
        <w:jc w:val="both"/>
        <w:rPr>
          <w:sz w:val="20"/>
          <w:lang w:val="fr-CA"/>
        </w:rPr>
      </w:pPr>
    </w:p>
    <w:p w:rsidR="00222D61" w:rsidRPr="00222D61" w:rsidRDefault="00222D61" w:rsidP="00222D61">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22D61" w:rsidRPr="00222D61" w:rsidTr="00E95A6A">
        <w:tc>
          <w:tcPr>
            <w:tcW w:w="543" w:type="pct"/>
          </w:tcPr>
          <w:p w:rsidR="00222D61" w:rsidRPr="00222D61" w:rsidRDefault="00222D61" w:rsidP="00222D61">
            <w:pPr>
              <w:jc w:val="both"/>
              <w:rPr>
                <w:sz w:val="20"/>
              </w:rPr>
            </w:pPr>
            <w:r w:rsidRPr="00222D61">
              <w:rPr>
                <w:rStyle w:val="SCCFileNumberChar"/>
                <w:sz w:val="20"/>
                <w:szCs w:val="20"/>
              </w:rPr>
              <w:t>37321</w:t>
            </w:r>
          </w:p>
        </w:tc>
        <w:tc>
          <w:tcPr>
            <w:tcW w:w="4457" w:type="pct"/>
            <w:gridSpan w:val="3"/>
          </w:tcPr>
          <w:p w:rsidR="00222D61" w:rsidRPr="00222D61" w:rsidRDefault="00222D61" w:rsidP="00222D61">
            <w:pPr>
              <w:pStyle w:val="SCCLsocParty"/>
              <w:jc w:val="both"/>
              <w:rPr>
                <w:b/>
                <w:sz w:val="20"/>
                <w:szCs w:val="20"/>
                <w:lang w:val="en-US"/>
              </w:rPr>
            </w:pPr>
            <w:r w:rsidRPr="00222D61">
              <w:rPr>
                <w:b/>
                <w:sz w:val="20"/>
                <w:szCs w:val="20"/>
                <w:lang w:val="en-US"/>
              </w:rPr>
              <w:t xml:space="preserve">Bryan James </w:t>
            </w:r>
            <w:proofErr w:type="spellStart"/>
            <w:r w:rsidRPr="00222D61">
              <w:rPr>
                <w:b/>
                <w:sz w:val="20"/>
                <w:szCs w:val="20"/>
                <w:lang w:val="en-US"/>
              </w:rPr>
              <w:t>Balla</w:t>
            </w:r>
            <w:proofErr w:type="spellEnd"/>
            <w:r w:rsidRPr="00222D61">
              <w:rPr>
                <w:b/>
                <w:sz w:val="20"/>
                <w:szCs w:val="20"/>
                <w:lang w:val="en-US"/>
              </w:rPr>
              <w:t xml:space="preserve"> v. Her Majesty the Queen</w:t>
            </w:r>
          </w:p>
          <w:p w:rsidR="00222D61" w:rsidRPr="00222D61" w:rsidRDefault="00222D61" w:rsidP="00222D61">
            <w:pPr>
              <w:jc w:val="both"/>
              <w:rPr>
                <w:sz w:val="20"/>
              </w:rPr>
            </w:pPr>
            <w:r w:rsidRPr="00222D61">
              <w:rPr>
                <w:sz w:val="20"/>
              </w:rPr>
              <w:t>(Alta.) (Criminal) (By Leave)</w:t>
            </w:r>
          </w:p>
        </w:tc>
      </w:tr>
      <w:tr w:rsidR="00222D61" w:rsidRPr="00222D61" w:rsidTr="00E95A6A">
        <w:tc>
          <w:tcPr>
            <w:tcW w:w="5000" w:type="pct"/>
            <w:gridSpan w:val="4"/>
          </w:tcPr>
          <w:p w:rsidR="00222D61" w:rsidRPr="00222D61" w:rsidRDefault="00222D61" w:rsidP="00222D61">
            <w:pPr>
              <w:jc w:val="both"/>
              <w:rPr>
                <w:sz w:val="20"/>
              </w:rPr>
            </w:pPr>
            <w:r w:rsidRPr="00222D61">
              <w:rPr>
                <w:i/>
                <w:sz w:val="20"/>
              </w:rPr>
              <w:t>Charter of Rights and Freedoms</w:t>
            </w:r>
            <w:r w:rsidRPr="00222D61">
              <w:rPr>
                <w:sz w:val="20"/>
              </w:rPr>
              <w:t xml:space="preserve"> – Search and seizure – Whether the issue of searches of digital storage devices is of sufficient public importance that it ought to be decided by this Court – Whether the issue of the standard of review applicable to hypothetical analyses under s. 24(2) of the </w:t>
            </w:r>
            <w:r w:rsidRPr="00222D61">
              <w:rPr>
                <w:i/>
                <w:sz w:val="20"/>
              </w:rPr>
              <w:t xml:space="preserve">Charter of Rights </w:t>
            </w:r>
            <w:r w:rsidRPr="00222D61">
              <w:rPr>
                <w:sz w:val="20"/>
              </w:rPr>
              <w:t xml:space="preserve">is of sufficient importance that it ought to be decided by this Court – </w:t>
            </w:r>
            <w:r w:rsidRPr="00222D61">
              <w:rPr>
                <w:i/>
                <w:sz w:val="20"/>
              </w:rPr>
              <w:t>Charter of Rights</w:t>
            </w:r>
            <w:r w:rsidRPr="00222D61">
              <w:rPr>
                <w:sz w:val="20"/>
              </w:rPr>
              <w:t xml:space="preserve"> ss. 8, 24(2).</w:t>
            </w:r>
          </w:p>
        </w:tc>
      </w:tr>
      <w:tr w:rsidR="00222D61" w:rsidRPr="00222D61" w:rsidTr="00E95A6A">
        <w:tc>
          <w:tcPr>
            <w:tcW w:w="5000" w:type="pct"/>
            <w:gridSpan w:val="4"/>
          </w:tcPr>
          <w:p w:rsidR="00222D61" w:rsidRPr="00222D61" w:rsidRDefault="00222D61" w:rsidP="00222D61">
            <w:pPr>
              <w:jc w:val="both"/>
              <w:rPr>
                <w:sz w:val="20"/>
              </w:rPr>
            </w:pPr>
          </w:p>
        </w:tc>
      </w:tr>
      <w:tr w:rsidR="00222D61" w:rsidRPr="00222D61" w:rsidTr="00E95A6A">
        <w:tc>
          <w:tcPr>
            <w:tcW w:w="5000" w:type="pct"/>
            <w:gridSpan w:val="4"/>
          </w:tcPr>
          <w:p w:rsidR="00222D61" w:rsidRPr="00222D61" w:rsidRDefault="00222D61" w:rsidP="00222D61">
            <w:pPr>
              <w:jc w:val="both"/>
              <w:rPr>
                <w:sz w:val="20"/>
              </w:rPr>
            </w:pPr>
            <w:r w:rsidRPr="00222D61">
              <w:rPr>
                <w:sz w:val="20"/>
              </w:rPr>
              <w:t xml:space="preserve">Over a period of several days in May 2011, the applicant and </w:t>
            </w:r>
            <w:proofErr w:type="spellStart"/>
            <w:r w:rsidRPr="00222D61">
              <w:rPr>
                <w:sz w:val="20"/>
              </w:rPr>
              <w:t>Jongoh</w:t>
            </w:r>
            <w:proofErr w:type="spellEnd"/>
            <w:r w:rsidRPr="00222D61">
              <w:rPr>
                <w:sz w:val="20"/>
              </w:rPr>
              <w:t xml:space="preserve"> Kim were the targets of “Operation Mastermind” that involved primarily police surveillance of a “dial-a-dope” operation. The police observed the applicant and Mr. Kim undertaking activities that they believed were consistent with drug trafficking. As a result, police obtained four search warrants: one for the Apple Village Residence and three for the vehicles (the Mercedes, the Volkswagen and the Cadillac). All of the warrants referred to Mr. Kim and the applicant. A significant amount of cash was found in one of the vehicles. In the applicant’s bedroom, the police found: a “score sheet” in a dresser drawer, containing names, telephone numbers, drug preferences and other “drug vernacular”; five cellular telephones; a bullet-proof plate that goes into a vest; ammunition and machetes; various receipts in a dresser drawer that bore the applicant’s name; plastic baggies in a garbage can which were described as “packaging”; 0.2 grams of powder cocaine on top of the dresser; and a digital camera. The digital camera that </w:t>
            </w:r>
            <w:proofErr w:type="spellStart"/>
            <w:r w:rsidRPr="00222D61">
              <w:rPr>
                <w:sz w:val="20"/>
              </w:rPr>
              <w:t>Cst</w:t>
            </w:r>
            <w:proofErr w:type="spellEnd"/>
            <w:r w:rsidRPr="00222D61">
              <w:rPr>
                <w:sz w:val="20"/>
              </w:rPr>
              <w:t>. </w:t>
            </w:r>
            <w:proofErr w:type="spellStart"/>
            <w:r w:rsidRPr="00222D61">
              <w:rPr>
                <w:sz w:val="20"/>
              </w:rPr>
              <w:t>Graw</w:t>
            </w:r>
            <w:proofErr w:type="spellEnd"/>
            <w:r w:rsidRPr="00222D61">
              <w:rPr>
                <w:sz w:val="20"/>
              </w:rPr>
              <w:t xml:space="preserve"> seized from the applicant’s bedroom contained many photographs of the applicant handling a variety of weapons, including handguns, and the AK-47-type weapon. There were also photographs of other handguns, a rifle and a handgun with the serial number scratched off. The applicant was convicted of thirteen drug and firearms offences. The Court of Appeal dismissed the appeal.</w:t>
            </w:r>
          </w:p>
          <w:p w:rsidR="00222D61" w:rsidRPr="00222D61" w:rsidRDefault="00222D61" w:rsidP="00222D61">
            <w:pPr>
              <w:jc w:val="both"/>
              <w:rPr>
                <w:sz w:val="20"/>
              </w:rPr>
            </w:pPr>
          </w:p>
        </w:tc>
      </w:tr>
      <w:tr w:rsidR="00222D61" w:rsidRPr="00222D61" w:rsidTr="00E95A6A">
        <w:tc>
          <w:tcPr>
            <w:tcW w:w="2427" w:type="pct"/>
            <w:gridSpan w:val="2"/>
          </w:tcPr>
          <w:p w:rsidR="00222D61" w:rsidRPr="00222D61" w:rsidRDefault="00222D61" w:rsidP="00222D61">
            <w:pPr>
              <w:jc w:val="both"/>
              <w:rPr>
                <w:sz w:val="20"/>
              </w:rPr>
            </w:pPr>
            <w:r w:rsidRPr="00222D61">
              <w:rPr>
                <w:sz w:val="20"/>
              </w:rPr>
              <w:t>October 1, 2014</w:t>
            </w:r>
          </w:p>
          <w:p w:rsidR="00222D61" w:rsidRPr="00222D61" w:rsidRDefault="00222D61" w:rsidP="00222D61">
            <w:pPr>
              <w:jc w:val="both"/>
              <w:rPr>
                <w:sz w:val="20"/>
              </w:rPr>
            </w:pPr>
            <w:r w:rsidRPr="00222D61">
              <w:rPr>
                <w:sz w:val="20"/>
              </w:rPr>
              <w:t>Court of Queen’s Bench of Alberta</w:t>
            </w:r>
          </w:p>
          <w:p w:rsidR="00222D61" w:rsidRPr="00222D61" w:rsidRDefault="00222D61" w:rsidP="00222D61">
            <w:pPr>
              <w:jc w:val="both"/>
              <w:rPr>
                <w:sz w:val="20"/>
              </w:rPr>
            </w:pPr>
            <w:r w:rsidRPr="00222D61">
              <w:rPr>
                <w:sz w:val="20"/>
              </w:rPr>
              <w:t>(Yamauchi J.)</w:t>
            </w:r>
          </w:p>
          <w:p w:rsidR="00222D61" w:rsidRPr="00222D61" w:rsidRDefault="00222D61" w:rsidP="00222D61">
            <w:pPr>
              <w:jc w:val="both"/>
              <w:rPr>
                <w:sz w:val="20"/>
              </w:rPr>
            </w:pPr>
            <w:r w:rsidRPr="00222D61">
              <w:rPr>
                <w:sz w:val="20"/>
              </w:rPr>
              <w:t>2014 ABQB 600</w:t>
            </w:r>
          </w:p>
          <w:p w:rsidR="00222D61" w:rsidRPr="00222D61" w:rsidRDefault="00222D61" w:rsidP="00222D61">
            <w:pPr>
              <w:jc w:val="both"/>
              <w:rPr>
                <w:sz w:val="20"/>
              </w:rPr>
            </w:pPr>
          </w:p>
        </w:tc>
        <w:tc>
          <w:tcPr>
            <w:tcW w:w="243" w:type="pct"/>
          </w:tcPr>
          <w:p w:rsidR="00222D61" w:rsidRPr="00222D61" w:rsidRDefault="00222D61" w:rsidP="00222D61">
            <w:pPr>
              <w:jc w:val="both"/>
              <w:rPr>
                <w:sz w:val="20"/>
              </w:rPr>
            </w:pPr>
          </w:p>
        </w:tc>
        <w:tc>
          <w:tcPr>
            <w:tcW w:w="2330" w:type="pct"/>
          </w:tcPr>
          <w:p w:rsidR="00222D61" w:rsidRPr="00222D61" w:rsidRDefault="00222D61" w:rsidP="00222D61">
            <w:pPr>
              <w:jc w:val="both"/>
              <w:rPr>
                <w:sz w:val="20"/>
              </w:rPr>
            </w:pPr>
            <w:r w:rsidRPr="00222D61">
              <w:rPr>
                <w:sz w:val="20"/>
              </w:rPr>
              <w:t>Conviction for thirteen drug and firearms offences</w:t>
            </w:r>
          </w:p>
          <w:p w:rsidR="00222D61" w:rsidRPr="00222D61" w:rsidRDefault="00222D61" w:rsidP="00222D61">
            <w:pPr>
              <w:jc w:val="both"/>
              <w:rPr>
                <w:sz w:val="20"/>
              </w:rPr>
            </w:pPr>
          </w:p>
        </w:tc>
      </w:tr>
      <w:tr w:rsidR="00222D61" w:rsidRPr="00222D61" w:rsidTr="00E95A6A">
        <w:tc>
          <w:tcPr>
            <w:tcW w:w="2427" w:type="pct"/>
            <w:gridSpan w:val="2"/>
          </w:tcPr>
          <w:p w:rsidR="00222D61" w:rsidRPr="00222D61" w:rsidRDefault="00222D61" w:rsidP="00222D61">
            <w:pPr>
              <w:jc w:val="both"/>
              <w:rPr>
                <w:sz w:val="20"/>
              </w:rPr>
            </w:pPr>
            <w:r w:rsidRPr="00222D61">
              <w:rPr>
                <w:sz w:val="20"/>
              </w:rPr>
              <w:t>July 6, 2016</w:t>
            </w:r>
          </w:p>
          <w:p w:rsidR="00222D61" w:rsidRPr="00222D61" w:rsidRDefault="00222D61" w:rsidP="00222D61">
            <w:pPr>
              <w:jc w:val="both"/>
              <w:rPr>
                <w:sz w:val="20"/>
              </w:rPr>
            </w:pPr>
            <w:r w:rsidRPr="00222D61">
              <w:rPr>
                <w:sz w:val="20"/>
              </w:rPr>
              <w:t>Court of Appeal of Alberta (Calgary)</w:t>
            </w:r>
          </w:p>
          <w:p w:rsidR="00222D61" w:rsidRPr="00222D61" w:rsidRDefault="00222D61" w:rsidP="00222D61">
            <w:pPr>
              <w:jc w:val="both"/>
              <w:rPr>
                <w:sz w:val="20"/>
              </w:rPr>
            </w:pPr>
            <w:r w:rsidRPr="00222D61">
              <w:rPr>
                <w:sz w:val="20"/>
              </w:rPr>
              <w:t>(</w:t>
            </w:r>
            <w:proofErr w:type="spellStart"/>
            <w:r w:rsidRPr="00222D61">
              <w:rPr>
                <w:sz w:val="20"/>
              </w:rPr>
              <w:t>Paperny</w:t>
            </w:r>
            <w:proofErr w:type="spellEnd"/>
            <w:r w:rsidRPr="00222D61">
              <w:rPr>
                <w:sz w:val="20"/>
              </w:rPr>
              <w:t>, Watson, Veldhuis JJ.A.)</w:t>
            </w:r>
          </w:p>
          <w:p w:rsidR="00222D61" w:rsidRPr="00222D61" w:rsidRDefault="00222D61" w:rsidP="00222D61">
            <w:pPr>
              <w:jc w:val="both"/>
              <w:rPr>
                <w:sz w:val="20"/>
              </w:rPr>
            </w:pPr>
            <w:r w:rsidRPr="00222D61">
              <w:rPr>
                <w:sz w:val="20"/>
              </w:rPr>
              <w:t>2106 ABCA 212; 1501-0084-A</w:t>
            </w:r>
          </w:p>
          <w:p w:rsidR="00222D61" w:rsidRPr="00222D61" w:rsidRDefault="00817781" w:rsidP="00222D61">
            <w:pPr>
              <w:jc w:val="both"/>
              <w:rPr>
                <w:rStyle w:val="Hyperlink"/>
                <w:rFonts w:eastAsiaTheme="majorEastAsia"/>
                <w:sz w:val="20"/>
              </w:rPr>
            </w:pPr>
            <w:hyperlink r:id="rId39" w:history="1">
              <w:r w:rsidR="00222D61" w:rsidRPr="00222D61">
                <w:rPr>
                  <w:rStyle w:val="Hyperlink"/>
                  <w:rFonts w:eastAsiaTheme="majorEastAsia"/>
                  <w:sz w:val="20"/>
                </w:rPr>
                <w:t>http://canlii.ca/t/gscmn</w:t>
              </w:r>
            </w:hyperlink>
          </w:p>
          <w:p w:rsidR="00222D61" w:rsidRPr="00222D61" w:rsidRDefault="00222D61" w:rsidP="00222D61">
            <w:pPr>
              <w:jc w:val="both"/>
              <w:rPr>
                <w:sz w:val="20"/>
              </w:rPr>
            </w:pPr>
          </w:p>
        </w:tc>
        <w:tc>
          <w:tcPr>
            <w:tcW w:w="243" w:type="pct"/>
          </w:tcPr>
          <w:p w:rsidR="00222D61" w:rsidRPr="00222D61" w:rsidRDefault="00222D61" w:rsidP="00222D61">
            <w:pPr>
              <w:jc w:val="both"/>
              <w:rPr>
                <w:sz w:val="20"/>
              </w:rPr>
            </w:pPr>
          </w:p>
        </w:tc>
        <w:tc>
          <w:tcPr>
            <w:tcW w:w="2330" w:type="pct"/>
          </w:tcPr>
          <w:p w:rsidR="00222D61" w:rsidRPr="00222D61" w:rsidRDefault="00222D61" w:rsidP="00222D61">
            <w:pPr>
              <w:jc w:val="both"/>
              <w:rPr>
                <w:sz w:val="20"/>
              </w:rPr>
            </w:pPr>
            <w:r w:rsidRPr="00222D61">
              <w:rPr>
                <w:sz w:val="20"/>
              </w:rPr>
              <w:t>Appeal dismissed</w:t>
            </w:r>
          </w:p>
          <w:p w:rsidR="00222D61" w:rsidRPr="00222D61" w:rsidRDefault="00222D61" w:rsidP="00222D61">
            <w:pPr>
              <w:jc w:val="both"/>
              <w:rPr>
                <w:sz w:val="20"/>
              </w:rPr>
            </w:pPr>
          </w:p>
          <w:p w:rsidR="00222D61" w:rsidRPr="00222D61" w:rsidRDefault="00222D61" w:rsidP="00222D61">
            <w:pPr>
              <w:jc w:val="both"/>
              <w:rPr>
                <w:sz w:val="20"/>
              </w:rPr>
            </w:pPr>
          </w:p>
        </w:tc>
      </w:tr>
      <w:tr w:rsidR="00222D61" w:rsidRPr="00222D61" w:rsidTr="00E95A6A">
        <w:tc>
          <w:tcPr>
            <w:tcW w:w="2427" w:type="pct"/>
            <w:gridSpan w:val="2"/>
          </w:tcPr>
          <w:p w:rsidR="00222D61" w:rsidRPr="00222D61" w:rsidRDefault="00222D61" w:rsidP="00222D61">
            <w:pPr>
              <w:jc w:val="both"/>
              <w:rPr>
                <w:sz w:val="20"/>
              </w:rPr>
            </w:pPr>
            <w:r w:rsidRPr="00222D61">
              <w:rPr>
                <w:sz w:val="20"/>
              </w:rPr>
              <w:t>November 29, 2016</w:t>
            </w:r>
          </w:p>
          <w:p w:rsidR="00222D61" w:rsidRPr="00222D61" w:rsidRDefault="00222D61" w:rsidP="00222D61">
            <w:pPr>
              <w:jc w:val="both"/>
              <w:rPr>
                <w:sz w:val="20"/>
              </w:rPr>
            </w:pPr>
            <w:r w:rsidRPr="00222D61">
              <w:rPr>
                <w:sz w:val="20"/>
              </w:rPr>
              <w:t>Supreme Court of Canada</w:t>
            </w:r>
          </w:p>
        </w:tc>
        <w:tc>
          <w:tcPr>
            <w:tcW w:w="243" w:type="pct"/>
          </w:tcPr>
          <w:p w:rsidR="00222D61" w:rsidRPr="00222D61" w:rsidRDefault="00222D61" w:rsidP="00222D61">
            <w:pPr>
              <w:jc w:val="both"/>
              <w:rPr>
                <w:sz w:val="20"/>
              </w:rPr>
            </w:pPr>
          </w:p>
        </w:tc>
        <w:tc>
          <w:tcPr>
            <w:tcW w:w="2330" w:type="pct"/>
          </w:tcPr>
          <w:p w:rsidR="00222D61" w:rsidRPr="00222D61" w:rsidRDefault="00222D61" w:rsidP="00222D61">
            <w:pPr>
              <w:jc w:val="both"/>
              <w:rPr>
                <w:sz w:val="20"/>
              </w:rPr>
            </w:pPr>
            <w:r w:rsidRPr="00222D61">
              <w:rPr>
                <w:sz w:val="20"/>
              </w:rPr>
              <w:t>Motion for an extension of time to serve and file the application for leave to appeal and application for leave to appeal filed</w:t>
            </w:r>
          </w:p>
        </w:tc>
      </w:tr>
    </w:tbl>
    <w:p w:rsidR="00222D61" w:rsidRDefault="00222D61" w:rsidP="00222D61">
      <w:pPr>
        <w:jc w:val="both"/>
        <w:rPr>
          <w:sz w:val="20"/>
        </w:rPr>
      </w:pPr>
    </w:p>
    <w:p w:rsidR="00222D61" w:rsidRPr="00222D61" w:rsidRDefault="00222D61" w:rsidP="00222D6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22D61" w:rsidRPr="00222D61" w:rsidTr="00E95A6A">
        <w:tc>
          <w:tcPr>
            <w:tcW w:w="543" w:type="pct"/>
          </w:tcPr>
          <w:p w:rsidR="00222D61" w:rsidRPr="00222D61" w:rsidRDefault="00222D61" w:rsidP="00222D61">
            <w:pPr>
              <w:jc w:val="both"/>
              <w:rPr>
                <w:sz w:val="20"/>
                <w:lang w:val="fr-CA"/>
              </w:rPr>
            </w:pPr>
            <w:r w:rsidRPr="00222D61">
              <w:rPr>
                <w:rStyle w:val="SCCFileNumberChar"/>
                <w:sz w:val="20"/>
                <w:szCs w:val="20"/>
                <w:lang w:val="fr-CA"/>
              </w:rPr>
              <w:t>37321</w:t>
            </w:r>
          </w:p>
        </w:tc>
        <w:tc>
          <w:tcPr>
            <w:tcW w:w="4457" w:type="pct"/>
            <w:gridSpan w:val="3"/>
          </w:tcPr>
          <w:p w:rsidR="00222D61" w:rsidRPr="00222D61" w:rsidRDefault="00222D61" w:rsidP="00222D61">
            <w:pPr>
              <w:pStyle w:val="SCCLsocParty"/>
              <w:jc w:val="both"/>
              <w:rPr>
                <w:b/>
                <w:sz w:val="20"/>
                <w:szCs w:val="20"/>
              </w:rPr>
            </w:pPr>
            <w:r w:rsidRPr="00222D61">
              <w:rPr>
                <w:b/>
                <w:sz w:val="20"/>
                <w:szCs w:val="20"/>
              </w:rPr>
              <w:t>Bryan James Balla c. Sa Majesté la Reine</w:t>
            </w:r>
          </w:p>
          <w:p w:rsidR="00222D61" w:rsidRPr="00222D61" w:rsidRDefault="00222D61" w:rsidP="00222D61">
            <w:pPr>
              <w:jc w:val="both"/>
              <w:rPr>
                <w:sz w:val="20"/>
                <w:lang w:val="fr-CA"/>
              </w:rPr>
            </w:pPr>
            <w:r w:rsidRPr="00222D61">
              <w:rPr>
                <w:sz w:val="20"/>
                <w:lang w:val="fr-CA"/>
              </w:rPr>
              <w:t>(Alb.) (Criminelle) (Sur autorisation)</w:t>
            </w:r>
          </w:p>
        </w:tc>
      </w:tr>
      <w:tr w:rsidR="00222D61" w:rsidRPr="00817781" w:rsidTr="00E95A6A">
        <w:tc>
          <w:tcPr>
            <w:tcW w:w="5000" w:type="pct"/>
            <w:gridSpan w:val="4"/>
          </w:tcPr>
          <w:p w:rsidR="00222D61" w:rsidRPr="00222D61" w:rsidRDefault="00222D61" w:rsidP="00222D61">
            <w:pPr>
              <w:jc w:val="both"/>
              <w:rPr>
                <w:sz w:val="20"/>
                <w:lang w:val="fr-CA"/>
              </w:rPr>
            </w:pPr>
            <w:r w:rsidRPr="00222D61">
              <w:rPr>
                <w:i/>
                <w:sz w:val="20"/>
                <w:lang w:val="fr-CA"/>
              </w:rPr>
              <w:t xml:space="preserve">Charte des droits et libertés </w:t>
            </w:r>
            <w:r w:rsidRPr="00222D61">
              <w:rPr>
                <w:sz w:val="20"/>
                <w:lang w:val="fr-CA"/>
              </w:rPr>
              <w:t>– Fouilles, perquisitions et saisies – La question des fouilles d’appareils de stockage numérique revêt-elle une importance pour le public telle qu’il y a lieu de la faire trancher par la Cour? – La question de la norme de contrôle applicable aux analyses hypothétiques en application du par. 24(2) de la</w:t>
            </w:r>
            <w:r w:rsidRPr="00222D61">
              <w:rPr>
                <w:i/>
                <w:sz w:val="20"/>
                <w:lang w:val="fr-CA"/>
              </w:rPr>
              <w:t xml:space="preserve"> Charte des droits </w:t>
            </w:r>
            <w:r w:rsidRPr="00222D61">
              <w:rPr>
                <w:sz w:val="20"/>
                <w:lang w:val="fr-CA"/>
              </w:rPr>
              <w:t>revêt-elle une importance telle qu’il y a lieu de la faire trancher par la Cour? –</w:t>
            </w:r>
            <w:r w:rsidRPr="00222D61">
              <w:rPr>
                <w:i/>
                <w:sz w:val="20"/>
                <w:lang w:val="fr-CA"/>
              </w:rPr>
              <w:t xml:space="preserve"> Charte des droits </w:t>
            </w:r>
            <w:r w:rsidRPr="00222D61">
              <w:rPr>
                <w:sz w:val="20"/>
                <w:lang w:val="fr-CA"/>
              </w:rPr>
              <w:t>art. 8, 24(2).</w:t>
            </w:r>
          </w:p>
        </w:tc>
      </w:tr>
      <w:tr w:rsidR="00222D61" w:rsidRPr="00817781" w:rsidTr="00E95A6A">
        <w:tc>
          <w:tcPr>
            <w:tcW w:w="5000" w:type="pct"/>
            <w:gridSpan w:val="4"/>
          </w:tcPr>
          <w:p w:rsidR="00222D61" w:rsidRPr="00222D61" w:rsidRDefault="00222D61" w:rsidP="00222D61">
            <w:pPr>
              <w:jc w:val="both"/>
              <w:rPr>
                <w:sz w:val="20"/>
                <w:lang w:val="fr-CA"/>
              </w:rPr>
            </w:pPr>
          </w:p>
        </w:tc>
      </w:tr>
      <w:tr w:rsidR="00222D61" w:rsidRPr="00222D61" w:rsidTr="00E95A6A">
        <w:tc>
          <w:tcPr>
            <w:tcW w:w="5000" w:type="pct"/>
            <w:gridSpan w:val="4"/>
          </w:tcPr>
          <w:p w:rsidR="00222D61" w:rsidRPr="00222D61" w:rsidRDefault="00222D61" w:rsidP="00222D61">
            <w:pPr>
              <w:jc w:val="both"/>
              <w:rPr>
                <w:sz w:val="20"/>
                <w:lang w:val="fr-CA"/>
              </w:rPr>
            </w:pPr>
            <w:r w:rsidRPr="00222D61">
              <w:rPr>
                <w:sz w:val="20"/>
                <w:lang w:val="fr-CA"/>
              </w:rPr>
              <w:t>Sur une période de plusieurs jours en mai 2011, le demandeur et Jongoh Kim ont été les cibles d’une opération policière nommée « Operation Mastermind » qui consistait principalement à surveiller une opération de vente de drogue sur appel. Les policiers avaient observé que le demandeur et M. Kim exerçaient des activités qui leur faisaient croire qu’ils avaient affaire à du trafic de drogue. Par conséquent, les policiers ont obtenu quatre mandats de perquisition : un pour l’Apple Village Residence et trois pour les véhicules (la Mercedes, la Volkswagen and la Cadillac). Tous les mandats mentionnaient M. Kim et le demandeur. Une importante somme d’argent liquide a été trouvée dans un des véhicules. Dans la chambre à coucher du demandeur, les policiers ont trouvé ce qui suit : une « feuille de pointage » dans un tiroir de commode, renfermant les noms, numéros de téléphone et les préférences de drogue et d’autres termes familiers employés dans le monde la drogue; cinq téléphones cellulaires; une plaque pare-balles qui s’insère dans un gilet; des munitions et des machettes; divers reçus dans un tiroir de commode qui portaient le nom du demandeur; des sachets dans une poubelle qui étaient décrits comme des « emballages »; 0,2 g de poudre de cocaïne sur la commode et un appareil photo numérique. L’appareil photo numérique que l’agent Graw a saisi de la chambre à coucher du demandeur renfermait plusieurs photographies du demandeur manipulant diverses armes, y compris des armes de poing et l’arme de type AK-47. Il y avait également des photographies d’autres armes de poing, une carabine et une arme de poing dont le numéro de série avait été oblitéré. Le demandeur a été déclaré coupable de treize infractions en matière de drogue et d’armes à feu. La Cour d’appel a rejeté l’appel.</w:t>
            </w:r>
          </w:p>
          <w:p w:rsidR="00222D61" w:rsidRPr="00222D61" w:rsidRDefault="00222D61" w:rsidP="00222D61">
            <w:pPr>
              <w:jc w:val="both"/>
              <w:rPr>
                <w:sz w:val="20"/>
                <w:lang w:val="fr-CA"/>
              </w:rPr>
            </w:pPr>
          </w:p>
        </w:tc>
      </w:tr>
      <w:tr w:rsidR="00222D61" w:rsidRPr="00817781" w:rsidTr="00E95A6A">
        <w:tc>
          <w:tcPr>
            <w:tcW w:w="2427" w:type="pct"/>
            <w:gridSpan w:val="2"/>
          </w:tcPr>
          <w:p w:rsidR="00222D61" w:rsidRPr="00222D61" w:rsidRDefault="00222D61" w:rsidP="00222D61">
            <w:pPr>
              <w:jc w:val="both"/>
              <w:rPr>
                <w:sz w:val="20"/>
                <w:lang w:val="fr-CA"/>
              </w:rPr>
            </w:pPr>
            <w:r w:rsidRPr="00222D61">
              <w:rPr>
                <w:sz w:val="20"/>
                <w:lang w:val="fr-CA"/>
              </w:rPr>
              <w:t>1</w:t>
            </w:r>
            <w:r w:rsidRPr="00222D61">
              <w:rPr>
                <w:sz w:val="20"/>
                <w:vertAlign w:val="superscript"/>
                <w:lang w:val="fr-CA"/>
              </w:rPr>
              <w:t>er</w:t>
            </w:r>
            <w:r w:rsidRPr="00222D61">
              <w:rPr>
                <w:sz w:val="20"/>
                <w:lang w:val="fr-CA"/>
              </w:rPr>
              <w:t xml:space="preserve"> octobre 2014</w:t>
            </w:r>
          </w:p>
          <w:p w:rsidR="00222D61" w:rsidRPr="00222D61" w:rsidRDefault="00222D61" w:rsidP="00222D61">
            <w:pPr>
              <w:jc w:val="both"/>
              <w:rPr>
                <w:sz w:val="20"/>
                <w:lang w:val="fr-CA"/>
              </w:rPr>
            </w:pPr>
            <w:r w:rsidRPr="00222D61">
              <w:rPr>
                <w:sz w:val="20"/>
                <w:lang w:val="fr-CA"/>
              </w:rPr>
              <w:t>Cour du Banc de la Reine de l’Alberta</w:t>
            </w:r>
          </w:p>
          <w:p w:rsidR="00222D61" w:rsidRPr="00222D61" w:rsidRDefault="00222D61" w:rsidP="00222D61">
            <w:pPr>
              <w:jc w:val="both"/>
              <w:rPr>
                <w:sz w:val="20"/>
                <w:lang w:val="fr-CA"/>
              </w:rPr>
            </w:pPr>
            <w:r w:rsidRPr="00222D61">
              <w:rPr>
                <w:sz w:val="20"/>
                <w:lang w:val="fr-CA"/>
              </w:rPr>
              <w:t>(Juge Yamauchi)</w:t>
            </w:r>
          </w:p>
          <w:p w:rsidR="00222D61" w:rsidRPr="00222D61" w:rsidRDefault="00222D61" w:rsidP="00222D61">
            <w:pPr>
              <w:jc w:val="both"/>
              <w:rPr>
                <w:sz w:val="20"/>
                <w:lang w:val="fr-CA"/>
              </w:rPr>
            </w:pPr>
            <w:r w:rsidRPr="00222D61">
              <w:rPr>
                <w:sz w:val="20"/>
                <w:lang w:val="fr-CA"/>
              </w:rPr>
              <w:t>2014 ABQB 600</w:t>
            </w:r>
          </w:p>
          <w:p w:rsidR="00222D61" w:rsidRPr="00222D61" w:rsidRDefault="00222D61" w:rsidP="00222D61">
            <w:pPr>
              <w:jc w:val="both"/>
              <w:rPr>
                <w:sz w:val="20"/>
                <w:lang w:val="fr-CA"/>
              </w:rPr>
            </w:pPr>
          </w:p>
        </w:tc>
        <w:tc>
          <w:tcPr>
            <w:tcW w:w="243" w:type="pct"/>
          </w:tcPr>
          <w:p w:rsidR="00222D61" w:rsidRPr="00222D61" w:rsidRDefault="00222D61" w:rsidP="00222D61">
            <w:pPr>
              <w:jc w:val="both"/>
              <w:rPr>
                <w:sz w:val="20"/>
                <w:lang w:val="fr-CA"/>
              </w:rPr>
            </w:pPr>
          </w:p>
        </w:tc>
        <w:tc>
          <w:tcPr>
            <w:tcW w:w="2330" w:type="pct"/>
          </w:tcPr>
          <w:p w:rsidR="00222D61" w:rsidRPr="00222D61" w:rsidRDefault="00222D61" w:rsidP="00222D61">
            <w:pPr>
              <w:jc w:val="both"/>
              <w:rPr>
                <w:sz w:val="20"/>
                <w:lang w:val="fr-CA"/>
              </w:rPr>
            </w:pPr>
            <w:r w:rsidRPr="00222D61">
              <w:rPr>
                <w:sz w:val="20"/>
                <w:lang w:val="fr-CA"/>
              </w:rPr>
              <w:t>Déclaration de culpabilité de treize infractions en matière de drogue et d’armes à feu</w:t>
            </w:r>
          </w:p>
          <w:p w:rsidR="00222D61" w:rsidRPr="00222D61" w:rsidRDefault="00222D61" w:rsidP="00222D61">
            <w:pPr>
              <w:jc w:val="both"/>
              <w:rPr>
                <w:sz w:val="20"/>
                <w:lang w:val="fr-CA"/>
              </w:rPr>
            </w:pPr>
          </w:p>
        </w:tc>
      </w:tr>
      <w:tr w:rsidR="00222D61" w:rsidRPr="00222D61" w:rsidTr="00E95A6A">
        <w:tc>
          <w:tcPr>
            <w:tcW w:w="2427" w:type="pct"/>
            <w:gridSpan w:val="2"/>
          </w:tcPr>
          <w:p w:rsidR="00222D61" w:rsidRPr="00222D61" w:rsidRDefault="00222D61" w:rsidP="00222D61">
            <w:pPr>
              <w:jc w:val="both"/>
              <w:rPr>
                <w:sz w:val="20"/>
                <w:lang w:val="fr-CA"/>
              </w:rPr>
            </w:pPr>
            <w:r w:rsidRPr="00222D61">
              <w:rPr>
                <w:sz w:val="20"/>
                <w:lang w:val="fr-CA"/>
              </w:rPr>
              <w:t>6 juillet 2016</w:t>
            </w:r>
          </w:p>
          <w:p w:rsidR="00222D61" w:rsidRPr="00222D61" w:rsidRDefault="00222D61" w:rsidP="00222D61">
            <w:pPr>
              <w:jc w:val="both"/>
              <w:rPr>
                <w:sz w:val="20"/>
                <w:lang w:val="fr-CA"/>
              </w:rPr>
            </w:pPr>
            <w:r w:rsidRPr="00222D61">
              <w:rPr>
                <w:sz w:val="20"/>
                <w:lang w:val="fr-CA"/>
              </w:rPr>
              <w:t>Cour d’appel de l’Alberta (Calgary)</w:t>
            </w:r>
          </w:p>
          <w:p w:rsidR="00222D61" w:rsidRPr="00222D61" w:rsidRDefault="00222D61" w:rsidP="00222D61">
            <w:pPr>
              <w:jc w:val="both"/>
              <w:rPr>
                <w:sz w:val="20"/>
                <w:lang w:val="fr-CA"/>
              </w:rPr>
            </w:pPr>
            <w:r w:rsidRPr="00222D61">
              <w:rPr>
                <w:sz w:val="20"/>
                <w:lang w:val="fr-CA"/>
              </w:rPr>
              <w:t>(Juges Paperny, Watson et Veldhuis)</w:t>
            </w:r>
          </w:p>
          <w:p w:rsidR="00222D61" w:rsidRPr="00222D61" w:rsidRDefault="00222D61" w:rsidP="00222D61">
            <w:pPr>
              <w:jc w:val="both"/>
              <w:rPr>
                <w:sz w:val="20"/>
              </w:rPr>
            </w:pPr>
            <w:r w:rsidRPr="00222D61">
              <w:rPr>
                <w:sz w:val="20"/>
              </w:rPr>
              <w:t>2106 ABCA 212; 1501-0084-A</w:t>
            </w:r>
          </w:p>
          <w:p w:rsidR="00222D61" w:rsidRPr="00222D61" w:rsidRDefault="00817781" w:rsidP="00222D61">
            <w:pPr>
              <w:jc w:val="both"/>
              <w:rPr>
                <w:rStyle w:val="Hyperlink"/>
                <w:rFonts w:eastAsiaTheme="majorEastAsia"/>
                <w:sz w:val="20"/>
              </w:rPr>
            </w:pPr>
            <w:hyperlink r:id="rId40" w:history="1">
              <w:r w:rsidR="00222D61" w:rsidRPr="00222D61">
                <w:rPr>
                  <w:rStyle w:val="Hyperlink"/>
                  <w:rFonts w:eastAsiaTheme="majorEastAsia"/>
                  <w:sz w:val="20"/>
                </w:rPr>
                <w:t>http://canlii.ca/t/gscmn</w:t>
              </w:r>
            </w:hyperlink>
          </w:p>
          <w:p w:rsidR="00222D61" w:rsidRPr="00222D61" w:rsidRDefault="00222D61" w:rsidP="00222D61">
            <w:pPr>
              <w:jc w:val="both"/>
              <w:rPr>
                <w:sz w:val="20"/>
              </w:rPr>
            </w:pPr>
          </w:p>
        </w:tc>
        <w:tc>
          <w:tcPr>
            <w:tcW w:w="243" w:type="pct"/>
          </w:tcPr>
          <w:p w:rsidR="00222D61" w:rsidRPr="00222D61" w:rsidRDefault="00222D61" w:rsidP="00222D61">
            <w:pPr>
              <w:jc w:val="both"/>
              <w:rPr>
                <w:sz w:val="20"/>
              </w:rPr>
            </w:pPr>
          </w:p>
        </w:tc>
        <w:tc>
          <w:tcPr>
            <w:tcW w:w="2330" w:type="pct"/>
          </w:tcPr>
          <w:p w:rsidR="00222D61" w:rsidRPr="00222D61" w:rsidRDefault="00222D61" w:rsidP="00222D61">
            <w:pPr>
              <w:jc w:val="both"/>
              <w:rPr>
                <w:sz w:val="20"/>
                <w:lang w:val="fr-CA"/>
              </w:rPr>
            </w:pPr>
            <w:r w:rsidRPr="00222D61">
              <w:rPr>
                <w:sz w:val="20"/>
                <w:lang w:val="fr-CA"/>
              </w:rPr>
              <w:t>Rejet de l’appel</w:t>
            </w:r>
          </w:p>
          <w:p w:rsidR="00222D61" w:rsidRPr="00222D61" w:rsidRDefault="00222D61" w:rsidP="00222D61">
            <w:pPr>
              <w:jc w:val="both"/>
              <w:rPr>
                <w:sz w:val="20"/>
                <w:lang w:val="fr-CA"/>
              </w:rPr>
            </w:pPr>
          </w:p>
        </w:tc>
      </w:tr>
      <w:tr w:rsidR="00222D61" w:rsidRPr="00817781" w:rsidTr="00E95A6A">
        <w:tc>
          <w:tcPr>
            <w:tcW w:w="2427" w:type="pct"/>
            <w:gridSpan w:val="2"/>
          </w:tcPr>
          <w:p w:rsidR="00222D61" w:rsidRPr="00222D61" w:rsidRDefault="00222D61" w:rsidP="00222D61">
            <w:pPr>
              <w:jc w:val="both"/>
              <w:rPr>
                <w:sz w:val="20"/>
                <w:lang w:val="fr-CA"/>
              </w:rPr>
            </w:pPr>
            <w:r w:rsidRPr="00222D61">
              <w:rPr>
                <w:sz w:val="20"/>
                <w:lang w:val="fr-CA"/>
              </w:rPr>
              <w:t>29 novembre 2016</w:t>
            </w:r>
          </w:p>
          <w:p w:rsidR="00222D61" w:rsidRPr="00222D61" w:rsidRDefault="00222D61" w:rsidP="00222D61">
            <w:pPr>
              <w:jc w:val="both"/>
              <w:rPr>
                <w:sz w:val="20"/>
                <w:lang w:val="fr-CA"/>
              </w:rPr>
            </w:pPr>
            <w:r w:rsidRPr="00222D61">
              <w:rPr>
                <w:sz w:val="20"/>
                <w:lang w:val="fr-CA"/>
              </w:rPr>
              <w:t>Cour suprême du Canada</w:t>
            </w:r>
          </w:p>
        </w:tc>
        <w:tc>
          <w:tcPr>
            <w:tcW w:w="243" w:type="pct"/>
          </w:tcPr>
          <w:p w:rsidR="00222D61" w:rsidRPr="00222D61" w:rsidRDefault="00222D61" w:rsidP="00222D61">
            <w:pPr>
              <w:jc w:val="both"/>
              <w:rPr>
                <w:sz w:val="20"/>
                <w:lang w:val="fr-CA"/>
              </w:rPr>
            </w:pPr>
          </w:p>
        </w:tc>
        <w:tc>
          <w:tcPr>
            <w:tcW w:w="2330" w:type="pct"/>
          </w:tcPr>
          <w:p w:rsidR="00222D61" w:rsidRPr="00222D61" w:rsidRDefault="00222D61" w:rsidP="00222D61">
            <w:pPr>
              <w:jc w:val="both"/>
              <w:rPr>
                <w:sz w:val="20"/>
                <w:lang w:val="fr-CA"/>
              </w:rPr>
            </w:pPr>
            <w:r w:rsidRPr="00222D61">
              <w:rPr>
                <w:sz w:val="20"/>
                <w:lang w:val="fr-CA"/>
              </w:rPr>
              <w:t xml:space="preserve">Requête en prorogation du délai de signification et de dépôt de la demande d’autorisation d’appel et de la demande d’autorisation d’appel </w:t>
            </w:r>
          </w:p>
        </w:tc>
      </w:tr>
    </w:tbl>
    <w:p w:rsidR="00222D61" w:rsidRPr="00222D61" w:rsidRDefault="00222D61" w:rsidP="00222D61">
      <w:pPr>
        <w:jc w:val="both"/>
        <w:rPr>
          <w:sz w:val="20"/>
          <w:lang w:val="fr-CA"/>
        </w:rPr>
      </w:pPr>
    </w:p>
    <w:p w:rsidR="00222D61" w:rsidRPr="00222D61" w:rsidRDefault="00222D61" w:rsidP="00222D61">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22D61" w:rsidRPr="00222D61" w:rsidTr="00E95A6A">
        <w:tc>
          <w:tcPr>
            <w:tcW w:w="543" w:type="pct"/>
          </w:tcPr>
          <w:p w:rsidR="00222D61" w:rsidRPr="00222D61" w:rsidRDefault="00222D61" w:rsidP="00222D61">
            <w:pPr>
              <w:jc w:val="both"/>
              <w:rPr>
                <w:sz w:val="20"/>
              </w:rPr>
            </w:pPr>
            <w:r w:rsidRPr="00222D61">
              <w:rPr>
                <w:rStyle w:val="SCCFileNumberChar"/>
                <w:sz w:val="20"/>
                <w:szCs w:val="20"/>
              </w:rPr>
              <w:t>37351</w:t>
            </w:r>
          </w:p>
        </w:tc>
        <w:tc>
          <w:tcPr>
            <w:tcW w:w="4457" w:type="pct"/>
            <w:gridSpan w:val="3"/>
          </w:tcPr>
          <w:p w:rsidR="00222D61" w:rsidRPr="00222D61" w:rsidRDefault="00222D61" w:rsidP="00222D61">
            <w:pPr>
              <w:pStyle w:val="SCCLsocParty"/>
              <w:jc w:val="both"/>
              <w:rPr>
                <w:b/>
                <w:sz w:val="20"/>
                <w:szCs w:val="20"/>
                <w:lang w:val="en-US"/>
              </w:rPr>
            </w:pPr>
            <w:r w:rsidRPr="00222D61">
              <w:rPr>
                <w:b/>
                <w:sz w:val="20"/>
                <w:szCs w:val="20"/>
                <w:lang w:val="en-US"/>
              </w:rPr>
              <w:t>Robert James Thomson v. Attorney General of Canada</w:t>
            </w:r>
          </w:p>
          <w:p w:rsidR="00222D61" w:rsidRPr="00222D61" w:rsidRDefault="00222D61" w:rsidP="00222D61">
            <w:pPr>
              <w:jc w:val="both"/>
              <w:rPr>
                <w:sz w:val="20"/>
              </w:rPr>
            </w:pPr>
            <w:r w:rsidRPr="00222D61">
              <w:rPr>
                <w:sz w:val="20"/>
              </w:rPr>
              <w:t>(FC) (Civil) (By Leave)</w:t>
            </w:r>
          </w:p>
        </w:tc>
      </w:tr>
      <w:tr w:rsidR="00222D61" w:rsidRPr="00222D61" w:rsidTr="00E95A6A">
        <w:tc>
          <w:tcPr>
            <w:tcW w:w="5000" w:type="pct"/>
            <w:gridSpan w:val="4"/>
          </w:tcPr>
          <w:p w:rsidR="00222D61" w:rsidRPr="00222D61" w:rsidRDefault="00222D61" w:rsidP="00222D61">
            <w:pPr>
              <w:jc w:val="both"/>
              <w:rPr>
                <w:sz w:val="20"/>
              </w:rPr>
            </w:pPr>
            <w:r w:rsidRPr="00222D61">
              <w:rPr>
                <w:i/>
                <w:sz w:val="20"/>
              </w:rPr>
              <w:t>Charter of rights</w:t>
            </w:r>
            <w:r w:rsidRPr="00222D61">
              <w:rPr>
                <w:sz w:val="20"/>
              </w:rPr>
              <w:t xml:space="preserve"> – Right to equality – Legislation – Interpretation – Compensation of a civilian employee of the Department of National Defence under the </w:t>
            </w:r>
            <w:r w:rsidRPr="00222D61">
              <w:rPr>
                <w:i/>
                <w:sz w:val="20"/>
              </w:rPr>
              <w:t>Flying Accidents Compensation Regulations</w:t>
            </w:r>
            <w:r w:rsidRPr="00222D61">
              <w:rPr>
                <w:sz w:val="20"/>
              </w:rPr>
              <w:t>, C.R.C., c. 10 (“</w:t>
            </w:r>
            <w:r w:rsidRPr="00222D61">
              <w:rPr>
                <w:i/>
                <w:sz w:val="20"/>
              </w:rPr>
              <w:t>FACR</w:t>
            </w:r>
            <w:r w:rsidRPr="00222D61">
              <w:rPr>
                <w:sz w:val="20"/>
              </w:rPr>
              <w:t>”) – Whether s. 3(1)(</w:t>
            </w:r>
            <w:r w:rsidRPr="00222D61">
              <w:rPr>
                <w:i/>
                <w:sz w:val="20"/>
              </w:rPr>
              <w:t>a</w:t>
            </w:r>
            <w:r w:rsidRPr="00222D61">
              <w:rPr>
                <w:sz w:val="20"/>
              </w:rPr>
              <w:t xml:space="preserve">) of the </w:t>
            </w:r>
            <w:r w:rsidRPr="00222D61">
              <w:rPr>
                <w:i/>
                <w:sz w:val="20"/>
              </w:rPr>
              <w:t>FACR</w:t>
            </w:r>
            <w:r w:rsidRPr="00222D61">
              <w:rPr>
                <w:sz w:val="20"/>
              </w:rPr>
              <w:t xml:space="preserve"> entitles severely disabled applicant to clothing, attendant and exceptional incapacity allowances – Whether decisions denying such allowances reasonable – Whether decisions discriminatory under s. 15(1) of the </w:t>
            </w:r>
            <w:r w:rsidRPr="00222D61">
              <w:rPr>
                <w:i/>
                <w:sz w:val="20"/>
              </w:rPr>
              <w:t>Canadian Charter of Rights and Freedoms</w:t>
            </w:r>
            <w:r w:rsidRPr="00222D61">
              <w:rPr>
                <w:sz w:val="20"/>
              </w:rPr>
              <w:t>.</w:t>
            </w:r>
          </w:p>
        </w:tc>
      </w:tr>
      <w:tr w:rsidR="00222D61" w:rsidRPr="00222D61" w:rsidTr="00E95A6A">
        <w:tc>
          <w:tcPr>
            <w:tcW w:w="5000" w:type="pct"/>
            <w:gridSpan w:val="4"/>
          </w:tcPr>
          <w:p w:rsidR="00222D61" w:rsidRPr="00222D61" w:rsidRDefault="00222D61" w:rsidP="00222D61">
            <w:pPr>
              <w:jc w:val="both"/>
              <w:rPr>
                <w:sz w:val="20"/>
              </w:rPr>
            </w:pPr>
          </w:p>
        </w:tc>
      </w:tr>
      <w:tr w:rsidR="00222D61" w:rsidRPr="00222D61" w:rsidTr="00E95A6A">
        <w:tc>
          <w:tcPr>
            <w:tcW w:w="5000" w:type="pct"/>
            <w:gridSpan w:val="4"/>
          </w:tcPr>
          <w:p w:rsidR="00222D61" w:rsidRPr="00222D61" w:rsidRDefault="00222D61" w:rsidP="00222D61">
            <w:pPr>
              <w:jc w:val="both"/>
              <w:rPr>
                <w:sz w:val="20"/>
              </w:rPr>
            </w:pPr>
            <w:r w:rsidRPr="00222D61">
              <w:rPr>
                <w:sz w:val="20"/>
              </w:rPr>
              <w:t xml:space="preserve">On October 30, 1991, the applicant, Mr. Thomson, then an on-duty civil employee of the Department of National Defence, was onboard a Canadian Forces airplane which crashed over the Northwest Territories. He became </w:t>
            </w:r>
            <w:r w:rsidRPr="00222D61">
              <w:rPr>
                <w:sz w:val="20"/>
              </w:rPr>
              <w:lastRenderedPageBreak/>
              <w:t xml:space="preserve">paraplegic, suffered multiple amputations and eventually developed post-traumatic stress disorder. He elected to be compensated for his injuries under the </w:t>
            </w:r>
            <w:r w:rsidRPr="00222D61">
              <w:rPr>
                <w:i/>
                <w:sz w:val="20"/>
              </w:rPr>
              <w:t xml:space="preserve">Flying Accidents Compensation Regulations </w:t>
            </w:r>
            <w:r w:rsidRPr="00222D61">
              <w:rPr>
                <w:sz w:val="20"/>
              </w:rPr>
              <w:t>(“</w:t>
            </w:r>
            <w:r w:rsidRPr="00222D61">
              <w:rPr>
                <w:i/>
                <w:sz w:val="20"/>
              </w:rPr>
              <w:t>FACR</w:t>
            </w:r>
            <w:r w:rsidRPr="00222D61">
              <w:rPr>
                <w:sz w:val="20"/>
              </w:rPr>
              <w:t xml:space="preserve">”). He requested a pension, along with special allowances, including attendance, clothing, and exceptional incapacity allowances. </w:t>
            </w:r>
          </w:p>
          <w:p w:rsidR="00222D61" w:rsidRPr="00222D61" w:rsidRDefault="00222D61" w:rsidP="00222D61">
            <w:pPr>
              <w:jc w:val="both"/>
              <w:rPr>
                <w:sz w:val="20"/>
              </w:rPr>
            </w:pPr>
          </w:p>
          <w:p w:rsidR="00222D61" w:rsidRPr="00222D61" w:rsidRDefault="00222D61" w:rsidP="00222D61">
            <w:pPr>
              <w:jc w:val="both"/>
              <w:rPr>
                <w:sz w:val="20"/>
              </w:rPr>
            </w:pPr>
            <w:r w:rsidRPr="00222D61">
              <w:rPr>
                <w:sz w:val="20"/>
              </w:rPr>
              <w:t xml:space="preserve">The Department of Veterans Affairs awarded a pension, but denied special allowances as those were not available to civilian pensioners under the </w:t>
            </w:r>
            <w:r w:rsidRPr="00222D61">
              <w:rPr>
                <w:i/>
                <w:sz w:val="20"/>
              </w:rPr>
              <w:t>FACR</w:t>
            </w:r>
            <w:r w:rsidRPr="00222D61">
              <w:rPr>
                <w:sz w:val="20"/>
              </w:rPr>
              <w:t xml:space="preserve">. Mr. Thomson appealed to the Entitlement Review Panel, and then to the Entitlement Appeal Panel, unsuccessfully. The Appeal Panel found no legislative authority to grant the special allowances. Additionally, it found that denying Mr. Thomson allowances did not discriminate against him based on his severe disability under s. 15 of the </w:t>
            </w:r>
            <w:r w:rsidRPr="00222D61">
              <w:rPr>
                <w:i/>
                <w:sz w:val="20"/>
              </w:rPr>
              <w:t>Charter</w:t>
            </w:r>
            <w:r w:rsidRPr="00222D61">
              <w:rPr>
                <w:sz w:val="20"/>
              </w:rPr>
              <w:t xml:space="preserve">. In its view, Parliament intended to distinguish between military and civilian pensioners, and all civilian flying accident pensioners under the </w:t>
            </w:r>
            <w:r w:rsidRPr="00222D61">
              <w:rPr>
                <w:i/>
                <w:sz w:val="20"/>
              </w:rPr>
              <w:t>FACR</w:t>
            </w:r>
            <w:r w:rsidRPr="00222D61">
              <w:rPr>
                <w:sz w:val="20"/>
              </w:rPr>
              <w:t xml:space="preserve"> were being treated the same.</w:t>
            </w:r>
          </w:p>
          <w:p w:rsidR="00222D61" w:rsidRPr="00222D61" w:rsidRDefault="00222D61" w:rsidP="00222D61">
            <w:pPr>
              <w:jc w:val="both"/>
              <w:rPr>
                <w:sz w:val="20"/>
              </w:rPr>
            </w:pPr>
          </w:p>
          <w:p w:rsidR="00222D61" w:rsidRPr="00222D61" w:rsidRDefault="00222D61" w:rsidP="00222D61">
            <w:pPr>
              <w:jc w:val="both"/>
              <w:rPr>
                <w:sz w:val="20"/>
              </w:rPr>
            </w:pPr>
            <w:r w:rsidRPr="00222D61">
              <w:rPr>
                <w:sz w:val="20"/>
              </w:rPr>
              <w:t xml:space="preserve">The Federal Court dismissed Mr. Thomson’s application for judicial review. In its view, the Appeal Panel’s interpretation of the </w:t>
            </w:r>
            <w:r w:rsidRPr="00222D61">
              <w:rPr>
                <w:i/>
                <w:sz w:val="20"/>
              </w:rPr>
              <w:t>FACR</w:t>
            </w:r>
            <w:r w:rsidRPr="00222D61">
              <w:rPr>
                <w:sz w:val="20"/>
              </w:rPr>
              <w:t xml:space="preserve"> was reasonable. It also ruled that Mr. Thomson’s s. 15</w:t>
            </w:r>
            <w:r w:rsidRPr="00222D61">
              <w:rPr>
                <w:i/>
                <w:sz w:val="20"/>
              </w:rPr>
              <w:t xml:space="preserve"> </w:t>
            </w:r>
            <w:r w:rsidRPr="00222D61">
              <w:rPr>
                <w:sz w:val="20"/>
              </w:rPr>
              <w:t xml:space="preserve">rights were not violated. Contrary to what Mr. Thomson asserted, the </w:t>
            </w:r>
            <w:r w:rsidRPr="00222D61">
              <w:rPr>
                <w:i/>
                <w:sz w:val="20"/>
              </w:rPr>
              <w:t xml:space="preserve">FACR </w:t>
            </w:r>
            <w:r w:rsidRPr="00222D61">
              <w:rPr>
                <w:sz w:val="20"/>
              </w:rPr>
              <w:t xml:space="preserve">did not distinguish between a pensioner’s </w:t>
            </w:r>
            <w:proofErr w:type="gramStart"/>
            <w:r w:rsidRPr="00222D61">
              <w:rPr>
                <w:sz w:val="20"/>
              </w:rPr>
              <w:t>level</w:t>
            </w:r>
            <w:proofErr w:type="gramEnd"/>
            <w:r w:rsidRPr="00222D61">
              <w:rPr>
                <w:sz w:val="20"/>
              </w:rPr>
              <w:t xml:space="preserve"> of disability. Rather, all civilian pensioners under the </w:t>
            </w:r>
            <w:r w:rsidRPr="00222D61">
              <w:rPr>
                <w:i/>
                <w:sz w:val="20"/>
              </w:rPr>
              <w:t xml:space="preserve">FACR </w:t>
            </w:r>
            <w:r w:rsidRPr="00222D61">
              <w:rPr>
                <w:sz w:val="20"/>
              </w:rPr>
              <w:t xml:space="preserve">were denied access to additional allowances based on Parliament’s policy choice. The Federal Court of Appeal dismissed the appeal. </w:t>
            </w:r>
          </w:p>
          <w:p w:rsidR="00222D61" w:rsidRPr="00222D61" w:rsidRDefault="00222D61" w:rsidP="00222D61">
            <w:pPr>
              <w:jc w:val="both"/>
              <w:rPr>
                <w:sz w:val="20"/>
              </w:rPr>
            </w:pPr>
          </w:p>
        </w:tc>
      </w:tr>
      <w:tr w:rsidR="00222D61" w:rsidRPr="00222D61" w:rsidTr="00E95A6A">
        <w:tc>
          <w:tcPr>
            <w:tcW w:w="2427" w:type="pct"/>
            <w:gridSpan w:val="2"/>
          </w:tcPr>
          <w:p w:rsidR="00222D61" w:rsidRPr="00222D61" w:rsidRDefault="00222D61" w:rsidP="00222D61">
            <w:pPr>
              <w:jc w:val="both"/>
              <w:rPr>
                <w:sz w:val="20"/>
              </w:rPr>
            </w:pPr>
            <w:r w:rsidRPr="00222D61">
              <w:rPr>
                <w:sz w:val="20"/>
              </w:rPr>
              <w:lastRenderedPageBreak/>
              <w:t>August 18, 2015</w:t>
            </w:r>
          </w:p>
          <w:p w:rsidR="00222D61" w:rsidRPr="00222D61" w:rsidRDefault="00222D61" w:rsidP="00222D61">
            <w:pPr>
              <w:jc w:val="both"/>
              <w:rPr>
                <w:sz w:val="20"/>
              </w:rPr>
            </w:pPr>
            <w:r w:rsidRPr="00222D61">
              <w:rPr>
                <w:sz w:val="20"/>
              </w:rPr>
              <w:t>Federal Court</w:t>
            </w:r>
          </w:p>
          <w:p w:rsidR="00222D61" w:rsidRPr="00222D61" w:rsidRDefault="00222D61" w:rsidP="00222D61">
            <w:pPr>
              <w:jc w:val="both"/>
              <w:rPr>
                <w:sz w:val="20"/>
              </w:rPr>
            </w:pPr>
            <w:r w:rsidRPr="00222D61">
              <w:rPr>
                <w:sz w:val="20"/>
              </w:rPr>
              <w:t>(Gascon J.)</w:t>
            </w:r>
          </w:p>
          <w:p w:rsidR="00222D61" w:rsidRPr="00222D61" w:rsidRDefault="00222D61" w:rsidP="00222D61">
            <w:pPr>
              <w:jc w:val="both"/>
              <w:rPr>
                <w:sz w:val="20"/>
              </w:rPr>
            </w:pPr>
            <w:r w:rsidRPr="00222D61">
              <w:rPr>
                <w:sz w:val="20"/>
              </w:rPr>
              <w:t xml:space="preserve">Docket: T-2012-14; </w:t>
            </w:r>
            <w:hyperlink r:id="rId41" w:history="1">
              <w:r w:rsidRPr="00222D61">
                <w:rPr>
                  <w:rStyle w:val="Hyperlink"/>
                  <w:sz w:val="20"/>
                </w:rPr>
                <w:t>2015 FC 985</w:t>
              </w:r>
            </w:hyperlink>
          </w:p>
          <w:p w:rsidR="00222D61" w:rsidRPr="00222D61" w:rsidRDefault="00222D61" w:rsidP="00222D61">
            <w:pPr>
              <w:jc w:val="both"/>
              <w:rPr>
                <w:sz w:val="20"/>
              </w:rPr>
            </w:pPr>
          </w:p>
        </w:tc>
        <w:tc>
          <w:tcPr>
            <w:tcW w:w="243" w:type="pct"/>
          </w:tcPr>
          <w:p w:rsidR="00222D61" w:rsidRPr="00222D61" w:rsidRDefault="00222D61" w:rsidP="00222D61">
            <w:pPr>
              <w:jc w:val="both"/>
              <w:rPr>
                <w:sz w:val="20"/>
              </w:rPr>
            </w:pPr>
          </w:p>
        </w:tc>
        <w:tc>
          <w:tcPr>
            <w:tcW w:w="2330" w:type="pct"/>
          </w:tcPr>
          <w:p w:rsidR="00222D61" w:rsidRPr="00222D61" w:rsidRDefault="00222D61" w:rsidP="00222D61">
            <w:pPr>
              <w:jc w:val="both"/>
              <w:rPr>
                <w:sz w:val="20"/>
              </w:rPr>
            </w:pPr>
            <w:r w:rsidRPr="00222D61">
              <w:rPr>
                <w:sz w:val="20"/>
              </w:rPr>
              <w:t>Application for judicial review dismissed</w:t>
            </w:r>
          </w:p>
          <w:p w:rsidR="00222D61" w:rsidRPr="00222D61" w:rsidRDefault="00222D61" w:rsidP="00222D61">
            <w:pPr>
              <w:jc w:val="both"/>
              <w:rPr>
                <w:sz w:val="20"/>
              </w:rPr>
            </w:pPr>
          </w:p>
        </w:tc>
      </w:tr>
      <w:tr w:rsidR="00222D61" w:rsidRPr="00222D61" w:rsidTr="00E95A6A">
        <w:tc>
          <w:tcPr>
            <w:tcW w:w="2427" w:type="pct"/>
            <w:gridSpan w:val="2"/>
          </w:tcPr>
          <w:p w:rsidR="00222D61" w:rsidRPr="00222D61" w:rsidRDefault="00222D61" w:rsidP="00222D61">
            <w:pPr>
              <w:jc w:val="both"/>
              <w:rPr>
                <w:sz w:val="20"/>
              </w:rPr>
            </w:pPr>
            <w:r w:rsidRPr="00222D61">
              <w:rPr>
                <w:sz w:val="20"/>
              </w:rPr>
              <w:t>October 19, 2016</w:t>
            </w:r>
          </w:p>
          <w:p w:rsidR="00222D61" w:rsidRPr="00222D61" w:rsidRDefault="00222D61" w:rsidP="00222D61">
            <w:pPr>
              <w:jc w:val="both"/>
              <w:rPr>
                <w:sz w:val="20"/>
              </w:rPr>
            </w:pPr>
            <w:r w:rsidRPr="00222D61">
              <w:rPr>
                <w:sz w:val="20"/>
              </w:rPr>
              <w:t>Federal Court of Appeal</w:t>
            </w:r>
          </w:p>
          <w:p w:rsidR="00222D61" w:rsidRPr="00222D61" w:rsidRDefault="00222D61" w:rsidP="00222D61">
            <w:pPr>
              <w:jc w:val="both"/>
              <w:rPr>
                <w:sz w:val="20"/>
              </w:rPr>
            </w:pPr>
            <w:r w:rsidRPr="00222D61">
              <w:rPr>
                <w:sz w:val="20"/>
              </w:rPr>
              <w:t>(</w:t>
            </w:r>
            <w:proofErr w:type="spellStart"/>
            <w:r w:rsidRPr="00222D61">
              <w:rPr>
                <w:sz w:val="20"/>
              </w:rPr>
              <w:t>Boivin</w:t>
            </w:r>
            <w:proofErr w:type="spellEnd"/>
            <w:r w:rsidRPr="00222D61">
              <w:rPr>
                <w:sz w:val="20"/>
              </w:rPr>
              <w:t>, Rennie, and Gleason JJ.A.)</w:t>
            </w:r>
          </w:p>
          <w:p w:rsidR="00222D61" w:rsidRPr="00222D61" w:rsidRDefault="00222D61" w:rsidP="00222D61">
            <w:pPr>
              <w:jc w:val="both"/>
              <w:rPr>
                <w:sz w:val="20"/>
              </w:rPr>
            </w:pPr>
            <w:r w:rsidRPr="00222D61">
              <w:rPr>
                <w:sz w:val="20"/>
              </w:rPr>
              <w:t xml:space="preserve">Docket: A-403-15; </w:t>
            </w:r>
            <w:hyperlink r:id="rId42" w:history="1">
              <w:r w:rsidRPr="00222D61">
                <w:rPr>
                  <w:rStyle w:val="Hyperlink"/>
                  <w:sz w:val="20"/>
                </w:rPr>
                <w:t>2016 FCA 253</w:t>
              </w:r>
            </w:hyperlink>
          </w:p>
          <w:p w:rsidR="00222D61" w:rsidRPr="00222D61" w:rsidRDefault="00222D61" w:rsidP="00222D61">
            <w:pPr>
              <w:jc w:val="both"/>
              <w:rPr>
                <w:sz w:val="20"/>
              </w:rPr>
            </w:pPr>
          </w:p>
        </w:tc>
        <w:tc>
          <w:tcPr>
            <w:tcW w:w="243" w:type="pct"/>
          </w:tcPr>
          <w:p w:rsidR="00222D61" w:rsidRPr="00222D61" w:rsidRDefault="00222D61" w:rsidP="00222D61">
            <w:pPr>
              <w:jc w:val="both"/>
              <w:rPr>
                <w:sz w:val="20"/>
              </w:rPr>
            </w:pPr>
          </w:p>
        </w:tc>
        <w:tc>
          <w:tcPr>
            <w:tcW w:w="2330" w:type="pct"/>
          </w:tcPr>
          <w:p w:rsidR="00222D61" w:rsidRPr="00222D61" w:rsidRDefault="00222D61" w:rsidP="00222D61">
            <w:pPr>
              <w:jc w:val="both"/>
              <w:rPr>
                <w:sz w:val="20"/>
              </w:rPr>
            </w:pPr>
            <w:r w:rsidRPr="00222D61">
              <w:rPr>
                <w:sz w:val="20"/>
              </w:rPr>
              <w:t>Appeal dismissed</w:t>
            </w:r>
          </w:p>
          <w:p w:rsidR="00222D61" w:rsidRPr="00222D61" w:rsidRDefault="00222D61" w:rsidP="00222D61">
            <w:pPr>
              <w:jc w:val="both"/>
              <w:rPr>
                <w:sz w:val="20"/>
              </w:rPr>
            </w:pPr>
          </w:p>
        </w:tc>
      </w:tr>
      <w:tr w:rsidR="00222D61" w:rsidRPr="00222D61" w:rsidTr="00E95A6A">
        <w:tc>
          <w:tcPr>
            <w:tcW w:w="2427" w:type="pct"/>
            <w:gridSpan w:val="2"/>
          </w:tcPr>
          <w:p w:rsidR="00222D61" w:rsidRPr="00222D61" w:rsidRDefault="00222D61" w:rsidP="00222D61">
            <w:pPr>
              <w:jc w:val="both"/>
              <w:rPr>
                <w:sz w:val="20"/>
              </w:rPr>
            </w:pPr>
            <w:r w:rsidRPr="00222D61">
              <w:rPr>
                <w:sz w:val="20"/>
              </w:rPr>
              <w:t>December 7, 2016</w:t>
            </w:r>
          </w:p>
          <w:p w:rsidR="00222D61" w:rsidRPr="00222D61" w:rsidRDefault="00222D61" w:rsidP="00222D61">
            <w:pPr>
              <w:jc w:val="both"/>
              <w:rPr>
                <w:sz w:val="20"/>
              </w:rPr>
            </w:pPr>
            <w:r w:rsidRPr="00222D61">
              <w:rPr>
                <w:sz w:val="20"/>
              </w:rPr>
              <w:t>Supreme Court of Canada</w:t>
            </w:r>
          </w:p>
        </w:tc>
        <w:tc>
          <w:tcPr>
            <w:tcW w:w="243" w:type="pct"/>
          </w:tcPr>
          <w:p w:rsidR="00222D61" w:rsidRPr="00222D61" w:rsidRDefault="00222D61" w:rsidP="00222D61">
            <w:pPr>
              <w:jc w:val="both"/>
              <w:rPr>
                <w:sz w:val="20"/>
              </w:rPr>
            </w:pPr>
          </w:p>
        </w:tc>
        <w:tc>
          <w:tcPr>
            <w:tcW w:w="2330" w:type="pct"/>
          </w:tcPr>
          <w:p w:rsidR="00222D61" w:rsidRPr="00222D61" w:rsidRDefault="00222D61" w:rsidP="00222D61">
            <w:pPr>
              <w:jc w:val="both"/>
              <w:rPr>
                <w:sz w:val="20"/>
              </w:rPr>
            </w:pPr>
            <w:r w:rsidRPr="00222D61">
              <w:rPr>
                <w:sz w:val="20"/>
              </w:rPr>
              <w:t>Application for leave to appeal filed</w:t>
            </w:r>
          </w:p>
          <w:p w:rsidR="00222D61" w:rsidRPr="00222D61" w:rsidRDefault="00222D61" w:rsidP="00222D61">
            <w:pPr>
              <w:jc w:val="both"/>
              <w:rPr>
                <w:sz w:val="20"/>
              </w:rPr>
            </w:pPr>
          </w:p>
        </w:tc>
      </w:tr>
    </w:tbl>
    <w:p w:rsidR="00222D61" w:rsidRDefault="00222D61" w:rsidP="00222D61">
      <w:pPr>
        <w:jc w:val="both"/>
        <w:rPr>
          <w:sz w:val="20"/>
        </w:rPr>
      </w:pPr>
    </w:p>
    <w:p w:rsidR="00222D61" w:rsidRPr="00222D61" w:rsidRDefault="00222D61" w:rsidP="00222D6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22D61" w:rsidRPr="00222D61" w:rsidTr="00E95A6A">
        <w:tc>
          <w:tcPr>
            <w:tcW w:w="543" w:type="pct"/>
          </w:tcPr>
          <w:p w:rsidR="00222D61" w:rsidRPr="00222D61" w:rsidRDefault="00222D61" w:rsidP="00222D61">
            <w:pPr>
              <w:jc w:val="both"/>
              <w:rPr>
                <w:sz w:val="20"/>
                <w:lang w:val="fr-CA"/>
              </w:rPr>
            </w:pPr>
            <w:r w:rsidRPr="00222D61">
              <w:rPr>
                <w:rStyle w:val="SCCFileNumberChar"/>
                <w:sz w:val="20"/>
                <w:szCs w:val="20"/>
                <w:lang w:val="fr-CA"/>
              </w:rPr>
              <w:t>37351</w:t>
            </w:r>
          </w:p>
        </w:tc>
        <w:tc>
          <w:tcPr>
            <w:tcW w:w="4457" w:type="pct"/>
            <w:gridSpan w:val="3"/>
          </w:tcPr>
          <w:p w:rsidR="00222D61" w:rsidRPr="00222D61" w:rsidRDefault="00222D61" w:rsidP="00222D61">
            <w:pPr>
              <w:pStyle w:val="SCCLsocParty"/>
              <w:jc w:val="both"/>
              <w:rPr>
                <w:b/>
                <w:sz w:val="20"/>
                <w:szCs w:val="20"/>
              </w:rPr>
            </w:pPr>
            <w:r w:rsidRPr="00222D61">
              <w:rPr>
                <w:b/>
                <w:sz w:val="20"/>
                <w:szCs w:val="20"/>
              </w:rPr>
              <w:t>Robert James Thomson c. Procureur général du Canada</w:t>
            </w:r>
          </w:p>
          <w:p w:rsidR="00222D61" w:rsidRPr="00222D61" w:rsidRDefault="00222D61" w:rsidP="00222D61">
            <w:pPr>
              <w:jc w:val="both"/>
              <w:rPr>
                <w:sz w:val="20"/>
                <w:lang w:val="fr-CA"/>
              </w:rPr>
            </w:pPr>
            <w:r w:rsidRPr="00222D61">
              <w:rPr>
                <w:sz w:val="20"/>
                <w:lang w:val="fr-CA"/>
              </w:rPr>
              <w:t>(CF) (Civile) (Sur autorisation)</w:t>
            </w:r>
          </w:p>
        </w:tc>
      </w:tr>
      <w:tr w:rsidR="00222D61" w:rsidRPr="00817781" w:rsidTr="00E95A6A">
        <w:tc>
          <w:tcPr>
            <w:tcW w:w="5000" w:type="pct"/>
            <w:gridSpan w:val="4"/>
          </w:tcPr>
          <w:p w:rsidR="00222D61" w:rsidRPr="00222D61" w:rsidRDefault="00222D61" w:rsidP="00222D61">
            <w:pPr>
              <w:jc w:val="both"/>
              <w:rPr>
                <w:sz w:val="20"/>
                <w:lang w:val="fr-CA"/>
              </w:rPr>
            </w:pPr>
            <w:r w:rsidRPr="00222D61">
              <w:rPr>
                <w:i/>
                <w:sz w:val="20"/>
                <w:lang w:val="fr-CA"/>
              </w:rPr>
              <w:t xml:space="preserve">Charte des droits </w:t>
            </w:r>
            <w:r w:rsidRPr="00222D61">
              <w:rPr>
                <w:sz w:val="20"/>
                <w:lang w:val="fr-CA"/>
              </w:rPr>
              <w:t xml:space="preserve">– Droit à l’égalité – Législation – Interprétation – Indemnisation d’un employé civil du ministère de la Défense nationale sous le régime du </w:t>
            </w:r>
            <w:r w:rsidRPr="00222D61">
              <w:rPr>
                <w:i/>
                <w:sz w:val="20"/>
                <w:lang w:val="fr-CA"/>
              </w:rPr>
              <w:t>Règlement sur l’indemnisation en cas d’accidents d’aviation</w:t>
            </w:r>
            <w:r w:rsidRPr="00222D61">
              <w:rPr>
                <w:sz w:val="20"/>
                <w:lang w:val="fr-CA"/>
              </w:rPr>
              <w:t>, C.R.C., ch. 10 (« </w:t>
            </w:r>
            <w:r w:rsidRPr="00222D61">
              <w:rPr>
                <w:i/>
                <w:sz w:val="20"/>
                <w:lang w:val="fr-CA"/>
              </w:rPr>
              <w:t>RICAA</w:t>
            </w:r>
            <w:r w:rsidRPr="00222D61">
              <w:rPr>
                <w:sz w:val="20"/>
                <w:lang w:val="fr-CA"/>
              </w:rPr>
              <w:t> ») – L’al. 3(1)</w:t>
            </w:r>
            <w:r w:rsidRPr="00222D61">
              <w:rPr>
                <w:i/>
                <w:sz w:val="20"/>
                <w:lang w:val="fr-CA"/>
              </w:rPr>
              <w:t>a</w:t>
            </w:r>
            <w:r w:rsidRPr="00222D61">
              <w:rPr>
                <w:sz w:val="20"/>
                <w:lang w:val="fr-CA"/>
              </w:rPr>
              <w:t xml:space="preserve">) du </w:t>
            </w:r>
            <w:r w:rsidRPr="00222D61">
              <w:rPr>
                <w:i/>
                <w:sz w:val="20"/>
                <w:lang w:val="fr-CA"/>
              </w:rPr>
              <w:t>RICAA</w:t>
            </w:r>
            <w:r w:rsidRPr="00222D61">
              <w:rPr>
                <w:sz w:val="20"/>
                <w:lang w:val="fr-CA"/>
              </w:rPr>
              <w:t xml:space="preserve"> confère-t-il au demandeur gravement handicapé le droit à des allocations de vêtements, de soins et d’incapacité exceptionnelle? – Les décisions refusant ces allocations sont-elles raisonnables? – Les décisions sont-elles discriminatoires au regard du par. 15(1) de la </w:t>
            </w:r>
            <w:r w:rsidRPr="00222D61">
              <w:rPr>
                <w:i/>
                <w:sz w:val="20"/>
                <w:lang w:val="fr-CA"/>
              </w:rPr>
              <w:t>Charte canadienne des droits et libertés</w:t>
            </w:r>
            <w:r w:rsidRPr="00222D61">
              <w:rPr>
                <w:sz w:val="20"/>
                <w:lang w:val="fr-CA"/>
              </w:rPr>
              <w:t>?</w:t>
            </w:r>
          </w:p>
        </w:tc>
      </w:tr>
      <w:tr w:rsidR="00222D61" w:rsidRPr="00817781" w:rsidTr="00E95A6A">
        <w:tc>
          <w:tcPr>
            <w:tcW w:w="5000" w:type="pct"/>
            <w:gridSpan w:val="4"/>
          </w:tcPr>
          <w:p w:rsidR="00222D61" w:rsidRPr="00222D61" w:rsidRDefault="00222D61" w:rsidP="00222D61">
            <w:pPr>
              <w:jc w:val="both"/>
              <w:rPr>
                <w:sz w:val="20"/>
                <w:lang w:val="fr-CA"/>
              </w:rPr>
            </w:pPr>
          </w:p>
        </w:tc>
      </w:tr>
      <w:tr w:rsidR="00222D61" w:rsidRPr="00222D61" w:rsidTr="00E95A6A">
        <w:tc>
          <w:tcPr>
            <w:tcW w:w="5000" w:type="pct"/>
            <w:gridSpan w:val="4"/>
          </w:tcPr>
          <w:p w:rsidR="00222D61" w:rsidRPr="00222D61" w:rsidRDefault="00222D61" w:rsidP="00222D61">
            <w:pPr>
              <w:jc w:val="both"/>
              <w:rPr>
                <w:sz w:val="20"/>
                <w:lang w:val="fr-CA"/>
              </w:rPr>
            </w:pPr>
            <w:r w:rsidRPr="00222D61">
              <w:rPr>
                <w:sz w:val="20"/>
                <w:lang w:val="fr-CA"/>
              </w:rPr>
              <w:t>Le 30 octobre 1991, le demandeur, M. Thomson, qui était alors un employé civil en service du ministère de la Défense nationale, se trouvait à bord d’un avion des Forces canadiennes qui s’est écrasé alors qu’il survolait les Territoires-du-Nord-Ouest. Il est devenu paraplégique, a subi de multiples amputations et a fini par présenter un état de stress post-traumatique. Il a choisi de se faire indemniser pour ses blessures sous le régime du </w:t>
            </w:r>
            <w:r w:rsidRPr="00222D61">
              <w:rPr>
                <w:i/>
                <w:iCs/>
                <w:sz w:val="20"/>
                <w:lang w:val="fr-CA"/>
              </w:rPr>
              <w:t>Règlement sur l’indemnisation en cas d’accident d’aviation</w:t>
            </w:r>
            <w:r w:rsidRPr="00222D61">
              <w:rPr>
                <w:sz w:val="20"/>
                <w:lang w:val="fr-CA"/>
              </w:rPr>
              <w:t xml:space="preserve"> (« RICAA »). Il a réclamé une pension et des allocations spéciales, notamment une allocation de soins, une allocation de vêtements et une allocation d’incapacité exceptionnelle. </w:t>
            </w:r>
          </w:p>
          <w:p w:rsidR="00222D61" w:rsidRPr="00222D61" w:rsidRDefault="00222D61" w:rsidP="00222D61">
            <w:pPr>
              <w:jc w:val="both"/>
              <w:rPr>
                <w:sz w:val="20"/>
                <w:lang w:val="fr-CA"/>
              </w:rPr>
            </w:pPr>
          </w:p>
          <w:p w:rsidR="00222D61" w:rsidRPr="00222D61" w:rsidRDefault="00222D61" w:rsidP="00222D61">
            <w:pPr>
              <w:jc w:val="both"/>
              <w:rPr>
                <w:sz w:val="20"/>
                <w:lang w:val="fr-CA"/>
              </w:rPr>
            </w:pPr>
            <w:r w:rsidRPr="00222D61">
              <w:rPr>
                <w:sz w:val="20"/>
                <w:lang w:val="fr-CA"/>
              </w:rPr>
              <w:t xml:space="preserve">Le ministère des Anciens combattants a accordé une pension à M. Thomson, mais lui a refusé les allocations, au motif qu’elles ne pouvaient être octroyées aux pensionnés civils sous le régime du RICAA. Monsieur Thomson a interjeté appel au comité de révision, puis au comité d’appel du Tribunal des anciens combattants (révision et appel), mais il a été débouté dans les deux cas. Le comité d’appel a conclu qu’aucun texte législatif n’autorisait l’octroi des allocations spéciales. En outre, il a conclu que le fait de refuser des allocations à M. Thomson n’était pas </w:t>
            </w:r>
            <w:r w:rsidRPr="00222D61">
              <w:rPr>
                <w:sz w:val="20"/>
                <w:lang w:val="fr-CA"/>
              </w:rPr>
              <w:lastRenderedPageBreak/>
              <w:t xml:space="preserve">discriminatoire à son endroit sur le fondement de son invalidité grave, au regard de l’art. 15 de la </w:t>
            </w:r>
            <w:r w:rsidRPr="00222D61">
              <w:rPr>
                <w:i/>
                <w:sz w:val="20"/>
                <w:lang w:val="fr-CA"/>
              </w:rPr>
              <w:t>Charte</w:t>
            </w:r>
            <w:r w:rsidRPr="00222D61">
              <w:rPr>
                <w:sz w:val="20"/>
                <w:lang w:val="fr-CA"/>
              </w:rPr>
              <w:t>. À son avis, le législateur voulait faire la distinction entre les pensionnés militaires et civils et que tous les pensionnés civils victimes d’un accident d’aviation sous le régime du RICAA étaient traités de la même façon.</w:t>
            </w:r>
          </w:p>
          <w:p w:rsidR="00222D61" w:rsidRPr="00222D61" w:rsidRDefault="00222D61" w:rsidP="00222D61">
            <w:pPr>
              <w:jc w:val="both"/>
              <w:rPr>
                <w:sz w:val="20"/>
                <w:lang w:val="fr-CA"/>
              </w:rPr>
            </w:pPr>
          </w:p>
          <w:p w:rsidR="00222D61" w:rsidRPr="00222D61" w:rsidRDefault="00222D61" w:rsidP="00222D61">
            <w:pPr>
              <w:jc w:val="both"/>
              <w:rPr>
                <w:sz w:val="20"/>
                <w:lang w:val="fr-CA"/>
              </w:rPr>
            </w:pPr>
            <w:r w:rsidRPr="00222D61">
              <w:rPr>
                <w:sz w:val="20"/>
                <w:lang w:val="fr-CA"/>
              </w:rPr>
              <w:t>La Cour fédérale a rejeté la demande de contrôle judiciaire présentée par M. Thomson. À son avis, l’interprétation du RICAA donnée par le comité d’appel était raisonnable. La Cour fédérale a également statué que les droits que l’art. 15 garantit à M. Thomson n’avaient pas été violés. La Cour fédérale a jugé que, contrairement à ce que prétendait M. Thomson, le RICAA ne faisait pas de distinction fondée sur le degré d’invalidité d’un pensionné. Si tous les pensionnés civils sous le régime du RICAA se voyaient refuser l’accès aux allocations supplémentaires, c’était plutôt sur le fondement d’une décision de politique générale du législateur. La Cour d’appel fédérale a rejeté l’appel</w:t>
            </w:r>
            <w:r>
              <w:rPr>
                <w:sz w:val="20"/>
                <w:lang w:val="fr-CA"/>
              </w:rPr>
              <w:t>.</w:t>
            </w:r>
          </w:p>
          <w:p w:rsidR="00222D61" w:rsidRPr="00222D61" w:rsidRDefault="00222D61" w:rsidP="00222D61">
            <w:pPr>
              <w:jc w:val="both"/>
              <w:rPr>
                <w:sz w:val="20"/>
                <w:lang w:val="fr-CA"/>
              </w:rPr>
            </w:pPr>
          </w:p>
        </w:tc>
      </w:tr>
      <w:tr w:rsidR="00222D61" w:rsidRPr="00817781" w:rsidTr="00E95A6A">
        <w:tc>
          <w:tcPr>
            <w:tcW w:w="2427" w:type="pct"/>
            <w:gridSpan w:val="2"/>
          </w:tcPr>
          <w:p w:rsidR="00222D61" w:rsidRPr="00222D61" w:rsidRDefault="00222D61" w:rsidP="00222D61">
            <w:pPr>
              <w:jc w:val="both"/>
              <w:rPr>
                <w:sz w:val="20"/>
                <w:lang w:val="fr-CA"/>
              </w:rPr>
            </w:pPr>
            <w:r w:rsidRPr="00222D61">
              <w:rPr>
                <w:sz w:val="20"/>
                <w:lang w:val="fr-CA"/>
              </w:rPr>
              <w:lastRenderedPageBreak/>
              <w:t>18 août 2015</w:t>
            </w:r>
          </w:p>
          <w:p w:rsidR="00222D61" w:rsidRPr="00222D61" w:rsidRDefault="00222D61" w:rsidP="00222D61">
            <w:pPr>
              <w:jc w:val="both"/>
              <w:rPr>
                <w:sz w:val="20"/>
                <w:lang w:val="fr-CA"/>
              </w:rPr>
            </w:pPr>
            <w:r w:rsidRPr="00222D61">
              <w:rPr>
                <w:sz w:val="20"/>
                <w:lang w:val="fr-CA"/>
              </w:rPr>
              <w:t>Cour fédérale</w:t>
            </w:r>
          </w:p>
          <w:p w:rsidR="00222D61" w:rsidRPr="00222D61" w:rsidRDefault="00222D61" w:rsidP="00222D61">
            <w:pPr>
              <w:jc w:val="both"/>
              <w:rPr>
                <w:sz w:val="20"/>
                <w:lang w:val="fr-CA"/>
              </w:rPr>
            </w:pPr>
            <w:r w:rsidRPr="00222D61">
              <w:rPr>
                <w:sz w:val="20"/>
                <w:lang w:val="fr-CA"/>
              </w:rPr>
              <w:t>(Juge Gascon)</w:t>
            </w:r>
          </w:p>
          <w:p w:rsidR="00222D61" w:rsidRPr="00222D61" w:rsidRDefault="00222D61" w:rsidP="00222D61">
            <w:pPr>
              <w:jc w:val="both"/>
              <w:rPr>
                <w:sz w:val="20"/>
                <w:lang w:val="fr-CA"/>
              </w:rPr>
            </w:pPr>
            <w:r w:rsidRPr="00222D61">
              <w:rPr>
                <w:sz w:val="20"/>
                <w:lang w:val="fr-CA"/>
              </w:rPr>
              <w:t>N</w:t>
            </w:r>
            <w:r w:rsidRPr="00222D61">
              <w:rPr>
                <w:sz w:val="20"/>
                <w:vertAlign w:val="superscript"/>
                <w:lang w:val="fr-CA"/>
              </w:rPr>
              <w:t xml:space="preserve">o </w:t>
            </w:r>
            <w:r w:rsidRPr="00222D61">
              <w:rPr>
                <w:sz w:val="20"/>
                <w:lang w:val="fr-CA"/>
              </w:rPr>
              <w:t xml:space="preserve">du greffe T-2012-14; </w:t>
            </w:r>
            <w:r w:rsidR="00817781">
              <w:fldChar w:fldCharType="begin"/>
            </w:r>
            <w:r w:rsidR="00817781" w:rsidRPr="00817781">
              <w:rPr>
                <w:lang w:val="fr-CA"/>
              </w:rPr>
              <w:instrText xml:space="preserve"> HYPERLINK "http://canlii.ca/t/gkrb1" </w:instrText>
            </w:r>
            <w:r w:rsidR="00817781">
              <w:fldChar w:fldCharType="separate"/>
            </w:r>
            <w:r w:rsidRPr="00222D61">
              <w:rPr>
                <w:rStyle w:val="Hyperlink"/>
                <w:sz w:val="20"/>
                <w:lang w:val="fr-CA"/>
              </w:rPr>
              <w:t>2015 FC 985</w:t>
            </w:r>
            <w:r w:rsidR="00817781">
              <w:rPr>
                <w:rStyle w:val="Hyperlink"/>
                <w:sz w:val="20"/>
                <w:lang w:val="fr-CA"/>
              </w:rPr>
              <w:fldChar w:fldCharType="end"/>
            </w:r>
          </w:p>
          <w:p w:rsidR="00222D61" w:rsidRPr="00222D61" w:rsidRDefault="00222D61" w:rsidP="00222D61">
            <w:pPr>
              <w:jc w:val="both"/>
              <w:rPr>
                <w:sz w:val="20"/>
                <w:lang w:val="fr-CA"/>
              </w:rPr>
            </w:pPr>
          </w:p>
        </w:tc>
        <w:tc>
          <w:tcPr>
            <w:tcW w:w="243" w:type="pct"/>
          </w:tcPr>
          <w:p w:rsidR="00222D61" w:rsidRPr="00222D61" w:rsidRDefault="00222D61" w:rsidP="00222D61">
            <w:pPr>
              <w:jc w:val="both"/>
              <w:rPr>
                <w:sz w:val="20"/>
                <w:lang w:val="fr-CA"/>
              </w:rPr>
            </w:pPr>
          </w:p>
        </w:tc>
        <w:tc>
          <w:tcPr>
            <w:tcW w:w="2330" w:type="pct"/>
          </w:tcPr>
          <w:p w:rsidR="00222D61" w:rsidRPr="00222D61" w:rsidRDefault="00222D61" w:rsidP="00222D61">
            <w:pPr>
              <w:jc w:val="both"/>
              <w:rPr>
                <w:sz w:val="20"/>
                <w:lang w:val="fr-CA"/>
              </w:rPr>
            </w:pPr>
            <w:r w:rsidRPr="00222D61">
              <w:rPr>
                <w:sz w:val="20"/>
                <w:lang w:val="fr-CA"/>
              </w:rPr>
              <w:t>Rejet de la demande de contrôle judiciaire</w:t>
            </w:r>
          </w:p>
          <w:p w:rsidR="00222D61" w:rsidRPr="00222D61" w:rsidRDefault="00222D61" w:rsidP="00222D61">
            <w:pPr>
              <w:jc w:val="both"/>
              <w:rPr>
                <w:sz w:val="20"/>
                <w:lang w:val="fr-CA"/>
              </w:rPr>
            </w:pPr>
          </w:p>
        </w:tc>
      </w:tr>
      <w:tr w:rsidR="00222D61" w:rsidRPr="00222D61" w:rsidTr="00E95A6A">
        <w:tc>
          <w:tcPr>
            <w:tcW w:w="2427" w:type="pct"/>
            <w:gridSpan w:val="2"/>
          </w:tcPr>
          <w:p w:rsidR="00222D61" w:rsidRPr="00222D61" w:rsidRDefault="00222D61" w:rsidP="00222D61">
            <w:pPr>
              <w:jc w:val="both"/>
              <w:rPr>
                <w:sz w:val="20"/>
                <w:lang w:val="fr-CA"/>
              </w:rPr>
            </w:pPr>
            <w:r w:rsidRPr="00222D61">
              <w:rPr>
                <w:sz w:val="20"/>
                <w:lang w:val="fr-CA"/>
              </w:rPr>
              <w:t>19 octobre 2016</w:t>
            </w:r>
          </w:p>
          <w:p w:rsidR="00222D61" w:rsidRPr="00222D61" w:rsidRDefault="00222D61" w:rsidP="00222D61">
            <w:pPr>
              <w:jc w:val="both"/>
              <w:rPr>
                <w:sz w:val="20"/>
                <w:lang w:val="fr-CA"/>
              </w:rPr>
            </w:pPr>
            <w:r w:rsidRPr="00222D61">
              <w:rPr>
                <w:sz w:val="20"/>
                <w:lang w:val="fr-CA"/>
              </w:rPr>
              <w:t xml:space="preserve">Cour d’appel fédérale </w:t>
            </w:r>
          </w:p>
          <w:p w:rsidR="00222D61" w:rsidRPr="00222D61" w:rsidRDefault="00222D61" w:rsidP="00222D61">
            <w:pPr>
              <w:jc w:val="both"/>
              <w:rPr>
                <w:sz w:val="20"/>
                <w:lang w:val="fr-CA"/>
              </w:rPr>
            </w:pPr>
            <w:r w:rsidRPr="00222D61">
              <w:rPr>
                <w:sz w:val="20"/>
                <w:lang w:val="fr-CA"/>
              </w:rPr>
              <w:t xml:space="preserve">(Juges Boivin, Rennie et </w:t>
            </w:r>
            <w:proofErr w:type="spellStart"/>
            <w:r w:rsidRPr="00222D61">
              <w:rPr>
                <w:sz w:val="20"/>
                <w:lang w:val="fr-CA"/>
              </w:rPr>
              <w:t>Gleason</w:t>
            </w:r>
            <w:proofErr w:type="spellEnd"/>
            <w:r w:rsidRPr="00222D61">
              <w:rPr>
                <w:sz w:val="20"/>
                <w:lang w:val="fr-CA"/>
              </w:rPr>
              <w:t>)</w:t>
            </w:r>
          </w:p>
          <w:p w:rsidR="00222D61" w:rsidRPr="00222D61" w:rsidRDefault="00222D61" w:rsidP="00222D61">
            <w:pPr>
              <w:jc w:val="both"/>
              <w:rPr>
                <w:sz w:val="20"/>
              </w:rPr>
            </w:pPr>
            <w:r w:rsidRPr="00222D61">
              <w:rPr>
                <w:sz w:val="20"/>
              </w:rPr>
              <w:t>N</w:t>
            </w:r>
            <w:r w:rsidRPr="00222D61">
              <w:rPr>
                <w:sz w:val="20"/>
                <w:vertAlign w:val="superscript"/>
              </w:rPr>
              <w:t>o</w:t>
            </w:r>
            <w:r w:rsidRPr="00222D61">
              <w:rPr>
                <w:sz w:val="20"/>
              </w:rPr>
              <w:t xml:space="preserve"> du greffe : A-403-15; </w:t>
            </w:r>
            <w:hyperlink r:id="rId43" w:history="1">
              <w:r w:rsidRPr="00222D61">
                <w:rPr>
                  <w:rStyle w:val="Hyperlink"/>
                  <w:sz w:val="20"/>
                </w:rPr>
                <w:t>2016 FCA 253</w:t>
              </w:r>
            </w:hyperlink>
          </w:p>
          <w:p w:rsidR="00222D61" w:rsidRPr="00222D61" w:rsidRDefault="00222D61" w:rsidP="00222D61">
            <w:pPr>
              <w:jc w:val="both"/>
              <w:rPr>
                <w:sz w:val="20"/>
              </w:rPr>
            </w:pPr>
          </w:p>
        </w:tc>
        <w:tc>
          <w:tcPr>
            <w:tcW w:w="243" w:type="pct"/>
          </w:tcPr>
          <w:p w:rsidR="00222D61" w:rsidRPr="00222D61" w:rsidRDefault="00222D61" w:rsidP="00222D61">
            <w:pPr>
              <w:jc w:val="both"/>
              <w:rPr>
                <w:sz w:val="20"/>
              </w:rPr>
            </w:pPr>
          </w:p>
        </w:tc>
        <w:tc>
          <w:tcPr>
            <w:tcW w:w="2330" w:type="pct"/>
          </w:tcPr>
          <w:p w:rsidR="00222D61" w:rsidRPr="00222D61" w:rsidRDefault="00222D61" w:rsidP="00222D61">
            <w:pPr>
              <w:jc w:val="both"/>
              <w:rPr>
                <w:sz w:val="20"/>
                <w:lang w:val="fr-CA"/>
              </w:rPr>
            </w:pPr>
            <w:r w:rsidRPr="00222D61">
              <w:rPr>
                <w:sz w:val="20"/>
                <w:lang w:val="fr-CA"/>
              </w:rPr>
              <w:t>Rejet de l’appel</w:t>
            </w:r>
          </w:p>
          <w:p w:rsidR="00222D61" w:rsidRPr="00222D61" w:rsidRDefault="00222D61" w:rsidP="00222D61">
            <w:pPr>
              <w:jc w:val="both"/>
              <w:rPr>
                <w:sz w:val="20"/>
                <w:lang w:val="fr-CA"/>
              </w:rPr>
            </w:pPr>
          </w:p>
        </w:tc>
      </w:tr>
      <w:tr w:rsidR="00222D61" w:rsidRPr="00817781" w:rsidTr="00E95A6A">
        <w:tc>
          <w:tcPr>
            <w:tcW w:w="2427" w:type="pct"/>
            <w:gridSpan w:val="2"/>
          </w:tcPr>
          <w:p w:rsidR="00222D61" w:rsidRPr="00222D61" w:rsidRDefault="00222D61" w:rsidP="00222D61">
            <w:pPr>
              <w:jc w:val="both"/>
              <w:rPr>
                <w:sz w:val="20"/>
                <w:lang w:val="fr-CA"/>
              </w:rPr>
            </w:pPr>
            <w:r w:rsidRPr="00222D61">
              <w:rPr>
                <w:sz w:val="20"/>
                <w:lang w:val="fr-CA"/>
              </w:rPr>
              <w:t>7 décembre 2016</w:t>
            </w:r>
          </w:p>
          <w:p w:rsidR="00222D61" w:rsidRPr="00222D61" w:rsidRDefault="00222D61" w:rsidP="00222D61">
            <w:pPr>
              <w:jc w:val="both"/>
              <w:rPr>
                <w:sz w:val="20"/>
                <w:lang w:val="fr-CA"/>
              </w:rPr>
            </w:pPr>
            <w:r w:rsidRPr="00222D61">
              <w:rPr>
                <w:sz w:val="20"/>
                <w:lang w:val="fr-CA"/>
              </w:rPr>
              <w:t>Cour suprême du Canada</w:t>
            </w:r>
          </w:p>
        </w:tc>
        <w:tc>
          <w:tcPr>
            <w:tcW w:w="243" w:type="pct"/>
          </w:tcPr>
          <w:p w:rsidR="00222D61" w:rsidRPr="00222D61" w:rsidRDefault="00222D61" w:rsidP="00222D61">
            <w:pPr>
              <w:jc w:val="both"/>
              <w:rPr>
                <w:sz w:val="20"/>
                <w:lang w:val="fr-CA"/>
              </w:rPr>
            </w:pPr>
          </w:p>
        </w:tc>
        <w:tc>
          <w:tcPr>
            <w:tcW w:w="2330" w:type="pct"/>
          </w:tcPr>
          <w:p w:rsidR="00222D61" w:rsidRPr="00222D61" w:rsidRDefault="00222D61" w:rsidP="00222D61">
            <w:pPr>
              <w:jc w:val="both"/>
              <w:rPr>
                <w:sz w:val="20"/>
                <w:lang w:val="fr-CA"/>
              </w:rPr>
            </w:pPr>
            <w:r w:rsidRPr="00222D61">
              <w:rPr>
                <w:sz w:val="20"/>
                <w:lang w:val="fr-CA"/>
              </w:rPr>
              <w:t>Dépôt de la demande d’autorisation d’appel</w:t>
            </w:r>
          </w:p>
          <w:p w:rsidR="00222D61" w:rsidRPr="00222D61" w:rsidRDefault="00222D61" w:rsidP="00222D61">
            <w:pPr>
              <w:jc w:val="both"/>
              <w:rPr>
                <w:sz w:val="20"/>
                <w:lang w:val="fr-CA"/>
              </w:rPr>
            </w:pPr>
          </w:p>
        </w:tc>
      </w:tr>
    </w:tbl>
    <w:p w:rsidR="00222D61" w:rsidRPr="00222D61" w:rsidRDefault="00222D61" w:rsidP="00222D61">
      <w:pPr>
        <w:jc w:val="both"/>
        <w:rPr>
          <w:sz w:val="20"/>
          <w:lang w:val="fr-CA"/>
        </w:rPr>
      </w:pPr>
    </w:p>
    <w:p w:rsidR="00222D61" w:rsidRPr="00222D61" w:rsidRDefault="00222D61" w:rsidP="00222D61">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22D61" w:rsidRPr="00222D61" w:rsidTr="00E95A6A">
        <w:tc>
          <w:tcPr>
            <w:tcW w:w="543" w:type="pct"/>
          </w:tcPr>
          <w:p w:rsidR="00222D61" w:rsidRPr="00222D61" w:rsidRDefault="00222D61" w:rsidP="00222D61">
            <w:pPr>
              <w:jc w:val="both"/>
              <w:rPr>
                <w:sz w:val="20"/>
              </w:rPr>
            </w:pPr>
            <w:r w:rsidRPr="00222D61">
              <w:rPr>
                <w:rStyle w:val="SCCFileNumberChar"/>
                <w:sz w:val="20"/>
                <w:szCs w:val="20"/>
              </w:rPr>
              <w:t>37230</w:t>
            </w:r>
          </w:p>
        </w:tc>
        <w:tc>
          <w:tcPr>
            <w:tcW w:w="4457" w:type="pct"/>
            <w:gridSpan w:val="3"/>
          </w:tcPr>
          <w:p w:rsidR="00222D61" w:rsidRPr="00222D61" w:rsidRDefault="00222D61" w:rsidP="00222D61">
            <w:pPr>
              <w:pStyle w:val="SCCLsocParty"/>
              <w:jc w:val="both"/>
              <w:rPr>
                <w:b/>
                <w:sz w:val="20"/>
                <w:szCs w:val="20"/>
                <w:lang w:val="en-US"/>
              </w:rPr>
            </w:pPr>
            <w:r w:rsidRPr="00222D61">
              <w:rPr>
                <w:b/>
                <w:sz w:val="20"/>
                <w:szCs w:val="20"/>
                <w:lang w:val="en-US"/>
              </w:rPr>
              <w:t xml:space="preserve">Sylvester Chuang, HSC Holding inc., </w:t>
            </w:r>
            <w:proofErr w:type="spellStart"/>
            <w:r w:rsidRPr="00222D61">
              <w:rPr>
                <w:b/>
                <w:sz w:val="20"/>
                <w:szCs w:val="20"/>
                <w:lang w:val="en-US"/>
              </w:rPr>
              <w:t>Transoriental</w:t>
            </w:r>
            <w:proofErr w:type="spellEnd"/>
            <w:r w:rsidRPr="00222D61">
              <w:rPr>
                <w:b/>
                <w:sz w:val="20"/>
                <w:szCs w:val="20"/>
                <w:lang w:val="en-US"/>
              </w:rPr>
              <w:t xml:space="preserve"> Fine Cars ltd., 1405768 Ontario Limited and </w:t>
            </w:r>
            <w:proofErr w:type="spellStart"/>
            <w:r w:rsidRPr="00222D61">
              <w:rPr>
                <w:b/>
                <w:sz w:val="20"/>
                <w:szCs w:val="20"/>
                <w:lang w:val="en-US"/>
              </w:rPr>
              <w:t>Ontasian</w:t>
            </w:r>
            <w:proofErr w:type="spellEnd"/>
            <w:r w:rsidRPr="00222D61">
              <w:rPr>
                <w:b/>
                <w:sz w:val="20"/>
                <w:szCs w:val="20"/>
                <w:lang w:val="en-US"/>
              </w:rPr>
              <w:t xml:space="preserve"> Enterprises inc. v. Toyota Canada </w:t>
            </w:r>
            <w:proofErr w:type="spellStart"/>
            <w:r w:rsidRPr="00222D61">
              <w:rPr>
                <w:b/>
                <w:sz w:val="20"/>
                <w:szCs w:val="20"/>
                <w:lang w:val="en-US"/>
              </w:rPr>
              <w:t>Inc</w:t>
            </w:r>
            <w:proofErr w:type="spellEnd"/>
          </w:p>
          <w:p w:rsidR="00222D61" w:rsidRPr="00222D61" w:rsidRDefault="00222D61" w:rsidP="00222D61">
            <w:pPr>
              <w:jc w:val="both"/>
              <w:rPr>
                <w:sz w:val="20"/>
              </w:rPr>
            </w:pPr>
            <w:r w:rsidRPr="00222D61">
              <w:rPr>
                <w:sz w:val="20"/>
              </w:rPr>
              <w:t>(Ont.) (Civil) (By Leave)</w:t>
            </w:r>
          </w:p>
        </w:tc>
      </w:tr>
      <w:tr w:rsidR="00222D61" w:rsidRPr="00222D61" w:rsidTr="00E95A6A">
        <w:tc>
          <w:tcPr>
            <w:tcW w:w="5000" w:type="pct"/>
            <w:gridSpan w:val="4"/>
          </w:tcPr>
          <w:p w:rsidR="00222D61" w:rsidRPr="00222D61" w:rsidRDefault="00222D61" w:rsidP="00222D61">
            <w:pPr>
              <w:pStyle w:val="BodyText"/>
              <w:ind w:left="0" w:right="114"/>
              <w:jc w:val="both"/>
              <w:rPr>
                <w:sz w:val="20"/>
                <w:szCs w:val="20"/>
              </w:rPr>
            </w:pPr>
            <w:r w:rsidRPr="00222D61">
              <w:rPr>
                <w:iCs/>
                <w:sz w:val="20"/>
                <w:szCs w:val="20"/>
                <w:lang w:val="en-GB"/>
              </w:rPr>
              <w:t xml:space="preserve">Contracts – Breach of terms – Respondent terminating agreement with applicants for failure to meet certain specified deadlines – Applicants suing respondent for breach of contract – Respondent relying on exclusion of liability clause – Whether </w:t>
            </w:r>
            <w:r w:rsidRPr="00222D61">
              <w:rPr>
                <w:sz w:val="20"/>
                <w:szCs w:val="20"/>
              </w:rPr>
              <w:t xml:space="preserve">the Court of Appeal erred in enforcing an exclusion of liability provision to the benefit of the party that unlawfully terminated the contract – Whether the Court of Appeal erred in failing to engage in a proper analysis of what constitutes a relevant imbalance in bargaining power sufficient to render an exclusion of liability clause unenforceable – Whether the Court of Appeal erred in failing to properly characterize the true nature of the respondent’s conduct at the time it ended the contract to determine whether it was a repudiation of the contract rather than a termination – Whether, had the Court of Appeal below undertaken this necessary analysis and found that the respondent repudiated the contract, the result would have been that the exclusion of liability provision was not engaged and the first step of this Court’s analysis in </w:t>
            </w:r>
            <w:proofErr w:type="spellStart"/>
            <w:r w:rsidRPr="00222D61">
              <w:rPr>
                <w:i/>
                <w:iCs/>
                <w:sz w:val="20"/>
                <w:szCs w:val="20"/>
              </w:rPr>
              <w:t>Tercon</w:t>
            </w:r>
            <w:proofErr w:type="spellEnd"/>
            <w:r w:rsidRPr="00222D61">
              <w:rPr>
                <w:i/>
                <w:iCs/>
                <w:sz w:val="20"/>
                <w:szCs w:val="20"/>
              </w:rPr>
              <w:t xml:space="preserve"> Contractors Ltd. v. British Columbia</w:t>
            </w:r>
            <w:r w:rsidRPr="00222D61">
              <w:rPr>
                <w:iCs/>
                <w:sz w:val="20"/>
                <w:szCs w:val="20"/>
              </w:rPr>
              <w:t xml:space="preserve">, </w:t>
            </w:r>
            <w:r w:rsidRPr="00222D61">
              <w:rPr>
                <w:sz w:val="20"/>
                <w:szCs w:val="20"/>
              </w:rPr>
              <w:t>[2010] 1 S.C.R. 69 (“</w:t>
            </w:r>
            <w:proofErr w:type="spellStart"/>
            <w:r w:rsidRPr="00222D61">
              <w:rPr>
                <w:i/>
                <w:iCs/>
                <w:sz w:val="20"/>
                <w:szCs w:val="20"/>
              </w:rPr>
              <w:t>Tercon</w:t>
            </w:r>
            <w:proofErr w:type="spellEnd"/>
            <w:r w:rsidRPr="00222D61">
              <w:rPr>
                <w:sz w:val="20"/>
                <w:szCs w:val="20"/>
              </w:rPr>
              <w:t xml:space="preserve">”) not met – Whether the Court of Appeal erred in applying </w:t>
            </w:r>
            <w:proofErr w:type="spellStart"/>
            <w:r w:rsidRPr="00222D61">
              <w:rPr>
                <w:i/>
                <w:iCs/>
                <w:sz w:val="20"/>
                <w:szCs w:val="20"/>
              </w:rPr>
              <w:t>Tercon</w:t>
            </w:r>
            <w:proofErr w:type="spellEnd"/>
            <w:r w:rsidRPr="00222D61">
              <w:rPr>
                <w:i/>
                <w:iCs/>
                <w:sz w:val="20"/>
                <w:szCs w:val="20"/>
              </w:rPr>
              <w:t xml:space="preserve"> </w:t>
            </w:r>
            <w:r w:rsidRPr="00222D61">
              <w:rPr>
                <w:sz w:val="20"/>
                <w:szCs w:val="20"/>
              </w:rPr>
              <w:t xml:space="preserve">in a rigid, narrow and formalistic manner, incapable of evolving and adapting to circumstances not contemplated or addressed in </w:t>
            </w:r>
            <w:proofErr w:type="spellStart"/>
            <w:r w:rsidRPr="00222D61">
              <w:rPr>
                <w:i/>
                <w:iCs/>
                <w:sz w:val="20"/>
                <w:szCs w:val="20"/>
              </w:rPr>
              <w:t>Tercon</w:t>
            </w:r>
            <w:proofErr w:type="spellEnd"/>
            <w:r w:rsidRPr="00222D61">
              <w:rPr>
                <w:sz w:val="20"/>
                <w:szCs w:val="20"/>
              </w:rPr>
              <w:t xml:space="preserve"> – Whether the Court of Appeal erred in declining to re-open the appeal to consider the argument raised in grounds three and four above, the repudiation/termination issue having been raised by the trial judge and being a necessary, integral and indispensable component of step one of the </w:t>
            </w:r>
            <w:proofErr w:type="spellStart"/>
            <w:r w:rsidRPr="00222D61">
              <w:rPr>
                <w:i/>
                <w:iCs/>
                <w:sz w:val="20"/>
                <w:szCs w:val="20"/>
              </w:rPr>
              <w:t>Tercon</w:t>
            </w:r>
            <w:proofErr w:type="spellEnd"/>
            <w:r w:rsidRPr="00222D61">
              <w:rPr>
                <w:i/>
                <w:iCs/>
                <w:sz w:val="20"/>
                <w:szCs w:val="20"/>
              </w:rPr>
              <w:t xml:space="preserve"> </w:t>
            </w:r>
            <w:r w:rsidRPr="00222D61">
              <w:rPr>
                <w:sz w:val="20"/>
                <w:szCs w:val="20"/>
              </w:rPr>
              <w:t xml:space="preserve">analysis which was the threshold issue at trial and on appeal – Whether the decision of the Court of Appeal raises questions of national importance. </w:t>
            </w:r>
          </w:p>
        </w:tc>
      </w:tr>
      <w:tr w:rsidR="00222D61" w:rsidRPr="00222D61" w:rsidTr="00E95A6A">
        <w:tc>
          <w:tcPr>
            <w:tcW w:w="5000" w:type="pct"/>
            <w:gridSpan w:val="4"/>
          </w:tcPr>
          <w:p w:rsidR="00222D61" w:rsidRPr="00222D61" w:rsidRDefault="00222D61" w:rsidP="00222D61">
            <w:pPr>
              <w:jc w:val="both"/>
              <w:rPr>
                <w:sz w:val="20"/>
              </w:rPr>
            </w:pPr>
          </w:p>
        </w:tc>
      </w:tr>
      <w:tr w:rsidR="00222D61" w:rsidRPr="00222D61" w:rsidTr="00E95A6A">
        <w:tc>
          <w:tcPr>
            <w:tcW w:w="5000" w:type="pct"/>
            <w:gridSpan w:val="4"/>
          </w:tcPr>
          <w:p w:rsidR="00222D61" w:rsidRPr="00222D61" w:rsidRDefault="00222D61" w:rsidP="00222D61">
            <w:pPr>
              <w:jc w:val="both"/>
              <w:rPr>
                <w:sz w:val="20"/>
              </w:rPr>
            </w:pPr>
            <w:r w:rsidRPr="00222D61">
              <w:rPr>
                <w:sz w:val="20"/>
              </w:rPr>
              <w:t xml:space="preserve">In 2003, the applicants, Dr. Sylvester Chuang and various corporations under his control (collectively, “Dr. Chuang”), entered into an agreement with the respondent Toyota Canada Inc. to build and operate a Lexus dealership in Toronto. The agreement provided for certain deadlines. Dr. Chuang was not able to meet these deadlines due to issues such as municipal approvals and soil remediation. He sought to extend the agreement. Toyota agreed to an extension but demanded amendments that included a termination clause in its favour and an exclusion clause limiting Toyota’s liability in the event of termination. In addition, Toyota requested that Dr. Chuang supply a </w:t>
            </w:r>
            <w:r w:rsidRPr="00222D61">
              <w:rPr>
                <w:sz w:val="20"/>
              </w:rPr>
              <w:lastRenderedPageBreak/>
              <w:t>certificate of Independent Legal Advice. Dr. Chuang suggested changes in those proposals, but Toyota did not agree to them. Dr. Chuang eventually agreed to the amendments and provided Toyota with the certificate of Independent Legal Advice</w:t>
            </w:r>
          </w:p>
          <w:p w:rsidR="00222D61" w:rsidRPr="00222D61" w:rsidRDefault="00222D61" w:rsidP="00222D61">
            <w:pPr>
              <w:jc w:val="both"/>
              <w:rPr>
                <w:sz w:val="20"/>
              </w:rPr>
            </w:pPr>
          </w:p>
          <w:p w:rsidR="00222D61" w:rsidRPr="00222D61" w:rsidRDefault="00222D61" w:rsidP="00222D61">
            <w:pPr>
              <w:jc w:val="both"/>
              <w:rPr>
                <w:sz w:val="20"/>
              </w:rPr>
            </w:pPr>
            <w:r w:rsidRPr="00222D61">
              <w:rPr>
                <w:sz w:val="20"/>
              </w:rPr>
              <w:t>In 2005, Toyota terminated the agreement. It took the position that Dr. Chuang once again failed to meet certain specified deadlines, and that as a result, Dr. Chuang is unlikely to be able to meet some, if not all, of the other conditions set out in the agreement. Dr. Chuang sued Toyota, initially claiming specific performance of the agreement and damages. By the time of trial, Dr. Chuang had opened a different dealership on the site and limited his claim to damages for wrongful termination of the agreement.</w:t>
            </w:r>
          </w:p>
          <w:p w:rsidR="00222D61" w:rsidRPr="00222D61" w:rsidRDefault="00222D61" w:rsidP="00222D61">
            <w:pPr>
              <w:jc w:val="both"/>
              <w:rPr>
                <w:sz w:val="20"/>
              </w:rPr>
            </w:pPr>
          </w:p>
        </w:tc>
      </w:tr>
      <w:tr w:rsidR="00222D61" w:rsidRPr="00222D61" w:rsidTr="00E95A6A">
        <w:tc>
          <w:tcPr>
            <w:tcW w:w="2427" w:type="pct"/>
            <w:gridSpan w:val="2"/>
          </w:tcPr>
          <w:p w:rsidR="00222D61" w:rsidRPr="00222D61" w:rsidRDefault="00222D61" w:rsidP="00222D61">
            <w:pPr>
              <w:jc w:val="both"/>
              <w:rPr>
                <w:sz w:val="20"/>
              </w:rPr>
            </w:pPr>
            <w:r w:rsidRPr="00222D61">
              <w:rPr>
                <w:sz w:val="20"/>
              </w:rPr>
              <w:lastRenderedPageBreak/>
              <w:t>February 10, 2015</w:t>
            </w:r>
          </w:p>
          <w:p w:rsidR="00222D61" w:rsidRPr="00222D61" w:rsidRDefault="00222D61" w:rsidP="00222D61">
            <w:pPr>
              <w:jc w:val="both"/>
              <w:rPr>
                <w:sz w:val="20"/>
              </w:rPr>
            </w:pPr>
            <w:r w:rsidRPr="00222D61">
              <w:rPr>
                <w:sz w:val="20"/>
              </w:rPr>
              <w:t>Ontario Superior Court of Justice</w:t>
            </w:r>
          </w:p>
          <w:p w:rsidR="00222D61" w:rsidRPr="00222D61" w:rsidRDefault="00222D61" w:rsidP="00222D61">
            <w:pPr>
              <w:jc w:val="both"/>
              <w:rPr>
                <w:sz w:val="20"/>
              </w:rPr>
            </w:pPr>
            <w:r w:rsidRPr="00222D61">
              <w:rPr>
                <w:sz w:val="20"/>
              </w:rPr>
              <w:t>(Spence J.)</w:t>
            </w:r>
          </w:p>
          <w:p w:rsidR="00222D61" w:rsidRPr="00222D61" w:rsidRDefault="00817781" w:rsidP="00222D61">
            <w:pPr>
              <w:jc w:val="both"/>
              <w:rPr>
                <w:rStyle w:val="Hyperlink"/>
                <w:sz w:val="20"/>
              </w:rPr>
            </w:pPr>
            <w:hyperlink r:id="rId44" w:history="1">
              <w:r w:rsidR="00222D61" w:rsidRPr="00222D61">
                <w:rPr>
                  <w:rStyle w:val="Hyperlink"/>
                  <w:sz w:val="20"/>
                </w:rPr>
                <w:t xml:space="preserve">2015 ONSC 885 </w:t>
              </w:r>
            </w:hyperlink>
            <w:r w:rsidR="00222D61" w:rsidRPr="00222D61">
              <w:rPr>
                <w:rStyle w:val="Hyperlink"/>
                <w:sz w:val="20"/>
              </w:rPr>
              <w:t xml:space="preserve"> </w:t>
            </w:r>
          </w:p>
          <w:p w:rsidR="00222D61" w:rsidRPr="00222D61" w:rsidRDefault="00222D61" w:rsidP="00222D61">
            <w:pPr>
              <w:jc w:val="both"/>
              <w:rPr>
                <w:sz w:val="20"/>
              </w:rPr>
            </w:pPr>
          </w:p>
        </w:tc>
        <w:tc>
          <w:tcPr>
            <w:tcW w:w="243" w:type="pct"/>
          </w:tcPr>
          <w:p w:rsidR="00222D61" w:rsidRPr="00222D61" w:rsidRDefault="00222D61" w:rsidP="00222D61">
            <w:pPr>
              <w:jc w:val="both"/>
              <w:rPr>
                <w:sz w:val="20"/>
              </w:rPr>
            </w:pPr>
          </w:p>
        </w:tc>
        <w:tc>
          <w:tcPr>
            <w:tcW w:w="2330" w:type="pct"/>
          </w:tcPr>
          <w:p w:rsidR="00222D61" w:rsidRPr="00222D61" w:rsidRDefault="00222D61" w:rsidP="00222D61">
            <w:pPr>
              <w:jc w:val="both"/>
              <w:rPr>
                <w:sz w:val="20"/>
              </w:rPr>
            </w:pPr>
            <w:r w:rsidRPr="00222D61">
              <w:rPr>
                <w:sz w:val="20"/>
              </w:rPr>
              <w:t xml:space="preserve">Action for breach of contract dismissed </w:t>
            </w:r>
          </w:p>
          <w:p w:rsidR="00222D61" w:rsidRPr="00222D61" w:rsidRDefault="00222D61" w:rsidP="00222D61">
            <w:pPr>
              <w:jc w:val="both"/>
              <w:rPr>
                <w:sz w:val="20"/>
              </w:rPr>
            </w:pPr>
          </w:p>
        </w:tc>
      </w:tr>
      <w:tr w:rsidR="00222D61" w:rsidRPr="00222D61" w:rsidTr="00E95A6A">
        <w:tc>
          <w:tcPr>
            <w:tcW w:w="2427" w:type="pct"/>
            <w:gridSpan w:val="2"/>
          </w:tcPr>
          <w:p w:rsidR="00222D61" w:rsidRPr="00222D61" w:rsidRDefault="00222D61" w:rsidP="00222D61">
            <w:pPr>
              <w:jc w:val="both"/>
              <w:rPr>
                <w:sz w:val="20"/>
              </w:rPr>
            </w:pPr>
            <w:r w:rsidRPr="00222D61">
              <w:rPr>
                <w:sz w:val="20"/>
              </w:rPr>
              <w:t>July 21, 2016</w:t>
            </w:r>
          </w:p>
          <w:p w:rsidR="00222D61" w:rsidRPr="00222D61" w:rsidRDefault="00222D61" w:rsidP="00222D61">
            <w:pPr>
              <w:jc w:val="both"/>
              <w:rPr>
                <w:sz w:val="20"/>
              </w:rPr>
            </w:pPr>
            <w:r w:rsidRPr="00222D61">
              <w:rPr>
                <w:sz w:val="20"/>
              </w:rPr>
              <w:t>Court of Appeal for Ontario</w:t>
            </w:r>
          </w:p>
          <w:p w:rsidR="00222D61" w:rsidRPr="00222D61" w:rsidRDefault="00222D61" w:rsidP="00222D61">
            <w:pPr>
              <w:jc w:val="both"/>
              <w:rPr>
                <w:sz w:val="20"/>
              </w:rPr>
            </w:pPr>
            <w:r w:rsidRPr="00222D61">
              <w:rPr>
                <w:sz w:val="20"/>
              </w:rPr>
              <w:t>(Doherty, MacPherson and Miller JJ.A.)</w:t>
            </w:r>
          </w:p>
          <w:p w:rsidR="00222D61" w:rsidRPr="00222D61" w:rsidRDefault="00817781" w:rsidP="00222D61">
            <w:pPr>
              <w:jc w:val="both"/>
              <w:rPr>
                <w:sz w:val="20"/>
              </w:rPr>
            </w:pPr>
            <w:hyperlink r:id="rId45" w:history="1">
              <w:r w:rsidR="00222D61" w:rsidRPr="00222D61">
                <w:rPr>
                  <w:rStyle w:val="Hyperlink"/>
                  <w:sz w:val="20"/>
                </w:rPr>
                <w:t>2016 ONCA 584</w:t>
              </w:r>
            </w:hyperlink>
          </w:p>
        </w:tc>
        <w:tc>
          <w:tcPr>
            <w:tcW w:w="243" w:type="pct"/>
          </w:tcPr>
          <w:p w:rsidR="00222D61" w:rsidRPr="00222D61" w:rsidRDefault="00222D61" w:rsidP="00222D61">
            <w:pPr>
              <w:jc w:val="both"/>
              <w:rPr>
                <w:sz w:val="20"/>
              </w:rPr>
            </w:pPr>
          </w:p>
        </w:tc>
        <w:tc>
          <w:tcPr>
            <w:tcW w:w="2330" w:type="pct"/>
          </w:tcPr>
          <w:p w:rsidR="00222D61" w:rsidRPr="00222D61" w:rsidRDefault="00222D61" w:rsidP="00222D61">
            <w:pPr>
              <w:jc w:val="both"/>
              <w:rPr>
                <w:sz w:val="20"/>
              </w:rPr>
            </w:pPr>
            <w:r w:rsidRPr="00222D61">
              <w:rPr>
                <w:sz w:val="20"/>
              </w:rPr>
              <w:t xml:space="preserve">Appeal dismissed, cross-appeal dismissed as moot </w:t>
            </w:r>
          </w:p>
          <w:p w:rsidR="00222D61" w:rsidRPr="00222D61" w:rsidRDefault="00222D61" w:rsidP="00222D61">
            <w:pPr>
              <w:jc w:val="both"/>
              <w:rPr>
                <w:sz w:val="20"/>
              </w:rPr>
            </w:pPr>
          </w:p>
        </w:tc>
      </w:tr>
      <w:tr w:rsidR="00222D61" w:rsidRPr="00222D61" w:rsidTr="00E95A6A">
        <w:tc>
          <w:tcPr>
            <w:tcW w:w="2427" w:type="pct"/>
            <w:gridSpan w:val="2"/>
          </w:tcPr>
          <w:p w:rsidR="00222D61" w:rsidRPr="00222D61" w:rsidRDefault="00222D61" w:rsidP="00222D61">
            <w:pPr>
              <w:jc w:val="both"/>
              <w:rPr>
                <w:sz w:val="20"/>
              </w:rPr>
            </w:pPr>
            <w:r w:rsidRPr="00222D61">
              <w:rPr>
                <w:sz w:val="20"/>
              </w:rPr>
              <w:t>November 10, 2016</w:t>
            </w:r>
          </w:p>
          <w:p w:rsidR="00222D61" w:rsidRPr="00222D61" w:rsidRDefault="00222D61" w:rsidP="00222D61">
            <w:pPr>
              <w:jc w:val="both"/>
              <w:rPr>
                <w:sz w:val="20"/>
              </w:rPr>
            </w:pPr>
            <w:r w:rsidRPr="00222D61">
              <w:rPr>
                <w:sz w:val="20"/>
              </w:rPr>
              <w:t>Court of Appeal for Ontario</w:t>
            </w:r>
          </w:p>
          <w:p w:rsidR="00222D61" w:rsidRPr="00222D61" w:rsidRDefault="00222D61" w:rsidP="00222D61">
            <w:pPr>
              <w:jc w:val="both"/>
              <w:rPr>
                <w:sz w:val="20"/>
              </w:rPr>
            </w:pPr>
            <w:r w:rsidRPr="00222D61">
              <w:rPr>
                <w:sz w:val="20"/>
              </w:rPr>
              <w:t>(Doherty, MacPherson and Miller JJ.A.)</w:t>
            </w:r>
          </w:p>
          <w:p w:rsidR="00222D61" w:rsidRPr="00222D61" w:rsidRDefault="00817781" w:rsidP="00222D61">
            <w:pPr>
              <w:jc w:val="both"/>
              <w:rPr>
                <w:sz w:val="20"/>
              </w:rPr>
            </w:pPr>
            <w:hyperlink r:id="rId46" w:history="1">
              <w:r w:rsidR="00222D61" w:rsidRPr="00222D61">
                <w:rPr>
                  <w:rStyle w:val="Hyperlink"/>
                  <w:sz w:val="20"/>
                </w:rPr>
                <w:t>2016 ONCA 852</w:t>
              </w:r>
            </w:hyperlink>
          </w:p>
          <w:p w:rsidR="00222D61" w:rsidRPr="00222D61" w:rsidRDefault="00222D61" w:rsidP="00222D61">
            <w:pPr>
              <w:jc w:val="both"/>
              <w:rPr>
                <w:sz w:val="20"/>
              </w:rPr>
            </w:pPr>
          </w:p>
        </w:tc>
        <w:tc>
          <w:tcPr>
            <w:tcW w:w="243" w:type="pct"/>
          </w:tcPr>
          <w:p w:rsidR="00222D61" w:rsidRPr="00222D61" w:rsidRDefault="00222D61" w:rsidP="00222D61">
            <w:pPr>
              <w:jc w:val="both"/>
              <w:rPr>
                <w:sz w:val="20"/>
              </w:rPr>
            </w:pPr>
          </w:p>
        </w:tc>
        <w:tc>
          <w:tcPr>
            <w:tcW w:w="2330" w:type="pct"/>
          </w:tcPr>
          <w:p w:rsidR="00222D61" w:rsidRPr="00222D61" w:rsidRDefault="00222D61" w:rsidP="00222D61">
            <w:pPr>
              <w:jc w:val="both"/>
              <w:rPr>
                <w:sz w:val="20"/>
              </w:rPr>
            </w:pPr>
            <w:r w:rsidRPr="00222D61">
              <w:rPr>
                <w:sz w:val="20"/>
              </w:rPr>
              <w:t xml:space="preserve">Motion to re-open appeal dismissed </w:t>
            </w:r>
          </w:p>
          <w:p w:rsidR="00222D61" w:rsidRPr="00222D61" w:rsidRDefault="00222D61" w:rsidP="00222D61">
            <w:pPr>
              <w:jc w:val="both"/>
              <w:rPr>
                <w:sz w:val="20"/>
              </w:rPr>
            </w:pPr>
          </w:p>
        </w:tc>
      </w:tr>
      <w:tr w:rsidR="00222D61" w:rsidRPr="00222D61" w:rsidTr="00E95A6A">
        <w:tc>
          <w:tcPr>
            <w:tcW w:w="2427" w:type="pct"/>
            <w:gridSpan w:val="2"/>
          </w:tcPr>
          <w:p w:rsidR="00222D61" w:rsidRPr="00222D61" w:rsidRDefault="00222D61" w:rsidP="00222D61">
            <w:pPr>
              <w:jc w:val="both"/>
              <w:rPr>
                <w:sz w:val="20"/>
              </w:rPr>
            </w:pPr>
            <w:r w:rsidRPr="00222D61">
              <w:rPr>
                <w:sz w:val="20"/>
              </w:rPr>
              <w:t>September 29, 2016</w:t>
            </w:r>
          </w:p>
          <w:p w:rsidR="00222D61" w:rsidRPr="00222D61" w:rsidRDefault="00222D61" w:rsidP="00222D61">
            <w:pPr>
              <w:jc w:val="both"/>
              <w:rPr>
                <w:sz w:val="20"/>
              </w:rPr>
            </w:pPr>
            <w:r w:rsidRPr="00222D61">
              <w:rPr>
                <w:sz w:val="20"/>
              </w:rPr>
              <w:t>Supreme Court of Canada</w:t>
            </w:r>
          </w:p>
          <w:p w:rsidR="00222D61" w:rsidRPr="00222D61" w:rsidRDefault="00222D61" w:rsidP="00222D61">
            <w:pPr>
              <w:jc w:val="both"/>
              <w:rPr>
                <w:sz w:val="20"/>
              </w:rPr>
            </w:pPr>
          </w:p>
          <w:p w:rsidR="00222D61" w:rsidRPr="00222D61" w:rsidRDefault="00222D61" w:rsidP="00222D61">
            <w:pPr>
              <w:jc w:val="both"/>
              <w:rPr>
                <w:sz w:val="20"/>
              </w:rPr>
            </w:pPr>
          </w:p>
        </w:tc>
        <w:tc>
          <w:tcPr>
            <w:tcW w:w="243" w:type="pct"/>
          </w:tcPr>
          <w:p w:rsidR="00222D61" w:rsidRPr="00222D61" w:rsidRDefault="00222D61" w:rsidP="00222D61">
            <w:pPr>
              <w:jc w:val="both"/>
              <w:rPr>
                <w:sz w:val="20"/>
              </w:rPr>
            </w:pPr>
          </w:p>
        </w:tc>
        <w:tc>
          <w:tcPr>
            <w:tcW w:w="2330" w:type="pct"/>
          </w:tcPr>
          <w:p w:rsidR="00222D61" w:rsidRPr="00222D61" w:rsidRDefault="00222D61" w:rsidP="00222D61">
            <w:pPr>
              <w:jc w:val="both"/>
              <w:rPr>
                <w:sz w:val="20"/>
              </w:rPr>
            </w:pPr>
            <w:r w:rsidRPr="00222D61">
              <w:rPr>
                <w:sz w:val="20"/>
              </w:rPr>
              <w:t xml:space="preserve">Motion to extend time to serve and file application for leave to appeal and notice of application for leave to appeal filed </w:t>
            </w:r>
          </w:p>
          <w:p w:rsidR="00222D61" w:rsidRPr="00222D61" w:rsidRDefault="00222D61" w:rsidP="00222D61">
            <w:pPr>
              <w:jc w:val="both"/>
              <w:rPr>
                <w:sz w:val="20"/>
              </w:rPr>
            </w:pPr>
          </w:p>
        </w:tc>
      </w:tr>
      <w:tr w:rsidR="00222D61" w:rsidRPr="00222D61" w:rsidTr="00E95A6A">
        <w:tc>
          <w:tcPr>
            <w:tcW w:w="2427" w:type="pct"/>
            <w:gridSpan w:val="2"/>
          </w:tcPr>
          <w:p w:rsidR="00222D61" w:rsidRPr="00222D61" w:rsidRDefault="00222D61" w:rsidP="00222D61">
            <w:pPr>
              <w:jc w:val="both"/>
              <w:rPr>
                <w:sz w:val="20"/>
              </w:rPr>
            </w:pPr>
            <w:r w:rsidRPr="00222D61">
              <w:rPr>
                <w:sz w:val="20"/>
              </w:rPr>
              <w:t>November 28, 2016</w:t>
            </w:r>
          </w:p>
          <w:p w:rsidR="00222D61" w:rsidRPr="00222D61" w:rsidRDefault="00222D61" w:rsidP="00222D61">
            <w:pPr>
              <w:jc w:val="both"/>
              <w:rPr>
                <w:sz w:val="20"/>
              </w:rPr>
            </w:pPr>
            <w:r w:rsidRPr="00222D61">
              <w:rPr>
                <w:sz w:val="20"/>
              </w:rPr>
              <w:t>Supreme Court of Canada</w:t>
            </w:r>
          </w:p>
          <w:p w:rsidR="00222D61" w:rsidRPr="00222D61" w:rsidRDefault="00222D61" w:rsidP="00222D61">
            <w:pPr>
              <w:jc w:val="both"/>
              <w:rPr>
                <w:sz w:val="20"/>
              </w:rPr>
            </w:pPr>
          </w:p>
        </w:tc>
        <w:tc>
          <w:tcPr>
            <w:tcW w:w="243" w:type="pct"/>
          </w:tcPr>
          <w:p w:rsidR="00222D61" w:rsidRPr="00222D61" w:rsidRDefault="00222D61" w:rsidP="00222D61">
            <w:pPr>
              <w:jc w:val="both"/>
              <w:rPr>
                <w:sz w:val="20"/>
              </w:rPr>
            </w:pPr>
          </w:p>
        </w:tc>
        <w:tc>
          <w:tcPr>
            <w:tcW w:w="2330" w:type="pct"/>
          </w:tcPr>
          <w:p w:rsidR="00222D61" w:rsidRPr="00222D61" w:rsidRDefault="00222D61" w:rsidP="00222D61">
            <w:pPr>
              <w:jc w:val="both"/>
              <w:rPr>
                <w:sz w:val="20"/>
              </w:rPr>
            </w:pPr>
            <w:r w:rsidRPr="00222D61">
              <w:rPr>
                <w:sz w:val="20"/>
              </w:rPr>
              <w:t xml:space="preserve">Motion to extend time to serve and file application for leave to appeal filed </w:t>
            </w:r>
          </w:p>
          <w:p w:rsidR="00222D61" w:rsidRPr="00222D61" w:rsidRDefault="00222D61" w:rsidP="00222D61">
            <w:pPr>
              <w:jc w:val="both"/>
              <w:rPr>
                <w:sz w:val="20"/>
              </w:rPr>
            </w:pPr>
          </w:p>
        </w:tc>
      </w:tr>
      <w:tr w:rsidR="00222D61" w:rsidRPr="00222D61" w:rsidTr="00E95A6A">
        <w:tc>
          <w:tcPr>
            <w:tcW w:w="2427" w:type="pct"/>
            <w:gridSpan w:val="2"/>
          </w:tcPr>
          <w:p w:rsidR="00222D61" w:rsidRPr="00222D61" w:rsidRDefault="00222D61" w:rsidP="00222D61">
            <w:pPr>
              <w:jc w:val="both"/>
              <w:rPr>
                <w:sz w:val="20"/>
              </w:rPr>
            </w:pPr>
            <w:r w:rsidRPr="00222D61">
              <w:rPr>
                <w:sz w:val="20"/>
              </w:rPr>
              <w:t>December 20, 2016</w:t>
            </w:r>
          </w:p>
          <w:p w:rsidR="00222D61" w:rsidRPr="00222D61" w:rsidRDefault="00222D61" w:rsidP="00222D61">
            <w:pPr>
              <w:jc w:val="both"/>
              <w:rPr>
                <w:sz w:val="20"/>
              </w:rPr>
            </w:pPr>
            <w:r w:rsidRPr="00222D61">
              <w:rPr>
                <w:sz w:val="20"/>
              </w:rPr>
              <w:t>Supreme Court of Canada</w:t>
            </w:r>
          </w:p>
        </w:tc>
        <w:tc>
          <w:tcPr>
            <w:tcW w:w="243" w:type="pct"/>
          </w:tcPr>
          <w:p w:rsidR="00222D61" w:rsidRPr="00222D61" w:rsidRDefault="00222D61" w:rsidP="00222D61">
            <w:pPr>
              <w:jc w:val="both"/>
              <w:rPr>
                <w:sz w:val="20"/>
              </w:rPr>
            </w:pPr>
          </w:p>
        </w:tc>
        <w:tc>
          <w:tcPr>
            <w:tcW w:w="2330" w:type="pct"/>
          </w:tcPr>
          <w:p w:rsidR="00222D61" w:rsidRPr="00222D61" w:rsidRDefault="00222D61" w:rsidP="00222D61">
            <w:pPr>
              <w:jc w:val="both"/>
              <w:rPr>
                <w:sz w:val="20"/>
              </w:rPr>
            </w:pPr>
            <w:r w:rsidRPr="00222D61">
              <w:rPr>
                <w:sz w:val="20"/>
              </w:rPr>
              <w:t>Application for leave to appeal filed</w:t>
            </w:r>
          </w:p>
        </w:tc>
      </w:tr>
    </w:tbl>
    <w:p w:rsidR="00222D61" w:rsidRDefault="00222D61" w:rsidP="00222D61">
      <w:pPr>
        <w:jc w:val="both"/>
        <w:rPr>
          <w:sz w:val="20"/>
        </w:rPr>
      </w:pPr>
    </w:p>
    <w:p w:rsidR="00222D61" w:rsidRPr="00222D61" w:rsidRDefault="00222D61" w:rsidP="00222D6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22D61" w:rsidRPr="00222D61" w:rsidTr="00E95A6A">
        <w:tc>
          <w:tcPr>
            <w:tcW w:w="543" w:type="pct"/>
          </w:tcPr>
          <w:p w:rsidR="00222D61" w:rsidRPr="00222D61" w:rsidRDefault="00222D61" w:rsidP="00222D61">
            <w:pPr>
              <w:jc w:val="both"/>
              <w:rPr>
                <w:sz w:val="20"/>
              </w:rPr>
            </w:pPr>
            <w:r w:rsidRPr="00222D61">
              <w:rPr>
                <w:rStyle w:val="SCCFileNumberChar"/>
                <w:sz w:val="20"/>
                <w:szCs w:val="20"/>
              </w:rPr>
              <w:t>37230</w:t>
            </w:r>
          </w:p>
        </w:tc>
        <w:tc>
          <w:tcPr>
            <w:tcW w:w="4457" w:type="pct"/>
            <w:gridSpan w:val="3"/>
          </w:tcPr>
          <w:p w:rsidR="00222D61" w:rsidRPr="00222D61" w:rsidRDefault="00222D61" w:rsidP="00222D61">
            <w:pPr>
              <w:pStyle w:val="SCCLsocParty"/>
              <w:jc w:val="both"/>
              <w:rPr>
                <w:b/>
                <w:sz w:val="20"/>
                <w:szCs w:val="20"/>
                <w:lang w:val="en-US"/>
              </w:rPr>
            </w:pPr>
            <w:r w:rsidRPr="00222D61">
              <w:rPr>
                <w:b/>
                <w:sz w:val="20"/>
                <w:szCs w:val="20"/>
                <w:lang w:val="en-US"/>
              </w:rPr>
              <w:t xml:space="preserve">Sylvester Chuang, HSC Holding inc., </w:t>
            </w:r>
            <w:proofErr w:type="spellStart"/>
            <w:r w:rsidRPr="00222D61">
              <w:rPr>
                <w:b/>
                <w:sz w:val="20"/>
                <w:szCs w:val="20"/>
                <w:lang w:val="en-US"/>
              </w:rPr>
              <w:t>Transoriental</w:t>
            </w:r>
            <w:proofErr w:type="spellEnd"/>
            <w:r w:rsidRPr="00222D61">
              <w:rPr>
                <w:b/>
                <w:sz w:val="20"/>
                <w:szCs w:val="20"/>
                <w:lang w:val="en-US"/>
              </w:rPr>
              <w:t xml:space="preserve"> Fine Cars ltd., 1405768 Ontario Limited et </w:t>
            </w:r>
            <w:proofErr w:type="spellStart"/>
            <w:r w:rsidRPr="00222D61">
              <w:rPr>
                <w:b/>
                <w:sz w:val="20"/>
                <w:szCs w:val="20"/>
                <w:lang w:val="en-US"/>
              </w:rPr>
              <w:t>Ontasian</w:t>
            </w:r>
            <w:proofErr w:type="spellEnd"/>
            <w:r w:rsidRPr="00222D61">
              <w:rPr>
                <w:b/>
                <w:sz w:val="20"/>
                <w:szCs w:val="20"/>
                <w:lang w:val="en-US"/>
              </w:rPr>
              <w:t xml:space="preserve"> Enterprises inc. c. Toyota Canada Inc.</w:t>
            </w:r>
          </w:p>
          <w:p w:rsidR="00222D61" w:rsidRPr="00222D61" w:rsidRDefault="00222D61" w:rsidP="00222D61">
            <w:pPr>
              <w:jc w:val="both"/>
              <w:rPr>
                <w:sz w:val="20"/>
              </w:rPr>
            </w:pPr>
            <w:r w:rsidRPr="00222D61">
              <w:rPr>
                <w:sz w:val="20"/>
              </w:rPr>
              <w:t xml:space="preserve">(Ont.) (Civile) (Sur </w:t>
            </w:r>
            <w:proofErr w:type="spellStart"/>
            <w:r w:rsidRPr="00222D61">
              <w:rPr>
                <w:sz w:val="20"/>
              </w:rPr>
              <w:t>autorisation</w:t>
            </w:r>
            <w:proofErr w:type="spellEnd"/>
            <w:r w:rsidRPr="00222D61">
              <w:rPr>
                <w:sz w:val="20"/>
              </w:rPr>
              <w:t>)</w:t>
            </w:r>
          </w:p>
        </w:tc>
      </w:tr>
      <w:tr w:rsidR="00222D61" w:rsidRPr="00817781" w:rsidTr="00E95A6A">
        <w:tc>
          <w:tcPr>
            <w:tcW w:w="5000" w:type="pct"/>
            <w:gridSpan w:val="4"/>
          </w:tcPr>
          <w:p w:rsidR="00222D61" w:rsidRPr="00222D61" w:rsidRDefault="00222D61" w:rsidP="00222D61">
            <w:pPr>
              <w:pStyle w:val="BodyText"/>
              <w:ind w:left="0"/>
              <w:jc w:val="both"/>
              <w:rPr>
                <w:sz w:val="20"/>
                <w:szCs w:val="20"/>
                <w:lang w:val="fr-CA"/>
              </w:rPr>
            </w:pPr>
            <w:r w:rsidRPr="00222D61">
              <w:rPr>
                <w:iCs/>
                <w:sz w:val="20"/>
                <w:szCs w:val="20"/>
                <w:lang w:val="fr-CA"/>
              </w:rPr>
              <w:t xml:space="preserve">Contrats – Violation de modalités – Résiliation par l’intimée de l’accord intervenu avec les demandeurs pour non-respect de certaines échéances – Demandeurs poursuivant l’intimée pour rupture de contrat – Intimée invoquant la clause d’exonération de responsabilité – La Cour d’appel a-t-elle eu tort d’appliquer une clause d’exonération de responsabilité au profit de la partie qui a résilié illégalement le contrat? </w:t>
            </w:r>
            <w:r w:rsidRPr="00222D61">
              <w:rPr>
                <w:sz w:val="20"/>
                <w:szCs w:val="20"/>
                <w:lang w:val="fr-CA"/>
              </w:rPr>
              <w:t>– La Cour d’appel a-t-elle commis une erreur en n'analysant pas comme il se doit ce qui constitue une inégalité déterminante du pouvoir de négociation permettant de déclarer inapplicable une clause d’exonération de responsabilité? – La Cour d’appel a-t-elle fait erreur en décrivant mal la véritable nature des agissements de l’intimée au moment o</w:t>
            </w:r>
            <w:r w:rsidRPr="00222D61">
              <w:rPr>
                <w:rFonts w:cs="Times New Roman"/>
                <w:sz w:val="20"/>
                <w:szCs w:val="20"/>
                <w:lang w:val="fr-CA"/>
              </w:rPr>
              <w:t>ù</w:t>
            </w:r>
            <w:r w:rsidRPr="00222D61">
              <w:rPr>
                <w:sz w:val="20"/>
                <w:szCs w:val="20"/>
                <w:lang w:val="fr-CA"/>
              </w:rPr>
              <w:t xml:space="preserve"> elle a mis fin au contrat pour décider si le contrat avait été répudié plutôt que résilié? – Si la Cour d’appel s’était livrée à cette analyse nécessaire et avait conclu que l’intimée avait répudié le contrat, la clause d’exonération de responsabilité ne serait-elle pas entrée en jeu et aurait-il satisfait à la première étape de l’analyse faite par la Cour dans </w:t>
            </w:r>
            <w:r w:rsidRPr="00222D61">
              <w:rPr>
                <w:i/>
                <w:iCs/>
                <w:sz w:val="20"/>
                <w:szCs w:val="20"/>
                <w:lang w:val="fr-CA"/>
              </w:rPr>
              <w:t>Tercon Contractors Ltd. c. Colombie-Britannique</w:t>
            </w:r>
            <w:r w:rsidRPr="00222D61">
              <w:rPr>
                <w:iCs/>
                <w:sz w:val="20"/>
                <w:szCs w:val="20"/>
                <w:lang w:val="fr-CA"/>
              </w:rPr>
              <w:t xml:space="preserve">, </w:t>
            </w:r>
            <w:r w:rsidRPr="00222D61">
              <w:rPr>
                <w:sz w:val="20"/>
                <w:szCs w:val="20"/>
                <w:lang w:val="fr-CA"/>
              </w:rPr>
              <w:t>[2010] 1 R.C.S. 69 (« </w:t>
            </w:r>
            <w:proofErr w:type="spellStart"/>
            <w:r w:rsidRPr="00222D61">
              <w:rPr>
                <w:i/>
                <w:iCs/>
                <w:sz w:val="20"/>
                <w:szCs w:val="20"/>
                <w:lang w:val="fr-CA"/>
              </w:rPr>
              <w:t>Tercon</w:t>
            </w:r>
            <w:proofErr w:type="spellEnd"/>
            <w:r w:rsidRPr="00222D61">
              <w:rPr>
                <w:sz w:val="20"/>
                <w:szCs w:val="20"/>
                <w:lang w:val="fr-CA"/>
              </w:rPr>
              <w:t xml:space="preserve"> »)? – La Cour d’appel a-t-elle fait erreur en appliquant </w:t>
            </w:r>
            <w:r w:rsidRPr="00222D61">
              <w:rPr>
                <w:i/>
                <w:iCs/>
                <w:sz w:val="20"/>
                <w:szCs w:val="20"/>
                <w:lang w:val="fr-CA"/>
              </w:rPr>
              <w:t xml:space="preserve">Tercon </w:t>
            </w:r>
            <w:r w:rsidRPr="00222D61">
              <w:rPr>
                <w:sz w:val="20"/>
                <w:szCs w:val="20"/>
                <w:lang w:val="fr-CA"/>
              </w:rPr>
              <w:t xml:space="preserve">d’une manière rigide, étroite et formaliste, non susceptible d’évoluer et de s’adapter à des circonstances non envisagées ou abordées dans cet arrêt? – La Cour d’appel a-t-elle eu tort de refuser de rouvrir l’appel pour examiner l’argument avancé dans les moyens trois et quatre ci-dessus, vu que le juge de première instance a abordé le débat entre la répudiation ou la </w:t>
            </w:r>
            <w:r w:rsidRPr="00222D61">
              <w:rPr>
                <w:sz w:val="20"/>
                <w:szCs w:val="20"/>
                <w:lang w:val="fr-CA"/>
              </w:rPr>
              <w:lastRenderedPageBreak/>
              <w:t xml:space="preserve">résiliation et qu’il s’agissait d’un élément nécessaire, essentiel et indispensable de l’étape un de l’analyse préconisée dans </w:t>
            </w:r>
            <w:r w:rsidRPr="00222D61">
              <w:rPr>
                <w:i/>
                <w:iCs/>
                <w:sz w:val="20"/>
                <w:szCs w:val="20"/>
                <w:lang w:val="fr-CA"/>
              </w:rPr>
              <w:t>Tercon</w:t>
            </w:r>
            <w:r w:rsidRPr="00222D61">
              <w:rPr>
                <w:iCs/>
                <w:sz w:val="20"/>
                <w:szCs w:val="20"/>
                <w:lang w:val="fr-CA"/>
              </w:rPr>
              <w:t xml:space="preserve">, en l’occurrence la question qu’il fallait se poser au procès et en appel? </w:t>
            </w:r>
            <w:r w:rsidRPr="00222D61">
              <w:rPr>
                <w:sz w:val="20"/>
                <w:szCs w:val="20"/>
                <w:lang w:val="fr-CA"/>
              </w:rPr>
              <w:t xml:space="preserve">– La décision de la Cour d’appel soulève-t-elle des questions d’importance nationale? </w:t>
            </w:r>
          </w:p>
        </w:tc>
      </w:tr>
      <w:tr w:rsidR="00222D61" w:rsidRPr="00817781" w:rsidTr="00E95A6A">
        <w:tc>
          <w:tcPr>
            <w:tcW w:w="5000" w:type="pct"/>
            <w:gridSpan w:val="4"/>
          </w:tcPr>
          <w:p w:rsidR="00222D61" w:rsidRPr="00222D61" w:rsidRDefault="00222D61" w:rsidP="00222D61">
            <w:pPr>
              <w:jc w:val="both"/>
              <w:rPr>
                <w:sz w:val="20"/>
                <w:lang w:val="fr-CA"/>
              </w:rPr>
            </w:pPr>
          </w:p>
        </w:tc>
      </w:tr>
      <w:tr w:rsidR="00222D61" w:rsidRPr="00817781" w:rsidTr="00E95A6A">
        <w:tc>
          <w:tcPr>
            <w:tcW w:w="5000" w:type="pct"/>
            <w:gridSpan w:val="4"/>
          </w:tcPr>
          <w:p w:rsidR="00222D61" w:rsidRPr="00222D61" w:rsidRDefault="00222D61" w:rsidP="00222D61">
            <w:pPr>
              <w:jc w:val="both"/>
              <w:rPr>
                <w:sz w:val="20"/>
                <w:lang w:val="fr-CA"/>
              </w:rPr>
            </w:pPr>
            <w:r w:rsidRPr="00222D61">
              <w:rPr>
                <w:sz w:val="20"/>
                <w:lang w:val="fr-CA"/>
              </w:rPr>
              <w:t>En 2003, les demandeurs, le D</w:t>
            </w:r>
            <w:r w:rsidRPr="00222D61">
              <w:rPr>
                <w:sz w:val="20"/>
                <w:vertAlign w:val="superscript"/>
                <w:lang w:val="fr-CA"/>
              </w:rPr>
              <w:t>r</w:t>
            </w:r>
            <w:r w:rsidRPr="00222D61">
              <w:rPr>
                <w:sz w:val="20"/>
                <w:lang w:val="fr-CA"/>
              </w:rPr>
              <w:t> Sylvester Chuang et différentes sociétés sous son emprise (collectivement le « D</w:t>
            </w:r>
            <w:r w:rsidRPr="00222D61">
              <w:rPr>
                <w:sz w:val="20"/>
                <w:vertAlign w:val="superscript"/>
                <w:lang w:val="fr-CA"/>
              </w:rPr>
              <w:t>r</w:t>
            </w:r>
            <w:r w:rsidRPr="00222D61">
              <w:rPr>
                <w:sz w:val="20"/>
                <w:lang w:val="fr-CA"/>
              </w:rPr>
              <w:t> </w:t>
            </w:r>
            <w:proofErr w:type="spellStart"/>
            <w:r w:rsidRPr="00222D61">
              <w:rPr>
                <w:sz w:val="20"/>
                <w:lang w:val="fr-CA"/>
              </w:rPr>
              <w:t>Chuang</w:t>
            </w:r>
            <w:proofErr w:type="spellEnd"/>
            <w:r w:rsidRPr="00222D61">
              <w:rPr>
                <w:sz w:val="20"/>
                <w:lang w:val="fr-CA"/>
              </w:rPr>
              <w:t> »), ont conclu un accord avec l’intimée, Toyota Canada Inc., pour construire et exploiter une concession Lexus à Toronto. L’accord fixait certaines échéances. Le D</w:t>
            </w:r>
            <w:r w:rsidRPr="00222D61">
              <w:rPr>
                <w:sz w:val="20"/>
                <w:vertAlign w:val="superscript"/>
                <w:lang w:val="fr-CA"/>
              </w:rPr>
              <w:t>r</w:t>
            </w:r>
            <w:r w:rsidRPr="00222D61">
              <w:rPr>
                <w:sz w:val="20"/>
                <w:lang w:val="fr-CA"/>
              </w:rPr>
              <w:t> </w:t>
            </w:r>
            <w:proofErr w:type="spellStart"/>
            <w:r w:rsidRPr="00222D61">
              <w:rPr>
                <w:sz w:val="20"/>
                <w:lang w:val="fr-CA"/>
              </w:rPr>
              <w:t>Chuang</w:t>
            </w:r>
            <w:proofErr w:type="spellEnd"/>
            <w:r w:rsidRPr="00222D61">
              <w:rPr>
                <w:sz w:val="20"/>
                <w:lang w:val="fr-CA"/>
              </w:rPr>
              <w:t xml:space="preserve"> n’a pas été en mesure de respecter ces échéances à cause de problèmes liés aux approbations de la municipalité et à la décontamination du sol. Il a cherché à faire reconduire l’accord. Toyota a consenti à une reconduction mais elle a exigé des modifications, y compris l’ajout d’une clause de résiliation en sa faveur et d’une clause d’exonération limitant sa responsabilité en cas de résiliation. De plus, Toyota a demandé au D</w:t>
            </w:r>
            <w:r w:rsidRPr="00222D61">
              <w:rPr>
                <w:sz w:val="20"/>
                <w:vertAlign w:val="superscript"/>
                <w:lang w:val="fr-CA"/>
              </w:rPr>
              <w:t>r</w:t>
            </w:r>
            <w:r w:rsidRPr="00222D61">
              <w:rPr>
                <w:sz w:val="20"/>
                <w:lang w:val="fr-CA"/>
              </w:rPr>
              <w:t> Chuang de lui remettre une attestation d’avis juridique indépendant. Le D</w:t>
            </w:r>
            <w:r w:rsidRPr="00222D61">
              <w:rPr>
                <w:sz w:val="20"/>
                <w:vertAlign w:val="superscript"/>
                <w:lang w:val="fr-CA"/>
              </w:rPr>
              <w:t>r</w:t>
            </w:r>
            <w:r w:rsidRPr="00222D61">
              <w:rPr>
                <w:sz w:val="20"/>
                <w:lang w:val="fr-CA"/>
              </w:rPr>
              <w:t> Chuang a suggéré des changements à ces propositions, mais Toyota ne les a pas acceptés. Le D</w:t>
            </w:r>
            <w:r w:rsidRPr="00222D61">
              <w:rPr>
                <w:sz w:val="20"/>
                <w:vertAlign w:val="superscript"/>
                <w:lang w:val="fr-CA"/>
              </w:rPr>
              <w:t>r </w:t>
            </w:r>
            <w:r w:rsidRPr="00222D61">
              <w:rPr>
                <w:sz w:val="20"/>
                <w:lang w:val="fr-CA"/>
              </w:rPr>
              <w:t xml:space="preserve">Chuang a fini par accepter les modifications et a fourni à Toyota l’attestation d’avis juridique indépendant. </w:t>
            </w:r>
          </w:p>
          <w:p w:rsidR="00222D61" w:rsidRPr="00222D61" w:rsidRDefault="00222D61" w:rsidP="00222D61">
            <w:pPr>
              <w:jc w:val="both"/>
              <w:rPr>
                <w:sz w:val="20"/>
                <w:lang w:val="fr-CA"/>
              </w:rPr>
            </w:pPr>
          </w:p>
          <w:p w:rsidR="00222D61" w:rsidRPr="00222D61" w:rsidRDefault="00222D61" w:rsidP="00222D61">
            <w:pPr>
              <w:jc w:val="both"/>
              <w:rPr>
                <w:sz w:val="20"/>
                <w:lang w:val="fr-CA"/>
              </w:rPr>
            </w:pPr>
            <w:r w:rsidRPr="00222D61">
              <w:rPr>
                <w:sz w:val="20"/>
                <w:lang w:val="fr-CA"/>
              </w:rPr>
              <w:t>Toyota a résilié l’accord en 2005. Elle a soutenu qu’encore une fois, le D</w:t>
            </w:r>
            <w:r w:rsidRPr="00222D61">
              <w:rPr>
                <w:sz w:val="20"/>
                <w:vertAlign w:val="superscript"/>
                <w:lang w:val="fr-CA"/>
              </w:rPr>
              <w:t>r</w:t>
            </w:r>
            <w:r w:rsidRPr="00222D61">
              <w:rPr>
                <w:sz w:val="20"/>
                <w:lang w:val="fr-CA"/>
              </w:rPr>
              <w:t> Chuang n’avait pas respecté certaines échéances et qu’il ne peut donc vraisemblablement pas respecter plusieurs, voire l’ensemble, des autres conditions de l’accord. Le D</w:t>
            </w:r>
            <w:r w:rsidRPr="00222D61">
              <w:rPr>
                <w:sz w:val="20"/>
                <w:vertAlign w:val="superscript"/>
                <w:lang w:val="fr-CA"/>
              </w:rPr>
              <w:t>r</w:t>
            </w:r>
            <w:r w:rsidRPr="00222D61">
              <w:rPr>
                <w:sz w:val="20"/>
                <w:lang w:val="fr-CA"/>
              </w:rPr>
              <w:t> Chuang a poursuivi Toyota, lui réclamant au départ l’exécution en nature de l’accord et des dommages-intérêts. Au moment du procès, le D</w:t>
            </w:r>
            <w:r w:rsidRPr="00222D61">
              <w:rPr>
                <w:sz w:val="20"/>
                <w:vertAlign w:val="superscript"/>
                <w:lang w:val="fr-CA"/>
              </w:rPr>
              <w:t>r</w:t>
            </w:r>
            <w:r w:rsidRPr="00222D61">
              <w:rPr>
                <w:sz w:val="20"/>
                <w:lang w:val="fr-CA"/>
              </w:rPr>
              <w:t> Chuang avait ouvert une autre concession sur les lieux et avait réclamé seulement des dommages-intérêts pour résiliation illicite de l’accord.</w:t>
            </w:r>
          </w:p>
          <w:p w:rsidR="00222D61" w:rsidRPr="00222D61" w:rsidRDefault="00222D61" w:rsidP="00222D61">
            <w:pPr>
              <w:jc w:val="both"/>
              <w:rPr>
                <w:sz w:val="20"/>
                <w:lang w:val="fr-CA"/>
              </w:rPr>
            </w:pPr>
          </w:p>
        </w:tc>
      </w:tr>
      <w:tr w:rsidR="00222D61" w:rsidRPr="00817781" w:rsidTr="00E95A6A">
        <w:tc>
          <w:tcPr>
            <w:tcW w:w="2427" w:type="pct"/>
            <w:gridSpan w:val="2"/>
          </w:tcPr>
          <w:p w:rsidR="00222D61" w:rsidRPr="00222D61" w:rsidRDefault="00222D61" w:rsidP="00222D61">
            <w:pPr>
              <w:jc w:val="both"/>
              <w:rPr>
                <w:sz w:val="20"/>
                <w:lang w:val="fr-CA"/>
              </w:rPr>
            </w:pPr>
            <w:r w:rsidRPr="00222D61">
              <w:rPr>
                <w:sz w:val="20"/>
                <w:lang w:val="fr-CA"/>
              </w:rPr>
              <w:t>10 février 2015</w:t>
            </w:r>
          </w:p>
          <w:p w:rsidR="00222D61" w:rsidRPr="00222D61" w:rsidRDefault="00222D61" w:rsidP="00222D61">
            <w:pPr>
              <w:jc w:val="both"/>
              <w:rPr>
                <w:sz w:val="20"/>
                <w:lang w:val="fr-CA"/>
              </w:rPr>
            </w:pPr>
            <w:r w:rsidRPr="00222D61">
              <w:rPr>
                <w:sz w:val="20"/>
                <w:lang w:val="fr-CA"/>
              </w:rPr>
              <w:t>Cour supérieure de justice de l’Ontario</w:t>
            </w:r>
          </w:p>
          <w:p w:rsidR="00222D61" w:rsidRPr="00222D61" w:rsidRDefault="00222D61" w:rsidP="00222D61">
            <w:pPr>
              <w:jc w:val="both"/>
              <w:rPr>
                <w:sz w:val="20"/>
              </w:rPr>
            </w:pPr>
            <w:r w:rsidRPr="00222D61">
              <w:rPr>
                <w:sz w:val="20"/>
              </w:rPr>
              <w:t>(Juge Spence)</w:t>
            </w:r>
          </w:p>
          <w:p w:rsidR="00222D61" w:rsidRPr="00222D61" w:rsidRDefault="00817781" w:rsidP="00222D61">
            <w:pPr>
              <w:jc w:val="both"/>
              <w:rPr>
                <w:rStyle w:val="Hyperlink"/>
                <w:sz w:val="20"/>
              </w:rPr>
            </w:pPr>
            <w:hyperlink r:id="rId47" w:history="1">
              <w:r w:rsidR="00222D61" w:rsidRPr="00222D61">
                <w:rPr>
                  <w:rStyle w:val="Hyperlink"/>
                  <w:sz w:val="20"/>
                </w:rPr>
                <w:t xml:space="preserve">2015 ONSC 885 </w:t>
              </w:r>
            </w:hyperlink>
            <w:r w:rsidR="00222D61" w:rsidRPr="00222D61">
              <w:rPr>
                <w:rStyle w:val="Hyperlink"/>
                <w:sz w:val="20"/>
              </w:rPr>
              <w:t xml:space="preserve"> </w:t>
            </w:r>
          </w:p>
          <w:p w:rsidR="00222D61" w:rsidRPr="00222D61" w:rsidRDefault="00222D61" w:rsidP="00222D61">
            <w:pPr>
              <w:jc w:val="both"/>
              <w:rPr>
                <w:sz w:val="20"/>
              </w:rPr>
            </w:pPr>
          </w:p>
        </w:tc>
        <w:tc>
          <w:tcPr>
            <w:tcW w:w="243" w:type="pct"/>
          </w:tcPr>
          <w:p w:rsidR="00222D61" w:rsidRPr="00222D61" w:rsidRDefault="00222D61" w:rsidP="00222D61">
            <w:pPr>
              <w:jc w:val="both"/>
              <w:rPr>
                <w:sz w:val="20"/>
              </w:rPr>
            </w:pPr>
          </w:p>
        </w:tc>
        <w:tc>
          <w:tcPr>
            <w:tcW w:w="2330" w:type="pct"/>
          </w:tcPr>
          <w:p w:rsidR="00222D61" w:rsidRPr="00222D61" w:rsidRDefault="00222D61" w:rsidP="00222D61">
            <w:pPr>
              <w:jc w:val="both"/>
              <w:rPr>
                <w:sz w:val="20"/>
                <w:lang w:val="fr-CA"/>
              </w:rPr>
            </w:pPr>
            <w:r w:rsidRPr="00222D61">
              <w:rPr>
                <w:sz w:val="20"/>
                <w:lang w:val="fr-CA"/>
              </w:rPr>
              <w:t xml:space="preserve">Rejet de l’action pour rupture de contrat </w:t>
            </w:r>
          </w:p>
          <w:p w:rsidR="00222D61" w:rsidRPr="00222D61" w:rsidRDefault="00222D61" w:rsidP="00222D61">
            <w:pPr>
              <w:jc w:val="both"/>
              <w:rPr>
                <w:sz w:val="20"/>
                <w:lang w:val="fr-CA"/>
              </w:rPr>
            </w:pPr>
          </w:p>
        </w:tc>
      </w:tr>
      <w:tr w:rsidR="00222D61" w:rsidRPr="00817781" w:rsidTr="00E95A6A">
        <w:tc>
          <w:tcPr>
            <w:tcW w:w="2427" w:type="pct"/>
            <w:gridSpan w:val="2"/>
          </w:tcPr>
          <w:p w:rsidR="00222D61" w:rsidRPr="00222D61" w:rsidRDefault="00222D61" w:rsidP="00222D61">
            <w:pPr>
              <w:jc w:val="both"/>
              <w:rPr>
                <w:sz w:val="20"/>
                <w:lang w:val="fr-CA"/>
              </w:rPr>
            </w:pPr>
            <w:r w:rsidRPr="00222D61">
              <w:rPr>
                <w:sz w:val="20"/>
                <w:lang w:val="fr-CA"/>
              </w:rPr>
              <w:t>21 juillet 2016</w:t>
            </w:r>
          </w:p>
          <w:p w:rsidR="00222D61" w:rsidRPr="00222D61" w:rsidRDefault="00222D61" w:rsidP="00222D61">
            <w:pPr>
              <w:jc w:val="both"/>
              <w:rPr>
                <w:sz w:val="20"/>
                <w:lang w:val="fr-CA"/>
              </w:rPr>
            </w:pPr>
            <w:r w:rsidRPr="00222D61">
              <w:rPr>
                <w:sz w:val="20"/>
                <w:lang w:val="fr-CA"/>
              </w:rPr>
              <w:t>Cour d’appel de l’Ontario</w:t>
            </w:r>
          </w:p>
          <w:p w:rsidR="00222D61" w:rsidRPr="00222D61" w:rsidRDefault="00222D61" w:rsidP="00222D61">
            <w:pPr>
              <w:jc w:val="both"/>
              <w:rPr>
                <w:sz w:val="20"/>
                <w:lang w:val="fr-CA"/>
              </w:rPr>
            </w:pPr>
            <w:r w:rsidRPr="00222D61">
              <w:rPr>
                <w:sz w:val="20"/>
                <w:lang w:val="fr-CA"/>
              </w:rPr>
              <w:t>(Juges Doherty, MacPherson et Miller)</w:t>
            </w:r>
          </w:p>
          <w:p w:rsidR="00222D61" w:rsidRPr="00222D61" w:rsidRDefault="00817781" w:rsidP="00222D61">
            <w:pPr>
              <w:jc w:val="both"/>
              <w:rPr>
                <w:rStyle w:val="Hyperlink"/>
                <w:sz w:val="20"/>
              </w:rPr>
            </w:pPr>
            <w:hyperlink r:id="rId48" w:history="1">
              <w:r w:rsidR="00222D61" w:rsidRPr="00222D61">
                <w:rPr>
                  <w:rStyle w:val="Hyperlink"/>
                  <w:sz w:val="20"/>
                </w:rPr>
                <w:t>2016 ONCA 584</w:t>
              </w:r>
            </w:hyperlink>
          </w:p>
          <w:p w:rsidR="00222D61" w:rsidRPr="00222D61" w:rsidRDefault="00222D61" w:rsidP="00222D61">
            <w:pPr>
              <w:jc w:val="both"/>
              <w:rPr>
                <w:sz w:val="20"/>
              </w:rPr>
            </w:pPr>
          </w:p>
        </w:tc>
        <w:tc>
          <w:tcPr>
            <w:tcW w:w="243" w:type="pct"/>
          </w:tcPr>
          <w:p w:rsidR="00222D61" w:rsidRPr="00222D61" w:rsidRDefault="00222D61" w:rsidP="00222D61">
            <w:pPr>
              <w:jc w:val="both"/>
              <w:rPr>
                <w:sz w:val="20"/>
              </w:rPr>
            </w:pPr>
          </w:p>
        </w:tc>
        <w:tc>
          <w:tcPr>
            <w:tcW w:w="2330" w:type="pct"/>
          </w:tcPr>
          <w:p w:rsidR="00222D61" w:rsidRPr="00222D61" w:rsidRDefault="00222D61" w:rsidP="00222D61">
            <w:pPr>
              <w:jc w:val="both"/>
              <w:rPr>
                <w:sz w:val="20"/>
                <w:lang w:val="fr-CA"/>
              </w:rPr>
            </w:pPr>
            <w:r w:rsidRPr="00222D61">
              <w:rPr>
                <w:sz w:val="20"/>
                <w:lang w:val="fr-CA"/>
              </w:rPr>
              <w:t xml:space="preserve">Rejet de l’appel et rejet de l’appel incident en raison de son caractère théorique </w:t>
            </w:r>
          </w:p>
          <w:p w:rsidR="00222D61" w:rsidRPr="00222D61" w:rsidRDefault="00222D61" w:rsidP="00222D61">
            <w:pPr>
              <w:jc w:val="both"/>
              <w:rPr>
                <w:sz w:val="20"/>
                <w:lang w:val="fr-CA"/>
              </w:rPr>
            </w:pPr>
          </w:p>
        </w:tc>
      </w:tr>
      <w:tr w:rsidR="00222D61" w:rsidRPr="00817781" w:rsidTr="00E95A6A">
        <w:tc>
          <w:tcPr>
            <w:tcW w:w="2427" w:type="pct"/>
            <w:gridSpan w:val="2"/>
          </w:tcPr>
          <w:p w:rsidR="00222D61" w:rsidRPr="00222D61" w:rsidRDefault="00222D61" w:rsidP="00222D61">
            <w:pPr>
              <w:jc w:val="both"/>
              <w:rPr>
                <w:sz w:val="20"/>
                <w:lang w:val="fr-CA"/>
              </w:rPr>
            </w:pPr>
            <w:r w:rsidRPr="00222D61">
              <w:rPr>
                <w:sz w:val="20"/>
                <w:lang w:val="fr-CA"/>
              </w:rPr>
              <w:t>10 novembre 2016</w:t>
            </w:r>
          </w:p>
          <w:p w:rsidR="00222D61" w:rsidRPr="00222D61" w:rsidRDefault="00222D61" w:rsidP="00222D61">
            <w:pPr>
              <w:jc w:val="both"/>
              <w:rPr>
                <w:sz w:val="20"/>
                <w:lang w:val="fr-CA"/>
              </w:rPr>
            </w:pPr>
            <w:r w:rsidRPr="00222D61">
              <w:rPr>
                <w:sz w:val="20"/>
                <w:lang w:val="fr-CA"/>
              </w:rPr>
              <w:t>Cour d’appel de l’Ontario</w:t>
            </w:r>
          </w:p>
          <w:p w:rsidR="00222D61" w:rsidRPr="00222D61" w:rsidRDefault="00222D61" w:rsidP="00222D61">
            <w:pPr>
              <w:jc w:val="both"/>
              <w:rPr>
                <w:sz w:val="20"/>
                <w:lang w:val="fr-CA"/>
              </w:rPr>
            </w:pPr>
            <w:r w:rsidRPr="00222D61">
              <w:rPr>
                <w:sz w:val="20"/>
                <w:lang w:val="fr-CA"/>
              </w:rPr>
              <w:t>(Juges Doherty, MacPherson et Miller)</w:t>
            </w:r>
          </w:p>
          <w:p w:rsidR="00222D61" w:rsidRPr="00222D61" w:rsidRDefault="00817781" w:rsidP="00222D61">
            <w:pPr>
              <w:jc w:val="both"/>
              <w:rPr>
                <w:sz w:val="20"/>
              </w:rPr>
            </w:pPr>
            <w:hyperlink r:id="rId49" w:history="1">
              <w:r w:rsidR="00222D61" w:rsidRPr="00222D61">
                <w:rPr>
                  <w:rStyle w:val="Hyperlink"/>
                  <w:sz w:val="20"/>
                </w:rPr>
                <w:t>2016 ONCA 852</w:t>
              </w:r>
            </w:hyperlink>
          </w:p>
          <w:p w:rsidR="00222D61" w:rsidRPr="00222D61" w:rsidRDefault="00222D61" w:rsidP="00222D61">
            <w:pPr>
              <w:jc w:val="both"/>
              <w:rPr>
                <w:sz w:val="20"/>
              </w:rPr>
            </w:pPr>
          </w:p>
        </w:tc>
        <w:tc>
          <w:tcPr>
            <w:tcW w:w="243" w:type="pct"/>
          </w:tcPr>
          <w:p w:rsidR="00222D61" w:rsidRPr="00222D61" w:rsidRDefault="00222D61" w:rsidP="00222D61">
            <w:pPr>
              <w:jc w:val="both"/>
              <w:rPr>
                <w:sz w:val="20"/>
              </w:rPr>
            </w:pPr>
          </w:p>
        </w:tc>
        <w:tc>
          <w:tcPr>
            <w:tcW w:w="2330" w:type="pct"/>
          </w:tcPr>
          <w:p w:rsidR="00222D61" w:rsidRPr="00222D61" w:rsidRDefault="00222D61" w:rsidP="00222D61">
            <w:pPr>
              <w:jc w:val="both"/>
              <w:rPr>
                <w:sz w:val="20"/>
                <w:lang w:val="fr-CA"/>
              </w:rPr>
            </w:pPr>
            <w:r w:rsidRPr="00222D61">
              <w:rPr>
                <w:sz w:val="20"/>
                <w:lang w:val="fr-CA"/>
              </w:rPr>
              <w:t xml:space="preserve">Rejet de la motion en réouverture de l’appel  </w:t>
            </w:r>
          </w:p>
          <w:p w:rsidR="00222D61" w:rsidRPr="00222D61" w:rsidRDefault="00222D61" w:rsidP="00222D61">
            <w:pPr>
              <w:jc w:val="both"/>
              <w:rPr>
                <w:sz w:val="20"/>
                <w:lang w:val="fr-CA"/>
              </w:rPr>
            </w:pPr>
          </w:p>
        </w:tc>
      </w:tr>
      <w:tr w:rsidR="00222D61" w:rsidRPr="00817781" w:rsidTr="00E95A6A">
        <w:tc>
          <w:tcPr>
            <w:tcW w:w="2427" w:type="pct"/>
            <w:gridSpan w:val="2"/>
          </w:tcPr>
          <w:p w:rsidR="00222D61" w:rsidRPr="00222D61" w:rsidRDefault="00222D61" w:rsidP="00222D61">
            <w:pPr>
              <w:jc w:val="both"/>
              <w:rPr>
                <w:sz w:val="20"/>
              </w:rPr>
            </w:pPr>
            <w:r w:rsidRPr="00222D61">
              <w:rPr>
                <w:sz w:val="20"/>
              </w:rPr>
              <w:t xml:space="preserve">29 </w:t>
            </w:r>
            <w:proofErr w:type="spellStart"/>
            <w:r w:rsidRPr="00222D61">
              <w:rPr>
                <w:sz w:val="20"/>
              </w:rPr>
              <w:t>septembre</w:t>
            </w:r>
            <w:proofErr w:type="spellEnd"/>
            <w:r w:rsidRPr="00222D61">
              <w:rPr>
                <w:sz w:val="20"/>
              </w:rPr>
              <w:t xml:space="preserve"> 2016</w:t>
            </w:r>
          </w:p>
          <w:p w:rsidR="00222D61" w:rsidRPr="00222D61" w:rsidRDefault="00222D61" w:rsidP="00222D61">
            <w:pPr>
              <w:jc w:val="both"/>
              <w:rPr>
                <w:sz w:val="20"/>
              </w:rPr>
            </w:pPr>
            <w:r w:rsidRPr="00222D61">
              <w:rPr>
                <w:sz w:val="20"/>
              </w:rPr>
              <w:t>Cour suprême du Canada</w:t>
            </w:r>
          </w:p>
          <w:p w:rsidR="00222D61" w:rsidRPr="00222D61" w:rsidRDefault="00222D61" w:rsidP="00222D61">
            <w:pPr>
              <w:jc w:val="both"/>
              <w:rPr>
                <w:sz w:val="20"/>
              </w:rPr>
            </w:pPr>
          </w:p>
          <w:p w:rsidR="00222D61" w:rsidRPr="00222D61" w:rsidRDefault="00222D61" w:rsidP="00222D61">
            <w:pPr>
              <w:jc w:val="both"/>
              <w:rPr>
                <w:sz w:val="20"/>
              </w:rPr>
            </w:pPr>
          </w:p>
        </w:tc>
        <w:tc>
          <w:tcPr>
            <w:tcW w:w="243" w:type="pct"/>
          </w:tcPr>
          <w:p w:rsidR="00222D61" w:rsidRPr="00222D61" w:rsidRDefault="00222D61" w:rsidP="00222D61">
            <w:pPr>
              <w:jc w:val="both"/>
              <w:rPr>
                <w:sz w:val="20"/>
              </w:rPr>
            </w:pPr>
          </w:p>
        </w:tc>
        <w:tc>
          <w:tcPr>
            <w:tcW w:w="2330" w:type="pct"/>
          </w:tcPr>
          <w:p w:rsidR="00222D61" w:rsidRPr="00222D61" w:rsidRDefault="00222D61" w:rsidP="00222D61">
            <w:pPr>
              <w:jc w:val="both"/>
              <w:rPr>
                <w:sz w:val="20"/>
                <w:lang w:val="fr-CA"/>
              </w:rPr>
            </w:pPr>
            <w:r w:rsidRPr="00222D61">
              <w:rPr>
                <w:sz w:val="20"/>
                <w:lang w:val="fr-CA"/>
              </w:rPr>
              <w:t xml:space="preserve">Dépôt d’une requête en prorogation du délai pour signifier et déposer la demande d’autorisation d’appel et l’avis de demande d’autorisation d’appel  </w:t>
            </w:r>
          </w:p>
          <w:p w:rsidR="00222D61" w:rsidRPr="00222D61" w:rsidRDefault="00222D61" w:rsidP="00222D61">
            <w:pPr>
              <w:jc w:val="both"/>
              <w:rPr>
                <w:sz w:val="20"/>
                <w:lang w:val="fr-CA"/>
              </w:rPr>
            </w:pPr>
          </w:p>
        </w:tc>
      </w:tr>
      <w:tr w:rsidR="00222D61" w:rsidRPr="00817781" w:rsidTr="00E95A6A">
        <w:tc>
          <w:tcPr>
            <w:tcW w:w="2427" w:type="pct"/>
            <w:gridSpan w:val="2"/>
          </w:tcPr>
          <w:p w:rsidR="00222D61" w:rsidRPr="00222D61" w:rsidRDefault="00222D61" w:rsidP="00222D61">
            <w:pPr>
              <w:jc w:val="both"/>
              <w:rPr>
                <w:sz w:val="20"/>
              </w:rPr>
            </w:pPr>
            <w:r w:rsidRPr="00222D61">
              <w:rPr>
                <w:sz w:val="20"/>
              </w:rPr>
              <w:t xml:space="preserve">28 </w:t>
            </w:r>
            <w:proofErr w:type="spellStart"/>
            <w:r w:rsidRPr="00222D61">
              <w:rPr>
                <w:sz w:val="20"/>
              </w:rPr>
              <w:t>novembre</w:t>
            </w:r>
            <w:proofErr w:type="spellEnd"/>
            <w:r w:rsidRPr="00222D61">
              <w:rPr>
                <w:sz w:val="20"/>
              </w:rPr>
              <w:t xml:space="preserve"> 2016</w:t>
            </w:r>
          </w:p>
          <w:p w:rsidR="00222D61" w:rsidRPr="00222D61" w:rsidRDefault="00222D61" w:rsidP="00222D61">
            <w:pPr>
              <w:jc w:val="both"/>
              <w:rPr>
                <w:sz w:val="20"/>
              </w:rPr>
            </w:pPr>
            <w:r w:rsidRPr="00222D61">
              <w:rPr>
                <w:sz w:val="20"/>
              </w:rPr>
              <w:t>Cour suprême du Canada</w:t>
            </w:r>
          </w:p>
          <w:p w:rsidR="00222D61" w:rsidRPr="00222D61" w:rsidRDefault="00222D61" w:rsidP="00222D61">
            <w:pPr>
              <w:jc w:val="both"/>
              <w:rPr>
                <w:sz w:val="20"/>
              </w:rPr>
            </w:pPr>
          </w:p>
        </w:tc>
        <w:tc>
          <w:tcPr>
            <w:tcW w:w="243" w:type="pct"/>
          </w:tcPr>
          <w:p w:rsidR="00222D61" w:rsidRPr="00222D61" w:rsidRDefault="00222D61" w:rsidP="00222D61">
            <w:pPr>
              <w:jc w:val="both"/>
              <w:rPr>
                <w:sz w:val="20"/>
              </w:rPr>
            </w:pPr>
          </w:p>
        </w:tc>
        <w:tc>
          <w:tcPr>
            <w:tcW w:w="2330" w:type="pct"/>
          </w:tcPr>
          <w:p w:rsidR="00222D61" w:rsidRPr="00222D61" w:rsidRDefault="00222D61" w:rsidP="00222D61">
            <w:pPr>
              <w:jc w:val="both"/>
              <w:rPr>
                <w:sz w:val="20"/>
                <w:lang w:val="fr-CA"/>
              </w:rPr>
            </w:pPr>
            <w:r w:rsidRPr="00222D61">
              <w:rPr>
                <w:sz w:val="20"/>
                <w:lang w:val="fr-CA"/>
              </w:rPr>
              <w:t xml:space="preserve">Dépôt d’une requête en prorogation du délai pour signifier et déposer la demande d’autorisation d’appel </w:t>
            </w:r>
          </w:p>
          <w:p w:rsidR="00222D61" w:rsidRPr="00222D61" w:rsidRDefault="00222D61" w:rsidP="00222D61">
            <w:pPr>
              <w:jc w:val="both"/>
              <w:rPr>
                <w:sz w:val="20"/>
                <w:lang w:val="fr-CA"/>
              </w:rPr>
            </w:pPr>
          </w:p>
        </w:tc>
      </w:tr>
      <w:tr w:rsidR="00222D61" w:rsidRPr="00817781" w:rsidTr="00E95A6A">
        <w:tc>
          <w:tcPr>
            <w:tcW w:w="2427" w:type="pct"/>
            <w:gridSpan w:val="2"/>
          </w:tcPr>
          <w:p w:rsidR="00222D61" w:rsidRPr="00222D61" w:rsidRDefault="00222D61" w:rsidP="00222D61">
            <w:pPr>
              <w:jc w:val="both"/>
              <w:rPr>
                <w:sz w:val="20"/>
                <w:lang w:val="fr-CA"/>
              </w:rPr>
            </w:pPr>
            <w:r w:rsidRPr="00222D61">
              <w:rPr>
                <w:sz w:val="20"/>
                <w:lang w:val="fr-CA"/>
              </w:rPr>
              <w:t>20 décembre 2016</w:t>
            </w:r>
          </w:p>
          <w:p w:rsidR="00222D61" w:rsidRPr="00222D61" w:rsidRDefault="00222D61" w:rsidP="00222D61">
            <w:pPr>
              <w:jc w:val="both"/>
              <w:rPr>
                <w:sz w:val="20"/>
                <w:lang w:val="fr-CA"/>
              </w:rPr>
            </w:pPr>
            <w:r w:rsidRPr="00222D61">
              <w:rPr>
                <w:sz w:val="20"/>
                <w:lang w:val="fr-CA"/>
              </w:rPr>
              <w:t>Cour suprême du Canada</w:t>
            </w:r>
          </w:p>
        </w:tc>
        <w:tc>
          <w:tcPr>
            <w:tcW w:w="243" w:type="pct"/>
          </w:tcPr>
          <w:p w:rsidR="00222D61" w:rsidRPr="00222D61" w:rsidRDefault="00222D61" w:rsidP="00222D61">
            <w:pPr>
              <w:jc w:val="both"/>
              <w:rPr>
                <w:sz w:val="20"/>
                <w:lang w:val="fr-CA"/>
              </w:rPr>
            </w:pPr>
          </w:p>
        </w:tc>
        <w:tc>
          <w:tcPr>
            <w:tcW w:w="2330" w:type="pct"/>
          </w:tcPr>
          <w:p w:rsidR="00222D61" w:rsidRPr="00222D61" w:rsidRDefault="00222D61" w:rsidP="00222D61">
            <w:pPr>
              <w:jc w:val="both"/>
              <w:rPr>
                <w:sz w:val="20"/>
                <w:lang w:val="fr-CA"/>
              </w:rPr>
            </w:pPr>
            <w:r w:rsidRPr="00222D61">
              <w:rPr>
                <w:sz w:val="20"/>
                <w:lang w:val="fr-CA"/>
              </w:rPr>
              <w:t xml:space="preserve">Dépôt de la demande d’autorisation d’appel </w:t>
            </w:r>
          </w:p>
        </w:tc>
      </w:tr>
    </w:tbl>
    <w:p w:rsidR="00222D61" w:rsidRPr="00222D61" w:rsidRDefault="00222D61" w:rsidP="00222D61">
      <w:pPr>
        <w:jc w:val="both"/>
        <w:rPr>
          <w:sz w:val="20"/>
          <w:lang w:val="fr-CA"/>
        </w:rPr>
      </w:pPr>
    </w:p>
    <w:p w:rsidR="00222D61" w:rsidRPr="00222D61" w:rsidRDefault="00222D61" w:rsidP="00222D61">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22D61" w:rsidRPr="00222D61" w:rsidTr="00E95A6A">
        <w:tc>
          <w:tcPr>
            <w:tcW w:w="543" w:type="pct"/>
          </w:tcPr>
          <w:p w:rsidR="00222D61" w:rsidRPr="00222D61" w:rsidRDefault="00222D61" w:rsidP="00222D61">
            <w:pPr>
              <w:jc w:val="both"/>
              <w:rPr>
                <w:sz w:val="20"/>
              </w:rPr>
            </w:pPr>
            <w:r w:rsidRPr="00222D61">
              <w:rPr>
                <w:rStyle w:val="SCCFileNumberChar"/>
                <w:sz w:val="20"/>
                <w:szCs w:val="20"/>
              </w:rPr>
              <w:t>37299</w:t>
            </w:r>
          </w:p>
        </w:tc>
        <w:tc>
          <w:tcPr>
            <w:tcW w:w="4457" w:type="pct"/>
            <w:gridSpan w:val="3"/>
          </w:tcPr>
          <w:p w:rsidR="00222D61" w:rsidRPr="00222D61" w:rsidRDefault="00222D61" w:rsidP="00222D61">
            <w:pPr>
              <w:pStyle w:val="SCCLsocParty"/>
              <w:jc w:val="both"/>
              <w:rPr>
                <w:b/>
                <w:sz w:val="20"/>
                <w:szCs w:val="20"/>
                <w:lang w:val="en-US"/>
              </w:rPr>
            </w:pPr>
            <w:r w:rsidRPr="00222D61">
              <w:rPr>
                <w:b/>
                <w:sz w:val="20"/>
                <w:szCs w:val="20"/>
                <w:lang w:val="en-US"/>
              </w:rPr>
              <w:t xml:space="preserve">Donna Elizabeth </w:t>
            </w:r>
            <w:proofErr w:type="spellStart"/>
            <w:r w:rsidRPr="00222D61">
              <w:rPr>
                <w:b/>
                <w:sz w:val="20"/>
                <w:szCs w:val="20"/>
                <w:lang w:val="en-US"/>
              </w:rPr>
              <w:t>Gariepy</w:t>
            </w:r>
            <w:proofErr w:type="spellEnd"/>
            <w:r w:rsidRPr="00222D61">
              <w:rPr>
                <w:b/>
                <w:sz w:val="20"/>
                <w:szCs w:val="20"/>
                <w:lang w:val="en-US"/>
              </w:rPr>
              <w:t xml:space="preserve"> and Sally Ann </w:t>
            </w:r>
            <w:proofErr w:type="spellStart"/>
            <w:r w:rsidRPr="00222D61">
              <w:rPr>
                <w:b/>
                <w:sz w:val="20"/>
                <w:szCs w:val="20"/>
                <w:lang w:val="en-US"/>
              </w:rPr>
              <w:t>Chriss</w:t>
            </w:r>
            <w:proofErr w:type="spellEnd"/>
            <w:r w:rsidRPr="00222D61">
              <w:rPr>
                <w:b/>
                <w:sz w:val="20"/>
                <w:szCs w:val="20"/>
                <w:lang w:val="en-US"/>
              </w:rPr>
              <w:t xml:space="preserve"> v. Her Majesty the Queen</w:t>
            </w:r>
          </w:p>
          <w:p w:rsidR="00222D61" w:rsidRPr="00222D61" w:rsidRDefault="00222D61" w:rsidP="00222D61">
            <w:pPr>
              <w:jc w:val="both"/>
              <w:rPr>
                <w:sz w:val="20"/>
              </w:rPr>
            </w:pPr>
            <w:r w:rsidRPr="00222D61">
              <w:rPr>
                <w:sz w:val="20"/>
              </w:rPr>
              <w:t>(FC) (Civil) (By Leave)</w:t>
            </w:r>
          </w:p>
        </w:tc>
      </w:tr>
      <w:tr w:rsidR="00222D61" w:rsidRPr="00222D61" w:rsidTr="00E95A6A">
        <w:tc>
          <w:tcPr>
            <w:tcW w:w="5000" w:type="pct"/>
            <w:gridSpan w:val="4"/>
          </w:tcPr>
          <w:p w:rsidR="00222D61" w:rsidRPr="00222D61" w:rsidRDefault="00222D61" w:rsidP="00222D61">
            <w:pPr>
              <w:jc w:val="both"/>
              <w:rPr>
                <w:sz w:val="20"/>
              </w:rPr>
            </w:pPr>
            <w:r w:rsidRPr="00222D61">
              <w:rPr>
                <w:sz w:val="20"/>
              </w:rPr>
              <w:t xml:space="preserve">Taxation – Director’s liability – Resignation – Whether the Court of Appeal erred in law in reading into s. 121(2) of the </w:t>
            </w:r>
            <w:r w:rsidRPr="00222D61">
              <w:rPr>
                <w:i/>
                <w:sz w:val="20"/>
              </w:rPr>
              <w:t>Business Corporations Act</w:t>
            </w:r>
            <w:r w:rsidRPr="00222D61">
              <w:rPr>
                <w:sz w:val="20"/>
              </w:rPr>
              <w:t xml:space="preserve"> certain conditions of validity of a corporate director’s written resignation beyond those specified in that subsection, namely, that the written resignation be executed and dated – Whether the Court of </w:t>
            </w:r>
            <w:r w:rsidRPr="00222D61">
              <w:rPr>
                <w:sz w:val="20"/>
              </w:rPr>
              <w:lastRenderedPageBreak/>
              <w:t xml:space="preserve">Appeal, in so deciding, declined to follow, or even refer to, the only judicial authority from Ontario courts with respect to the interpretation of s. 121(2) of the </w:t>
            </w:r>
            <w:r w:rsidRPr="00222D61">
              <w:rPr>
                <w:i/>
                <w:sz w:val="20"/>
              </w:rPr>
              <w:t>Business Corporations Act</w:t>
            </w:r>
            <w:r w:rsidRPr="00222D61">
              <w:rPr>
                <w:sz w:val="20"/>
              </w:rPr>
              <w:t xml:space="preserve"> – Whether there is now conflicting authority between the federal courts and the provincial courts in respect of the conditions necessary for a valid director’s resignation under s. 121(2) of the </w:t>
            </w:r>
            <w:r w:rsidRPr="00222D61">
              <w:rPr>
                <w:i/>
                <w:sz w:val="20"/>
              </w:rPr>
              <w:t>Business Corporations Act</w:t>
            </w:r>
            <w:r w:rsidRPr="00222D61">
              <w:rPr>
                <w:sz w:val="20"/>
              </w:rPr>
              <w:t xml:space="preserve"> – </w:t>
            </w:r>
            <w:r w:rsidRPr="00222D61">
              <w:rPr>
                <w:i/>
                <w:sz w:val="20"/>
              </w:rPr>
              <w:t>Business Corporations Act</w:t>
            </w:r>
            <w:r w:rsidRPr="00222D61">
              <w:rPr>
                <w:sz w:val="20"/>
              </w:rPr>
              <w:t xml:space="preserve">, </w:t>
            </w:r>
            <w:r w:rsidRPr="00222D61">
              <w:rPr>
                <w:sz w:val="20"/>
                <w:lang w:val="en"/>
              </w:rPr>
              <w:t>R.S.O. 1990, c. B.16, s. 121(2).</w:t>
            </w:r>
          </w:p>
        </w:tc>
      </w:tr>
      <w:tr w:rsidR="00222D61" w:rsidRPr="00222D61" w:rsidTr="00E95A6A">
        <w:tc>
          <w:tcPr>
            <w:tcW w:w="5000" w:type="pct"/>
            <w:gridSpan w:val="4"/>
          </w:tcPr>
          <w:p w:rsidR="00222D61" w:rsidRPr="00222D61" w:rsidRDefault="00222D61" w:rsidP="00222D61">
            <w:pPr>
              <w:jc w:val="both"/>
              <w:rPr>
                <w:sz w:val="20"/>
              </w:rPr>
            </w:pPr>
          </w:p>
        </w:tc>
      </w:tr>
      <w:tr w:rsidR="00222D61" w:rsidRPr="00222D61" w:rsidTr="00E95A6A">
        <w:tc>
          <w:tcPr>
            <w:tcW w:w="5000" w:type="pct"/>
            <w:gridSpan w:val="4"/>
          </w:tcPr>
          <w:p w:rsidR="00222D61" w:rsidRPr="00222D61" w:rsidRDefault="00222D61" w:rsidP="00222D61">
            <w:pPr>
              <w:jc w:val="both"/>
              <w:rPr>
                <w:sz w:val="20"/>
              </w:rPr>
            </w:pPr>
            <w:r w:rsidRPr="00222D61">
              <w:rPr>
                <w:sz w:val="20"/>
              </w:rPr>
              <w:t>In 2001, the Applicants, Ms. </w:t>
            </w:r>
            <w:proofErr w:type="spellStart"/>
            <w:r w:rsidRPr="00222D61">
              <w:rPr>
                <w:sz w:val="20"/>
              </w:rPr>
              <w:t>Chriss</w:t>
            </w:r>
            <w:proofErr w:type="spellEnd"/>
            <w:r w:rsidRPr="00222D61">
              <w:rPr>
                <w:sz w:val="20"/>
              </w:rPr>
              <w:t xml:space="preserve"> and Ms. </w:t>
            </w:r>
            <w:proofErr w:type="spellStart"/>
            <w:r w:rsidRPr="00222D61">
              <w:rPr>
                <w:sz w:val="20"/>
              </w:rPr>
              <w:t>Gariepy</w:t>
            </w:r>
            <w:proofErr w:type="spellEnd"/>
            <w:r w:rsidRPr="00222D61">
              <w:rPr>
                <w:sz w:val="20"/>
              </w:rPr>
              <w:t xml:space="preserve"> expressed to their husbands, the owners and executives of 1056922 Ontario Ltd., their desire to resign as directors. Mr. </w:t>
            </w:r>
            <w:proofErr w:type="spellStart"/>
            <w:r w:rsidRPr="00222D61">
              <w:rPr>
                <w:sz w:val="20"/>
              </w:rPr>
              <w:t>Chriss</w:t>
            </w:r>
            <w:proofErr w:type="spellEnd"/>
            <w:r w:rsidRPr="00222D61">
              <w:rPr>
                <w:sz w:val="20"/>
              </w:rPr>
              <w:t xml:space="preserve"> instructed 105 Ltd.’s solicitor at </w:t>
            </w:r>
            <w:proofErr w:type="spellStart"/>
            <w:r w:rsidRPr="00222D61">
              <w:rPr>
                <w:sz w:val="20"/>
              </w:rPr>
              <w:t>Gowlings</w:t>
            </w:r>
            <w:proofErr w:type="spellEnd"/>
            <w:r w:rsidRPr="00222D61">
              <w:rPr>
                <w:sz w:val="20"/>
              </w:rPr>
              <w:t xml:space="preserve"> to draft the resignations. The solicitor prepared resignation documents for both Applicants. They were, however, not executed, contained a blank date field and never left </w:t>
            </w:r>
            <w:proofErr w:type="spellStart"/>
            <w:r w:rsidRPr="00222D61">
              <w:rPr>
                <w:sz w:val="20"/>
              </w:rPr>
              <w:t>Gowlings</w:t>
            </w:r>
            <w:proofErr w:type="spellEnd"/>
            <w:r w:rsidRPr="00222D61">
              <w:rPr>
                <w:sz w:val="20"/>
              </w:rPr>
              <w:t>’ offices. The solicitor subsequently sought instructions as to the date the resignations were to be effective. None were received. Several months later, Mr. </w:t>
            </w:r>
            <w:proofErr w:type="spellStart"/>
            <w:r w:rsidRPr="00222D61">
              <w:rPr>
                <w:sz w:val="20"/>
              </w:rPr>
              <w:t>Gariepy</w:t>
            </w:r>
            <w:proofErr w:type="spellEnd"/>
            <w:r w:rsidRPr="00222D61">
              <w:rPr>
                <w:sz w:val="20"/>
              </w:rPr>
              <w:t xml:space="preserve"> instructed a lawyer, Mr. Caroline at a different firm to prepare resignation documents solely for Ms. </w:t>
            </w:r>
            <w:proofErr w:type="spellStart"/>
            <w:r w:rsidRPr="00222D61">
              <w:rPr>
                <w:sz w:val="20"/>
              </w:rPr>
              <w:t>Gariepy</w:t>
            </w:r>
            <w:proofErr w:type="spellEnd"/>
            <w:r w:rsidRPr="00222D61">
              <w:rPr>
                <w:sz w:val="20"/>
              </w:rPr>
              <w:t>.</w:t>
            </w:r>
          </w:p>
          <w:p w:rsidR="00222D61" w:rsidRPr="00222D61" w:rsidRDefault="00222D61" w:rsidP="00222D61">
            <w:pPr>
              <w:jc w:val="both"/>
              <w:rPr>
                <w:sz w:val="20"/>
              </w:rPr>
            </w:pPr>
          </w:p>
          <w:p w:rsidR="00222D61" w:rsidRPr="00222D61" w:rsidRDefault="00222D61" w:rsidP="00222D61">
            <w:pPr>
              <w:jc w:val="both"/>
              <w:rPr>
                <w:sz w:val="20"/>
              </w:rPr>
            </w:pPr>
            <w:r w:rsidRPr="00222D61">
              <w:rPr>
                <w:sz w:val="20"/>
              </w:rPr>
              <w:t xml:space="preserve">From 2000 to 2005, 105 Ltd. failed to remit its payroll tax withholdings, including EI, CPP and GST source deductions. Subsection 227.1(1) of the </w:t>
            </w:r>
            <w:r w:rsidRPr="00222D61">
              <w:rPr>
                <w:i/>
                <w:sz w:val="20"/>
              </w:rPr>
              <w:t>Income Tax Act</w:t>
            </w:r>
            <w:r w:rsidRPr="00222D61">
              <w:rPr>
                <w:sz w:val="20"/>
              </w:rPr>
              <w:t xml:space="preserve"> renders the directors of a company which fails to remit source deductions personally liable for the unremitted amounts. The Respondent, Minister assessed the Applicants for these liabilities and the Applicants appealed the assessments. The trial judge concluded that the preparation of the draft letters of resignation, combined with the fact that the Applicants verbally communicated to their husbands that they were tendering their resignations, resulted in an effective resignation. In the alternative, he found that if the resignations were not effective, Ms. </w:t>
            </w:r>
            <w:proofErr w:type="spellStart"/>
            <w:r w:rsidRPr="00222D61">
              <w:rPr>
                <w:sz w:val="20"/>
              </w:rPr>
              <w:t>Chriss</w:t>
            </w:r>
            <w:proofErr w:type="spellEnd"/>
            <w:r w:rsidRPr="00222D61">
              <w:rPr>
                <w:sz w:val="20"/>
              </w:rPr>
              <w:t xml:space="preserve"> had a reasonable belief that she had resigned, but that Ms. </w:t>
            </w:r>
            <w:proofErr w:type="spellStart"/>
            <w:r w:rsidRPr="00222D61">
              <w:rPr>
                <w:sz w:val="20"/>
              </w:rPr>
              <w:t>Gariepy</w:t>
            </w:r>
            <w:proofErr w:type="spellEnd"/>
            <w:r w:rsidRPr="00222D61">
              <w:rPr>
                <w:sz w:val="20"/>
              </w:rPr>
              <w:t xml:space="preserve"> did not. The trial judge rejected the argument that the due diligence defence could be made out on the basis that the Applicants had lost control of the company to Mr. Caroline. The Court of Appeal concluded that the trial judge made reviewable errors and allowed the appeals.</w:t>
            </w:r>
          </w:p>
          <w:p w:rsidR="00222D61" w:rsidRPr="00222D61" w:rsidRDefault="00222D61" w:rsidP="00222D61">
            <w:pPr>
              <w:jc w:val="both"/>
              <w:rPr>
                <w:sz w:val="20"/>
              </w:rPr>
            </w:pPr>
          </w:p>
        </w:tc>
      </w:tr>
      <w:tr w:rsidR="00222D61" w:rsidRPr="00222D61" w:rsidTr="00E95A6A">
        <w:tc>
          <w:tcPr>
            <w:tcW w:w="2427" w:type="pct"/>
            <w:gridSpan w:val="2"/>
          </w:tcPr>
          <w:p w:rsidR="00222D61" w:rsidRPr="00222D61" w:rsidRDefault="00222D61" w:rsidP="00222D61">
            <w:pPr>
              <w:jc w:val="both"/>
              <w:rPr>
                <w:sz w:val="20"/>
              </w:rPr>
            </w:pPr>
            <w:r w:rsidRPr="00222D61">
              <w:rPr>
                <w:sz w:val="20"/>
              </w:rPr>
              <w:t>August 19, 2014</w:t>
            </w:r>
          </w:p>
          <w:p w:rsidR="00222D61" w:rsidRPr="00222D61" w:rsidRDefault="00222D61" w:rsidP="00222D61">
            <w:pPr>
              <w:jc w:val="both"/>
              <w:rPr>
                <w:sz w:val="20"/>
              </w:rPr>
            </w:pPr>
            <w:r w:rsidRPr="00222D61">
              <w:rPr>
                <w:sz w:val="20"/>
              </w:rPr>
              <w:t>Tax Court of Canada</w:t>
            </w:r>
          </w:p>
          <w:p w:rsidR="00222D61" w:rsidRPr="00222D61" w:rsidRDefault="00222D61" w:rsidP="00222D61">
            <w:pPr>
              <w:jc w:val="both"/>
              <w:rPr>
                <w:sz w:val="20"/>
              </w:rPr>
            </w:pPr>
            <w:r w:rsidRPr="00222D61">
              <w:rPr>
                <w:sz w:val="20"/>
              </w:rPr>
              <w:t>(Boyle J.)</w:t>
            </w:r>
          </w:p>
          <w:p w:rsidR="00222D61" w:rsidRPr="00222D61" w:rsidRDefault="00817781" w:rsidP="00222D61">
            <w:pPr>
              <w:jc w:val="both"/>
              <w:rPr>
                <w:sz w:val="20"/>
              </w:rPr>
            </w:pPr>
            <w:hyperlink r:id="rId50" w:history="1">
              <w:r w:rsidR="00222D61" w:rsidRPr="00222D61">
                <w:rPr>
                  <w:rStyle w:val="Hyperlink"/>
                  <w:sz w:val="20"/>
                </w:rPr>
                <w:t>2014 TCC 254</w:t>
              </w:r>
            </w:hyperlink>
            <w:r w:rsidR="00222D61" w:rsidRPr="00222D61">
              <w:rPr>
                <w:sz w:val="20"/>
              </w:rPr>
              <w:t xml:space="preserve">; 2010-863(IT)G; </w:t>
            </w:r>
          </w:p>
          <w:p w:rsidR="00222D61" w:rsidRPr="00222D61" w:rsidRDefault="00222D61" w:rsidP="00222D61">
            <w:pPr>
              <w:jc w:val="both"/>
              <w:rPr>
                <w:sz w:val="20"/>
              </w:rPr>
            </w:pPr>
            <w:r w:rsidRPr="00222D61">
              <w:rPr>
                <w:sz w:val="20"/>
              </w:rPr>
              <w:t>2010-698(IT)G</w:t>
            </w:r>
          </w:p>
          <w:p w:rsidR="00222D61" w:rsidRPr="00222D61" w:rsidRDefault="00222D61" w:rsidP="00222D61">
            <w:pPr>
              <w:jc w:val="both"/>
              <w:rPr>
                <w:sz w:val="20"/>
              </w:rPr>
            </w:pPr>
          </w:p>
        </w:tc>
        <w:tc>
          <w:tcPr>
            <w:tcW w:w="243" w:type="pct"/>
          </w:tcPr>
          <w:p w:rsidR="00222D61" w:rsidRPr="00222D61" w:rsidRDefault="00222D61" w:rsidP="00222D61">
            <w:pPr>
              <w:jc w:val="both"/>
              <w:rPr>
                <w:sz w:val="20"/>
              </w:rPr>
            </w:pPr>
          </w:p>
        </w:tc>
        <w:tc>
          <w:tcPr>
            <w:tcW w:w="2330" w:type="pct"/>
          </w:tcPr>
          <w:p w:rsidR="00222D61" w:rsidRPr="00222D61" w:rsidRDefault="00222D61" w:rsidP="00222D61">
            <w:pPr>
              <w:jc w:val="both"/>
              <w:rPr>
                <w:sz w:val="20"/>
              </w:rPr>
            </w:pPr>
            <w:r w:rsidRPr="00222D61">
              <w:rPr>
                <w:sz w:val="20"/>
              </w:rPr>
              <w:t>Appeal from assessment allowed; Matter referred back to Minister of National Revenue for reconsideration and reassessment</w:t>
            </w:r>
          </w:p>
        </w:tc>
      </w:tr>
      <w:tr w:rsidR="00222D61" w:rsidRPr="00222D61" w:rsidTr="00E95A6A">
        <w:tc>
          <w:tcPr>
            <w:tcW w:w="2427" w:type="pct"/>
            <w:gridSpan w:val="2"/>
          </w:tcPr>
          <w:p w:rsidR="00222D61" w:rsidRPr="00222D61" w:rsidRDefault="00222D61" w:rsidP="00222D61">
            <w:pPr>
              <w:jc w:val="both"/>
              <w:rPr>
                <w:sz w:val="20"/>
              </w:rPr>
            </w:pPr>
            <w:r w:rsidRPr="00222D61">
              <w:rPr>
                <w:sz w:val="20"/>
              </w:rPr>
              <w:t>September 22, 2016</w:t>
            </w:r>
          </w:p>
          <w:p w:rsidR="00222D61" w:rsidRPr="00222D61" w:rsidRDefault="00222D61" w:rsidP="00222D61">
            <w:pPr>
              <w:jc w:val="both"/>
              <w:rPr>
                <w:sz w:val="20"/>
              </w:rPr>
            </w:pPr>
            <w:r w:rsidRPr="00222D61">
              <w:rPr>
                <w:sz w:val="20"/>
              </w:rPr>
              <w:t>Federal Court of Appeal</w:t>
            </w:r>
          </w:p>
          <w:p w:rsidR="00222D61" w:rsidRPr="00222D61" w:rsidRDefault="00222D61" w:rsidP="00222D61">
            <w:pPr>
              <w:jc w:val="both"/>
              <w:rPr>
                <w:sz w:val="20"/>
              </w:rPr>
            </w:pPr>
            <w:r w:rsidRPr="00222D61">
              <w:rPr>
                <w:sz w:val="20"/>
              </w:rPr>
              <w:t xml:space="preserve">(Rennie, </w:t>
            </w:r>
            <w:proofErr w:type="spellStart"/>
            <w:r w:rsidRPr="00222D61">
              <w:rPr>
                <w:sz w:val="20"/>
              </w:rPr>
              <w:t>Stratas</w:t>
            </w:r>
            <w:proofErr w:type="spellEnd"/>
            <w:r w:rsidRPr="00222D61">
              <w:rPr>
                <w:sz w:val="20"/>
              </w:rPr>
              <w:t xml:space="preserve"> and Near JJ.A.)</w:t>
            </w:r>
          </w:p>
          <w:p w:rsidR="00222D61" w:rsidRPr="00222D61" w:rsidRDefault="00817781" w:rsidP="00222D61">
            <w:pPr>
              <w:jc w:val="both"/>
              <w:rPr>
                <w:sz w:val="20"/>
              </w:rPr>
            </w:pPr>
            <w:hyperlink r:id="rId51" w:history="1">
              <w:r w:rsidR="00222D61" w:rsidRPr="00222D61">
                <w:rPr>
                  <w:rStyle w:val="Hyperlink"/>
                  <w:sz w:val="20"/>
                </w:rPr>
                <w:t>2016 FCA 236</w:t>
              </w:r>
            </w:hyperlink>
            <w:r w:rsidR="00222D61" w:rsidRPr="00222D61">
              <w:rPr>
                <w:sz w:val="20"/>
              </w:rPr>
              <w:t>; A-137-15; A-138-15</w:t>
            </w:r>
          </w:p>
          <w:p w:rsidR="00222D61" w:rsidRPr="00222D61" w:rsidRDefault="00222D61" w:rsidP="00222D61">
            <w:pPr>
              <w:jc w:val="both"/>
              <w:rPr>
                <w:sz w:val="20"/>
              </w:rPr>
            </w:pPr>
          </w:p>
        </w:tc>
        <w:tc>
          <w:tcPr>
            <w:tcW w:w="243" w:type="pct"/>
          </w:tcPr>
          <w:p w:rsidR="00222D61" w:rsidRPr="00222D61" w:rsidRDefault="00222D61" w:rsidP="00222D61">
            <w:pPr>
              <w:jc w:val="both"/>
              <w:rPr>
                <w:sz w:val="20"/>
              </w:rPr>
            </w:pPr>
          </w:p>
        </w:tc>
        <w:tc>
          <w:tcPr>
            <w:tcW w:w="2330" w:type="pct"/>
          </w:tcPr>
          <w:p w:rsidR="00222D61" w:rsidRPr="00222D61" w:rsidRDefault="00222D61" w:rsidP="00222D61">
            <w:pPr>
              <w:jc w:val="both"/>
              <w:rPr>
                <w:sz w:val="20"/>
              </w:rPr>
            </w:pPr>
            <w:r w:rsidRPr="00222D61">
              <w:rPr>
                <w:sz w:val="20"/>
              </w:rPr>
              <w:t>Appeals allowed; Judgments of Tax Court set aside; Minister’s assessments restored</w:t>
            </w:r>
          </w:p>
          <w:p w:rsidR="00222D61" w:rsidRPr="00222D61" w:rsidRDefault="00222D61" w:rsidP="00222D61">
            <w:pPr>
              <w:jc w:val="both"/>
              <w:rPr>
                <w:sz w:val="20"/>
              </w:rPr>
            </w:pPr>
          </w:p>
        </w:tc>
      </w:tr>
      <w:tr w:rsidR="00222D61" w:rsidRPr="00222D61" w:rsidTr="00E95A6A">
        <w:tc>
          <w:tcPr>
            <w:tcW w:w="2427" w:type="pct"/>
            <w:gridSpan w:val="2"/>
          </w:tcPr>
          <w:p w:rsidR="00222D61" w:rsidRPr="00222D61" w:rsidRDefault="00222D61" w:rsidP="00222D61">
            <w:pPr>
              <w:jc w:val="both"/>
              <w:rPr>
                <w:sz w:val="20"/>
              </w:rPr>
            </w:pPr>
            <w:r w:rsidRPr="00222D61">
              <w:rPr>
                <w:sz w:val="20"/>
              </w:rPr>
              <w:t>November 21, 2016</w:t>
            </w:r>
          </w:p>
          <w:p w:rsidR="00222D61" w:rsidRPr="00222D61" w:rsidRDefault="00222D61" w:rsidP="00222D61">
            <w:pPr>
              <w:jc w:val="both"/>
              <w:rPr>
                <w:sz w:val="20"/>
              </w:rPr>
            </w:pPr>
            <w:r w:rsidRPr="00222D61">
              <w:rPr>
                <w:sz w:val="20"/>
              </w:rPr>
              <w:t>Supreme Court of Canada</w:t>
            </w:r>
          </w:p>
        </w:tc>
        <w:tc>
          <w:tcPr>
            <w:tcW w:w="243" w:type="pct"/>
          </w:tcPr>
          <w:p w:rsidR="00222D61" w:rsidRPr="00222D61" w:rsidRDefault="00222D61" w:rsidP="00222D61">
            <w:pPr>
              <w:jc w:val="both"/>
              <w:rPr>
                <w:sz w:val="20"/>
              </w:rPr>
            </w:pPr>
          </w:p>
        </w:tc>
        <w:tc>
          <w:tcPr>
            <w:tcW w:w="2330" w:type="pct"/>
          </w:tcPr>
          <w:p w:rsidR="00222D61" w:rsidRPr="00222D61" w:rsidRDefault="00222D61" w:rsidP="00222D61">
            <w:pPr>
              <w:jc w:val="both"/>
              <w:rPr>
                <w:sz w:val="20"/>
              </w:rPr>
            </w:pPr>
            <w:r w:rsidRPr="00222D61">
              <w:rPr>
                <w:sz w:val="20"/>
              </w:rPr>
              <w:t>Application for leave to appeal filed</w:t>
            </w:r>
          </w:p>
          <w:p w:rsidR="00222D61" w:rsidRPr="00222D61" w:rsidRDefault="00222D61" w:rsidP="00222D61">
            <w:pPr>
              <w:jc w:val="both"/>
              <w:rPr>
                <w:sz w:val="20"/>
              </w:rPr>
            </w:pPr>
          </w:p>
        </w:tc>
      </w:tr>
    </w:tbl>
    <w:p w:rsidR="00222D61" w:rsidRDefault="00222D61" w:rsidP="00222D61">
      <w:pPr>
        <w:jc w:val="both"/>
        <w:rPr>
          <w:sz w:val="20"/>
        </w:rPr>
      </w:pPr>
    </w:p>
    <w:p w:rsidR="00222D61" w:rsidRPr="00222D61" w:rsidRDefault="00222D61" w:rsidP="00222D6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22D61" w:rsidRPr="00222D61" w:rsidTr="00E95A6A">
        <w:tc>
          <w:tcPr>
            <w:tcW w:w="543" w:type="pct"/>
          </w:tcPr>
          <w:p w:rsidR="00222D61" w:rsidRPr="00222D61" w:rsidRDefault="00222D61" w:rsidP="00222D61">
            <w:pPr>
              <w:jc w:val="both"/>
              <w:rPr>
                <w:sz w:val="20"/>
              </w:rPr>
            </w:pPr>
            <w:r w:rsidRPr="00222D61">
              <w:rPr>
                <w:rStyle w:val="SCCFileNumberChar"/>
                <w:sz w:val="20"/>
                <w:szCs w:val="20"/>
              </w:rPr>
              <w:t>37299</w:t>
            </w:r>
          </w:p>
        </w:tc>
        <w:tc>
          <w:tcPr>
            <w:tcW w:w="4457" w:type="pct"/>
            <w:gridSpan w:val="3"/>
          </w:tcPr>
          <w:p w:rsidR="00222D61" w:rsidRPr="00222D61" w:rsidRDefault="00222D61" w:rsidP="00222D61">
            <w:pPr>
              <w:pStyle w:val="SCCLsocParty"/>
              <w:jc w:val="both"/>
              <w:rPr>
                <w:b/>
                <w:sz w:val="20"/>
                <w:szCs w:val="20"/>
              </w:rPr>
            </w:pPr>
            <w:r w:rsidRPr="00222D61">
              <w:rPr>
                <w:b/>
                <w:sz w:val="20"/>
                <w:szCs w:val="20"/>
              </w:rPr>
              <w:t>Donna Elizabeth Gariepy et Sally Ann Chriss c. Sa Majesté la Reine</w:t>
            </w:r>
          </w:p>
          <w:p w:rsidR="00222D61" w:rsidRPr="00222D61" w:rsidRDefault="00222D61" w:rsidP="00222D61">
            <w:pPr>
              <w:jc w:val="both"/>
              <w:rPr>
                <w:sz w:val="20"/>
              </w:rPr>
            </w:pPr>
            <w:r w:rsidRPr="00222D61">
              <w:rPr>
                <w:sz w:val="20"/>
              </w:rPr>
              <w:t xml:space="preserve">(CF) (Civile) (Sur </w:t>
            </w:r>
            <w:proofErr w:type="spellStart"/>
            <w:r w:rsidRPr="00222D61">
              <w:rPr>
                <w:sz w:val="20"/>
              </w:rPr>
              <w:t>autorisation</w:t>
            </w:r>
            <w:proofErr w:type="spellEnd"/>
            <w:r w:rsidRPr="00222D61">
              <w:rPr>
                <w:sz w:val="20"/>
              </w:rPr>
              <w:t>)</w:t>
            </w:r>
          </w:p>
        </w:tc>
      </w:tr>
      <w:tr w:rsidR="00222D61" w:rsidRPr="00817781" w:rsidTr="00E95A6A">
        <w:tc>
          <w:tcPr>
            <w:tcW w:w="5000" w:type="pct"/>
            <w:gridSpan w:val="4"/>
          </w:tcPr>
          <w:p w:rsidR="00222D61" w:rsidRPr="00222D61" w:rsidRDefault="00222D61" w:rsidP="00222D61">
            <w:pPr>
              <w:jc w:val="both"/>
              <w:rPr>
                <w:sz w:val="20"/>
                <w:lang w:val="fr-CA"/>
              </w:rPr>
            </w:pPr>
            <w:r w:rsidRPr="00222D61">
              <w:rPr>
                <w:sz w:val="20"/>
                <w:lang w:val="fr-CA"/>
              </w:rPr>
              <w:t xml:space="preserve">Droit fiscal – Responsabilité de l’administrateur – Démission – La Cour d’appel a-t-elle commis une erreur de droit en ajoutant par interprétation au </w:t>
            </w:r>
            <w:proofErr w:type="spellStart"/>
            <w:r w:rsidRPr="00222D61">
              <w:rPr>
                <w:sz w:val="20"/>
                <w:lang w:val="fr-CA"/>
              </w:rPr>
              <w:t>par</w:t>
            </w:r>
            <w:proofErr w:type="spellEnd"/>
            <w:r w:rsidRPr="00222D61">
              <w:rPr>
                <w:sz w:val="20"/>
                <w:lang w:val="fr-CA"/>
              </w:rPr>
              <w:t xml:space="preserve">. 121(2) de la </w:t>
            </w:r>
            <w:r w:rsidRPr="00222D61">
              <w:rPr>
                <w:i/>
                <w:sz w:val="20"/>
                <w:lang w:val="fr-CA"/>
              </w:rPr>
              <w:t>Loi sur les sociétés par actions</w:t>
            </w:r>
            <w:r w:rsidRPr="00222D61">
              <w:rPr>
                <w:sz w:val="20"/>
                <w:lang w:val="fr-CA"/>
              </w:rPr>
              <w:t xml:space="preserve"> certaines conditions de validité de la démission écrite de l’administrateur d’une société, outre celles indiquées à ce paragraphe, à savoir que la démission écrite doit être signée et datée? – En statuant ainsi, la Cour d’appel a-t-elle refusé d’appliquer ou même de citer la seule décision des tribunaux ontariens sur l’interprétation du par. 121(2) de la </w:t>
            </w:r>
            <w:r w:rsidRPr="00222D61">
              <w:rPr>
                <w:i/>
                <w:sz w:val="20"/>
                <w:lang w:val="fr-CA"/>
              </w:rPr>
              <w:t>Loi sur les sociétés par actions</w:t>
            </w:r>
            <w:r w:rsidRPr="00222D61">
              <w:rPr>
                <w:sz w:val="20"/>
                <w:lang w:val="fr-CA"/>
              </w:rPr>
              <w:t xml:space="preserve">? – Y a-t-il désaccord entre la jurisprudence des cours fédérale et celle des tribunaux provinciaux sur les conditions auxquelles doit satisfaire la démission d’un administrateur selon le par. 121(2) de la </w:t>
            </w:r>
            <w:r w:rsidRPr="00222D61">
              <w:rPr>
                <w:i/>
                <w:sz w:val="20"/>
                <w:lang w:val="fr-CA"/>
              </w:rPr>
              <w:t>Loi sur les sociétés par actions</w:t>
            </w:r>
            <w:r w:rsidRPr="00222D61">
              <w:rPr>
                <w:sz w:val="20"/>
                <w:lang w:val="fr-CA"/>
              </w:rPr>
              <w:t xml:space="preserve">? – </w:t>
            </w:r>
            <w:r w:rsidRPr="00222D61">
              <w:rPr>
                <w:i/>
                <w:sz w:val="20"/>
                <w:lang w:val="fr-CA"/>
              </w:rPr>
              <w:t>Loi sur les sociétés par actions</w:t>
            </w:r>
            <w:r w:rsidRPr="00222D61">
              <w:rPr>
                <w:sz w:val="20"/>
                <w:lang w:val="fr-CA"/>
              </w:rPr>
              <w:t>, L.R.O. 1990, c. B.16, par. 121(2).</w:t>
            </w:r>
          </w:p>
        </w:tc>
      </w:tr>
      <w:tr w:rsidR="00222D61" w:rsidRPr="00817781" w:rsidTr="00E95A6A">
        <w:tc>
          <w:tcPr>
            <w:tcW w:w="5000" w:type="pct"/>
            <w:gridSpan w:val="4"/>
          </w:tcPr>
          <w:p w:rsidR="00222D61" w:rsidRPr="00222D61" w:rsidRDefault="00222D61" w:rsidP="00222D61">
            <w:pPr>
              <w:jc w:val="both"/>
              <w:rPr>
                <w:sz w:val="20"/>
                <w:lang w:val="fr-CA"/>
              </w:rPr>
            </w:pPr>
          </w:p>
        </w:tc>
      </w:tr>
      <w:tr w:rsidR="00222D61" w:rsidRPr="00817781" w:rsidTr="00E95A6A">
        <w:tc>
          <w:tcPr>
            <w:tcW w:w="5000" w:type="pct"/>
            <w:gridSpan w:val="4"/>
          </w:tcPr>
          <w:p w:rsidR="00222D61" w:rsidRPr="00222D61" w:rsidRDefault="00222D61" w:rsidP="00222D61">
            <w:pPr>
              <w:jc w:val="both"/>
              <w:rPr>
                <w:sz w:val="20"/>
                <w:lang w:val="fr-CA"/>
              </w:rPr>
            </w:pPr>
            <w:r w:rsidRPr="00222D61">
              <w:rPr>
                <w:sz w:val="20"/>
                <w:lang w:val="fr-CA"/>
              </w:rPr>
              <w:t>En 2001, les demanderesses, M</w:t>
            </w:r>
            <w:r w:rsidRPr="00222D61">
              <w:rPr>
                <w:sz w:val="20"/>
                <w:vertAlign w:val="superscript"/>
                <w:lang w:val="fr-CA"/>
              </w:rPr>
              <w:t>mes</w:t>
            </w:r>
            <w:r w:rsidRPr="00222D61">
              <w:rPr>
                <w:sz w:val="20"/>
                <w:lang w:val="fr-CA"/>
              </w:rPr>
              <w:t> </w:t>
            </w:r>
            <w:proofErr w:type="spellStart"/>
            <w:r w:rsidRPr="00222D61">
              <w:rPr>
                <w:sz w:val="20"/>
                <w:lang w:val="fr-CA"/>
              </w:rPr>
              <w:t>Chriss</w:t>
            </w:r>
            <w:proofErr w:type="spellEnd"/>
            <w:r w:rsidRPr="00222D61">
              <w:rPr>
                <w:sz w:val="20"/>
                <w:lang w:val="fr-CA"/>
              </w:rPr>
              <w:t xml:space="preserve"> et Gariepy, ont exprimé à leurs maris, les propriétaires et dirigeants de 1056922 Ontario Ltd., leur souhait de démissionner comme directrices. Monsieur </w:t>
            </w:r>
            <w:proofErr w:type="spellStart"/>
            <w:r w:rsidRPr="00222D61">
              <w:rPr>
                <w:sz w:val="20"/>
                <w:lang w:val="fr-CA"/>
              </w:rPr>
              <w:t>Chriss</w:t>
            </w:r>
            <w:proofErr w:type="spellEnd"/>
            <w:r w:rsidRPr="00222D61">
              <w:rPr>
                <w:sz w:val="20"/>
                <w:lang w:val="fr-CA"/>
              </w:rPr>
              <w:t xml:space="preserve"> a demandé à l’avocat de </w:t>
            </w:r>
            <w:r w:rsidRPr="00222D61">
              <w:rPr>
                <w:sz w:val="20"/>
                <w:lang w:val="fr-CA"/>
              </w:rPr>
              <w:lastRenderedPageBreak/>
              <w:t>105 Ltd., qui travaille chez Gowlings, de rédiger les lettres de démission. L’avocat les a préparées pour les deux demanderesses. Les lettres n’ont cependant pas été signées et n’ont jamais quitté les bureaux de Gowlings. Par ailleurs, le champ de la date est resté vierge. L’avocat a demandé par la suite des instructions concernant la date à laquelle devaient prendre effet les démissions. Il n’en a reçu aucune. Plusieurs mois plus tard, M. Gariepy a demandé à M</w:t>
            </w:r>
            <w:r w:rsidRPr="00222D61">
              <w:rPr>
                <w:sz w:val="20"/>
                <w:vertAlign w:val="superscript"/>
                <w:lang w:val="fr-CA"/>
              </w:rPr>
              <w:t>e</w:t>
            </w:r>
            <w:r w:rsidRPr="00222D61">
              <w:rPr>
                <w:sz w:val="20"/>
                <w:lang w:val="fr-CA"/>
              </w:rPr>
              <w:t> Caroline, un avocat d’un autre cabinet, de préparer des lettres de démission uniquement pour le compte de M</w:t>
            </w:r>
            <w:r w:rsidRPr="00222D61">
              <w:rPr>
                <w:sz w:val="20"/>
                <w:vertAlign w:val="superscript"/>
                <w:lang w:val="fr-CA"/>
              </w:rPr>
              <w:t>me</w:t>
            </w:r>
            <w:r w:rsidRPr="00222D61">
              <w:rPr>
                <w:sz w:val="20"/>
                <w:lang w:val="fr-CA"/>
              </w:rPr>
              <w:t> Gariepy.</w:t>
            </w:r>
          </w:p>
          <w:p w:rsidR="00222D61" w:rsidRPr="00222D61" w:rsidRDefault="00222D61" w:rsidP="00222D61">
            <w:pPr>
              <w:jc w:val="both"/>
              <w:rPr>
                <w:sz w:val="20"/>
                <w:lang w:val="fr-CA"/>
              </w:rPr>
            </w:pPr>
          </w:p>
          <w:p w:rsidR="00222D61" w:rsidRPr="00222D61" w:rsidRDefault="00222D61" w:rsidP="00222D61">
            <w:pPr>
              <w:jc w:val="both"/>
              <w:rPr>
                <w:sz w:val="20"/>
                <w:lang w:val="fr-CA"/>
              </w:rPr>
            </w:pPr>
            <w:r w:rsidRPr="00222D61">
              <w:rPr>
                <w:sz w:val="20"/>
                <w:lang w:val="fr-CA"/>
              </w:rPr>
              <w:t xml:space="preserve">Entre 2000 et 2005, 105 Ltd. n’a pas versé ses retenues d’impôt sur la paie, ni celles d’AE, du RPC ou les montants de TPS retenus à la source. Le paragraphe 227.1(1) de la </w:t>
            </w:r>
            <w:r w:rsidRPr="00222D61">
              <w:rPr>
                <w:i/>
                <w:sz w:val="20"/>
                <w:lang w:val="fr-CA"/>
              </w:rPr>
              <w:t xml:space="preserve">Loi de l’impôt sur le revenu </w:t>
            </w:r>
            <w:r w:rsidRPr="00222D61">
              <w:rPr>
                <w:sz w:val="20"/>
                <w:lang w:val="fr-CA"/>
              </w:rPr>
              <w:t>prévoit que les administrateurs d’une société sont personnellement responsables du défaut de la société de verser les retenues à la source effectuées ainsi que des sommes non versées. Le ministre intimé a cotisé les demanderesses pour ces sommes et elles ont fait appel des cotisations. Selon le juge du procès, la préparation des projets de lettre de démission, conjuguée à la remise de vive voix, par les demanderesses, de leur démission à leurs époux, ont donné lieu à une démission effective. Il a conclu subsidiairement que, si les démissions n’étaient pas effectives, M</w:t>
            </w:r>
            <w:r w:rsidRPr="00222D61">
              <w:rPr>
                <w:sz w:val="20"/>
                <w:vertAlign w:val="superscript"/>
                <w:lang w:val="fr-CA"/>
              </w:rPr>
              <w:t>me</w:t>
            </w:r>
            <w:r w:rsidRPr="00222D61">
              <w:rPr>
                <w:sz w:val="20"/>
                <w:lang w:val="fr-CA"/>
              </w:rPr>
              <w:t> Chriss croyait raisonnablement avoir démissionné, mais que ce n’était pas le cas de M</w:t>
            </w:r>
            <w:r w:rsidRPr="00222D61">
              <w:rPr>
                <w:sz w:val="20"/>
                <w:vertAlign w:val="superscript"/>
                <w:lang w:val="fr-CA"/>
              </w:rPr>
              <w:t>me</w:t>
            </w:r>
            <w:r w:rsidRPr="00222D61">
              <w:rPr>
                <w:sz w:val="20"/>
                <w:lang w:val="fr-CA"/>
              </w:rPr>
              <w:t> Gariepy. Le juge du procès a rejeté l’argument selon lequel il était possible d’établir la défense de diligence raisonnable parce que les demanderesses avaient cédé les rênes de la société à M</w:t>
            </w:r>
            <w:r w:rsidRPr="00222D61">
              <w:rPr>
                <w:sz w:val="20"/>
                <w:vertAlign w:val="superscript"/>
                <w:lang w:val="fr-CA"/>
              </w:rPr>
              <w:t>e</w:t>
            </w:r>
            <w:r w:rsidRPr="00222D61">
              <w:rPr>
                <w:sz w:val="20"/>
                <w:lang w:val="fr-CA"/>
              </w:rPr>
              <w:t xml:space="preserve"> Caroline. La Cour d’appel est arrivée à la conclusion que le juge du procès avait commis des erreurs susceptibles de contrôle et elle a fait </w:t>
            </w:r>
            <w:proofErr w:type="gramStart"/>
            <w:r w:rsidRPr="00222D61">
              <w:rPr>
                <w:sz w:val="20"/>
                <w:lang w:val="fr-CA"/>
              </w:rPr>
              <w:t>droit</w:t>
            </w:r>
            <w:proofErr w:type="gramEnd"/>
            <w:r w:rsidRPr="00222D61">
              <w:rPr>
                <w:sz w:val="20"/>
                <w:lang w:val="fr-CA"/>
              </w:rPr>
              <w:t xml:space="preserve"> aux appels. </w:t>
            </w:r>
          </w:p>
          <w:p w:rsidR="00222D61" w:rsidRPr="00222D61" w:rsidRDefault="00222D61" w:rsidP="00222D61">
            <w:pPr>
              <w:jc w:val="both"/>
              <w:rPr>
                <w:sz w:val="20"/>
                <w:lang w:val="fr-CA"/>
              </w:rPr>
            </w:pPr>
          </w:p>
        </w:tc>
      </w:tr>
      <w:tr w:rsidR="00222D61" w:rsidRPr="00817781" w:rsidTr="00E95A6A">
        <w:tc>
          <w:tcPr>
            <w:tcW w:w="2427" w:type="pct"/>
            <w:gridSpan w:val="2"/>
          </w:tcPr>
          <w:p w:rsidR="00222D61" w:rsidRPr="00222D61" w:rsidRDefault="00222D61" w:rsidP="00222D61">
            <w:pPr>
              <w:jc w:val="both"/>
              <w:rPr>
                <w:sz w:val="20"/>
                <w:lang w:val="fr-CA"/>
              </w:rPr>
            </w:pPr>
            <w:r w:rsidRPr="00222D61">
              <w:rPr>
                <w:sz w:val="20"/>
                <w:lang w:val="fr-CA"/>
              </w:rPr>
              <w:lastRenderedPageBreak/>
              <w:t>19 août 2014</w:t>
            </w:r>
          </w:p>
          <w:p w:rsidR="00222D61" w:rsidRPr="00222D61" w:rsidRDefault="00222D61" w:rsidP="00222D61">
            <w:pPr>
              <w:jc w:val="both"/>
              <w:rPr>
                <w:sz w:val="20"/>
                <w:lang w:val="fr-CA"/>
              </w:rPr>
            </w:pPr>
            <w:r w:rsidRPr="00222D61">
              <w:rPr>
                <w:sz w:val="20"/>
                <w:lang w:val="fr-CA"/>
              </w:rPr>
              <w:t>Cour canadienne de l’impôt</w:t>
            </w:r>
          </w:p>
          <w:p w:rsidR="00222D61" w:rsidRPr="00222D61" w:rsidRDefault="00222D61" w:rsidP="00222D61">
            <w:pPr>
              <w:jc w:val="both"/>
              <w:rPr>
                <w:sz w:val="20"/>
                <w:lang w:val="fr-CA"/>
              </w:rPr>
            </w:pPr>
            <w:r w:rsidRPr="00222D61">
              <w:rPr>
                <w:sz w:val="20"/>
                <w:lang w:val="fr-CA"/>
              </w:rPr>
              <w:t>(Juge Boyle)</w:t>
            </w:r>
          </w:p>
          <w:p w:rsidR="00222D61" w:rsidRPr="00222D61" w:rsidRDefault="00817781" w:rsidP="00222D61">
            <w:pPr>
              <w:jc w:val="both"/>
              <w:rPr>
                <w:sz w:val="20"/>
              </w:rPr>
            </w:pPr>
            <w:hyperlink r:id="rId52" w:history="1">
              <w:r w:rsidR="00222D61" w:rsidRPr="00222D61">
                <w:rPr>
                  <w:rStyle w:val="Hyperlink"/>
                  <w:sz w:val="20"/>
                </w:rPr>
                <w:t>2014 CCI 254</w:t>
              </w:r>
            </w:hyperlink>
            <w:r w:rsidR="00222D61" w:rsidRPr="00222D61">
              <w:rPr>
                <w:sz w:val="20"/>
              </w:rPr>
              <w:t xml:space="preserve">; 2010-863(IT)G; </w:t>
            </w:r>
          </w:p>
          <w:p w:rsidR="00222D61" w:rsidRPr="00222D61" w:rsidRDefault="00222D61" w:rsidP="00222D61">
            <w:pPr>
              <w:jc w:val="both"/>
              <w:rPr>
                <w:sz w:val="20"/>
              </w:rPr>
            </w:pPr>
            <w:r w:rsidRPr="00222D61">
              <w:rPr>
                <w:sz w:val="20"/>
              </w:rPr>
              <w:t>2010-698(IT)G</w:t>
            </w:r>
          </w:p>
          <w:p w:rsidR="00222D61" w:rsidRPr="00222D61" w:rsidRDefault="00222D61" w:rsidP="00222D61">
            <w:pPr>
              <w:jc w:val="both"/>
              <w:rPr>
                <w:sz w:val="20"/>
              </w:rPr>
            </w:pPr>
          </w:p>
        </w:tc>
        <w:tc>
          <w:tcPr>
            <w:tcW w:w="243" w:type="pct"/>
          </w:tcPr>
          <w:p w:rsidR="00222D61" w:rsidRPr="00222D61" w:rsidRDefault="00222D61" w:rsidP="00222D61">
            <w:pPr>
              <w:jc w:val="both"/>
              <w:rPr>
                <w:sz w:val="20"/>
              </w:rPr>
            </w:pPr>
          </w:p>
        </w:tc>
        <w:tc>
          <w:tcPr>
            <w:tcW w:w="2330" w:type="pct"/>
          </w:tcPr>
          <w:p w:rsidR="00222D61" w:rsidRPr="00222D61" w:rsidRDefault="00222D61" w:rsidP="00222D61">
            <w:pPr>
              <w:jc w:val="both"/>
              <w:rPr>
                <w:sz w:val="20"/>
                <w:lang w:val="fr-CA"/>
              </w:rPr>
            </w:pPr>
            <w:r w:rsidRPr="00222D61">
              <w:rPr>
                <w:sz w:val="20"/>
                <w:lang w:val="fr-CA"/>
              </w:rPr>
              <w:t>Appel de la cotisation accueilli; affaire renvoyée au ministre du Revenu national pour réexamen et nouvelle cotisation</w:t>
            </w:r>
          </w:p>
        </w:tc>
      </w:tr>
      <w:tr w:rsidR="00222D61" w:rsidRPr="00817781" w:rsidTr="00E95A6A">
        <w:tc>
          <w:tcPr>
            <w:tcW w:w="2427" w:type="pct"/>
            <w:gridSpan w:val="2"/>
          </w:tcPr>
          <w:p w:rsidR="00222D61" w:rsidRPr="00222D61" w:rsidRDefault="00222D61" w:rsidP="00222D61">
            <w:pPr>
              <w:jc w:val="both"/>
              <w:rPr>
                <w:sz w:val="20"/>
                <w:lang w:val="fr-CA"/>
              </w:rPr>
            </w:pPr>
            <w:r w:rsidRPr="00222D61">
              <w:rPr>
                <w:sz w:val="20"/>
                <w:lang w:val="fr-CA"/>
              </w:rPr>
              <w:t>22 septembre 2016</w:t>
            </w:r>
          </w:p>
          <w:p w:rsidR="00222D61" w:rsidRPr="00222D61" w:rsidRDefault="00222D61" w:rsidP="00222D61">
            <w:pPr>
              <w:jc w:val="both"/>
              <w:rPr>
                <w:sz w:val="20"/>
                <w:lang w:val="fr-CA"/>
              </w:rPr>
            </w:pPr>
            <w:r w:rsidRPr="00222D61">
              <w:rPr>
                <w:sz w:val="20"/>
                <w:lang w:val="fr-CA"/>
              </w:rPr>
              <w:t>Cour d’appel fédérale</w:t>
            </w:r>
          </w:p>
          <w:p w:rsidR="00222D61" w:rsidRPr="00222D61" w:rsidRDefault="00222D61" w:rsidP="00222D61">
            <w:pPr>
              <w:jc w:val="both"/>
              <w:rPr>
                <w:sz w:val="20"/>
                <w:lang w:val="fr-CA"/>
              </w:rPr>
            </w:pPr>
            <w:r w:rsidRPr="00222D61">
              <w:rPr>
                <w:sz w:val="20"/>
                <w:lang w:val="fr-CA"/>
              </w:rPr>
              <w:t>(Juges Rennie, Stratas et Near)</w:t>
            </w:r>
          </w:p>
          <w:p w:rsidR="00222D61" w:rsidRPr="00222D61" w:rsidRDefault="00817781" w:rsidP="00222D61">
            <w:pPr>
              <w:jc w:val="both"/>
              <w:rPr>
                <w:sz w:val="20"/>
              </w:rPr>
            </w:pPr>
            <w:hyperlink r:id="rId53" w:history="1">
              <w:r w:rsidR="00222D61" w:rsidRPr="00222D61">
                <w:rPr>
                  <w:rStyle w:val="Hyperlink"/>
                  <w:sz w:val="20"/>
                </w:rPr>
                <w:t>2016 FCA 236</w:t>
              </w:r>
            </w:hyperlink>
            <w:r w:rsidR="00222D61" w:rsidRPr="00222D61">
              <w:rPr>
                <w:sz w:val="20"/>
              </w:rPr>
              <w:t>; A-137-15; A-138-15</w:t>
            </w:r>
          </w:p>
          <w:p w:rsidR="00222D61" w:rsidRPr="00222D61" w:rsidRDefault="00222D61" w:rsidP="00222D61">
            <w:pPr>
              <w:jc w:val="both"/>
              <w:rPr>
                <w:sz w:val="20"/>
              </w:rPr>
            </w:pPr>
          </w:p>
        </w:tc>
        <w:tc>
          <w:tcPr>
            <w:tcW w:w="243" w:type="pct"/>
          </w:tcPr>
          <w:p w:rsidR="00222D61" w:rsidRPr="00222D61" w:rsidRDefault="00222D61" w:rsidP="00222D61">
            <w:pPr>
              <w:jc w:val="both"/>
              <w:rPr>
                <w:sz w:val="20"/>
              </w:rPr>
            </w:pPr>
          </w:p>
        </w:tc>
        <w:tc>
          <w:tcPr>
            <w:tcW w:w="2330" w:type="pct"/>
          </w:tcPr>
          <w:p w:rsidR="00222D61" w:rsidRPr="00222D61" w:rsidRDefault="00222D61" w:rsidP="00222D61">
            <w:pPr>
              <w:jc w:val="both"/>
              <w:rPr>
                <w:sz w:val="20"/>
                <w:lang w:val="fr-CA"/>
              </w:rPr>
            </w:pPr>
            <w:r w:rsidRPr="00222D61">
              <w:rPr>
                <w:sz w:val="20"/>
                <w:lang w:val="fr-CA"/>
              </w:rPr>
              <w:t>Appels accueillis; annulation des jugements de la Cour de l’impôt; rétablissement des cotisations établies par le ministre</w:t>
            </w:r>
          </w:p>
          <w:p w:rsidR="00222D61" w:rsidRPr="00222D61" w:rsidRDefault="00222D61" w:rsidP="00222D61">
            <w:pPr>
              <w:jc w:val="both"/>
              <w:rPr>
                <w:sz w:val="20"/>
                <w:lang w:val="fr-CA"/>
              </w:rPr>
            </w:pPr>
          </w:p>
        </w:tc>
      </w:tr>
      <w:tr w:rsidR="00222D61" w:rsidRPr="00817781" w:rsidTr="00E95A6A">
        <w:tc>
          <w:tcPr>
            <w:tcW w:w="2427" w:type="pct"/>
            <w:gridSpan w:val="2"/>
          </w:tcPr>
          <w:p w:rsidR="00222D61" w:rsidRPr="00222D61" w:rsidRDefault="00222D61" w:rsidP="00222D61">
            <w:pPr>
              <w:jc w:val="both"/>
              <w:rPr>
                <w:sz w:val="20"/>
                <w:lang w:val="fr-CA"/>
              </w:rPr>
            </w:pPr>
            <w:r w:rsidRPr="00222D61">
              <w:rPr>
                <w:sz w:val="20"/>
                <w:lang w:val="fr-CA"/>
              </w:rPr>
              <w:t>21 novembre 2016</w:t>
            </w:r>
          </w:p>
          <w:p w:rsidR="00222D61" w:rsidRPr="00222D61" w:rsidRDefault="00222D61" w:rsidP="00222D61">
            <w:pPr>
              <w:jc w:val="both"/>
              <w:rPr>
                <w:sz w:val="20"/>
                <w:lang w:val="fr-CA"/>
              </w:rPr>
            </w:pPr>
            <w:r w:rsidRPr="00222D61">
              <w:rPr>
                <w:sz w:val="20"/>
                <w:lang w:val="fr-CA"/>
              </w:rPr>
              <w:t>Cour suprême du Canada</w:t>
            </w:r>
          </w:p>
        </w:tc>
        <w:tc>
          <w:tcPr>
            <w:tcW w:w="243" w:type="pct"/>
          </w:tcPr>
          <w:p w:rsidR="00222D61" w:rsidRPr="00222D61" w:rsidRDefault="00222D61" w:rsidP="00222D61">
            <w:pPr>
              <w:jc w:val="both"/>
              <w:rPr>
                <w:sz w:val="20"/>
                <w:lang w:val="fr-CA"/>
              </w:rPr>
            </w:pPr>
          </w:p>
        </w:tc>
        <w:tc>
          <w:tcPr>
            <w:tcW w:w="2330" w:type="pct"/>
          </w:tcPr>
          <w:p w:rsidR="00222D61" w:rsidRPr="00222D61" w:rsidRDefault="00222D61" w:rsidP="00222D61">
            <w:pPr>
              <w:jc w:val="both"/>
              <w:rPr>
                <w:sz w:val="20"/>
                <w:lang w:val="fr-CA"/>
              </w:rPr>
            </w:pPr>
            <w:r w:rsidRPr="00222D61">
              <w:rPr>
                <w:sz w:val="20"/>
                <w:lang w:val="fr-CA"/>
              </w:rPr>
              <w:t xml:space="preserve">Dépôt de la demande d’autorisation d’appel </w:t>
            </w:r>
          </w:p>
        </w:tc>
      </w:tr>
    </w:tbl>
    <w:p w:rsidR="00222D61" w:rsidRPr="00222D61" w:rsidRDefault="00222D61" w:rsidP="00222D61">
      <w:pPr>
        <w:jc w:val="both"/>
        <w:rPr>
          <w:sz w:val="20"/>
          <w:lang w:val="fr-CA"/>
        </w:rPr>
      </w:pPr>
    </w:p>
    <w:p w:rsidR="00222D61" w:rsidRPr="00222D61" w:rsidRDefault="00222D61" w:rsidP="00222D61">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22D61" w:rsidRPr="00222D61" w:rsidTr="00E95A6A">
        <w:tc>
          <w:tcPr>
            <w:tcW w:w="543" w:type="pct"/>
          </w:tcPr>
          <w:p w:rsidR="00222D61" w:rsidRPr="00222D61" w:rsidRDefault="00222D61" w:rsidP="00222D61">
            <w:pPr>
              <w:jc w:val="both"/>
              <w:rPr>
                <w:sz w:val="20"/>
              </w:rPr>
            </w:pPr>
            <w:r w:rsidRPr="00222D61">
              <w:rPr>
                <w:rStyle w:val="SCCFileNumberChar"/>
                <w:sz w:val="20"/>
                <w:szCs w:val="20"/>
              </w:rPr>
              <w:t>37388</w:t>
            </w:r>
          </w:p>
        </w:tc>
        <w:tc>
          <w:tcPr>
            <w:tcW w:w="4457" w:type="pct"/>
            <w:gridSpan w:val="3"/>
          </w:tcPr>
          <w:p w:rsidR="00222D61" w:rsidRPr="00222D61" w:rsidRDefault="00222D61" w:rsidP="00222D61">
            <w:pPr>
              <w:pStyle w:val="SCCLsocParty"/>
              <w:jc w:val="both"/>
              <w:rPr>
                <w:b/>
                <w:sz w:val="20"/>
                <w:szCs w:val="20"/>
                <w:lang w:val="en-US"/>
              </w:rPr>
            </w:pPr>
            <w:r w:rsidRPr="00222D61">
              <w:rPr>
                <w:b/>
                <w:sz w:val="20"/>
                <w:szCs w:val="20"/>
                <w:lang w:val="en-US"/>
              </w:rPr>
              <w:t xml:space="preserve">V.I. </w:t>
            </w:r>
            <w:proofErr w:type="spellStart"/>
            <w:r w:rsidRPr="00222D61">
              <w:rPr>
                <w:b/>
                <w:sz w:val="20"/>
                <w:szCs w:val="20"/>
                <w:lang w:val="en-US"/>
              </w:rPr>
              <w:t>Fabrikant</w:t>
            </w:r>
            <w:proofErr w:type="spellEnd"/>
            <w:r w:rsidRPr="00222D61">
              <w:rPr>
                <w:b/>
                <w:sz w:val="20"/>
                <w:szCs w:val="20"/>
                <w:lang w:val="en-US"/>
              </w:rPr>
              <w:t xml:space="preserve"> v. Her Majesty the Queen</w:t>
            </w:r>
          </w:p>
          <w:p w:rsidR="00222D61" w:rsidRPr="00222D61" w:rsidRDefault="00222D61" w:rsidP="00222D61">
            <w:pPr>
              <w:jc w:val="both"/>
              <w:rPr>
                <w:sz w:val="20"/>
              </w:rPr>
            </w:pPr>
            <w:r w:rsidRPr="00222D61">
              <w:rPr>
                <w:sz w:val="20"/>
              </w:rPr>
              <w:t>(FC) (Civil) (By Leave)</w:t>
            </w:r>
          </w:p>
        </w:tc>
      </w:tr>
      <w:tr w:rsidR="00222D61" w:rsidRPr="00222D61" w:rsidTr="00E95A6A">
        <w:tc>
          <w:tcPr>
            <w:tcW w:w="5000" w:type="pct"/>
            <w:gridSpan w:val="4"/>
          </w:tcPr>
          <w:p w:rsidR="00222D61" w:rsidRPr="00222D61" w:rsidRDefault="00222D61" w:rsidP="00222D61">
            <w:pPr>
              <w:jc w:val="both"/>
              <w:rPr>
                <w:sz w:val="20"/>
              </w:rPr>
            </w:pPr>
            <w:r w:rsidRPr="00222D61">
              <w:rPr>
                <w:rStyle w:val="normal0020tablechar"/>
                <w:sz w:val="20"/>
              </w:rPr>
              <w:t>Civil Procedure – Appeals – Courts – Federal Court – Filing fees – Whether the Applicant was denied equal access to the Courts.</w:t>
            </w:r>
          </w:p>
        </w:tc>
      </w:tr>
      <w:tr w:rsidR="00222D61" w:rsidRPr="00222D61" w:rsidTr="00E95A6A">
        <w:tc>
          <w:tcPr>
            <w:tcW w:w="5000" w:type="pct"/>
            <w:gridSpan w:val="4"/>
          </w:tcPr>
          <w:p w:rsidR="00222D61" w:rsidRPr="00222D61" w:rsidRDefault="00222D61" w:rsidP="00222D61">
            <w:pPr>
              <w:jc w:val="both"/>
              <w:rPr>
                <w:sz w:val="20"/>
              </w:rPr>
            </w:pPr>
          </w:p>
        </w:tc>
      </w:tr>
      <w:tr w:rsidR="00222D61" w:rsidRPr="00222D61" w:rsidTr="00B23DB6">
        <w:trPr>
          <w:trHeight w:val="729"/>
        </w:trPr>
        <w:tc>
          <w:tcPr>
            <w:tcW w:w="5000" w:type="pct"/>
            <w:gridSpan w:val="4"/>
          </w:tcPr>
          <w:p w:rsidR="00222D61" w:rsidRPr="00222D61" w:rsidRDefault="00222D61" w:rsidP="00222D61">
            <w:pPr>
              <w:jc w:val="both"/>
              <w:rPr>
                <w:sz w:val="20"/>
              </w:rPr>
            </w:pPr>
            <w:r w:rsidRPr="00222D61">
              <w:rPr>
                <w:sz w:val="20"/>
              </w:rPr>
              <w:t xml:space="preserve">The Applicant has been incarcerated in a federal penitentiary since 1992. In 2014, he requested either an unescorted or escorted temporary pass to visit his family. The Parole Board denied his request on February 26, 2015, on the basis that he represented an undue risk to society. On July 24, 2015, the Appeal Division confirmed the Board’s decision not to authorize such passes. The Applicant’s subsequent application for judicial review was dismissed by the Federal Court. On September 1, 2016, </w:t>
            </w:r>
            <w:proofErr w:type="spellStart"/>
            <w:r w:rsidRPr="00222D61">
              <w:rPr>
                <w:sz w:val="20"/>
              </w:rPr>
              <w:t>Stratas</w:t>
            </w:r>
            <w:proofErr w:type="spellEnd"/>
            <w:r w:rsidRPr="00222D61">
              <w:rPr>
                <w:sz w:val="20"/>
              </w:rPr>
              <w:t> J.A. refused his motion to waive fees for his intended notice of appeal.</w:t>
            </w:r>
          </w:p>
        </w:tc>
      </w:tr>
      <w:tr w:rsidR="00222D61" w:rsidRPr="00222D61" w:rsidTr="00E95A6A">
        <w:tc>
          <w:tcPr>
            <w:tcW w:w="5000" w:type="pct"/>
            <w:gridSpan w:val="4"/>
          </w:tcPr>
          <w:p w:rsidR="00222D61" w:rsidRPr="00222D61" w:rsidRDefault="00222D61" w:rsidP="00222D61">
            <w:pPr>
              <w:jc w:val="both"/>
              <w:rPr>
                <w:sz w:val="20"/>
              </w:rPr>
            </w:pPr>
          </w:p>
        </w:tc>
      </w:tr>
      <w:tr w:rsidR="00222D61" w:rsidRPr="00222D61" w:rsidTr="00E95A6A">
        <w:tc>
          <w:tcPr>
            <w:tcW w:w="2427" w:type="pct"/>
            <w:gridSpan w:val="2"/>
          </w:tcPr>
          <w:p w:rsidR="00222D61" w:rsidRPr="00222D61" w:rsidRDefault="00222D61" w:rsidP="00222D61">
            <w:pPr>
              <w:jc w:val="both"/>
              <w:rPr>
                <w:sz w:val="20"/>
              </w:rPr>
            </w:pPr>
            <w:r w:rsidRPr="00222D61">
              <w:rPr>
                <w:sz w:val="20"/>
              </w:rPr>
              <w:t>June 8, 2016</w:t>
            </w:r>
          </w:p>
          <w:p w:rsidR="00222D61" w:rsidRPr="00222D61" w:rsidRDefault="00222D61" w:rsidP="00222D61">
            <w:pPr>
              <w:jc w:val="both"/>
              <w:rPr>
                <w:sz w:val="20"/>
              </w:rPr>
            </w:pPr>
            <w:r w:rsidRPr="00222D61">
              <w:rPr>
                <w:sz w:val="20"/>
              </w:rPr>
              <w:t>Federal Court</w:t>
            </w:r>
          </w:p>
          <w:p w:rsidR="00222D61" w:rsidRPr="00222D61" w:rsidRDefault="00222D61" w:rsidP="00222D61">
            <w:pPr>
              <w:jc w:val="both"/>
              <w:rPr>
                <w:sz w:val="20"/>
              </w:rPr>
            </w:pPr>
            <w:r w:rsidRPr="00222D61">
              <w:rPr>
                <w:sz w:val="20"/>
              </w:rPr>
              <w:t>(Tremblay-Lamer F.C.J.)</w:t>
            </w:r>
          </w:p>
          <w:p w:rsidR="00222D61" w:rsidRPr="00222D61" w:rsidRDefault="00817781" w:rsidP="00222D61">
            <w:pPr>
              <w:jc w:val="both"/>
              <w:rPr>
                <w:sz w:val="20"/>
              </w:rPr>
            </w:pPr>
            <w:hyperlink r:id="rId54" w:history="1">
              <w:r w:rsidR="00222D61" w:rsidRPr="00222D61">
                <w:rPr>
                  <w:rStyle w:val="Hyperlink"/>
                  <w:sz w:val="20"/>
                </w:rPr>
                <w:t>2016 FC 638</w:t>
              </w:r>
            </w:hyperlink>
          </w:p>
        </w:tc>
        <w:tc>
          <w:tcPr>
            <w:tcW w:w="243" w:type="pct"/>
          </w:tcPr>
          <w:p w:rsidR="00222D61" w:rsidRPr="00222D61" w:rsidRDefault="00222D61" w:rsidP="00222D61">
            <w:pPr>
              <w:jc w:val="both"/>
              <w:rPr>
                <w:sz w:val="20"/>
              </w:rPr>
            </w:pPr>
          </w:p>
        </w:tc>
        <w:tc>
          <w:tcPr>
            <w:tcW w:w="2330" w:type="pct"/>
          </w:tcPr>
          <w:p w:rsidR="00222D61" w:rsidRPr="00222D61" w:rsidRDefault="00222D61" w:rsidP="00222D61">
            <w:pPr>
              <w:jc w:val="both"/>
              <w:rPr>
                <w:sz w:val="20"/>
              </w:rPr>
            </w:pPr>
            <w:r w:rsidRPr="00222D61">
              <w:rPr>
                <w:sz w:val="20"/>
              </w:rPr>
              <w:t>Application for judicial review of Parole Board Appeal Division’s denial of application for authorized unescorted or escorted temporary passes, dismissed.</w:t>
            </w:r>
          </w:p>
          <w:p w:rsidR="00222D61" w:rsidRPr="00222D61" w:rsidRDefault="00222D61" w:rsidP="00222D61">
            <w:pPr>
              <w:jc w:val="both"/>
              <w:rPr>
                <w:sz w:val="20"/>
              </w:rPr>
            </w:pPr>
          </w:p>
        </w:tc>
      </w:tr>
      <w:tr w:rsidR="00222D61" w:rsidRPr="00222D61" w:rsidTr="00E95A6A">
        <w:tc>
          <w:tcPr>
            <w:tcW w:w="2427" w:type="pct"/>
            <w:gridSpan w:val="2"/>
          </w:tcPr>
          <w:p w:rsidR="00222D61" w:rsidRPr="00222D61" w:rsidRDefault="00222D61" w:rsidP="00222D61">
            <w:pPr>
              <w:jc w:val="both"/>
              <w:rPr>
                <w:sz w:val="20"/>
              </w:rPr>
            </w:pPr>
            <w:r w:rsidRPr="00222D61">
              <w:rPr>
                <w:sz w:val="20"/>
              </w:rPr>
              <w:t>September 1, 2016</w:t>
            </w:r>
          </w:p>
          <w:p w:rsidR="00222D61" w:rsidRPr="00222D61" w:rsidRDefault="00222D61" w:rsidP="00222D61">
            <w:pPr>
              <w:jc w:val="both"/>
              <w:rPr>
                <w:sz w:val="20"/>
              </w:rPr>
            </w:pPr>
            <w:r w:rsidRPr="00222D61">
              <w:rPr>
                <w:sz w:val="20"/>
              </w:rPr>
              <w:lastRenderedPageBreak/>
              <w:t>Federal Court of Appeal</w:t>
            </w:r>
          </w:p>
          <w:p w:rsidR="00222D61" w:rsidRPr="00222D61" w:rsidRDefault="00222D61" w:rsidP="00222D61">
            <w:pPr>
              <w:jc w:val="both"/>
              <w:rPr>
                <w:sz w:val="20"/>
              </w:rPr>
            </w:pPr>
            <w:r w:rsidRPr="00222D61">
              <w:rPr>
                <w:sz w:val="20"/>
              </w:rPr>
              <w:t>(</w:t>
            </w:r>
            <w:proofErr w:type="spellStart"/>
            <w:r w:rsidRPr="00222D61">
              <w:rPr>
                <w:sz w:val="20"/>
              </w:rPr>
              <w:t>Stratas</w:t>
            </w:r>
            <w:proofErr w:type="spellEnd"/>
            <w:r w:rsidRPr="00222D61">
              <w:rPr>
                <w:sz w:val="20"/>
              </w:rPr>
              <w:t xml:space="preserve"> F.C.J.A.)</w:t>
            </w:r>
          </w:p>
          <w:p w:rsidR="00222D61" w:rsidRPr="00222D61" w:rsidRDefault="00222D61" w:rsidP="00222D61">
            <w:pPr>
              <w:jc w:val="both"/>
              <w:rPr>
                <w:sz w:val="20"/>
              </w:rPr>
            </w:pPr>
            <w:r w:rsidRPr="00222D61">
              <w:rPr>
                <w:sz w:val="20"/>
              </w:rPr>
              <w:t>(unreported)</w:t>
            </w:r>
          </w:p>
          <w:p w:rsidR="00222D61" w:rsidRPr="00222D61" w:rsidRDefault="00222D61" w:rsidP="00222D61">
            <w:pPr>
              <w:jc w:val="both"/>
              <w:rPr>
                <w:sz w:val="20"/>
              </w:rPr>
            </w:pPr>
          </w:p>
        </w:tc>
        <w:tc>
          <w:tcPr>
            <w:tcW w:w="243" w:type="pct"/>
          </w:tcPr>
          <w:p w:rsidR="00222D61" w:rsidRPr="00222D61" w:rsidRDefault="00222D61" w:rsidP="00222D61">
            <w:pPr>
              <w:jc w:val="both"/>
              <w:rPr>
                <w:sz w:val="20"/>
              </w:rPr>
            </w:pPr>
          </w:p>
        </w:tc>
        <w:tc>
          <w:tcPr>
            <w:tcW w:w="2330" w:type="pct"/>
          </w:tcPr>
          <w:p w:rsidR="00222D61" w:rsidRPr="00222D61" w:rsidRDefault="00222D61" w:rsidP="00222D61">
            <w:pPr>
              <w:jc w:val="both"/>
              <w:rPr>
                <w:sz w:val="20"/>
              </w:rPr>
            </w:pPr>
            <w:r w:rsidRPr="00222D61">
              <w:rPr>
                <w:sz w:val="20"/>
              </w:rPr>
              <w:t>Applicant’s motion for waiver of fees, dismissed.</w:t>
            </w:r>
          </w:p>
          <w:p w:rsidR="00222D61" w:rsidRPr="00222D61" w:rsidRDefault="00222D61" w:rsidP="00222D61">
            <w:pPr>
              <w:jc w:val="both"/>
              <w:rPr>
                <w:sz w:val="20"/>
              </w:rPr>
            </w:pPr>
          </w:p>
        </w:tc>
      </w:tr>
      <w:tr w:rsidR="00222D61" w:rsidRPr="00222D61" w:rsidTr="00E95A6A">
        <w:tc>
          <w:tcPr>
            <w:tcW w:w="2427" w:type="pct"/>
            <w:gridSpan w:val="2"/>
          </w:tcPr>
          <w:p w:rsidR="00222D61" w:rsidRPr="00222D61" w:rsidRDefault="00222D61" w:rsidP="00222D61">
            <w:pPr>
              <w:jc w:val="both"/>
              <w:rPr>
                <w:sz w:val="20"/>
              </w:rPr>
            </w:pPr>
            <w:r w:rsidRPr="00222D61">
              <w:rPr>
                <w:sz w:val="20"/>
              </w:rPr>
              <w:lastRenderedPageBreak/>
              <w:t>September 28, 2016</w:t>
            </w:r>
          </w:p>
          <w:p w:rsidR="00222D61" w:rsidRPr="00222D61" w:rsidRDefault="00222D61" w:rsidP="00222D61">
            <w:pPr>
              <w:jc w:val="both"/>
              <w:rPr>
                <w:sz w:val="20"/>
              </w:rPr>
            </w:pPr>
            <w:r w:rsidRPr="00222D61">
              <w:rPr>
                <w:sz w:val="20"/>
              </w:rPr>
              <w:t>Supreme Court of Canada</w:t>
            </w:r>
          </w:p>
        </w:tc>
        <w:tc>
          <w:tcPr>
            <w:tcW w:w="243" w:type="pct"/>
          </w:tcPr>
          <w:p w:rsidR="00222D61" w:rsidRPr="00222D61" w:rsidRDefault="00222D61" w:rsidP="00222D61">
            <w:pPr>
              <w:jc w:val="both"/>
              <w:rPr>
                <w:sz w:val="20"/>
              </w:rPr>
            </w:pPr>
          </w:p>
        </w:tc>
        <w:tc>
          <w:tcPr>
            <w:tcW w:w="2330" w:type="pct"/>
          </w:tcPr>
          <w:p w:rsidR="00222D61" w:rsidRPr="00222D61" w:rsidRDefault="00222D61" w:rsidP="00222D61">
            <w:pPr>
              <w:jc w:val="both"/>
              <w:rPr>
                <w:sz w:val="20"/>
              </w:rPr>
            </w:pPr>
            <w:r w:rsidRPr="00222D61">
              <w:rPr>
                <w:sz w:val="20"/>
              </w:rPr>
              <w:t>Application for leave to appeal filed</w:t>
            </w:r>
          </w:p>
          <w:p w:rsidR="00222D61" w:rsidRPr="00222D61" w:rsidRDefault="00222D61" w:rsidP="00222D61">
            <w:pPr>
              <w:jc w:val="both"/>
              <w:rPr>
                <w:sz w:val="20"/>
              </w:rPr>
            </w:pPr>
          </w:p>
        </w:tc>
      </w:tr>
    </w:tbl>
    <w:p w:rsidR="00222D61" w:rsidRDefault="00222D61" w:rsidP="00222D61">
      <w:pPr>
        <w:jc w:val="both"/>
        <w:rPr>
          <w:sz w:val="20"/>
        </w:rPr>
      </w:pPr>
    </w:p>
    <w:p w:rsidR="00222D61" w:rsidRPr="00222D61" w:rsidRDefault="00222D61" w:rsidP="00222D6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22D61" w:rsidRPr="00817781" w:rsidTr="00E95A6A">
        <w:tc>
          <w:tcPr>
            <w:tcW w:w="543" w:type="pct"/>
          </w:tcPr>
          <w:p w:rsidR="00222D61" w:rsidRPr="00222D61" w:rsidRDefault="00222D61" w:rsidP="00222D61">
            <w:pPr>
              <w:jc w:val="both"/>
              <w:rPr>
                <w:sz w:val="20"/>
              </w:rPr>
            </w:pPr>
            <w:r w:rsidRPr="00222D61">
              <w:rPr>
                <w:rStyle w:val="SCCFileNumberChar"/>
                <w:sz w:val="20"/>
                <w:szCs w:val="20"/>
              </w:rPr>
              <w:t>37388</w:t>
            </w:r>
          </w:p>
        </w:tc>
        <w:tc>
          <w:tcPr>
            <w:tcW w:w="4457" w:type="pct"/>
            <w:gridSpan w:val="3"/>
          </w:tcPr>
          <w:p w:rsidR="00222D61" w:rsidRPr="00222D61" w:rsidRDefault="00222D61" w:rsidP="00222D61">
            <w:pPr>
              <w:pStyle w:val="SCCLsocParty"/>
              <w:jc w:val="both"/>
              <w:rPr>
                <w:b/>
                <w:sz w:val="20"/>
                <w:szCs w:val="20"/>
              </w:rPr>
            </w:pPr>
            <w:r w:rsidRPr="00222D61">
              <w:rPr>
                <w:b/>
                <w:sz w:val="20"/>
                <w:szCs w:val="20"/>
              </w:rPr>
              <w:t xml:space="preserve">V.I. </w:t>
            </w:r>
            <w:proofErr w:type="spellStart"/>
            <w:r w:rsidRPr="00222D61">
              <w:rPr>
                <w:b/>
                <w:sz w:val="20"/>
                <w:szCs w:val="20"/>
              </w:rPr>
              <w:t>Fabrikant</w:t>
            </w:r>
            <w:proofErr w:type="spellEnd"/>
            <w:r w:rsidRPr="00222D61">
              <w:rPr>
                <w:b/>
                <w:sz w:val="20"/>
                <w:szCs w:val="20"/>
              </w:rPr>
              <w:t xml:space="preserve"> c. Sa Majesté la Reine</w:t>
            </w:r>
          </w:p>
          <w:p w:rsidR="00222D61" w:rsidRPr="00222D61" w:rsidRDefault="00222D61" w:rsidP="00222D61">
            <w:pPr>
              <w:jc w:val="both"/>
              <w:rPr>
                <w:sz w:val="20"/>
                <w:lang w:val="fr-CA"/>
              </w:rPr>
            </w:pPr>
            <w:r w:rsidRPr="00222D61">
              <w:rPr>
                <w:sz w:val="20"/>
                <w:lang w:val="fr-CA"/>
              </w:rPr>
              <w:t>(C.F.) (Civile) (Sur autorisation)</w:t>
            </w:r>
          </w:p>
        </w:tc>
      </w:tr>
      <w:tr w:rsidR="00222D61" w:rsidRPr="00817781" w:rsidTr="00E95A6A">
        <w:tc>
          <w:tcPr>
            <w:tcW w:w="5000" w:type="pct"/>
            <w:gridSpan w:val="4"/>
          </w:tcPr>
          <w:p w:rsidR="00222D61" w:rsidRPr="00222D61" w:rsidRDefault="00222D61" w:rsidP="00222D61">
            <w:pPr>
              <w:jc w:val="both"/>
              <w:rPr>
                <w:sz w:val="20"/>
                <w:lang w:val="fr-CA"/>
              </w:rPr>
            </w:pPr>
            <w:r w:rsidRPr="00222D61">
              <w:rPr>
                <w:rStyle w:val="normal0020tablechar"/>
                <w:sz w:val="20"/>
                <w:lang w:val="fr-CA"/>
              </w:rPr>
              <w:t>Procédure civile – Appels – Tribunaux – Cour fédérale – Frais de dépôt – Le demandeur s’est</w:t>
            </w:r>
            <w:r w:rsidRPr="00222D61">
              <w:rPr>
                <w:rStyle w:val="normal0020tablechar"/>
                <w:sz w:val="20"/>
                <w:lang w:val="fr-CA"/>
              </w:rPr>
              <w:noBreakHyphen/>
              <w:t>il vu refuser l’égalité d’accès aux tribunaux?</w:t>
            </w:r>
          </w:p>
        </w:tc>
      </w:tr>
      <w:tr w:rsidR="00222D61" w:rsidRPr="00817781" w:rsidTr="00E95A6A">
        <w:tc>
          <w:tcPr>
            <w:tcW w:w="5000" w:type="pct"/>
            <w:gridSpan w:val="4"/>
          </w:tcPr>
          <w:p w:rsidR="00222D61" w:rsidRPr="00222D61" w:rsidRDefault="00222D61" w:rsidP="00222D61">
            <w:pPr>
              <w:jc w:val="both"/>
              <w:rPr>
                <w:sz w:val="20"/>
                <w:lang w:val="fr-CA"/>
              </w:rPr>
            </w:pPr>
          </w:p>
        </w:tc>
      </w:tr>
      <w:tr w:rsidR="00222D61" w:rsidRPr="00817781" w:rsidTr="00B23DB6">
        <w:trPr>
          <w:trHeight w:val="729"/>
        </w:trPr>
        <w:tc>
          <w:tcPr>
            <w:tcW w:w="5000" w:type="pct"/>
            <w:gridSpan w:val="4"/>
          </w:tcPr>
          <w:p w:rsidR="00222D61" w:rsidRPr="00222D61" w:rsidRDefault="00222D61" w:rsidP="00222D61">
            <w:pPr>
              <w:jc w:val="both"/>
              <w:rPr>
                <w:sz w:val="20"/>
                <w:lang w:val="fr-CA"/>
              </w:rPr>
            </w:pPr>
            <w:r w:rsidRPr="00222D61">
              <w:rPr>
                <w:sz w:val="20"/>
                <w:lang w:val="fr-CA"/>
              </w:rPr>
              <w:t>Le demandeur est incarcéré dans un pénitencier fédéral depuis 1992. En 2014, il a demandé une permission de sortir sans escorte ou avec escorte afin de visiter sa famille. La Commission des libérations conditionnelles a rejeté sa demande le 26 février 2015 au motif qu’il présentait un risque inacceptable pour la société. Le 24 juillet 2015, la Section d’appel a confirmé la décision de la Commission de ne pas accorder ces permissions. La demande de contrôle judiciaire présentée subséquemment par le demandeur a été rejetée par la Cour fédérale. Le 1</w:t>
            </w:r>
            <w:r w:rsidRPr="00222D61">
              <w:rPr>
                <w:sz w:val="20"/>
                <w:vertAlign w:val="superscript"/>
                <w:lang w:val="fr-CA"/>
              </w:rPr>
              <w:t>er</w:t>
            </w:r>
            <w:r w:rsidRPr="00222D61">
              <w:rPr>
                <w:sz w:val="20"/>
                <w:lang w:val="fr-CA"/>
              </w:rPr>
              <w:t xml:space="preserve"> septembre 2016, le juge </w:t>
            </w:r>
            <w:proofErr w:type="spellStart"/>
            <w:r w:rsidRPr="00222D61">
              <w:rPr>
                <w:sz w:val="20"/>
                <w:lang w:val="fr-CA"/>
              </w:rPr>
              <w:t>Stratas</w:t>
            </w:r>
            <w:proofErr w:type="spellEnd"/>
            <w:r w:rsidRPr="00222D61">
              <w:rPr>
                <w:sz w:val="20"/>
                <w:lang w:val="fr-CA"/>
              </w:rPr>
              <w:t xml:space="preserve"> a rejeté la requête du demandeur visant à obtenir une dispense des droits exigibles pour le dépôt projeté d’un avis d’appel.</w:t>
            </w:r>
          </w:p>
        </w:tc>
      </w:tr>
      <w:tr w:rsidR="00222D61" w:rsidRPr="00817781" w:rsidTr="00E95A6A">
        <w:tc>
          <w:tcPr>
            <w:tcW w:w="5000" w:type="pct"/>
            <w:gridSpan w:val="4"/>
          </w:tcPr>
          <w:p w:rsidR="00222D61" w:rsidRPr="00222D61" w:rsidRDefault="00222D61" w:rsidP="00222D61">
            <w:pPr>
              <w:jc w:val="both"/>
              <w:rPr>
                <w:sz w:val="20"/>
                <w:lang w:val="fr-CA"/>
              </w:rPr>
            </w:pPr>
          </w:p>
        </w:tc>
      </w:tr>
      <w:tr w:rsidR="00222D61" w:rsidRPr="00222D61" w:rsidTr="00E95A6A">
        <w:tc>
          <w:tcPr>
            <w:tcW w:w="2427" w:type="pct"/>
            <w:gridSpan w:val="2"/>
          </w:tcPr>
          <w:p w:rsidR="00222D61" w:rsidRPr="00222D61" w:rsidRDefault="00222D61" w:rsidP="00222D61">
            <w:pPr>
              <w:jc w:val="both"/>
              <w:rPr>
                <w:sz w:val="20"/>
                <w:lang w:val="fr-CA"/>
              </w:rPr>
            </w:pPr>
            <w:r w:rsidRPr="00222D61">
              <w:rPr>
                <w:sz w:val="20"/>
                <w:lang w:val="fr-CA"/>
              </w:rPr>
              <w:t>8 juin 2016</w:t>
            </w:r>
          </w:p>
          <w:p w:rsidR="00222D61" w:rsidRPr="00222D61" w:rsidRDefault="00222D61" w:rsidP="00222D61">
            <w:pPr>
              <w:jc w:val="both"/>
              <w:rPr>
                <w:sz w:val="20"/>
                <w:lang w:val="fr-CA"/>
              </w:rPr>
            </w:pPr>
            <w:r w:rsidRPr="00222D61">
              <w:rPr>
                <w:sz w:val="20"/>
                <w:lang w:val="fr-CA"/>
              </w:rPr>
              <w:t>Cour fédérale</w:t>
            </w:r>
          </w:p>
          <w:p w:rsidR="00222D61" w:rsidRPr="00222D61" w:rsidRDefault="00222D61" w:rsidP="00222D61">
            <w:pPr>
              <w:jc w:val="both"/>
              <w:rPr>
                <w:sz w:val="20"/>
                <w:lang w:val="fr-CA"/>
              </w:rPr>
            </w:pPr>
            <w:r w:rsidRPr="00222D61">
              <w:rPr>
                <w:sz w:val="20"/>
                <w:lang w:val="fr-CA"/>
              </w:rPr>
              <w:t>(juge Tremblay-Lamer)</w:t>
            </w:r>
          </w:p>
          <w:p w:rsidR="00222D61" w:rsidRPr="00222D61" w:rsidRDefault="00817781" w:rsidP="00222D61">
            <w:pPr>
              <w:jc w:val="both"/>
              <w:rPr>
                <w:sz w:val="20"/>
                <w:lang w:val="fr-CA"/>
              </w:rPr>
            </w:pPr>
            <w:hyperlink r:id="rId55" w:history="1">
              <w:r w:rsidR="00222D61" w:rsidRPr="00222D61">
                <w:rPr>
                  <w:rStyle w:val="Hyperlink"/>
                  <w:sz w:val="20"/>
                  <w:lang w:val="fr-CA"/>
                </w:rPr>
                <w:t>2016 FC 638</w:t>
              </w:r>
            </w:hyperlink>
          </w:p>
        </w:tc>
        <w:tc>
          <w:tcPr>
            <w:tcW w:w="243" w:type="pct"/>
          </w:tcPr>
          <w:p w:rsidR="00222D61" w:rsidRPr="00222D61" w:rsidRDefault="00222D61" w:rsidP="00222D61">
            <w:pPr>
              <w:jc w:val="both"/>
              <w:rPr>
                <w:sz w:val="20"/>
                <w:lang w:val="fr-CA"/>
              </w:rPr>
            </w:pPr>
          </w:p>
        </w:tc>
        <w:tc>
          <w:tcPr>
            <w:tcW w:w="2330" w:type="pct"/>
          </w:tcPr>
          <w:p w:rsidR="00222D61" w:rsidRPr="00222D61" w:rsidRDefault="00222D61" w:rsidP="00222D61">
            <w:pPr>
              <w:jc w:val="both"/>
              <w:rPr>
                <w:sz w:val="20"/>
                <w:lang w:val="fr-CA"/>
              </w:rPr>
            </w:pPr>
            <w:r w:rsidRPr="00222D61">
              <w:rPr>
                <w:sz w:val="20"/>
                <w:lang w:val="fr-CA"/>
              </w:rPr>
              <w:t>Rejet de la demande de contrôle judiciaire visant le refus de la Section d’appel de la Commission des libérations conditionnelles d’accorder une permission de sortir sans escorte ou avec escorte.</w:t>
            </w:r>
          </w:p>
          <w:p w:rsidR="00222D61" w:rsidRPr="00222D61" w:rsidRDefault="00222D61" w:rsidP="00222D61">
            <w:pPr>
              <w:jc w:val="both"/>
              <w:rPr>
                <w:sz w:val="20"/>
                <w:lang w:val="fr-CA"/>
              </w:rPr>
            </w:pPr>
          </w:p>
        </w:tc>
      </w:tr>
      <w:tr w:rsidR="00222D61" w:rsidRPr="00222D61" w:rsidTr="00E95A6A">
        <w:tc>
          <w:tcPr>
            <w:tcW w:w="2427" w:type="pct"/>
            <w:gridSpan w:val="2"/>
          </w:tcPr>
          <w:p w:rsidR="00222D61" w:rsidRPr="00222D61" w:rsidRDefault="00222D61" w:rsidP="00222D61">
            <w:pPr>
              <w:jc w:val="both"/>
              <w:rPr>
                <w:sz w:val="20"/>
                <w:lang w:val="fr-CA"/>
              </w:rPr>
            </w:pPr>
            <w:r w:rsidRPr="00222D61">
              <w:rPr>
                <w:sz w:val="20"/>
                <w:lang w:val="fr-CA"/>
              </w:rPr>
              <w:t>1</w:t>
            </w:r>
            <w:r w:rsidRPr="00222D61">
              <w:rPr>
                <w:sz w:val="20"/>
                <w:vertAlign w:val="superscript"/>
                <w:lang w:val="fr-CA"/>
              </w:rPr>
              <w:t>er</w:t>
            </w:r>
            <w:r w:rsidRPr="00222D61">
              <w:rPr>
                <w:sz w:val="20"/>
                <w:lang w:val="fr-CA"/>
              </w:rPr>
              <w:t xml:space="preserve"> septembre 2016</w:t>
            </w:r>
          </w:p>
          <w:p w:rsidR="00222D61" w:rsidRPr="00222D61" w:rsidRDefault="00222D61" w:rsidP="00222D61">
            <w:pPr>
              <w:jc w:val="both"/>
              <w:rPr>
                <w:sz w:val="20"/>
                <w:lang w:val="fr-CA"/>
              </w:rPr>
            </w:pPr>
            <w:r w:rsidRPr="00222D61">
              <w:rPr>
                <w:sz w:val="20"/>
                <w:lang w:val="fr-CA"/>
              </w:rPr>
              <w:t>Cour d’appel fédérale</w:t>
            </w:r>
          </w:p>
          <w:p w:rsidR="00222D61" w:rsidRPr="00222D61" w:rsidRDefault="00222D61" w:rsidP="00222D61">
            <w:pPr>
              <w:jc w:val="both"/>
              <w:rPr>
                <w:sz w:val="20"/>
                <w:lang w:val="fr-CA"/>
              </w:rPr>
            </w:pPr>
            <w:r w:rsidRPr="00222D61">
              <w:rPr>
                <w:sz w:val="20"/>
                <w:lang w:val="fr-CA"/>
              </w:rPr>
              <w:t xml:space="preserve">(juge </w:t>
            </w:r>
            <w:proofErr w:type="spellStart"/>
            <w:r w:rsidRPr="00222D61">
              <w:rPr>
                <w:sz w:val="20"/>
                <w:lang w:val="fr-CA"/>
              </w:rPr>
              <w:t>Stratas</w:t>
            </w:r>
            <w:proofErr w:type="spellEnd"/>
            <w:r w:rsidRPr="00222D61">
              <w:rPr>
                <w:sz w:val="20"/>
                <w:lang w:val="fr-CA"/>
              </w:rPr>
              <w:t>)</w:t>
            </w:r>
          </w:p>
          <w:p w:rsidR="00222D61" w:rsidRPr="00222D61" w:rsidRDefault="00222D61" w:rsidP="00222D61">
            <w:pPr>
              <w:jc w:val="both"/>
              <w:rPr>
                <w:sz w:val="20"/>
              </w:rPr>
            </w:pPr>
            <w:r w:rsidRPr="00222D61">
              <w:rPr>
                <w:sz w:val="20"/>
              </w:rPr>
              <w:t xml:space="preserve">(non </w:t>
            </w:r>
            <w:proofErr w:type="spellStart"/>
            <w:r w:rsidRPr="00222D61">
              <w:rPr>
                <w:sz w:val="20"/>
              </w:rPr>
              <w:t>publiée</w:t>
            </w:r>
            <w:proofErr w:type="spellEnd"/>
            <w:r w:rsidRPr="00222D61">
              <w:rPr>
                <w:sz w:val="20"/>
              </w:rPr>
              <w:t>)</w:t>
            </w:r>
          </w:p>
          <w:p w:rsidR="00222D61" w:rsidRPr="00222D61" w:rsidRDefault="00222D61" w:rsidP="00222D61">
            <w:pPr>
              <w:jc w:val="both"/>
              <w:rPr>
                <w:sz w:val="20"/>
              </w:rPr>
            </w:pPr>
          </w:p>
        </w:tc>
        <w:tc>
          <w:tcPr>
            <w:tcW w:w="243" w:type="pct"/>
          </w:tcPr>
          <w:p w:rsidR="00222D61" w:rsidRPr="00222D61" w:rsidRDefault="00222D61" w:rsidP="00222D61">
            <w:pPr>
              <w:jc w:val="both"/>
              <w:rPr>
                <w:sz w:val="20"/>
              </w:rPr>
            </w:pPr>
          </w:p>
        </w:tc>
        <w:tc>
          <w:tcPr>
            <w:tcW w:w="2330" w:type="pct"/>
          </w:tcPr>
          <w:p w:rsidR="00222D61" w:rsidRPr="00222D61" w:rsidRDefault="00222D61" w:rsidP="00222D61">
            <w:pPr>
              <w:jc w:val="both"/>
              <w:rPr>
                <w:sz w:val="20"/>
                <w:lang w:val="fr-CA"/>
              </w:rPr>
            </w:pPr>
            <w:r w:rsidRPr="00222D61">
              <w:rPr>
                <w:sz w:val="20"/>
                <w:lang w:val="fr-CA"/>
              </w:rPr>
              <w:t>Rejet de la requête du demandeur visant l’obtention d’une dispense de droits.</w:t>
            </w:r>
          </w:p>
          <w:p w:rsidR="00222D61" w:rsidRPr="00222D61" w:rsidRDefault="00222D61" w:rsidP="00222D61">
            <w:pPr>
              <w:jc w:val="both"/>
              <w:rPr>
                <w:sz w:val="20"/>
                <w:lang w:val="fr-CA"/>
              </w:rPr>
            </w:pPr>
          </w:p>
        </w:tc>
      </w:tr>
      <w:tr w:rsidR="00222D61" w:rsidRPr="00222D61" w:rsidTr="00E95A6A">
        <w:tc>
          <w:tcPr>
            <w:tcW w:w="2427" w:type="pct"/>
            <w:gridSpan w:val="2"/>
          </w:tcPr>
          <w:p w:rsidR="00222D61" w:rsidRPr="00222D61" w:rsidRDefault="00222D61" w:rsidP="00222D61">
            <w:pPr>
              <w:jc w:val="both"/>
              <w:rPr>
                <w:sz w:val="20"/>
                <w:lang w:val="fr-CA"/>
              </w:rPr>
            </w:pPr>
            <w:r w:rsidRPr="00222D61">
              <w:rPr>
                <w:sz w:val="20"/>
                <w:lang w:val="fr-CA"/>
              </w:rPr>
              <w:t>28 septembre 2016</w:t>
            </w:r>
          </w:p>
          <w:p w:rsidR="00222D61" w:rsidRPr="00222D61" w:rsidRDefault="00222D61" w:rsidP="00222D61">
            <w:pPr>
              <w:jc w:val="both"/>
              <w:rPr>
                <w:sz w:val="20"/>
                <w:lang w:val="fr-CA"/>
              </w:rPr>
            </w:pPr>
            <w:r w:rsidRPr="00222D61">
              <w:rPr>
                <w:sz w:val="20"/>
                <w:lang w:val="fr-CA"/>
              </w:rPr>
              <w:t>Cour suprême du Canada</w:t>
            </w:r>
          </w:p>
        </w:tc>
        <w:tc>
          <w:tcPr>
            <w:tcW w:w="243" w:type="pct"/>
          </w:tcPr>
          <w:p w:rsidR="00222D61" w:rsidRPr="00222D61" w:rsidRDefault="00222D61" w:rsidP="00222D61">
            <w:pPr>
              <w:jc w:val="both"/>
              <w:rPr>
                <w:sz w:val="20"/>
                <w:lang w:val="fr-CA"/>
              </w:rPr>
            </w:pPr>
          </w:p>
        </w:tc>
        <w:tc>
          <w:tcPr>
            <w:tcW w:w="2330" w:type="pct"/>
          </w:tcPr>
          <w:p w:rsidR="00222D61" w:rsidRPr="00222D61" w:rsidRDefault="00222D61" w:rsidP="00222D61">
            <w:pPr>
              <w:jc w:val="both"/>
              <w:rPr>
                <w:sz w:val="20"/>
                <w:lang w:val="fr-CA"/>
              </w:rPr>
            </w:pPr>
            <w:r w:rsidRPr="00222D61">
              <w:rPr>
                <w:sz w:val="20"/>
                <w:lang w:val="fr-CA"/>
              </w:rPr>
              <w:t>Dépôt de la demande d’autorisation d’appel.</w:t>
            </w:r>
          </w:p>
          <w:p w:rsidR="00222D61" w:rsidRPr="00222D61" w:rsidRDefault="00222D61" w:rsidP="00222D61">
            <w:pPr>
              <w:jc w:val="both"/>
              <w:rPr>
                <w:sz w:val="20"/>
                <w:lang w:val="fr-CA"/>
              </w:rPr>
            </w:pPr>
          </w:p>
        </w:tc>
      </w:tr>
    </w:tbl>
    <w:p w:rsidR="00222D61" w:rsidRPr="00222D61" w:rsidRDefault="00222D61" w:rsidP="00531C3D">
      <w:pPr>
        <w:ind w:left="360" w:hanging="360"/>
        <w:jc w:val="both"/>
        <w:rPr>
          <w:sz w:val="20"/>
          <w:lang w:val="fr-CA" w:eastAsia="en-CA"/>
        </w:rPr>
      </w:pPr>
    </w:p>
    <w:p w:rsidR="00161E40" w:rsidRPr="00A95F70" w:rsidRDefault="00161E40" w:rsidP="00531C3D">
      <w:pPr>
        <w:ind w:left="360" w:hanging="360"/>
        <w:jc w:val="both"/>
        <w:rPr>
          <w:sz w:val="20"/>
          <w:lang w:val="fr-CA" w:eastAsia="en-CA"/>
        </w:rPr>
      </w:pPr>
    </w:p>
    <w:p w:rsidR="00D05D7C" w:rsidRPr="00A95F70" w:rsidRDefault="00D05D7C" w:rsidP="00CF234B">
      <w:pPr>
        <w:ind w:left="360" w:hanging="360"/>
        <w:rPr>
          <w:sz w:val="20"/>
          <w:lang w:val="fr-CA" w:eastAsia="en-CA"/>
        </w:rPr>
      </w:pPr>
    </w:p>
    <w:p w:rsidR="00D3344A" w:rsidRPr="00A95F70" w:rsidRDefault="00D3344A" w:rsidP="00D3344A">
      <w:pPr>
        <w:widowControl w:val="0"/>
        <w:outlineLvl w:val="0"/>
      </w:pPr>
      <w:r w:rsidRPr="00A95F70">
        <w:t>Supreme Court of Canada / Cour suprême du Canad</w:t>
      </w:r>
      <w:r w:rsidR="00EE289F" w:rsidRPr="00A95F70">
        <w:t>a</w:t>
      </w:r>
      <w:r w:rsidRPr="00A95F70">
        <w:t xml:space="preserve"> :</w:t>
      </w:r>
    </w:p>
    <w:p w:rsidR="00D3344A" w:rsidRPr="00A95F70" w:rsidRDefault="00817781" w:rsidP="00D3344A">
      <w:pPr>
        <w:widowControl w:val="0"/>
        <w:outlineLvl w:val="0"/>
        <w:rPr>
          <w:u w:val="single"/>
        </w:rPr>
      </w:pPr>
      <w:hyperlink r:id="rId56" w:history="1">
        <w:r w:rsidR="009B7391" w:rsidRPr="00A95F70">
          <w:rPr>
            <w:rStyle w:val="Hyperlink"/>
          </w:rPr>
          <w:t>comments-commentaires@scc-csc.ca</w:t>
        </w:r>
      </w:hyperlink>
    </w:p>
    <w:p w:rsidR="00D3344A" w:rsidRPr="00A95F70" w:rsidRDefault="0065588C" w:rsidP="00D3344A">
      <w:pPr>
        <w:widowControl w:val="0"/>
        <w:outlineLvl w:val="0"/>
      </w:pPr>
      <w:r w:rsidRPr="00A95F70">
        <w:t>613-</w:t>
      </w:r>
      <w:r w:rsidR="00D3344A" w:rsidRPr="00A95F70">
        <w:t>995-4330</w:t>
      </w:r>
    </w:p>
    <w:p w:rsidR="00497B5E" w:rsidRPr="00A95F70" w:rsidRDefault="00497B5E" w:rsidP="00497B5E">
      <w:pPr>
        <w:widowControl w:val="0"/>
        <w:rPr>
          <w:sz w:val="20"/>
        </w:rPr>
      </w:pPr>
    </w:p>
    <w:p w:rsidR="00F6251B" w:rsidRPr="006E558B" w:rsidRDefault="003F43E6" w:rsidP="00F6251B">
      <w:pPr>
        <w:pStyle w:val="Footer"/>
        <w:jc w:val="center"/>
      </w:pPr>
      <w:r w:rsidRPr="00A95F70">
        <w:t>- 30 -</w:t>
      </w:r>
    </w:p>
    <w:p w:rsidR="00F6251B" w:rsidRPr="006E558B" w:rsidRDefault="00F6251B" w:rsidP="00F6251B">
      <w:pPr>
        <w:pStyle w:val="Footer"/>
        <w:jc w:val="center"/>
      </w:pPr>
    </w:p>
    <w:sectPr w:rsidR="00F6251B" w:rsidRPr="006E558B" w:rsidSect="00524822">
      <w:headerReference w:type="even" r:id="rId57"/>
      <w:headerReference w:type="default" r:id="rId58"/>
      <w:footerReference w:type="even" r:id="rId59"/>
      <w:footerReference w:type="default" r:id="rId60"/>
      <w:headerReference w:type="first" r:id="rId61"/>
      <w:footerReference w:type="first" r:id="rId62"/>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172" w:rsidRDefault="00D46172" w:rsidP="0034178A">
      <w:r>
        <w:separator/>
      </w:r>
    </w:p>
  </w:endnote>
  <w:endnote w:type="continuationSeparator" w:id="0">
    <w:p w:rsidR="00D46172" w:rsidRDefault="00D4617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72" w:rsidRPr="009F77F0" w:rsidRDefault="00D46172"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172" w:rsidRDefault="00D46172" w:rsidP="0034178A">
      <w:r>
        <w:separator/>
      </w:r>
    </w:p>
  </w:footnote>
  <w:footnote w:type="continuationSeparator" w:id="0">
    <w:p w:rsidR="00D46172" w:rsidRDefault="00D4617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03931"/>
    <w:multiLevelType w:val="hybridMultilevel"/>
    <w:tmpl w:val="00F0406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12F97C66"/>
    <w:multiLevelType w:val="hybridMultilevel"/>
    <w:tmpl w:val="79703E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C2B6428"/>
    <w:multiLevelType w:val="hybridMultilevel"/>
    <w:tmpl w:val="2F5E6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5F2483"/>
    <w:multiLevelType w:val="hybridMultilevel"/>
    <w:tmpl w:val="C142B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1432BD"/>
    <w:multiLevelType w:val="hybridMultilevel"/>
    <w:tmpl w:val="93F47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B72556"/>
    <w:multiLevelType w:val="hybridMultilevel"/>
    <w:tmpl w:val="7DEEB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1215033"/>
    <w:multiLevelType w:val="hybridMultilevel"/>
    <w:tmpl w:val="DDF48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851381"/>
    <w:multiLevelType w:val="hybridMultilevel"/>
    <w:tmpl w:val="A0C64E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7466BFE"/>
    <w:multiLevelType w:val="hybridMultilevel"/>
    <w:tmpl w:val="A1386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416E9C"/>
    <w:multiLevelType w:val="hybridMultilevel"/>
    <w:tmpl w:val="6826D6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3CA4F50"/>
    <w:multiLevelType w:val="hybridMultilevel"/>
    <w:tmpl w:val="D9786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DD30DA"/>
    <w:multiLevelType w:val="hybridMultilevel"/>
    <w:tmpl w:val="7DEEB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8ED6E93"/>
    <w:multiLevelType w:val="hybridMultilevel"/>
    <w:tmpl w:val="74704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2434B3"/>
    <w:multiLevelType w:val="hybridMultilevel"/>
    <w:tmpl w:val="E27A0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11"/>
  </w:num>
  <w:num w:numId="5">
    <w:abstractNumId w:val="8"/>
  </w:num>
  <w:num w:numId="6">
    <w:abstractNumId w:val="4"/>
  </w:num>
  <w:num w:numId="7">
    <w:abstractNumId w:val="1"/>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9"/>
  </w:num>
  <w:num w:numId="12">
    <w:abstractNumId w:val="12"/>
  </w:num>
  <w:num w:numId="13">
    <w:abstractNumId w:val="10"/>
  </w:num>
  <w:num w:numId="1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476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46"/>
    <w:rsid w:val="000018E3"/>
    <w:rsid w:val="000026D6"/>
    <w:rsid w:val="00003072"/>
    <w:rsid w:val="00003A2D"/>
    <w:rsid w:val="00003D1C"/>
    <w:rsid w:val="00003FFB"/>
    <w:rsid w:val="000043C3"/>
    <w:rsid w:val="00006057"/>
    <w:rsid w:val="00006648"/>
    <w:rsid w:val="00006868"/>
    <w:rsid w:val="00010A38"/>
    <w:rsid w:val="000128A2"/>
    <w:rsid w:val="000136CC"/>
    <w:rsid w:val="0001374A"/>
    <w:rsid w:val="00014C19"/>
    <w:rsid w:val="00015958"/>
    <w:rsid w:val="000164DB"/>
    <w:rsid w:val="00016932"/>
    <w:rsid w:val="00016D65"/>
    <w:rsid w:val="00016D95"/>
    <w:rsid w:val="0001736B"/>
    <w:rsid w:val="00017D08"/>
    <w:rsid w:val="00020797"/>
    <w:rsid w:val="00020816"/>
    <w:rsid w:val="00020DAE"/>
    <w:rsid w:val="00021515"/>
    <w:rsid w:val="0002267C"/>
    <w:rsid w:val="00024962"/>
    <w:rsid w:val="000250B7"/>
    <w:rsid w:val="000276EE"/>
    <w:rsid w:val="000277E1"/>
    <w:rsid w:val="00032BD3"/>
    <w:rsid w:val="00032E02"/>
    <w:rsid w:val="00033257"/>
    <w:rsid w:val="00033935"/>
    <w:rsid w:val="00033D1E"/>
    <w:rsid w:val="00033D28"/>
    <w:rsid w:val="000343B3"/>
    <w:rsid w:val="0003496D"/>
    <w:rsid w:val="00034A7F"/>
    <w:rsid w:val="000352F8"/>
    <w:rsid w:val="00035790"/>
    <w:rsid w:val="000368C3"/>
    <w:rsid w:val="00040247"/>
    <w:rsid w:val="00041302"/>
    <w:rsid w:val="00041B58"/>
    <w:rsid w:val="00042069"/>
    <w:rsid w:val="00042390"/>
    <w:rsid w:val="0004298B"/>
    <w:rsid w:val="000437B4"/>
    <w:rsid w:val="00043FDE"/>
    <w:rsid w:val="000467DE"/>
    <w:rsid w:val="00046CB2"/>
    <w:rsid w:val="00047188"/>
    <w:rsid w:val="00047CD6"/>
    <w:rsid w:val="00051DE6"/>
    <w:rsid w:val="00054F8E"/>
    <w:rsid w:val="000577D9"/>
    <w:rsid w:val="000579A0"/>
    <w:rsid w:val="00060753"/>
    <w:rsid w:val="00060B62"/>
    <w:rsid w:val="00061283"/>
    <w:rsid w:val="000627A2"/>
    <w:rsid w:val="000629D7"/>
    <w:rsid w:val="0006325B"/>
    <w:rsid w:val="0006417A"/>
    <w:rsid w:val="00065F8F"/>
    <w:rsid w:val="0006649C"/>
    <w:rsid w:val="00066B80"/>
    <w:rsid w:val="00067F50"/>
    <w:rsid w:val="00070830"/>
    <w:rsid w:val="00074EB7"/>
    <w:rsid w:val="00077CCC"/>
    <w:rsid w:val="00077E16"/>
    <w:rsid w:val="000809B3"/>
    <w:rsid w:val="00080EAB"/>
    <w:rsid w:val="00081348"/>
    <w:rsid w:val="00081C6A"/>
    <w:rsid w:val="00082444"/>
    <w:rsid w:val="000825A5"/>
    <w:rsid w:val="00082885"/>
    <w:rsid w:val="00082D8D"/>
    <w:rsid w:val="00083162"/>
    <w:rsid w:val="0008327A"/>
    <w:rsid w:val="000841F9"/>
    <w:rsid w:val="000843DB"/>
    <w:rsid w:val="000845AF"/>
    <w:rsid w:val="00085D13"/>
    <w:rsid w:val="00086629"/>
    <w:rsid w:val="00087808"/>
    <w:rsid w:val="000879BA"/>
    <w:rsid w:val="00091FFC"/>
    <w:rsid w:val="00093693"/>
    <w:rsid w:val="00095627"/>
    <w:rsid w:val="00096BDC"/>
    <w:rsid w:val="000975EC"/>
    <w:rsid w:val="00097C55"/>
    <w:rsid w:val="000A0444"/>
    <w:rsid w:val="000A0472"/>
    <w:rsid w:val="000A152E"/>
    <w:rsid w:val="000A20B0"/>
    <w:rsid w:val="000A245A"/>
    <w:rsid w:val="000A4311"/>
    <w:rsid w:val="000A50F9"/>
    <w:rsid w:val="000A6C60"/>
    <w:rsid w:val="000A6F64"/>
    <w:rsid w:val="000A78FC"/>
    <w:rsid w:val="000A7C00"/>
    <w:rsid w:val="000B07FB"/>
    <w:rsid w:val="000B10DF"/>
    <w:rsid w:val="000B163F"/>
    <w:rsid w:val="000B46A2"/>
    <w:rsid w:val="000B6193"/>
    <w:rsid w:val="000B7258"/>
    <w:rsid w:val="000B754A"/>
    <w:rsid w:val="000B76DB"/>
    <w:rsid w:val="000B7CBE"/>
    <w:rsid w:val="000B7EF2"/>
    <w:rsid w:val="000C0262"/>
    <w:rsid w:val="000C02C5"/>
    <w:rsid w:val="000C0E20"/>
    <w:rsid w:val="000C164B"/>
    <w:rsid w:val="000C182C"/>
    <w:rsid w:val="000C18B8"/>
    <w:rsid w:val="000C236F"/>
    <w:rsid w:val="000C2CA7"/>
    <w:rsid w:val="000C3667"/>
    <w:rsid w:val="000C41A6"/>
    <w:rsid w:val="000C41C9"/>
    <w:rsid w:val="000C4781"/>
    <w:rsid w:val="000C4D58"/>
    <w:rsid w:val="000C572E"/>
    <w:rsid w:val="000C61C7"/>
    <w:rsid w:val="000C6AA2"/>
    <w:rsid w:val="000C6C97"/>
    <w:rsid w:val="000C7BD5"/>
    <w:rsid w:val="000D1DDF"/>
    <w:rsid w:val="000D262B"/>
    <w:rsid w:val="000D2F5C"/>
    <w:rsid w:val="000D3129"/>
    <w:rsid w:val="000D4BBF"/>
    <w:rsid w:val="000D6FB8"/>
    <w:rsid w:val="000E0D38"/>
    <w:rsid w:val="000E1AEC"/>
    <w:rsid w:val="000E1FB7"/>
    <w:rsid w:val="000E3195"/>
    <w:rsid w:val="000E35CD"/>
    <w:rsid w:val="000E4F1E"/>
    <w:rsid w:val="000E50F2"/>
    <w:rsid w:val="000E514D"/>
    <w:rsid w:val="000E51E9"/>
    <w:rsid w:val="000E5407"/>
    <w:rsid w:val="000E5979"/>
    <w:rsid w:val="000F0595"/>
    <w:rsid w:val="000F233F"/>
    <w:rsid w:val="000F3118"/>
    <w:rsid w:val="000F3522"/>
    <w:rsid w:val="000F4C35"/>
    <w:rsid w:val="000F525E"/>
    <w:rsid w:val="000F5511"/>
    <w:rsid w:val="000F6CBD"/>
    <w:rsid w:val="0010013D"/>
    <w:rsid w:val="00100C1C"/>
    <w:rsid w:val="00100CEE"/>
    <w:rsid w:val="001017D1"/>
    <w:rsid w:val="00101E4B"/>
    <w:rsid w:val="001029D6"/>
    <w:rsid w:val="00102F8F"/>
    <w:rsid w:val="001033B2"/>
    <w:rsid w:val="001043C6"/>
    <w:rsid w:val="00105612"/>
    <w:rsid w:val="001068F5"/>
    <w:rsid w:val="00107219"/>
    <w:rsid w:val="00107DAF"/>
    <w:rsid w:val="001101BB"/>
    <w:rsid w:val="00110FE1"/>
    <w:rsid w:val="0011219D"/>
    <w:rsid w:val="00113F0C"/>
    <w:rsid w:val="001147A4"/>
    <w:rsid w:val="00115CF1"/>
    <w:rsid w:val="001170C6"/>
    <w:rsid w:val="00117137"/>
    <w:rsid w:val="00117AF3"/>
    <w:rsid w:val="001200D6"/>
    <w:rsid w:val="00120360"/>
    <w:rsid w:val="0012068C"/>
    <w:rsid w:val="00120BC7"/>
    <w:rsid w:val="00120CA0"/>
    <w:rsid w:val="0012101A"/>
    <w:rsid w:val="0012202C"/>
    <w:rsid w:val="00122CE1"/>
    <w:rsid w:val="00123976"/>
    <w:rsid w:val="00124629"/>
    <w:rsid w:val="00124DEC"/>
    <w:rsid w:val="00124EFD"/>
    <w:rsid w:val="0012577E"/>
    <w:rsid w:val="001262EF"/>
    <w:rsid w:val="0013159F"/>
    <w:rsid w:val="00131EB1"/>
    <w:rsid w:val="00132635"/>
    <w:rsid w:val="00134190"/>
    <w:rsid w:val="001354E7"/>
    <w:rsid w:val="00135A54"/>
    <w:rsid w:val="00136710"/>
    <w:rsid w:val="001400A0"/>
    <w:rsid w:val="00140982"/>
    <w:rsid w:val="00141200"/>
    <w:rsid w:val="00141591"/>
    <w:rsid w:val="0014187A"/>
    <w:rsid w:val="00141FBC"/>
    <w:rsid w:val="0014243F"/>
    <w:rsid w:val="0014294E"/>
    <w:rsid w:val="00142C72"/>
    <w:rsid w:val="001432DF"/>
    <w:rsid w:val="00143447"/>
    <w:rsid w:val="00143519"/>
    <w:rsid w:val="00144111"/>
    <w:rsid w:val="00144A29"/>
    <w:rsid w:val="00147BE4"/>
    <w:rsid w:val="00147CDB"/>
    <w:rsid w:val="00147DE3"/>
    <w:rsid w:val="00150453"/>
    <w:rsid w:val="00150C10"/>
    <w:rsid w:val="00150D1B"/>
    <w:rsid w:val="00151336"/>
    <w:rsid w:val="00152366"/>
    <w:rsid w:val="00152EC0"/>
    <w:rsid w:val="00153B85"/>
    <w:rsid w:val="00155FD8"/>
    <w:rsid w:val="0015605D"/>
    <w:rsid w:val="001560EC"/>
    <w:rsid w:val="00156508"/>
    <w:rsid w:val="00157B04"/>
    <w:rsid w:val="00160866"/>
    <w:rsid w:val="00161774"/>
    <w:rsid w:val="00161E40"/>
    <w:rsid w:val="00161F83"/>
    <w:rsid w:val="00165EAA"/>
    <w:rsid w:val="001665EA"/>
    <w:rsid w:val="00167721"/>
    <w:rsid w:val="001708BE"/>
    <w:rsid w:val="0017098A"/>
    <w:rsid w:val="001716F7"/>
    <w:rsid w:val="001739C2"/>
    <w:rsid w:val="00173B3A"/>
    <w:rsid w:val="00174655"/>
    <w:rsid w:val="00174D90"/>
    <w:rsid w:val="00175977"/>
    <w:rsid w:val="0017656E"/>
    <w:rsid w:val="00176790"/>
    <w:rsid w:val="00176D8B"/>
    <w:rsid w:val="0017751F"/>
    <w:rsid w:val="00181375"/>
    <w:rsid w:val="001813C3"/>
    <w:rsid w:val="001819DA"/>
    <w:rsid w:val="00182693"/>
    <w:rsid w:val="001826A0"/>
    <w:rsid w:val="00182705"/>
    <w:rsid w:val="00182DFB"/>
    <w:rsid w:val="001838E0"/>
    <w:rsid w:val="00183A15"/>
    <w:rsid w:val="00185355"/>
    <w:rsid w:val="00185483"/>
    <w:rsid w:val="00185D52"/>
    <w:rsid w:val="001866BF"/>
    <w:rsid w:val="00186884"/>
    <w:rsid w:val="00187119"/>
    <w:rsid w:val="001878EB"/>
    <w:rsid w:val="0019000C"/>
    <w:rsid w:val="0019030D"/>
    <w:rsid w:val="0019092C"/>
    <w:rsid w:val="00190C7A"/>
    <w:rsid w:val="00190F7F"/>
    <w:rsid w:val="001939CB"/>
    <w:rsid w:val="00194559"/>
    <w:rsid w:val="001947C1"/>
    <w:rsid w:val="001948EC"/>
    <w:rsid w:val="00194F2A"/>
    <w:rsid w:val="0019508F"/>
    <w:rsid w:val="001953F2"/>
    <w:rsid w:val="0019547E"/>
    <w:rsid w:val="0019734C"/>
    <w:rsid w:val="001A0137"/>
    <w:rsid w:val="001A06DE"/>
    <w:rsid w:val="001A08FF"/>
    <w:rsid w:val="001A1AE7"/>
    <w:rsid w:val="001A2314"/>
    <w:rsid w:val="001A3100"/>
    <w:rsid w:val="001A3A22"/>
    <w:rsid w:val="001A3AA1"/>
    <w:rsid w:val="001A4109"/>
    <w:rsid w:val="001A4547"/>
    <w:rsid w:val="001A48FB"/>
    <w:rsid w:val="001A4C89"/>
    <w:rsid w:val="001A562F"/>
    <w:rsid w:val="001A646C"/>
    <w:rsid w:val="001B1019"/>
    <w:rsid w:val="001B2704"/>
    <w:rsid w:val="001B2F6B"/>
    <w:rsid w:val="001B3657"/>
    <w:rsid w:val="001B3EDD"/>
    <w:rsid w:val="001B43FF"/>
    <w:rsid w:val="001B4478"/>
    <w:rsid w:val="001B4569"/>
    <w:rsid w:val="001B4B99"/>
    <w:rsid w:val="001B5EB4"/>
    <w:rsid w:val="001B68D3"/>
    <w:rsid w:val="001B72AE"/>
    <w:rsid w:val="001B76EB"/>
    <w:rsid w:val="001B7B29"/>
    <w:rsid w:val="001C0C39"/>
    <w:rsid w:val="001C0E0C"/>
    <w:rsid w:val="001C2F21"/>
    <w:rsid w:val="001C321B"/>
    <w:rsid w:val="001C3C19"/>
    <w:rsid w:val="001C3ED4"/>
    <w:rsid w:val="001C5E6C"/>
    <w:rsid w:val="001C6B3A"/>
    <w:rsid w:val="001C7591"/>
    <w:rsid w:val="001D0423"/>
    <w:rsid w:val="001D1020"/>
    <w:rsid w:val="001D1E16"/>
    <w:rsid w:val="001D235D"/>
    <w:rsid w:val="001D2555"/>
    <w:rsid w:val="001D337C"/>
    <w:rsid w:val="001D380D"/>
    <w:rsid w:val="001D65C6"/>
    <w:rsid w:val="001E1EE3"/>
    <w:rsid w:val="001E3BCD"/>
    <w:rsid w:val="001E4E84"/>
    <w:rsid w:val="001E55D4"/>
    <w:rsid w:val="001E7B18"/>
    <w:rsid w:val="001F15CD"/>
    <w:rsid w:val="001F1F3F"/>
    <w:rsid w:val="001F27B1"/>
    <w:rsid w:val="001F2F00"/>
    <w:rsid w:val="001F348D"/>
    <w:rsid w:val="001F3AE7"/>
    <w:rsid w:val="001F47D0"/>
    <w:rsid w:val="001F5B11"/>
    <w:rsid w:val="001F7038"/>
    <w:rsid w:val="00200F31"/>
    <w:rsid w:val="00201B26"/>
    <w:rsid w:val="0020221F"/>
    <w:rsid w:val="00203AEA"/>
    <w:rsid w:val="00203D33"/>
    <w:rsid w:val="00205051"/>
    <w:rsid w:val="0020794A"/>
    <w:rsid w:val="00207A23"/>
    <w:rsid w:val="00207C7F"/>
    <w:rsid w:val="00210B48"/>
    <w:rsid w:val="00211174"/>
    <w:rsid w:val="0021175A"/>
    <w:rsid w:val="002120BD"/>
    <w:rsid w:val="00212962"/>
    <w:rsid w:val="00214F01"/>
    <w:rsid w:val="0021540E"/>
    <w:rsid w:val="00215C9A"/>
    <w:rsid w:val="002169FE"/>
    <w:rsid w:val="00216F58"/>
    <w:rsid w:val="00217135"/>
    <w:rsid w:val="0022132D"/>
    <w:rsid w:val="00221D16"/>
    <w:rsid w:val="00222064"/>
    <w:rsid w:val="00222CAE"/>
    <w:rsid w:val="00222D61"/>
    <w:rsid w:val="00223622"/>
    <w:rsid w:val="00223B83"/>
    <w:rsid w:val="00223DAB"/>
    <w:rsid w:val="00225A53"/>
    <w:rsid w:val="00225C88"/>
    <w:rsid w:val="002262C4"/>
    <w:rsid w:val="002264F4"/>
    <w:rsid w:val="00227A81"/>
    <w:rsid w:val="00231427"/>
    <w:rsid w:val="00231B27"/>
    <w:rsid w:val="00232934"/>
    <w:rsid w:val="00233057"/>
    <w:rsid w:val="00234A3D"/>
    <w:rsid w:val="00235ACB"/>
    <w:rsid w:val="00235DEC"/>
    <w:rsid w:val="00236B10"/>
    <w:rsid w:val="00236EEA"/>
    <w:rsid w:val="002372B2"/>
    <w:rsid w:val="002407C6"/>
    <w:rsid w:val="00240AF3"/>
    <w:rsid w:val="00241714"/>
    <w:rsid w:val="00243D06"/>
    <w:rsid w:val="00244CDD"/>
    <w:rsid w:val="00245302"/>
    <w:rsid w:val="00245D73"/>
    <w:rsid w:val="002460F2"/>
    <w:rsid w:val="002472FE"/>
    <w:rsid w:val="0025030E"/>
    <w:rsid w:val="00250F72"/>
    <w:rsid w:val="002514CA"/>
    <w:rsid w:val="00252FDB"/>
    <w:rsid w:val="00254AAA"/>
    <w:rsid w:val="00255E07"/>
    <w:rsid w:val="002567CD"/>
    <w:rsid w:val="00257287"/>
    <w:rsid w:val="00257322"/>
    <w:rsid w:val="002574ED"/>
    <w:rsid w:val="0025785E"/>
    <w:rsid w:val="00260B9A"/>
    <w:rsid w:val="002613AC"/>
    <w:rsid w:val="00261D3C"/>
    <w:rsid w:val="00262C42"/>
    <w:rsid w:val="0026349D"/>
    <w:rsid w:val="00266E0E"/>
    <w:rsid w:val="00266FD4"/>
    <w:rsid w:val="002671CC"/>
    <w:rsid w:val="002676FA"/>
    <w:rsid w:val="0027099E"/>
    <w:rsid w:val="002709E7"/>
    <w:rsid w:val="0027369C"/>
    <w:rsid w:val="00274B8F"/>
    <w:rsid w:val="00274D9D"/>
    <w:rsid w:val="00276C42"/>
    <w:rsid w:val="002775A0"/>
    <w:rsid w:val="0027764C"/>
    <w:rsid w:val="00280E55"/>
    <w:rsid w:val="00282FEC"/>
    <w:rsid w:val="00282FF3"/>
    <w:rsid w:val="0028364E"/>
    <w:rsid w:val="002848CB"/>
    <w:rsid w:val="00285776"/>
    <w:rsid w:val="002858BA"/>
    <w:rsid w:val="0028661B"/>
    <w:rsid w:val="0028686B"/>
    <w:rsid w:val="0029235D"/>
    <w:rsid w:val="00292574"/>
    <w:rsid w:val="0029396A"/>
    <w:rsid w:val="00293DE2"/>
    <w:rsid w:val="00296148"/>
    <w:rsid w:val="0029649C"/>
    <w:rsid w:val="0029771E"/>
    <w:rsid w:val="002A0621"/>
    <w:rsid w:val="002A07B1"/>
    <w:rsid w:val="002A17E0"/>
    <w:rsid w:val="002A21C3"/>
    <w:rsid w:val="002A4823"/>
    <w:rsid w:val="002A50D2"/>
    <w:rsid w:val="002A5245"/>
    <w:rsid w:val="002A55D1"/>
    <w:rsid w:val="002A5C41"/>
    <w:rsid w:val="002A5CF5"/>
    <w:rsid w:val="002A60FB"/>
    <w:rsid w:val="002A6EA4"/>
    <w:rsid w:val="002A7839"/>
    <w:rsid w:val="002A7B04"/>
    <w:rsid w:val="002A7E9D"/>
    <w:rsid w:val="002B0F51"/>
    <w:rsid w:val="002B15AC"/>
    <w:rsid w:val="002B19FB"/>
    <w:rsid w:val="002B36C3"/>
    <w:rsid w:val="002B532E"/>
    <w:rsid w:val="002B5525"/>
    <w:rsid w:val="002B5A2E"/>
    <w:rsid w:val="002B5A4B"/>
    <w:rsid w:val="002B61A8"/>
    <w:rsid w:val="002B678E"/>
    <w:rsid w:val="002C10D1"/>
    <w:rsid w:val="002C239C"/>
    <w:rsid w:val="002C3A5F"/>
    <w:rsid w:val="002C5754"/>
    <w:rsid w:val="002C6BF5"/>
    <w:rsid w:val="002D0C49"/>
    <w:rsid w:val="002D2333"/>
    <w:rsid w:val="002D2553"/>
    <w:rsid w:val="002D43A1"/>
    <w:rsid w:val="002D63D6"/>
    <w:rsid w:val="002D6680"/>
    <w:rsid w:val="002D6EFA"/>
    <w:rsid w:val="002E00CC"/>
    <w:rsid w:val="002E0473"/>
    <w:rsid w:val="002E1197"/>
    <w:rsid w:val="002E1AF1"/>
    <w:rsid w:val="002E24D4"/>
    <w:rsid w:val="002E2A27"/>
    <w:rsid w:val="002E3911"/>
    <w:rsid w:val="002E527B"/>
    <w:rsid w:val="002E5ACF"/>
    <w:rsid w:val="002F06D0"/>
    <w:rsid w:val="002F2CF2"/>
    <w:rsid w:val="002F369F"/>
    <w:rsid w:val="002F3830"/>
    <w:rsid w:val="002F38D7"/>
    <w:rsid w:val="002F4213"/>
    <w:rsid w:val="002F42D9"/>
    <w:rsid w:val="002F4929"/>
    <w:rsid w:val="002F5989"/>
    <w:rsid w:val="002F694D"/>
    <w:rsid w:val="002F73F4"/>
    <w:rsid w:val="002F7DD0"/>
    <w:rsid w:val="002F7DDE"/>
    <w:rsid w:val="002F7E97"/>
    <w:rsid w:val="003006A1"/>
    <w:rsid w:val="003012A2"/>
    <w:rsid w:val="003018B7"/>
    <w:rsid w:val="003020C6"/>
    <w:rsid w:val="00304ACA"/>
    <w:rsid w:val="003127F4"/>
    <w:rsid w:val="00313652"/>
    <w:rsid w:val="0031376D"/>
    <w:rsid w:val="003151B5"/>
    <w:rsid w:val="00315AF8"/>
    <w:rsid w:val="003175F3"/>
    <w:rsid w:val="00317835"/>
    <w:rsid w:val="00317A71"/>
    <w:rsid w:val="00317C72"/>
    <w:rsid w:val="003225D9"/>
    <w:rsid w:val="003235CC"/>
    <w:rsid w:val="00324EC4"/>
    <w:rsid w:val="00325668"/>
    <w:rsid w:val="00325823"/>
    <w:rsid w:val="00325E60"/>
    <w:rsid w:val="0032752E"/>
    <w:rsid w:val="0033097A"/>
    <w:rsid w:val="00330C51"/>
    <w:rsid w:val="00330DCC"/>
    <w:rsid w:val="003310D4"/>
    <w:rsid w:val="00331CFC"/>
    <w:rsid w:val="0033241A"/>
    <w:rsid w:val="00332627"/>
    <w:rsid w:val="00332E97"/>
    <w:rsid w:val="00332F1F"/>
    <w:rsid w:val="0033535C"/>
    <w:rsid w:val="0033625F"/>
    <w:rsid w:val="003362C9"/>
    <w:rsid w:val="003379DC"/>
    <w:rsid w:val="00340D7B"/>
    <w:rsid w:val="00341556"/>
    <w:rsid w:val="0034178A"/>
    <w:rsid w:val="003429E0"/>
    <w:rsid w:val="00343A3B"/>
    <w:rsid w:val="00343B7B"/>
    <w:rsid w:val="00343C1E"/>
    <w:rsid w:val="003441F0"/>
    <w:rsid w:val="00346127"/>
    <w:rsid w:val="00346B36"/>
    <w:rsid w:val="0034796D"/>
    <w:rsid w:val="003509E6"/>
    <w:rsid w:val="00351237"/>
    <w:rsid w:val="00351946"/>
    <w:rsid w:val="0035210E"/>
    <w:rsid w:val="003521FD"/>
    <w:rsid w:val="00352802"/>
    <w:rsid w:val="00353085"/>
    <w:rsid w:val="003535EF"/>
    <w:rsid w:val="003538EF"/>
    <w:rsid w:val="0035515E"/>
    <w:rsid w:val="00355868"/>
    <w:rsid w:val="00355E2C"/>
    <w:rsid w:val="003575B9"/>
    <w:rsid w:val="00357828"/>
    <w:rsid w:val="00357895"/>
    <w:rsid w:val="00357916"/>
    <w:rsid w:val="00357B15"/>
    <w:rsid w:val="00360B19"/>
    <w:rsid w:val="00360FCE"/>
    <w:rsid w:val="00362E82"/>
    <w:rsid w:val="00364001"/>
    <w:rsid w:val="00365B5F"/>
    <w:rsid w:val="00365DC3"/>
    <w:rsid w:val="0036633C"/>
    <w:rsid w:val="00366CA4"/>
    <w:rsid w:val="00366CC9"/>
    <w:rsid w:val="0036763E"/>
    <w:rsid w:val="00367C14"/>
    <w:rsid w:val="00367E02"/>
    <w:rsid w:val="0037013D"/>
    <w:rsid w:val="00370DA4"/>
    <w:rsid w:val="003710CD"/>
    <w:rsid w:val="00372E91"/>
    <w:rsid w:val="00372FAD"/>
    <w:rsid w:val="00372FD5"/>
    <w:rsid w:val="003739D8"/>
    <w:rsid w:val="00375433"/>
    <w:rsid w:val="0037552F"/>
    <w:rsid w:val="0037633B"/>
    <w:rsid w:val="00376958"/>
    <w:rsid w:val="00376C1A"/>
    <w:rsid w:val="0037769F"/>
    <w:rsid w:val="0037792A"/>
    <w:rsid w:val="00377C17"/>
    <w:rsid w:val="00377C46"/>
    <w:rsid w:val="003817A9"/>
    <w:rsid w:val="0038431A"/>
    <w:rsid w:val="0038547C"/>
    <w:rsid w:val="00385A88"/>
    <w:rsid w:val="00386E93"/>
    <w:rsid w:val="00387900"/>
    <w:rsid w:val="00387AF8"/>
    <w:rsid w:val="00390065"/>
    <w:rsid w:val="00390A1E"/>
    <w:rsid w:val="00393660"/>
    <w:rsid w:val="003940A4"/>
    <w:rsid w:val="003957B6"/>
    <w:rsid w:val="003958AE"/>
    <w:rsid w:val="00395D43"/>
    <w:rsid w:val="0039618A"/>
    <w:rsid w:val="0039624A"/>
    <w:rsid w:val="0039709D"/>
    <w:rsid w:val="00397213"/>
    <w:rsid w:val="003A00C9"/>
    <w:rsid w:val="003A0258"/>
    <w:rsid w:val="003A08CE"/>
    <w:rsid w:val="003A11C4"/>
    <w:rsid w:val="003A1F69"/>
    <w:rsid w:val="003A58BA"/>
    <w:rsid w:val="003B00B8"/>
    <w:rsid w:val="003B02EC"/>
    <w:rsid w:val="003B0718"/>
    <w:rsid w:val="003B1455"/>
    <w:rsid w:val="003B1639"/>
    <w:rsid w:val="003B196D"/>
    <w:rsid w:val="003B23AF"/>
    <w:rsid w:val="003B2AC6"/>
    <w:rsid w:val="003B2F30"/>
    <w:rsid w:val="003B3019"/>
    <w:rsid w:val="003B34C2"/>
    <w:rsid w:val="003B39D7"/>
    <w:rsid w:val="003B4B2E"/>
    <w:rsid w:val="003B61F0"/>
    <w:rsid w:val="003B64B3"/>
    <w:rsid w:val="003B693A"/>
    <w:rsid w:val="003B6E18"/>
    <w:rsid w:val="003B7053"/>
    <w:rsid w:val="003B7102"/>
    <w:rsid w:val="003B7EA2"/>
    <w:rsid w:val="003C0C25"/>
    <w:rsid w:val="003C2377"/>
    <w:rsid w:val="003C2BBD"/>
    <w:rsid w:val="003C2D62"/>
    <w:rsid w:val="003C3816"/>
    <w:rsid w:val="003C4234"/>
    <w:rsid w:val="003C5F5E"/>
    <w:rsid w:val="003C5FC2"/>
    <w:rsid w:val="003C6BB7"/>
    <w:rsid w:val="003C7603"/>
    <w:rsid w:val="003D0A88"/>
    <w:rsid w:val="003D19A0"/>
    <w:rsid w:val="003D27BD"/>
    <w:rsid w:val="003D353C"/>
    <w:rsid w:val="003D6472"/>
    <w:rsid w:val="003E19E7"/>
    <w:rsid w:val="003E29B3"/>
    <w:rsid w:val="003E36C0"/>
    <w:rsid w:val="003E3724"/>
    <w:rsid w:val="003E3957"/>
    <w:rsid w:val="003E5F4F"/>
    <w:rsid w:val="003E6A80"/>
    <w:rsid w:val="003E6EF7"/>
    <w:rsid w:val="003E7F59"/>
    <w:rsid w:val="003F0D8B"/>
    <w:rsid w:val="003F1E6F"/>
    <w:rsid w:val="003F1F9E"/>
    <w:rsid w:val="003F2A93"/>
    <w:rsid w:val="003F3BC1"/>
    <w:rsid w:val="003F43E6"/>
    <w:rsid w:val="003F4894"/>
    <w:rsid w:val="003F4DDB"/>
    <w:rsid w:val="003F704D"/>
    <w:rsid w:val="003F77FC"/>
    <w:rsid w:val="004000BE"/>
    <w:rsid w:val="004026BA"/>
    <w:rsid w:val="00403038"/>
    <w:rsid w:val="004030D5"/>
    <w:rsid w:val="0040388F"/>
    <w:rsid w:val="00406755"/>
    <w:rsid w:val="004069C5"/>
    <w:rsid w:val="0040709C"/>
    <w:rsid w:val="00407F30"/>
    <w:rsid w:val="004116DA"/>
    <w:rsid w:val="004117D6"/>
    <w:rsid w:val="00411834"/>
    <w:rsid w:val="00411963"/>
    <w:rsid w:val="00412A23"/>
    <w:rsid w:val="004149DA"/>
    <w:rsid w:val="00415755"/>
    <w:rsid w:val="004161DE"/>
    <w:rsid w:val="00416211"/>
    <w:rsid w:val="004167B1"/>
    <w:rsid w:val="0042035D"/>
    <w:rsid w:val="00420604"/>
    <w:rsid w:val="00420841"/>
    <w:rsid w:val="004226AA"/>
    <w:rsid w:val="00423732"/>
    <w:rsid w:val="0042396F"/>
    <w:rsid w:val="00423FCE"/>
    <w:rsid w:val="004259F9"/>
    <w:rsid w:val="00425B31"/>
    <w:rsid w:val="00425BAA"/>
    <w:rsid w:val="0042648D"/>
    <w:rsid w:val="00426957"/>
    <w:rsid w:val="00426976"/>
    <w:rsid w:val="00427722"/>
    <w:rsid w:val="00427F4F"/>
    <w:rsid w:val="00431731"/>
    <w:rsid w:val="00431779"/>
    <w:rsid w:val="00431A2A"/>
    <w:rsid w:val="00431CE6"/>
    <w:rsid w:val="00431F2E"/>
    <w:rsid w:val="00433C39"/>
    <w:rsid w:val="00433C3E"/>
    <w:rsid w:val="00433DA2"/>
    <w:rsid w:val="00434AC5"/>
    <w:rsid w:val="00437108"/>
    <w:rsid w:val="00437D2F"/>
    <w:rsid w:val="00440246"/>
    <w:rsid w:val="00441588"/>
    <w:rsid w:val="00441CF2"/>
    <w:rsid w:val="00443B1B"/>
    <w:rsid w:val="00444072"/>
    <w:rsid w:val="00444204"/>
    <w:rsid w:val="00446A46"/>
    <w:rsid w:val="00446BAE"/>
    <w:rsid w:val="004473E9"/>
    <w:rsid w:val="0045044A"/>
    <w:rsid w:val="004504BB"/>
    <w:rsid w:val="004511AB"/>
    <w:rsid w:val="004511FA"/>
    <w:rsid w:val="004514DB"/>
    <w:rsid w:val="0045235F"/>
    <w:rsid w:val="004533F1"/>
    <w:rsid w:val="00453797"/>
    <w:rsid w:val="00453ABE"/>
    <w:rsid w:val="004542A8"/>
    <w:rsid w:val="004576E8"/>
    <w:rsid w:val="00457CEE"/>
    <w:rsid w:val="00460794"/>
    <w:rsid w:val="00461DF1"/>
    <w:rsid w:val="00463731"/>
    <w:rsid w:val="00463A9F"/>
    <w:rsid w:val="00463CEF"/>
    <w:rsid w:val="00463DEF"/>
    <w:rsid w:val="00464FEE"/>
    <w:rsid w:val="004672B7"/>
    <w:rsid w:val="00467391"/>
    <w:rsid w:val="004706A0"/>
    <w:rsid w:val="00472190"/>
    <w:rsid w:val="004724BF"/>
    <w:rsid w:val="00472695"/>
    <w:rsid w:val="004729E0"/>
    <w:rsid w:val="00473E9C"/>
    <w:rsid w:val="004744D7"/>
    <w:rsid w:val="00474AAA"/>
    <w:rsid w:val="00474BF7"/>
    <w:rsid w:val="00474D9B"/>
    <w:rsid w:val="00475E1A"/>
    <w:rsid w:val="004762ED"/>
    <w:rsid w:val="00477469"/>
    <w:rsid w:val="004774B6"/>
    <w:rsid w:val="004775E8"/>
    <w:rsid w:val="00481888"/>
    <w:rsid w:val="00482BE4"/>
    <w:rsid w:val="0048370B"/>
    <w:rsid w:val="00486750"/>
    <w:rsid w:val="00487EBC"/>
    <w:rsid w:val="00490DDC"/>
    <w:rsid w:val="00491D56"/>
    <w:rsid w:val="00491D60"/>
    <w:rsid w:val="00494CD1"/>
    <w:rsid w:val="004957BA"/>
    <w:rsid w:val="0049590A"/>
    <w:rsid w:val="00495CE9"/>
    <w:rsid w:val="004962C7"/>
    <w:rsid w:val="004963CC"/>
    <w:rsid w:val="004970C9"/>
    <w:rsid w:val="00497574"/>
    <w:rsid w:val="004978DC"/>
    <w:rsid w:val="00497B5E"/>
    <w:rsid w:val="004A0C7E"/>
    <w:rsid w:val="004A224A"/>
    <w:rsid w:val="004A28DD"/>
    <w:rsid w:val="004A3074"/>
    <w:rsid w:val="004A570E"/>
    <w:rsid w:val="004A59B2"/>
    <w:rsid w:val="004A7CEC"/>
    <w:rsid w:val="004B06E1"/>
    <w:rsid w:val="004B129A"/>
    <w:rsid w:val="004B24F7"/>
    <w:rsid w:val="004B26C7"/>
    <w:rsid w:val="004B31C7"/>
    <w:rsid w:val="004B4BDC"/>
    <w:rsid w:val="004B4D42"/>
    <w:rsid w:val="004B4E10"/>
    <w:rsid w:val="004B612C"/>
    <w:rsid w:val="004B7E3E"/>
    <w:rsid w:val="004C0544"/>
    <w:rsid w:val="004C07ED"/>
    <w:rsid w:val="004C228F"/>
    <w:rsid w:val="004C2585"/>
    <w:rsid w:val="004C279B"/>
    <w:rsid w:val="004C281D"/>
    <w:rsid w:val="004C2E9D"/>
    <w:rsid w:val="004C4513"/>
    <w:rsid w:val="004C4BEC"/>
    <w:rsid w:val="004C5A9B"/>
    <w:rsid w:val="004C7663"/>
    <w:rsid w:val="004C7FC6"/>
    <w:rsid w:val="004D055D"/>
    <w:rsid w:val="004D25B5"/>
    <w:rsid w:val="004D47B9"/>
    <w:rsid w:val="004D49C8"/>
    <w:rsid w:val="004D5428"/>
    <w:rsid w:val="004D5D5C"/>
    <w:rsid w:val="004D6E67"/>
    <w:rsid w:val="004E00B4"/>
    <w:rsid w:val="004E0963"/>
    <w:rsid w:val="004E0B2F"/>
    <w:rsid w:val="004E1B3F"/>
    <w:rsid w:val="004E2A8E"/>
    <w:rsid w:val="004E458C"/>
    <w:rsid w:val="004E714B"/>
    <w:rsid w:val="004F000D"/>
    <w:rsid w:val="004F0EC9"/>
    <w:rsid w:val="004F27DD"/>
    <w:rsid w:val="004F40AB"/>
    <w:rsid w:val="004F47F7"/>
    <w:rsid w:val="004F7CCB"/>
    <w:rsid w:val="0050050B"/>
    <w:rsid w:val="0050132A"/>
    <w:rsid w:val="00502F3E"/>
    <w:rsid w:val="00503196"/>
    <w:rsid w:val="00503967"/>
    <w:rsid w:val="00503ADE"/>
    <w:rsid w:val="00504706"/>
    <w:rsid w:val="00504E60"/>
    <w:rsid w:val="0050553B"/>
    <w:rsid w:val="0050674F"/>
    <w:rsid w:val="00506A2E"/>
    <w:rsid w:val="00510478"/>
    <w:rsid w:val="00510BE0"/>
    <w:rsid w:val="00510C5C"/>
    <w:rsid w:val="00511E62"/>
    <w:rsid w:val="00517906"/>
    <w:rsid w:val="005208AC"/>
    <w:rsid w:val="00520B14"/>
    <w:rsid w:val="005219BF"/>
    <w:rsid w:val="00521DC2"/>
    <w:rsid w:val="00521EFA"/>
    <w:rsid w:val="0052230A"/>
    <w:rsid w:val="00523237"/>
    <w:rsid w:val="00523A16"/>
    <w:rsid w:val="00523D2D"/>
    <w:rsid w:val="00524432"/>
    <w:rsid w:val="00524822"/>
    <w:rsid w:val="005256BB"/>
    <w:rsid w:val="005256DB"/>
    <w:rsid w:val="00525AC4"/>
    <w:rsid w:val="00525B79"/>
    <w:rsid w:val="005264A5"/>
    <w:rsid w:val="00526D01"/>
    <w:rsid w:val="00531932"/>
    <w:rsid w:val="00531C3D"/>
    <w:rsid w:val="00532EB0"/>
    <w:rsid w:val="005336CE"/>
    <w:rsid w:val="00533CD5"/>
    <w:rsid w:val="00534621"/>
    <w:rsid w:val="00534871"/>
    <w:rsid w:val="00535069"/>
    <w:rsid w:val="00535A60"/>
    <w:rsid w:val="005368AB"/>
    <w:rsid w:val="005372AF"/>
    <w:rsid w:val="00540D5C"/>
    <w:rsid w:val="00541971"/>
    <w:rsid w:val="00541FF9"/>
    <w:rsid w:val="00544481"/>
    <w:rsid w:val="0054689F"/>
    <w:rsid w:val="00546DAD"/>
    <w:rsid w:val="0055024A"/>
    <w:rsid w:val="00550D90"/>
    <w:rsid w:val="0055248D"/>
    <w:rsid w:val="005538CF"/>
    <w:rsid w:val="005542A1"/>
    <w:rsid w:val="005549AB"/>
    <w:rsid w:val="005557FE"/>
    <w:rsid w:val="00555A0C"/>
    <w:rsid w:val="00555A17"/>
    <w:rsid w:val="00555EC7"/>
    <w:rsid w:val="00557DCC"/>
    <w:rsid w:val="00561169"/>
    <w:rsid w:val="005617DA"/>
    <w:rsid w:val="00561B18"/>
    <w:rsid w:val="005624E0"/>
    <w:rsid w:val="0056339B"/>
    <w:rsid w:val="00563DF3"/>
    <w:rsid w:val="0056580C"/>
    <w:rsid w:val="00565B20"/>
    <w:rsid w:val="00566C79"/>
    <w:rsid w:val="00570169"/>
    <w:rsid w:val="00571FF4"/>
    <w:rsid w:val="005748A1"/>
    <w:rsid w:val="005757C3"/>
    <w:rsid w:val="005809B5"/>
    <w:rsid w:val="005812EF"/>
    <w:rsid w:val="00582010"/>
    <w:rsid w:val="0058254B"/>
    <w:rsid w:val="0058351E"/>
    <w:rsid w:val="005858C5"/>
    <w:rsid w:val="00587914"/>
    <w:rsid w:val="0059181C"/>
    <w:rsid w:val="005925EC"/>
    <w:rsid w:val="0059611F"/>
    <w:rsid w:val="005964F5"/>
    <w:rsid w:val="00597224"/>
    <w:rsid w:val="005A0727"/>
    <w:rsid w:val="005A1B7D"/>
    <w:rsid w:val="005A3592"/>
    <w:rsid w:val="005A4082"/>
    <w:rsid w:val="005A46DD"/>
    <w:rsid w:val="005A64FE"/>
    <w:rsid w:val="005B0AAB"/>
    <w:rsid w:val="005B3F91"/>
    <w:rsid w:val="005B4EB8"/>
    <w:rsid w:val="005B5497"/>
    <w:rsid w:val="005B5790"/>
    <w:rsid w:val="005B5E9D"/>
    <w:rsid w:val="005B66C5"/>
    <w:rsid w:val="005B6F1B"/>
    <w:rsid w:val="005B711B"/>
    <w:rsid w:val="005C1453"/>
    <w:rsid w:val="005C196C"/>
    <w:rsid w:val="005C1C71"/>
    <w:rsid w:val="005C2CA2"/>
    <w:rsid w:val="005C3064"/>
    <w:rsid w:val="005C3191"/>
    <w:rsid w:val="005C3C86"/>
    <w:rsid w:val="005C4651"/>
    <w:rsid w:val="005C725E"/>
    <w:rsid w:val="005C7653"/>
    <w:rsid w:val="005C7BBF"/>
    <w:rsid w:val="005D019B"/>
    <w:rsid w:val="005D22E9"/>
    <w:rsid w:val="005D3069"/>
    <w:rsid w:val="005D370F"/>
    <w:rsid w:val="005D3730"/>
    <w:rsid w:val="005D3BD1"/>
    <w:rsid w:val="005D5D26"/>
    <w:rsid w:val="005D5EBA"/>
    <w:rsid w:val="005E0B86"/>
    <w:rsid w:val="005E2F89"/>
    <w:rsid w:val="005E374E"/>
    <w:rsid w:val="005E4545"/>
    <w:rsid w:val="005E4A75"/>
    <w:rsid w:val="005E4E13"/>
    <w:rsid w:val="005E5020"/>
    <w:rsid w:val="005E5616"/>
    <w:rsid w:val="005E5730"/>
    <w:rsid w:val="005E73A1"/>
    <w:rsid w:val="005E7458"/>
    <w:rsid w:val="005E76FD"/>
    <w:rsid w:val="005F0547"/>
    <w:rsid w:val="005F19C6"/>
    <w:rsid w:val="005F4197"/>
    <w:rsid w:val="005F4B38"/>
    <w:rsid w:val="005F4C67"/>
    <w:rsid w:val="005F5163"/>
    <w:rsid w:val="005F52C6"/>
    <w:rsid w:val="005F541C"/>
    <w:rsid w:val="006055FE"/>
    <w:rsid w:val="006067DB"/>
    <w:rsid w:val="006073F9"/>
    <w:rsid w:val="00607F86"/>
    <w:rsid w:val="0061009A"/>
    <w:rsid w:val="00610BC0"/>
    <w:rsid w:val="006114ED"/>
    <w:rsid w:val="0061157C"/>
    <w:rsid w:val="0061282A"/>
    <w:rsid w:val="006131E5"/>
    <w:rsid w:val="006132AE"/>
    <w:rsid w:val="00615427"/>
    <w:rsid w:val="006167B8"/>
    <w:rsid w:val="00617C22"/>
    <w:rsid w:val="00620D7C"/>
    <w:rsid w:val="00621A6D"/>
    <w:rsid w:val="00621DB3"/>
    <w:rsid w:val="00621F03"/>
    <w:rsid w:val="0062265E"/>
    <w:rsid w:val="00622F11"/>
    <w:rsid w:val="00623213"/>
    <w:rsid w:val="006246E4"/>
    <w:rsid w:val="006251DE"/>
    <w:rsid w:val="006254EE"/>
    <w:rsid w:val="00625B63"/>
    <w:rsid w:val="00627517"/>
    <w:rsid w:val="00630B1A"/>
    <w:rsid w:val="00632281"/>
    <w:rsid w:val="006327BE"/>
    <w:rsid w:val="00632A4A"/>
    <w:rsid w:val="00634573"/>
    <w:rsid w:val="00635A24"/>
    <w:rsid w:val="00635DDF"/>
    <w:rsid w:val="00636ADD"/>
    <w:rsid w:val="00640221"/>
    <w:rsid w:val="006406E5"/>
    <w:rsid w:val="00640B24"/>
    <w:rsid w:val="0064110A"/>
    <w:rsid w:val="006417BC"/>
    <w:rsid w:val="00641C9C"/>
    <w:rsid w:val="00641EE6"/>
    <w:rsid w:val="00642EB3"/>
    <w:rsid w:val="006441AD"/>
    <w:rsid w:val="006442C8"/>
    <w:rsid w:val="0064476C"/>
    <w:rsid w:val="00646E32"/>
    <w:rsid w:val="00647687"/>
    <w:rsid w:val="00651AD8"/>
    <w:rsid w:val="0065230F"/>
    <w:rsid w:val="0065353F"/>
    <w:rsid w:val="006546B9"/>
    <w:rsid w:val="00654B60"/>
    <w:rsid w:val="00655090"/>
    <w:rsid w:val="0065588C"/>
    <w:rsid w:val="00657727"/>
    <w:rsid w:val="0066366C"/>
    <w:rsid w:val="006648D1"/>
    <w:rsid w:val="00664E1D"/>
    <w:rsid w:val="00666BA1"/>
    <w:rsid w:val="00667D20"/>
    <w:rsid w:val="006700CB"/>
    <w:rsid w:val="0067011A"/>
    <w:rsid w:val="00670428"/>
    <w:rsid w:val="006708BC"/>
    <w:rsid w:val="00670BF6"/>
    <w:rsid w:val="006721DF"/>
    <w:rsid w:val="00672956"/>
    <w:rsid w:val="00672A20"/>
    <w:rsid w:val="0067345B"/>
    <w:rsid w:val="00674329"/>
    <w:rsid w:val="00674808"/>
    <w:rsid w:val="00674CE6"/>
    <w:rsid w:val="00675D53"/>
    <w:rsid w:val="006767DB"/>
    <w:rsid w:val="00676BB6"/>
    <w:rsid w:val="00677279"/>
    <w:rsid w:val="00677979"/>
    <w:rsid w:val="00680316"/>
    <w:rsid w:val="006803A0"/>
    <w:rsid w:val="0068141A"/>
    <w:rsid w:val="00682088"/>
    <w:rsid w:val="006830FC"/>
    <w:rsid w:val="00683770"/>
    <w:rsid w:val="00683B58"/>
    <w:rsid w:val="006849D2"/>
    <w:rsid w:val="00686A7E"/>
    <w:rsid w:val="00686CAE"/>
    <w:rsid w:val="00690509"/>
    <w:rsid w:val="00690963"/>
    <w:rsid w:val="00690B95"/>
    <w:rsid w:val="00691156"/>
    <w:rsid w:val="00691601"/>
    <w:rsid w:val="00691FAB"/>
    <w:rsid w:val="00693751"/>
    <w:rsid w:val="00693795"/>
    <w:rsid w:val="006937ED"/>
    <w:rsid w:val="00693CE6"/>
    <w:rsid w:val="006940D6"/>
    <w:rsid w:val="00695005"/>
    <w:rsid w:val="00696375"/>
    <w:rsid w:val="006965DF"/>
    <w:rsid w:val="00696CA3"/>
    <w:rsid w:val="006A0169"/>
    <w:rsid w:val="006A09A4"/>
    <w:rsid w:val="006A21CC"/>
    <w:rsid w:val="006A3856"/>
    <w:rsid w:val="006A438F"/>
    <w:rsid w:val="006A503A"/>
    <w:rsid w:val="006A65A6"/>
    <w:rsid w:val="006A6750"/>
    <w:rsid w:val="006A7D6E"/>
    <w:rsid w:val="006A7FA7"/>
    <w:rsid w:val="006B0634"/>
    <w:rsid w:val="006B0F9B"/>
    <w:rsid w:val="006B1C34"/>
    <w:rsid w:val="006B1FF1"/>
    <w:rsid w:val="006B293F"/>
    <w:rsid w:val="006B34DE"/>
    <w:rsid w:val="006B35F3"/>
    <w:rsid w:val="006B40C1"/>
    <w:rsid w:val="006B5F49"/>
    <w:rsid w:val="006B6A20"/>
    <w:rsid w:val="006C078D"/>
    <w:rsid w:val="006C1EDD"/>
    <w:rsid w:val="006C22E4"/>
    <w:rsid w:val="006C2F5C"/>
    <w:rsid w:val="006C3593"/>
    <w:rsid w:val="006C4010"/>
    <w:rsid w:val="006C477E"/>
    <w:rsid w:val="006C5AD3"/>
    <w:rsid w:val="006C6D7A"/>
    <w:rsid w:val="006C7F0A"/>
    <w:rsid w:val="006D0350"/>
    <w:rsid w:val="006D0C02"/>
    <w:rsid w:val="006D0F19"/>
    <w:rsid w:val="006D1BE0"/>
    <w:rsid w:val="006D24F7"/>
    <w:rsid w:val="006D2B2B"/>
    <w:rsid w:val="006D2DE9"/>
    <w:rsid w:val="006D35F8"/>
    <w:rsid w:val="006D3FB0"/>
    <w:rsid w:val="006D443D"/>
    <w:rsid w:val="006D4512"/>
    <w:rsid w:val="006D614A"/>
    <w:rsid w:val="006D6B5E"/>
    <w:rsid w:val="006D6CA1"/>
    <w:rsid w:val="006D7DA7"/>
    <w:rsid w:val="006E08F5"/>
    <w:rsid w:val="006E0FAD"/>
    <w:rsid w:val="006E27D1"/>
    <w:rsid w:val="006E2953"/>
    <w:rsid w:val="006E2CD8"/>
    <w:rsid w:val="006E43D2"/>
    <w:rsid w:val="006E4462"/>
    <w:rsid w:val="006E465C"/>
    <w:rsid w:val="006E4B08"/>
    <w:rsid w:val="006E4EB7"/>
    <w:rsid w:val="006E558B"/>
    <w:rsid w:val="006E7F4D"/>
    <w:rsid w:val="006E7F81"/>
    <w:rsid w:val="006F1443"/>
    <w:rsid w:val="006F1C69"/>
    <w:rsid w:val="006F2579"/>
    <w:rsid w:val="006F2855"/>
    <w:rsid w:val="006F2887"/>
    <w:rsid w:val="006F5439"/>
    <w:rsid w:val="006F713E"/>
    <w:rsid w:val="006F750C"/>
    <w:rsid w:val="006F7EB1"/>
    <w:rsid w:val="00700AD5"/>
    <w:rsid w:val="007019C6"/>
    <w:rsid w:val="00702B93"/>
    <w:rsid w:val="00702D4F"/>
    <w:rsid w:val="00703D5F"/>
    <w:rsid w:val="007045FC"/>
    <w:rsid w:val="0070488F"/>
    <w:rsid w:val="00704CDE"/>
    <w:rsid w:val="00704CF9"/>
    <w:rsid w:val="00704ECD"/>
    <w:rsid w:val="00705199"/>
    <w:rsid w:val="00705711"/>
    <w:rsid w:val="0070582E"/>
    <w:rsid w:val="00706AAB"/>
    <w:rsid w:val="007073E2"/>
    <w:rsid w:val="0070772C"/>
    <w:rsid w:val="00710713"/>
    <w:rsid w:val="00711B38"/>
    <w:rsid w:val="007123C3"/>
    <w:rsid w:val="0071266E"/>
    <w:rsid w:val="007130F7"/>
    <w:rsid w:val="00714183"/>
    <w:rsid w:val="00715CA4"/>
    <w:rsid w:val="00715E75"/>
    <w:rsid w:val="0071691D"/>
    <w:rsid w:val="00720C6C"/>
    <w:rsid w:val="00721EC2"/>
    <w:rsid w:val="007225C9"/>
    <w:rsid w:val="007226F3"/>
    <w:rsid w:val="0072344E"/>
    <w:rsid w:val="007237EE"/>
    <w:rsid w:val="007240C3"/>
    <w:rsid w:val="007243CC"/>
    <w:rsid w:val="0072530B"/>
    <w:rsid w:val="007263B7"/>
    <w:rsid w:val="00727632"/>
    <w:rsid w:val="007301CB"/>
    <w:rsid w:val="00731957"/>
    <w:rsid w:val="007323E0"/>
    <w:rsid w:val="00732744"/>
    <w:rsid w:val="00732BB6"/>
    <w:rsid w:val="00733697"/>
    <w:rsid w:val="00733C12"/>
    <w:rsid w:val="00733EF3"/>
    <w:rsid w:val="007356BB"/>
    <w:rsid w:val="00735B0B"/>
    <w:rsid w:val="00735BED"/>
    <w:rsid w:val="0073666D"/>
    <w:rsid w:val="0073669E"/>
    <w:rsid w:val="00736799"/>
    <w:rsid w:val="0073707B"/>
    <w:rsid w:val="00737C67"/>
    <w:rsid w:val="00737D1D"/>
    <w:rsid w:val="00737F76"/>
    <w:rsid w:val="00741002"/>
    <w:rsid w:val="00741637"/>
    <w:rsid w:val="007418D4"/>
    <w:rsid w:val="00741E81"/>
    <w:rsid w:val="00742121"/>
    <w:rsid w:val="0074467F"/>
    <w:rsid w:val="00744F24"/>
    <w:rsid w:val="0074501E"/>
    <w:rsid w:val="00745868"/>
    <w:rsid w:val="00746472"/>
    <w:rsid w:val="00746CD0"/>
    <w:rsid w:val="00747C5A"/>
    <w:rsid w:val="00751DE7"/>
    <w:rsid w:val="00752CE8"/>
    <w:rsid w:val="0075428A"/>
    <w:rsid w:val="0075561B"/>
    <w:rsid w:val="00760A78"/>
    <w:rsid w:val="00763C94"/>
    <w:rsid w:val="00764725"/>
    <w:rsid w:val="0076472C"/>
    <w:rsid w:val="00764B6B"/>
    <w:rsid w:val="00764F0C"/>
    <w:rsid w:val="00766029"/>
    <w:rsid w:val="00766432"/>
    <w:rsid w:val="00766983"/>
    <w:rsid w:val="00767A28"/>
    <w:rsid w:val="00770893"/>
    <w:rsid w:val="007712C3"/>
    <w:rsid w:val="00771D33"/>
    <w:rsid w:val="00771F1C"/>
    <w:rsid w:val="007725DF"/>
    <w:rsid w:val="00772E1A"/>
    <w:rsid w:val="007736D0"/>
    <w:rsid w:val="0077411F"/>
    <w:rsid w:val="007754D1"/>
    <w:rsid w:val="007758CF"/>
    <w:rsid w:val="00775FEC"/>
    <w:rsid w:val="00776317"/>
    <w:rsid w:val="00776D06"/>
    <w:rsid w:val="007810BC"/>
    <w:rsid w:val="00781EB4"/>
    <w:rsid w:val="007823D7"/>
    <w:rsid w:val="00782E96"/>
    <w:rsid w:val="007844DE"/>
    <w:rsid w:val="007848DA"/>
    <w:rsid w:val="00785A39"/>
    <w:rsid w:val="007861AA"/>
    <w:rsid w:val="00787447"/>
    <w:rsid w:val="0078776F"/>
    <w:rsid w:val="007900EA"/>
    <w:rsid w:val="00790BDA"/>
    <w:rsid w:val="007918A1"/>
    <w:rsid w:val="00793091"/>
    <w:rsid w:val="007943A8"/>
    <w:rsid w:val="007947F4"/>
    <w:rsid w:val="00795FC0"/>
    <w:rsid w:val="007963D7"/>
    <w:rsid w:val="00796527"/>
    <w:rsid w:val="007975AC"/>
    <w:rsid w:val="00797CF6"/>
    <w:rsid w:val="007A0F7C"/>
    <w:rsid w:val="007A10D6"/>
    <w:rsid w:val="007A12A7"/>
    <w:rsid w:val="007A14FC"/>
    <w:rsid w:val="007A20A0"/>
    <w:rsid w:val="007A2AD1"/>
    <w:rsid w:val="007A2BE6"/>
    <w:rsid w:val="007A340C"/>
    <w:rsid w:val="007A4A3D"/>
    <w:rsid w:val="007A5A11"/>
    <w:rsid w:val="007A6F16"/>
    <w:rsid w:val="007A7512"/>
    <w:rsid w:val="007A752A"/>
    <w:rsid w:val="007A7B6E"/>
    <w:rsid w:val="007A7F7F"/>
    <w:rsid w:val="007A7FD6"/>
    <w:rsid w:val="007B09DF"/>
    <w:rsid w:val="007B16A1"/>
    <w:rsid w:val="007B2DB6"/>
    <w:rsid w:val="007B300E"/>
    <w:rsid w:val="007B30CA"/>
    <w:rsid w:val="007B3A11"/>
    <w:rsid w:val="007B3AFD"/>
    <w:rsid w:val="007B567F"/>
    <w:rsid w:val="007B57E8"/>
    <w:rsid w:val="007B65D4"/>
    <w:rsid w:val="007B67FE"/>
    <w:rsid w:val="007B7B2B"/>
    <w:rsid w:val="007B7B34"/>
    <w:rsid w:val="007C398B"/>
    <w:rsid w:val="007C5323"/>
    <w:rsid w:val="007C6187"/>
    <w:rsid w:val="007C63B8"/>
    <w:rsid w:val="007C67EE"/>
    <w:rsid w:val="007C7A8C"/>
    <w:rsid w:val="007D05C7"/>
    <w:rsid w:val="007D07F8"/>
    <w:rsid w:val="007D0EE9"/>
    <w:rsid w:val="007D1707"/>
    <w:rsid w:val="007D24AB"/>
    <w:rsid w:val="007D3405"/>
    <w:rsid w:val="007D41C2"/>
    <w:rsid w:val="007D42D5"/>
    <w:rsid w:val="007D4BFC"/>
    <w:rsid w:val="007D6193"/>
    <w:rsid w:val="007D6B1C"/>
    <w:rsid w:val="007D7A92"/>
    <w:rsid w:val="007E0FAF"/>
    <w:rsid w:val="007E112F"/>
    <w:rsid w:val="007E1C60"/>
    <w:rsid w:val="007E450C"/>
    <w:rsid w:val="007E4A09"/>
    <w:rsid w:val="007E4C9C"/>
    <w:rsid w:val="007E5486"/>
    <w:rsid w:val="007E5B1C"/>
    <w:rsid w:val="007E5F2E"/>
    <w:rsid w:val="007E5FB5"/>
    <w:rsid w:val="007E6196"/>
    <w:rsid w:val="007E6656"/>
    <w:rsid w:val="007E70BF"/>
    <w:rsid w:val="007E724E"/>
    <w:rsid w:val="007E735A"/>
    <w:rsid w:val="007E7432"/>
    <w:rsid w:val="007F0085"/>
    <w:rsid w:val="007F080F"/>
    <w:rsid w:val="007F0F01"/>
    <w:rsid w:val="007F155F"/>
    <w:rsid w:val="007F1A99"/>
    <w:rsid w:val="007F22A7"/>
    <w:rsid w:val="007F22ED"/>
    <w:rsid w:val="007F24DA"/>
    <w:rsid w:val="007F3253"/>
    <w:rsid w:val="007F4DE5"/>
    <w:rsid w:val="007F4F42"/>
    <w:rsid w:val="007F536B"/>
    <w:rsid w:val="007F59CD"/>
    <w:rsid w:val="007F7F32"/>
    <w:rsid w:val="00800A70"/>
    <w:rsid w:val="00800DF8"/>
    <w:rsid w:val="00801E32"/>
    <w:rsid w:val="008021FD"/>
    <w:rsid w:val="008026FA"/>
    <w:rsid w:val="008036BE"/>
    <w:rsid w:val="00803B18"/>
    <w:rsid w:val="00803B2E"/>
    <w:rsid w:val="00804BA2"/>
    <w:rsid w:val="00804FE6"/>
    <w:rsid w:val="00805224"/>
    <w:rsid w:val="0080556B"/>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D1B"/>
    <w:rsid w:val="008164A8"/>
    <w:rsid w:val="00816C1F"/>
    <w:rsid w:val="008174AD"/>
    <w:rsid w:val="00817781"/>
    <w:rsid w:val="00820876"/>
    <w:rsid w:val="0082143F"/>
    <w:rsid w:val="0082159A"/>
    <w:rsid w:val="00822064"/>
    <w:rsid w:val="008220AD"/>
    <w:rsid w:val="00822969"/>
    <w:rsid w:val="00823196"/>
    <w:rsid w:val="00823610"/>
    <w:rsid w:val="008237DE"/>
    <w:rsid w:val="00824E32"/>
    <w:rsid w:val="00827EFF"/>
    <w:rsid w:val="0083049A"/>
    <w:rsid w:val="008321A6"/>
    <w:rsid w:val="0083380F"/>
    <w:rsid w:val="00835FCE"/>
    <w:rsid w:val="008368DE"/>
    <w:rsid w:val="00840E25"/>
    <w:rsid w:val="0084161A"/>
    <w:rsid w:val="00841962"/>
    <w:rsid w:val="008424BB"/>
    <w:rsid w:val="0084456D"/>
    <w:rsid w:val="00844729"/>
    <w:rsid w:val="008465CB"/>
    <w:rsid w:val="0085127E"/>
    <w:rsid w:val="008517C6"/>
    <w:rsid w:val="00852898"/>
    <w:rsid w:val="00852F4F"/>
    <w:rsid w:val="00853308"/>
    <w:rsid w:val="008534CC"/>
    <w:rsid w:val="00853C98"/>
    <w:rsid w:val="00854103"/>
    <w:rsid w:val="008549B1"/>
    <w:rsid w:val="0085543E"/>
    <w:rsid w:val="008568B0"/>
    <w:rsid w:val="008578F2"/>
    <w:rsid w:val="008600ED"/>
    <w:rsid w:val="00860366"/>
    <w:rsid w:val="008614BF"/>
    <w:rsid w:val="00861CAB"/>
    <w:rsid w:val="008627A8"/>
    <w:rsid w:val="00862B21"/>
    <w:rsid w:val="008636D6"/>
    <w:rsid w:val="00863E02"/>
    <w:rsid w:val="0086489A"/>
    <w:rsid w:val="00865274"/>
    <w:rsid w:val="00865940"/>
    <w:rsid w:val="00865EEC"/>
    <w:rsid w:val="00866416"/>
    <w:rsid w:val="00866A27"/>
    <w:rsid w:val="00866C88"/>
    <w:rsid w:val="008701DC"/>
    <w:rsid w:val="00870234"/>
    <w:rsid w:val="0087081B"/>
    <w:rsid w:val="008714CD"/>
    <w:rsid w:val="00872A6E"/>
    <w:rsid w:val="008739F1"/>
    <w:rsid w:val="00873F33"/>
    <w:rsid w:val="00874308"/>
    <w:rsid w:val="00874882"/>
    <w:rsid w:val="00875375"/>
    <w:rsid w:val="00877B13"/>
    <w:rsid w:val="00880AB5"/>
    <w:rsid w:val="00880AD5"/>
    <w:rsid w:val="00880C01"/>
    <w:rsid w:val="00881457"/>
    <w:rsid w:val="00882802"/>
    <w:rsid w:val="00882B0F"/>
    <w:rsid w:val="008836A7"/>
    <w:rsid w:val="00883749"/>
    <w:rsid w:val="00884467"/>
    <w:rsid w:val="008872D7"/>
    <w:rsid w:val="00887F03"/>
    <w:rsid w:val="00893B95"/>
    <w:rsid w:val="008941B2"/>
    <w:rsid w:val="008A1084"/>
    <w:rsid w:val="008A1DA7"/>
    <w:rsid w:val="008A3884"/>
    <w:rsid w:val="008A3A4B"/>
    <w:rsid w:val="008A49EA"/>
    <w:rsid w:val="008A4ABF"/>
    <w:rsid w:val="008A6614"/>
    <w:rsid w:val="008A739F"/>
    <w:rsid w:val="008A790C"/>
    <w:rsid w:val="008B0108"/>
    <w:rsid w:val="008B18E3"/>
    <w:rsid w:val="008B3670"/>
    <w:rsid w:val="008B3E82"/>
    <w:rsid w:val="008B4157"/>
    <w:rsid w:val="008B4A24"/>
    <w:rsid w:val="008B5AFF"/>
    <w:rsid w:val="008B5E0B"/>
    <w:rsid w:val="008B758A"/>
    <w:rsid w:val="008B7CD2"/>
    <w:rsid w:val="008C053C"/>
    <w:rsid w:val="008C0C4F"/>
    <w:rsid w:val="008C0F75"/>
    <w:rsid w:val="008C12F3"/>
    <w:rsid w:val="008C277A"/>
    <w:rsid w:val="008C561D"/>
    <w:rsid w:val="008C62EC"/>
    <w:rsid w:val="008C7911"/>
    <w:rsid w:val="008C7FAF"/>
    <w:rsid w:val="008D0BE4"/>
    <w:rsid w:val="008D19DB"/>
    <w:rsid w:val="008D35E2"/>
    <w:rsid w:val="008D41B5"/>
    <w:rsid w:val="008D5BE0"/>
    <w:rsid w:val="008D72C3"/>
    <w:rsid w:val="008D7B10"/>
    <w:rsid w:val="008E04F6"/>
    <w:rsid w:val="008E0FD3"/>
    <w:rsid w:val="008E1DCB"/>
    <w:rsid w:val="008E2DF1"/>
    <w:rsid w:val="008E5B3B"/>
    <w:rsid w:val="008E7C23"/>
    <w:rsid w:val="008E7F8D"/>
    <w:rsid w:val="008F06E9"/>
    <w:rsid w:val="008F2850"/>
    <w:rsid w:val="008F2FC2"/>
    <w:rsid w:val="008F302C"/>
    <w:rsid w:val="008F5D1E"/>
    <w:rsid w:val="008F7242"/>
    <w:rsid w:val="008F75F1"/>
    <w:rsid w:val="00901457"/>
    <w:rsid w:val="0090233F"/>
    <w:rsid w:val="009026E8"/>
    <w:rsid w:val="009030B0"/>
    <w:rsid w:val="009031E3"/>
    <w:rsid w:val="009035A2"/>
    <w:rsid w:val="00904674"/>
    <w:rsid w:val="00904BC9"/>
    <w:rsid w:val="009056CA"/>
    <w:rsid w:val="009062BB"/>
    <w:rsid w:val="0090688C"/>
    <w:rsid w:val="0090766E"/>
    <w:rsid w:val="0091038B"/>
    <w:rsid w:val="009119D3"/>
    <w:rsid w:val="00911F66"/>
    <w:rsid w:val="00913DCC"/>
    <w:rsid w:val="00917B21"/>
    <w:rsid w:val="00922101"/>
    <w:rsid w:val="00922A4B"/>
    <w:rsid w:val="009236F3"/>
    <w:rsid w:val="009241BB"/>
    <w:rsid w:val="009244F7"/>
    <w:rsid w:val="00924C0D"/>
    <w:rsid w:val="0092501B"/>
    <w:rsid w:val="0092587F"/>
    <w:rsid w:val="00925AA4"/>
    <w:rsid w:val="00930FA6"/>
    <w:rsid w:val="009313BE"/>
    <w:rsid w:val="00932FE2"/>
    <w:rsid w:val="00933907"/>
    <w:rsid w:val="009340AB"/>
    <w:rsid w:val="00936192"/>
    <w:rsid w:val="00937516"/>
    <w:rsid w:val="0094066E"/>
    <w:rsid w:val="0094182D"/>
    <w:rsid w:val="0094245B"/>
    <w:rsid w:val="00942A08"/>
    <w:rsid w:val="00942CAD"/>
    <w:rsid w:val="00943363"/>
    <w:rsid w:val="009434CF"/>
    <w:rsid w:val="00944491"/>
    <w:rsid w:val="00946910"/>
    <w:rsid w:val="00947C38"/>
    <w:rsid w:val="00952CCB"/>
    <w:rsid w:val="00953BFE"/>
    <w:rsid w:val="009550BB"/>
    <w:rsid w:val="00955992"/>
    <w:rsid w:val="00956067"/>
    <w:rsid w:val="00957342"/>
    <w:rsid w:val="009574F2"/>
    <w:rsid w:val="00957921"/>
    <w:rsid w:val="00957A76"/>
    <w:rsid w:val="00957C00"/>
    <w:rsid w:val="00960719"/>
    <w:rsid w:val="009619CF"/>
    <w:rsid w:val="00962B2A"/>
    <w:rsid w:val="00963502"/>
    <w:rsid w:val="00963C96"/>
    <w:rsid w:val="009648EF"/>
    <w:rsid w:val="00966B53"/>
    <w:rsid w:val="00970F04"/>
    <w:rsid w:val="0097114B"/>
    <w:rsid w:val="00971F36"/>
    <w:rsid w:val="0097358B"/>
    <w:rsid w:val="00973A12"/>
    <w:rsid w:val="00974614"/>
    <w:rsid w:val="00975084"/>
    <w:rsid w:val="009754BC"/>
    <w:rsid w:val="0097588C"/>
    <w:rsid w:val="00975C3B"/>
    <w:rsid w:val="00976FE8"/>
    <w:rsid w:val="009771A0"/>
    <w:rsid w:val="0097799A"/>
    <w:rsid w:val="00977C25"/>
    <w:rsid w:val="009807C9"/>
    <w:rsid w:val="00980CAF"/>
    <w:rsid w:val="0098122A"/>
    <w:rsid w:val="009816C8"/>
    <w:rsid w:val="00981FC9"/>
    <w:rsid w:val="00982327"/>
    <w:rsid w:val="009833CB"/>
    <w:rsid w:val="009836FB"/>
    <w:rsid w:val="009837A3"/>
    <w:rsid w:val="009843E2"/>
    <w:rsid w:val="0098582B"/>
    <w:rsid w:val="009861EE"/>
    <w:rsid w:val="0098795A"/>
    <w:rsid w:val="0099011B"/>
    <w:rsid w:val="009912E2"/>
    <w:rsid w:val="00991536"/>
    <w:rsid w:val="009918AC"/>
    <w:rsid w:val="0099255B"/>
    <w:rsid w:val="00992A8B"/>
    <w:rsid w:val="00993DAC"/>
    <w:rsid w:val="00996373"/>
    <w:rsid w:val="00996A23"/>
    <w:rsid w:val="00997046"/>
    <w:rsid w:val="00997705"/>
    <w:rsid w:val="009A0B7F"/>
    <w:rsid w:val="009A0E19"/>
    <w:rsid w:val="009A1215"/>
    <w:rsid w:val="009A1416"/>
    <w:rsid w:val="009A20E4"/>
    <w:rsid w:val="009A2440"/>
    <w:rsid w:val="009A2448"/>
    <w:rsid w:val="009A28F6"/>
    <w:rsid w:val="009A3D15"/>
    <w:rsid w:val="009A3FD3"/>
    <w:rsid w:val="009A5F3F"/>
    <w:rsid w:val="009A6007"/>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B2A"/>
    <w:rsid w:val="009C44E4"/>
    <w:rsid w:val="009C477B"/>
    <w:rsid w:val="009C4918"/>
    <w:rsid w:val="009C4C78"/>
    <w:rsid w:val="009C5124"/>
    <w:rsid w:val="009C5C5F"/>
    <w:rsid w:val="009C5F2B"/>
    <w:rsid w:val="009C6454"/>
    <w:rsid w:val="009C6CF4"/>
    <w:rsid w:val="009C78E3"/>
    <w:rsid w:val="009C7FFB"/>
    <w:rsid w:val="009D2D62"/>
    <w:rsid w:val="009D31CD"/>
    <w:rsid w:val="009D4E10"/>
    <w:rsid w:val="009D7121"/>
    <w:rsid w:val="009E01B8"/>
    <w:rsid w:val="009E0843"/>
    <w:rsid w:val="009E1B79"/>
    <w:rsid w:val="009E38AF"/>
    <w:rsid w:val="009E52A8"/>
    <w:rsid w:val="009E673E"/>
    <w:rsid w:val="009E7AD8"/>
    <w:rsid w:val="009F096D"/>
    <w:rsid w:val="009F0D41"/>
    <w:rsid w:val="009F161C"/>
    <w:rsid w:val="009F1BC2"/>
    <w:rsid w:val="009F29A4"/>
    <w:rsid w:val="009F2F18"/>
    <w:rsid w:val="009F4EF8"/>
    <w:rsid w:val="009F4F1B"/>
    <w:rsid w:val="009F5872"/>
    <w:rsid w:val="009F6DB9"/>
    <w:rsid w:val="009F740D"/>
    <w:rsid w:val="009F77F0"/>
    <w:rsid w:val="00A00370"/>
    <w:rsid w:val="00A00F88"/>
    <w:rsid w:val="00A01A02"/>
    <w:rsid w:val="00A01AAA"/>
    <w:rsid w:val="00A02007"/>
    <w:rsid w:val="00A024F6"/>
    <w:rsid w:val="00A02A8B"/>
    <w:rsid w:val="00A030F3"/>
    <w:rsid w:val="00A03652"/>
    <w:rsid w:val="00A041C7"/>
    <w:rsid w:val="00A04F4B"/>
    <w:rsid w:val="00A06B3C"/>
    <w:rsid w:val="00A1084E"/>
    <w:rsid w:val="00A114CC"/>
    <w:rsid w:val="00A11A74"/>
    <w:rsid w:val="00A12CC9"/>
    <w:rsid w:val="00A1449A"/>
    <w:rsid w:val="00A1467F"/>
    <w:rsid w:val="00A14921"/>
    <w:rsid w:val="00A151D1"/>
    <w:rsid w:val="00A20173"/>
    <w:rsid w:val="00A2060D"/>
    <w:rsid w:val="00A20B21"/>
    <w:rsid w:val="00A216B7"/>
    <w:rsid w:val="00A21708"/>
    <w:rsid w:val="00A23EF0"/>
    <w:rsid w:val="00A242AE"/>
    <w:rsid w:val="00A242EA"/>
    <w:rsid w:val="00A2504D"/>
    <w:rsid w:val="00A271B3"/>
    <w:rsid w:val="00A272BE"/>
    <w:rsid w:val="00A2797C"/>
    <w:rsid w:val="00A30545"/>
    <w:rsid w:val="00A309B7"/>
    <w:rsid w:val="00A30B94"/>
    <w:rsid w:val="00A31D0C"/>
    <w:rsid w:val="00A322BE"/>
    <w:rsid w:val="00A33274"/>
    <w:rsid w:val="00A33342"/>
    <w:rsid w:val="00A3344C"/>
    <w:rsid w:val="00A33719"/>
    <w:rsid w:val="00A33DF9"/>
    <w:rsid w:val="00A3529A"/>
    <w:rsid w:val="00A40262"/>
    <w:rsid w:val="00A40A77"/>
    <w:rsid w:val="00A41B5E"/>
    <w:rsid w:val="00A41E03"/>
    <w:rsid w:val="00A42042"/>
    <w:rsid w:val="00A422C2"/>
    <w:rsid w:val="00A4281A"/>
    <w:rsid w:val="00A44C41"/>
    <w:rsid w:val="00A44E81"/>
    <w:rsid w:val="00A45529"/>
    <w:rsid w:val="00A461E4"/>
    <w:rsid w:val="00A466AC"/>
    <w:rsid w:val="00A47031"/>
    <w:rsid w:val="00A4765E"/>
    <w:rsid w:val="00A50604"/>
    <w:rsid w:val="00A50E26"/>
    <w:rsid w:val="00A522C3"/>
    <w:rsid w:val="00A52331"/>
    <w:rsid w:val="00A524A6"/>
    <w:rsid w:val="00A54818"/>
    <w:rsid w:val="00A55DC6"/>
    <w:rsid w:val="00A55DD4"/>
    <w:rsid w:val="00A56859"/>
    <w:rsid w:val="00A569E0"/>
    <w:rsid w:val="00A5707D"/>
    <w:rsid w:val="00A6008D"/>
    <w:rsid w:val="00A60997"/>
    <w:rsid w:val="00A60CA4"/>
    <w:rsid w:val="00A61446"/>
    <w:rsid w:val="00A61D87"/>
    <w:rsid w:val="00A62285"/>
    <w:rsid w:val="00A6390A"/>
    <w:rsid w:val="00A64A9B"/>
    <w:rsid w:val="00A65A66"/>
    <w:rsid w:val="00A65C73"/>
    <w:rsid w:val="00A66EE4"/>
    <w:rsid w:val="00A67235"/>
    <w:rsid w:val="00A70197"/>
    <w:rsid w:val="00A70585"/>
    <w:rsid w:val="00A715EF"/>
    <w:rsid w:val="00A71BDB"/>
    <w:rsid w:val="00A720B7"/>
    <w:rsid w:val="00A72719"/>
    <w:rsid w:val="00A72BCC"/>
    <w:rsid w:val="00A731D2"/>
    <w:rsid w:val="00A73387"/>
    <w:rsid w:val="00A73405"/>
    <w:rsid w:val="00A745D3"/>
    <w:rsid w:val="00A7462D"/>
    <w:rsid w:val="00A77A0F"/>
    <w:rsid w:val="00A77F4A"/>
    <w:rsid w:val="00A8029C"/>
    <w:rsid w:val="00A8033D"/>
    <w:rsid w:val="00A826A0"/>
    <w:rsid w:val="00A826B4"/>
    <w:rsid w:val="00A82E1A"/>
    <w:rsid w:val="00A8395A"/>
    <w:rsid w:val="00A83C7E"/>
    <w:rsid w:val="00A8418C"/>
    <w:rsid w:val="00A84DA1"/>
    <w:rsid w:val="00A856DD"/>
    <w:rsid w:val="00A85812"/>
    <w:rsid w:val="00A864D8"/>
    <w:rsid w:val="00A871C9"/>
    <w:rsid w:val="00A87FE2"/>
    <w:rsid w:val="00A91271"/>
    <w:rsid w:val="00A915C6"/>
    <w:rsid w:val="00A9205F"/>
    <w:rsid w:val="00A92AC2"/>
    <w:rsid w:val="00A93C3D"/>
    <w:rsid w:val="00A9456E"/>
    <w:rsid w:val="00A948B2"/>
    <w:rsid w:val="00A95355"/>
    <w:rsid w:val="00A95F70"/>
    <w:rsid w:val="00A960E9"/>
    <w:rsid w:val="00A97B41"/>
    <w:rsid w:val="00A97DC4"/>
    <w:rsid w:val="00A97F0C"/>
    <w:rsid w:val="00A97F93"/>
    <w:rsid w:val="00AA0E4D"/>
    <w:rsid w:val="00AA219A"/>
    <w:rsid w:val="00AA25C5"/>
    <w:rsid w:val="00AA53A0"/>
    <w:rsid w:val="00AA66A3"/>
    <w:rsid w:val="00AB05C9"/>
    <w:rsid w:val="00AB0BC7"/>
    <w:rsid w:val="00AB1831"/>
    <w:rsid w:val="00AB20AB"/>
    <w:rsid w:val="00AB2AAE"/>
    <w:rsid w:val="00AB2C0F"/>
    <w:rsid w:val="00AB40A0"/>
    <w:rsid w:val="00AB5528"/>
    <w:rsid w:val="00AB5538"/>
    <w:rsid w:val="00AB6656"/>
    <w:rsid w:val="00AB7178"/>
    <w:rsid w:val="00AB74C3"/>
    <w:rsid w:val="00AC0E72"/>
    <w:rsid w:val="00AC1250"/>
    <w:rsid w:val="00AC21C6"/>
    <w:rsid w:val="00AC3779"/>
    <w:rsid w:val="00AC422A"/>
    <w:rsid w:val="00AD0097"/>
    <w:rsid w:val="00AD020B"/>
    <w:rsid w:val="00AD0D5C"/>
    <w:rsid w:val="00AD1A96"/>
    <w:rsid w:val="00AD1E79"/>
    <w:rsid w:val="00AD2A29"/>
    <w:rsid w:val="00AD2FCF"/>
    <w:rsid w:val="00AD4728"/>
    <w:rsid w:val="00AD4CC2"/>
    <w:rsid w:val="00AD52A6"/>
    <w:rsid w:val="00AD5AEC"/>
    <w:rsid w:val="00AD669D"/>
    <w:rsid w:val="00AD6AD0"/>
    <w:rsid w:val="00AD6D0B"/>
    <w:rsid w:val="00AD7DC1"/>
    <w:rsid w:val="00AE2C85"/>
    <w:rsid w:val="00AE328A"/>
    <w:rsid w:val="00AE42F5"/>
    <w:rsid w:val="00AE4721"/>
    <w:rsid w:val="00AE4C09"/>
    <w:rsid w:val="00AE541B"/>
    <w:rsid w:val="00AE747B"/>
    <w:rsid w:val="00AE7B1F"/>
    <w:rsid w:val="00AE7DE5"/>
    <w:rsid w:val="00AF12DE"/>
    <w:rsid w:val="00AF1653"/>
    <w:rsid w:val="00AF3BF4"/>
    <w:rsid w:val="00AF3F93"/>
    <w:rsid w:val="00AF50BF"/>
    <w:rsid w:val="00AF71D2"/>
    <w:rsid w:val="00B01410"/>
    <w:rsid w:val="00B02B2E"/>
    <w:rsid w:val="00B02C5B"/>
    <w:rsid w:val="00B02DE3"/>
    <w:rsid w:val="00B037AA"/>
    <w:rsid w:val="00B054BA"/>
    <w:rsid w:val="00B06804"/>
    <w:rsid w:val="00B07908"/>
    <w:rsid w:val="00B11F8A"/>
    <w:rsid w:val="00B122A0"/>
    <w:rsid w:val="00B1256E"/>
    <w:rsid w:val="00B13430"/>
    <w:rsid w:val="00B13787"/>
    <w:rsid w:val="00B14007"/>
    <w:rsid w:val="00B1445B"/>
    <w:rsid w:val="00B15801"/>
    <w:rsid w:val="00B1644E"/>
    <w:rsid w:val="00B17AAC"/>
    <w:rsid w:val="00B215D0"/>
    <w:rsid w:val="00B21F73"/>
    <w:rsid w:val="00B22D7B"/>
    <w:rsid w:val="00B2329D"/>
    <w:rsid w:val="00B2343E"/>
    <w:rsid w:val="00B23822"/>
    <w:rsid w:val="00B23A32"/>
    <w:rsid w:val="00B23A60"/>
    <w:rsid w:val="00B23D80"/>
    <w:rsid w:val="00B243A4"/>
    <w:rsid w:val="00B245B8"/>
    <w:rsid w:val="00B24ABA"/>
    <w:rsid w:val="00B255C5"/>
    <w:rsid w:val="00B25FB2"/>
    <w:rsid w:val="00B26A92"/>
    <w:rsid w:val="00B274C7"/>
    <w:rsid w:val="00B27A36"/>
    <w:rsid w:val="00B27DB4"/>
    <w:rsid w:val="00B30861"/>
    <w:rsid w:val="00B33676"/>
    <w:rsid w:val="00B33FC9"/>
    <w:rsid w:val="00B34D05"/>
    <w:rsid w:val="00B34E1F"/>
    <w:rsid w:val="00B35194"/>
    <w:rsid w:val="00B36C97"/>
    <w:rsid w:val="00B37AAA"/>
    <w:rsid w:val="00B37AE6"/>
    <w:rsid w:val="00B37C41"/>
    <w:rsid w:val="00B4078C"/>
    <w:rsid w:val="00B40D0C"/>
    <w:rsid w:val="00B4191E"/>
    <w:rsid w:val="00B42C6D"/>
    <w:rsid w:val="00B43418"/>
    <w:rsid w:val="00B437D7"/>
    <w:rsid w:val="00B4516E"/>
    <w:rsid w:val="00B455D4"/>
    <w:rsid w:val="00B45B27"/>
    <w:rsid w:val="00B45D33"/>
    <w:rsid w:val="00B467ED"/>
    <w:rsid w:val="00B46CB0"/>
    <w:rsid w:val="00B5139A"/>
    <w:rsid w:val="00B52315"/>
    <w:rsid w:val="00B5294D"/>
    <w:rsid w:val="00B52DAB"/>
    <w:rsid w:val="00B539BE"/>
    <w:rsid w:val="00B5549D"/>
    <w:rsid w:val="00B56011"/>
    <w:rsid w:val="00B56EF5"/>
    <w:rsid w:val="00B6070A"/>
    <w:rsid w:val="00B60A02"/>
    <w:rsid w:val="00B62043"/>
    <w:rsid w:val="00B63682"/>
    <w:rsid w:val="00B6581A"/>
    <w:rsid w:val="00B6639E"/>
    <w:rsid w:val="00B670E5"/>
    <w:rsid w:val="00B70807"/>
    <w:rsid w:val="00B70890"/>
    <w:rsid w:val="00B71CAF"/>
    <w:rsid w:val="00B7320C"/>
    <w:rsid w:val="00B73752"/>
    <w:rsid w:val="00B749EC"/>
    <w:rsid w:val="00B74DA0"/>
    <w:rsid w:val="00B7733B"/>
    <w:rsid w:val="00B809A7"/>
    <w:rsid w:val="00B80F85"/>
    <w:rsid w:val="00B81CDF"/>
    <w:rsid w:val="00B824E7"/>
    <w:rsid w:val="00B829D3"/>
    <w:rsid w:val="00B83B7C"/>
    <w:rsid w:val="00B83EBF"/>
    <w:rsid w:val="00B84F90"/>
    <w:rsid w:val="00B85A66"/>
    <w:rsid w:val="00B86E92"/>
    <w:rsid w:val="00B90370"/>
    <w:rsid w:val="00B90F3B"/>
    <w:rsid w:val="00B916F3"/>
    <w:rsid w:val="00B92397"/>
    <w:rsid w:val="00B92EB5"/>
    <w:rsid w:val="00B92EEB"/>
    <w:rsid w:val="00B9309E"/>
    <w:rsid w:val="00B93544"/>
    <w:rsid w:val="00B94A45"/>
    <w:rsid w:val="00B957C1"/>
    <w:rsid w:val="00B95A58"/>
    <w:rsid w:val="00B95A9E"/>
    <w:rsid w:val="00B96795"/>
    <w:rsid w:val="00B96958"/>
    <w:rsid w:val="00B974A4"/>
    <w:rsid w:val="00B9752D"/>
    <w:rsid w:val="00B979F7"/>
    <w:rsid w:val="00BA01C1"/>
    <w:rsid w:val="00BA06FA"/>
    <w:rsid w:val="00BA0A23"/>
    <w:rsid w:val="00BA33A9"/>
    <w:rsid w:val="00BA3460"/>
    <w:rsid w:val="00BA39C2"/>
    <w:rsid w:val="00BA5EB3"/>
    <w:rsid w:val="00BA5F1E"/>
    <w:rsid w:val="00BA6D44"/>
    <w:rsid w:val="00BA6F31"/>
    <w:rsid w:val="00BA7782"/>
    <w:rsid w:val="00BB0472"/>
    <w:rsid w:val="00BB134D"/>
    <w:rsid w:val="00BB2F5F"/>
    <w:rsid w:val="00BB3D35"/>
    <w:rsid w:val="00BB3DB6"/>
    <w:rsid w:val="00BB4B53"/>
    <w:rsid w:val="00BC0A42"/>
    <w:rsid w:val="00BC286A"/>
    <w:rsid w:val="00BC3C65"/>
    <w:rsid w:val="00BC45E1"/>
    <w:rsid w:val="00BC471A"/>
    <w:rsid w:val="00BC52D2"/>
    <w:rsid w:val="00BC5FEE"/>
    <w:rsid w:val="00BC6152"/>
    <w:rsid w:val="00BC6C9D"/>
    <w:rsid w:val="00BC6F58"/>
    <w:rsid w:val="00BD00C4"/>
    <w:rsid w:val="00BD07C7"/>
    <w:rsid w:val="00BD1371"/>
    <w:rsid w:val="00BD14CE"/>
    <w:rsid w:val="00BD2421"/>
    <w:rsid w:val="00BD3541"/>
    <w:rsid w:val="00BD4652"/>
    <w:rsid w:val="00BD4A8F"/>
    <w:rsid w:val="00BD513D"/>
    <w:rsid w:val="00BD5EDD"/>
    <w:rsid w:val="00BD62A2"/>
    <w:rsid w:val="00BD6A96"/>
    <w:rsid w:val="00BD6BF0"/>
    <w:rsid w:val="00BD74B1"/>
    <w:rsid w:val="00BE0172"/>
    <w:rsid w:val="00BE037A"/>
    <w:rsid w:val="00BE112A"/>
    <w:rsid w:val="00BE17E6"/>
    <w:rsid w:val="00BE17EB"/>
    <w:rsid w:val="00BE1D6C"/>
    <w:rsid w:val="00BE27CF"/>
    <w:rsid w:val="00BE2C4B"/>
    <w:rsid w:val="00BE2D7E"/>
    <w:rsid w:val="00BE3EAD"/>
    <w:rsid w:val="00BE4084"/>
    <w:rsid w:val="00BE4426"/>
    <w:rsid w:val="00BE540B"/>
    <w:rsid w:val="00BE6364"/>
    <w:rsid w:val="00BE6576"/>
    <w:rsid w:val="00BE7CB6"/>
    <w:rsid w:val="00BF048F"/>
    <w:rsid w:val="00BF1A2A"/>
    <w:rsid w:val="00BF1EEF"/>
    <w:rsid w:val="00BF1FCA"/>
    <w:rsid w:val="00BF7494"/>
    <w:rsid w:val="00C00650"/>
    <w:rsid w:val="00C00E23"/>
    <w:rsid w:val="00C012C4"/>
    <w:rsid w:val="00C021BB"/>
    <w:rsid w:val="00C037A3"/>
    <w:rsid w:val="00C03932"/>
    <w:rsid w:val="00C06B98"/>
    <w:rsid w:val="00C06DE4"/>
    <w:rsid w:val="00C1312A"/>
    <w:rsid w:val="00C143CD"/>
    <w:rsid w:val="00C14B68"/>
    <w:rsid w:val="00C15480"/>
    <w:rsid w:val="00C166E5"/>
    <w:rsid w:val="00C204EF"/>
    <w:rsid w:val="00C21013"/>
    <w:rsid w:val="00C234F7"/>
    <w:rsid w:val="00C23824"/>
    <w:rsid w:val="00C23B84"/>
    <w:rsid w:val="00C24599"/>
    <w:rsid w:val="00C264D9"/>
    <w:rsid w:val="00C2655A"/>
    <w:rsid w:val="00C269D6"/>
    <w:rsid w:val="00C26F6A"/>
    <w:rsid w:val="00C30F83"/>
    <w:rsid w:val="00C31354"/>
    <w:rsid w:val="00C3135E"/>
    <w:rsid w:val="00C319FB"/>
    <w:rsid w:val="00C31C5A"/>
    <w:rsid w:val="00C31EAC"/>
    <w:rsid w:val="00C3269C"/>
    <w:rsid w:val="00C342CA"/>
    <w:rsid w:val="00C34515"/>
    <w:rsid w:val="00C34A03"/>
    <w:rsid w:val="00C34D9A"/>
    <w:rsid w:val="00C350DE"/>
    <w:rsid w:val="00C35A85"/>
    <w:rsid w:val="00C36C08"/>
    <w:rsid w:val="00C36CF8"/>
    <w:rsid w:val="00C36FF2"/>
    <w:rsid w:val="00C37183"/>
    <w:rsid w:val="00C373FF"/>
    <w:rsid w:val="00C412AD"/>
    <w:rsid w:val="00C418F0"/>
    <w:rsid w:val="00C419F7"/>
    <w:rsid w:val="00C42040"/>
    <w:rsid w:val="00C4313B"/>
    <w:rsid w:val="00C435AB"/>
    <w:rsid w:val="00C45F01"/>
    <w:rsid w:val="00C4698C"/>
    <w:rsid w:val="00C516F1"/>
    <w:rsid w:val="00C5207F"/>
    <w:rsid w:val="00C52D21"/>
    <w:rsid w:val="00C54C93"/>
    <w:rsid w:val="00C5509F"/>
    <w:rsid w:val="00C5543B"/>
    <w:rsid w:val="00C573B1"/>
    <w:rsid w:val="00C600EE"/>
    <w:rsid w:val="00C6294C"/>
    <w:rsid w:val="00C62B06"/>
    <w:rsid w:val="00C62DF8"/>
    <w:rsid w:val="00C62E03"/>
    <w:rsid w:val="00C64192"/>
    <w:rsid w:val="00C647CB"/>
    <w:rsid w:val="00C66BB7"/>
    <w:rsid w:val="00C67D33"/>
    <w:rsid w:val="00C72D39"/>
    <w:rsid w:val="00C72EB7"/>
    <w:rsid w:val="00C7351D"/>
    <w:rsid w:val="00C73A25"/>
    <w:rsid w:val="00C73D60"/>
    <w:rsid w:val="00C747F2"/>
    <w:rsid w:val="00C752EB"/>
    <w:rsid w:val="00C75878"/>
    <w:rsid w:val="00C75BD1"/>
    <w:rsid w:val="00C76BBB"/>
    <w:rsid w:val="00C7713E"/>
    <w:rsid w:val="00C779D4"/>
    <w:rsid w:val="00C77C0E"/>
    <w:rsid w:val="00C80125"/>
    <w:rsid w:val="00C809C6"/>
    <w:rsid w:val="00C81430"/>
    <w:rsid w:val="00C83899"/>
    <w:rsid w:val="00C86377"/>
    <w:rsid w:val="00C86829"/>
    <w:rsid w:val="00C86A4F"/>
    <w:rsid w:val="00C86DA3"/>
    <w:rsid w:val="00C871F5"/>
    <w:rsid w:val="00C914F8"/>
    <w:rsid w:val="00C935F6"/>
    <w:rsid w:val="00C95234"/>
    <w:rsid w:val="00C9788C"/>
    <w:rsid w:val="00C97C59"/>
    <w:rsid w:val="00CA0C2B"/>
    <w:rsid w:val="00CA418B"/>
    <w:rsid w:val="00CA42DE"/>
    <w:rsid w:val="00CA52C0"/>
    <w:rsid w:val="00CB16E0"/>
    <w:rsid w:val="00CB1766"/>
    <w:rsid w:val="00CB1E90"/>
    <w:rsid w:val="00CB1EB4"/>
    <w:rsid w:val="00CB328F"/>
    <w:rsid w:val="00CB3A38"/>
    <w:rsid w:val="00CB3B10"/>
    <w:rsid w:val="00CB425D"/>
    <w:rsid w:val="00CB4831"/>
    <w:rsid w:val="00CB5DBA"/>
    <w:rsid w:val="00CB5FBD"/>
    <w:rsid w:val="00CB7F2D"/>
    <w:rsid w:val="00CC16EE"/>
    <w:rsid w:val="00CC1763"/>
    <w:rsid w:val="00CC21F6"/>
    <w:rsid w:val="00CC2600"/>
    <w:rsid w:val="00CC4B0F"/>
    <w:rsid w:val="00CC4B86"/>
    <w:rsid w:val="00CC5A1A"/>
    <w:rsid w:val="00CC5EA6"/>
    <w:rsid w:val="00CC6CE2"/>
    <w:rsid w:val="00CC70C2"/>
    <w:rsid w:val="00CC71C7"/>
    <w:rsid w:val="00CC759C"/>
    <w:rsid w:val="00CD0363"/>
    <w:rsid w:val="00CD171A"/>
    <w:rsid w:val="00CD2B43"/>
    <w:rsid w:val="00CD33A6"/>
    <w:rsid w:val="00CD4E01"/>
    <w:rsid w:val="00CD4F9A"/>
    <w:rsid w:val="00CD5608"/>
    <w:rsid w:val="00CD6935"/>
    <w:rsid w:val="00CD6C36"/>
    <w:rsid w:val="00CD7204"/>
    <w:rsid w:val="00CE0A6E"/>
    <w:rsid w:val="00CE113C"/>
    <w:rsid w:val="00CE2C20"/>
    <w:rsid w:val="00CE2CC9"/>
    <w:rsid w:val="00CE42F4"/>
    <w:rsid w:val="00CE633C"/>
    <w:rsid w:val="00CE6C1C"/>
    <w:rsid w:val="00CE7B3F"/>
    <w:rsid w:val="00CE7C81"/>
    <w:rsid w:val="00CF0D83"/>
    <w:rsid w:val="00CF0EF2"/>
    <w:rsid w:val="00CF234B"/>
    <w:rsid w:val="00CF47E5"/>
    <w:rsid w:val="00CF732A"/>
    <w:rsid w:val="00D00533"/>
    <w:rsid w:val="00D00540"/>
    <w:rsid w:val="00D00AA4"/>
    <w:rsid w:val="00D01406"/>
    <w:rsid w:val="00D015A7"/>
    <w:rsid w:val="00D0250E"/>
    <w:rsid w:val="00D0423A"/>
    <w:rsid w:val="00D04A90"/>
    <w:rsid w:val="00D05D7C"/>
    <w:rsid w:val="00D06573"/>
    <w:rsid w:val="00D06EF2"/>
    <w:rsid w:val="00D07131"/>
    <w:rsid w:val="00D07526"/>
    <w:rsid w:val="00D07E3B"/>
    <w:rsid w:val="00D1233D"/>
    <w:rsid w:val="00D1308F"/>
    <w:rsid w:val="00D13678"/>
    <w:rsid w:val="00D1460D"/>
    <w:rsid w:val="00D14B1E"/>
    <w:rsid w:val="00D1550B"/>
    <w:rsid w:val="00D166CC"/>
    <w:rsid w:val="00D17E05"/>
    <w:rsid w:val="00D17F23"/>
    <w:rsid w:val="00D207B2"/>
    <w:rsid w:val="00D2106D"/>
    <w:rsid w:val="00D216CF"/>
    <w:rsid w:val="00D220F4"/>
    <w:rsid w:val="00D22B49"/>
    <w:rsid w:val="00D23F60"/>
    <w:rsid w:val="00D240C0"/>
    <w:rsid w:val="00D24A6C"/>
    <w:rsid w:val="00D24AC2"/>
    <w:rsid w:val="00D25A76"/>
    <w:rsid w:val="00D2692A"/>
    <w:rsid w:val="00D278F4"/>
    <w:rsid w:val="00D27C28"/>
    <w:rsid w:val="00D27E31"/>
    <w:rsid w:val="00D308D8"/>
    <w:rsid w:val="00D311F7"/>
    <w:rsid w:val="00D318AF"/>
    <w:rsid w:val="00D322C3"/>
    <w:rsid w:val="00D32350"/>
    <w:rsid w:val="00D3344A"/>
    <w:rsid w:val="00D3355A"/>
    <w:rsid w:val="00D34CA3"/>
    <w:rsid w:val="00D35AA2"/>
    <w:rsid w:val="00D362BE"/>
    <w:rsid w:val="00D36BE9"/>
    <w:rsid w:val="00D3722A"/>
    <w:rsid w:val="00D37579"/>
    <w:rsid w:val="00D379CE"/>
    <w:rsid w:val="00D40B0A"/>
    <w:rsid w:val="00D43F58"/>
    <w:rsid w:val="00D4457A"/>
    <w:rsid w:val="00D45734"/>
    <w:rsid w:val="00D46172"/>
    <w:rsid w:val="00D46D5A"/>
    <w:rsid w:val="00D47829"/>
    <w:rsid w:val="00D47E7C"/>
    <w:rsid w:val="00D50AD1"/>
    <w:rsid w:val="00D542A9"/>
    <w:rsid w:val="00D54789"/>
    <w:rsid w:val="00D54F6A"/>
    <w:rsid w:val="00D5501F"/>
    <w:rsid w:val="00D55807"/>
    <w:rsid w:val="00D57F64"/>
    <w:rsid w:val="00D604C4"/>
    <w:rsid w:val="00D605E1"/>
    <w:rsid w:val="00D63645"/>
    <w:rsid w:val="00D63929"/>
    <w:rsid w:val="00D63C1C"/>
    <w:rsid w:val="00D63E1C"/>
    <w:rsid w:val="00D6421D"/>
    <w:rsid w:val="00D645E0"/>
    <w:rsid w:val="00D65124"/>
    <w:rsid w:val="00D65231"/>
    <w:rsid w:val="00D65507"/>
    <w:rsid w:val="00D6599A"/>
    <w:rsid w:val="00D66534"/>
    <w:rsid w:val="00D669A4"/>
    <w:rsid w:val="00D66E91"/>
    <w:rsid w:val="00D66EFA"/>
    <w:rsid w:val="00D67C8A"/>
    <w:rsid w:val="00D709B7"/>
    <w:rsid w:val="00D71211"/>
    <w:rsid w:val="00D7143F"/>
    <w:rsid w:val="00D72409"/>
    <w:rsid w:val="00D72A0C"/>
    <w:rsid w:val="00D72AD0"/>
    <w:rsid w:val="00D73033"/>
    <w:rsid w:val="00D73621"/>
    <w:rsid w:val="00D73785"/>
    <w:rsid w:val="00D74745"/>
    <w:rsid w:val="00D7507B"/>
    <w:rsid w:val="00D7557F"/>
    <w:rsid w:val="00D75794"/>
    <w:rsid w:val="00D75BC9"/>
    <w:rsid w:val="00D77016"/>
    <w:rsid w:val="00D77153"/>
    <w:rsid w:val="00D77D62"/>
    <w:rsid w:val="00D80B5C"/>
    <w:rsid w:val="00D81BB1"/>
    <w:rsid w:val="00D84F6A"/>
    <w:rsid w:val="00D8506B"/>
    <w:rsid w:val="00D855D0"/>
    <w:rsid w:val="00D85A8B"/>
    <w:rsid w:val="00D86ADC"/>
    <w:rsid w:val="00D876CD"/>
    <w:rsid w:val="00D90791"/>
    <w:rsid w:val="00D90A08"/>
    <w:rsid w:val="00D90F27"/>
    <w:rsid w:val="00D90F8B"/>
    <w:rsid w:val="00D91524"/>
    <w:rsid w:val="00D928A3"/>
    <w:rsid w:val="00D93A74"/>
    <w:rsid w:val="00D9440E"/>
    <w:rsid w:val="00D95433"/>
    <w:rsid w:val="00D956B6"/>
    <w:rsid w:val="00D95F43"/>
    <w:rsid w:val="00D9772E"/>
    <w:rsid w:val="00DA07B1"/>
    <w:rsid w:val="00DA0DC8"/>
    <w:rsid w:val="00DA17B0"/>
    <w:rsid w:val="00DA2C00"/>
    <w:rsid w:val="00DA33EC"/>
    <w:rsid w:val="00DA3B79"/>
    <w:rsid w:val="00DA3F09"/>
    <w:rsid w:val="00DA48B0"/>
    <w:rsid w:val="00DA5E1F"/>
    <w:rsid w:val="00DA6D82"/>
    <w:rsid w:val="00DA7E29"/>
    <w:rsid w:val="00DB06D2"/>
    <w:rsid w:val="00DB1330"/>
    <w:rsid w:val="00DB169C"/>
    <w:rsid w:val="00DB180E"/>
    <w:rsid w:val="00DB21E9"/>
    <w:rsid w:val="00DB27AF"/>
    <w:rsid w:val="00DB292F"/>
    <w:rsid w:val="00DB3608"/>
    <w:rsid w:val="00DB3966"/>
    <w:rsid w:val="00DB3F0F"/>
    <w:rsid w:val="00DB5A3F"/>
    <w:rsid w:val="00DB6496"/>
    <w:rsid w:val="00DB78EC"/>
    <w:rsid w:val="00DC124A"/>
    <w:rsid w:val="00DC23B0"/>
    <w:rsid w:val="00DC2AD7"/>
    <w:rsid w:val="00DC2CDA"/>
    <w:rsid w:val="00DC6EBF"/>
    <w:rsid w:val="00DD3483"/>
    <w:rsid w:val="00DD40A3"/>
    <w:rsid w:val="00DD4D17"/>
    <w:rsid w:val="00DD5846"/>
    <w:rsid w:val="00DD620A"/>
    <w:rsid w:val="00DD7392"/>
    <w:rsid w:val="00DE0462"/>
    <w:rsid w:val="00DE11D6"/>
    <w:rsid w:val="00DE1AEE"/>
    <w:rsid w:val="00DE2212"/>
    <w:rsid w:val="00DE2457"/>
    <w:rsid w:val="00DE2C8D"/>
    <w:rsid w:val="00DE5E69"/>
    <w:rsid w:val="00DE610C"/>
    <w:rsid w:val="00DE6776"/>
    <w:rsid w:val="00DE7B73"/>
    <w:rsid w:val="00DE7CEB"/>
    <w:rsid w:val="00DE7F13"/>
    <w:rsid w:val="00DF06C4"/>
    <w:rsid w:val="00DF1212"/>
    <w:rsid w:val="00DF234C"/>
    <w:rsid w:val="00DF2C09"/>
    <w:rsid w:val="00DF3A31"/>
    <w:rsid w:val="00DF3DDB"/>
    <w:rsid w:val="00DF563C"/>
    <w:rsid w:val="00DF5D6C"/>
    <w:rsid w:val="00DF631D"/>
    <w:rsid w:val="00DF6C2D"/>
    <w:rsid w:val="00DF6D88"/>
    <w:rsid w:val="00DF74F4"/>
    <w:rsid w:val="00E00415"/>
    <w:rsid w:val="00E010DC"/>
    <w:rsid w:val="00E01D4D"/>
    <w:rsid w:val="00E02941"/>
    <w:rsid w:val="00E03081"/>
    <w:rsid w:val="00E04119"/>
    <w:rsid w:val="00E04A8B"/>
    <w:rsid w:val="00E0592D"/>
    <w:rsid w:val="00E05B90"/>
    <w:rsid w:val="00E06224"/>
    <w:rsid w:val="00E06B80"/>
    <w:rsid w:val="00E10EA2"/>
    <w:rsid w:val="00E10F8D"/>
    <w:rsid w:val="00E114D9"/>
    <w:rsid w:val="00E126BB"/>
    <w:rsid w:val="00E134A9"/>
    <w:rsid w:val="00E135F9"/>
    <w:rsid w:val="00E14D31"/>
    <w:rsid w:val="00E150E0"/>
    <w:rsid w:val="00E155F6"/>
    <w:rsid w:val="00E167A2"/>
    <w:rsid w:val="00E2108D"/>
    <w:rsid w:val="00E214F0"/>
    <w:rsid w:val="00E21F9F"/>
    <w:rsid w:val="00E220EA"/>
    <w:rsid w:val="00E2262C"/>
    <w:rsid w:val="00E23054"/>
    <w:rsid w:val="00E237A8"/>
    <w:rsid w:val="00E24F7C"/>
    <w:rsid w:val="00E25852"/>
    <w:rsid w:val="00E259D4"/>
    <w:rsid w:val="00E25B67"/>
    <w:rsid w:val="00E25FDB"/>
    <w:rsid w:val="00E26DDA"/>
    <w:rsid w:val="00E30009"/>
    <w:rsid w:val="00E30B9B"/>
    <w:rsid w:val="00E30FF3"/>
    <w:rsid w:val="00E3151F"/>
    <w:rsid w:val="00E31BA9"/>
    <w:rsid w:val="00E31DD1"/>
    <w:rsid w:val="00E31E1C"/>
    <w:rsid w:val="00E337E8"/>
    <w:rsid w:val="00E33A8F"/>
    <w:rsid w:val="00E34AA2"/>
    <w:rsid w:val="00E37FAF"/>
    <w:rsid w:val="00E4090B"/>
    <w:rsid w:val="00E416FB"/>
    <w:rsid w:val="00E419BD"/>
    <w:rsid w:val="00E41F06"/>
    <w:rsid w:val="00E422DC"/>
    <w:rsid w:val="00E42B30"/>
    <w:rsid w:val="00E42DA2"/>
    <w:rsid w:val="00E45E6B"/>
    <w:rsid w:val="00E465FE"/>
    <w:rsid w:val="00E47A35"/>
    <w:rsid w:val="00E50167"/>
    <w:rsid w:val="00E5097C"/>
    <w:rsid w:val="00E51DDA"/>
    <w:rsid w:val="00E52A08"/>
    <w:rsid w:val="00E5361B"/>
    <w:rsid w:val="00E54925"/>
    <w:rsid w:val="00E57188"/>
    <w:rsid w:val="00E604A4"/>
    <w:rsid w:val="00E61C4E"/>
    <w:rsid w:val="00E631DE"/>
    <w:rsid w:val="00E63872"/>
    <w:rsid w:val="00E63C6C"/>
    <w:rsid w:val="00E63F87"/>
    <w:rsid w:val="00E6527E"/>
    <w:rsid w:val="00E65A41"/>
    <w:rsid w:val="00E70C65"/>
    <w:rsid w:val="00E710C9"/>
    <w:rsid w:val="00E71666"/>
    <w:rsid w:val="00E724E4"/>
    <w:rsid w:val="00E73155"/>
    <w:rsid w:val="00E73312"/>
    <w:rsid w:val="00E735D4"/>
    <w:rsid w:val="00E73AFD"/>
    <w:rsid w:val="00E7411D"/>
    <w:rsid w:val="00E7483A"/>
    <w:rsid w:val="00E76439"/>
    <w:rsid w:val="00E76CBC"/>
    <w:rsid w:val="00E77D98"/>
    <w:rsid w:val="00E77EE6"/>
    <w:rsid w:val="00E80317"/>
    <w:rsid w:val="00E80877"/>
    <w:rsid w:val="00E810DA"/>
    <w:rsid w:val="00E81E0D"/>
    <w:rsid w:val="00E829FE"/>
    <w:rsid w:val="00E82B29"/>
    <w:rsid w:val="00E82B62"/>
    <w:rsid w:val="00E841D8"/>
    <w:rsid w:val="00E850A8"/>
    <w:rsid w:val="00E858D9"/>
    <w:rsid w:val="00E85DC1"/>
    <w:rsid w:val="00E862F4"/>
    <w:rsid w:val="00E9032B"/>
    <w:rsid w:val="00E90B5E"/>
    <w:rsid w:val="00E92DE1"/>
    <w:rsid w:val="00E93717"/>
    <w:rsid w:val="00E94339"/>
    <w:rsid w:val="00E944FD"/>
    <w:rsid w:val="00E94FA2"/>
    <w:rsid w:val="00E9546A"/>
    <w:rsid w:val="00E95563"/>
    <w:rsid w:val="00E97CCA"/>
    <w:rsid w:val="00E97E2B"/>
    <w:rsid w:val="00EA0177"/>
    <w:rsid w:val="00EA0D5B"/>
    <w:rsid w:val="00EA3FF6"/>
    <w:rsid w:val="00EA6DC0"/>
    <w:rsid w:val="00EA7FBE"/>
    <w:rsid w:val="00EB0C5B"/>
    <w:rsid w:val="00EB159B"/>
    <w:rsid w:val="00EB2033"/>
    <w:rsid w:val="00EB2481"/>
    <w:rsid w:val="00EB257B"/>
    <w:rsid w:val="00EB2A1F"/>
    <w:rsid w:val="00EB2D88"/>
    <w:rsid w:val="00EB370F"/>
    <w:rsid w:val="00EB404A"/>
    <w:rsid w:val="00EB5234"/>
    <w:rsid w:val="00EB610E"/>
    <w:rsid w:val="00EB722E"/>
    <w:rsid w:val="00EC0E72"/>
    <w:rsid w:val="00EC2028"/>
    <w:rsid w:val="00EC2317"/>
    <w:rsid w:val="00EC25BA"/>
    <w:rsid w:val="00EC2990"/>
    <w:rsid w:val="00EC2A4D"/>
    <w:rsid w:val="00EC43F0"/>
    <w:rsid w:val="00EC4BBD"/>
    <w:rsid w:val="00EC4FBB"/>
    <w:rsid w:val="00EC61E5"/>
    <w:rsid w:val="00EC63BD"/>
    <w:rsid w:val="00EC6654"/>
    <w:rsid w:val="00EC67A3"/>
    <w:rsid w:val="00EC7EEF"/>
    <w:rsid w:val="00ED1037"/>
    <w:rsid w:val="00ED11BA"/>
    <w:rsid w:val="00ED1764"/>
    <w:rsid w:val="00ED200B"/>
    <w:rsid w:val="00ED2520"/>
    <w:rsid w:val="00ED2E12"/>
    <w:rsid w:val="00ED3EDC"/>
    <w:rsid w:val="00ED4F03"/>
    <w:rsid w:val="00ED52B2"/>
    <w:rsid w:val="00ED552A"/>
    <w:rsid w:val="00EE0ADC"/>
    <w:rsid w:val="00EE173D"/>
    <w:rsid w:val="00EE231A"/>
    <w:rsid w:val="00EE24D6"/>
    <w:rsid w:val="00EE289F"/>
    <w:rsid w:val="00EE59C6"/>
    <w:rsid w:val="00EE69B9"/>
    <w:rsid w:val="00EE75E5"/>
    <w:rsid w:val="00EF0066"/>
    <w:rsid w:val="00EF1864"/>
    <w:rsid w:val="00EF26B4"/>
    <w:rsid w:val="00EF33BF"/>
    <w:rsid w:val="00EF41F1"/>
    <w:rsid w:val="00EF6E6D"/>
    <w:rsid w:val="00EF775A"/>
    <w:rsid w:val="00F00020"/>
    <w:rsid w:val="00F00DA4"/>
    <w:rsid w:val="00F01A7F"/>
    <w:rsid w:val="00F02E36"/>
    <w:rsid w:val="00F03426"/>
    <w:rsid w:val="00F04707"/>
    <w:rsid w:val="00F04ACD"/>
    <w:rsid w:val="00F04D5B"/>
    <w:rsid w:val="00F0539D"/>
    <w:rsid w:val="00F0571B"/>
    <w:rsid w:val="00F07867"/>
    <w:rsid w:val="00F107A8"/>
    <w:rsid w:val="00F10F01"/>
    <w:rsid w:val="00F110F6"/>
    <w:rsid w:val="00F11D6E"/>
    <w:rsid w:val="00F122E7"/>
    <w:rsid w:val="00F13D28"/>
    <w:rsid w:val="00F14BA7"/>
    <w:rsid w:val="00F152B2"/>
    <w:rsid w:val="00F16949"/>
    <w:rsid w:val="00F16D8C"/>
    <w:rsid w:val="00F17C72"/>
    <w:rsid w:val="00F17D2D"/>
    <w:rsid w:val="00F20894"/>
    <w:rsid w:val="00F20D34"/>
    <w:rsid w:val="00F22AEB"/>
    <w:rsid w:val="00F22AFE"/>
    <w:rsid w:val="00F23754"/>
    <w:rsid w:val="00F237A4"/>
    <w:rsid w:val="00F23F6D"/>
    <w:rsid w:val="00F24087"/>
    <w:rsid w:val="00F24A5E"/>
    <w:rsid w:val="00F265F6"/>
    <w:rsid w:val="00F26653"/>
    <w:rsid w:val="00F27291"/>
    <w:rsid w:val="00F2770C"/>
    <w:rsid w:val="00F31113"/>
    <w:rsid w:val="00F314C0"/>
    <w:rsid w:val="00F32457"/>
    <w:rsid w:val="00F32541"/>
    <w:rsid w:val="00F3254D"/>
    <w:rsid w:val="00F32569"/>
    <w:rsid w:val="00F33889"/>
    <w:rsid w:val="00F357FA"/>
    <w:rsid w:val="00F35C22"/>
    <w:rsid w:val="00F37FE3"/>
    <w:rsid w:val="00F41337"/>
    <w:rsid w:val="00F4140B"/>
    <w:rsid w:val="00F41940"/>
    <w:rsid w:val="00F44405"/>
    <w:rsid w:val="00F44796"/>
    <w:rsid w:val="00F44D8E"/>
    <w:rsid w:val="00F46255"/>
    <w:rsid w:val="00F47DC5"/>
    <w:rsid w:val="00F50A23"/>
    <w:rsid w:val="00F50E9F"/>
    <w:rsid w:val="00F518F3"/>
    <w:rsid w:val="00F5367B"/>
    <w:rsid w:val="00F54B12"/>
    <w:rsid w:val="00F5608F"/>
    <w:rsid w:val="00F6027C"/>
    <w:rsid w:val="00F60DAD"/>
    <w:rsid w:val="00F60DE0"/>
    <w:rsid w:val="00F617DE"/>
    <w:rsid w:val="00F6194D"/>
    <w:rsid w:val="00F61F8E"/>
    <w:rsid w:val="00F62233"/>
    <w:rsid w:val="00F6251B"/>
    <w:rsid w:val="00F626C6"/>
    <w:rsid w:val="00F62CF6"/>
    <w:rsid w:val="00F63405"/>
    <w:rsid w:val="00F63C7A"/>
    <w:rsid w:val="00F64156"/>
    <w:rsid w:val="00F6576A"/>
    <w:rsid w:val="00F66FA6"/>
    <w:rsid w:val="00F67BD1"/>
    <w:rsid w:val="00F70C8A"/>
    <w:rsid w:val="00F71087"/>
    <w:rsid w:val="00F71242"/>
    <w:rsid w:val="00F7246A"/>
    <w:rsid w:val="00F73A04"/>
    <w:rsid w:val="00F74DE7"/>
    <w:rsid w:val="00F76A83"/>
    <w:rsid w:val="00F774C8"/>
    <w:rsid w:val="00F802C8"/>
    <w:rsid w:val="00F81D96"/>
    <w:rsid w:val="00F826E7"/>
    <w:rsid w:val="00F82C6C"/>
    <w:rsid w:val="00F83978"/>
    <w:rsid w:val="00F83ED3"/>
    <w:rsid w:val="00F857B4"/>
    <w:rsid w:val="00F85C14"/>
    <w:rsid w:val="00F85C44"/>
    <w:rsid w:val="00F85F4D"/>
    <w:rsid w:val="00F86002"/>
    <w:rsid w:val="00F86371"/>
    <w:rsid w:val="00F86C88"/>
    <w:rsid w:val="00F86D13"/>
    <w:rsid w:val="00F87535"/>
    <w:rsid w:val="00F91915"/>
    <w:rsid w:val="00F921C0"/>
    <w:rsid w:val="00F92282"/>
    <w:rsid w:val="00F9337A"/>
    <w:rsid w:val="00F962B4"/>
    <w:rsid w:val="00F972B0"/>
    <w:rsid w:val="00FA0210"/>
    <w:rsid w:val="00FA2BF8"/>
    <w:rsid w:val="00FA381D"/>
    <w:rsid w:val="00FA3AA3"/>
    <w:rsid w:val="00FA4324"/>
    <w:rsid w:val="00FA538C"/>
    <w:rsid w:val="00FA5C2C"/>
    <w:rsid w:val="00FA5D62"/>
    <w:rsid w:val="00FA6040"/>
    <w:rsid w:val="00FA6293"/>
    <w:rsid w:val="00FA6373"/>
    <w:rsid w:val="00FA686A"/>
    <w:rsid w:val="00FA6C96"/>
    <w:rsid w:val="00FA7214"/>
    <w:rsid w:val="00FB00F7"/>
    <w:rsid w:val="00FB08CC"/>
    <w:rsid w:val="00FB1304"/>
    <w:rsid w:val="00FB1514"/>
    <w:rsid w:val="00FB3686"/>
    <w:rsid w:val="00FB3CD7"/>
    <w:rsid w:val="00FB4545"/>
    <w:rsid w:val="00FB478F"/>
    <w:rsid w:val="00FB5045"/>
    <w:rsid w:val="00FB56BD"/>
    <w:rsid w:val="00FB578C"/>
    <w:rsid w:val="00FB58BB"/>
    <w:rsid w:val="00FB597D"/>
    <w:rsid w:val="00FB634D"/>
    <w:rsid w:val="00FB66D9"/>
    <w:rsid w:val="00FC0D59"/>
    <w:rsid w:val="00FC1A5C"/>
    <w:rsid w:val="00FC1C53"/>
    <w:rsid w:val="00FC1D2A"/>
    <w:rsid w:val="00FC2D03"/>
    <w:rsid w:val="00FC2D4C"/>
    <w:rsid w:val="00FC39EA"/>
    <w:rsid w:val="00FC469C"/>
    <w:rsid w:val="00FC4943"/>
    <w:rsid w:val="00FC56B8"/>
    <w:rsid w:val="00FC5CFE"/>
    <w:rsid w:val="00FC60B8"/>
    <w:rsid w:val="00FC6DE6"/>
    <w:rsid w:val="00FD0A9D"/>
    <w:rsid w:val="00FD0A9E"/>
    <w:rsid w:val="00FD0F14"/>
    <w:rsid w:val="00FD15AF"/>
    <w:rsid w:val="00FD2F1A"/>
    <w:rsid w:val="00FD3053"/>
    <w:rsid w:val="00FD3715"/>
    <w:rsid w:val="00FD37D0"/>
    <w:rsid w:val="00FD440C"/>
    <w:rsid w:val="00FD4EC8"/>
    <w:rsid w:val="00FD5E81"/>
    <w:rsid w:val="00FD7F01"/>
    <w:rsid w:val="00FE0775"/>
    <w:rsid w:val="00FE0F88"/>
    <w:rsid w:val="00FE3782"/>
    <w:rsid w:val="00FE3AC5"/>
    <w:rsid w:val="00FE44CF"/>
    <w:rsid w:val="00FE4721"/>
    <w:rsid w:val="00FE4D2A"/>
    <w:rsid w:val="00FE4FD0"/>
    <w:rsid w:val="00FE5051"/>
    <w:rsid w:val="00FE53DC"/>
    <w:rsid w:val="00FE5839"/>
    <w:rsid w:val="00FE5B58"/>
    <w:rsid w:val="00FE6E80"/>
    <w:rsid w:val="00FF02E4"/>
    <w:rsid w:val="00FF2F3F"/>
    <w:rsid w:val="00FF58A5"/>
    <w:rsid w:val="00FF58F3"/>
    <w:rsid w:val="00FF5AA4"/>
    <w:rsid w:val="00FF6251"/>
    <w:rsid w:val="00FF7151"/>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6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paragraph" w:styleId="BodyText">
    <w:name w:val="Body Text"/>
    <w:basedOn w:val="Normal"/>
    <w:link w:val="BodyTextChar"/>
    <w:uiPriority w:val="1"/>
    <w:qFormat/>
    <w:rsid w:val="00222D61"/>
    <w:pPr>
      <w:widowControl w:val="0"/>
      <w:ind w:left="120"/>
    </w:pPr>
    <w:rPr>
      <w:rFonts w:cstheme="minorBidi"/>
      <w:szCs w:val="24"/>
    </w:rPr>
  </w:style>
  <w:style w:type="character" w:customStyle="1" w:styleId="BodyTextChar">
    <w:name w:val="Body Text Char"/>
    <w:basedOn w:val="DefaultParagraphFont"/>
    <w:link w:val="BodyText"/>
    <w:uiPriority w:val="1"/>
    <w:rsid w:val="00222D61"/>
    <w:rPr>
      <w:rFonts w:ascii="Times New Roman" w:eastAsia="Times New Roman" w:hAnsi="Times New Roman" w:cstheme="minorBidi"/>
      <w:sz w:val="24"/>
      <w:szCs w:val="24"/>
    </w:rPr>
  </w:style>
  <w:style w:type="character" w:customStyle="1" w:styleId="normal0020tablechar">
    <w:name w:val="normal_0020table__char"/>
    <w:basedOn w:val="DefaultParagraphFont"/>
    <w:rsid w:val="00222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cc-csc.ca/case-dossier/info/sum-som-eng.aspx?cas=37367" TargetMode="External"/><Relationship Id="rId18" Type="http://schemas.openxmlformats.org/officeDocument/2006/relationships/hyperlink" Target="http://www.scc-csc.ca/case-dossier/info/sum-som-eng.aspx?cas=37388" TargetMode="External"/><Relationship Id="rId26" Type="http://schemas.openxmlformats.org/officeDocument/2006/relationships/hyperlink" Target="http://www.canlii.org/en/mb/mbca/doc/2016/2016mbca114/2016mbca114.html?autocompleteStr=2016%20MBCA%20114&amp;autocompletePos=1" TargetMode="External"/><Relationship Id="rId39" Type="http://schemas.openxmlformats.org/officeDocument/2006/relationships/hyperlink" Target="http://canlii.ca/t/gscmn" TargetMode="External"/><Relationship Id="rId21" Type="http://schemas.openxmlformats.org/officeDocument/2006/relationships/hyperlink" Target="http://www.canlii.org/en/ns/nssc/doc/2014/2014nssc371/2014nssc371.html?autocompleteStr=2014%20nssc%20371&amp;autocompletePos=1" TargetMode="External"/><Relationship Id="rId34" Type="http://schemas.openxmlformats.org/officeDocument/2006/relationships/hyperlink" Target="http://canlii.ca/t/glzrz" TargetMode="External"/><Relationship Id="rId42" Type="http://schemas.openxmlformats.org/officeDocument/2006/relationships/hyperlink" Target="http://canlii.ca/t/gv8zm" TargetMode="External"/><Relationship Id="rId47" Type="http://schemas.openxmlformats.org/officeDocument/2006/relationships/hyperlink" Target="http://www.canlii.org/en/on/onsc/doc/2015/2015canlii7692/2015canlii7692.html" TargetMode="External"/><Relationship Id="rId50" Type="http://schemas.openxmlformats.org/officeDocument/2006/relationships/hyperlink" Target="http://www.canlii.org/en/ca/tcc/doc/2014/2014tcc254/2014tcc254.html?autocompleteStr=2014%20TCC%20254&amp;autocompletePos=1" TargetMode="External"/><Relationship Id="rId55" Type="http://schemas.openxmlformats.org/officeDocument/2006/relationships/hyperlink" Target="http://canlii.ca/t/gs4rg"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cc-csc.ca/case-dossier/info/sum-som-eng.aspx?cas=37230" TargetMode="External"/><Relationship Id="rId20" Type="http://schemas.openxmlformats.org/officeDocument/2006/relationships/hyperlink" Target="http://www.canlii.org/en/ns/nsca/doc/2016/2016nsca67/2016nsca67.html?resultIndex=1" TargetMode="External"/><Relationship Id="rId29" Type="http://schemas.openxmlformats.org/officeDocument/2006/relationships/hyperlink" Target="http://www.canlii.org/en/qc/qccs/doc/2016/2016qccs2035/2016qccs2035.html?autocompleteStr=orsini%20cana&amp;autocompletePos=1" TargetMode="External"/><Relationship Id="rId41" Type="http://schemas.openxmlformats.org/officeDocument/2006/relationships/hyperlink" Target="http://canlii.ca/t/gkrb1" TargetMode="External"/><Relationship Id="rId54" Type="http://schemas.openxmlformats.org/officeDocument/2006/relationships/hyperlink" Target="http://canlii.ca/t/gs4rg"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eng.aspx?cas=37208" TargetMode="External"/><Relationship Id="rId24" Type="http://schemas.openxmlformats.org/officeDocument/2006/relationships/hyperlink" Target="http://www.canlii.org/en/mb/mbca/doc/2016/2016mbca114/2016mbca114.html?autocompleteStr=2016%20MBCA%20114&amp;autocompletePos=1" TargetMode="External"/><Relationship Id="rId32" Type="http://schemas.openxmlformats.org/officeDocument/2006/relationships/hyperlink" Target="https://www.canlii.org/en/ca/fca/doc/2016/2016fca200/2016fca200.html?autocompleteStr=2016%20FCA%20200&amp;autocompletePos=1" TargetMode="External"/><Relationship Id="rId37" Type="http://schemas.openxmlformats.org/officeDocument/2006/relationships/hyperlink" Target="http://www.canlii.org/en/bc/bcca/doc/2016/2016bcca416/2016bcca416.html?autocompleteStr=2016%20BCCA%20416&amp;autocompletePos=1" TargetMode="External"/><Relationship Id="rId40" Type="http://schemas.openxmlformats.org/officeDocument/2006/relationships/hyperlink" Target="http://canlii.ca/t/gscmn" TargetMode="External"/><Relationship Id="rId45" Type="http://schemas.openxmlformats.org/officeDocument/2006/relationships/hyperlink" Target="http://canlii.ca/t/gsm41" TargetMode="External"/><Relationship Id="rId53" Type="http://schemas.openxmlformats.org/officeDocument/2006/relationships/hyperlink" Target="http://www.canlii.org/en/ca/fca/doc/2016/2016fca236/2016fca236.html?autocompleteStr=2016%20FCA%20236&amp;autocompletePos=1" TargetMode="External"/><Relationship Id="rId58"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scc-csc.ca/case-dossier/info/sum-som-eng.aspx?cas=37351" TargetMode="External"/><Relationship Id="rId23" Type="http://schemas.openxmlformats.org/officeDocument/2006/relationships/hyperlink" Target="http://www.canlii.org/en/mb/mbqb/doc/2014/2014mbqb227/2014mbqb227.html?autocompleteStr=2014%20MBQB%20227&amp;autocompletePos=1" TargetMode="External"/><Relationship Id="rId28" Type="http://schemas.openxmlformats.org/officeDocument/2006/relationships/hyperlink" Target="http://www.canlii.org/en/qc/qcca/doc/2016/2016qcca1579/2016qcca1579.html" TargetMode="External"/><Relationship Id="rId36" Type="http://schemas.openxmlformats.org/officeDocument/2006/relationships/hyperlink" Target="http://www.canlii.org/en/nb/nbca/doc/2016/2016nbca39/2016nbca39.html?resultIndex=1" TargetMode="External"/><Relationship Id="rId49" Type="http://schemas.openxmlformats.org/officeDocument/2006/relationships/hyperlink" Target="http://canlii.ca/t/gvkbw" TargetMode="External"/><Relationship Id="rId57" Type="http://schemas.openxmlformats.org/officeDocument/2006/relationships/header" Target="header1.xml"/><Relationship Id="rId61" Type="http://schemas.openxmlformats.org/officeDocument/2006/relationships/header" Target="header3.xml"/><Relationship Id="rId10" Type="http://schemas.openxmlformats.org/officeDocument/2006/relationships/hyperlink" Target="http://www.scc-csc.ca/case-dossier/info/sum-som-eng.aspx?cas=37364" TargetMode="External"/><Relationship Id="rId19" Type="http://schemas.openxmlformats.org/officeDocument/2006/relationships/hyperlink" Target="http://www.canlii.org/en/ns/nssc/doc/2014/2014nssc371/2014nssc371.html?autocompleteStr=2014%20nssc%20371&amp;autocompletePos=1" TargetMode="External"/><Relationship Id="rId31" Type="http://schemas.openxmlformats.org/officeDocument/2006/relationships/hyperlink" Target="https://www.canlii.org/en/ca/fct/doc/2015/2015fc398/2015fc398.html?autocompleteStr=2015%20FC%20398&amp;autocompletePos=1" TargetMode="External"/><Relationship Id="rId44" Type="http://schemas.openxmlformats.org/officeDocument/2006/relationships/hyperlink" Target="http://www.canlii.org/en/on/onsc/doc/2015/2015canlii7692/2015canlii7692.html" TargetMode="External"/><Relationship Id="rId52" Type="http://schemas.openxmlformats.org/officeDocument/2006/relationships/hyperlink" Target="http://www.canlii.org/fr/ca/cci/doc/2014/2014cci254/2014cci254.html"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cc-csc.ca/case-dossier/info/sum-som-eng.aspx?cas=37385" TargetMode="External"/><Relationship Id="rId14" Type="http://schemas.openxmlformats.org/officeDocument/2006/relationships/hyperlink" Target="http://www.scc-csc.ca/case-dossier/info/sum-som-eng.aspx?cas=37321" TargetMode="External"/><Relationship Id="rId22" Type="http://schemas.openxmlformats.org/officeDocument/2006/relationships/hyperlink" Target="http://www.canlii.org/en/ns/nsca/doc/2016/2016nsca67/2016nsca67.html?resultIndex=1" TargetMode="External"/><Relationship Id="rId27" Type="http://schemas.openxmlformats.org/officeDocument/2006/relationships/hyperlink" Target="http://www.canlii.org/en/qc/qccs/doc/2016/2016qccs2035/2016qccs2035.html?autocompleteStr=orsini%20cana&amp;autocompletePos=1" TargetMode="External"/><Relationship Id="rId30" Type="http://schemas.openxmlformats.org/officeDocument/2006/relationships/hyperlink" Target="http://www.canlii.org/en/qc/qcca/doc/2016/2016qcca1579/2016qcca1579.html" TargetMode="External"/><Relationship Id="rId35" Type="http://schemas.openxmlformats.org/officeDocument/2006/relationships/hyperlink" Target="http://www.canlii.org/en/nb/nbca/doc/2016/2016nbca39/2016nbca39.html?resultIndex=1" TargetMode="External"/><Relationship Id="rId43" Type="http://schemas.openxmlformats.org/officeDocument/2006/relationships/hyperlink" Target="http://canlii.ca/t/gv8zm" TargetMode="External"/><Relationship Id="rId48" Type="http://schemas.openxmlformats.org/officeDocument/2006/relationships/hyperlink" Target="http://canlii.ca/t/gsm41" TargetMode="External"/><Relationship Id="rId56" Type="http://schemas.openxmlformats.org/officeDocument/2006/relationships/hyperlink" Target="mailto:comments-commentaires@scc-csc.ca" TargetMode="External"/><Relationship Id="rId64" Type="http://schemas.openxmlformats.org/officeDocument/2006/relationships/theme" Target="theme/theme1.xml"/><Relationship Id="rId8" Type="http://schemas.openxmlformats.org/officeDocument/2006/relationships/hyperlink" Target="http://www.scc-csc.ca/case-dossier/info/sum-som-eng.aspx?cas=37337" TargetMode="External"/><Relationship Id="rId51" Type="http://schemas.openxmlformats.org/officeDocument/2006/relationships/hyperlink" Target="http://www.canlii.org/en/ca/fca/doc/2016/2016fca236/2016fca236.html?autocompleteStr=2016%20FCA%20236&amp;autocompletePos=1" TargetMode="External"/><Relationship Id="rId3" Type="http://schemas.openxmlformats.org/officeDocument/2006/relationships/styles" Target="styles.xml"/><Relationship Id="rId12" Type="http://schemas.openxmlformats.org/officeDocument/2006/relationships/hyperlink" Target="http://www.scc-csc.ca/case-dossier/info/sum-som-fra.aspx?cas=37350" TargetMode="External"/><Relationship Id="rId17" Type="http://schemas.openxmlformats.org/officeDocument/2006/relationships/hyperlink" Target="http://www.scc-csc.ca/case-dossier/info/sum-som-eng.aspx?cas=37299" TargetMode="External"/><Relationship Id="rId25" Type="http://schemas.openxmlformats.org/officeDocument/2006/relationships/hyperlink" Target="http://www.canlii.org/en/mb/mbqb/doc/2014/2014mbqb227/2014mbqb227.html?autocompleteStr=2014%20MBQB%20227&amp;autocompletePos=1" TargetMode="External"/><Relationship Id="rId33" Type="http://schemas.openxmlformats.org/officeDocument/2006/relationships/hyperlink" Target="https://www.canlii.org/en/ca/fca/doc/2016/2016fca200/2016fca200.html?autocompleteStr=2016%20FCA%20200&amp;autocompletePos=1" TargetMode="External"/><Relationship Id="rId38" Type="http://schemas.openxmlformats.org/officeDocument/2006/relationships/hyperlink" Target="http://www.canlii.org/en/bc/bcca/doc/2016/2016bcca416/2016bcca416.html?autocompleteStr=2016%20BCCA%20416&amp;autocompletePos=1" TargetMode="External"/><Relationship Id="rId46" Type="http://schemas.openxmlformats.org/officeDocument/2006/relationships/hyperlink" Target="http://canlii.ca/t/gvkbw"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581BEE-475D-4853-B8FE-41E39ED87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9615</Words>
  <Characters>54811</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64298</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2017-03-27T12:15:00Z</dcterms:created>
  <dcterms:modified xsi:type="dcterms:W3CDTF">2017-03-29T18:28:00Z</dcterms:modified>
</cp:coreProperties>
</file>