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F5C96" w:rsidRDefault="003F43E6" w:rsidP="00122CE1">
      <w:pPr>
        <w:pStyle w:val="Header"/>
        <w:tabs>
          <w:tab w:val="left" w:pos="1620"/>
          <w:tab w:val="left" w:pos="1710"/>
        </w:tabs>
        <w:jc w:val="center"/>
        <w:rPr>
          <w:b/>
          <w:sz w:val="32"/>
        </w:rPr>
      </w:pPr>
      <w:r w:rsidRPr="00AF5C96">
        <w:rPr>
          <w:b/>
          <w:sz w:val="32"/>
        </w:rPr>
        <w:t>Supreme Court of Canada / Cour suprême du Canada</w:t>
      </w:r>
    </w:p>
    <w:p w:rsidR="003F43E6" w:rsidRPr="00AF5C96" w:rsidRDefault="003F43E6" w:rsidP="006F2579">
      <w:pPr>
        <w:widowControl w:val="0"/>
        <w:rPr>
          <w:i/>
        </w:rPr>
      </w:pPr>
    </w:p>
    <w:p w:rsidR="006F2579" w:rsidRPr="00AF5C96" w:rsidRDefault="006F2579" w:rsidP="006F2579">
      <w:pPr>
        <w:widowControl w:val="0"/>
        <w:rPr>
          <w:i/>
        </w:rPr>
      </w:pPr>
      <w:r w:rsidRPr="00AF5C96">
        <w:rPr>
          <w:i/>
        </w:rPr>
        <w:t>(le français suit)</w:t>
      </w:r>
    </w:p>
    <w:p w:rsidR="006F2579" w:rsidRPr="00AF5C96" w:rsidRDefault="006F2579" w:rsidP="006F2579">
      <w:pPr>
        <w:widowControl w:val="0"/>
      </w:pPr>
    </w:p>
    <w:p w:rsidR="006F2579" w:rsidRPr="00AF5C96" w:rsidRDefault="00B07908" w:rsidP="006F2579">
      <w:pPr>
        <w:widowControl w:val="0"/>
        <w:jc w:val="center"/>
        <w:rPr>
          <w:b/>
        </w:rPr>
      </w:pPr>
      <w:r w:rsidRPr="00AF5C96">
        <w:fldChar w:fldCharType="begin"/>
      </w:r>
      <w:r w:rsidR="006F2579" w:rsidRPr="00AF5C96">
        <w:instrText xml:space="preserve"> SEQ CHAPTER \h \r 1</w:instrText>
      </w:r>
      <w:r w:rsidRPr="00AF5C96">
        <w:fldChar w:fldCharType="end"/>
      </w:r>
      <w:r w:rsidR="006F2579" w:rsidRPr="00AF5C96">
        <w:rPr>
          <w:b/>
        </w:rPr>
        <w:t>JUDGMENT</w:t>
      </w:r>
      <w:r w:rsidR="00B17AAC" w:rsidRPr="00AF5C96">
        <w:rPr>
          <w:b/>
        </w:rPr>
        <w:t>S</w:t>
      </w:r>
      <w:r w:rsidR="006F2579" w:rsidRPr="00AF5C96">
        <w:rPr>
          <w:b/>
        </w:rPr>
        <w:t xml:space="preserve"> TO B</w:t>
      </w:r>
      <w:r w:rsidR="00001846" w:rsidRPr="00AF5C96">
        <w:rPr>
          <w:b/>
        </w:rPr>
        <w:t>E RENDERED IN LEAVE APPLICATION</w:t>
      </w:r>
      <w:r w:rsidR="00AE4C09" w:rsidRPr="00AF5C96">
        <w:rPr>
          <w:b/>
        </w:rPr>
        <w:t>S</w:t>
      </w:r>
    </w:p>
    <w:p w:rsidR="006F2579" w:rsidRPr="00AF5C96" w:rsidRDefault="006F2579" w:rsidP="006F2579">
      <w:pPr>
        <w:widowControl w:val="0"/>
      </w:pPr>
    </w:p>
    <w:p w:rsidR="006F2579" w:rsidRPr="00AF5C96" w:rsidRDefault="00A93498" w:rsidP="006F2579">
      <w:pPr>
        <w:widowControl w:val="0"/>
        <w:rPr>
          <w:b/>
        </w:rPr>
      </w:pPr>
      <w:r w:rsidRPr="00AF5C96">
        <w:rPr>
          <w:b/>
        </w:rPr>
        <w:t>Ju</w:t>
      </w:r>
      <w:r w:rsidR="00252675" w:rsidRPr="00AF5C96">
        <w:rPr>
          <w:b/>
        </w:rPr>
        <w:t>ly</w:t>
      </w:r>
      <w:r w:rsidR="00FD37D0" w:rsidRPr="00AF5C96">
        <w:rPr>
          <w:b/>
        </w:rPr>
        <w:t xml:space="preserve"> </w:t>
      </w:r>
      <w:r w:rsidR="00780317">
        <w:rPr>
          <w:b/>
        </w:rPr>
        <w:t>31</w:t>
      </w:r>
      <w:r w:rsidR="00AB5538" w:rsidRPr="00AF5C96">
        <w:rPr>
          <w:b/>
        </w:rPr>
        <w:t>,</w:t>
      </w:r>
      <w:r w:rsidR="006F2579" w:rsidRPr="00AF5C96">
        <w:rPr>
          <w:b/>
        </w:rPr>
        <w:t xml:space="preserve"> </w:t>
      </w:r>
      <w:r w:rsidR="0054689F" w:rsidRPr="00AF5C96">
        <w:rPr>
          <w:b/>
        </w:rPr>
        <w:t>201</w:t>
      </w:r>
      <w:r w:rsidR="00A151D1" w:rsidRPr="00AF5C96">
        <w:rPr>
          <w:b/>
        </w:rPr>
        <w:t>7</w:t>
      </w:r>
    </w:p>
    <w:p w:rsidR="006F2579" w:rsidRPr="00AF5C96" w:rsidRDefault="006F2579" w:rsidP="006F2579">
      <w:pPr>
        <w:widowControl w:val="0"/>
        <w:rPr>
          <w:b/>
        </w:rPr>
      </w:pPr>
      <w:r w:rsidRPr="00AF5C96">
        <w:rPr>
          <w:b/>
        </w:rPr>
        <w:t>For immediate release</w:t>
      </w:r>
    </w:p>
    <w:p w:rsidR="006F2579" w:rsidRPr="00AF5C96" w:rsidRDefault="006F2579" w:rsidP="006F2579">
      <w:pPr>
        <w:widowControl w:val="0"/>
      </w:pPr>
    </w:p>
    <w:p w:rsidR="006F2579" w:rsidRPr="00486FEB" w:rsidRDefault="006F2579" w:rsidP="006F2579">
      <w:pPr>
        <w:widowControl w:val="0"/>
        <w:rPr>
          <w:lang w:val="fr-CA"/>
        </w:rPr>
      </w:pPr>
      <w:r w:rsidRPr="00AF5C96">
        <w:rPr>
          <w:b/>
        </w:rPr>
        <w:t>OTTAWA</w:t>
      </w:r>
      <w:r w:rsidRPr="00AF5C96">
        <w:t xml:space="preserve"> – The Supreme Court of Canad</w:t>
      </w:r>
      <w:r w:rsidR="006246E4" w:rsidRPr="00AF5C96">
        <w:t>a</w:t>
      </w:r>
      <w:r w:rsidRPr="00AF5C96">
        <w:t xml:space="preserve"> announced today that judgment in the following application</w:t>
      </w:r>
      <w:r w:rsidR="008600ED" w:rsidRPr="00AF5C96">
        <w:t>s</w:t>
      </w:r>
      <w:r w:rsidRPr="00AF5C96">
        <w:t xml:space="preserve"> for leave to appeal will be delivered at 9:45 a.m. E</w:t>
      </w:r>
      <w:r w:rsidR="009F6DB9" w:rsidRPr="00AF5C96">
        <w:t>D</w:t>
      </w:r>
      <w:r w:rsidRPr="00AF5C96">
        <w:t xml:space="preserve">T on Thursday, </w:t>
      </w:r>
      <w:r w:rsidR="00780317">
        <w:t>August 3</w:t>
      </w:r>
      <w:r w:rsidR="007E112F" w:rsidRPr="00AF5C96">
        <w:t>,</w:t>
      </w:r>
      <w:r w:rsidR="002F38D7" w:rsidRPr="00AF5C96">
        <w:t xml:space="preserve"> </w:t>
      </w:r>
      <w:r w:rsidR="006648D1" w:rsidRPr="00AF5C96">
        <w:t>201</w:t>
      </w:r>
      <w:r w:rsidR="00A151D1" w:rsidRPr="00AF5C96">
        <w:t>7</w:t>
      </w:r>
      <w:r w:rsidRPr="00AF5C96">
        <w:t xml:space="preserve">. </w:t>
      </w:r>
      <w:r w:rsidRPr="00486FEB">
        <w:rPr>
          <w:lang w:val="fr-CA"/>
        </w:rPr>
        <w:t>This list is subject to chang</w:t>
      </w:r>
      <w:r w:rsidR="00192F7F" w:rsidRPr="00486FEB">
        <w:rPr>
          <w:lang w:val="fr-CA"/>
        </w:rPr>
        <w:t>e</w:t>
      </w:r>
      <w:r w:rsidRPr="00486FEB">
        <w:rPr>
          <w:lang w:val="fr-CA"/>
        </w:rPr>
        <w:t>.</w:t>
      </w:r>
    </w:p>
    <w:p w:rsidR="00FF5AA4" w:rsidRPr="00486FEB" w:rsidRDefault="00FF5AA4" w:rsidP="006F2579">
      <w:pPr>
        <w:widowControl w:val="0"/>
        <w:rPr>
          <w:lang w:val="fr-CA"/>
        </w:rPr>
      </w:pPr>
    </w:p>
    <w:p w:rsidR="00B43418" w:rsidRPr="00486FEB" w:rsidRDefault="00B43418" w:rsidP="006F2579">
      <w:pPr>
        <w:widowControl w:val="0"/>
        <w:rPr>
          <w:lang w:val="fr-CA"/>
        </w:rPr>
      </w:pPr>
    </w:p>
    <w:p w:rsidR="006F2579" w:rsidRPr="00AF5C96" w:rsidRDefault="006F2579" w:rsidP="006F2579">
      <w:pPr>
        <w:widowControl w:val="0"/>
        <w:jc w:val="center"/>
        <w:rPr>
          <w:lang w:val="fr-CA"/>
        </w:rPr>
      </w:pPr>
      <w:r w:rsidRPr="00AF5C96">
        <w:rPr>
          <w:b/>
          <w:lang w:val="fr-CA"/>
        </w:rPr>
        <w:t>PROCHAIN</w:t>
      </w:r>
      <w:r w:rsidR="00B17AAC" w:rsidRPr="00AF5C96">
        <w:rPr>
          <w:b/>
          <w:lang w:val="fr-CA"/>
        </w:rPr>
        <w:t>S</w:t>
      </w:r>
      <w:r w:rsidRPr="00AF5C96">
        <w:rPr>
          <w:b/>
          <w:lang w:val="fr-CA"/>
        </w:rPr>
        <w:t xml:space="preserve"> JUGEMENT</w:t>
      </w:r>
      <w:r w:rsidR="00B17AAC" w:rsidRPr="00AF5C96">
        <w:rPr>
          <w:b/>
          <w:lang w:val="fr-CA"/>
        </w:rPr>
        <w:t>S</w:t>
      </w:r>
      <w:r w:rsidR="00001846" w:rsidRPr="00AF5C96">
        <w:rPr>
          <w:b/>
          <w:lang w:val="fr-CA"/>
        </w:rPr>
        <w:t xml:space="preserve"> SUR DEMANDE</w:t>
      </w:r>
      <w:r w:rsidR="00B17AAC" w:rsidRPr="00AF5C96">
        <w:rPr>
          <w:b/>
          <w:lang w:val="fr-CA"/>
        </w:rPr>
        <w:t>S</w:t>
      </w:r>
      <w:r w:rsidRPr="00AF5C96">
        <w:rPr>
          <w:b/>
          <w:lang w:val="fr-CA"/>
        </w:rPr>
        <w:t xml:space="preserve"> D’AUTORISATION</w:t>
      </w:r>
    </w:p>
    <w:p w:rsidR="006F2579" w:rsidRPr="00AF5C96" w:rsidRDefault="006F2579" w:rsidP="006F2579">
      <w:pPr>
        <w:widowControl w:val="0"/>
        <w:rPr>
          <w:lang w:val="fr-CA"/>
        </w:rPr>
      </w:pPr>
    </w:p>
    <w:p w:rsidR="006F2579" w:rsidRPr="00AF5C96" w:rsidRDefault="006F2579" w:rsidP="006F2579">
      <w:pPr>
        <w:widowControl w:val="0"/>
        <w:rPr>
          <w:b/>
          <w:lang w:val="fr-CA"/>
        </w:rPr>
      </w:pPr>
      <w:r w:rsidRPr="00AF5C96">
        <w:rPr>
          <w:b/>
          <w:lang w:val="fr-CA"/>
        </w:rPr>
        <w:t>Le</w:t>
      </w:r>
      <w:r w:rsidR="00957A76" w:rsidRPr="00AF5C96">
        <w:rPr>
          <w:b/>
          <w:lang w:val="fr-CA"/>
        </w:rPr>
        <w:t xml:space="preserve"> </w:t>
      </w:r>
      <w:r w:rsidR="00780317">
        <w:rPr>
          <w:b/>
          <w:lang w:val="fr-CA"/>
        </w:rPr>
        <w:t>31</w:t>
      </w:r>
      <w:r w:rsidR="00FD37D0" w:rsidRPr="00AF5C96">
        <w:rPr>
          <w:b/>
          <w:lang w:val="fr-CA"/>
        </w:rPr>
        <w:t xml:space="preserve"> </w:t>
      </w:r>
      <w:r w:rsidR="00A93498" w:rsidRPr="00AF5C96">
        <w:rPr>
          <w:b/>
          <w:lang w:val="fr-CA"/>
        </w:rPr>
        <w:t>jui</w:t>
      </w:r>
      <w:r w:rsidR="00252675" w:rsidRPr="00AF5C96">
        <w:rPr>
          <w:b/>
          <w:lang w:val="fr-CA"/>
        </w:rPr>
        <w:t>l</w:t>
      </w:r>
      <w:r w:rsidR="00311663" w:rsidRPr="00AF5C96">
        <w:rPr>
          <w:b/>
          <w:lang w:val="fr-CA"/>
        </w:rPr>
        <w:t>l</w:t>
      </w:r>
      <w:r w:rsidR="00252675" w:rsidRPr="00AF5C96">
        <w:rPr>
          <w:b/>
          <w:lang w:val="fr-CA"/>
        </w:rPr>
        <w:t>et</w:t>
      </w:r>
      <w:r w:rsidR="00A151D1" w:rsidRPr="00AF5C96">
        <w:rPr>
          <w:b/>
          <w:lang w:val="fr-CA"/>
        </w:rPr>
        <w:t xml:space="preserve"> 2017</w:t>
      </w:r>
    </w:p>
    <w:p w:rsidR="006F2579" w:rsidRPr="00AF5C96" w:rsidRDefault="006F2579" w:rsidP="006F2579">
      <w:pPr>
        <w:widowControl w:val="0"/>
        <w:rPr>
          <w:b/>
          <w:lang w:val="fr-CA"/>
        </w:rPr>
      </w:pPr>
      <w:r w:rsidRPr="00AF5C96">
        <w:rPr>
          <w:b/>
          <w:lang w:val="fr-CA"/>
        </w:rPr>
        <w:t>Pour diffusion immédiate</w:t>
      </w:r>
    </w:p>
    <w:p w:rsidR="006F2579" w:rsidRPr="00AF5C96" w:rsidRDefault="006F2579" w:rsidP="006F2579">
      <w:pPr>
        <w:widowControl w:val="0"/>
        <w:rPr>
          <w:b/>
          <w:lang w:val="fr-CA"/>
        </w:rPr>
      </w:pPr>
    </w:p>
    <w:p w:rsidR="006F2579" w:rsidRPr="00AF5C96" w:rsidRDefault="006F2579" w:rsidP="006F2579">
      <w:pPr>
        <w:widowControl w:val="0"/>
        <w:rPr>
          <w:lang w:val="fr-CA"/>
        </w:rPr>
      </w:pPr>
      <w:r w:rsidRPr="00AF5C96">
        <w:rPr>
          <w:b/>
          <w:lang w:val="fr-CA"/>
        </w:rPr>
        <w:t>OTTAWA</w:t>
      </w:r>
      <w:r w:rsidRPr="00AF5C96">
        <w:rPr>
          <w:lang w:val="fr-CA"/>
        </w:rPr>
        <w:t xml:space="preserve"> – La Cour suprême du Canada annonce que jugement ser</w:t>
      </w:r>
      <w:r w:rsidR="004259F9" w:rsidRPr="00AF5C96">
        <w:rPr>
          <w:lang w:val="fr-CA"/>
        </w:rPr>
        <w:t>a</w:t>
      </w:r>
      <w:r w:rsidRPr="00AF5C96">
        <w:rPr>
          <w:lang w:val="fr-CA"/>
        </w:rPr>
        <w:t xml:space="preserve"> rendu dans l</w:t>
      </w:r>
      <w:r w:rsidR="008600ED" w:rsidRPr="00AF5C96">
        <w:rPr>
          <w:lang w:val="fr-CA"/>
        </w:rPr>
        <w:t>es</w:t>
      </w:r>
      <w:r w:rsidRPr="00AF5C96">
        <w:rPr>
          <w:lang w:val="fr-CA"/>
        </w:rPr>
        <w:t xml:space="preserve"> demande</w:t>
      </w:r>
      <w:r w:rsidR="008600ED" w:rsidRPr="00AF5C96">
        <w:rPr>
          <w:lang w:val="fr-CA"/>
        </w:rPr>
        <w:t>s</w:t>
      </w:r>
      <w:r w:rsidRPr="00AF5C96">
        <w:rPr>
          <w:lang w:val="fr-CA"/>
        </w:rPr>
        <w:t xml:space="preserve"> d</w:t>
      </w:r>
      <w:r w:rsidR="00001846" w:rsidRPr="00AF5C96">
        <w:rPr>
          <w:lang w:val="fr-CA"/>
        </w:rPr>
        <w:t>’autorisation d’appel suivante</w:t>
      </w:r>
      <w:r w:rsidR="008600ED" w:rsidRPr="00AF5C96">
        <w:rPr>
          <w:lang w:val="fr-CA"/>
        </w:rPr>
        <w:t>s</w:t>
      </w:r>
      <w:r w:rsidRPr="00AF5C96">
        <w:rPr>
          <w:lang w:val="fr-CA"/>
        </w:rPr>
        <w:t xml:space="preserve"> le jeudi </w:t>
      </w:r>
      <w:r w:rsidR="00780317">
        <w:rPr>
          <w:lang w:val="fr-CA"/>
        </w:rPr>
        <w:t>3 août</w:t>
      </w:r>
      <w:r w:rsidR="00674329" w:rsidRPr="00AF5C96">
        <w:rPr>
          <w:lang w:val="fr-CA"/>
        </w:rPr>
        <w:t xml:space="preserve"> </w:t>
      </w:r>
      <w:r w:rsidR="006648D1" w:rsidRPr="00AF5C96">
        <w:rPr>
          <w:lang w:val="fr-CA"/>
        </w:rPr>
        <w:t>201</w:t>
      </w:r>
      <w:r w:rsidR="00A151D1" w:rsidRPr="00AF5C96">
        <w:rPr>
          <w:lang w:val="fr-CA"/>
        </w:rPr>
        <w:t>7</w:t>
      </w:r>
      <w:r w:rsidRPr="00AF5C96">
        <w:rPr>
          <w:lang w:val="fr-CA"/>
        </w:rPr>
        <w:t xml:space="preserve">, à 9 h 45 </w:t>
      </w:r>
      <w:r w:rsidR="000627A2" w:rsidRPr="00AF5C96">
        <w:rPr>
          <w:lang w:val="fr-CA"/>
        </w:rPr>
        <w:t>H</w:t>
      </w:r>
      <w:r w:rsidR="009F6DB9" w:rsidRPr="00AF5C96">
        <w:rPr>
          <w:lang w:val="fr-CA"/>
        </w:rPr>
        <w:t>A</w:t>
      </w:r>
      <w:r w:rsidRPr="00AF5C96">
        <w:rPr>
          <w:lang w:val="fr-CA"/>
        </w:rPr>
        <w:t>E. Cette liste est sujette à modifications.</w:t>
      </w:r>
    </w:p>
    <w:p w:rsidR="0080556B" w:rsidRPr="00AF5C96" w:rsidRDefault="0080556B" w:rsidP="009B14F4">
      <w:pPr>
        <w:widowControl w:val="0"/>
        <w:jc w:val="both"/>
        <w:rPr>
          <w:sz w:val="20"/>
          <w:lang w:val="fr-CA"/>
        </w:rPr>
      </w:pPr>
    </w:p>
    <w:p w:rsidR="001838E0" w:rsidRPr="00AF5C96" w:rsidRDefault="003D353C" w:rsidP="009B14F4">
      <w:pPr>
        <w:widowControl w:val="0"/>
        <w:jc w:val="both"/>
        <w:rPr>
          <w:sz w:val="20"/>
          <w:lang w:val="fr-CA"/>
        </w:rPr>
      </w:pPr>
      <w:r w:rsidRPr="00AF5C9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AF5C96" w:rsidRDefault="00AD4728" w:rsidP="00577854">
      <w:pPr>
        <w:ind w:left="360" w:hanging="360"/>
        <w:rPr>
          <w:sz w:val="20"/>
          <w:lang w:val="fr-CA" w:eastAsia="en-CA"/>
        </w:rPr>
      </w:pPr>
    </w:p>
    <w:p w:rsidR="00E24D59" w:rsidRPr="00780317" w:rsidRDefault="00780317" w:rsidP="00577854">
      <w:pPr>
        <w:pStyle w:val="ListParagraph"/>
        <w:numPr>
          <w:ilvl w:val="0"/>
          <w:numId w:val="49"/>
        </w:numPr>
        <w:tabs>
          <w:tab w:val="left" w:pos="900"/>
          <w:tab w:val="center" w:pos="5760"/>
        </w:tabs>
        <w:ind w:left="360"/>
        <w:rPr>
          <w:sz w:val="20"/>
        </w:rPr>
      </w:pPr>
      <w:r w:rsidRPr="00780317">
        <w:rPr>
          <w:i/>
          <w:sz w:val="20"/>
        </w:rPr>
        <w:t xml:space="preserve">Noor Khan </w:t>
      </w:r>
      <w:proofErr w:type="gramStart"/>
      <w:r w:rsidRPr="00780317">
        <w:rPr>
          <w:i/>
          <w:sz w:val="20"/>
        </w:rPr>
        <w:t>v</w:t>
      </w:r>
      <w:proofErr w:type="gramEnd"/>
      <w:r w:rsidRPr="00780317">
        <w:rPr>
          <w:i/>
          <w:sz w:val="20"/>
        </w:rPr>
        <w:t>. Her Majesty the Queen</w:t>
      </w:r>
      <w:r w:rsidRPr="00780317">
        <w:rPr>
          <w:sz w:val="20"/>
        </w:rPr>
        <w:t xml:space="preserve"> </w:t>
      </w:r>
      <w:r w:rsidR="00E24D59" w:rsidRPr="00780317">
        <w:rPr>
          <w:sz w:val="20"/>
        </w:rPr>
        <w:t>(</w:t>
      </w:r>
      <w:r>
        <w:rPr>
          <w:sz w:val="20"/>
        </w:rPr>
        <w:t>Ont.</w:t>
      </w:r>
      <w:r w:rsidR="00E24D59" w:rsidRPr="00780317">
        <w:rPr>
          <w:sz w:val="20"/>
        </w:rPr>
        <w:t>) (Crimin</w:t>
      </w:r>
      <w:r>
        <w:rPr>
          <w:sz w:val="20"/>
        </w:rPr>
        <w:t>al</w:t>
      </w:r>
      <w:r w:rsidR="00E24D59" w:rsidRPr="00780317">
        <w:rPr>
          <w:sz w:val="20"/>
        </w:rPr>
        <w:t>) (</w:t>
      </w:r>
      <w:r>
        <w:rPr>
          <w:sz w:val="20"/>
        </w:rPr>
        <w:t>By Leave</w:t>
      </w:r>
      <w:r w:rsidR="00E24D59" w:rsidRPr="00780317">
        <w:rPr>
          <w:sz w:val="20"/>
        </w:rPr>
        <w:t>)</w:t>
      </w:r>
      <w:r w:rsidR="00A02B6A" w:rsidRPr="00780317">
        <w:rPr>
          <w:sz w:val="20"/>
        </w:rPr>
        <w:t xml:space="preserve"> </w:t>
      </w:r>
      <w:r w:rsidR="00A02B6A" w:rsidRPr="00780317">
        <w:rPr>
          <w:sz w:val="20"/>
          <w:lang w:eastAsia="en-CA"/>
        </w:rPr>
        <w:t>(</w:t>
      </w:r>
      <w:hyperlink r:id="rId8" w:history="1">
        <w:r w:rsidR="00A02B6A" w:rsidRPr="00780317">
          <w:rPr>
            <w:rStyle w:val="Hyperlink"/>
            <w:sz w:val="20"/>
            <w:lang w:eastAsia="en-CA"/>
          </w:rPr>
          <w:t>375</w:t>
        </w:r>
        <w:r>
          <w:rPr>
            <w:rStyle w:val="Hyperlink"/>
            <w:sz w:val="20"/>
            <w:lang w:eastAsia="en-CA"/>
          </w:rPr>
          <w:t>34</w:t>
        </w:r>
      </w:hyperlink>
      <w:r w:rsidR="00A02B6A" w:rsidRPr="00780317">
        <w:rPr>
          <w:sz w:val="20"/>
          <w:lang w:eastAsia="en-CA"/>
        </w:rPr>
        <w:t>)</w:t>
      </w:r>
    </w:p>
    <w:p w:rsidR="00E24D59" w:rsidRPr="00780317" w:rsidRDefault="00E24D59" w:rsidP="00577854">
      <w:pPr>
        <w:tabs>
          <w:tab w:val="left" w:pos="900"/>
          <w:tab w:val="center" w:pos="5760"/>
        </w:tabs>
        <w:ind w:left="360" w:hanging="360"/>
        <w:rPr>
          <w:sz w:val="20"/>
        </w:rPr>
      </w:pPr>
    </w:p>
    <w:p w:rsidR="00252675" w:rsidRDefault="00780317" w:rsidP="00577854">
      <w:pPr>
        <w:pStyle w:val="ListParagraph"/>
        <w:numPr>
          <w:ilvl w:val="0"/>
          <w:numId w:val="49"/>
        </w:numPr>
        <w:tabs>
          <w:tab w:val="left" w:pos="900"/>
          <w:tab w:val="center" w:pos="5760"/>
        </w:tabs>
        <w:ind w:left="360"/>
        <w:rPr>
          <w:sz w:val="20"/>
          <w:lang w:eastAsia="en-CA"/>
        </w:rPr>
      </w:pPr>
      <w:r w:rsidRPr="00780317">
        <w:rPr>
          <w:i/>
          <w:sz w:val="20"/>
          <w:lang w:eastAsia="en-CA"/>
        </w:rPr>
        <w:t>Adrian Barber v. Manufacturers Life Insurance Company, carrying on business as Manulife Financial</w:t>
      </w:r>
      <w:r w:rsidRPr="00780317">
        <w:rPr>
          <w:sz w:val="20"/>
          <w:lang w:eastAsia="en-CA"/>
        </w:rPr>
        <w:t xml:space="preserve"> (Ont.) (Civil) (By Leave) (</w:t>
      </w:r>
      <w:hyperlink r:id="rId9" w:history="1">
        <w:r w:rsidRPr="00780317">
          <w:rPr>
            <w:rStyle w:val="Hyperlink"/>
            <w:sz w:val="20"/>
            <w:lang w:eastAsia="en-CA"/>
          </w:rPr>
          <w:t>37540</w:t>
        </w:r>
      </w:hyperlink>
      <w:bookmarkStart w:id="0" w:name="_GoBack"/>
      <w:bookmarkEnd w:id="0"/>
      <w:r w:rsidRPr="00780317">
        <w:rPr>
          <w:sz w:val="20"/>
          <w:lang w:eastAsia="en-CA"/>
        </w:rPr>
        <w:t>)</w:t>
      </w:r>
    </w:p>
    <w:p w:rsidR="00175ED0" w:rsidRPr="00577854" w:rsidRDefault="00175ED0" w:rsidP="00577854">
      <w:pPr>
        <w:rPr>
          <w:sz w:val="20"/>
          <w:lang w:eastAsia="en-CA"/>
        </w:rPr>
      </w:pPr>
    </w:p>
    <w:p w:rsidR="00175ED0" w:rsidRDefault="00175ED0" w:rsidP="00175ED0">
      <w:pPr>
        <w:tabs>
          <w:tab w:val="left" w:pos="900"/>
          <w:tab w:val="center" w:pos="5760"/>
        </w:tabs>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593031" w:rsidTr="00CE6E50">
        <w:tc>
          <w:tcPr>
            <w:tcW w:w="543" w:type="pct"/>
          </w:tcPr>
          <w:p w:rsidR="00175ED0" w:rsidRPr="00593031" w:rsidRDefault="00175ED0" w:rsidP="00CE6E50">
            <w:pPr>
              <w:rPr>
                <w:sz w:val="20"/>
              </w:rPr>
            </w:pPr>
            <w:r w:rsidRPr="00593031">
              <w:rPr>
                <w:rStyle w:val="SCCFileNumberChar"/>
                <w:sz w:val="20"/>
                <w:szCs w:val="20"/>
              </w:rPr>
              <w:t>37534</w:t>
            </w:r>
          </w:p>
        </w:tc>
        <w:tc>
          <w:tcPr>
            <w:tcW w:w="4457" w:type="pct"/>
            <w:gridSpan w:val="3"/>
          </w:tcPr>
          <w:p w:rsidR="00175ED0" w:rsidRPr="00175ED0" w:rsidRDefault="00175ED0" w:rsidP="00175ED0">
            <w:pPr>
              <w:pStyle w:val="SCCLsocParty"/>
              <w:jc w:val="left"/>
              <w:rPr>
                <w:b/>
                <w:sz w:val="20"/>
                <w:szCs w:val="20"/>
                <w:lang w:val="en-US"/>
              </w:rPr>
            </w:pPr>
            <w:r w:rsidRPr="00175ED0">
              <w:rPr>
                <w:b/>
                <w:sz w:val="20"/>
                <w:szCs w:val="20"/>
                <w:lang w:val="en-US"/>
              </w:rPr>
              <w:t>Noor Khan v. Her Majesty the Queen</w:t>
            </w:r>
          </w:p>
          <w:p w:rsidR="00175ED0" w:rsidRPr="00593031" w:rsidRDefault="00175ED0" w:rsidP="00CE6E50">
            <w:pPr>
              <w:rPr>
                <w:sz w:val="20"/>
              </w:rPr>
            </w:pPr>
            <w:r w:rsidRPr="00593031">
              <w:rPr>
                <w:sz w:val="20"/>
              </w:rPr>
              <w:t>(Ont.) (Criminal) (By Leave)</w:t>
            </w:r>
          </w:p>
        </w:tc>
      </w:tr>
      <w:tr w:rsidR="00175ED0" w:rsidRPr="00593031" w:rsidTr="00CE6E50">
        <w:tc>
          <w:tcPr>
            <w:tcW w:w="5000" w:type="pct"/>
            <w:gridSpan w:val="4"/>
          </w:tcPr>
          <w:p w:rsidR="00175ED0" w:rsidRPr="00593031" w:rsidRDefault="00175ED0" w:rsidP="00CE6E50">
            <w:pPr>
              <w:pStyle w:val="SCCBanSummary"/>
              <w:rPr>
                <w:sz w:val="20"/>
                <w:szCs w:val="20"/>
              </w:rPr>
            </w:pPr>
            <w:r w:rsidRPr="00593031">
              <w:rPr>
                <w:sz w:val="20"/>
                <w:szCs w:val="20"/>
              </w:rPr>
              <w:t>(Publication ban in case)</w:t>
            </w:r>
          </w:p>
          <w:p w:rsidR="00175ED0" w:rsidRPr="00593031" w:rsidRDefault="00175ED0" w:rsidP="00CE6E50">
            <w:pPr>
              <w:rPr>
                <w:sz w:val="20"/>
              </w:rPr>
            </w:pPr>
          </w:p>
          <w:p w:rsidR="00175ED0" w:rsidRPr="00593031" w:rsidRDefault="00175ED0" w:rsidP="00CE6E50">
            <w:pPr>
              <w:rPr>
                <w:sz w:val="20"/>
              </w:rPr>
            </w:pPr>
            <w:r w:rsidRPr="00593031">
              <w:rPr>
                <w:sz w:val="20"/>
              </w:rPr>
              <w:t xml:space="preserve">Criminal law – Evidence – Admissibility – Prior consistent statement – Substantive use of a complainant’s prior consistent statement if </w:t>
            </w:r>
            <w:proofErr w:type="spellStart"/>
            <w:r w:rsidRPr="00593031">
              <w:rPr>
                <w:sz w:val="20"/>
              </w:rPr>
              <w:t>defence</w:t>
            </w:r>
            <w:proofErr w:type="spellEnd"/>
            <w:r w:rsidRPr="00593031">
              <w:rPr>
                <w:sz w:val="20"/>
              </w:rPr>
              <w:t xml:space="preserve"> has made no allegation of recent fabrication – Whether prior consistent statement was admissible as circumstantial evidence to bolster complainant’s credibility – Approach to analyzing admissibility and use of prior consistent statements – Whether trial judge erred by using prior consistent statements for truth of their contents?</w:t>
            </w:r>
          </w:p>
        </w:tc>
      </w:tr>
      <w:tr w:rsidR="00175ED0" w:rsidRPr="00593031" w:rsidTr="00CE6E50">
        <w:tc>
          <w:tcPr>
            <w:tcW w:w="5000" w:type="pct"/>
            <w:gridSpan w:val="4"/>
          </w:tcPr>
          <w:p w:rsidR="00175ED0" w:rsidRPr="00593031" w:rsidRDefault="00175ED0" w:rsidP="00CE6E50">
            <w:pPr>
              <w:rPr>
                <w:sz w:val="20"/>
              </w:rPr>
            </w:pPr>
          </w:p>
        </w:tc>
      </w:tr>
      <w:tr w:rsidR="00175ED0" w:rsidRPr="00593031" w:rsidTr="00CE6E50">
        <w:tc>
          <w:tcPr>
            <w:tcW w:w="5000" w:type="pct"/>
            <w:gridSpan w:val="4"/>
          </w:tcPr>
          <w:p w:rsidR="00175ED0" w:rsidRPr="00593031" w:rsidRDefault="00175ED0" w:rsidP="00CE6E50">
            <w:pPr>
              <w:rPr>
                <w:sz w:val="20"/>
                <w:lang w:val="en"/>
              </w:rPr>
            </w:pPr>
            <w:r w:rsidRPr="00593031">
              <w:rPr>
                <w:sz w:val="20"/>
                <w:lang w:val="en"/>
              </w:rPr>
              <w:t xml:space="preserve">Upon arrival at a police station after her arrest, the complainant was told that she would be searched. She told an officer, “I don’t understand what’s going on, this is like the fourth time I’ve been searched”. She alleged that the applicant, a police officer who transported her to the station, stopped his vehicle and searched her three times on route while she sat handcuffed in the rear seat. Based on her description of the third search, the applicant was charged with sexual assault. On a </w:t>
            </w:r>
            <w:proofErr w:type="spellStart"/>
            <w:r w:rsidRPr="00593031">
              <w:rPr>
                <w:i/>
                <w:iCs/>
                <w:sz w:val="20"/>
                <w:lang w:val="en"/>
              </w:rPr>
              <w:t>voir</w:t>
            </w:r>
            <w:proofErr w:type="spellEnd"/>
            <w:r w:rsidRPr="00593031">
              <w:rPr>
                <w:i/>
                <w:iCs/>
                <w:sz w:val="20"/>
                <w:lang w:val="en"/>
              </w:rPr>
              <w:t xml:space="preserve"> dire</w:t>
            </w:r>
            <w:r w:rsidRPr="00593031">
              <w:rPr>
                <w:sz w:val="20"/>
                <w:lang w:val="en"/>
              </w:rPr>
              <w:t xml:space="preserve">, Frazer J. </w:t>
            </w:r>
            <w:r w:rsidRPr="00593031">
              <w:rPr>
                <w:sz w:val="20"/>
              </w:rPr>
              <w:t xml:space="preserve">admitted the complainant’s utterance at the police station as hearsay and as a prior consistent statement. </w:t>
            </w:r>
            <w:r w:rsidRPr="00593031">
              <w:rPr>
                <w:sz w:val="20"/>
                <w:lang w:val="en"/>
              </w:rPr>
              <w:t>At trial, the complainant testified that, on the third search, the applicant pulled her tank top from her chest and looked down into her top wit</w:t>
            </w:r>
            <w:r w:rsidR="00486FEB">
              <w:rPr>
                <w:sz w:val="20"/>
                <w:lang w:val="en"/>
              </w:rPr>
              <w:t>h a flashlight.</w:t>
            </w:r>
          </w:p>
          <w:p w:rsidR="00175ED0" w:rsidRPr="00593031" w:rsidRDefault="00175ED0" w:rsidP="00CE6E50">
            <w:pPr>
              <w:rPr>
                <w:sz w:val="20"/>
                <w:lang w:val="en"/>
              </w:rPr>
            </w:pPr>
          </w:p>
        </w:tc>
      </w:tr>
      <w:tr w:rsidR="00175ED0" w:rsidRPr="00593031" w:rsidTr="00CE6E50">
        <w:tc>
          <w:tcPr>
            <w:tcW w:w="2427" w:type="pct"/>
            <w:gridSpan w:val="2"/>
          </w:tcPr>
          <w:p w:rsidR="00175ED0" w:rsidRPr="00593031" w:rsidRDefault="00175ED0" w:rsidP="00CE6E50">
            <w:pPr>
              <w:rPr>
                <w:sz w:val="20"/>
              </w:rPr>
            </w:pPr>
            <w:r w:rsidRPr="00593031">
              <w:rPr>
                <w:sz w:val="20"/>
              </w:rPr>
              <w:lastRenderedPageBreak/>
              <w:t>October 10, 2014</w:t>
            </w:r>
          </w:p>
          <w:p w:rsidR="00175ED0" w:rsidRPr="00593031" w:rsidRDefault="00175ED0" w:rsidP="00CE6E50">
            <w:pPr>
              <w:rPr>
                <w:sz w:val="20"/>
              </w:rPr>
            </w:pPr>
            <w:r w:rsidRPr="00593031">
              <w:rPr>
                <w:sz w:val="20"/>
              </w:rPr>
              <w:t>Ontario Superior Court of Justice</w:t>
            </w:r>
          </w:p>
          <w:p w:rsidR="00175ED0" w:rsidRPr="00593031" w:rsidRDefault="00175ED0" w:rsidP="00CE6E50">
            <w:pPr>
              <w:rPr>
                <w:sz w:val="20"/>
              </w:rPr>
            </w:pPr>
            <w:r w:rsidRPr="00593031">
              <w:rPr>
                <w:sz w:val="20"/>
              </w:rPr>
              <w:t>(Frazer J.)</w:t>
            </w:r>
          </w:p>
          <w:p w:rsidR="00175ED0" w:rsidRPr="00593031" w:rsidRDefault="00175ED0" w:rsidP="00CE6E50">
            <w:pPr>
              <w:rPr>
                <w:sz w:val="20"/>
              </w:rPr>
            </w:pP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Conviction for sexual assault</w:t>
            </w:r>
          </w:p>
        </w:tc>
      </w:tr>
      <w:tr w:rsidR="00175ED0" w:rsidRPr="00593031" w:rsidTr="00CE6E50">
        <w:tc>
          <w:tcPr>
            <w:tcW w:w="2427" w:type="pct"/>
            <w:gridSpan w:val="2"/>
          </w:tcPr>
          <w:p w:rsidR="00175ED0" w:rsidRPr="00593031" w:rsidRDefault="00175ED0" w:rsidP="00CE6E50">
            <w:pPr>
              <w:rPr>
                <w:sz w:val="20"/>
              </w:rPr>
            </w:pPr>
            <w:r w:rsidRPr="00593031">
              <w:rPr>
                <w:sz w:val="20"/>
              </w:rPr>
              <w:t>November 18, 2015</w:t>
            </w:r>
          </w:p>
          <w:p w:rsidR="00175ED0" w:rsidRPr="00593031" w:rsidRDefault="00175ED0" w:rsidP="00CE6E50">
            <w:pPr>
              <w:rPr>
                <w:sz w:val="20"/>
              </w:rPr>
            </w:pPr>
            <w:r w:rsidRPr="00593031">
              <w:rPr>
                <w:sz w:val="20"/>
              </w:rPr>
              <w:t>Ontario Superior Court of Justice</w:t>
            </w:r>
          </w:p>
          <w:p w:rsidR="00175ED0" w:rsidRPr="00593031" w:rsidRDefault="00175ED0" w:rsidP="00CE6E50">
            <w:pPr>
              <w:rPr>
                <w:sz w:val="20"/>
              </w:rPr>
            </w:pPr>
            <w:r w:rsidRPr="00593031">
              <w:rPr>
                <w:sz w:val="20"/>
              </w:rPr>
              <w:t>(Vallee J.)</w:t>
            </w:r>
          </w:p>
          <w:p w:rsidR="00175ED0" w:rsidRPr="00593031" w:rsidRDefault="00037B5B" w:rsidP="00CE6E50">
            <w:pPr>
              <w:rPr>
                <w:sz w:val="20"/>
              </w:rPr>
            </w:pPr>
            <w:hyperlink r:id="rId10" w:history="1">
              <w:r w:rsidR="00175ED0" w:rsidRPr="00593031">
                <w:rPr>
                  <w:rStyle w:val="Hyperlink"/>
                  <w:sz w:val="20"/>
                </w:rPr>
                <w:t>2015 ONSC 7187</w:t>
              </w:r>
            </w:hyperlink>
          </w:p>
          <w:p w:rsidR="00175ED0" w:rsidRPr="00593031" w:rsidRDefault="00175ED0" w:rsidP="00CE6E50">
            <w:pPr>
              <w:rPr>
                <w:sz w:val="20"/>
              </w:rPr>
            </w:pP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Conviction quashed</w:t>
            </w:r>
          </w:p>
        </w:tc>
      </w:tr>
      <w:tr w:rsidR="00175ED0" w:rsidRPr="00593031" w:rsidTr="00CE6E50">
        <w:tc>
          <w:tcPr>
            <w:tcW w:w="2427" w:type="pct"/>
            <w:gridSpan w:val="2"/>
          </w:tcPr>
          <w:p w:rsidR="00175ED0" w:rsidRPr="00593031" w:rsidRDefault="00175ED0" w:rsidP="00CE6E50">
            <w:pPr>
              <w:rPr>
                <w:sz w:val="20"/>
              </w:rPr>
            </w:pPr>
            <w:r w:rsidRPr="00593031">
              <w:rPr>
                <w:sz w:val="20"/>
              </w:rPr>
              <w:t>February 13, 2017</w:t>
            </w:r>
          </w:p>
          <w:p w:rsidR="00175ED0" w:rsidRPr="00593031" w:rsidRDefault="00175ED0" w:rsidP="00CE6E50">
            <w:pPr>
              <w:rPr>
                <w:sz w:val="20"/>
              </w:rPr>
            </w:pPr>
            <w:r w:rsidRPr="00593031">
              <w:rPr>
                <w:sz w:val="20"/>
              </w:rPr>
              <w:t>Court of Appeal for Ontario</w:t>
            </w:r>
          </w:p>
          <w:p w:rsidR="00175ED0" w:rsidRPr="00593031" w:rsidRDefault="00175ED0" w:rsidP="00CE6E50">
            <w:pPr>
              <w:rPr>
                <w:sz w:val="20"/>
              </w:rPr>
            </w:pPr>
            <w:r w:rsidRPr="00593031">
              <w:rPr>
                <w:sz w:val="20"/>
              </w:rPr>
              <w:t xml:space="preserve">(Doherty, </w:t>
            </w:r>
            <w:proofErr w:type="spellStart"/>
            <w:r w:rsidRPr="00593031">
              <w:rPr>
                <w:sz w:val="20"/>
              </w:rPr>
              <w:t>LaForme</w:t>
            </w:r>
            <w:proofErr w:type="spellEnd"/>
            <w:r w:rsidRPr="00593031">
              <w:rPr>
                <w:sz w:val="20"/>
              </w:rPr>
              <w:t xml:space="preserve">, </w:t>
            </w:r>
            <w:proofErr w:type="spellStart"/>
            <w:r w:rsidRPr="00593031">
              <w:rPr>
                <w:sz w:val="20"/>
              </w:rPr>
              <w:t>Pepall</w:t>
            </w:r>
            <w:proofErr w:type="spellEnd"/>
            <w:r w:rsidRPr="00593031">
              <w:rPr>
                <w:sz w:val="20"/>
              </w:rPr>
              <w:t>, Hourigan, Miller JJ.A.)</w:t>
            </w:r>
          </w:p>
          <w:p w:rsidR="00175ED0" w:rsidRPr="00593031" w:rsidRDefault="00175ED0" w:rsidP="00CE6E50">
            <w:pPr>
              <w:rPr>
                <w:sz w:val="20"/>
              </w:rPr>
            </w:pPr>
            <w:r w:rsidRPr="00593031">
              <w:rPr>
                <w:sz w:val="20"/>
              </w:rPr>
              <w:t xml:space="preserve">C61451; </w:t>
            </w:r>
            <w:hyperlink r:id="rId11" w:history="1">
              <w:r w:rsidRPr="00593031">
                <w:rPr>
                  <w:rStyle w:val="Hyperlink"/>
                  <w:sz w:val="20"/>
                </w:rPr>
                <w:t>2017 ONCA 114</w:t>
              </w:r>
            </w:hyperlink>
          </w:p>
          <w:p w:rsidR="00175ED0" w:rsidRPr="00593031" w:rsidRDefault="00175ED0" w:rsidP="00CE6E50">
            <w:pPr>
              <w:rPr>
                <w:sz w:val="20"/>
              </w:rPr>
            </w:pP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Appeal allowed, conviction restored</w:t>
            </w:r>
          </w:p>
          <w:p w:rsidR="00175ED0" w:rsidRPr="00593031" w:rsidRDefault="00175ED0" w:rsidP="00CE6E50">
            <w:pPr>
              <w:rPr>
                <w:sz w:val="20"/>
              </w:rPr>
            </w:pPr>
          </w:p>
        </w:tc>
      </w:tr>
      <w:tr w:rsidR="00175ED0" w:rsidRPr="00593031" w:rsidTr="00CE6E50">
        <w:tc>
          <w:tcPr>
            <w:tcW w:w="2427" w:type="pct"/>
            <w:gridSpan w:val="2"/>
          </w:tcPr>
          <w:p w:rsidR="00175ED0" w:rsidRPr="00593031" w:rsidRDefault="00175ED0" w:rsidP="00CE6E50">
            <w:pPr>
              <w:rPr>
                <w:sz w:val="20"/>
              </w:rPr>
            </w:pPr>
            <w:r w:rsidRPr="00593031">
              <w:rPr>
                <w:sz w:val="20"/>
              </w:rPr>
              <w:t>April 18, 2017</w:t>
            </w:r>
          </w:p>
          <w:p w:rsidR="00175ED0" w:rsidRPr="00593031" w:rsidRDefault="00175ED0" w:rsidP="00CE6E50">
            <w:pPr>
              <w:rPr>
                <w:sz w:val="20"/>
              </w:rPr>
            </w:pPr>
            <w:r w:rsidRPr="00593031">
              <w:rPr>
                <w:sz w:val="20"/>
              </w:rPr>
              <w:t>Supreme Court of Canada</w:t>
            </w: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Application for leave to appeal filed</w:t>
            </w:r>
          </w:p>
          <w:p w:rsidR="00175ED0" w:rsidRPr="00593031" w:rsidRDefault="00175ED0" w:rsidP="00CE6E50">
            <w:pPr>
              <w:rPr>
                <w:sz w:val="20"/>
              </w:rPr>
            </w:pPr>
          </w:p>
        </w:tc>
      </w:tr>
    </w:tbl>
    <w:p w:rsidR="00175ED0" w:rsidRDefault="00175ED0" w:rsidP="00175ED0">
      <w:pPr>
        <w:tabs>
          <w:tab w:val="left" w:pos="900"/>
          <w:tab w:val="center" w:pos="5760"/>
        </w:tabs>
        <w:rPr>
          <w:sz w:val="20"/>
          <w:lang w:eastAsia="en-CA"/>
        </w:rPr>
      </w:pPr>
    </w:p>
    <w:p w:rsidR="00486FEB" w:rsidRPr="00175ED0" w:rsidRDefault="00486FEB" w:rsidP="00175ED0">
      <w:pPr>
        <w:tabs>
          <w:tab w:val="left" w:pos="900"/>
          <w:tab w:val="center" w:pos="5760"/>
        </w:tabs>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1E5C1E" w:rsidTr="00CE6E50">
        <w:tc>
          <w:tcPr>
            <w:tcW w:w="543" w:type="pct"/>
          </w:tcPr>
          <w:p w:rsidR="00175ED0" w:rsidRPr="001E5C1E" w:rsidRDefault="00175ED0" w:rsidP="00CE6E50">
            <w:pPr>
              <w:rPr>
                <w:sz w:val="20"/>
                <w:lang w:val="fr-CA"/>
              </w:rPr>
            </w:pPr>
            <w:r w:rsidRPr="001E5C1E">
              <w:rPr>
                <w:rStyle w:val="SCCFileNumberChar"/>
                <w:sz w:val="20"/>
                <w:szCs w:val="20"/>
                <w:lang w:val="fr-CA"/>
              </w:rPr>
              <w:t>37534</w:t>
            </w:r>
          </w:p>
        </w:tc>
        <w:tc>
          <w:tcPr>
            <w:tcW w:w="4457" w:type="pct"/>
            <w:gridSpan w:val="3"/>
          </w:tcPr>
          <w:p w:rsidR="00175ED0" w:rsidRPr="00175ED0" w:rsidRDefault="00175ED0" w:rsidP="00175ED0">
            <w:pPr>
              <w:pStyle w:val="SCCLsocParty"/>
              <w:jc w:val="left"/>
              <w:rPr>
                <w:b/>
                <w:sz w:val="20"/>
                <w:szCs w:val="20"/>
              </w:rPr>
            </w:pPr>
            <w:proofErr w:type="spellStart"/>
            <w:r w:rsidRPr="00175ED0">
              <w:rPr>
                <w:b/>
                <w:sz w:val="20"/>
                <w:szCs w:val="20"/>
              </w:rPr>
              <w:t>Noor</w:t>
            </w:r>
            <w:proofErr w:type="spellEnd"/>
            <w:r w:rsidRPr="00175ED0">
              <w:rPr>
                <w:b/>
                <w:sz w:val="20"/>
                <w:szCs w:val="20"/>
              </w:rPr>
              <w:t xml:space="preserve"> Khan c. Sa Majesté la Reine</w:t>
            </w:r>
          </w:p>
          <w:p w:rsidR="00175ED0" w:rsidRPr="001E5C1E" w:rsidRDefault="00175ED0" w:rsidP="00CE6E50">
            <w:pPr>
              <w:rPr>
                <w:sz w:val="20"/>
                <w:lang w:val="fr-CA"/>
              </w:rPr>
            </w:pPr>
            <w:r w:rsidRPr="001E5C1E">
              <w:rPr>
                <w:sz w:val="20"/>
                <w:lang w:val="fr-CA"/>
              </w:rPr>
              <w:t>(Ont.) (Criminelle) (Sur autorisation)</w:t>
            </w:r>
          </w:p>
        </w:tc>
      </w:tr>
      <w:tr w:rsidR="00175ED0" w:rsidRPr="00037B5B" w:rsidTr="00CE6E50">
        <w:tc>
          <w:tcPr>
            <w:tcW w:w="5000" w:type="pct"/>
            <w:gridSpan w:val="4"/>
          </w:tcPr>
          <w:p w:rsidR="00175ED0" w:rsidRPr="001E5C1E" w:rsidRDefault="00175ED0" w:rsidP="00CE6E50">
            <w:pPr>
              <w:pStyle w:val="SCCBanSummary"/>
              <w:rPr>
                <w:sz w:val="20"/>
                <w:szCs w:val="20"/>
                <w:lang w:val="fr-CA"/>
              </w:rPr>
            </w:pPr>
            <w:r w:rsidRPr="001E5C1E">
              <w:rPr>
                <w:sz w:val="20"/>
                <w:szCs w:val="20"/>
                <w:lang w:val="fr-CA"/>
              </w:rPr>
              <w:t>(Ordonnance de non-publication dans le dossier)</w:t>
            </w:r>
          </w:p>
          <w:p w:rsidR="00175ED0" w:rsidRPr="001E5C1E" w:rsidRDefault="00175ED0" w:rsidP="00CE6E50">
            <w:pPr>
              <w:rPr>
                <w:sz w:val="20"/>
                <w:lang w:val="fr-CA"/>
              </w:rPr>
            </w:pPr>
          </w:p>
          <w:p w:rsidR="00175ED0" w:rsidRPr="001E5C1E" w:rsidRDefault="00175ED0" w:rsidP="00CE6E50">
            <w:pPr>
              <w:rPr>
                <w:sz w:val="20"/>
                <w:lang w:val="fr-CA"/>
              </w:rPr>
            </w:pPr>
            <w:r w:rsidRPr="001E5C1E">
              <w:rPr>
                <w:sz w:val="20"/>
                <w:lang w:val="fr-CA"/>
              </w:rPr>
              <w:t xml:space="preserve">Droit criminel – Preuve – Admissibilité – Déclaration antérieure compatible – Utilisation comme preuve de fond de la déclaration antérieure compatible d’une plaignante dans un cas où la défense n’a fait aucune allégation de fabrication récente – La déclaration antérieure compatible était-elle admissible comme preuve circonstancielle pour renforcer la crédibilité de la plaignante? – Méthode d’analyse de l’admissibilité et de l’utilisation de déclarations antérieures compatibles – Le juge du procès </w:t>
            </w:r>
            <w:proofErr w:type="spellStart"/>
            <w:r w:rsidRPr="001E5C1E">
              <w:rPr>
                <w:sz w:val="20"/>
                <w:lang w:val="fr-CA"/>
              </w:rPr>
              <w:t>a-t-il</w:t>
            </w:r>
            <w:proofErr w:type="spellEnd"/>
            <w:r w:rsidRPr="001E5C1E">
              <w:rPr>
                <w:sz w:val="20"/>
                <w:lang w:val="fr-CA"/>
              </w:rPr>
              <w:t xml:space="preserve"> eu tort de se servir de déclarations antérieures compatibles comme preuve de la véracité de leur contenu?</w:t>
            </w:r>
          </w:p>
        </w:tc>
      </w:tr>
      <w:tr w:rsidR="00175ED0" w:rsidRPr="00037B5B" w:rsidTr="00CE6E50">
        <w:tc>
          <w:tcPr>
            <w:tcW w:w="5000" w:type="pct"/>
            <w:gridSpan w:val="4"/>
          </w:tcPr>
          <w:p w:rsidR="00175ED0" w:rsidRPr="001E5C1E" w:rsidRDefault="00175ED0" w:rsidP="00CE6E50">
            <w:pPr>
              <w:rPr>
                <w:sz w:val="20"/>
                <w:lang w:val="fr-CA"/>
              </w:rPr>
            </w:pPr>
          </w:p>
        </w:tc>
      </w:tr>
      <w:tr w:rsidR="00175ED0" w:rsidRPr="00037B5B" w:rsidTr="00CE6E50">
        <w:tc>
          <w:tcPr>
            <w:tcW w:w="5000" w:type="pct"/>
            <w:gridSpan w:val="4"/>
          </w:tcPr>
          <w:p w:rsidR="00175ED0" w:rsidRPr="001E5C1E" w:rsidRDefault="00175ED0" w:rsidP="00CE6E50">
            <w:pPr>
              <w:rPr>
                <w:sz w:val="20"/>
                <w:lang w:val="fr-CA"/>
              </w:rPr>
            </w:pPr>
            <w:r w:rsidRPr="001E5C1E">
              <w:rPr>
                <w:sz w:val="20"/>
                <w:lang w:val="fr-CA"/>
              </w:rPr>
              <w:t>À son arrivée au poste de police après son arrestation, on a dit à la plaignante qu’elle allait être fouillée. Elle a dit à un policier : [</w:t>
            </w:r>
            <w:r w:rsidRPr="001E5C1E">
              <w:rPr>
                <w:smallCaps/>
                <w:sz w:val="20"/>
                <w:lang w:val="fr-CA"/>
              </w:rPr>
              <w:t>traduction</w:t>
            </w:r>
            <w:r w:rsidRPr="001E5C1E">
              <w:rPr>
                <w:sz w:val="20"/>
                <w:lang w:val="fr-CA"/>
              </w:rPr>
              <w:t>] « Je ne comprends pas ce qui se passe, c’est comme la quatrième fois qu’on me fouille ». Elle allègue que le demandeur, un policier qui l’avait transportée au poste de police, avait immobilisé son véhicule et l’avait fouillée à trois reprises pendant le trajet alors qu’elle était assise, menottée, sur la banquette arrière. Sur le fondement de sa description de la troisième fouille, le demandeur a été accusé d’agression sexuelle. Au terme d’un voir-dire, le juge Frazer a admis ce que la plaignante avait dit au poste de police comme du ouï-dire et une déclaration antérieure compatible. Au procès, la plaignante a affirmé dans son témoignage que le demandeur avait tiré sur son chandail débardeur, l’éloignant de sa poitrine, et regardé dans son chandail avec une</w:t>
            </w:r>
            <w:r w:rsidR="00486FEB">
              <w:rPr>
                <w:sz w:val="20"/>
                <w:lang w:val="fr-CA"/>
              </w:rPr>
              <w:t xml:space="preserve"> lampe de poche.</w:t>
            </w:r>
          </w:p>
          <w:p w:rsidR="00175ED0" w:rsidRPr="001E5C1E" w:rsidRDefault="00175ED0" w:rsidP="00CE6E50">
            <w:pPr>
              <w:rPr>
                <w:sz w:val="20"/>
                <w:lang w:val="fr-CA"/>
              </w:rPr>
            </w:pPr>
          </w:p>
        </w:tc>
      </w:tr>
      <w:tr w:rsidR="00175ED0" w:rsidRPr="00037B5B" w:rsidTr="00CE6E50">
        <w:tc>
          <w:tcPr>
            <w:tcW w:w="2427" w:type="pct"/>
            <w:gridSpan w:val="2"/>
          </w:tcPr>
          <w:p w:rsidR="00175ED0" w:rsidRPr="001E5C1E" w:rsidRDefault="00175ED0" w:rsidP="00CE6E50">
            <w:pPr>
              <w:rPr>
                <w:sz w:val="20"/>
                <w:lang w:val="fr-CA"/>
              </w:rPr>
            </w:pPr>
            <w:r w:rsidRPr="001E5C1E">
              <w:rPr>
                <w:sz w:val="20"/>
                <w:lang w:val="fr-CA"/>
              </w:rPr>
              <w:t>10 octobre 2014</w:t>
            </w:r>
          </w:p>
          <w:p w:rsidR="00175ED0" w:rsidRPr="001E5C1E" w:rsidRDefault="00175ED0" w:rsidP="00CE6E50">
            <w:pPr>
              <w:rPr>
                <w:sz w:val="20"/>
                <w:lang w:val="fr-CA"/>
              </w:rPr>
            </w:pPr>
            <w:r w:rsidRPr="001E5C1E">
              <w:rPr>
                <w:sz w:val="20"/>
                <w:lang w:val="fr-CA"/>
              </w:rPr>
              <w:t>Cour supérieure de justice de l’Ontario</w:t>
            </w:r>
          </w:p>
          <w:p w:rsidR="00175ED0" w:rsidRPr="001E5C1E" w:rsidRDefault="00175ED0" w:rsidP="00CE6E50">
            <w:pPr>
              <w:rPr>
                <w:sz w:val="20"/>
                <w:lang w:val="fr-CA"/>
              </w:rPr>
            </w:pPr>
            <w:r w:rsidRPr="001E5C1E">
              <w:rPr>
                <w:sz w:val="20"/>
                <w:lang w:val="fr-CA"/>
              </w:rPr>
              <w:t>(Juge Frazer)</w:t>
            </w:r>
          </w:p>
          <w:p w:rsidR="00175ED0" w:rsidRPr="001E5C1E" w:rsidRDefault="00175ED0" w:rsidP="00CE6E50">
            <w:pPr>
              <w:rPr>
                <w:sz w:val="20"/>
                <w:lang w:val="fr-CA"/>
              </w:rPr>
            </w:pP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Déclaration de culpabilité d’agression sexuelle</w:t>
            </w:r>
          </w:p>
        </w:tc>
      </w:tr>
      <w:tr w:rsidR="00175ED0" w:rsidRPr="00037B5B" w:rsidTr="00CE6E50">
        <w:tc>
          <w:tcPr>
            <w:tcW w:w="2427" w:type="pct"/>
            <w:gridSpan w:val="2"/>
          </w:tcPr>
          <w:p w:rsidR="00175ED0" w:rsidRPr="001E5C1E" w:rsidRDefault="00175ED0" w:rsidP="00CE6E50">
            <w:pPr>
              <w:rPr>
                <w:sz w:val="20"/>
                <w:lang w:val="fr-CA"/>
              </w:rPr>
            </w:pPr>
            <w:r w:rsidRPr="001E5C1E">
              <w:rPr>
                <w:sz w:val="20"/>
                <w:lang w:val="fr-CA"/>
              </w:rPr>
              <w:t>18 novembre 2015</w:t>
            </w:r>
          </w:p>
          <w:p w:rsidR="00175ED0" w:rsidRPr="001E5C1E" w:rsidRDefault="00175ED0" w:rsidP="00CE6E50">
            <w:pPr>
              <w:rPr>
                <w:sz w:val="20"/>
                <w:lang w:val="fr-CA"/>
              </w:rPr>
            </w:pPr>
            <w:r w:rsidRPr="001E5C1E">
              <w:rPr>
                <w:sz w:val="20"/>
                <w:lang w:val="fr-CA"/>
              </w:rPr>
              <w:t>Cour supérieure de justice de l’Ontario</w:t>
            </w:r>
          </w:p>
          <w:p w:rsidR="00175ED0" w:rsidRPr="001E5C1E" w:rsidRDefault="00175ED0" w:rsidP="00CE6E50">
            <w:pPr>
              <w:rPr>
                <w:sz w:val="20"/>
                <w:lang w:val="fr-CA"/>
              </w:rPr>
            </w:pPr>
            <w:r w:rsidRPr="001E5C1E">
              <w:rPr>
                <w:sz w:val="20"/>
                <w:lang w:val="fr-CA"/>
              </w:rPr>
              <w:t xml:space="preserve">(Juge </w:t>
            </w:r>
            <w:proofErr w:type="spellStart"/>
            <w:r w:rsidRPr="001E5C1E">
              <w:rPr>
                <w:sz w:val="20"/>
                <w:lang w:val="fr-CA"/>
              </w:rPr>
              <w:t>Vallee</w:t>
            </w:r>
            <w:proofErr w:type="spellEnd"/>
            <w:r w:rsidRPr="001E5C1E">
              <w:rPr>
                <w:sz w:val="20"/>
                <w:lang w:val="fr-CA"/>
              </w:rPr>
              <w:t>)</w:t>
            </w:r>
          </w:p>
          <w:p w:rsidR="00175ED0" w:rsidRPr="001E5C1E" w:rsidRDefault="00037B5B" w:rsidP="00CE6E50">
            <w:pPr>
              <w:rPr>
                <w:sz w:val="20"/>
                <w:lang w:val="fr-CA"/>
              </w:rPr>
            </w:pPr>
            <w:hyperlink r:id="rId12" w:history="1">
              <w:r w:rsidR="00175ED0" w:rsidRPr="001E5C1E">
                <w:rPr>
                  <w:rStyle w:val="Hyperlink"/>
                  <w:sz w:val="20"/>
                  <w:lang w:val="fr-CA"/>
                </w:rPr>
                <w:t>2015 ONSC 7187</w:t>
              </w:r>
            </w:hyperlink>
          </w:p>
          <w:p w:rsidR="00175ED0" w:rsidRPr="001E5C1E" w:rsidRDefault="00175ED0" w:rsidP="00CE6E50">
            <w:pPr>
              <w:rPr>
                <w:sz w:val="20"/>
                <w:lang w:val="fr-CA"/>
              </w:rPr>
            </w:pP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Annulation de la déclaration de culpabilité</w:t>
            </w:r>
          </w:p>
        </w:tc>
      </w:tr>
      <w:tr w:rsidR="00175ED0" w:rsidRPr="00037B5B" w:rsidTr="00CE6E50">
        <w:tc>
          <w:tcPr>
            <w:tcW w:w="2427" w:type="pct"/>
            <w:gridSpan w:val="2"/>
          </w:tcPr>
          <w:p w:rsidR="00175ED0" w:rsidRPr="001E5C1E" w:rsidRDefault="00175ED0" w:rsidP="00CE6E50">
            <w:pPr>
              <w:rPr>
                <w:sz w:val="20"/>
                <w:lang w:val="fr-CA"/>
              </w:rPr>
            </w:pPr>
            <w:r w:rsidRPr="001E5C1E">
              <w:rPr>
                <w:sz w:val="20"/>
                <w:lang w:val="fr-CA"/>
              </w:rPr>
              <w:t>13 février 2017</w:t>
            </w:r>
          </w:p>
          <w:p w:rsidR="00175ED0" w:rsidRPr="001E5C1E" w:rsidRDefault="00175ED0" w:rsidP="00CE6E50">
            <w:pPr>
              <w:rPr>
                <w:sz w:val="20"/>
                <w:lang w:val="fr-CA"/>
              </w:rPr>
            </w:pPr>
            <w:r w:rsidRPr="001E5C1E">
              <w:rPr>
                <w:sz w:val="20"/>
                <w:lang w:val="fr-CA"/>
              </w:rPr>
              <w:t>Cour d’appel de l’Ontario</w:t>
            </w:r>
          </w:p>
          <w:p w:rsidR="00175ED0" w:rsidRPr="001E5C1E" w:rsidRDefault="00175ED0" w:rsidP="00CE6E50">
            <w:pPr>
              <w:rPr>
                <w:sz w:val="20"/>
                <w:lang w:val="fr-CA"/>
              </w:rPr>
            </w:pPr>
            <w:r w:rsidRPr="001E5C1E">
              <w:rPr>
                <w:sz w:val="20"/>
                <w:lang w:val="fr-CA"/>
              </w:rPr>
              <w:t xml:space="preserve">(Juges Doherty, </w:t>
            </w:r>
            <w:proofErr w:type="spellStart"/>
            <w:r w:rsidRPr="001E5C1E">
              <w:rPr>
                <w:sz w:val="20"/>
                <w:lang w:val="fr-CA"/>
              </w:rPr>
              <w:t>LaForme</w:t>
            </w:r>
            <w:proofErr w:type="spellEnd"/>
            <w:r w:rsidRPr="001E5C1E">
              <w:rPr>
                <w:sz w:val="20"/>
                <w:lang w:val="fr-CA"/>
              </w:rPr>
              <w:t xml:space="preserve">, </w:t>
            </w:r>
            <w:proofErr w:type="spellStart"/>
            <w:r w:rsidRPr="001E5C1E">
              <w:rPr>
                <w:sz w:val="20"/>
                <w:lang w:val="fr-CA"/>
              </w:rPr>
              <w:t>Pepall</w:t>
            </w:r>
            <w:proofErr w:type="spellEnd"/>
            <w:r w:rsidRPr="001E5C1E">
              <w:rPr>
                <w:sz w:val="20"/>
                <w:lang w:val="fr-CA"/>
              </w:rPr>
              <w:t xml:space="preserve">, </w:t>
            </w:r>
            <w:proofErr w:type="spellStart"/>
            <w:r w:rsidRPr="001E5C1E">
              <w:rPr>
                <w:sz w:val="20"/>
                <w:lang w:val="fr-CA"/>
              </w:rPr>
              <w:t>Hourigan</w:t>
            </w:r>
            <w:proofErr w:type="spellEnd"/>
            <w:r w:rsidRPr="001E5C1E">
              <w:rPr>
                <w:sz w:val="20"/>
                <w:lang w:val="fr-CA"/>
              </w:rPr>
              <w:t xml:space="preserve"> et Miller)</w:t>
            </w:r>
          </w:p>
          <w:p w:rsidR="00175ED0" w:rsidRPr="001E5C1E" w:rsidRDefault="00175ED0" w:rsidP="00CE6E50">
            <w:pPr>
              <w:rPr>
                <w:sz w:val="20"/>
                <w:lang w:val="fr-CA"/>
              </w:rPr>
            </w:pPr>
            <w:r w:rsidRPr="001E5C1E">
              <w:rPr>
                <w:sz w:val="20"/>
                <w:lang w:val="fr-CA"/>
              </w:rPr>
              <w:lastRenderedPageBreak/>
              <w:t xml:space="preserve">C61451; </w:t>
            </w:r>
            <w:hyperlink r:id="rId13" w:history="1">
              <w:r w:rsidRPr="001E5C1E">
                <w:rPr>
                  <w:rStyle w:val="Hyperlink"/>
                  <w:sz w:val="20"/>
                  <w:lang w:val="fr-CA"/>
                </w:rPr>
                <w:t>2017 ONCA 114</w:t>
              </w:r>
            </w:hyperlink>
          </w:p>
          <w:p w:rsidR="00175ED0" w:rsidRPr="001E5C1E" w:rsidRDefault="00175ED0" w:rsidP="00CE6E50">
            <w:pPr>
              <w:rPr>
                <w:sz w:val="20"/>
                <w:lang w:val="fr-CA"/>
              </w:rPr>
            </w:pP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Arrêt accueillant l’appel et rétablissant la déclaration de culpabilité</w:t>
            </w:r>
          </w:p>
          <w:p w:rsidR="00175ED0" w:rsidRPr="001E5C1E" w:rsidRDefault="00175ED0" w:rsidP="00CE6E50">
            <w:pPr>
              <w:rPr>
                <w:sz w:val="20"/>
                <w:lang w:val="fr-CA"/>
              </w:rPr>
            </w:pPr>
          </w:p>
        </w:tc>
      </w:tr>
      <w:tr w:rsidR="00175ED0" w:rsidRPr="00037B5B" w:rsidTr="00CE6E50">
        <w:tc>
          <w:tcPr>
            <w:tcW w:w="2427" w:type="pct"/>
            <w:gridSpan w:val="2"/>
          </w:tcPr>
          <w:p w:rsidR="00175ED0" w:rsidRPr="001E5C1E" w:rsidRDefault="00175ED0" w:rsidP="00CE6E50">
            <w:pPr>
              <w:rPr>
                <w:sz w:val="20"/>
                <w:lang w:val="fr-CA"/>
              </w:rPr>
            </w:pPr>
            <w:r w:rsidRPr="001E5C1E">
              <w:rPr>
                <w:sz w:val="20"/>
                <w:lang w:val="fr-CA"/>
              </w:rPr>
              <w:t>18 avril 2017</w:t>
            </w:r>
          </w:p>
          <w:p w:rsidR="00175ED0" w:rsidRPr="001E5C1E" w:rsidRDefault="00175ED0" w:rsidP="00CE6E50">
            <w:pPr>
              <w:rPr>
                <w:sz w:val="20"/>
                <w:lang w:val="fr-CA"/>
              </w:rPr>
            </w:pPr>
            <w:r w:rsidRPr="001E5C1E">
              <w:rPr>
                <w:sz w:val="20"/>
                <w:lang w:val="fr-CA"/>
              </w:rPr>
              <w:t>Cour suprême du Canada</w:t>
            </w: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Dépôt de la demande d’autorisation d’appel</w:t>
            </w:r>
          </w:p>
          <w:p w:rsidR="00175ED0" w:rsidRPr="001E5C1E" w:rsidRDefault="00175ED0" w:rsidP="00CE6E50">
            <w:pPr>
              <w:rPr>
                <w:sz w:val="20"/>
                <w:lang w:val="fr-CA"/>
              </w:rPr>
            </w:pPr>
          </w:p>
        </w:tc>
      </w:tr>
    </w:tbl>
    <w:p w:rsidR="00252675" w:rsidRDefault="00252675" w:rsidP="005444FD">
      <w:pPr>
        <w:ind w:left="360" w:hanging="360"/>
        <w:jc w:val="both"/>
        <w:rPr>
          <w:sz w:val="20"/>
          <w:lang w:val="fr-CA" w:eastAsia="en-CA"/>
        </w:rPr>
      </w:pPr>
    </w:p>
    <w:p w:rsidR="00486FEB" w:rsidRDefault="00486FEB" w:rsidP="005444F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991159" w:rsidTr="00CE6E50">
        <w:tc>
          <w:tcPr>
            <w:tcW w:w="543" w:type="pct"/>
          </w:tcPr>
          <w:p w:rsidR="00175ED0" w:rsidRPr="00991159" w:rsidRDefault="00175ED0" w:rsidP="00CE6E50">
            <w:pPr>
              <w:rPr>
                <w:sz w:val="20"/>
              </w:rPr>
            </w:pPr>
            <w:r w:rsidRPr="00991159">
              <w:rPr>
                <w:rStyle w:val="SCCFileNumberChar"/>
                <w:sz w:val="20"/>
                <w:szCs w:val="20"/>
              </w:rPr>
              <w:t>37540</w:t>
            </w:r>
          </w:p>
        </w:tc>
        <w:tc>
          <w:tcPr>
            <w:tcW w:w="4457" w:type="pct"/>
            <w:gridSpan w:val="3"/>
          </w:tcPr>
          <w:p w:rsidR="00175ED0" w:rsidRPr="00175ED0" w:rsidRDefault="00175ED0" w:rsidP="00175ED0">
            <w:pPr>
              <w:pStyle w:val="SCCLsocParty"/>
              <w:jc w:val="left"/>
              <w:rPr>
                <w:b/>
                <w:sz w:val="20"/>
                <w:szCs w:val="20"/>
                <w:lang w:val="en-US"/>
              </w:rPr>
            </w:pPr>
            <w:r w:rsidRPr="00175ED0">
              <w:rPr>
                <w:b/>
                <w:sz w:val="20"/>
                <w:szCs w:val="20"/>
                <w:lang w:val="en-US"/>
              </w:rPr>
              <w:t>Adrian Barber v. Manufacturers Life Insurance Company, carrying on business as Manulife Financial</w:t>
            </w:r>
          </w:p>
          <w:p w:rsidR="00175ED0" w:rsidRPr="00991159" w:rsidRDefault="00175ED0" w:rsidP="00CE6E50">
            <w:pPr>
              <w:rPr>
                <w:sz w:val="20"/>
              </w:rPr>
            </w:pPr>
            <w:r w:rsidRPr="00991159">
              <w:rPr>
                <w:sz w:val="20"/>
              </w:rPr>
              <w:t>(Ont.) (Civil) (By Leave)</w:t>
            </w:r>
          </w:p>
        </w:tc>
      </w:tr>
      <w:tr w:rsidR="00175ED0" w:rsidRPr="00991159" w:rsidTr="00CE6E50">
        <w:tc>
          <w:tcPr>
            <w:tcW w:w="5000" w:type="pct"/>
            <w:gridSpan w:val="4"/>
          </w:tcPr>
          <w:p w:rsidR="00175ED0" w:rsidRPr="00991159" w:rsidRDefault="00175ED0" w:rsidP="00CE6E50">
            <w:pPr>
              <w:rPr>
                <w:sz w:val="20"/>
              </w:rPr>
            </w:pPr>
            <w:proofErr w:type="spellStart"/>
            <w:r w:rsidRPr="00991159">
              <w:rPr>
                <w:sz w:val="20"/>
              </w:rPr>
              <w:t>Labour</w:t>
            </w:r>
            <w:proofErr w:type="spellEnd"/>
            <w:r w:rsidRPr="00991159">
              <w:rPr>
                <w:sz w:val="20"/>
              </w:rPr>
              <w:t xml:space="preserve"> law – Jurisdiction – Collective agreements – Disability benefits – Whether courts or arbitrators have jurisdiction over disputes arising from termination of long-term disability benefits by an insurance company where collective agreement requires employer to provide coverage under insured plan – Whether approach in </w:t>
            </w:r>
            <w:r w:rsidRPr="00991159">
              <w:rPr>
                <w:i/>
                <w:sz w:val="20"/>
              </w:rPr>
              <w:t>Weber v. Ontario Hydro</w:t>
            </w:r>
            <w:r w:rsidRPr="00991159">
              <w:rPr>
                <w:sz w:val="20"/>
              </w:rPr>
              <w:t xml:space="preserve">, [1995] 2 S.C.R. 929, and </w:t>
            </w:r>
            <w:r w:rsidRPr="00991159">
              <w:rPr>
                <w:i/>
                <w:sz w:val="20"/>
              </w:rPr>
              <w:t>Brown and Beatty</w:t>
            </w:r>
            <w:r w:rsidRPr="00991159">
              <w:rPr>
                <w:sz w:val="20"/>
              </w:rPr>
              <w:t xml:space="preserve"> categorization apply to these types of disputes, or is a definitive approach required to determine jurisdiction.</w:t>
            </w:r>
          </w:p>
        </w:tc>
      </w:tr>
      <w:tr w:rsidR="00175ED0" w:rsidRPr="00991159" w:rsidTr="00CE6E50">
        <w:tc>
          <w:tcPr>
            <w:tcW w:w="5000" w:type="pct"/>
            <w:gridSpan w:val="4"/>
          </w:tcPr>
          <w:p w:rsidR="00175ED0" w:rsidRPr="00991159" w:rsidRDefault="00175ED0" w:rsidP="00CE6E50">
            <w:pPr>
              <w:rPr>
                <w:sz w:val="20"/>
              </w:rPr>
            </w:pPr>
          </w:p>
          <w:p w:rsidR="00175ED0" w:rsidRPr="00991159" w:rsidRDefault="00175ED0" w:rsidP="00CE6E50">
            <w:pPr>
              <w:rPr>
                <w:sz w:val="20"/>
              </w:rPr>
            </w:pPr>
            <w:r w:rsidRPr="00991159">
              <w:rPr>
                <w:sz w:val="20"/>
              </w:rPr>
              <w:t xml:space="preserve">Adrian Barber became disabled from her employment as a Port Hope police constable in July 2009. She applied for long-term disability (“LTD”) benefits under a group policy insured by the Manufacturers Life Insurance Company (“Manulife”). Manulife paid these benefits until January 2013, then terminated the benefits effective February 1, 2013. The collective agreement between the Port Hope Police Services Board and the Port Hope Police Association, which governed Ms. Barber’s employment, requires the Board to offer disability insurance coverage to the Association’s members. Ms. Barber commenced an action against Manulife asserting that LTD benefits ought to have continued. Manulife brought a motion under r. 21.01(3)(a) of the Ontario </w:t>
            </w:r>
            <w:r w:rsidRPr="00991159">
              <w:rPr>
                <w:i/>
                <w:sz w:val="20"/>
              </w:rPr>
              <w:t>Rules of Civil Procedure</w:t>
            </w:r>
            <w:r w:rsidRPr="00991159">
              <w:rPr>
                <w:sz w:val="20"/>
              </w:rPr>
              <w:t xml:space="preserve"> to have Ms. Barber’s claim dismissed because the Superior Court had no jurisdiction over the subject matter of the action but, rather, jurisdiction over the dispute belonged to an arbitrator.</w:t>
            </w:r>
          </w:p>
          <w:p w:rsidR="00175ED0" w:rsidRPr="00991159" w:rsidRDefault="00175ED0" w:rsidP="00CE6E50">
            <w:pPr>
              <w:rPr>
                <w:sz w:val="20"/>
              </w:rPr>
            </w:pPr>
          </w:p>
        </w:tc>
      </w:tr>
      <w:tr w:rsidR="00175ED0" w:rsidRPr="00991159" w:rsidTr="00CE6E50">
        <w:tc>
          <w:tcPr>
            <w:tcW w:w="5000" w:type="pct"/>
            <w:gridSpan w:val="4"/>
          </w:tcPr>
          <w:p w:rsidR="00175ED0" w:rsidRPr="00991159" w:rsidRDefault="00175ED0" w:rsidP="00CE6E50">
            <w:pPr>
              <w:rPr>
                <w:sz w:val="20"/>
              </w:rPr>
            </w:pPr>
            <w:r w:rsidRPr="00991159">
              <w:rPr>
                <w:sz w:val="20"/>
              </w:rPr>
              <w:t xml:space="preserve">The Ontario Superior Court of Justice granted Manulife’s motion to strike Ms. Barber’s action, finding the collective agreement granted exclusive jurisdiction over the matter to the </w:t>
            </w:r>
            <w:proofErr w:type="spellStart"/>
            <w:r w:rsidRPr="00991159">
              <w:rPr>
                <w:sz w:val="20"/>
              </w:rPr>
              <w:t>labour</w:t>
            </w:r>
            <w:proofErr w:type="spellEnd"/>
            <w:r w:rsidRPr="00991159">
              <w:rPr>
                <w:sz w:val="20"/>
              </w:rPr>
              <w:t xml:space="preserve"> arbitration process. The Ontario Court of Appeal dismissed Ms. Barber’s appeal, concluding the decision of</w:t>
            </w:r>
            <w:r w:rsidR="00486FEB">
              <w:rPr>
                <w:sz w:val="20"/>
              </w:rPr>
              <w:t xml:space="preserve"> the motion judge was correct.</w:t>
            </w:r>
          </w:p>
          <w:p w:rsidR="00175ED0" w:rsidRPr="00991159" w:rsidRDefault="00175ED0" w:rsidP="00CE6E50">
            <w:pPr>
              <w:rPr>
                <w:sz w:val="20"/>
              </w:rPr>
            </w:pPr>
          </w:p>
        </w:tc>
      </w:tr>
      <w:tr w:rsidR="00175ED0" w:rsidRPr="00991159" w:rsidTr="00CE6E50">
        <w:tc>
          <w:tcPr>
            <w:tcW w:w="2427" w:type="pct"/>
            <w:gridSpan w:val="2"/>
          </w:tcPr>
          <w:p w:rsidR="00175ED0" w:rsidRPr="00991159" w:rsidRDefault="00175ED0" w:rsidP="00CE6E50">
            <w:pPr>
              <w:rPr>
                <w:sz w:val="20"/>
              </w:rPr>
            </w:pPr>
            <w:r w:rsidRPr="00991159">
              <w:rPr>
                <w:sz w:val="20"/>
              </w:rPr>
              <w:t>June 16, 2016</w:t>
            </w:r>
          </w:p>
          <w:p w:rsidR="00175ED0" w:rsidRPr="00991159" w:rsidRDefault="00175ED0" w:rsidP="00CE6E50">
            <w:pPr>
              <w:rPr>
                <w:sz w:val="20"/>
              </w:rPr>
            </w:pPr>
            <w:r w:rsidRPr="00991159">
              <w:rPr>
                <w:sz w:val="20"/>
              </w:rPr>
              <w:t>Ontario Superior Court of Justice</w:t>
            </w:r>
          </w:p>
          <w:p w:rsidR="00175ED0" w:rsidRPr="00991159" w:rsidRDefault="00175ED0" w:rsidP="00CE6E50">
            <w:pPr>
              <w:rPr>
                <w:sz w:val="20"/>
              </w:rPr>
            </w:pPr>
            <w:r w:rsidRPr="00991159">
              <w:rPr>
                <w:sz w:val="20"/>
              </w:rPr>
              <w:t>(</w:t>
            </w:r>
            <w:proofErr w:type="spellStart"/>
            <w:r w:rsidRPr="00991159">
              <w:rPr>
                <w:sz w:val="20"/>
              </w:rPr>
              <w:t>Belobaba</w:t>
            </w:r>
            <w:proofErr w:type="spellEnd"/>
            <w:r w:rsidRPr="00991159">
              <w:rPr>
                <w:sz w:val="20"/>
              </w:rPr>
              <w:t xml:space="preserve"> J.)</w:t>
            </w:r>
          </w:p>
          <w:p w:rsidR="00175ED0" w:rsidRPr="00991159" w:rsidRDefault="00175ED0" w:rsidP="00CE6E50">
            <w:pPr>
              <w:rPr>
                <w:sz w:val="20"/>
              </w:rPr>
            </w:pPr>
            <w:r w:rsidRPr="00991159">
              <w:rPr>
                <w:sz w:val="20"/>
              </w:rPr>
              <w:t>Unreported endorsement</w:t>
            </w:r>
          </w:p>
          <w:p w:rsidR="00175ED0" w:rsidRPr="00991159" w:rsidRDefault="00175ED0" w:rsidP="00CE6E50">
            <w:pPr>
              <w:rPr>
                <w:sz w:val="20"/>
              </w:rPr>
            </w:pPr>
          </w:p>
        </w:tc>
        <w:tc>
          <w:tcPr>
            <w:tcW w:w="243" w:type="pct"/>
          </w:tcPr>
          <w:p w:rsidR="00175ED0" w:rsidRPr="00991159" w:rsidRDefault="00175ED0" w:rsidP="00CE6E50">
            <w:pPr>
              <w:rPr>
                <w:sz w:val="20"/>
              </w:rPr>
            </w:pPr>
          </w:p>
        </w:tc>
        <w:tc>
          <w:tcPr>
            <w:tcW w:w="2330" w:type="pct"/>
          </w:tcPr>
          <w:p w:rsidR="00175ED0" w:rsidRPr="00991159" w:rsidRDefault="00175ED0" w:rsidP="00CE6E50">
            <w:pPr>
              <w:rPr>
                <w:sz w:val="20"/>
              </w:rPr>
            </w:pPr>
            <w:r w:rsidRPr="00991159">
              <w:rPr>
                <w:sz w:val="20"/>
              </w:rPr>
              <w:t>Respondent’s motion to strike applicant’s action, granted; applicant’s action, dismissed.</w:t>
            </w:r>
          </w:p>
          <w:p w:rsidR="00175ED0" w:rsidRPr="00991159" w:rsidRDefault="00175ED0" w:rsidP="00CE6E50">
            <w:pPr>
              <w:rPr>
                <w:sz w:val="20"/>
              </w:rPr>
            </w:pPr>
          </w:p>
        </w:tc>
      </w:tr>
      <w:tr w:rsidR="00175ED0" w:rsidRPr="00991159" w:rsidTr="00CE6E50">
        <w:tc>
          <w:tcPr>
            <w:tcW w:w="2427" w:type="pct"/>
            <w:gridSpan w:val="2"/>
          </w:tcPr>
          <w:p w:rsidR="00175ED0" w:rsidRPr="00991159" w:rsidRDefault="00175ED0" w:rsidP="00CE6E50">
            <w:pPr>
              <w:rPr>
                <w:sz w:val="20"/>
              </w:rPr>
            </w:pPr>
            <w:r w:rsidRPr="00991159">
              <w:rPr>
                <w:sz w:val="20"/>
              </w:rPr>
              <w:t>February 27, 2017</w:t>
            </w:r>
          </w:p>
          <w:p w:rsidR="00175ED0" w:rsidRPr="00991159" w:rsidRDefault="00175ED0" w:rsidP="00CE6E50">
            <w:pPr>
              <w:rPr>
                <w:sz w:val="20"/>
              </w:rPr>
            </w:pPr>
            <w:r w:rsidRPr="00991159">
              <w:rPr>
                <w:sz w:val="20"/>
              </w:rPr>
              <w:t>Court of Appeal for Ontario</w:t>
            </w:r>
          </w:p>
          <w:p w:rsidR="00175ED0" w:rsidRPr="00991159" w:rsidRDefault="00175ED0" w:rsidP="00CE6E50">
            <w:pPr>
              <w:rPr>
                <w:sz w:val="20"/>
              </w:rPr>
            </w:pPr>
            <w:r w:rsidRPr="00991159">
              <w:rPr>
                <w:sz w:val="20"/>
              </w:rPr>
              <w:t>(</w:t>
            </w:r>
            <w:proofErr w:type="spellStart"/>
            <w:r w:rsidRPr="00991159">
              <w:rPr>
                <w:sz w:val="20"/>
              </w:rPr>
              <w:t>LaForme</w:t>
            </w:r>
            <w:proofErr w:type="spellEnd"/>
            <w:r w:rsidRPr="00991159">
              <w:rPr>
                <w:sz w:val="20"/>
              </w:rPr>
              <w:t xml:space="preserve">, </w:t>
            </w:r>
            <w:proofErr w:type="spellStart"/>
            <w:r w:rsidRPr="00991159">
              <w:rPr>
                <w:sz w:val="20"/>
              </w:rPr>
              <w:t>Pepall</w:t>
            </w:r>
            <w:proofErr w:type="spellEnd"/>
            <w:r w:rsidRPr="00991159">
              <w:rPr>
                <w:sz w:val="20"/>
              </w:rPr>
              <w:t xml:space="preserve"> and </w:t>
            </w:r>
            <w:proofErr w:type="spellStart"/>
            <w:r w:rsidRPr="00991159">
              <w:rPr>
                <w:sz w:val="20"/>
              </w:rPr>
              <w:t>Pardu</w:t>
            </w:r>
            <w:proofErr w:type="spellEnd"/>
            <w:r w:rsidRPr="00991159">
              <w:rPr>
                <w:sz w:val="20"/>
              </w:rPr>
              <w:t xml:space="preserve"> JJ.A.)</w:t>
            </w:r>
          </w:p>
          <w:p w:rsidR="00175ED0" w:rsidRPr="00991159" w:rsidRDefault="00037B5B" w:rsidP="00CE6E50">
            <w:pPr>
              <w:rPr>
                <w:sz w:val="20"/>
              </w:rPr>
            </w:pPr>
            <w:hyperlink r:id="rId14" w:history="1">
              <w:r w:rsidR="00175ED0" w:rsidRPr="00991159">
                <w:rPr>
                  <w:rStyle w:val="Hyperlink"/>
                  <w:sz w:val="20"/>
                </w:rPr>
                <w:t>2017 ONCA 164</w:t>
              </w:r>
            </w:hyperlink>
            <w:r w:rsidR="00175ED0" w:rsidRPr="00991159">
              <w:rPr>
                <w:sz w:val="20"/>
              </w:rPr>
              <w:t xml:space="preserve"> </w:t>
            </w:r>
          </w:p>
          <w:p w:rsidR="00175ED0" w:rsidRPr="00991159" w:rsidRDefault="00175ED0" w:rsidP="00CE6E50">
            <w:pPr>
              <w:rPr>
                <w:sz w:val="20"/>
              </w:rPr>
            </w:pPr>
          </w:p>
        </w:tc>
        <w:tc>
          <w:tcPr>
            <w:tcW w:w="243" w:type="pct"/>
          </w:tcPr>
          <w:p w:rsidR="00175ED0" w:rsidRPr="00991159" w:rsidRDefault="00175ED0" w:rsidP="00CE6E50">
            <w:pPr>
              <w:rPr>
                <w:sz w:val="20"/>
              </w:rPr>
            </w:pPr>
          </w:p>
        </w:tc>
        <w:tc>
          <w:tcPr>
            <w:tcW w:w="2330" w:type="pct"/>
          </w:tcPr>
          <w:p w:rsidR="00175ED0" w:rsidRPr="00991159" w:rsidRDefault="00175ED0" w:rsidP="00CE6E50">
            <w:pPr>
              <w:rPr>
                <w:sz w:val="20"/>
              </w:rPr>
            </w:pPr>
            <w:r w:rsidRPr="00991159">
              <w:rPr>
                <w:sz w:val="20"/>
              </w:rPr>
              <w:t>Applicant’s appeal, dismissed.</w:t>
            </w:r>
          </w:p>
          <w:p w:rsidR="00175ED0" w:rsidRPr="00991159" w:rsidRDefault="00175ED0" w:rsidP="00CE6E50">
            <w:pPr>
              <w:rPr>
                <w:sz w:val="20"/>
              </w:rPr>
            </w:pPr>
          </w:p>
        </w:tc>
      </w:tr>
      <w:tr w:rsidR="00175ED0" w:rsidRPr="00991159" w:rsidTr="00CE6E50">
        <w:tc>
          <w:tcPr>
            <w:tcW w:w="2427" w:type="pct"/>
            <w:gridSpan w:val="2"/>
          </w:tcPr>
          <w:p w:rsidR="00175ED0" w:rsidRPr="00991159" w:rsidRDefault="00175ED0" w:rsidP="00CE6E50">
            <w:pPr>
              <w:rPr>
                <w:sz w:val="20"/>
              </w:rPr>
            </w:pPr>
            <w:r w:rsidRPr="00991159">
              <w:rPr>
                <w:sz w:val="20"/>
              </w:rPr>
              <w:t>April 25, 2017</w:t>
            </w:r>
          </w:p>
          <w:p w:rsidR="00175ED0" w:rsidRPr="00991159" w:rsidRDefault="00175ED0" w:rsidP="00CE6E50">
            <w:pPr>
              <w:rPr>
                <w:sz w:val="20"/>
              </w:rPr>
            </w:pPr>
            <w:r w:rsidRPr="00991159">
              <w:rPr>
                <w:sz w:val="20"/>
              </w:rPr>
              <w:t>Supreme Court of Canada</w:t>
            </w:r>
          </w:p>
        </w:tc>
        <w:tc>
          <w:tcPr>
            <w:tcW w:w="243" w:type="pct"/>
          </w:tcPr>
          <w:p w:rsidR="00175ED0" w:rsidRPr="00991159" w:rsidRDefault="00175ED0" w:rsidP="00CE6E50">
            <w:pPr>
              <w:rPr>
                <w:sz w:val="20"/>
              </w:rPr>
            </w:pPr>
          </w:p>
        </w:tc>
        <w:tc>
          <w:tcPr>
            <w:tcW w:w="2330" w:type="pct"/>
          </w:tcPr>
          <w:p w:rsidR="00175ED0" w:rsidRPr="00991159" w:rsidRDefault="00175ED0" w:rsidP="00CE6E50">
            <w:pPr>
              <w:rPr>
                <w:sz w:val="20"/>
              </w:rPr>
            </w:pPr>
            <w:r w:rsidRPr="00991159">
              <w:rPr>
                <w:sz w:val="20"/>
              </w:rPr>
              <w:t>Application for leave to appeal, filed.</w:t>
            </w:r>
          </w:p>
          <w:p w:rsidR="00175ED0" w:rsidRPr="00991159" w:rsidRDefault="00175ED0" w:rsidP="00CE6E50">
            <w:pPr>
              <w:rPr>
                <w:sz w:val="20"/>
              </w:rPr>
            </w:pPr>
          </w:p>
        </w:tc>
      </w:tr>
    </w:tbl>
    <w:p w:rsidR="00175ED0" w:rsidRDefault="00175ED0" w:rsidP="005444FD">
      <w:pPr>
        <w:ind w:left="360" w:hanging="360"/>
        <w:jc w:val="both"/>
        <w:rPr>
          <w:sz w:val="20"/>
          <w:lang w:eastAsia="en-CA"/>
        </w:rPr>
      </w:pPr>
    </w:p>
    <w:p w:rsidR="00486FEB" w:rsidRPr="00175ED0" w:rsidRDefault="00486FEB" w:rsidP="005444F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5B4FD6" w:rsidTr="00CE6E50">
        <w:tc>
          <w:tcPr>
            <w:tcW w:w="543" w:type="pct"/>
          </w:tcPr>
          <w:p w:rsidR="00175ED0" w:rsidRPr="005B4FD6" w:rsidRDefault="00175ED0" w:rsidP="00CE6E50">
            <w:pPr>
              <w:rPr>
                <w:sz w:val="20"/>
                <w:lang w:val="fr-CA"/>
              </w:rPr>
            </w:pPr>
            <w:r w:rsidRPr="005B4FD6">
              <w:rPr>
                <w:rStyle w:val="SCCFileNumberChar"/>
                <w:sz w:val="20"/>
                <w:szCs w:val="20"/>
                <w:lang w:val="fr-CA"/>
              </w:rPr>
              <w:t>37540</w:t>
            </w:r>
          </w:p>
        </w:tc>
        <w:tc>
          <w:tcPr>
            <w:tcW w:w="4457" w:type="pct"/>
            <w:gridSpan w:val="3"/>
          </w:tcPr>
          <w:p w:rsidR="00175ED0" w:rsidRPr="00175ED0" w:rsidRDefault="00175ED0" w:rsidP="00175ED0">
            <w:pPr>
              <w:pStyle w:val="SCCLsocParty"/>
              <w:jc w:val="left"/>
              <w:rPr>
                <w:b/>
                <w:sz w:val="20"/>
                <w:szCs w:val="20"/>
              </w:rPr>
            </w:pPr>
            <w:r w:rsidRPr="00175ED0">
              <w:rPr>
                <w:b/>
                <w:sz w:val="20"/>
                <w:szCs w:val="20"/>
              </w:rPr>
              <w:t xml:space="preserve">Adrian Barber c. La Compagnie d’Assurance-Vie </w:t>
            </w:r>
            <w:proofErr w:type="spellStart"/>
            <w:r w:rsidRPr="00175ED0">
              <w:rPr>
                <w:b/>
                <w:sz w:val="20"/>
                <w:szCs w:val="20"/>
              </w:rPr>
              <w:t>Manufacturers</w:t>
            </w:r>
            <w:proofErr w:type="spellEnd"/>
            <w:r w:rsidRPr="00175ED0">
              <w:rPr>
                <w:b/>
                <w:sz w:val="20"/>
                <w:szCs w:val="20"/>
              </w:rPr>
              <w:t xml:space="preserve">, faisant affaire sous le nom de Financière </w:t>
            </w:r>
            <w:proofErr w:type="spellStart"/>
            <w:r w:rsidRPr="00175ED0">
              <w:rPr>
                <w:b/>
                <w:sz w:val="20"/>
                <w:szCs w:val="20"/>
              </w:rPr>
              <w:t>Manuvie</w:t>
            </w:r>
            <w:proofErr w:type="spellEnd"/>
          </w:p>
          <w:p w:rsidR="00175ED0" w:rsidRPr="005B4FD6" w:rsidRDefault="00175ED0" w:rsidP="00CE6E50">
            <w:pPr>
              <w:rPr>
                <w:sz w:val="20"/>
                <w:lang w:val="fr-CA"/>
              </w:rPr>
            </w:pPr>
            <w:r w:rsidRPr="005B4FD6">
              <w:rPr>
                <w:sz w:val="20"/>
                <w:lang w:val="fr-CA"/>
              </w:rPr>
              <w:t>(Ont.) (Civile) (Sur autorisation)</w:t>
            </w:r>
          </w:p>
        </w:tc>
      </w:tr>
      <w:tr w:rsidR="00175ED0" w:rsidRPr="00037B5B" w:rsidTr="00CE6E50">
        <w:tc>
          <w:tcPr>
            <w:tcW w:w="5000" w:type="pct"/>
            <w:gridSpan w:val="4"/>
          </w:tcPr>
          <w:p w:rsidR="00175ED0" w:rsidRPr="005B4FD6" w:rsidRDefault="00175ED0" w:rsidP="00CE6E50">
            <w:pPr>
              <w:rPr>
                <w:sz w:val="20"/>
                <w:lang w:val="fr-CA"/>
              </w:rPr>
            </w:pPr>
            <w:r w:rsidRPr="005B4FD6">
              <w:rPr>
                <w:sz w:val="20"/>
                <w:lang w:val="fr-CA"/>
              </w:rPr>
              <w:t xml:space="preserve">Droit du travail – Compétence – Conventions collectives – Prestations d’invalidité – Les tribunaux ou les arbitres ont-ils compétence pour connaître de différends découlant de la résiliation de prestations d’invalidité de longue durée par une compagnie d’assurance lorsque la convention collective oblige l’employeur à offrir l’assurance en vertu du régime de l’assuré? – L’approche suivie dans l’arrêt </w:t>
            </w:r>
            <w:r w:rsidRPr="005B4FD6">
              <w:rPr>
                <w:i/>
                <w:sz w:val="20"/>
                <w:lang w:val="fr-CA"/>
              </w:rPr>
              <w:t>Weber c. Ontario Hydro</w:t>
            </w:r>
            <w:r w:rsidRPr="005B4FD6">
              <w:rPr>
                <w:sz w:val="20"/>
                <w:lang w:val="fr-CA"/>
              </w:rPr>
              <w:t xml:space="preserve">, [1995] 2 R.C.S. 929, et la </w:t>
            </w:r>
            <w:r w:rsidRPr="005B4FD6">
              <w:rPr>
                <w:sz w:val="20"/>
                <w:lang w:val="fr-CA"/>
              </w:rPr>
              <w:lastRenderedPageBreak/>
              <w:t>catégorisation des auteurs Brown et Beatty s’appliquent-elles à ces types de différends, ou bien est-ce qu’une approche définitive est nécessaire pour statuer sur la compétence?</w:t>
            </w:r>
          </w:p>
        </w:tc>
      </w:tr>
      <w:tr w:rsidR="00175ED0" w:rsidRPr="00037B5B" w:rsidTr="00CE6E50">
        <w:tc>
          <w:tcPr>
            <w:tcW w:w="5000" w:type="pct"/>
            <w:gridSpan w:val="4"/>
          </w:tcPr>
          <w:p w:rsidR="00175ED0" w:rsidRPr="005B4FD6" w:rsidRDefault="00175ED0" w:rsidP="00CE6E50">
            <w:pPr>
              <w:rPr>
                <w:sz w:val="20"/>
                <w:lang w:val="fr-CA"/>
              </w:rPr>
            </w:pPr>
          </w:p>
          <w:p w:rsidR="00175ED0" w:rsidRPr="005B4FD6" w:rsidRDefault="00175ED0" w:rsidP="00CE6E50">
            <w:pPr>
              <w:rPr>
                <w:sz w:val="20"/>
                <w:lang w:val="fr-CA"/>
              </w:rPr>
            </w:pPr>
            <w:r w:rsidRPr="005B4FD6">
              <w:rPr>
                <w:sz w:val="20"/>
                <w:lang w:val="fr-CA"/>
              </w:rPr>
              <w:t xml:space="preserve">Adrian Barber est devenue invalide en raison de son emploi comme policière de Port Hope en juillet 2009. Elle a demandé des prestations d’invalidité de longue durée (« ILD ») en vertu d’une assurance collective établie la Compagnie d’Assurance-Vie </w:t>
            </w:r>
            <w:proofErr w:type="spellStart"/>
            <w:r w:rsidRPr="005B4FD6">
              <w:rPr>
                <w:sz w:val="20"/>
                <w:lang w:val="fr-CA"/>
              </w:rPr>
              <w:t>Manufacturers</w:t>
            </w:r>
            <w:proofErr w:type="spellEnd"/>
            <w:r w:rsidRPr="005B4FD6">
              <w:rPr>
                <w:sz w:val="20"/>
                <w:lang w:val="fr-CA"/>
              </w:rPr>
              <w:t xml:space="preserve"> (« </w:t>
            </w:r>
            <w:proofErr w:type="spellStart"/>
            <w:r w:rsidRPr="005B4FD6">
              <w:rPr>
                <w:sz w:val="20"/>
                <w:lang w:val="fr-CA"/>
              </w:rPr>
              <w:t>Manuvie</w:t>
            </w:r>
            <w:proofErr w:type="spellEnd"/>
            <w:r w:rsidRPr="005B4FD6">
              <w:rPr>
                <w:sz w:val="20"/>
                <w:lang w:val="fr-CA"/>
              </w:rPr>
              <w:t xml:space="preserve"> »). </w:t>
            </w:r>
            <w:proofErr w:type="spellStart"/>
            <w:r w:rsidRPr="005B4FD6">
              <w:rPr>
                <w:sz w:val="20"/>
                <w:lang w:val="fr-CA"/>
              </w:rPr>
              <w:t>Manuvie</w:t>
            </w:r>
            <w:proofErr w:type="spellEnd"/>
            <w:r w:rsidRPr="005B4FD6">
              <w:rPr>
                <w:sz w:val="20"/>
                <w:lang w:val="fr-CA"/>
              </w:rPr>
              <w:t xml:space="preserve"> a versé ces prestations jusqu’en janvier 2013, puis a mis fin aux prestations avec prise d’effet le 1</w:t>
            </w:r>
            <w:r w:rsidRPr="005B4FD6">
              <w:rPr>
                <w:sz w:val="20"/>
                <w:vertAlign w:val="superscript"/>
                <w:lang w:val="fr-CA"/>
              </w:rPr>
              <w:t>er</w:t>
            </w:r>
            <w:r w:rsidRPr="005B4FD6">
              <w:rPr>
                <w:sz w:val="20"/>
                <w:lang w:val="fr-CA"/>
              </w:rPr>
              <w:t xml:space="preserve"> février 2013. La convention collective entre la Port Hope Police Services </w:t>
            </w:r>
            <w:proofErr w:type="spellStart"/>
            <w:r w:rsidRPr="005B4FD6">
              <w:rPr>
                <w:sz w:val="20"/>
                <w:lang w:val="fr-CA"/>
              </w:rPr>
              <w:t>Board</w:t>
            </w:r>
            <w:proofErr w:type="spellEnd"/>
            <w:r w:rsidRPr="005B4FD6">
              <w:rPr>
                <w:sz w:val="20"/>
                <w:lang w:val="fr-CA"/>
              </w:rPr>
              <w:t xml:space="preserve"> (la « Commission ») et la Port Hope Police Association, qui régissait l’emploi de Mme Barber, oblige la Commission à offrir une assurance invalidité aux membres de l’Association. Madame Barber a intenté une action contre </w:t>
            </w:r>
            <w:proofErr w:type="spellStart"/>
            <w:r w:rsidRPr="005B4FD6">
              <w:rPr>
                <w:sz w:val="20"/>
                <w:lang w:val="fr-CA"/>
              </w:rPr>
              <w:t>Manuvie</w:t>
            </w:r>
            <w:proofErr w:type="spellEnd"/>
            <w:r w:rsidRPr="005B4FD6">
              <w:rPr>
                <w:sz w:val="20"/>
                <w:lang w:val="fr-CA"/>
              </w:rPr>
              <w:t xml:space="preserve">, alléguant que les prestations d’ILD auraient dû continuer à être versées. </w:t>
            </w:r>
            <w:proofErr w:type="spellStart"/>
            <w:r w:rsidRPr="005B4FD6">
              <w:rPr>
                <w:sz w:val="20"/>
                <w:lang w:val="fr-CA"/>
              </w:rPr>
              <w:t>Manuvie</w:t>
            </w:r>
            <w:proofErr w:type="spellEnd"/>
            <w:r w:rsidRPr="005B4FD6">
              <w:rPr>
                <w:sz w:val="20"/>
                <w:lang w:val="fr-CA"/>
              </w:rPr>
              <w:t xml:space="preserve"> a présenté une motion fondée sur l’al. 21.01(3)a) des </w:t>
            </w:r>
            <w:r w:rsidRPr="005B4FD6">
              <w:rPr>
                <w:i/>
                <w:sz w:val="20"/>
                <w:lang w:val="fr-CA"/>
              </w:rPr>
              <w:t>Règles de procédure civile</w:t>
            </w:r>
            <w:r w:rsidRPr="005B4FD6">
              <w:rPr>
                <w:sz w:val="20"/>
                <w:lang w:val="fr-CA"/>
              </w:rPr>
              <w:t xml:space="preserve"> de l’Ontario, sollicitant le rejet de la demande de Mme Barber parce que la Cour supérieure n’avait pas compétence pour connaître de l’objet de l’action et que la compétence pour connaître du différend appartenait plutôt à un arbitre.</w:t>
            </w:r>
          </w:p>
          <w:p w:rsidR="00175ED0" w:rsidRPr="005B4FD6" w:rsidRDefault="00175ED0" w:rsidP="00CE6E50">
            <w:pPr>
              <w:rPr>
                <w:sz w:val="20"/>
                <w:lang w:val="fr-CA"/>
              </w:rPr>
            </w:pPr>
          </w:p>
        </w:tc>
      </w:tr>
      <w:tr w:rsidR="00175ED0" w:rsidRPr="00037B5B" w:rsidTr="00CE6E50">
        <w:tc>
          <w:tcPr>
            <w:tcW w:w="5000" w:type="pct"/>
            <w:gridSpan w:val="4"/>
          </w:tcPr>
          <w:p w:rsidR="00175ED0" w:rsidRPr="005B4FD6" w:rsidRDefault="00175ED0" w:rsidP="00CE6E50">
            <w:pPr>
              <w:rPr>
                <w:sz w:val="20"/>
                <w:lang w:val="fr-CA"/>
              </w:rPr>
            </w:pPr>
            <w:r w:rsidRPr="005B4FD6">
              <w:rPr>
                <w:sz w:val="20"/>
                <w:lang w:val="fr-CA"/>
              </w:rPr>
              <w:t xml:space="preserve">La Cour supérieure de justice a accueilli la motion de </w:t>
            </w:r>
            <w:proofErr w:type="spellStart"/>
            <w:r w:rsidRPr="005B4FD6">
              <w:rPr>
                <w:sz w:val="20"/>
                <w:lang w:val="fr-CA"/>
              </w:rPr>
              <w:t>Manuvie</w:t>
            </w:r>
            <w:proofErr w:type="spellEnd"/>
            <w:r w:rsidRPr="005B4FD6">
              <w:rPr>
                <w:sz w:val="20"/>
                <w:lang w:val="fr-CA"/>
              </w:rPr>
              <w:t xml:space="preserve"> en radiation de l’action de Mme Barber, concluant que la convention collective attribuait la compétence exclusive pour connaître de la question à un arbitre en droit du travail. La Cour d’appel a rejeté l’appel de Mme Barber, concluant que la décision du juge de premiè</w:t>
            </w:r>
            <w:r w:rsidR="00486FEB">
              <w:rPr>
                <w:sz w:val="20"/>
                <w:lang w:val="fr-CA"/>
              </w:rPr>
              <w:t>re instance était bien fondée.</w:t>
            </w:r>
          </w:p>
          <w:p w:rsidR="00175ED0" w:rsidRPr="005B4FD6" w:rsidRDefault="00175ED0" w:rsidP="00CE6E50">
            <w:pPr>
              <w:rPr>
                <w:sz w:val="20"/>
                <w:lang w:val="fr-CA"/>
              </w:rPr>
            </w:pPr>
          </w:p>
        </w:tc>
      </w:tr>
      <w:tr w:rsidR="00175ED0" w:rsidRPr="00037B5B" w:rsidTr="00CE6E50">
        <w:tc>
          <w:tcPr>
            <w:tcW w:w="2427" w:type="pct"/>
            <w:gridSpan w:val="2"/>
          </w:tcPr>
          <w:p w:rsidR="00175ED0" w:rsidRPr="005B4FD6" w:rsidRDefault="00175ED0" w:rsidP="00CE6E50">
            <w:pPr>
              <w:rPr>
                <w:sz w:val="20"/>
                <w:lang w:val="fr-CA"/>
              </w:rPr>
            </w:pPr>
            <w:r w:rsidRPr="005B4FD6">
              <w:rPr>
                <w:sz w:val="20"/>
                <w:lang w:val="fr-CA"/>
              </w:rPr>
              <w:t>16 juin 2016</w:t>
            </w:r>
          </w:p>
          <w:p w:rsidR="00175ED0" w:rsidRPr="005B4FD6" w:rsidRDefault="00175ED0" w:rsidP="00CE6E50">
            <w:pPr>
              <w:rPr>
                <w:sz w:val="20"/>
                <w:lang w:val="fr-CA"/>
              </w:rPr>
            </w:pPr>
            <w:r w:rsidRPr="005B4FD6">
              <w:rPr>
                <w:sz w:val="20"/>
                <w:lang w:val="fr-CA"/>
              </w:rPr>
              <w:t>Cour supérieure de justice de l’Ontario</w:t>
            </w:r>
          </w:p>
          <w:p w:rsidR="00175ED0" w:rsidRPr="005B4FD6" w:rsidRDefault="00175ED0" w:rsidP="00CE6E50">
            <w:pPr>
              <w:rPr>
                <w:sz w:val="20"/>
                <w:lang w:val="fr-CA"/>
              </w:rPr>
            </w:pPr>
            <w:r w:rsidRPr="005B4FD6">
              <w:rPr>
                <w:sz w:val="20"/>
                <w:lang w:val="fr-CA"/>
              </w:rPr>
              <w:t xml:space="preserve">(Juge </w:t>
            </w:r>
            <w:proofErr w:type="spellStart"/>
            <w:r w:rsidRPr="005B4FD6">
              <w:rPr>
                <w:sz w:val="20"/>
                <w:lang w:val="fr-CA"/>
              </w:rPr>
              <w:t>Belobaba</w:t>
            </w:r>
            <w:proofErr w:type="spellEnd"/>
            <w:r w:rsidRPr="005B4FD6">
              <w:rPr>
                <w:sz w:val="20"/>
                <w:lang w:val="fr-CA"/>
              </w:rPr>
              <w:t>)</w:t>
            </w:r>
          </w:p>
          <w:p w:rsidR="00175ED0" w:rsidRPr="005B4FD6" w:rsidRDefault="00175ED0" w:rsidP="00CE6E50">
            <w:pPr>
              <w:rPr>
                <w:sz w:val="20"/>
                <w:lang w:val="fr-CA"/>
              </w:rPr>
            </w:pPr>
            <w:r w:rsidRPr="005B4FD6">
              <w:rPr>
                <w:sz w:val="20"/>
                <w:lang w:val="fr-CA"/>
              </w:rPr>
              <w:t>Jugement manuscrit inédit</w:t>
            </w:r>
          </w:p>
          <w:p w:rsidR="00175ED0" w:rsidRPr="005B4FD6" w:rsidRDefault="00175ED0" w:rsidP="00CE6E50">
            <w:pPr>
              <w:rPr>
                <w:sz w:val="20"/>
                <w:lang w:val="fr-CA"/>
              </w:rPr>
            </w:pPr>
          </w:p>
        </w:tc>
        <w:tc>
          <w:tcPr>
            <w:tcW w:w="243" w:type="pct"/>
          </w:tcPr>
          <w:p w:rsidR="00175ED0" w:rsidRPr="005B4FD6" w:rsidRDefault="00175ED0" w:rsidP="00CE6E50">
            <w:pPr>
              <w:rPr>
                <w:sz w:val="20"/>
                <w:lang w:val="fr-CA"/>
              </w:rPr>
            </w:pPr>
          </w:p>
        </w:tc>
        <w:tc>
          <w:tcPr>
            <w:tcW w:w="2330" w:type="pct"/>
          </w:tcPr>
          <w:p w:rsidR="00175ED0" w:rsidRPr="005B4FD6" w:rsidRDefault="00175ED0" w:rsidP="00CE6E50">
            <w:pPr>
              <w:rPr>
                <w:sz w:val="20"/>
                <w:lang w:val="fr-CA"/>
              </w:rPr>
            </w:pPr>
            <w:r w:rsidRPr="005B4FD6">
              <w:rPr>
                <w:sz w:val="20"/>
                <w:lang w:val="fr-CA"/>
              </w:rPr>
              <w:t>Jugement accueillant la motion de l’intimée en radiation de l’action de la demanderesse; rejet de l’action de la demanderesse.</w:t>
            </w:r>
          </w:p>
          <w:p w:rsidR="00175ED0" w:rsidRPr="005B4FD6" w:rsidRDefault="00175ED0" w:rsidP="00CE6E50">
            <w:pPr>
              <w:rPr>
                <w:sz w:val="20"/>
                <w:lang w:val="fr-CA"/>
              </w:rPr>
            </w:pPr>
          </w:p>
        </w:tc>
      </w:tr>
      <w:tr w:rsidR="00175ED0" w:rsidRPr="00037B5B" w:rsidTr="00CE6E50">
        <w:tc>
          <w:tcPr>
            <w:tcW w:w="2427" w:type="pct"/>
            <w:gridSpan w:val="2"/>
          </w:tcPr>
          <w:p w:rsidR="00175ED0" w:rsidRPr="005B4FD6" w:rsidRDefault="00175ED0" w:rsidP="00CE6E50">
            <w:pPr>
              <w:rPr>
                <w:sz w:val="20"/>
                <w:lang w:val="fr-CA"/>
              </w:rPr>
            </w:pPr>
            <w:r w:rsidRPr="005B4FD6">
              <w:rPr>
                <w:sz w:val="20"/>
                <w:lang w:val="fr-CA"/>
              </w:rPr>
              <w:t>27 février 2017</w:t>
            </w:r>
          </w:p>
          <w:p w:rsidR="00175ED0" w:rsidRPr="005B4FD6" w:rsidRDefault="00175ED0" w:rsidP="00CE6E50">
            <w:pPr>
              <w:rPr>
                <w:sz w:val="20"/>
                <w:lang w:val="fr-CA"/>
              </w:rPr>
            </w:pPr>
            <w:r w:rsidRPr="005B4FD6">
              <w:rPr>
                <w:sz w:val="20"/>
                <w:lang w:val="fr-CA"/>
              </w:rPr>
              <w:t>Cour d’appel de l’Ontario</w:t>
            </w:r>
          </w:p>
          <w:p w:rsidR="00175ED0" w:rsidRPr="005B4FD6" w:rsidRDefault="00175ED0" w:rsidP="00CE6E50">
            <w:pPr>
              <w:rPr>
                <w:sz w:val="20"/>
                <w:lang w:val="fr-CA"/>
              </w:rPr>
            </w:pPr>
            <w:r w:rsidRPr="005B4FD6">
              <w:rPr>
                <w:sz w:val="20"/>
                <w:lang w:val="fr-CA"/>
              </w:rPr>
              <w:t xml:space="preserve">(Juges </w:t>
            </w:r>
            <w:proofErr w:type="spellStart"/>
            <w:r w:rsidRPr="005B4FD6">
              <w:rPr>
                <w:sz w:val="20"/>
                <w:lang w:val="fr-CA"/>
              </w:rPr>
              <w:t>LaForme</w:t>
            </w:r>
            <w:proofErr w:type="spellEnd"/>
            <w:r w:rsidRPr="005B4FD6">
              <w:rPr>
                <w:sz w:val="20"/>
                <w:lang w:val="fr-CA"/>
              </w:rPr>
              <w:t xml:space="preserve">, </w:t>
            </w:r>
            <w:proofErr w:type="spellStart"/>
            <w:r w:rsidRPr="005B4FD6">
              <w:rPr>
                <w:sz w:val="20"/>
                <w:lang w:val="fr-CA"/>
              </w:rPr>
              <w:t>Pepall</w:t>
            </w:r>
            <w:proofErr w:type="spellEnd"/>
            <w:r w:rsidRPr="005B4FD6">
              <w:rPr>
                <w:sz w:val="20"/>
                <w:lang w:val="fr-CA"/>
              </w:rPr>
              <w:t xml:space="preserve"> et </w:t>
            </w:r>
            <w:proofErr w:type="spellStart"/>
            <w:r w:rsidRPr="005B4FD6">
              <w:rPr>
                <w:sz w:val="20"/>
                <w:lang w:val="fr-CA"/>
              </w:rPr>
              <w:t>Pardu</w:t>
            </w:r>
            <w:proofErr w:type="spellEnd"/>
            <w:r w:rsidRPr="005B4FD6">
              <w:rPr>
                <w:sz w:val="20"/>
                <w:lang w:val="fr-CA"/>
              </w:rPr>
              <w:t>)</w:t>
            </w:r>
          </w:p>
          <w:p w:rsidR="00175ED0" w:rsidRPr="005B4FD6" w:rsidRDefault="00037B5B" w:rsidP="00CE6E50">
            <w:pPr>
              <w:rPr>
                <w:sz w:val="20"/>
                <w:lang w:val="fr-CA"/>
              </w:rPr>
            </w:pPr>
            <w:hyperlink r:id="rId15" w:history="1">
              <w:r w:rsidR="00175ED0" w:rsidRPr="005B4FD6">
                <w:rPr>
                  <w:rStyle w:val="Hyperlink"/>
                  <w:sz w:val="20"/>
                  <w:lang w:val="fr-CA"/>
                </w:rPr>
                <w:t>2017 ONCA 164</w:t>
              </w:r>
            </w:hyperlink>
            <w:r w:rsidR="00175ED0" w:rsidRPr="005B4FD6">
              <w:rPr>
                <w:sz w:val="20"/>
                <w:lang w:val="fr-CA"/>
              </w:rPr>
              <w:t xml:space="preserve"> </w:t>
            </w:r>
          </w:p>
          <w:p w:rsidR="00175ED0" w:rsidRPr="005B4FD6" w:rsidRDefault="00175ED0" w:rsidP="00CE6E50">
            <w:pPr>
              <w:rPr>
                <w:sz w:val="20"/>
                <w:lang w:val="fr-CA"/>
              </w:rPr>
            </w:pPr>
          </w:p>
        </w:tc>
        <w:tc>
          <w:tcPr>
            <w:tcW w:w="243" w:type="pct"/>
          </w:tcPr>
          <w:p w:rsidR="00175ED0" w:rsidRPr="005B4FD6" w:rsidRDefault="00175ED0" w:rsidP="00CE6E50">
            <w:pPr>
              <w:rPr>
                <w:sz w:val="20"/>
                <w:lang w:val="fr-CA"/>
              </w:rPr>
            </w:pPr>
          </w:p>
        </w:tc>
        <w:tc>
          <w:tcPr>
            <w:tcW w:w="2330" w:type="pct"/>
          </w:tcPr>
          <w:p w:rsidR="00175ED0" w:rsidRPr="005B4FD6" w:rsidRDefault="00175ED0" w:rsidP="00CE6E50">
            <w:pPr>
              <w:rPr>
                <w:sz w:val="20"/>
                <w:lang w:val="fr-CA"/>
              </w:rPr>
            </w:pPr>
            <w:r w:rsidRPr="005B4FD6">
              <w:rPr>
                <w:sz w:val="20"/>
                <w:lang w:val="fr-CA"/>
              </w:rPr>
              <w:t>Rejet de l’appel de la demanderesse.</w:t>
            </w:r>
          </w:p>
          <w:p w:rsidR="00175ED0" w:rsidRPr="005B4FD6" w:rsidRDefault="00175ED0" w:rsidP="00CE6E50">
            <w:pPr>
              <w:rPr>
                <w:sz w:val="20"/>
                <w:lang w:val="fr-CA"/>
              </w:rPr>
            </w:pPr>
          </w:p>
        </w:tc>
      </w:tr>
      <w:tr w:rsidR="00175ED0" w:rsidRPr="00037B5B" w:rsidTr="00CE6E50">
        <w:tc>
          <w:tcPr>
            <w:tcW w:w="2427" w:type="pct"/>
            <w:gridSpan w:val="2"/>
          </w:tcPr>
          <w:p w:rsidR="00175ED0" w:rsidRPr="005B4FD6" w:rsidRDefault="00175ED0" w:rsidP="00CE6E50">
            <w:pPr>
              <w:rPr>
                <w:sz w:val="20"/>
                <w:lang w:val="fr-CA"/>
              </w:rPr>
            </w:pPr>
            <w:r w:rsidRPr="005B4FD6">
              <w:rPr>
                <w:sz w:val="20"/>
                <w:lang w:val="fr-CA"/>
              </w:rPr>
              <w:t>25 avril 2017</w:t>
            </w:r>
          </w:p>
          <w:p w:rsidR="00175ED0" w:rsidRPr="005B4FD6" w:rsidRDefault="00175ED0" w:rsidP="00CE6E50">
            <w:pPr>
              <w:rPr>
                <w:sz w:val="20"/>
                <w:lang w:val="fr-CA"/>
              </w:rPr>
            </w:pPr>
            <w:r w:rsidRPr="005B4FD6">
              <w:rPr>
                <w:sz w:val="20"/>
                <w:lang w:val="fr-CA"/>
              </w:rPr>
              <w:t>Cour suprême du Canada</w:t>
            </w:r>
          </w:p>
        </w:tc>
        <w:tc>
          <w:tcPr>
            <w:tcW w:w="243" w:type="pct"/>
          </w:tcPr>
          <w:p w:rsidR="00175ED0" w:rsidRPr="005B4FD6" w:rsidRDefault="00175ED0" w:rsidP="00CE6E50">
            <w:pPr>
              <w:rPr>
                <w:sz w:val="20"/>
                <w:lang w:val="fr-CA"/>
              </w:rPr>
            </w:pPr>
          </w:p>
        </w:tc>
        <w:tc>
          <w:tcPr>
            <w:tcW w:w="2330" w:type="pct"/>
          </w:tcPr>
          <w:p w:rsidR="00175ED0" w:rsidRPr="005B4FD6" w:rsidRDefault="00175ED0" w:rsidP="00CE6E50">
            <w:pPr>
              <w:rPr>
                <w:sz w:val="20"/>
                <w:lang w:val="fr-CA"/>
              </w:rPr>
            </w:pPr>
            <w:r w:rsidRPr="005B4FD6">
              <w:rPr>
                <w:sz w:val="20"/>
                <w:lang w:val="fr-CA"/>
              </w:rPr>
              <w:t>Dépôt de la demande d’autorisation d’appel.</w:t>
            </w:r>
          </w:p>
          <w:p w:rsidR="00175ED0" w:rsidRPr="005B4FD6" w:rsidRDefault="00175ED0" w:rsidP="00CE6E50">
            <w:pPr>
              <w:rPr>
                <w:sz w:val="20"/>
                <w:lang w:val="fr-CA"/>
              </w:rPr>
            </w:pPr>
          </w:p>
        </w:tc>
      </w:tr>
    </w:tbl>
    <w:p w:rsidR="00175ED0" w:rsidRDefault="00175ED0" w:rsidP="005444FD">
      <w:pPr>
        <w:ind w:left="360" w:hanging="360"/>
        <w:jc w:val="both"/>
        <w:rPr>
          <w:sz w:val="20"/>
          <w:lang w:val="fr-CA" w:eastAsia="en-CA"/>
        </w:rPr>
      </w:pPr>
    </w:p>
    <w:p w:rsidR="00486FEB" w:rsidRPr="00175ED0" w:rsidRDefault="00486FEB" w:rsidP="005444FD">
      <w:pPr>
        <w:ind w:left="360" w:hanging="360"/>
        <w:jc w:val="both"/>
        <w:rPr>
          <w:sz w:val="20"/>
          <w:lang w:val="fr-CA" w:eastAsia="en-CA"/>
        </w:rPr>
      </w:pPr>
    </w:p>
    <w:p w:rsidR="00AF63E5" w:rsidRPr="00175ED0" w:rsidRDefault="00AF63E5" w:rsidP="00F13671">
      <w:pPr>
        <w:ind w:left="360" w:hanging="360"/>
        <w:jc w:val="both"/>
        <w:rPr>
          <w:sz w:val="20"/>
          <w:lang w:val="fr-CA" w:eastAsia="en-CA"/>
        </w:rPr>
      </w:pPr>
    </w:p>
    <w:p w:rsidR="00D3344A" w:rsidRPr="00AF5C96" w:rsidRDefault="00D3344A" w:rsidP="00D3344A">
      <w:pPr>
        <w:widowControl w:val="0"/>
        <w:outlineLvl w:val="0"/>
      </w:pPr>
      <w:r w:rsidRPr="00AF5C96">
        <w:t xml:space="preserve">Supreme Court of Canada / Cour suprême du </w:t>
      </w:r>
      <w:proofErr w:type="gramStart"/>
      <w:r w:rsidRPr="00AF5C96">
        <w:t>Canad</w:t>
      </w:r>
      <w:r w:rsidR="00EE289F" w:rsidRPr="00AF5C96">
        <w:t>a</w:t>
      </w:r>
      <w:r w:rsidRPr="00AF5C96">
        <w:t xml:space="preserve"> :</w:t>
      </w:r>
      <w:proofErr w:type="gramEnd"/>
    </w:p>
    <w:p w:rsidR="00D3344A" w:rsidRPr="00AF5C96" w:rsidRDefault="00037B5B" w:rsidP="00D3344A">
      <w:pPr>
        <w:widowControl w:val="0"/>
        <w:outlineLvl w:val="0"/>
        <w:rPr>
          <w:u w:val="single"/>
        </w:rPr>
      </w:pPr>
      <w:hyperlink r:id="rId16" w:history="1">
        <w:r w:rsidR="009B7391" w:rsidRPr="00AF5C96">
          <w:rPr>
            <w:rStyle w:val="Hyperlink"/>
          </w:rPr>
          <w:t>comments-commentaires@scc-csc.ca</w:t>
        </w:r>
      </w:hyperlink>
    </w:p>
    <w:p w:rsidR="00D3344A" w:rsidRPr="00AF5C96" w:rsidRDefault="0065588C" w:rsidP="00D3344A">
      <w:pPr>
        <w:widowControl w:val="0"/>
        <w:outlineLvl w:val="0"/>
      </w:pPr>
      <w:r w:rsidRPr="00AF5C96">
        <w:t>613-</w:t>
      </w:r>
      <w:r w:rsidR="00D3344A" w:rsidRPr="00AF5C96">
        <w:t>995-4330</w:t>
      </w:r>
    </w:p>
    <w:p w:rsidR="00497B5E" w:rsidRPr="00AF5C96" w:rsidRDefault="00497B5E" w:rsidP="00497B5E">
      <w:pPr>
        <w:widowControl w:val="0"/>
        <w:rPr>
          <w:sz w:val="20"/>
        </w:rPr>
      </w:pPr>
    </w:p>
    <w:p w:rsidR="00F6251B" w:rsidRPr="006E558B" w:rsidRDefault="003F43E6" w:rsidP="00F6251B">
      <w:pPr>
        <w:pStyle w:val="Footer"/>
        <w:jc w:val="center"/>
      </w:pPr>
      <w:r w:rsidRPr="00AF5C96">
        <w:t>- 30 -</w:t>
      </w:r>
    </w:p>
    <w:p w:rsidR="00F6251B" w:rsidRPr="006E558B" w:rsidRDefault="00F6251B" w:rsidP="00F6251B">
      <w:pPr>
        <w:pStyle w:val="Footer"/>
        <w:jc w:val="center"/>
      </w:pPr>
    </w:p>
    <w:sectPr w:rsidR="00F6251B" w:rsidRPr="006E558B" w:rsidSect="005248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896F15"/>
    <w:multiLevelType w:val="hybridMultilevel"/>
    <w:tmpl w:val="8402A008"/>
    <w:lvl w:ilvl="0" w:tplc="D5F4A84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630111C"/>
    <w:multiLevelType w:val="hybridMultilevel"/>
    <w:tmpl w:val="93F22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FC1044"/>
    <w:multiLevelType w:val="hybridMultilevel"/>
    <w:tmpl w:val="39BE763A"/>
    <w:lvl w:ilvl="0" w:tplc="28C2ECB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0"/>
  </w:num>
  <w:num w:numId="3">
    <w:abstractNumId w:val="18"/>
  </w:num>
  <w:num w:numId="4">
    <w:abstractNumId w:val="44"/>
  </w:num>
  <w:num w:numId="5">
    <w:abstractNumId w:val="27"/>
  </w:num>
  <w:num w:numId="6">
    <w:abstractNumId w:val="15"/>
  </w:num>
  <w:num w:numId="7">
    <w:abstractNumId w:val="3"/>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6"/>
  </w:num>
  <w:num w:numId="12">
    <w:abstractNumId w:val="46"/>
  </w:num>
  <w:num w:numId="13">
    <w:abstractNumId w:val="40"/>
  </w:num>
  <w:num w:numId="14">
    <w:abstractNumId w:val="6"/>
  </w:num>
  <w:num w:numId="15">
    <w:abstractNumId w:val="42"/>
  </w:num>
  <w:num w:numId="16">
    <w:abstractNumId w:val="30"/>
  </w:num>
  <w:num w:numId="17">
    <w:abstractNumId w:val="14"/>
  </w:num>
  <w:num w:numId="18">
    <w:abstractNumId w:val="9"/>
  </w:num>
  <w:num w:numId="19">
    <w:abstractNumId w:val="31"/>
  </w:num>
  <w:num w:numId="20">
    <w:abstractNumId w:val="7"/>
  </w:num>
  <w:num w:numId="21">
    <w:abstractNumId w:val="0"/>
  </w:num>
  <w:num w:numId="22">
    <w:abstractNumId w:val="32"/>
  </w:num>
  <w:num w:numId="23">
    <w:abstractNumId w:val="5"/>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12"/>
  </w:num>
  <w:num w:numId="30">
    <w:abstractNumId w:val="43"/>
  </w:num>
  <w:num w:numId="31">
    <w:abstractNumId w:val="2"/>
  </w:num>
  <w:num w:numId="32">
    <w:abstractNumId w:val="29"/>
  </w:num>
  <w:num w:numId="33">
    <w:abstractNumId w:val="13"/>
  </w:num>
  <w:num w:numId="34">
    <w:abstractNumId w:val="11"/>
  </w:num>
  <w:num w:numId="35">
    <w:abstractNumId w:val="38"/>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8"/>
  </w:num>
  <w:num w:numId="41">
    <w:abstractNumId w:val="48"/>
  </w:num>
  <w:num w:numId="42">
    <w:abstractNumId w:val="4"/>
  </w:num>
  <w:num w:numId="43">
    <w:abstractNumId w:val="41"/>
  </w:num>
  <w:num w:numId="44">
    <w:abstractNumId w:val="45"/>
  </w:num>
  <w:num w:numId="45">
    <w:abstractNumId w:val="19"/>
  </w:num>
  <w:num w:numId="46">
    <w:abstractNumId w:val="34"/>
  </w:num>
  <w:num w:numId="47">
    <w:abstractNumId w:val="24"/>
  </w:num>
  <w:num w:numId="48">
    <w:abstractNumId w:val="35"/>
  </w:num>
  <w:num w:numId="4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82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7B5B"/>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2781"/>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5ED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6FEB"/>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77854"/>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2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34" TargetMode="External"/><Relationship Id="rId13" Type="http://schemas.openxmlformats.org/officeDocument/2006/relationships/hyperlink" Target="https://www.canlii.org/en/on/onca/doc/2017/2017onca114/2017onca114.html?resultIndex=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nlii.org/en/on/onsc/doc/2015/2015onsc7187/2015onsc7187.html?resultIndex=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ca/doc/2017/2017onca114/2017onca114.html?resultIndex=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ca/doc/2017/2017onca164/2017onca164.html?autocompleteStr=2017%20ONCA%20164&amp;autocompletePos=1" TargetMode="External"/><Relationship Id="rId23" Type="http://schemas.openxmlformats.org/officeDocument/2006/relationships/fontTable" Target="fontTable.xml"/><Relationship Id="rId10" Type="http://schemas.openxmlformats.org/officeDocument/2006/relationships/hyperlink" Target="https://www.canlii.org/en/on/onsc/doc/2015/2015onsc7187/2015onsc7187.html?resultIndex=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7540" TargetMode="External"/><Relationship Id="rId14" Type="http://schemas.openxmlformats.org/officeDocument/2006/relationships/hyperlink" Target="https://www.canlii.org/en/on/onca/doc/2017/2017onca164/2017onca164.html?autocompleteStr=2017%20ONCA%20164&amp;autocompletePos=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1D9AE-FA74-4CB4-B382-CECB172F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2017-07-28T14:48:00Z</dcterms:created>
  <dcterms:modified xsi:type="dcterms:W3CDTF">2017-08-10T13:14:00Z</dcterms:modified>
</cp:coreProperties>
</file>