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473D0C" w:rsidRDefault="00DF33A9" w:rsidP="00DF33A9">
      <w:pPr>
        <w:pStyle w:val="Header"/>
        <w:jc w:val="center"/>
        <w:rPr>
          <w:b/>
          <w:sz w:val="32"/>
        </w:rPr>
      </w:pPr>
      <w:r w:rsidRPr="00473D0C">
        <w:rPr>
          <w:b/>
          <w:sz w:val="32"/>
        </w:rPr>
        <w:t>Supreme Court of Canada / Cour suprême du Canada</w:t>
      </w:r>
    </w:p>
    <w:p w:rsidR="00DF33A9" w:rsidRPr="00473D0C" w:rsidRDefault="00DF33A9" w:rsidP="00DF33A9">
      <w:pPr>
        <w:widowControl w:val="0"/>
        <w:rPr>
          <w:i/>
        </w:rPr>
      </w:pPr>
    </w:p>
    <w:p w:rsidR="00DF33A9" w:rsidRPr="00473D0C" w:rsidRDefault="00DF33A9" w:rsidP="00DF33A9">
      <w:pPr>
        <w:widowControl w:val="0"/>
        <w:rPr>
          <w:i/>
        </w:rPr>
      </w:pPr>
      <w:bookmarkStart w:id="0" w:name="_GoBack"/>
      <w:bookmarkEnd w:id="0"/>
    </w:p>
    <w:p w:rsidR="00DF33A9" w:rsidRPr="00473D0C" w:rsidRDefault="00DF33A9" w:rsidP="00DF33A9">
      <w:pPr>
        <w:widowControl w:val="0"/>
        <w:rPr>
          <w:i/>
          <w:lang w:val="fr-CA"/>
        </w:rPr>
      </w:pPr>
      <w:r w:rsidRPr="00473D0C">
        <w:rPr>
          <w:i/>
          <w:lang w:val="fr-CA"/>
        </w:rPr>
        <w:t>(le français suit)</w:t>
      </w:r>
    </w:p>
    <w:p w:rsidR="00DF33A9" w:rsidRPr="00473D0C" w:rsidRDefault="00DF33A9" w:rsidP="00DF33A9">
      <w:pPr>
        <w:widowControl w:val="0"/>
        <w:rPr>
          <w:lang w:val="fr-CA"/>
        </w:rPr>
      </w:pPr>
    </w:p>
    <w:p w:rsidR="00DF33A9" w:rsidRPr="00473D0C" w:rsidRDefault="001E2235" w:rsidP="00DF33A9">
      <w:pPr>
        <w:widowControl w:val="0"/>
        <w:jc w:val="center"/>
        <w:rPr>
          <w:b/>
          <w:lang w:val="fr-CA"/>
        </w:rPr>
      </w:pPr>
      <w:r w:rsidRPr="00473D0C">
        <w:fldChar w:fldCharType="begin"/>
      </w:r>
      <w:r w:rsidR="00DF33A9" w:rsidRPr="00473D0C">
        <w:rPr>
          <w:lang w:val="fr-CA"/>
        </w:rPr>
        <w:instrText xml:space="preserve"> SEQ CHAPTER \h \r 1</w:instrText>
      </w:r>
      <w:r w:rsidRPr="00473D0C">
        <w:fldChar w:fldCharType="end"/>
      </w:r>
      <w:r w:rsidR="00DF33A9" w:rsidRPr="00473D0C">
        <w:rPr>
          <w:b/>
          <w:lang w:val="fr-CA"/>
        </w:rPr>
        <w:t>JUDGMENT IN APPEAL</w:t>
      </w:r>
    </w:p>
    <w:p w:rsidR="00DF33A9" w:rsidRPr="00473D0C" w:rsidRDefault="00DF33A9" w:rsidP="00DF33A9">
      <w:pPr>
        <w:widowControl w:val="0"/>
        <w:rPr>
          <w:b/>
          <w:lang w:val="fr-CA"/>
        </w:rPr>
      </w:pPr>
    </w:p>
    <w:p w:rsidR="00DF33A9" w:rsidRPr="00473D0C" w:rsidRDefault="00DA3B6C" w:rsidP="00DF33A9">
      <w:pPr>
        <w:widowControl w:val="0"/>
        <w:rPr>
          <w:b/>
        </w:rPr>
      </w:pPr>
      <w:r w:rsidRPr="00473D0C">
        <w:rPr>
          <w:b/>
        </w:rPr>
        <w:t>September</w:t>
      </w:r>
      <w:r w:rsidR="006E047B" w:rsidRPr="00473D0C">
        <w:rPr>
          <w:b/>
        </w:rPr>
        <w:t xml:space="preserve"> </w:t>
      </w:r>
      <w:r w:rsidR="00443951">
        <w:rPr>
          <w:b/>
        </w:rPr>
        <w:t>22</w:t>
      </w:r>
      <w:r w:rsidR="007B36C2" w:rsidRPr="00473D0C">
        <w:rPr>
          <w:b/>
        </w:rPr>
        <w:t>, 2017</w:t>
      </w:r>
    </w:p>
    <w:p w:rsidR="00DF33A9" w:rsidRPr="00473D0C" w:rsidRDefault="00DF33A9" w:rsidP="00DF33A9">
      <w:pPr>
        <w:widowControl w:val="0"/>
        <w:rPr>
          <w:b/>
        </w:rPr>
      </w:pPr>
      <w:r w:rsidRPr="00473D0C">
        <w:rPr>
          <w:b/>
        </w:rPr>
        <w:t>For immediate release</w:t>
      </w:r>
    </w:p>
    <w:p w:rsidR="00DF33A9" w:rsidRPr="00473D0C" w:rsidRDefault="00DF33A9" w:rsidP="00DF33A9">
      <w:pPr>
        <w:widowControl w:val="0"/>
      </w:pPr>
    </w:p>
    <w:p w:rsidR="00DF33A9" w:rsidRPr="00473D0C" w:rsidRDefault="00DF33A9" w:rsidP="00DF33A9">
      <w:pPr>
        <w:widowControl w:val="0"/>
      </w:pPr>
      <w:r w:rsidRPr="00473D0C">
        <w:rPr>
          <w:b/>
        </w:rPr>
        <w:t>OTTAWA</w:t>
      </w:r>
      <w:r w:rsidRPr="00473D0C">
        <w:t xml:space="preserve"> – The Supreme Court of Canada has today deposited with the Registrar </w:t>
      </w:r>
      <w:r w:rsidR="004972A6" w:rsidRPr="00473D0C">
        <w:t>judgment in the following appeal</w:t>
      </w:r>
      <w:r w:rsidRPr="00473D0C">
        <w:t>.</w:t>
      </w:r>
    </w:p>
    <w:p w:rsidR="00DF33A9" w:rsidRDefault="00DF33A9" w:rsidP="00DF33A9">
      <w:pPr>
        <w:widowControl w:val="0"/>
      </w:pPr>
    </w:p>
    <w:p w:rsidR="00BE2C36" w:rsidRPr="00B24CA5" w:rsidRDefault="00BE2C36" w:rsidP="00DF33A9">
      <w:pPr>
        <w:widowControl w:val="0"/>
      </w:pPr>
      <w:r w:rsidRPr="00B24CA5">
        <w:t>Notice:</w:t>
      </w:r>
    </w:p>
    <w:p w:rsidR="00BE2C36" w:rsidRDefault="00BE2C36" w:rsidP="00DF33A9">
      <w:pPr>
        <w:widowControl w:val="0"/>
      </w:pPr>
    </w:p>
    <w:p w:rsidR="002B4434" w:rsidRPr="002B4434" w:rsidRDefault="002B4434" w:rsidP="002B4434">
      <w:pPr>
        <w:autoSpaceDE w:val="0"/>
        <w:autoSpaceDN w:val="0"/>
        <w:jc w:val="both"/>
        <w:rPr>
          <w:rFonts w:eastAsia="Calibri"/>
          <w:szCs w:val="24"/>
        </w:rPr>
      </w:pPr>
      <w:r w:rsidRPr="002B4434">
        <w:rPr>
          <w:rFonts w:eastAsia="Calibri"/>
          <w:szCs w:val="24"/>
          <w:lang w:val="en-CA"/>
        </w:rPr>
        <w:t xml:space="preserve">There is a ban on the publication of evidence, under ss. 517 and 539(1) of the </w:t>
      </w:r>
      <w:r w:rsidRPr="002B4434">
        <w:rPr>
          <w:rFonts w:eastAsia="Calibri"/>
          <w:i/>
          <w:iCs/>
          <w:szCs w:val="24"/>
          <w:lang w:val="en-CA"/>
        </w:rPr>
        <w:t>Criminal Code</w:t>
      </w:r>
      <w:r w:rsidRPr="002B4434">
        <w:rPr>
          <w:rFonts w:eastAsia="Calibri"/>
          <w:szCs w:val="24"/>
          <w:lang w:val="en-CA"/>
        </w:rPr>
        <w:t xml:space="preserve">, and an order under s. 648 of </w:t>
      </w:r>
      <w:r w:rsidRPr="002B4434">
        <w:rPr>
          <w:rFonts w:eastAsia="Calibri"/>
          <w:i/>
          <w:iCs/>
          <w:szCs w:val="24"/>
          <w:lang w:val="en-CA"/>
        </w:rPr>
        <w:t>the Criminal Code</w:t>
      </w:r>
      <w:r w:rsidRPr="002B4434">
        <w:rPr>
          <w:rFonts w:eastAsia="Calibri"/>
          <w:szCs w:val="24"/>
          <w:lang w:val="en-CA"/>
        </w:rPr>
        <w:t xml:space="preserve">. No information regarding evidence at the show cause hearing and the preliminary inquiry shall be published in any document nor broadcast or transmitted in any way before the trial has ended. No information regarding any portion of the trial at which the jury is not present shall be published in any document nor broadcast or transmitted in any way before the jury retires to consider its verdict. </w:t>
      </w:r>
      <w:r w:rsidRPr="002B4434">
        <w:rPr>
          <w:rFonts w:eastAsia="Calibri"/>
          <w:szCs w:val="24"/>
        </w:rPr>
        <w:t xml:space="preserve">Although the reasons for judgment cannot be posted on our website while these publication bans are in effect, print copies </w:t>
      </w:r>
      <w:r w:rsidRPr="002B4434">
        <w:rPr>
          <w:rFonts w:eastAsia="Calibri"/>
          <w:szCs w:val="24"/>
          <w:lang w:val="en-CA"/>
        </w:rPr>
        <w:t>are available from the Registry of the Supreme Court of Canada.</w:t>
      </w:r>
    </w:p>
    <w:p w:rsidR="00DF33A9" w:rsidRPr="00473D0C" w:rsidRDefault="00DF33A9" w:rsidP="00DF33A9">
      <w:pPr>
        <w:widowControl w:val="0"/>
      </w:pPr>
    </w:p>
    <w:p w:rsidR="00C11961" w:rsidRPr="00473D0C" w:rsidRDefault="00C11961" w:rsidP="00DF33A9">
      <w:pPr>
        <w:widowControl w:val="0"/>
      </w:pPr>
    </w:p>
    <w:p w:rsidR="00DF33A9" w:rsidRPr="00473D0C" w:rsidRDefault="00DF33A9" w:rsidP="00DF33A9">
      <w:pPr>
        <w:widowControl w:val="0"/>
        <w:jc w:val="center"/>
        <w:rPr>
          <w:lang w:val="fr-CA"/>
        </w:rPr>
      </w:pPr>
      <w:r w:rsidRPr="00473D0C">
        <w:rPr>
          <w:b/>
          <w:lang w:val="fr-CA"/>
        </w:rPr>
        <w:t>JUGEMENT SUR APPEL</w:t>
      </w:r>
    </w:p>
    <w:p w:rsidR="00DF33A9" w:rsidRPr="00473D0C" w:rsidRDefault="00DF33A9" w:rsidP="00DF33A9">
      <w:pPr>
        <w:widowControl w:val="0"/>
        <w:rPr>
          <w:lang w:val="fr-CA"/>
        </w:rPr>
      </w:pPr>
    </w:p>
    <w:p w:rsidR="00DF33A9" w:rsidRPr="00473D0C" w:rsidRDefault="00DF33A9" w:rsidP="00DF33A9">
      <w:pPr>
        <w:widowControl w:val="0"/>
        <w:rPr>
          <w:b/>
          <w:lang w:val="fr-CA"/>
        </w:rPr>
      </w:pPr>
      <w:r w:rsidRPr="00473D0C">
        <w:rPr>
          <w:b/>
          <w:lang w:val="fr-CA"/>
        </w:rPr>
        <w:t xml:space="preserve">Le </w:t>
      </w:r>
      <w:r w:rsidR="00443951">
        <w:rPr>
          <w:b/>
          <w:lang w:val="fr-CA"/>
        </w:rPr>
        <w:t>22</w:t>
      </w:r>
      <w:r w:rsidR="004972A6" w:rsidRPr="00473D0C">
        <w:rPr>
          <w:b/>
          <w:lang w:val="fr-CA"/>
        </w:rPr>
        <w:t xml:space="preserve"> </w:t>
      </w:r>
      <w:r w:rsidR="00DA3B6C" w:rsidRPr="00473D0C">
        <w:rPr>
          <w:b/>
          <w:lang w:val="fr-CA"/>
        </w:rPr>
        <w:t>septembre</w:t>
      </w:r>
      <w:r w:rsidR="00BB1936" w:rsidRPr="00473D0C">
        <w:rPr>
          <w:b/>
          <w:lang w:val="fr-CA"/>
        </w:rPr>
        <w:t xml:space="preserve"> </w:t>
      </w:r>
      <w:r w:rsidR="007B36C2" w:rsidRPr="00473D0C">
        <w:rPr>
          <w:b/>
          <w:lang w:val="fr-CA"/>
        </w:rPr>
        <w:t>2017</w:t>
      </w:r>
    </w:p>
    <w:p w:rsidR="00DF33A9" w:rsidRPr="00473D0C" w:rsidRDefault="00DF33A9" w:rsidP="00DF33A9">
      <w:pPr>
        <w:widowControl w:val="0"/>
        <w:rPr>
          <w:b/>
          <w:lang w:val="fr-CA"/>
        </w:rPr>
      </w:pPr>
      <w:r w:rsidRPr="00473D0C">
        <w:rPr>
          <w:b/>
          <w:lang w:val="fr-CA"/>
        </w:rPr>
        <w:t>Pour diffusion immédiate</w:t>
      </w:r>
    </w:p>
    <w:p w:rsidR="00DF33A9" w:rsidRPr="00473D0C" w:rsidRDefault="00DF33A9" w:rsidP="00DF33A9">
      <w:pPr>
        <w:widowControl w:val="0"/>
        <w:rPr>
          <w:b/>
          <w:lang w:val="fr-CA"/>
        </w:rPr>
      </w:pPr>
    </w:p>
    <w:p w:rsidR="00DF33A9" w:rsidRPr="00473D0C" w:rsidRDefault="00DF33A9" w:rsidP="00DF33A9">
      <w:pPr>
        <w:widowControl w:val="0"/>
        <w:rPr>
          <w:lang w:val="fr-CA"/>
        </w:rPr>
      </w:pPr>
      <w:r w:rsidRPr="00473D0C">
        <w:rPr>
          <w:b/>
          <w:lang w:val="fr-CA"/>
        </w:rPr>
        <w:t>OTTAWA</w:t>
      </w:r>
      <w:r w:rsidRPr="00473D0C">
        <w:rPr>
          <w:lang w:val="fr-CA"/>
        </w:rPr>
        <w:t xml:space="preserve"> – La Cour suprême du Canada a déposé aujourd’hui auprès du registraire</w:t>
      </w:r>
      <w:r w:rsidR="005A20DF" w:rsidRPr="00473D0C">
        <w:rPr>
          <w:lang w:val="fr-CA"/>
        </w:rPr>
        <w:t xml:space="preserve"> </w:t>
      </w:r>
      <w:r w:rsidR="004972A6" w:rsidRPr="00473D0C">
        <w:rPr>
          <w:lang w:val="fr-CA"/>
        </w:rPr>
        <w:t xml:space="preserve"> le jugement dans l'appel suivant.</w:t>
      </w:r>
    </w:p>
    <w:p w:rsidR="00DF33A9" w:rsidRDefault="00DF33A9" w:rsidP="00DF33A9">
      <w:pPr>
        <w:widowControl w:val="0"/>
        <w:rPr>
          <w:lang w:val="fr-CA"/>
        </w:rPr>
      </w:pPr>
    </w:p>
    <w:p w:rsidR="00BE2C36" w:rsidRPr="00B24CA5" w:rsidRDefault="00BE2C36" w:rsidP="00DF33A9">
      <w:pPr>
        <w:widowControl w:val="0"/>
        <w:rPr>
          <w:lang w:val="fr-CA"/>
        </w:rPr>
      </w:pPr>
      <w:r w:rsidRPr="00B24CA5">
        <w:rPr>
          <w:lang w:val="fr-CA"/>
        </w:rPr>
        <w:t>Avis :</w:t>
      </w:r>
    </w:p>
    <w:p w:rsidR="00BE2C36" w:rsidRDefault="00BE2C36" w:rsidP="00DF33A9">
      <w:pPr>
        <w:widowControl w:val="0"/>
        <w:rPr>
          <w:lang w:val="fr-CA"/>
        </w:rPr>
      </w:pPr>
    </w:p>
    <w:p w:rsidR="002B4434" w:rsidRPr="002B4434" w:rsidRDefault="002B4434" w:rsidP="002B4434">
      <w:pPr>
        <w:autoSpaceDE w:val="0"/>
        <w:autoSpaceDN w:val="0"/>
        <w:jc w:val="both"/>
        <w:rPr>
          <w:rFonts w:eastAsia="Calibri"/>
          <w:szCs w:val="24"/>
          <w:lang w:val="fr-CA"/>
        </w:rPr>
      </w:pPr>
      <w:r w:rsidRPr="002B4434">
        <w:rPr>
          <w:rFonts w:eastAsia="Calibri"/>
          <w:szCs w:val="24"/>
          <w:lang w:val="fr-CA"/>
        </w:rPr>
        <w:t xml:space="preserve">La preuve est assujettie à une ordonnance de non-publication fondée sur l’art. 517 et le par. 539(1) du </w:t>
      </w:r>
      <w:r w:rsidRPr="002B4434">
        <w:rPr>
          <w:rFonts w:eastAsia="Calibri"/>
          <w:i/>
          <w:iCs/>
          <w:szCs w:val="24"/>
          <w:lang w:val="fr-CA"/>
        </w:rPr>
        <w:t xml:space="preserve">Code criminel </w:t>
      </w:r>
      <w:r w:rsidRPr="002B4434">
        <w:rPr>
          <w:rFonts w:eastAsia="Calibri"/>
          <w:szCs w:val="24"/>
          <w:lang w:val="fr-CA"/>
        </w:rPr>
        <w:t xml:space="preserve">et une ordonnance a été prononcée en application de l’art. 648 du </w:t>
      </w:r>
      <w:r w:rsidRPr="002B4434">
        <w:rPr>
          <w:rFonts w:eastAsia="Calibri"/>
          <w:i/>
          <w:iCs/>
          <w:szCs w:val="24"/>
          <w:lang w:val="fr-CA"/>
        </w:rPr>
        <w:t>Code criminel</w:t>
      </w:r>
      <w:r w:rsidRPr="002B4434">
        <w:rPr>
          <w:rFonts w:eastAsia="Calibri"/>
          <w:szCs w:val="24"/>
          <w:lang w:val="fr-CA"/>
        </w:rPr>
        <w:t>. Aucun renseignement concernant la preuve présentée lors de l’audience de justification et de l’enquête préliminaire ne peut être publié ou diffusé de quelque façon que ce soit avant la fin du procès. Aucun renseignement concernant une phase du procès se déroulant en l’absence du jury ne peut être publié ou diffusé de quelque façon que ce soit avant que le jury ne se retire pour délibérer. Même si les motifs de jugement ne peuvent être affichés sur notre site Web tant que ces ordonnances de non-publication sont en vigueur, il est possible d’en obtenir une version papier en s’adressant au greffe de la Cour suprême du Canada.</w:t>
      </w:r>
    </w:p>
    <w:p w:rsidR="002006F9" w:rsidRPr="00EE734C" w:rsidRDefault="002006F9"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EE734C" w:rsidRDefault="00FD76D1" w:rsidP="00DF33A9">
      <w:pPr>
        <w:widowControl w:val="0"/>
        <w:rPr>
          <w:szCs w:val="24"/>
          <w:lang w:val="fr-CA"/>
        </w:rPr>
      </w:pPr>
      <w:r w:rsidRPr="00EE734C">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EE734C" w:rsidRDefault="00DF33A9" w:rsidP="00254A42">
      <w:pPr>
        <w:jc w:val="both"/>
        <w:outlineLvl w:val="0"/>
        <w:rPr>
          <w:szCs w:val="24"/>
          <w:lang w:val="fr-CA"/>
        </w:rPr>
      </w:pPr>
    </w:p>
    <w:p w:rsidR="00F44336" w:rsidRPr="00473D0C" w:rsidRDefault="00530398" w:rsidP="000616BC">
      <w:pPr>
        <w:ind w:left="1440" w:hanging="1440"/>
        <w:jc w:val="both"/>
        <w:rPr>
          <w:sz w:val="20"/>
        </w:rPr>
      </w:pPr>
      <w:r w:rsidRPr="00473D0C">
        <w:rPr>
          <w:b/>
          <w:sz w:val="20"/>
        </w:rPr>
        <w:fldChar w:fldCharType="begin"/>
      </w:r>
      <w:r w:rsidRPr="00473D0C">
        <w:rPr>
          <w:b/>
          <w:sz w:val="20"/>
        </w:rPr>
        <w:instrText xml:space="preserve"> SEQ CHAPTER \h \r 1</w:instrText>
      </w:r>
      <w:r w:rsidRPr="00473D0C">
        <w:rPr>
          <w:b/>
          <w:sz w:val="20"/>
        </w:rPr>
        <w:fldChar w:fldCharType="end"/>
      </w:r>
      <w:r w:rsidRPr="00473D0C">
        <w:rPr>
          <w:b/>
          <w:sz w:val="20"/>
        </w:rPr>
        <w:t>3</w:t>
      </w:r>
      <w:r w:rsidR="00443951">
        <w:rPr>
          <w:b/>
          <w:sz w:val="20"/>
        </w:rPr>
        <w:t>7052</w:t>
      </w:r>
      <w:r w:rsidR="00DA3B6C" w:rsidRPr="00473D0C">
        <w:rPr>
          <w:b/>
          <w:sz w:val="20"/>
        </w:rPr>
        <w:t xml:space="preserve"> </w:t>
      </w:r>
      <w:r w:rsidRPr="00473D0C">
        <w:rPr>
          <w:color w:val="FF0000"/>
          <w:sz w:val="20"/>
        </w:rPr>
        <w:tab/>
      </w:r>
      <w:r w:rsidR="00B71EBB">
        <w:rPr>
          <w:b/>
          <w:iCs/>
          <w:sz w:val="20"/>
          <w:u w:val="single"/>
        </w:rPr>
        <w:t xml:space="preserve">Durham Regional Crime Stoppers Inc. and X.Y. </w:t>
      </w:r>
      <w:r w:rsidR="00DA3B6C" w:rsidRPr="00473D0C">
        <w:rPr>
          <w:b/>
          <w:iCs/>
          <w:sz w:val="20"/>
          <w:u w:val="single"/>
        </w:rPr>
        <w:t xml:space="preserve">v. </w:t>
      </w:r>
      <w:r w:rsidR="00B71EBB">
        <w:rPr>
          <w:b/>
          <w:iCs/>
          <w:sz w:val="20"/>
          <w:u w:val="single"/>
        </w:rPr>
        <w:t>Her Majesty the Queen</w:t>
      </w:r>
      <w:r w:rsidR="00DA3B6C" w:rsidRPr="00473D0C">
        <w:rPr>
          <w:b/>
          <w:iCs/>
          <w:sz w:val="20"/>
          <w:u w:val="single"/>
        </w:rPr>
        <w:t xml:space="preserve"> </w:t>
      </w:r>
      <w:r w:rsidR="002E3F26" w:rsidRPr="00473D0C">
        <w:rPr>
          <w:b/>
          <w:iCs/>
          <w:sz w:val="20"/>
          <w:u w:val="single"/>
        </w:rPr>
        <w:t xml:space="preserve">– </w:t>
      </w:r>
      <w:r w:rsidR="00C478AB" w:rsidRPr="00473D0C">
        <w:rPr>
          <w:b/>
          <w:iCs/>
          <w:sz w:val="20"/>
          <w:u w:val="single"/>
        </w:rPr>
        <w:t>and</w:t>
      </w:r>
      <w:r w:rsidR="002E3F26" w:rsidRPr="00473D0C">
        <w:rPr>
          <w:b/>
          <w:iCs/>
          <w:sz w:val="20"/>
          <w:u w:val="single"/>
        </w:rPr>
        <w:t xml:space="preserve"> – </w:t>
      </w:r>
      <w:r w:rsidR="00B71EBB">
        <w:rPr>
          <w:b/>
          <w:iCs/>
          <w:sz w:val="20"/>
          <w:u w:val="single"/>
        </w:rPr>
        <w:t>Director of Public Prosecutions of Canada</w:t>
      </w:r>
      <w:r w:rsidR="00C478AB" w:rsidRPr="00473D0C">
        <w:rPr>
          <w:iCs/>
          <w:sz w:val="20"/>
        </w:rPr>
        <w:t xml:space="preserve"> </w:t>
      </w:r>
      <w:r w:rsidR="00D93264" w:rsidRPr="00473D0C">
        <w:rPr>
          <w:iCs/>
          <w:sz w:val="20"/>
        </w:rPr>
        <w:t>(</w:t>
      </w:r>
      <w:r w:rsidR="00443951">
        <w:rPr>
          <w:iCs/>
          <w:sz w:val="20"/>
        </w:rPr>
        <w:t>Ont</w:t>
      </w:r>
      <w:r w:rsidR="00C478AB" w:rsidRPr="00473D0C">
        <w:rPr>
          <w:iCs/>
          <w:sz w:val="20"/>
        </w:rPr>
        <w:t>.</w:t>
      </w:r>
      <w:r w:rsidR="00D93264" w:rsidRPr="00473D0C">
        <w:rPr>
          <w:iCs/>
          <w:sz w:val="20"/>
        </w:rPr>
        <w:t>)</w:t>
      </w:r>
    </w:p>
    <w:p w:rsidR="00530398" w:rsidRPr="00473D0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B4434">
        <w:rPr>
          <w:b/>
          <w:sz w:val="20"/>
        </w:rPr>
        <w:lastRenderedPageBreak/>
        <w:t>201</w:t>
      </w:r>
      <w:r w:rsidR="00AB16EF" w:rsidRPr="002B4434">
        <w:rPr>
          <w:b/>
          <w:sz w:val="20"/>
        </w:rPr>
        <w:t>7</w:t>
      </w:r>
      <w:r w:rsidRPr="002B4434">
        <w:rPr>
          <w:b/>
          <w:sz w:val="20"/>
        </w:rPr>
        <w:t xml:space="preserve"> SCC </w:t>
      </w:r>
      <w:r w:rsidR="00DA3B6C" w:rsidRPr="002B4434">
        <w:rPr>
          <w:b/>
          <w:sz w:val="20"/>
        </w:rPr>
        <w:t>4</w:t>
      </w:r>
      <w:r w:rsidR="00443951" w:rsidRPr="002B4434">
        <w:rPr>
          <w:b/>
          <w:sz w:val="20"/>
        </w:rPr>
        <w:t>5</w:t>
      </w:r>
      <w:r w:rsidRPr="002B4434">
        <w:rPr>
          <w:b/>
          <w:sz w:val="20"/>
        </w:rPr>
        <w:t xml:space="preserve"> / 201</w:t>
      </w:r>
      <w:r w:rsidR="00AB16EF" w:rsidRPr="002B4434">
        <w:rPr>
          <w:b/>
          <w:sz w:val="20"/>
        </w:rPr>
        <w:t>7</w:t>
      </w:r>
      <w:r w:rsidRPr="002B4434">
        <w:rPr>
          <w:b/>
          <w:sz w:val="20"/>
        </w:rPr>
        <w:t xml:space="preserve"> CSC </w:t>
      </w:r>
      <w:r w:rsidR="00DA3B6C" w:rsidRPr="002B4434">
        <w:rPr>
          <w:b/>
          <w:sz w:val="20"/>
        </w:rPr>
        <w:t>4</w:t>
      </w:r>
      <w:r w:rsidR="00443951" w:rsidRPr="002B4434">
        <w:rPr>
          <w:b/>
          <w:sz w:val="20"/>
        </w:rPr>
        <w:t>5</w:t>
      </w:r>
    </w:p>
    <w:p w:rsidR="00530398" w:rsidRPr="00473D0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473D0C" w:rsidRDefault="00530398" w:rsidP="002A194F">
      <w:pPr>
        <w:ind w:left="1440" w:hanging="1440"/>
        <w:rPr>
          <w:sz w:val="20"/>
        </w:rPr>
      </w:pPr>
      <w:r w:rsidRPr="00473D0C">
        <w:rPr>
          <w:sz w:val="20"/>
        </w:rPr>
        <w:t>Coram:</w:t>
      </w:r>
      <w:r w:rsidRPr="00473D0C">
        <w:rPr>
          <w:sz w:val="20"/>
        </w:rPr>
        <w:tab/>
      </w:r>
      <w:r w:rsidR="001920B7" w:rsidRPr="00473D0C">
        <w:rPr>
          <w:sz w:val="20"/>
          <w:u w:val="single"/>
        </w:rPr>
        <w:t>McLachlin C.J. and Abella, Moldaver, Karakatsanis, Wagner, Gascon, Côté, Brown and Rowe JJ.</w:t>
      </w:r>
    </w:p>
    <w:p w:rsidR="002A194F" w:rsidRPr="00473D0C" w:rsidRDefault="002A194F" w:rsidP="00456B0F">
      <w:pPr>
        <w:rPr>
          <w:sz w:val="20"/>
        </w:rPr>
      </w:pPr>
    </w:p>
    <w:p w:rsidR="00F63740" w:rsidRDefault="00153AC6" w:rsidP="00456B0F">
      <w:pPr>
        <w:rPr>
          <w:sz w:val="20"/>
          <w:lang w:val="en-CA"/>
        </w:rPr>
      </w:pPr>
      <w:r w:rsidRPr="00153AC6">
        <w:rPr>
          <w:sz w:val="20"/>
          <w:lang w:val="en-CA"/>
        </w:rPr>
        <w:t>The appeal from the decision of the Ontario Superior Court of Justice, Number 15/13823, dated April 14, 2016, heard on January 20, 2017, is dismissed.</w:t>
      </w:r>
    </w:p>
    <w:p w:rsidR="00153AC6" w:rsidRPr="00473D0C" w:rsidRDefault="00153AC6" w:rsidP="00456B0F">
      <w:pPr>
        <w:rPr>
          <w:sz w:val="20"/>
        </w:rPr>
      </w:pPr>
    </w:p>
    <w:p w:rsidR="00456B0F" w:rsidRPr="00473D0C" w:rsidRDefault="00153AC6" w:rsidP="00456B0F">
      <w:pPr>
        <w:rPr>
          <w:sz w:val="20"/>
          <w:lang w:val="fr-CA"/>
        </w:rPr>
      </w:pPr>
      <w:r w:rsidRPr="00153AC6">
        <w:rPr>
          <w:sz w:val="20"/>
          <w:lang w:val="fr-CA"/>
        </w:rPr>
        <w:t>L’appel interjeté contre la décision de la Cour supérieure de justice de l’Ontario, numéro 15/13823, datée du 14 avril 2016, entendu le 20 janvier 2017, est rejeté.</w:t>
      </w:r>
    </w:p>
    <w:p w:rsidR="0052512E" w:rsidRPr="00C851D0" w:rsidRDefault="0052512E" w:rsidP="00F71561">
      <w:pPr>
        <w:widowControl w:val="0"/>
        <w:jc w:val="both"/>
        <w:outlineLvl w:val="0"/>
        <w:rPr>
          <w:szCs w:val="24"/>
          <w:lang w:val="fr-CA"/>
        </w:rPr>
      </w:pPr>
    </w:p>
    <w:p w:rsidR="00A52DFE" w:rsidRPr="00C851D0" w:rsidRDefault="00A52DFE" w:rsidP="00F71561">
      <w:pPr>
        <w:widowControl w:val="0"/>
        <w:jc w:val="both"/>
        <w:outlineLvl w:val="0"/>
        <w:rPr>
          <w:szCs w:val="24"/>
          <w:lang w:val="fr-CA"/>
        </w:rPr>
      </w:pPr>
    </w:p>
    <w:p w:rsidR="00153AC6" w:rsidRPr="00C851D0" w:rsidRDefault="00153AC6" w:rsidP="00F71561">
      <w:pPr>
        <w:widowControl w:val="0"/>
        <w:jc w:val="both"/>
        <w:outlineLvl w:val="0"/>
        <w:rPr>
          <w:szCs w:val="24"/>
          <w:lang w:val="fr-CA"/>
        </w:rPr>
      </w:pPr>
    </w:p>
    <w:p w:rsidR="00DF33A9" w:rsidRPr="00473D0C" w:rsidRDefault="00DF33A9" w:rsidP="00DF33A9">
      <w:pPr>
        <w:widowControl w:val="0"/>
        <w:outlineLvl w:val="0"/>
      </w:pPr>
      <w:r w:rsidRPr="00473D0C">
        <w:t xml:space="preserve">Supreme Court of Canada / Cour suprême du </w:t>
      </w:r>
      <w:proofErr w:type="gramStart"/>
      <w:r w:rsidRPr="00473D0C">
        <w:t>Canada :</w:t>
      </w:r>
      <w:proofErr w:type="gramEnd"/>
      <w:r w:rsidRPr="00473D0C">
        <w:t xml:space="preserve"> </w:t>
      </w:r>
    </w:p>
    <w:p w:rsidR="00DF33A9" w:rsidRPr="00473D0C" w:rsidRDefault="00611567" w:rsidP="00DF33A9">
      <w:pPr>
        <w:widowControl w:val="0"/>
        <w:outlineLvl w:val="0"/>
      </w:pPr>
      <w:hyperlink r:id="rId7" w:history="1">
        <w:r w:rsidR="00DF33A9" w:rsidRPr="00473D0C">
          <w:rPr>
            <w:rStyle w:val="Hyperlink"/>
          </w:rPr>
          <w:t>comments-commentaires@scc-csc.ca</w:t>
        </w:r>
      </w:hyperlink>
    </w:p>
    <w:p w:rsidR="00DF33A9" w:rsidRPr="00473D0C" w:rsidRDefault="00DF33A9" w:rsidP="00DF33A9">
      <w:pPr>
        <w:widowControl w:val="0"/>
        <w:outlineLvl w:val="0"/>
      </w:pPr>
      <w:r w:rsidRPr="00473D0C">
        <w:t>(613) 995-4330</w:t>
      </w:r>
    </w:p>
    <w:p w:rsidR="00DF33A9" w:rsidRPr="00473D0C" w:rsidRDefault="00DF33A9" w:rsidP="00DF33A9">
      <w:pPr>
        <w:widowControl w:val="0"/>
        <w:rPr>
          <w:sz w:val="20"/>
        </w:rPr>
      </w:pPr>
    </w:p>
    <w:p w:rsidR="00DF33A9" w:rsidRPr="00473D0C" w:rsidRDefault="00DF33A9" w:rsidP="00DF33A9">
      <w:pPr>
        <w:widowControl w:val="0"/>
        <w:rPr>
          <w:sz w:val="20"/>
        </w:rPr>
      </w:pPr>
    </w:p>
    <w:p w:rsidR="00C12722" w:rsidRPr="00D5505D" w:rsidRDefault="00DF33A9" w:rsidP="00456B0F">
      <w:pPr>
        <w:pStyle w:val="Footer"/>
        <w:jc w:val="center"/>
      </w:pPr>
      <w:r w:rsidRPr="00473D0C">
        <w:t>- 30 -</w:t>
      </w:r>
    </w:p>
    <w:sectPr w:rsidR="00C12722" w:rsidRPr="00D5505D"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3AC6"/>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5AF5"/>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4434"/>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3951"/>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43BD"/>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041B"/>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3AC4"/>
    <w:rsid w:val="00A54818"/>
    <w:rsid w:val="00A60CA4"/>
    <w:rsid w:val="00A60CE6"/>
    <w:rsid w:val="00A62285"/>
    <w:rsid w:val="00A64404"/>
    <w:rsid w:val="00A66E09"/>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4CA5"/>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1EBB"/>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2C3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851D0"/>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E734C"/>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470">
      <w:bodyDiv w:val="1"/>
      <w:marLeft w:val="0"/>
      <w:marRight w:val="0"/>
      <w:marTop w:val="0"/>
      <w:marBottom w:val="0"/>
      <w:divBdr>
        <w:top w:val="none" w:sz="0" w:space="0" w:color="auto"/>
        <w:left w:val="none" w:sz="0" w:space="0" w:color="auto"/>
        <w:bottom w:val="none" w:sz="0" w:space="0" w:color="auto"/>
        <w:right w:val="none" w:sz="0" w:space="0" w:color="auto"/>
      </w:divBdr>
    </w:div>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62976265">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8543897">
      <w:bodyDiv w:val="1"/>
      <w:marLeft w:val="0"/>
      <w:marRight w:val="0"/>
      <w:marTop w:val="0"/>
      <w:marBottom w:val="0"/>
      <w:divBdr>
        <w:top w:val="none" w:sz="0" w:space="0" w:color="auto"/>
        <w:left w:val="none" w:sz="0" w:space="0" w:color="auto"/>
        <w:bottom w:val="none" w:sz="0" w:space="0" w:color="auto"/>
        <w:right w:val="none" w:sz="0" w:space="0" w:color="auto"/>
      </w:divBdr>
    </w:div>
    <w:div w:id="1664433538">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2017-09-22T11:38:00Z</dcterms:created>
  <dcterms:modified xsi:type="dcterms:W3CDTF">2017-09-22T11:38:00Z</dcterms:modified>
</cp:coreProperties>
</file>